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93AC2" w:rsidRPr="006E7CE1" w:rsidP="00093AC2" w14:paraId="643CF368" w14:textId="77777777">
      <w:pPr>
        <w:pStyle w:val="HTMLPreformatted"/>
        <w:jc w:val="center"/>
        <w:rPr>
          <w:rFonts w:ascii="Times New Roman" w:hAnsi="Times New Roman" w:cs="Times New Roman"/>
          <w:b/>
          <w:bCs/>
          <w:sz w:val="24"/>
          <w:szCs w:val="24"/>
        </w:rPr>
      </w:pPr>
      <w:bookmarkStart w:id="0" w:name="_GoBack"/>
      <w:bookmarkEnd w:id="0"/>
      <w:r w:rsidRPr="006E7CE1">
        <w:rPr>
          <w:rFonts w:ascii="Times New Roman" w:hAnsi="Times New Roman" w:cs="Times New Roman"/>
          <w:b/>
          <w:bCs/>
          <w:sz w:val="24"/>
          <w:szCs w:val="24"/>
        </w:rPr>
        <w:t>BEFORE</w:t>
      </w:r>
    </w:p>
    <w:p w:rsidR="00093AC2" w:rsidRPr="006E7CE1" w:rsidP="00093AC2" w14:paraId="1152CCCD" w14:textId="77777777">
      <w:pPr>
        <w:pStyle w:val="HTMLPreformatted"/>
        <w:jc w:val="center"/>
        <w:rPr>
          <w:rFonts w:ascii="Times New Roman" w:hAnsi="Times New Roman" w:cs="Times New Roman"/>
          <w:sz w:val="24"/>
          <w:szCs w:val="24"/>
        </w:rPr>
      </w:pPr>
      <w:r w:rsidRPr="006E7CE1">
        <w:rPr>
          <w:rFonts w:ascii="Times New Roman" w:hAnsi="Times New Roman" w:cs="Times New Roman"/>
          <w:b/>
          <w:bCs/>
          <w:sz w:val="24"/>
          <w:szCs w:val="24"/>
        </w:rPr>
        <w:t>THE PUBLIC UTILITIES COMMISSION OF OHIO</w:t>
      </w:r>
    </w:p>
    <w:p w:rsidR="00093AC2" w:rsidRPr="006E7CE1" w:rsidP="00093AC2" w14:paraId="30879D28" w14:textId="77777777">
      <w:pPr>
        <w:pStyle w:val="HTMLPreformatted"/>
        <w:rPr>
          <w:rFonts w:ascii="Times New Roman" w:hAnsi="Times New Roman" w:cs="Times New Roman"/>
          <w:sz w:val="24"/>
          <w:szCs w:val="24"/>
        </w:rPr>
      </w:pPr>
    </w:p>
    <w:tbl>
      <w:tblPr>
        <w:tblW w:w="9080" w:type="dxa"/>
        <w:tblLook w:val="01E0"/>
      </w:tblPr>
      <w:tblGrid>
        <w:gridCol w:w="4320"/>
        <w:gridCol w:w="360"/>
        <w:gridCol w:w="4400"/>
      </w:tblGrid>
      <w:tr w14:paraId="06D67A95" w14:textId="77777777" w:rsidTr="00085092">
        <w:tblPrEx>
          <w:tblW w:w="9080" w:type="dxa"/>
          <w:tblLook w:val="01E0"/>
        </w:tblPrEx>
        <w:trPr>
          <w:trHeight w:val="807"/>
        </w:trPr>
        <w:tc>
          <w:tcPr>
            <w:tcW w:w="4320" w:type="dxa"/>
            <w:shd w:val="clear" w:color="auto" w:fill="auto"/>
          </w:tcPr>
          <w:p w:rsidR="004F014E" w:rsidRPr="006E7CE1" w:rsidP="008B2468" w14:paraId="24F00991" w14:textId="68F0CEAE">
            <w:pPr>
              <w:autoSpaceDE w:val="0"/>
              <w:autoSpaceDN w:val="0"/>
              <w:adjustRightInd w:val="0"/>
              <w:rPr>
                <w:szCs w:val="24"/>
              </w:rPr>
            </w:pPr>
            <w:r w:rsidRPr="006E7CE1">
              <w:rPr>
                <w:szCs w:val="24"/>
              </w:rPr>
              <w:t xml:space="preserve">In the Matter of the 2017 Review of the Smart Grid Modernization Initiative Contained in the Tariffs of Ohio Edison Company, The Cleveland Electric Illuminating </w:t>
            </w:r>
            <w:r w:rsidRPr="006E7CE1" w:rsidR="008B2468">
              <w:rPr>
                <w:szCs w:val="24"/>
              </w:rPr>
              <w:t>Company</w:t>
            </w:r>
            <w:r w:rsidRPr="006E7CE1">
              <w:rPr>
                <w:szCs w:val="24"/>
              </w:rPr>
              <w:t>, and the Toledo Edison Company</w:t>
            </w:r>
            <w:r w:rsidRPr="006E7CE1" w:rsidR="008B2468">
              <w:rPr>
                <w:szCs w:val="24"/>
              </w:rPr>
              <w:t>.</w:t>
            </w:r>
          </w:p>
          <w:p w:rsidR="004F014E" w:rsidRPr="006E7CE1" w:rsidP="00EC2BF0" w14:paraId="05BEDA66" w14:textId="77777777">
            <w:pPr>
              <w:autoSpaceDE w:val="0"/>
              <w:autoSpaceDN w:val="0"/>
              <w:adjustRightInd w:val="0"/>
              <w:rPr>
                <w:szCs w:val="24"/>
              </w:rPr>
            </w:pPr>
          </w:p>
          <w:p w:rsidR="006D348F" w:rsidRPr="006E7CE1" w:rsidP="00187ABB" w14:paraId="031A0684" w14:textId="528440D6">
            <w:pPr>
              <w:autoSpaceDE w:val="0"/>
              <w:autoSpaceDN w:val="0"/>
              <w:adjustRightInd w:val="0"/>
              <w:rPr>
                <w:szCs w:val="24"/>
              </w:rPr>
            </w:pPr>
            <w:r w:rsidRPr="006E7CE1">
              <w:rPr>
                <w:szCs w:val="24"/>
              </w:rPr>
              <w:t>In the Matter of the Application of Ohio</w:t>
            </w:r>
          </w:p>
          <w:p w:rsidR="006D348F" w:rsidRPr="006E7CE1" w:rsidP="00187ABB" w14:paraId="1878B066" w14:textId="77777777">
            <w:pPr>
              <w:autoSpaceDE w:val="0"/>
              <w:autoSpaceDN w:val="0"/>
              <w:adjustRightInd w:val="0"/>
              <w:rPr>
                <w:szCs w:val="24"/>
              </w:rPr>
            </w:pPr>
            <w:r w:rsidRPr="006E7CE1">
              <w:rPr>
                <w:szCs w:val="24"/>
              </w:rPr>
              <w:t>Edison Company, The Cleveland Electric</w:t>
            </w:r>
          </w:p>
          <w:p w:rsidR="006D348F" w:rsidRPr="006E7CE1" w:rsidP="00187ABB" w14:paraId="6914069B" w14:textId="77777777">
            <w:pPr>
              <w:autoSpaceDE w:val="0"/>
              <w:autoSpaceDN w:val="0"/>
              <w:adjustRightInd w:val="0"/>
              <w:rPr>
                <w:szCs w:val="24"/>
              </w:rPr>
            </w:pPr>
            <w:r w:rsidRPr="006E7CE1">
              <w:rPr>
                <w:szCs w:val="24"/>
              </w:rPr>
              <w:t>Illuminating Company, and The Toledo</w:t>
            </w:r>
          </w:p>
          <w:p w:rsidR="006D348F" w:rsidRPr="006E7CE1" w:rsidP="00187ABB" w14:paraId="404E5913" w14:textId="77777777">
            <w:pPr>
              <w:autoSpaceDE w:val="0"/>
              <w:autoSpaceDN w:val="0"/>
              <w:adjustRightInd w:val="0"/>
              <w:rPr>
                <w:szCs w:val="24"/>
              </w:rPr>
            </w:pPr>
            <w:r w:rsidRPr="006E7CE1">
              <w:rPr>
                <w:szCs w:val="24"/>
              </w:rPr>
              <w:t>Edison Company to update the tariff for</w:t>
            </w:r>
          </w:p>
          <w:p w:rsidR="00093AC2" w:rsidRPr="006E7CE1" w:rsidP="00187ABB" w14:paraId="5DA4C259" w14:textId="18BC15E8">
            <w:pPr>
              <w:autoSpaceDE w:val="0"/>
              <w:autoSpaceDN w:val="0"/>
              <w:adjustRightInd w:val="0"/>
              <w:rPr>
                <w:szCs w:val="24"/>
              </w:rPr>
            </w:pPr>
            <w:r w:rsidRPr="006E7CE1">
              <w:rPr>
                <w:szCs w:val="24"/>
              </w:rPr>
              <w:t>Rider AMI.</w:t>
            </w:r>
          </w:p>
        </w:tc>
        <w:tc>
          <w:tcPr>
            <w:tcW w:w="360" w:type="dxa"/>
            <w:shd w:val="clear" w:color="auto" w:fill="auto"/>
          </w:tcPr>
          <w:p w:rsidR="00093AC2" w:rsidRPr="006E7CE1" w:rsidP="00187ABB" w14:paraId="14C0C0BA" w14:textId="77777777">
            <w:pPr>
              <w:pStyle w:val="HTMLPreformatted"/>
              <w:rPr>
                <w:rFonts w:ascii="Times New Roman" w:hAnsi="Times New Roman" w:cs="Times New Roman"/>
                <w:sz w:val="24"/>
                <w:szCs w:val="24"/>
              </w:rPr>
            </w:pPr>
            <w:r w:rsidRPr="006E7CE1">
              <w:rPr>
                <w:rFonts w:ascii="Times New Roman" w:hAnsi="Times New Roman" w:cs="Times New Roman"/>
                <w:sz w:val="24"/>
                <w:szCs w:val="24"/>
              </w:rPr>
              <w:t>)</w:t>
            </w:r>
          </w:p>
          <w:p w:rsidR="00093AC2" w:rsidRPr="006E7CE1" w:rsidP="00187ABB" w14:paraId="41AE64BB" w14:textId="77777777">
            <w:pPr>
              <w:pStyle w:val="HTMLPreformatted"/>
              <w:rPr>
                <w:rFonts w:ascii="Times New Roman" w:hAnsi="Times New Roman" w:cs="Times New Roman"/>
                <w:sz w:val="24"/>
                <w:szCs w:val="24"/>
              </w:rPr>
            </w:pPr>
            <w:r w:rsidRPr="006E7CE1">
              <w:rPr>
                <w:rFonts w:ascii="Times New Roman" w:hAnsi="Times New Roman" w:cs="Times New Roman"/>
                <w:sz w:val="24"/>
                <w:szCs w:val="24"/>
              </w:rPr>
              <w:t>)</w:t>
            </w:r>
          </w:p>
          <w:p w:rsidR="00093AC2" w:rsidRPr="006E7CE1" w:rsidP="00187ABB" w14:paraId="79EC1463" w14:textId="77777777">
            <w:pPr>
              <w:pStyle w:val="HTMLPreformatted"/>
              <w:rPr>
                <w:rFonts w:ascii="Times New Roman" w:hAnsi="Times New Roman" w:cs="Times New Roman"/>
                <w:sz w:val="24"/>
                <w:szCs w:val="24"/>
              </w:rPr>
            </w:pPr>
            <w:r w:rsidRPr="006E7CE1">
              <w:rPr>
                <w:rFonts w:ascii="Times New Roman" w:hAnsi="Times New Roman" w:cs="Times New Roman"/>
                <w:sz w:val="24"/>
                <w:szCs w:val="24"/>
              </w:rPr>
              <w:t>)</w:t>
            </w:r>
          </w:p>
          <w:p w:rsidR="006D348F" w:rsidRPr="006E7CE1" w:rsidP="00187ABB" w14:paraId="51348597" w14:textId="77777777">
            <w:pPr>
              <w:pStyle w:val="HTMLPreformatted"/>
              <w:rPr>
                <w:rFonts w:ascii="Times New Roman" w:hAnsi="Times New Roman" w:cs="Times New Roman"/>
                <w:sz w:val="24"/>
                <w:szCs w:val="24"/>
              </w:rPr>
            </w:pPr>
            <w:r w:rsidRPr="006E7CE1">
              <w:rPr>
                <w:rFonts w:ascii="Times New Roman" w:hAnsi="Times New Roman" w:cs="Times New Roman"/>
                <w:sz w:val="24"/>
                <w:szCs w:val="24"/>
              </w:rPr>
              <w:t>)</w:t>
            </w:r>
          </w:p>
          <w:p w:rsidR="006D348F" w:rsidRPr="006E7CE1" w:rsidP="00187ABB" w14:paraId="24201AFE" w14:textId="77777777">
            <w:pPr>
              <w:pStyle w:val="HTMLPreformatted"/>
              <w:rPr>
                <w:rFonts w:ascii="Times New Roman" w:hAnsi="Times New Roman" w:cs="Times New Roman"/>
                <w:sz w:val="24"/>
                <w:szCs w:val="24"/>
              </w:rPr>
            </w:pPr>
            <w:r w:rsidRPr="006E7CE1">
              <w:rPr>
                <w:rFonts w:ascii="Times New Roman" w:hAnsi="Times New Roman" w:cs="Times New Roman"/>
                <w:sz w:val="24"/>
                <w:szCs w:val="24"/>
              </w:rPr>
              <w:t>)</w:t>
            </w:r>
          </w:p>
          <w:p w:rsidR="008B2468" w:rsidRPr="006E7CE1" w:rsidP="00187ABB" w14:paraId="5D376DDC" w14:textId="77777777">
            <w:pPr>
              <w:pStyle w:val="HTMLPreformatted"/>
              <w:rPr>
                <w:rFonts w:ascii="Times New Roman" w:hAnsi="Times New Roman" w:cs="Times New Roman"/>
                <w:sz w:val="24"/>
                <w:szCs w:val="24"/>
              </w:rPr>
            </w:pPr>
            <w:r w:rsidRPr="006E7CE1">
              <w:rPr>
                <w:rFonts w:ascii="Times New Roman" w:hAnsi="Times New Roman" w:cs="Times New Roman"/>
                <w:sz w:val="24"/>
                <w:szCs w:val="24"/>
              </w:rPr>
              <w:t>)</w:t>
            </w:r>
          </w:p>
          <w:p w:rsidR="008B2468" w:rsidRPr="006E7CE1" w:rsidP="00187ABB" w14:paraId="37008A71" w14:textId="77777777">
            <w:pPr>
              <w:pStyle w:val="HTMLPreformatted"/>
              <w:rPr>
                <w:rFonts w:ascii="Times New Roman" w:hAnsi="Times New Roman" w:cs="Times New Roman"/>
                <w:sz w:val="24"/>
                <w:szCs w:val="24"/>
              </w:rPr>
            </w:pPr>
          </w:p>
          <w:p w:rsidR="008B2468" w:rsidRPr="006E7CE1" w:rsidP="00187ABB" w14:paraId="226B62CE" w14:textId="77777777">
            <w:pPr>
              <w:pStyle w:val="HTMLPreformatted"/>
              <w:rPr>
                <w:rFonts w:ascii="Times New Roman" w:hAnsi="Times New Roman" w:cs="Times New Roman"/>
                <w:sz w:val="24"/>
                <w:szCs w:val="24"/>
              </w:rPr>
            </w:pPr>
            <w:r w:rsidRPr="006E7CE1">
              <w:rPr>
                <w:rFonts w:ascii="Times New Roman" w:hAnsi="Times New Roman" w:cs="Times New Roman"/>
                <w:sz w:val="24"/>
                <w:szCs w:val="24"/>
              </w:rPr>
              <w:t>)</w:t>
            </w:r>
          </w:p>
          <w:p w:rsidR="008B2468" w:rsidRPr="006E7CE1" w:rsidP="00187ABB" w14:paraId="3D025510" w14:textId="77777777">
            <w:pPr>
              <w:pStyle w:val="HTMLPreformatted"/>
              <w:rPr>
                <w:rFonts w:ascii="Times New Roman" w:hAnsi="Times New Roman" w:cs="Times New Roman"/>
                <w:sz w:val="24"/>
                <w:szCs w:val="24"/>
              </w:rPr>
            </w:pPr>
            <w:r w:rsidRPr="006E7CE1">
              <w:rPr>
                <w:rFonts w:ascii="Times New Roman" w:hAnsi="Times New Roman" w:cs="Times New Roman"/>
                <w:sz w:val="24"/>
                <w:szCs w:val="24"/>
              </w:rPr>
              <w:t>)</w:t>
            </w:r>
          </w:p>
          <w:p w:rsidR="008B2468" w:rsidRPr="006E7CE1" w:rsidP="00187ABB" w14:paraId="163800D3" w14:textId="77777777">
            <w:pPr>
              <w:pStyle w:val="HTMLPreformatted"/>
              <w:rPr>
                <w:rFonts w:ascii="Times New Roman" w:hAnsi="Times New Roman" w:cs="Times New Roman"/>
                <w:sz w:val="24"/>
                <w:szCs w:val="24"/>
              </w:rPr>
            </w:pPr>
            <w:r w:rsidRPr="006E7CE1">
              <w:rPr>
                <w:rFonts w:ascii="Times New Roman" w:hAnsi="Times New Roman" w:cs="Times New Roman"/>
                <w:sz w:val="24"/>
                <w:szCs w:val="24"/>
              </w:rPr>
              <w:t>)</w:t>
            </w:r>
          </w:p>
          <w:p w:rsidR="008B2468" w:rsidRPr="006E7CE1" w:rsidP="00187ABB" w14:paraId="6509ADE2" w14:textId="77777777">
            <w:pPr>
              <w:pStyle w:val="HTMLPreformatted"/>
              <w:rPr>
                <w:rFonts w:ascii="Times New Roman" w:hAnsi="Times New Roman" w:cs="Times New Roman"/>
                <w:sz w:val="24"/>
                <w:szCs w:val="24"/>
              </w:rPr>
            </w:pPr>
            <w:r w:rsidRPr="006E7CE1">
              <w:rPr>
                <w:rFonts w:ascii="Times New Roman" w:hAnsi="Times New Roman" w:cs="Times New Roman"/>
                <w:sz w:val="24"/>
                <w:szCs w:val="24"/>
              </w:rPr>
              <w:t>)</w:t>
            </w:r>
          </w:p>
          <w:p w:rsidR="008B2468" w:rsidRPr="006E7CE1" w:rsidP="00187ABB" w14:paraId="5A5B2682" w14:textId="3F60A326">
            <w:pPr>
              <w:pStyle w:val="HTMLPreformatted"/>
              <w:rPr>
                <w:rFonts w:ascii="Times New Roman" w:hAnsi="Times New Roman" w:cs="Times New Roman"/>
                <w:sz w:val="24"/>
                <w:szCs w:val="24"/>
              </w:rPr>
            </w:pPr>
            <w:r w:rsidRPr="006E7CE1">
              <w:rPr>
                <w:rFonts w:ascii="Times New Roman" w:hAnsi="Times New Roman" w:cs="Times New Roman"/>
                <w:sz w:val="24"/>
                <w:szCs w:val="24"/>
              </w:rPr>
              <w:t>)</w:t>
            </w:r>
          </w:p>
        </w:tc>
        <w:tc>
          <w:tcPr>
            <w:tcW w:w="4400" w:type="dxa"/>
            <w:shd w:val="clear" w:color="auto" w:fill="auto"/>
          </w:tcPr>
          <w:p w:rsidR="00093AC2" w:rsidRPr="006E7CE1" w:rsidP="00187ABB" w14:paraId="75E13B7D" w14:textId="77777777">
            <w:pPr>
              <w:pStyle w:val="HTMLPreformatted"/>
              <w:rPr>
                <w:rFonts w:ascii="Times New Roman" w:hAnsi="Times New Roman" w:cs="Times New Roman"/>
                <w:sz w:val="24"/>
                <w:szCs w:val="24"/>
              </w:rPr>
            </w:pPr>
          </w:p>
          <w:p w:rsidR="006D348F" w:rsidRPr="006E7CE1" w:rsidP="00187ABB" w14:paraId="48A63131" w14:textId="77777777">
            <w:pPr>
              <w:pStyle w:val="HTMLPreformatted"/>
              <w:rPr>
                <w:rFonts w:ascii="Times New Roman" w:hAnsi="Times New Roman" w:cs="Times New Roman"/>
                <w:sz w:val="24"/>
                <w:szCs w:val="24"/>
              </w:rPr>
            </w:pPr>
          </w:p>
          <w:p w:rsidR="008B2468" w:rsidRPr="006E7CE1" w:rsidP="00187ABB" w14:paraId="694DCA87" w14:textId="78E01D2E">
            <w:pPr>
              <w:pStyle w:val="HTMLPreformatted"/>
              <w:rPr>
                <w:rFonts w:ascii="Times New Roman" w:hAnsi="Times New Roman" w:cs="Times New Roman"/>
                <w:sz w:val="24"/>
                <w:szCs w:val="24"/>
              </w:rPr>
            </w:pPr>
            <w:r w:rsidRPr="006E7CE1">
              <w:rPr>
                <w:rFonts w:ascii="Times New Roman" w:hAnsi="Times New Roman" w:cs="Times New Roman"/>
                <w:sz w:val="24"/>
                <w:szCs w:val="24"/>
              </w:rPr>
              <w:t>Case No. 16-2166-EL-RDR</w:t>
            </w:r>
          </w:p>
          <w:p w:rsidR="008B2468" w:rsidRPr="006E7CE1" w:rsidP="00187ABB" w14:paraId="63F52F19" w14:textId="77777777">
            <w:pPr>
              <w:pStyle w:val="HTMLPreformatted"/>
              <w:rPr>
                <w:rFonts w:ascii="Times New Roman" w:hAnsi="Times New Roman" w:cs="Times New Roman"/>
                <w:sz w:val="24"/>
                <w:szCs w:val="24"/>
              </w:rPr>
            </w:pPr>
          </w:p>
          <w:p w:rsidR="008B2468" w:rsidRPr="006E7CE1" w:rsidP="00187ABB" w14:paraId="790A56BD" w14:textId="77777777">
            <w:pPr>
              <w:pStyle w:val="HTMLPreformatted"/>
              <w:rPr>
                <w:rFonts w:ascii="Times New Roman" w:hAnsi="Times New Roman" w:cs="Times New Roman"/>
                <w:sz w:val="24"/>
                <w:szCs w:val="24"/>
              </w:rPr>
            </w:pPr>
          </w:p>
          <w:p w:rsidR="008B2468" w:rsidRPr="006E7CE1" w:rsidP="00187ABB" w14:paraId="6C1E4C50" w14:textId="77777777">
            <w:pPr>
              <w:pStyle w:val="HTMLPreformatted"/>
              <w:rPr>
                <w:rFonts w:ascii="Times New Roman" w:hAnsi="Times New Roman" w:cs="Times New Roman"/>
                <w:sz w:val="24"/>
                <w:szCs w:val="24"/>
              </w:rPr>
            </w:pPr>
          </w:p>
          <w:p w:rsidR="008B2468" w:rsidRPr="006E7CE1" w:rsidP="00187ABB" w14:paraId="1DAA4285" w14:textId="77777777">
            <w:pPr>
              <w:pStyle w:val="HTMLPreformatted"/>
              <w:rPr>
                <w:rFonts w:ascii="Times New Roman" w:hAnsi="Times New Roman" w:cs="Times New Roman"/>
                <w:sz w:val="24"/>
                <w:szCs w:val="24"/>
              </w:rPr>
            </w:pPr>
          </w:p>
          <w:p w:rsidR="008B2468" w:rsidRPr="006E7CE1" w:rsidP="00187ABB" w14:paraId="0C198C7A" w14:textId="77777777">
            <w:pPr>
              <w:pStyle w:val="HTMLPreformatted"/>
              <w:rPr>
                <w:rFonts w:ascii="Times New Roman" w:hAnsi="Times New Roman" w:cs="Times New Roman"/>
                <w:sz w:val="24"/>
                <w:szCs w:val="24"/>
              </w:rPr>
            </w:pPr>
          </w:p>
          <w:p w:rsidR="008B2468" w:rsidRPr="006E7CE1" w:rsidP="00187ABB" w14:paraId="61B740A6" w14:textId="77777777">
            <w:pPr>
              <w:pStyle w:val="HTMLPreformatted"/>
              <w:rPr>
                <w:rFonts w:ascii="Times New Roman" w:hAnsi="Times New Roman" w:cs="Times New Roman"/>
                <w:sz w:val="24"/>
                <w:szCs w:val="24"/>
              </w:rPr>
            </w:pPr>
          </w:p>
          <w:p w:rsidR="00093AC2" w:rsidRPr="006E7CE1" w:rsidP="00187ABB" w14:paraId="5CB42AB0" w14:textId="4B2EE941">
            <w:pPr>
              <w:pStyle w:val="HTMLPreformatted"/>
              <w:rPr>
                <w:rFonts w:ascii="Times New Roman" w:hAnsi="Times New Roman" w:cs="Times New Roman"/>
                <w:sz w:val="24"/>
                <w:szCs w:val="24"/>
              </w:rPr>
            </w:pPr>
            <w:r w:rsidRPr="006E7CE1">
              <w:rPr>
                <w:rFonts w:ascii="Times New Roman" w:hAnsi="Times New Roman" w:cs="Times New Roman"/>
                <w:sz w:val="24"/>
                <w:szCs w:val="24"/>
              </w:rPr>
              <w:t xml:space="preserve">Case No. </w:t>
            </w:r>
            <w:r w:rsidRPr="006E7CE1" w:rsidR="006D348F">
              <w:rPr>
                <w:rFonts w:ascii="Times New Roman" w:hAnsi="Times New Roman" w:cs="Times New Roman"/>
                <w:sz w:val="24"/>
                <w:szCs w:val="24"/>
              </w:rPr>
              <w:t>17-2276-EL-RDR</w:t>
            </w:r>
          </w:p>
        </w:tc>
      </w:tr>
    </w:tbl>
    <w:p w:rsidR="00093AC2" w:rsidRPr="006E7CE1" w:rsidP="00093AC2" w14:paraId="6D295508" w14:textId="77777777">
      <w:pPr>
        <w:pStyle w:val="HTMLPreformatted"/>
        <w:rPr>
          <w:rFonts w:ascii="Times New Roman" w:hAnsi="Times New Roman" w:cs="Times New Roman"/>
          <w:sz w:val="24"/>
          <w:szCs w:val="24"/>
        </w:rPr>
      </w:pPr>
    </w:p>
    <w:p w:rsidR="00614CD5" w:rsidRPr="006E7CE1" w:rsidP="00614CD5" w14:paraId="65B008DE" w14:textId="77777777">
      <w:pPr>
        <w:pStyle w:val="HTMLPreformatted"/>
        <w:pBdr>
          <w:top w:val="single" w:sz="12" w:space="1" w:color="auto"/>
        </w:pBdr>
        <w:rPr>
          <w:rFonts w:ascii="Times New Roman" w:hAnsi="Times New Roman" w:cs="Times New Roman"/>
          <w:sz w:val="24"/>
          <w:szCs w:val="24"/>
        </w:rPr>
      </w:pPr>
    </w:p>
    <w:p w:rsidR="00C360EB" w:rsidRPr="006E7CE1" w:rsidP="00C360EB" w14:paraId="65F0924F" w14:textId="5F7E84A4">
      <w:pPr>
        <w:jc w:val="center"/>
        <w:rPr>
          <w:b/>
          <w:bCs/>
          <w:szCs w:val="24"/>
        </w:rPr>
      </w:pPr>
      <w:r w:rsidRPr="006E7CE1">
        <w:rPr>
          <w:b/>
          <w:bCs/>
          <w:szCs w:val="24"/>
        </w:rPr>
        <w:t xml:space="preserve">REPLY </w:t>
      </w:r>
      <w:r w:rsidRPr="006E7CE1" w:rsidR="00EB0F5D">
        <w:rPr>
          <w:b/>
          <w:bCs/>
          <w:szCs w:val="24"/>
        </w:rPr>
        <w:t>COMMENTS FOR CONSUMER PROTECTION</w:t>
      </w:r>
    </w:p>
    <w:p w:rsidR="00EC7774" w:rsidRPr="006E7CE1" w:rsidP="00614CD5" w14:paraId="1B91D722" w14:textId="77777777">
      <w:pPr>
        <w:jc w:val="center"/>
        <w:rPr>
          <w:b/>
          <w:bCs/>
          <w:szCs w:val="24"/>
        </w:rPr>
      </w:pPr>
      <w:r w:rsidRPr="006E7CE1">
        <w:rPr>
          <w:b/>
          <w:bCs/>
          <w:szCs w:val="24"/>
        </w:rPr>
        <w:t>BY</w:t>
      </w:r>
    </w:p>
    <w:p w:rsidR="00EC7774" w:rsidRPr="006E7CE1" w:rsidP="00614CD5" w14:paraId="44F6EB9F" w14:textId="77777777">
      <w:pPr>
        <w:jc w:val="center"/>
        <w:rPr>
          <w:b/>
          <w:bCs/>
          <w:szCs w:val="24"/>
        </w:rPr>
      </w:pPr>
      <w:r w:rsidRPr="006E7CE1">
        <w:rPr>
          <w:b/>
          <w:bCs/>
          <w:szCs w:val="24"/>
        </w:rPr>
        <w:t>THE OFFICE OF THE OHIO CONSUMERS' COUNSEL</w:t>
      </w:r>
    </w:p>
    <w:p w:rsidR="00614CD5" w:rsidRPr="006E7CE1" w:rsidP="00614CD5" w14:paraId="4FBA1C69" w14:textId="77777777">
      <w:pPr>
        <w:pBdr>
          <w:bottom w:val="single" w:sz="12" w:space="1" w:color="auto"/>
        </w:pBdr>
        <w:tabs>
          <w:tab w:val="left" w:pos="4320"/>
        </w:tabs>
        <w:rPr>
          <w:szCs w:val="24"/>
        </w:rPr>
      </w:pPr>
    </w:p>
    <w:p w:rsidR="00614CD5" w:rsidRPr="006E7CE1" w:rsidP="00614CD5" w14:paraId="31E0C655" w14:textId="77777777">
      <w:pPr>
        <w:tabs>
          <w:tab w:val="left" w:pos="4320"/>
        </w:tabs>
        <w:rPr>
          <w:szCs w:val="24"/>
        </w:rPr>
      </w:pPr>
    </w:p>
    <w:p w:rsidR="00490A98" w:rsidRPr="006E7CE1" w:rsidP="00C87142" w14:paraId="4E6ACAFC" w14:textId="4E4759C1">
      <w:pPr>
        <w:pStyle w:val="BodyTextIndent3"/>
        <w:widowControl w:val="0"/>
        <w:numPr>
          <w:ilvl w:val="0"/>
          <w:numId w:val="9"/>
        </w:numPr>
        <w:spacing w:line="480" w:lineRule="auto"/>
        <w:ind w:left="720" w:right="-29"/>
        <w:rPr>
          <w:b/>
          <w:bCs/>
          <w:szCs w:val="24"/>
        </w:rPr>
      </w:pPr>
      <w:r w:rsidRPr="006E7CE1">
        <w:rPr>
          <w:b/>
          <w:bCs/>
          <w:szCs w:val="24"/>
        </w:rPr>
        <w:t>INTRODUCTION</w:t>
      </w:r>
    </w:p>
    <w:p w:rsidR="00F63F17" w:rsidP="006206BF" w14:paraId="5185924B" w14:textId="77777777">
      <w:pPr>
        <w:spacing w:line="480" w:lineRule="auto"/>
        <w:ind w:firstLine="720"/>
        <w:rPr>
          <w:szCs w:val="24"/>
        </w:rPr>
        <w:sectPr w:rsidSect="002B4D1F">
          <w:footerReference w:type="default" r:id="rId6"/>
          <w:footerReference w:type="first" r:id="rId7"/>
          <w:pgSz w:w="12240" w:h="15840"/>
          <w:pgMar w:top="1440" w:right="1800" w:bottom="1440" w:left="1800" w:header="720" w:footer="720" w:gutter="0"/>
          <w:cols w:space="720"/>
          <w:titlePg/>
          <w:docGrid w:linePitch="65"/>
        </w:sectPr>
      </w:pPr>
      <w:r w:rsidRPr="006E7CE1">
        <w:rPr>
          <w:szCs w:val="24"/>
        </w:rPr>
        <w:t xml:space="preserve">The Public Utilities PUCO of Ohio (“PUCO”) should protect the 1.9 million residential customers of </w:t>
      </w:r>
      <w:r w:rsidRPr="006E7CE1" w:rsidR="00F02534">
        <w:rPr>
          <w:szCs w:val="24"/>
        </w:rPr>
        <w:t xml:space="preserve">the </w:t>
      </w:r>
      <w:r w:rsidRPr="006E7CE1" w:rsidR="00CB695B">
        <w:rPr>
          <w:szCs w:val="24"/>
        </w:rPr>
        <w:t>FirstEnergy utilities</w:t>
      </w:r>
      <w:r>
        <w:rPr>
          <w:rStyle w:val="FootnoteReference"/>
          <w:szCs w:val="24"/>
        </w:rPr>
        <w:footnoteReference w:id="3"/>
      </w:r>
      <w:r w:rsidRPr="006E7CE1" w:rsidR="00A21F24">
        <w:rPr>
          <w:szCs w:val="24"/>
        </w:rPr>
        <w:t xml:space="preserve"> </w:t>
      </w:r>
      <w:r w:rsidRPr="006E7CE1" w:rsidR="002019D4">
        <w:rPr>
          <w:szCs w:val="24"/>
        </w:rPr>
        <w:t xml:space="preserve">by protecting customers </w:t>
      </w:r>
      <w:r w:rsidRPr="006E7CE1">
        <w:rPr>
          <w:szCs w:val="24"/>
        </w:rPr>
        <w:t>from</w:t>
      </w:r>
      <w:r w:rsidRPr="006E7CE1" w:rsidR="00CB695B">
        <w:rPr>
          <w:szCs w:val="24"/>
        </w:rPr>
        <w:t xml:space="preserve"> paying for </w:t>
      </w:r>
      <w:r w:rsidRPr="006E7CE1" w:rsidR="00FB3369">
        <w:rPr>
          <w:szCs w:val="24"/>
        </w:rPr>
        <w:t>$</w:t>
      </w:r>
      <w:r w:rsidRPr="006E7CE1" w:rsidR="00D336B4">
        <w:rPr>
          <w:szCs w:val="24"/>
        </w:rPr>
        <w:t xml:space="preserve">774,535 in 2018 </w:t>
      </w:r>
      <w:r w:rsidRPr="006E7CE1" w:rsidR="00CB695B">
        <w:rPr>
          <w:szCs w:val="24"/>
        </w:rPr>
        <w:t xml:space="preserve">costs that were not authorized as part of FirstEnergy’s </w:t>
      </w:r>
      <w:r w:rsidRPr="006E7CE1" w:rsidR="00970FDE">
        <w:rPr>
          <w:szCs w:val="24"/>
        </w:rPr>
        <w:t xml:space="preserve">Ohio Site </w:t>
      </w:r>
      <w:r w:rsidRPr="006E7CE1" w:rsidR="009F5382">
        <w:rPr>
          <w:szCs w:val="24"/>
        </w:rPr>
        <w:t>Deployment</w:t>
      </w:r>
      <w:r w:rsidRPr="006E7CE1" w:rsidR="00050325">
        <w:rPr>
          <w:szCs w:val="24"/>
        </w:rPr>
        <w:t xml:space="preserve"> </w:t>
      </w:r>
      <w:r w:rsidRPr="006E7CE1" w:rsidR="00CB695B">
        <w:rPr>
          <w:szCs w:val="24"/>
        </w:rPr>
        <w:t>pilot.</w:t>
      </w:r>
      <w:r>
        <w:rPr>
          <w:rStyle w:val="FootnoteReference"/>
          <w:szCs w:val="24"/>
        </w:rPr>
        <w:footnoteReference w:id="4"/>
      </w:r>
      <w:r w:rsidRPr="006E7CE1" w:rsidR="00CB695B">
        <w:rPr>
          <w:szCs w:val="24"/>
        </w:rPr>
        <w:t xml:space="preserve"> </w:t>
      </w:r>
      <w:r w:rsidRPr="006E7CE1" w:rsidR="002019D4">
        <w:rPr>
          <w:szCs w:val="24"/>
        </w:rPr>
        <w:t xml:space="preserve">The PUCO only approved the pilot program through </w:t>
      </w:r>
      <w:r w:rsidRPr="006E7CE1" w:rsidR="00A621D3">
        <w:rPr>
          <w:szCs w:val="24"/>
        </w:rPr>
        <w:t>June 1, 2019</w:t>
      </w:r>
      <w:r w:rsidRPr="006E7CE1" w:rsidR="00034782">
        <w:rPr>
          <w:szCs w:val="24"/>
        </w:rPr>
        <w:t xml:space="preserve">, </w:t>
      </w:r>
    </w:p>
    <w:p w:rsidR="00D21289" w:rsidRPr="006E7CE1" w:rsidP="00F63F17" w14:paraId="4FFF2F2C" w14:textId="61749BB0">
      <w:pPr>
        <w:spacing w:line="480" w:lineRule="auto"/>
        <w:rPr>
          <w:szCs w:val="24"/>
        </w:rPr>
      </w:pPr>
      <w:r w:rsidRPr="006E7CE1">
        <w:rPr>
          <w:szCs w:val="24"/>
        </w:rPr>
        <w:t xml:space="preserve">and only for </w:t>
      </w:r>
      <w:r w:rsidRPr="006E7CE1" w:rsidR="00B02814">
        <w:rPr>
          <w:szCs w:val="24"/>
        </w:rPr>
        <w:t>costs that were match</w:t>
      </w:r>
      <w:r w:rsidR="00D971FA">
        <w:rPr>
          <w:szCs w:val="24"/>
        </w:rPr>
        <w:t>ed</w:t>
      </w:r>
      <w:r w:rsidRPr="006E7CE1" w:rsidR="00B02814">
        <w:rPr>
          <w:szCs w:val="24"/>
        </w:rPr>
        <w:t xml:space="preserve"> by the Department of Energy</w:t>
      </w:r>
      <w:r w:rsidR="00D971FA">
        <w:rPr>
          <w:szCs w:val="24"/>
        </w:rPr>
        <w:t xml:space="preserve">.  Therefore, </w:t>
      </w:r>
      <w:r w:rsidRPr="006E7CE1" w:rsidR="002019D4">
        <w:rPr>
          <w:szCs w:val="24"/>
        </w:rPr>
        <w:t xml:space="preserve"> </w:t>
      </w:r>
      <w:r w:rsidRPr="006E7CE1" w:rsidR="00CB695B">
        <w:rPr>
          <w:szCs w:val="24"/>
        </w:rPr>
        <w:t xml:space="preserve"> customers should not have to pay for </w:t>
      </w:r>
      <w:r w:rsidRPr="006E7CE1" w:rsidR="002019D4">
        <w:rPr>
          <w:szCs w:val="24"/>
        </w:rPr>
        <w:t xml:space="preserve">any </w:t>
      </w:r>
      <w:r w:rsidRPr="006E7CE1" w:rsidR="00CB695B">
        <w:rPr>
          <w:szCs w:val="24"/>
        </w:rPr>
        <w:t>costs incurred by FirstEnergy after the pilot program ended</w:t>
      </w:r>
      <w:r w:rsidRPr="006E7CE1" w:rsidR="00D336B4">
        <w:rPr>
          <w:szCs w:val="24"/>
        </w:rPr>
        <w:t>, or for costs</w:t>
      </w:r>
      <w:r w:rsidR="00D971FA">
        <w:rPr>
          <w:szCs w:val="24"/>
        </w:rPr>
        <w:t xml:space="preserve"> the PUCO has not authorized</w:t>
      </w:r>
      <w:r w:rsidRPr="006E7CE1" w:rsidR="00CB695B">
        <w:rPr>
          <w:szCs w:val="24"/>
        </w:rPr>
        <w:t xml:space="preserve">. </w:t>
      </w:r>
      <w:r w:rsidRPr="006E7CE1" w:rsidR="009335EB">
        <w:rPr>
          <w:szCs w:val="24"/>
        </w:rPr>
        <w:t xml:space="preserve">Finally, </w:t>
      </w:r>
      <w:r w:rsidRPr="006E7CE1" w:rsidR="009F5382">
        <w:rPr>
          <w:szCs w:val="24"/>
        </w:rPr>
        <w:t>the PUCO</w:t>
      </w:r>
      <w:r w:rsidRPr="006E7CE1" w:rsidR="009335EB">
        <w:rPr>
          <w:szCs w:val="24"/>
        </w:rPr>
        <w:t xml:space="preserve"> should direct</w:t>
      </w:r>
      <w:r w:rsidRPr="006E7CE1" w:rsidR="009F5382">
        <w:rPr>
          <w:szCs w:val="24"/>
        </w:rPr>
        <w:t xml:space="preserve"> FirstEnergy</w:t>
      </w:r>
      <w:r w:rsidRPr="006E7CE1" w:rsidR="009335EB">
        <w:rPr>
          <w:szCs w:val="24"/>
        </w:rPr>
        <w:t xml:space="preserve"> to modify its Application and calculate the reductions of </w:t>
      </w:r>
      <w:r w:rsidRPr="006E7CE1" w:rsidR="009F5382">
        <w:rPr>
          <w:szCs w:val="24"/>
        </w:rPr>
        <w:t>its</w:t>
      </w:r>
      <w:r w:rsidRPr="006E7CE1" w:rsidR="009335EB">
        <w:rPr>
          <w:szCs w:val="24"/>
        </w:rPr>
        <w:t xml:space="preserve"> 2018 AMI revenue requirement </w:t>
      </w:r>
      <w:r w:rsidR="00D971FA">
        <w:rPr>
          <w:szCs w:val="24"/>
        </w:rPr>
        <w:t xml:space="preserve">based on the above recommendations </w:t>
      </w:r>
      <w:r w:rsidRPr="006E7CE1" w:rsidR="009335EB">
        <w:rPr>
          <w:szCs w:val="24"/>
        </w:rPr>
        <w:t xml:space="preserve">and return any resulting reductions in the 2018 Rider AMI charges to customers immediately through an adjustment </w:t>
      </w:r>
      <w:r w:rsidRPr="006E7CE1" w:rsidR="009D72ED">
        <w:rPr>
          <w:szCs w:val="24"/>
        </w:rPr>
        <w:t>to</w:t>
      </w:r>
      <w:r w:rsidRPr="006E7CE1" w:rsidR="009335EB">
        <w:rPr>
          <w:szCs w:val="24"/>
        </w:rPr>
        <w:t xml:space="preserve"> the </w:t>
      </w:r>
      <w:r w:rsidRPr="006E7CE1" w:rsidR="009D72ED">
        <w:rPr>
          <w:szCs w:val="24"/>
        </w:rPr>
        <w:t xml:space="preserve">2019 </w:t>
      </w:r>
      <w:r w:rsidRPr="006E7CE1" w:rsidR="009335EB">
        <w:rPr>
          <w:szCs w:val="24"/>
        </w:rPr>
        <w:t xml:space="preserve">AMI Rider charges to be collected in 2020. </w:t>
      </w:r>
      <w:r w:rsidRPr="006E7CE1" w:rsidR="00CB695B">
        <w:rPr>
          <w:szCs w:val="24"/>
        </w:rPr>
        <w:t xml:space="preserve">Doing so </w:t>
      </w:r>
      <w:r w:rsidRPr="006E7CE1">
        <w:rPr>
          <w:szCs w:val="24"/>
        </w:rPr>
        <w:t xml:space="preserve">is </w:t>
      </w:r>
      <w:r w:rsidRPr="006E7CE1" w:rsidR="00CB695B">
        <w:rPr>
          <w:szCs w:val="24"/>
        </w:rPr>
        <w:t xml:space="preserve">consistent with the PUCO Staff’s recommendation to exclude those costs from the charges to customers for the </w:t>
      </w:r>
      <w:r w:rsidRPr="006E7CE1" w:rsidR="00970FDE">
        <w:rPr>
          <w:szCs w:val="24"/>
        </w:rPr>
        <w:t xml:space="preserve">Ohio Site </w:t>
      </w:r>
      <w:r w:rsidRPr="006E7CE1" w:rsidR="009F5382">
        <w:rPr>
          <w:szCs w:val="24"/>
        </w:rPr>
        <w:t>Deployment</w:t>
      </w:r>
      <w:r w:rsidRPr="006E7CE1" w:rsidR="00970FDE">
        <w:rPr>
          <w:szCs w:val="24"/>
        </w:rPr>
        <w:t xml:space="preserve"> </w:t>
      </w:r>
      <w:r w:rsidRPr="006E7CE1">
        <w:rPr>
          <w:szCs w:val="24"/>
        </w:rPr>
        <w:t>pilot that were not matched by Department of Energy funds and were therefore unapproved</w:t>
      </w:r>
      <w:r w:rsidRPr="006E7CE1" w:rsidR="00CB695B">
        <w:rPr>
          <w:szCs w:val="24"/>
        </w:rPr>
        <w:t>.</w:t>
      </w:r>
    </w:p>
    <w:p w:rsidR="00627D01" w:rsidRPr="006E7CE1" w:rsidP="00627D01" w14:paraId="0D06E7D7" w14:textId="77777777">
      <w:pPr>
        <w:ind w:firstLine="720"/>
        <w:rPr>
          <w:szCs w:val="24"/>
        </w:rPr>
      </w:pPr>
    </w:p>
    <w:p w:rsidR="00A21F24" w:rsidRPr="006E7CE1" w:rsidP="003C520A" w14:paraId="3B0DE3A3" w14:textId="781BF14E">
      <w:pPr>
        <w:pStyle w:val="BodyTextIndent3"/>
        <w:widowControl w:val="0"/>
        <w:numPr>
          <w:ilvl w:val="0"/>
          <w:numId w:val="9"/>
        </w:numPr>
        <w:spacing w:line="480" w:lineRule="auto"/>
        <w:ind w:left="720" w:right="-24"/>
        <w:rPr>
          <w:b/>
          <w:bCs/>
          <w:szCs w:val="24"/>
        </w:rPr>
      </w:pPr>
      <w:r w:rsidRPr="006E7CE1">
        <w:rPr>
          <w:b/>
          <w:bCs/>
          <w:szCs w:val="24"/>
        </w:rPr>
        <w:t>RECOMMENDATIONS</w:t>
      </w:r>
    </w:p>
    <w:p w:rsidR="0067117C" w:rsidRPr="006E7CE1" w:rsidP="003C520A" w14:paraId="17B1CE5D" w14:textId="5F5DB431">
      <w:pPr>
        <w:pStyle w:val="BodyTextIndent3"/>
        <w:widowControl w:val="0"/>
        <w:numPr>
          <w:ilvl w:val="0"/>
          <w:numId w:val="10"/>
        </w:numPr>
        <w:spacing w:line="240" w:lineRule="auto"/>
        <w:ind w:left="1440" w:right="-24" w:hanging="720"/>
        <w:rPr>
          <w:b/>
          <w:bCs/>
          <w:szCs w:val="24"/>
        </w:rPr>
      </w:pPr>
      <w:r w:rsidRPr="006E7CE1">
        <w:rPr>
          <w:b/>
          <w:bCs/>
          <w:szCs w:val="24"/>
        </w:rPr>
        <w:t>T</w:t>
      </w:r>
      <w:r w:rsidRPr="006E7CE1" w:rsidR="00E665DC">
        <w:rPr>
          <w:b/>
          <w:bCs/>
          <w:szCs w:val="24"/>
        </w:rPr>
        <w:t xml:space="preserve">he PUCO should </w:t>
      </w:r>
      <w:r w:rsidRPr="006E7CE1" w:rsidR="002019D4">
        <w:rPr>
          <w:b/>
          <w:bCs/>
          <w:szCs w:val="24"/>
        </w:rPr>
        <w:t xml:space="preserve">protect consumers by </w:t>
      </w:r>
      <w:r w:rsidRPr="006E7CE1" w:rsidR="0081003F">
        <w:rPr>
          <w:b/>
          <w:bCs/>
          <w:szCs w:val="24"/>
        </w:rPr>
        <w:t>disallow</w:t>
      </w:r>
      <w:r w:rsidRPr="006E7CE1" w:rsidR="002019D4">
        <w:rPr>
          <w:b/>
          <w:bCs/>
          <w:szCs w:val="24"/>
        </w:rPr>
        <w:t>ing</w:t>
      </w:r>
      <w:r w:rsidRPr="006E7CE1" w:rsidR="0081003F">
        <w:rPr>
          <w:b/>
          <w:bCs/>
          <w:szCs w:val="24"/>
        </w:rPr>
        <w:t xml:space="preserve"> </w:t>
      </w:r>
      <w:r w:rsidRPr="006E7CE1" w:rsidR="002019D4">
        <w:rPr>
          <w:b/>
          <w:bCs/>
          <w:szCs w:val="24"/>
        </w:rPr>
        <w:t xml:space="preserve">unauthorized </w:t>
      </w:r>
      <w:r w:rsidRPr="006E7CE1">
        <w:rPr>
          <w:b/>
          <w:bCs/>
          <w:szCs w:val="24"/>
        </w:rPr>
        <w:t xml:space="preserve">charges </w:t>
      </w:r>
      <w:r w:rsidRPr="006E7CE1" w:rsidR="0081003F">
        <w:rPr>
          <w:b/>
          <w:bCs/>
          <w:szCs w:val="24"/>
        </w:rPr>
        <w:t xml:space="preserve">for </w:t>
      </w:r>
      <w:r w:rsidRPr="006E7CE1" w:rsidR="00F12E69">
        <w:rPr>
          <w:b/>
          <w:bCs/>
          <w:szCs w:val="24"/>
        </w:rPr>
        <w:t>FirstEnergy’s pilot program</w:t>
      </w:r>
      <w:r w:rsidRPr="006E7CE1" w:rsidR="00516C5D">
        <w:rPr>
          <w:b/>
          <w:bCs/>
          <w:szCs w:val="24"/>
        </w:rPr>
        <w:t xml:space="preserve"> </w:t>
      </w:r>
      <w:r w:rsidRPr="006E7CE1" w:rsidR="002019D4">
        <w:rPr>
          <w:b/>
          <w:bCs/>
          <w:szCs w:val="24"/>
        </w:rPr>
        <w:t>from being collected from FirstEnergy’s customers</w:t>
      </w:r>
      <w:r w:rsidRPr="006E7CE1" w:rsidR="005C3C88">
        <w:rPr>
          <w:b/>
          <w:bCs/>
          <w:szCs w:val="24"/>
        </w:rPr>
        <w:t>.</w:t>
      </w:r>
      <w:r w:rsidRPr="006E7CE1" w:rsidR="00490A98">
        <w:rPr>
          <w:b/>
          <w:bCs/>
          <w:szCs w:val="24"/>
        </w:rPr>
        <w:t xml:space="preserve"> </w:t>
      </w:r>
    </w:p>
    <w:p w:rsidR="00627D01" w:rsidRPr="006E7CE1" w:rsidP="00627D01" w14:paraId="7A40A31E" w14:textId="77777777">
      <w:pPr>
        <w:pStyle w:val="BodyTextIndent3"/>
        <w:widowControl w:val="0"/>
        <w:spacing w:line="240" w:lineRule="auto"/>
        <w:ind w:left="1440" w:right="-24" w:firstLine="0"/>
        <w:rPr>
          <w:b/>
          <w:bCs/>
          <w:szCs w:val="24"/>
        </w:rPr>
      </w:pPr>
    </w:p>
    <w:p w:rsidR="003D46E6" w:rsidRPr="006E7CE1" w:rsidP="004746A4" w14:paraId="47B4950F" w14:textId="47118388">
      <w:pPr>
        <w:pStyle w:val="Heading3"/>
        <w:rPr>
          <w:szCs w:val="24"/>
        </w:rPr>
      </w:pPr>
      <w:r w:rsidRPr="006E7CE1">
        <w:rPr>
          <w:szCs w:val="24"/>
        </w:rPr>
        <w:t>1.</w:t>
      </w:r>
      <w:r w:rsidRPr="006E7CE1">
        <w:rPr>
          <w:szCs w:val="24"/>
        </w:rPr>
        <w:tab/>
      </w:r>
      <w:r w:rsidRPr="006E7CE1" w:rsidR="00394098">
        <w:rPr>
          <w:szCs w:val="24"/>
        </w:rPr>
        <w:t>FirstEnergy</w:t>
      </w:r>
      <w:r w:rsidRPr="006E7CE1" w:rsidR="00F12E69">
        <w:rPr>
          <w:szCs w:val="24"/>
        </w:rPr>
        <w:t xml:space="preserve"> </w:t>
      </w:r>
      <w:r w:rsidRPr="006E7CE1" w:rsidR="002019D4">
        <w:rPr>
          <w:szCs w:val="24"/>
        </w:rPr>
        <w:t>should not</w:t>
      </w:r>
      <w:r w:rsidRPr="006E7CE1" w:rsidR="00F12E69">
        <w:rPr>
          <w:szCs w:val="24"/>
        </w:rPr>
        <w:t xml:space="preserve"> charge customers for </w:t>
      </w:r>
      <w:r w:rsidRPr="006E7CE1" w:rsidR="007E1E7A">
        <w:rPr>
          <w:szCs w:val="24"/>
        </w:rPr>
        <w:t>grid modernization</w:t>
      </w:r>
      <w:r w:rsidRPr="006E7CE1" w:rsidR="002019D4">
        <w:rPr>
          <w:szCs w:val="24"/>
        </w:rPr>
        <w:t xml:space="preserve"> expenses</w:t>
      </w:r>
      <w:r w:rsidRPr="006E7CE1" w:rsidR="00050325">
        <w:rPr>
          <w:szCs w:val="24"/>
        </w:rPr>
        <w:t xml:space="preserve"> that </w:t>
      </w:r>
      <w:r w:rsidRPr="006E7CE1" w:rsidR="007E1E7A">
        <w:rPr>
          <w:szCs w:val="24"/>
        </w:rPr>
        <w:t xml:space="preserve"> were not approved by the PUCO.</w:t>
      </w:r>
    </w:p>
    <w:p w:rsidR="00BD7036" w:rsidP="005D0EC7" w14:paraId="6B8BDBB0" w14:textId="77777777">
      <w:pPr>
        <w:pStyle w:val="BodyTextIndent3"/>
        <w:widowControl w:val="0"/>
        <w:spacing w:line="480" w:lineRule="auto"/>
        <w:ind w:right="-29"/>
        <w:rPr>
          <w:szCs w:val="24"/>
        </w:rPr>
        <w:sectPr w:rsidSect="002B4D1F">
          <w:footerReference w:type="first" r:id="rId8"/>
          <w:pgSz w:w="12240" w:h="15840"/>
          <w:pgMar w:top="1440" w:right="1800" w:bottom="1440" w:left="1800" w:header="720" w:footer="720" w:gutter="0"/>
          <w:cols w:space="720"/>
          <w:titlePg/>
          <w:docGrid w:linePitch="65"/>
        </w:sectPr>
      </w:pPr>
      <w:r w:rsidRPr="006E7CE1">
        <w:rPr>
          <w:szCs w:val="24"/>
        </w:rPr>
        <w:t>The PUCO allowed FirstEnergy to collect (through the rider) 100% of the on-going data collection and maintenance costs for the VOLT-VAR and Distribution Automation studies in the pilot service area after June 1, 2015.</w:t>
      </w:r>
      <w:r>
        <w:rPr>
          <w:rStyle w:val="FootnoteReference"/>
          <w:szCs w:val="24"/>
        </w:rPr>
        <w:footnoteReference w:id="5"/>
      </w:r>
      <w:r w:rsidRPr="006E7CE1">
        <w:rPr>
          <w:szCs w:val="24"/>
        </w:rPr>
        <w:t xml:space="preserve">  However, </w:t>
      </w:r>
      <w:r w:rsidRPr="006E7CE1" w:rsidR="00394098">
        <w:rPr>
          <w:szCs w:val="24"/>
        </w:rPr>
        <w:t>FirstEnergy</w:t>
      </w:r>
      <w:r w:rsidRPr="006E7CE1" w:rsidR="00C53EF3">
        <w:rPr>
          <w:szCs w:val="24"/>
        </w:rPr>
        <w:t xml:space="preserve"> argues that </w:t>
      </w:r>
      <w:r w:rsidRPr="006E7CE1" w:rsidR="00793093">
        <w:rPr>
          <w:szCs w:val="24"/>
        </w:rPr>
        <w:t>certain expenses (</w:t>
      </w:r>
      <w:r w:rsidRPr="006E7CE1" w:rsidR="00C53EF3">
        <w:rPr>
          <w:szCs w:val="24"/>
        </w:rPr>
        <w:t>capital installations totaling</w:t>
      </w:r>
      <w:r w:rsidRPr="006E7CE1" w:rsidR="00740350">
        <w:rPr>
          <w:szCs w:val="24"/>
        </w:rPr>
        <w:t xml:space="preserve"> $676,912</w:t>
      </w:r>
      <w:r w:rsidRPr="006E7CE1" w:rsidR="00793093">
        <w:rPr>
          <w:szCs w:val="24"/>
        </w:rPr>
        <w:t>)</w:t>
      </w:r>
      <w:r w:rsidRPr="006E7CE1" w:rsidR="00D25498">
        <w:rPr>
          <w:szCs w:val="24"/>
        </w:rPr>
        <w:t xml:space="preserve"> </w:t>
      </w:r>
      <w:r w:rsidRPr="006E7CE1" w:rsidR="00C53EF3">
        <w:rPr>
          <w:szCs w:val="24"/>
        </w:rPr>
        <w:t xml:space="preserve">were </w:t>
      </w:r>
      <w:r w:rsidR="00D971FA">
        <w:rPr>
          <w:szCs w:val="24"/>
        </w:rPr>
        <w:t xml:space="preserve">approved by the </w:t>
      </w:r>
      <w:r w:rsidRPr="006E7CE1" w:rsidR="00C53EF3">
        <w:rPr>
          <w:szCs w:val="24"/>
        </w:rPr>
        <w:t xml:space="preserve">PUCO </w:t>
      </w:r>
      <w:r w:rsidRPr="006E7CE1" w:rsidR="00D25498">
        <w:rPr>
          <w:szCs w:val="24"/>
        </w:rPr>
        <w:t xml:space="preserve">because </w:t>
      </w:r>
      <w:r w:rsidRPr="006E7CE1" w:rsidR="00685B07">
        <w:rPr>
          <w:szCs w:val="24"/>
        </w:rPr>
        <w:t>they were “data collection” expenses.</w:t>
      </w:r>
      <w:r>
        <w:rPr>
          <w:rStyle w:val="FootnoteReference"/>
          <w:szCs w:val="24"/>
        </w:rPr>
        <w:footnoteReference w:id="6"/>
      </w:r>
      <w:r w:rsidRPr="006E7CE1" w:rsidR="00685B07">
        <w:rPr>
          <w:szCs w:val="24"/>
        </w:rPr>
        <w:t xml:space="preserve"> </w:t>
      </w:r>
      <w:r w:rsidRPr="006E7CE1" w:rsidR="00F12E69">
        <w:rPr>
          <w:szCs w:val="24"/>
        </w:rPr>
        <w:t xml:space="preserve">FirstEnergy defines “data </w:t>
      </w:r>
    </w:p>
    <w:p w:rsidR="004746A4" w:rsidRPr="006E7CE1" w:rsidP="00BD7036" w14:paraId="3388F112" w14:textId="52E663B4">
      <w:pPr>
        <w:pStyle w:val="BodyTextIndent3"/>
        <w:widowControl w:val="0"/>
        <w:spacing w:line="480" w:lineRule="auto"/>
        <w:ind w:right="-29" w:firstLine="0"/>
        <w:rPr>
          <w:szCs w:val="24"/>
        </w:rPr>
      </w:pPr>
      <w:r w:rsidRPr="006E7CE1">
        <w:rPr>
          <w:szCs w:val="24"/>
        </w:rPr>
        <w:t>collection” expenses as including communication backhaul, servers, software upgrades, and field devices such as reclosers.</w:t>
      </w:r>
      <w:r>
        <w:rPr>
          <w:rStyle w:val="FootnoteReference"/>
          <w:szCs w:val="24"/>
        </w:rPr>
        <w:footnoteReference w:id="7"/>
      </w:r>
      <w:r w:rsidRPr="006E7CE1">
        <w:rPr>
          <w:szCs w:val="24"/>
        </w:rPr>
        <w:t xml:space="preserve"> </w:t>
      </w:r>
    </w:p>
    <w:p w:rsidR="004746A4" w:rsidRPr="006E7CE1" w:rsidP="005D0EC7" w14:paraId="08D31271" w14:textId="680D3565">
      <w:pPr>
        <w:pStyle w:val="BodyTextIndent3"/>
        <w:widowControl w:val="0"/>
        <w:spacing w:line="480" w:lineRule="auto"/>
        <w:ind w:right="-29"/>
        <w:rPr>
          <w:szCs w:val="24"/>
        </w:rPr>
      </w:pPr>
      <w:r w:rsidRPr="006E7CE1">
        <w:rPr>
          <w:szCs w:val="24"/>
        </w:rPr>
        <w:t xml:space="preserve">In this case, </w:t>
      </w:r>
      <w:r w:rsidRPr="006E7CE1" w:rsidR="007E59AD">
        <w:rPr>
          <w:szCs w:val="24"/>
        </w:rPr>
        <w:t xml:space="preserve">FirstEnergy has provided no evidence that these </w:t>
      </w:r>
      <w:r w:rsidRPr="006E7CE1" w:rsidR="00050325">
        <w:rPr>
          <w:szCs w:val="24"/>
        </w:rPr>
        <w:t xml:space="preserve">additional </w:t>
      </w:r>
      <w:r w:rsidRPr="006E7CE1" w:rsidR="007E59AD">
        <w:rPr>
          <w:szCs w:val="24"/>
        </w:rPr>
        <w:t>expenses were directly related to “data collection” for its studies</w:t>
      </w:r>
      <w:r w:rsidR="00D971FA">
        <w:rPr>
          <w:szCs w:val="24"/>
        </w:rPr>
        <w:t xml:space="preserve"> </w:t>
      </w:r>
      <w:r w:rsidRPr="006E7CE1" w:rsidR="007E59AD">
        <w:rPr>
          <w:szCs w:val="24"/>
        </w:rPr>
        <w:t>therefore they cannot be “PUCO Approved.”</w:t>
      </w:r>
      <w:r w:rsidRPr="006E7CE1" w:rsidR="00F37991">
        <w:rPr>
          <w:szCs w:val="24"/>
        </w:rPr>
        <w:t xml:space="preserve"> </w:t>
      </w:r>
      <w:r w:rsidRPr="006E7CE1" w:rsidR="00D21289">
        <w:rPr>
          <w:szCs w:val="24"/>
        </w:rPr>
        <w:t xml:space="preserve">Expenses that are not PUCO approved </w:t>
      </w:r>
      <w:r w:rsidRPr="006E7CE1" w:rsidR="00050325">
        <w:rPr>
          <w:szCs w:val="24"/>
        </w:rPr>
        <w:t>are neither</w:t>
      </w:r>
      <w:r w:rsidRPr="006E7CE1" w:rsidR="00D21289">
        <w:rPr>
          <w:szCs w:val="24"/>
        </w:rPr>
        <w:t xml:space="preserve"> prudent, just, </w:t>
      </w:r>
      <w:r w:rsidRPr="006E7CE1" w:rsidR="00050325">
        <w:rPr>
          <w:szCs w:val="24"/>
        </w:rPr>
        <w:t xml:space="preserve">nor </w:t>
      </w:r>
      <w:r w:rsidRPr="006E7CE1" w:rsidR="00D21289">
        <w:rPr>
          <w:szCs w:val="24"/>
        </w:rPr>
        <w:t>reasonable.</w:t>
      </w:r>
      <w:r>
        <w:rPr>
          <w:rStyle w:val="FootnoteReference"/>
          <w:szCs w:val="24"/>
        </w:rPr>
        <w:footnoteReference w:id="8"/>
      </w:r>
      <w:r w:rsidRPr="006E7CE1" w:rsidR="00394098">
        <w:rPr>
          <w:szCs w:val="24"/>
        </w:rPr>
        <w:t xml:space="preserve"> And FirstEnergy</w:t>
      </w:r>
      <w:r w:rsidRPr="006E7CE1" w:rsidR="003B0465">
        <w:rPr>
          <w:szCs w:val="24"/>
        </w:rPr>
        <w:t xml:space="preserve"> has the burden of proof to justify that its expenses are prudent, just, </w:t>
      </w:r>
      <w:r w:rsidRPr="006E7CE1" w:rsidR="005C2DD7">
        <w:rPr>
          <w:szCs w:val="24"/>
        </w:rPr>
        <w:t xml:space="preserve">and </w:t>
      </w:r>
      <w:r w:rsidRPr="006E7CE1" w:rsidR="003B0465">
        <w:rPr>
          <w:szCs w:val="24"/>
        </w:rPr>
        <w:t xml:space="preserve">reasonable. </w:t>
      </w:r>
      <w:r w:rsidR="00D971FA">
        <w:rPr>
          <w:szCs w:val="24"/>
        </w:rPr>
        <w:t>FirstEnergy cannot meet that burden</w:t>
      </w:r>
      <w:r w:rsidR="00864998">
        <w:rPr>
          <w:szCs w:val="24"/>
        </w:rPr>
        <w:t>.</w:t>
      </w:r>
    </w:p>
    <w:p w:rsidR="008015AB" w:rsidRPr="006E7CE1" w:rsidP="005D0EC7" w14:paraId="04A0882B" w14:textId="7CEC14A1">
      <w:pPr>
        <w:pStyle w:val="BodyTextIndent3"/>
        <w:widowControl w:val="0"/>
        <w:spacing w:line="480" w:lineRule="auto"/>
        <w:ind w:right="-29"/>
        <w:rPr>
          <w:szCs w:val="24"/>
        </w:rPr>
      </w:pPr>
      <w:r w:rsidRPr="006E7CE1">
        <w:rPr>
          <w:szCs w:val="24"/>
        </w:rPr>
        <w:t xml:space="preserve">Additionally, </w:t>
      </w:r>
      <w:r w:rsidRPr="006E7CE1" w:rsidR="003D153B">
        <w:rPr>
          <w:szCs w:val="24"/>
        </w:rPr>
        <w:t>FirstEnergy admit</w:t>
      </w:r>
      <w:r w:rsidRPr="006E7CE1">
        <w:rPr>
          <w:szCs w:val="24"/>
        </w:rPr>
        <w:t>ted</w:t>
      </w:r>
      <w:r w:rsidRPr="006E7CE1" w:rsidR="003D153B">
        <w:rPr>
          <w:szCs w:val="24"/>
        </w:rPr>
        <w:t xml:space="preserve"> in its comments that in 2018 it expanded </w:t>
      </w:r>
      <w:r w:rsidRPr="006E7CE1" w:rsidR="003C28C1">
        <w:rPr>
          <w:szCs w:val="24"/>
        </w:rPr>
        <w:t xml:space="preserve">(without PUCO approval) </w:t>
      </w:r>
      <w:r w:rsidRPr="006E7CE1" w:rsidR="003D153B">
        <w:rPr>
          <w:szCs w:val="24"/>
        </w:rPr>
        <w:t>the footprint of its Ohio Site Deployment Pilot program.</w:t>
      </w:r>
      <w:r>
        <w:rPr>
          <w:rStyle w:val="FootnoteReference"/>
          <w:szCs w:val="24"/>
        </w:rPr>
        <w:footnoteReference w:id="9"/>
      </w:r>
      <w:r w:rsidRPr="006E7CE1" w:rsidR="003D153B">
        <w:rPr>
          <w:szCs w:val="24"/>
        </w:rPr>
        <w:t xml:space="preserve"> The PUCO </w:t>
      </w:r>
      <w:r w:rsidRPr="006E7CE1" w:rsidR="00A06F12">
        <w:rPr>
          <w:szCs w:val="24"/>
        </w:rPr>
        <w:t>simply d</w:t>
      </w:r>
      <w:r w:rsidRPr="006E7CE1" w:rsidR="003D153B">
        <w:rPr>
          <w:szCs w:val="24"/>
        </w:rPr>
        <w:t xml:space="preserve">id not authorize an expansion of the pilot program </w:t>
      </w:r>
      <w:r w:rsidRPr="006E7CE1" w:rsidR="00090C53">
        <w:rPr>
          <w:szCs w:val="24"/>
        </w:rPr>
        <w:t xml:space="preserve">and the purchase of additional equipment to support the </w:t>
      </w:r>
      <w:r w:rsidRPr="006E7CE1" w:rsidR="00050325">
        <w:rPr>
          <w:szCs w:val="24"/>
        </w:rPr>
        <w:t xml:space="preserve">expansion of </w:t>
      </w:r>
      <w:r w:rsidRPr="006E7CE1" w:rsidR="00970FDE">
        <w:rPr>
          <w:szCs w:val="24"/>
        </w:rPr>
        <w:t xml:space="preserve">the </w:t>
      </w:r>
      <w:r w:rsidRPr="006E7CE1" w:rsidR="00090C53">
        <w:rPr>
          <w:szCs w:val="24"/>
        </w:rPr>
        <w:t>pilot program.</w:t>
      </w:r>
      <w:r>
        <w:rPr>
          <w:rStyle w:val="FootnoteReference"/>
          <w:szCs w:val="24"/>
        </w:rPr>
        <w:footnoteReference w:id="10"/>
      </w:r>
      <w:r w:rsidRPr="006E7CE1" w:rsidR="00090C53">
        <w:rPr>
          <w:szCs w:val="24"/>
        </w:rPr>
        <w:t xml:space="preserve"> </w:t>
      </w:r>
      <w:r w:rsidRPr="006E7CE1" w:rsidR="00FB57D5">
        <w:rPr>
          <w:szCs w:val="24"/>
        </w:rPr>
        <w:t>These unapproved expansion costs should be refunded to consumers through an adjustment to the 2019 Ride</w:t>
      </w:r>
      <w:r w:rsidRPr="006E7CE1" w:rsidR="00EB256B">
        <w:rPr>
          <w:szCs w:val="24"/>
        </w:rPr>
        <w:t>r</w:t>
      </w:r>
      <w:r w:rsidRPr="006E7CE1" w:rsidR="00FB57D5">
        <w:rPr>
          <w:szCs w:val="24"/>
        </w:rPr>
        <w:t xml:space="preserve"> AMI charges to be collected in 2020.</w:t>
      </w:r>
    </w:p>
    <w:p w:rsidR="00644482" w:rsidRPr="006E7CE1" w:rsidP="005D0EC7" w14:paraId="5B25C006" w14:textId="151DBE17">
      <w:pPr>
        <w:pStyle w:val="BodyTextIndent3"/>
        <w:widowControl w:val="0"/>
        <w:spacing w:line="480" w:lineRule="auto"/>
        <w:ind w:right="-29"/>
        <w:rPr>
          <w:szCs w:val="24"/>
        </w:rPr>
      </w:pPr>
      <w:r w:rsidRPr="006E7CE1">
        <w:rPr>
          <w:szCs w:val="24"/>
        </w:rPr>
        <w:t xml:space="preserve">The PUCO should accept </w:t>
      </w:r>
      <w:r w:rsidRPr="006E7CE1" w:rsidR="001F6846">
        <w:rPr>
          <w:szCs w:val="24"/>
        </w:rPr>
        <w:t xml:space="preserve">OCC’s and </w:t>
      </w:r>
      <w:r w:rsidRPr="006E7CE1">
        <w:rPr>
          <w:szCs w:val="24"/>
        </w:rPr>
        <w:t xml:space="preserve">its Staff’s recommendation to disallow </w:t>
      </w:r>
      <w:r w:rsidRPr="006E7CE1" w:rsidR="00394098">
        <w:rPr>
          <w:szCs w:val="24"/>
        </w:rPr>
        <w:t>FirstEnergy</w:t>
      </w:r>
      <w:r w:rsidRPr="006E7CE1">
        <w:rPr>
          <w:szCs w:val="24"/>
        </w:rPr>
        <w:t xml:space="preserve">’s </w:t>
      </w:r>
      <w:r w:rsidRPr="006E7CE1" w:rsidR="00090C53">
        <w:rPr>
          <w:szCs w:val="24"/>
        </w:rPr>
        <w:t xml:space="preserve">unauthorized pilot program expansion </w:t>
      </w:r>
      <w:r w:rsidRPr="006E7CE1" w:rsidR="00FA5BB8">
        <w:rPr>
          <w:szCs w:val="24"/>
        </w:rPr>
        <w:t>expenses totaling $676,912</w:t>
      </w:r>
      <w:r w:rsidRPr="006E7CE1" w:rsidR="00637D58">
        <w:rPr>
          <w:szCs w:val="24"/>
        </w:rPr>
        <w:t xml:space="preserve">. The PUCO should also require FirstEnergy to calculate the costs for its </w:t>
      </w:r>
      <w:r w:rsidRPr="006E7CE1" w:rsidR="00FB57D5">
        <w:rPr>
          <w:szCs w:val="24"/>
        </w:rPr>
        <w:t xml:space="preserve">unapproved </w:t>
      </w:r>
      <w:r w:rsidRPr="006E7CE1" w:rsidR="00EB256B">
        <w:rPr>
          <w:szCs w:val="24"/>
        </w:rPr>
        <w:t xml:space="preserve">2018 “expansion” </w:t>
      </w:r>
      <w:r w:rsidRPr="006E7CE1" w:rsidR="00637D58">
        <w:rPr>
          <w:szCs w:val="24"/>
        </w:rPr>
        <w:t xml:space="preserve">and refund those charges to </w:t>
      </w:r>
      <w:r w:rsidRPr="006E7CE1" w:rsidR="00CD2BEF">
        <w:rPr>
          <w:szCs w:val="24"/>
        </w:rPr>
        <w:t>consumers to</w:t>
      </w:r>
      <w:r w:rsidRPr="006E7CE1" w:rsidR="00050325">
        <w:rPr>
          <w:szCs w:val="24"/>
        </w:rPr>
        <w:t xml:space="preserve"> </w:t>
      </w:r>
      <w:r w:rsidRPr="006E7CE1" w:rsidR="00FA5BB8">
        <w:rPr>
          <w:szCs w:val="24"/>
        </w:rPr>
        <w:t>protect consumers for overpaying for their electric service.</w:t>
      </w:r>
    </w:p>
    <w:p w:rsidR="008717BD" w:rsidP="004746A4" w14:paraId="318B4DBF" w14:textId="77777777">
      <w:pPr>
        <w:pStyle w:val="Heading3"/>
        <w:rPr>
          <w:szCs w:val="24"/>
        </w:rPr>
        <w:sectPr w:rsidSect="002B4D1F">
          <w:pgSz w:w="12240" w:h="15840"/>
          <w:pgMar w:top="1440" w:right="1800" w:bottom="1440" w:left="1800" w:header="720" w:footer="720" w:gutter="0"/>
          <w:cols w:space="720"/>
          <w:titlePg/>
          <w:docGrid w:linePitch="65"/>
        </w:sectPr>
      </w:pPr>
    </w:p>
    <w:p w:rsidR="009E2F30" w:rsidRPr="006E7CE1" w:rsidP="004746A4" w14:paraId="2F63C7FF" w14:textId="7C0D9EA0">
      <w:pPr>
        <w:pStyle w:val="Heading3"/>
        <w:rPr>
          <w:szCs w:val="24"/>
        </w:rPr>
      </w:pPr>
      <w:r w:rsidRPr="006E7CE1">
        <w:rPr>
          <w:szCs w:val="24"/>
        </w:rPr>
        <w:t>2.</w:t>
      </w:r>
      <w:r w:rsidRPr="006E7CE1">
        <w:rPr>
          <w:szCs w:val="24"/>
        </w:rPr>
        <w:tab/>
      </w:r>
      <w:r w:rsidRPr="006E7CE1" w:rsidR="004746A4">
        <w:rPr>
          <w:szCs w:val="24"/>
        </w:rPr>
        <w:t xml:space="preserve">Customers should not be charged for </w:t>
      </w:r>
      <w:r w:rsidRPr="006E7CE1" w:rsidR="00821BC3">
        <w:rPr>
          <w:szCs w:val="24"/>
        </w:rPr>
        <w:t>FirstEnergy’s</w:t>
      </w:r>
      <w:r w:rsidRPr="006E7CE1" w:rsidR="00305C41">
        <w:rPr>
          <w:szCs w:val="24"/>
        </w:rPr>
        <w:t xml:space="preserve"> capital installation costs </w:t>
      </w:r>
      <w:r w:rsidRPr="006E7CE1" w:rsidR="004746A4">
        <w:rPr>
          <w:szCs w:val="24"/>
        </w:rPr>
        <w:t xml:space="preserve">that </w:t>
      </w:r>
      <w:r w:rsidRPr="006E7CE1" w:rsidR="00821BC3">
        <w:rPr>
          <w:szCs w:val="24"/>
        </w:rPr>
        <w:t>were</w:t>
      </w:r>
      <w:r w:rsidRPr="006E7CE1" w:rsidR="00305C41">
        <w:rPr>
          <w:szCs w:val="24"/>
        </w:rPr>
        <w:t xml:space="preserve"> not </w:t>
      </w:r>
      <w:r w:rsidRPr="006E7CE1" w:rsidR="0032573E">
        <w:rPr>
          <w:szCs w:val="24"/>
        </w:rPr>
        <w:t>“</w:t>
      </w:r>
      <w:r w:rsidRPr="006E7CE1">
        <w:rPr>
          <w:szCs w:val="24"/>
        </w:rPr>
        <w:t>expressly</w:t>
      </w:r>
      <w:r w:rsidRPr="006E7CE1" w:rsidR="0032573E">
        <w:rPr>
          <w:szCs w:val="24"/>
        </w:rPr>
        <w:t>”</w:t>
      </w:r>
      <w:r w:rsidRPr="006E7CE1">
        <w:rPr>
          <w:szCs w:val="24"/>
        </w:rPr>
        <w:t xml:space="preserve"> </w:t>
      </w:r>
      <w:r w:rsidRPr="006E7CE1" w:rsidR="004746A4">
        <w:rPr>
          <w:szCs w:val="24"/>
        </w:rPr>
        <w:t>approved for collection from customers</w:t>
      </w:r>
      <w:r w:rsidRPr="006E7CE1">
        <w:rPr>
          <w:szCs w:val="24"/>
        </w:rPr>
        <w:t xml:space="preserve"> in Rider AMI</w:t>
      </w:r>
      <w:r w:rsidRPr="006E7CE1" w:rsidR="00C91F8D">
        <w:rPr>
          <w:szCs w:val="24"/>
        </w:rPr>
        <w:t xml:space="preserve"> </w:t>
      </w:r>
      <w:r w:rsidRPr="006E7CE1" w:rsidR="004746A4">
        <w:rPr>
          <w:szCs w:val="24"/>
        </w:rPr>
        <w:t xml:space="preserve">because they did not meet </w:t>
      </w:r>
      <w:r w:rsidRPr="006E7CE1" w:rsidR="00C91F8D">
        <w:rPr>
          <w:szCs w:val="24"/>
        </w:rPr>
        <w:t xml:space="preserve">the PUCO’s </w:t>
      </w:r>
      <w:r w:rsidRPr="006E7CE1" w:rsidR="00C46633">
        <w:rPr>
          <w:szCs w:val="24"/>
        </w:rPr>
        <w:t>Department of Energy (“</w:t>
      </w:r>
      <w:r w:rsidRPr="006E7CE1" w:rsidR="00C91F8D">
        <w:rPr>
          <w:szCs w:val="24"/>
        </w:rPr>
        <w:t>DOE</w:t>
      </w:r>
      <w:r w:rsidRPr="006E7CE1" w:rsidR="00C46633">
        <w:rPr>
          <w:szCs w:val="24"/>
        </w:rPr>
        <w:t>”)</w:t>
      </w:r>
      <w:r w:rsidRPr="006E7CE1" w:rsidR="00C91F8D">
        <w:rPr>
          <w:szCs w:val="24"/>
        </w:rPr>
        <w:t xml:space="preserve"> match requirement.</w:t>
      </w:r>
    </w:p>
    <w:p w:rsidR="003A29A3" w:rsidRPr="006E7CE1" w:rsidP="00D501BB" w14:paraId="68C915C6" w14:textId="1A639179">
      <w:pPr>
        <w:spacing w:line="480" w:lineRule="auto"/>
        <w:ind w:firstLine="720"/>
        <w:rPr>
          <w:szCs w:val="24"/>
        </w:rPr>
      </w:pPr>
      <w:r w:rsidRPr="006E7CE1">
        <w:rPr>
          <w:szCs w:val="24"/>
        </w:rPr>
        <w:t>The OCC in its initial comments explained that when the PUCO approved</w:t>
      </w:r>
      <w:r w:rsidRPr="006E7CE1" w:rsidR="001A17A8">
        <w:rPr>
          <w:szCs w:val="24"/>
        </w:rPr>
        <w:t xml:space="preserve"> FirstEnergy’s original application </w:t>
      </w:r>
      <w:r w:rsidRPr="006E7CE1" w:rsidR="00136575">
        <w:rPr>
          <w:szCs w:val="24"/>
        </w:rPr>
        <w:t>for</w:t>
      </w:r>
      <w:r w:rsidRPr="006E7CE1" w:rsidR="001A17A8">
        <w:rPr>
          <w:szCs w:val="24"/>
        </w:rPr>
        <w:t xml:space="preserve"> the establishment of the Ohio Site Development of the smart grid initiative, the PUCO ordered that “the Companies shall not complete any part of the Ohio Site Development that the </w:t>
      </w:r>
      <w:r w:rsidRPr="006E7CE1">
        <w:rPr>
          <w:szCs w:val="24"/>
        </w:rPr>
        <w:t>United</w:t>
      </w:r>
      <w:r w:rsidRPr="006E7CE1" w:rsidR="001A17A8">
        <w:rPr>
          <w:szCs w:val="24"/>
        </w:rPr>
        <w:t xml:space="preserve"> States </w:t>
      </w:r>
      <w:r w:rsidRPr="006E7CE1">
        <w:rPr>
          <w:szCs w:val="24"/>
        </w:rPr>
        <w:t>Department</w:t>
      </w:r>
      <w:r w:rsidRPr="006E7CE1" w:rsidR="001A17A8">
        <w:rPr>
          <w:szCs w:val="24"/>
        </w:rPr>
        <w:t xml:space="preserve"> of Energy (DOE) does not match </w:t>
      </w:r>
      <w:r w:rsidRPr="006E7CE1">
        <w:rPr>
          <w:szCs w:val="24"/>
        </w:rPr>
        <w:t>funding</w:t>
      </w:r>
      <w:r w:rsidRPr="006E7CE1" w:rsidR="001A17A8">
        <w:rPr>
          <w:szCs w:val="24"/>
        </w:rPr>
        <w:t xml:space="preserve"> in equal amount.</w:t>
      </w:r>
      <w:r w:rsidRPr="006E7CE1">
        <w:rPr>
          <w:szCs w:val="24"/>
        </w:rPr>
        <w:t>”</w:t>
      </w:r>
      <w:r>
        <w:rPr>
          <w:rStyle w:val="FootnoteReference"/>
          <w:szCs w:val="24"/>
        </w:rPr>
        <w:footnoteReference w:id="11"/>
      </w:r>
      <w:r w:rsidRPr="006E7CE1" w:rsidR="0046703B">
        <w:rPr>
          <w:szCs w:val="24"/>
        </w:rPr>
        <w:t xml:space="preserve"> But FirstEnergy now claims that the PUCO’s </w:t>
      </w:r>
      <w:r w:rsidRPr="006E7CE1" w:rsidR="00136575">
        <w:rPr>
          <w:szCs w:val="24"/>
        </w:rPr>
        <w:t>condition no longer applies after its later approval of Rider AMI.</w:t>
      </w:r>
      <w:r>
        <w:rPr>
          <w:rStyle w:val="FootnoteReference"/>
          <w:szCs w:val="24"/>
        </w:rPr>
        <w:footnoteReference w:id="12"/>
      </w:r>
      <w:r w:rsidRPr="006E7CE1" w:rsidR="00136575">
        <w:rPr>
          <w:szCs w:val="24"/>
        </w:rPr>
        <w:t xml:space="preserve"> FirstEnergy is mistaken.</w:t>
      </w:r>
    </w:p>
    <w:p w:rsidR="004E2CFD" w:rsidRPr="006E7CE1" w:rsidP="00D501BB" w14:paraId="41BA76EB" w14:textId="1790E6C9">
      <w:pPr>
        <w:spacing w:line="480" w:lineRule="auto"/>
        <w:ind w:firstLine="720"/>
        <w:rPr>
          <w:szCs w:val="24"/>
        </w:rPr>
      </w:pPr>
      <w:r w:rsidRPr="006E7CE1">
        <w:rPr>
          <w:szCs w:val="24"/>
        </w:rPr>
        <w:t>FirstEnergy</w:t>
      </w:r>
      <w:r w:rsidRPr="006E7CE1" w:rsidR="00E56C2D">
        <w:rPr>
          <w:szCs w:val="24"/>
        </w:rPr>
        <w:t xml:space="preserve"> asserts that its costs are </w:t>
      </w:r>
      <w:r w:rsidRPr="006E7CE1" w:rsidR="0032573E">
        <w:rPr>
          <w:szCs w:val="24"/>
        </w:rPr>
        <w:t>“</w:t>
      </w:r>
      <w:r w:rsidRPr="006E7CE1" w:rsidR="00E56C2D">
        <w:rPr>
          <w:szCs w:val="24"/>
        </w:rPr>
        <w:t>expressly</w:t>
      </w:r>
      <w:r w:rsidRPr="006E7CE1" w:rsidR="0032573E">
        <w:rPr>
          <w:szCs w:val="24"/>
        </w:rPr>
        <w:t>”</w:t>
      </w:r>
      <w:r w:rsidRPr="006E7CE1" w:rsidR="00E56C2D">
        <w:rPr>
          <w:szCs w:val="24"/>
        </w:rPr>
        <w:t xml:space="preserve"> permitted in its </w:t>
      </w:r>
      <w:r w:rsidRPr="006E7CE1" w:rsidR="00F00110">
        <w:rPr>
          <w:szCs w:val="24"/>
        </w:rPr>
        <w:t>PUCO approved Rider A</w:t>
      </w:r>
      <w:r w:rsidRPr="006E7CE1" w:rsidR="00305C41">
        <w:rPr>
          <w:szCs w:val="24"/>
        </w:rPr>
        <w:t>MI</w:t>
      </w:r>
      <w:r w:rsidRPr="006E7CE1" w:rsidR="00F00110">
        <w:rPr>
          <w:szCs w:val="24"/>
        </w:rPr>
        <w:t>.</w:t>
      </w:r>
      <w:r>
        <w:rPr>
          <w:rStyle w:val="FootnoteReference"/>
          <w:szCs w:val="24"/>
        </w:rPr>
        <w:footnoteReference w:id="13"/>
      </w:r>
      <w:r w:rsidRPr="006E7CE1" w:rsidR="00F00110">
        <w:rPr>
          <w:szCs w:val="24"/>
        </w:rPr>
        <w:t xml:space="preserve"> </w:t>
      </w:r>
      <w:r w:rsidRPr="006E7CE1" w:rsidR="00632226">
        <w:rPr>
          <w:szCs w:val="24"/>
        </w:rPr>
        <w:t xml:space="preserve">But </w:t>
      </w:r>
      <w:r w:rsidRPr="006E7CE1">
        <w:rPr>
          <w:szCs w:val="24"/>
        </w:rPr>
        <w:t>FirstEnergy</w:t>
      </w:r>
      <w:r w:rsidRPr="006E7CE1" w:rsidR="00632226">
        <w:rPr>
          <w:szCs w:val="24"/>
        </w:rPr>
        <w:t xml:space="preserve"> provided no citation for this </w:t>
      </w:r>
      <w:r w:rsidRPr="006E7CE1" w:rsidR="00A91833">
        <w:rPr>
          <w:szCs w:val="24"/>
        </w:rPr>
        <w:t>“</w:t>
      </w:r>
      <w:r w:rsidRPr="006E7CE1" w:rsidR="00632226">
        <w:rPr>
          <w:szCs w:val="24"/>
        </w:rPr>
        <w:t>express</w:t>
      </w:r>
      <w:r w:rsidRPr="006E7CE1" w:rsidR="00A91833">
        <w:rPr>
          <w:szCs w:val="24"/>
        </w:rPr>
        <w:t>”</w:t>
      </w:r>
      <w:r w:rsidRPr="006E7CE1" w:rsidR="00632226">
        <w:rPr>
          <w:szCs w:val="24"/>
        </w:rPr>
        <w:t xml:space="preserve"> permission. </w:t>
      </w:r>
      <w:r w:rsidRPr="006E7CE1" w:rsidR="009F1599">
        <w:rPr>
          <w:szCs w:val="24"/>
        </w:rPr>
        <w:t xml:space="preserve">Instead, </w:t>
      </w:r>
      <w:r w:rsidRPr="006E7CE1">
        <w:rPr>
          <w:szCs w:val="24"/>
        </w:rPr>
        <w:t>FirstEnergy</w:t>
      </w:r>
      <w:r w:rsidRPr="006E7CE1" w:rsidR="002C2B7A">
        <w:rPr>
          <w:szCs w:val="24"/>
        </w:rPr>
        <w:t xml:space="preserve"> rests on the notion that </w:t>
      </w:r>
      <w:r w:rsidRPr="006E7CE1" w:rsidR="000B3429">
        <w:rPr>
          <w:szCs w:val="24"/>
        </w:rPr>
        <w:t xml:space="preserve">its </w:t>
      </w:r>
      <w:r w:rsidRPr="006E7CE1" w:rsidR="00740068">
        <w:rPr>
          <w:szCs w:val="24"/>
        </w:rPr>
        <w:t xml:space="preserve">PUCO </w:t>
      </w:r>
      <w:r w:rsidRPr="006E7CE1" w:rsidR="006827A1">
        <w:rPr>
          <w:szCs w:val="24"/>
        </w:rPr>
        <w:t xml:space="preserve">approved tariff language </w:t>
      </w:r>
      <w:r w:rsidRPr="006E7CE1" w:rsidR="00136575">
        <w:rPr>
          <w:szCs w:val="24"/>
        </w:rPr>
        <w:t xml:space="preserve">from </w:t>
      </w:r>
      <w:r w:rsidRPr="006E7CE1" w:rsidR="00740068">
        <w:rPr>
          <w:szCs w:val="24"/>
        </w:rPr>
        <w:t>Rider AMI, in conjunction with its 2015 Study Completion Application</w:t>
      </w:r>
      <w:r w:rsidRPr="006E7CE1" w:rsidR="00632226">
        <w:rPr>
          <w:szCs w:val="24"/>
        </w:rPr>
        <w:t xml:space="preserve"> s</w:t>
      </w:r>
      <w:r w:rsidRPr="006E7CE1" w:rsidR="006827A1">
        <w:rPr>
          <w:szCs w:val="24"/>
        </w:rPr>
        <w:t xml:space="preserve">omehow </w:t>
      </w:r>
      <w:r w:rsidRPr="006E7CE1" w:rsidR="00C91F8D">
        <w:rPr>
          <w:szCs w:val="24"/>
        </w:rPr>
        <w:t>“ef</w:t>
      </w:r>
      <w:r w:rsidRPr="006E7CE1" w:rsidR="00C00737">
        <w:rPr>
          <w:szCs w:val="24"/>
        </w:rPr>
        <w:t>fec</w:t>
      </w:r>
      <w:r w:rsidRPr="006E7CE1" w:rsidR="00C91F8D">
        <w:rPr>
          <w:szCs w:val="24"/>
        </w:rPr>
        <w:t xml:space="preserve">tively” </w:t>
      </w:r>
      <w:r w:rsidRPr="006E7CE1" w:rsidR="006827A1">
        <w:rPr>
          <w:szCs w:val="24"/>
        </w:rPr>
        <w:t xml:space="preserve">supersedes a </w:t>
      </w:r>
      <w:r w:rsidRPr="006E7CE1" w:rsidR="00632226">
        <w:rPr>
          <w:szCs w:val="24"/>
        </w:rPr>
        <w:t xml:space="preserve">previous </w:t>
      </w:r>
      <w:r w:rsidRPr="006E7CE1" w:rsidR="006827A1">
        <w:rPr>
          <w:szCs w:val="24"/>
        </w:rPr>
        <w:t>PUCO Order</w:t>
      </w:r>
      <w:r w:rsidRPr="006E7CE1" w:rsidR="00167F62">
        <w:rPr>
          <w:szCs w:val="24"/>
        </w:rPr>
        <w:t xml:space="preserve"> </w:t>
      </w:r>
      <w:r w:rsidRPr="006E7CE1" w:rsidR="009F1599">
        <w:rPr>
          <w:szCs w:val="24"/>
        </w:rPr>
        <w:t xml:space="preserve">(that </w:t>
      </w:r>
      <w:r w:rsidRPr="006E7CE1">
        <w:rPr>
          <w:szCs w:val="24"/>
        </w:rPr>
        <w:t>FirstEnergy</w:t>
      </w:r>
      <w:r w:rsidRPr="006E7CE1" w:rsidR="009F1599">
        <w:rPr>
          <w:szCs w:val="24"/>
        </w:rPr>
        <w:t xml:space="preserve"> </w:t>
      </w:r>
      <w:r w:rsidRPr="006E7CE1" w:rsidR="00740068">
        <w:rPr>
          <w:szCs w:val="24"/>
        </w:rPr>
        <w:t xml:space="preserve">now </w:t>
      </w:r>
      <w:r w:rsidRPr="006E7CE1" w:rsidR="009F1599">
        <w:rPr>
          <w:szCs w:val="24"/>
        </w:rPr>
        <w:t>disagrees with</w:t>
      </w:r>
      <w:r w:rsidRPr="006E7CE1" w:rsidR="00740068">
        <w:rPr>
          <w:szCs w:val="24"/>
        </w:rPr>
        <w:t xml:space="preserve"> because it wants to </w:t>
      </w:r>
      <w:r w:rsidRPr="006E7CE1" w:rsidR="00F95BFB">
        <w:rPr>
          <w:szCs w:val="24"/>
        </w:rPr>
        <w:t xml:space="preserve">improperly </w:t>
      </w:r>
      <w:r w:rsidRPr="006E7CE1" w:rsidR="00740068">
        <w:rPr>
          <w:szCs w:val="24"/>
        </w:rPr>
        <w:t xml:space="preserve">keep </w:t>
      </w:r>
      <w:r w:rsidRPr="006E7CE1" w:rsidR="00CD2BEF">
        <w:rPr>
          <w:szCs w:val="24"/>
        </w:rPr>
        <w:t>$676,912 in improper charges to consumers</w:t>
      </w:r>
      <w:r w:rsidRPr="006E7CE1" w:rsidR="009F1599">
        <w:rPr>
          <w:szCs w:val="24"/>
        </w:rPr>
        <w:t>)</w:t>
      </w:r>
      <w:r w:rsidRPr="006E7CE1" w:rsidR="00F51301">
        <w:rPr>
          <w:szCs w:val="24"/>
        </w:rPr>
        <w:t>.</w:t>
      </w:r>
      <w:r>
        <w:rPr>
          <w:rStyle w:val="FootnoteReference"/>
          <w:szCs w:val="24"/>
        </w:rPr>
        <w:footnoteReference w:id="14"/>
      </w:r>
      <w:r w:rsidRPr="006E7CE1" w:rsidR="003F3351">
        <w:rPr>
          <w:szCs w:val="24"/>
        </w:rPr>
        <w:t xml:space="preserve">Furthermore, </w:t>
      </w:r>
      <w:r w:rsidRPr="006E7CE1">
        <w:rPr>
          <w:szCs w:val="24"/>
        </w:rPr>
        <w:t>FirstEnergy</w:t>
      </w:r>
      <w:r w:rsidRPr="006E7CE1" w:rsidR="00433EEB">
        <w:rPr>
          <w:szCs w:val="24"/>
        </w:rPr>
        <w:t xml:space="preserve"> </w:t>
      </w:r>
      <w:r w:rsidRPr="006E7CE1" w:rsidR="00081569">
        <w:rPr>
          <w:szCs w:val="24"/>
        </w:rPr>
        <w:t xml:space="preserve">later </w:t>
      </w:r>
      <w:r w:rsidRPr="006E7CE1" w:rsidR="00433EEB">
        <w:rPr>
          <w:szCs w:val="24"/>
        </w:rPr>
        <w:t>contradicts itself with its</w:t>
      </w:r>
      <w:r w:rsidRPr="006E7CE1" w:rsidR="002401AE">
        <w:rPr>
          <w:szCs w:val="24"/>
        </w:rPr>
        <w:t xml:space="preserve"> own conclusion</w:t>
      </w:r>
      <w:r w:rsidRPr="006E7CE1" w:rsidR="003F3351">
        <w:rPr>
          <w:szCs w:val="24"/>
        </w:rPr>
        <w:t xml:space="preserve"> by</w:t>
      </w:r>
      <w:r w:rsidRPr="006E7CE1" w:rsidR="002401AE">
        <w:rPr>
          <w:szCs w:val="24"/>
        </w:rPr>
        <w:t xml:space="preserve"> </w:t>
      </w:r>
      <w:r w:rsidRPr="006E7CE1" w:rsidR="00C46E36">
        <w:rPr>
          <w:szCs w:val="24"/>
        </w:rPr>
        <w:t>stating</w:t>
      </w:r>
      <w:r w:rsidRPr="006E7CE1" w:rsidR="002401AE">
        <w:rPr>
          <w:szCs w:val="24"/>
        </w:rPr>
        <w:t xml:space="preserve"> that the PUCO’s </w:t>
      </w:r>
      <w:r w:rsidRPr="006E7CE1" w:rsidR="00C91F8D">
        <w:rPr>
          <w:szCs w:val="24"/>
        </w:rPr>
        <w:t xml:space="preserve">approval </w:t>
      </w:r>
      <w:r w:rsidRPr="006E7CE1" w:rsidR="002401AE">
        <w:rPr>
          <w:szCs w:val="24"/>
        </w:rPr>
        <w:t xml:space="preserve">of </w:t>
      </w:r>
      <w:r w:rsidRPr="006E7CE1">
        <w:rPr>
          <w:szCs w:val="24"/>
        </w:rPr>
        <w:t>FirstEnergy</w:t>
      </w:r>
      <w:r w:rsidRPr="006E7CE1" w:rsidR="002401AE">
        <w:rPr>
          <w:szCs w:val="24"/>
        </w:rPr>
        <w:t>’s requests post-date</w:t>
      </w:r>
      <w:r w:rsidRPr="006E7CE1" w:rsidR="00C91F8D">
        <w:rPr>
          <w:szCs w:val="24"/>
        </w:rPr>
        <w:t>s</w:t>
      </w:r>
      <w:r w:rsidRPr="006E7CE1" w:rsidR="002401AE">
        <w:rPr>
          <w:szCs w:val="24"/>
        </w:rPr>
        <w:t xml:space="preserve"> and </w:t>
      </w:r>
      <w:r w:rsidRPr="006E7CE1" w:rsidR="002401AE">
        <w:rPr>
          <w:i/>
          <w:iCs/>
          <w:szCs w:val="24"/>
        </w:rPr>
        <w:t>ef</w:t>
      </w:r>
      <w:r w:rsidRPr="006E7CE1" w:rsidR="00C00737">
        <w:rPr>
          <w:i/>
          <w:iCs/>
          <w:szCs w:val="24"/>
        </w:rPr>
        <w:t>fe</w:t>
      </w:r>
      <w:r w:rsidRPr="006E7CE1" w:rsidR="002401AE">
        <w:rPr>
          <w:i/>
          <w:iCs/>
          <w:szCs w:val="24"/>
        </w:rPr>
        <w:t>ctively</w:t>
      </w:r>
      <w:r w:rsidRPr="006E7CE1" w:rsidR="002401AE">
        <w:rPr>
          <w:szCs w:val="24"/>
        </w:rPr>
        <w:t xml:space="preserve"> supersedes the DOE match requirements.</w:t>
      </w:r>
      <w:r>
        <w:rPr>
          <w:rStyle w:val="FootnoteReference"/>
          <w:szCs w:val="24"/>
        </w:rPr>
        <w:footnoteReference w:id="15"/>
      </w:r>
      <w:r w:rsidRPr="006E7CE1" w:rsidR="002401AE">
        <w:rPr>
          <w:szCs w:val="24"/>
        </w:rPr>
        <w:t xml:space="preserve"> </w:t>
      </w:r>
      <w:r w:rsidRPr="006E7CE1" w:rsidR="00F95BFB">
        <w:rPr>
          <w:szCs w:val="24"/>
        </w:rPr>
        <w:t xml:space="preserve">But the </w:t>
      </w:r>
      <w:r w:rsidRPr="006E7CE1" w:rsidR="00050325">
        <w:rPr>
          <w:szCs w:val="24"/>
        </w:rPr>
        <w:t>PUCO</w:t>
      </w:r>
      <w:r w:rsidRPr="006E7CE1" w:rsidR="004F30C0">
        <w:rPr>
          <w:szCs w:val="24"/>
        </w:rPr>
        <w:t xml:space="preserve"> does not “effectively” authorize Utility </w:t>
      </w:r>
      <w:r w:rsidRPr="006E7CE1" w:rsidR="009512C6">
        <w:rPr>
          <w:szCs w:val="24"/>
        </w:rPr>
        <w:t xml:space="preserve">applications to charge consumers. Rather, </w:t>
      </w:r>
      <w:r w:rsidRPr="006E7CE1" w:rsidR="00022546">
        <w:rPr>
          <w:szCs w:val="24"/>
        </w:rPr>
        <w:t>a</w:t>
      </w:r>
      <w:r w:rsidRPr="006E7CE1" w:rsidR="009512C6">
        <w:rPr>
          <w:szCs w:val="24"/>
        </w:rPr>
        <w:t xml:space="preserve">pprovals </w:t>
      </w:r>
      <w:r w:rsidRPr="006E7CE1" w:rsidR="00022546">
        <w:rPr>
          <w:szCs w:val="24"/>
        </w:rPr>
        <w:t>are “explicit.”</w:t>
      </w:r>
      <w:r>
        <w:rPr>
          <w:rStyle w:val="FootnoteReference"/>
          <w:szCs w:val="24"/>
        </w:rPr>
        <w:footnoteReference w:id="16"/>
      </w:r>
      <w:r w:rsidRPr="006E7CE1" w:rsidR="0051545B">
        <w:rPr>
          <w:szCs w:val="24"/>
        </w:rPr>
        <w:t xml:space="preserve"> </w:t>
      </w:r>
      <w:r w:rsidRPr="006E7CE1" w:rsidR="00534E17">
        <w:rPr>
          <w:szCs w:val="24"/>
        </w:rPr>
        <w:t>Moreover, t</w:t>
      </w:r>
      <w:r w:rsidRPr="006E7CE1" w:rsidR="00FA30F7">
        <w:rPr>
          <w:szCs w:val="24"/>
        </w:rPr>
        <w:t xml:space="preserve">he PUCO’s </w:t>
      </w:r>
      <w:r w:rsidRPr="006E7CE1" w:rsidR="00F554FA">
        <w:rPr>
          <w:szCs w:val="24"/>
        </w:rPr>
        <w:t xml:space="preserve">May 28, 2015, </w:t>
      </w:r>
      <w:r w:rsidRPr="006E7CE1" w:rsidR="00FA30F7">
        <w:rPr>
          <w:szCs w:val="24"/>
        </w:rPr>
        <w:t xml:space="preserve">Finding and Order in 09-1820-EL-ATA </w:t>
      </w:r>
      <w:r w:rsidRPr="006E7CE1" w:rsidR="00965E3E">
        <w:rPr>
          <w:szCs w:val="24"/>
        </w:rPr>
        <w:t xml:space="preserve">explicitly </w:t>
      </w:r>
      <w:r w:rsidRPr="006E7CE1" w:rsidR="000D7CB8">
        <w:rPr>
          <w:szCs w:val="24"/>
        </w:rPr>
        <w:t xml:space="preserve">discusses the DOE matching requirement, </w:t>
      </w:r>
      <w:r w:rsidRPr="006E7CE1" w:rsidR="00F95BFB">
        <w:rPr>
          <w:szCs w:val="24"/>
        </w:rPr>
        <w:t xml:space="preserve">but </w:t>
      </w:r>
      <w:r w:rsidRPr="006E7CE1" w:rsidR="000D7CB8">
        <w:rPr>
          <w:szCs w:val="24"/>
        </w:rPr>
        <w:t xml:space="preserve">it </w:t>
      </w:r>
      <w:r w:rsidRPr="006E7CE1" w:rsidR="00FA30F7">
        <w:rPr>
          <w:szCs w:val="24"/>
        </w:rPr>
        <w:t xml:space="preserve">says nothing about revoking the DOE </w:t>
      </w:r>
      <w:r w:rsidRPr="006E7CE1" w:rsidR="00813BCB">
        <w:rPr>
          <w:szCs w:val="24"/>
        </w:rPr>
        <w:t xml:space="preserve">funding match </w:t>
      </w:r>
      <w:r w:rsidRPr="006E7CE1" w:rsidR="00FA30F7">
        <w:rPr>
          <w:szCs w:val="24"/>
        </w:rPr>
        <w:t>requirement</w:t>
      </w:r>
      <w:r w:rsidRPr="006E7CE1" w:rsidR="00822B23">
        <w:rPr>
          <w:szCs w:val="24"/>
        </w:rPr>
        <w:t>s</w:t>
      </w:r>
      <w:r w:rsidRPr="006E7CE1" w:rsidR="004C4AC2">
        <w:rPr>
          <w:szCs w:val="24"/>
        </w:rPr>
        <w:t xml:space="preserve">. In fact, FirstEnergy never </w:t>
      </w:r>
      <w:r w:rsidRPr="006E7CE1" w:rsidR="00534E17">
        <w:rPr>
          <w:szCs w:val="24"/>
        </w:rPr>
        <w:t xml:space="preserve">even </w:t>
      </w:r>
      <w:r w:rsidRPr="006E7CE1" w:rsidR="004C4AC2">
        <w:rPr>
          <w:szCs w:val="24"/>
        </w:rPr>
        <w:t xml:space="preserve">explicitly requested </w:t>
      </w:r>
      <w:r w:rsidRPr="006E7CE1" w:rsidR="00534E17">
        <w:rPr>
          <w:szCs w:val="24"/>
        </w:rPr>
        <w:t xml:space="preserve">that the PUCO discontinue </w:t>
      </w:r>
      <w:r w:rsidRPr="006E7CE1" w:rsidR="004C4AC2">
        <w:rPr>
          <w:szCs w:val="24"/>
        </w:rPr>
        <w:t xml:space="preserve">the DOE funding match requirement </w:t>
      </w:r>
      <w:r w:rsidRPr="006E7CE1" w:rsidR="00534E17">
        <w:rPr>
          <w:szCs w:val="24"/>
        </w:rPr>
        <w:t>in its Application for Further Cost Recovery.</w:t>
      </w:r>
      <w:r w:rsidRPr="006E7CE1" w:rsidR="00822B23">
        <w:rPr>
          <w:szCs w:val="24"/>
        </w:rPr>
        <w:t xml:space="preserve"> </w:t>
      </w:r>
    </w:p>
    <w:p w:rsidR="008015AB" w:rsidRPr="006E7CE1" w:rsidP="00D501BB" w14:paraId="16CEFE6E" w14:textId="2CF26D89">
      <w:pPr>
        <w:spacing w:line="480" w:lineRule="auto"/>
        <w:ind w:firstLine="720"/>
        <w:rPr>
          <w:szCs w:val="24"/>
        </w:rPr>
      </w:pPr>
      <w:r w:rsidRPr="006E7CE1">
        <w:rPr>
          <w:szCs w:val="24"/>
        </w:rPr>
        <w:t xml:space="preserve">If the PUCO intended to </w:t>
      </w:r>
      <w:r w:rsidRPr="006E7CE1" w:rsidR="00022546">
        <w:rPr>
          <w:szCs w:val="24"/>
        </w:rPr>
        <w:t xml:space="preserve">contradict </w:t>
      </w:r>
      <w:r w:rsidRPr="006E7CE1" w:rsidR="00656D97">
        <w:rPr>
          <w:szCs w:val="24"/>
        </w:rPr>
        <w:t>its August 25, 2010 Order stating “the Ohio Site Deployment would not be completed unless DOE matched funding in an equal amount</w:t>
      </w:r>
      <w:r w:rsidRPr="006E7CE1" w:rsidR="00D501BB">
        <w:rPr>
          <w:szCs w:val="24"/>
        </w:rPr>
        <w:t>,” then it would have clearly and explicitly said so</w:t>
      </w:r>
      <w:r w:rsidRPr="006E7CE1" w:rsidR="00656D97">
        <w:rPr>
          <w:szCs w:val="24"/>
        </w:rPr>
        <w:t>.</w:t>
      </w:r>
      <w:r w:rsidRPr="006E7CE1" w:rsidR="00D501BB">
        <w:rPr>
          <w:szCs w:val="24"/>
        </w:rPr>
        <w:t xml:space="preserve"> </w:t>
      </w:r>
      <w:r w:rsidRPr="006E7CE1" w:rsidR="00E92B16">
        <w:rPr>
          <w:szCs w:val="24"/>
        </w:rPr>
        <w:t xml:space="preserve">But it did not. </w:t>
      </w:r>
      <w:r w:rsidRPr="006E7CE1" w:rsidR="00831107">
        <w:rPr>
          <w:szCs w:val="24"/>
        </w:rPr>
        <w:t xml:space="preserve">Silence is not approval and </w:t>
      </w:r>
      <w:r w:rsidRPr="006E7CE1" w:rsidR="00394098">
        <w:rPr>
          <w:szCs w:val="24"/>
        </w:rPr>
        <w:t>FirstEnergy</w:t>
      </w:r>
      <w:r w:rsidRPr="006E7CE1" w:rsidR="00167F62">
        <w:rPr>
          <w:szCs w:val="24"/>
        </w:rPr>
        <w:t xml:space="preserve">’s attempt at regulatory illusion by weaving together </w:t>
      </w:r>
      <w:r w:rsidRPr="006E7CE1" w:rsidR="00B6288B">
        <w:rPr>
          <w:szCs w:val="24"/>
        </w:rPr>
        <w:t xml:space="preserve">select </w:t>
      </w:r>
      <w:r w:rsidRPr="006E7CE1" w:rsidR="00167F62">
        <w:rPr>
          <w:szCs w:val="24"/>
        </w:rPr>
        <w:t>parts of orders and tariffs in dif</w:t>
      </w:r>
      <w:r w:rsidRPr="006E7CE1" w:rsidR="00C00737">
        <w:rPr>
          <w:szCs w:val="24"/>
        </w:rPr>
        <w:t>fer</w:t>
      </w:r>
      <w:r w:rsidRPr="006E7CE1" w:rsidR="00167F62">
        <w:rPr>
          <w:szCs w:val="24"/>
        </w:rPr>
        <w:t xml:space="preserve">ent cases </w:t>
      </w:r>
      <w:r w:rsidRPr="006E7CE1" w:rsidR="00B6288B">
        <w:rPr>
          <w:szCs w:val="24"/>
        </w:rPr>
        <w:t xml:space="preserve">while ignoring others </w:t>
      </w:r>
      <w:r w:rsidRPr="006E7CE1" w:rsidR="00167F62">
        <w:rPr>
          <w:szCs w:val="24"/>
        </w:rPr>
        <w:t xml:space="preserve">should </w:t>
      </w:r>
      <w:r w:rsidRPr="006E7CE1" w:rsidR="009F1599">
        <w:rPr>
          <w:szCs w:val="24"/>
        </w:rPr>
        <w:t>be rejected</w:t>
      </w:r>
      <w:r w:rsidRPr="006E7CE1" w:rsidR="00022546">
        <w:rPr>
          <w:szCs w:val="24"/>
        </w:rPr>
        <w:t xml:space="preserve">.  </w:t>
      </w:r>
      <w:r w:rsidRPr="006E7CE1" w:rsidR="001D09B0">
        <w:rPr>
          <w:szCs w:val="24"/>
        </w:rPr>
        <w:t>Ohio law requires that rates charged by utilities be just and reasonable for service that is adequate.</w:t>
      </w:r>
      <w:r>
        <w:rPr>
          <w:rStyle w:val="FootnoteReference"/>
          <w:szCs w:val="24"/>
        </w:rPr>
        <w:footnoteReference w:id="17"/>
      </w:r>
      <w:r w:rsidRPr="006E7CE1" w:rsidR="001D09B0">
        <w:rPr>
          <w:szCs w:val="24"/>
        </w:rPr>
        <w:t xml:space="preserve"> </w:t>
      </w:r>
      <w:r w:rsidRPr="006E7CE1" w:rsidR="00022546">
        <w:rPr>
          <w:szCs w:val="24"/>
        </w:rPr>
        <w:t xml:space="preserve">Charges for </w:t>
      </w:r>
      <w:r w:rsidR="00E22F16">
        <w:rPr>
          <w:szCs w:val="24"/>
        </w:rPr>
        <w:t>e</w:t>
      </w:r>
      <w:r w:rsidRPr="006E7CE1" w:rsidR="001D09B0">
        <w:rPr>
          <w:szCs w:val="24"/>
        </w:rPr>
        <w:t xml:space="preserve">xpenses that have </w:t>
      </w:r>
      <w:r w:rsidRPr="006E7CE1" w:rsidR="00022546">
        <w:rPr>
          <w:szCs w:val="24"/>
        </w:rPr>
        <w:t xml:space="preserve">not </w:t>
      </w:r>
      <w:r w:rsidRPr="006E7CE1" w:rsidR="001D09B0">
        <w:rPr>
          <w:szCs w:val="24"/>
        </w:rPr>
        <w:t xml:space="preserve">been </w:t>
      </w:r>
      <w:r w:rsidRPr="006E7CE1" w:rsidR="00243EEC">
        <w:rPr>
          <w:szCs w:val="24"/>
        </w:rPr>
        <w:t xml:space="preserve">expressly approved </w:t>
      </w:r>
      <w:r w:rsidRPr="006E7CE1" w:rsidR="001D09B0">
        <w:rPr>
          <w:szCs w:val="24"/>
        </w:rPr>
        <w:t>by the PUCO cannot be</w:t>
      </w:r>
      <w:r w:rsidRPr="006E7CE1" w:rsidR="00022546">
        <w:rPr>
          <w:szCs w:val="24"/>
        </w:rPr>
        <w:t xml:space="preserve"> rendered to consumers.</w:t>
      </w:r>
    </w:p>
    <w:p w:rsidR="00E22F16" w:rsidP="00D501BB" w14:paraId="2038C87D" w14:textId="510B68D3">
      <w:pPr>
        <w:spacing w:line="480" w:lineRule="auto"/>
        <w:ind w:firstLine="720"/>
        <w:rPr>
          <w:szCs w:val="24"/>
        </w:rPr>
      </w:pPr>
      <w:r w:rsidRPr="006E7CE1">
        <w:rPr>
          <w:szCs w:val="24"/>
        </w:rPr>
        <w:t xml:space="preserve">Simply stated, any costs that FirstEnergy seeks to collect from customers that do not meet the DOE match requirement should be disallowed. </w:t>
      </w:r>
      <w:r w:rsidRPr="006E7CE1" w:rsidR="00270478">
        <w:rPr>
          <w:szCs w:val="24"/>
        </w:rPr>
        <w:t xml:space="preserve">The OCC agrees with the PUCO Staff and reasserts its recommendation that FirstEnergy should not be permitted to charge customers for </w:t>
      </w:r>
      <w:r w:rsidRPr="006E7CE1">
        <w:rPr>
          <w:szCs w:val="24"/>
        </w:rPr>
        <w:t xml:space="preserve">such </w:t>
      </w:r>
      <w:r w:rsidRPr="006E7CE1" w:rsidR="00270478">
        <w:rPr>
          <w:szCs w:val="24"/>
        </w:rPr>
        <w:t>disallowed expenses.</w:t>
      </w:r>
      <w:r>
        <w:rPr>
          <w:rStyle w:val="FootnoteReference"/>
          <w:szCs w:val="24"/>
        </w:rPr>
        <w:footnoteReference w:id="18"/>
      </w:r>
      <w:r w:rsidRPr="006E7CE1" w:rsidR="00090C53">
        <w:rPr>
          <w:szCs w:val="24"/>
        </w:rPr>
        <w:t xml:space="preserve"> </w:t>
      </w:r>
      <w:r w:rsidRPr="006E7CE1" w:rsidR="000661DC">
        <w:rPr>
          <w:szCs w:val="24"/>
        </w:rPr>
        <w:t xml:space="preserve">The PUCO should protect consumers against paying these improper, </w:t>
      </w:r>
      <w:r w:rsidRPr="006E7CE1" w:rsidR="00D0692C">
        <w:rPr>
          <w:szCs w:val="24"/>
        </w:rPr>
        <w:t>unjust, and unreasonable</w:t>
      </w:r>
      <w:r w:rsidRPr="006E7CE1" w:rsidR="000661DC">
        <w:rPr>
          <w:szCs w:val="24"/>
        </w:rPr>
        <w:t xml:space="preserve"> expenses.</w:t>
      </w:r>
      <w:r>
        <w:rPr>
          <w:szCs w:val="24"/>
        </w:rPr>
        <w:br w:type="page"/>
      </w:r>
    </w:p>
    <w:p w:rsidR="003B0CFF" w:rsidRPr="006E7CE1" w:rsidP="00081569" w14:paraId="2532C30F" w14:textId="7E3B471D">
      <w:pPr>
        <w:pStyle w:val="BodyTextIndent3"/>
        <w:widowControl w:val="0"/>
        <w:numPr>
          <w:ilvl w:val="0"/>
          <w:numId w:val="10"/>
        </w:numPr>
        <w:spacing w:line="240" w:lineRule="auto"/>
        <w:ind w:left="1440" w:right="-24" w:hanging="720"/>
        <w:rPr>
          <w:b/>
          <w:bCs/>
          <w:szCs w:val="24"/>
        </w:rPr>
      </w:pPr>
      <w:r w:rsidRPr="006E7CE1">
        <w:rPr>
          <w:b/>
          <w:bCs/>
          <w:szCs w:val="24"/>
        </w:rPr>
        <w:t xml:space="preserve">The </w:t>
      </w:r>
      <w:r w:rsidRPr="006E7CE1" w:rsidR="00C31999">
        <w:rPr>
          <w:b/>
          <w:bCs/>
          <w:szCs w:val="24"/>
        </w:rPr>
        <w:t xml:space="preserve">FirstEnergy </w:t>
      </w:r>
      <w:r w:rsidRPr="006E7CE1" w:rsidR="00BD33D3">
        <w:rPr>
          <w:b/>
          <w:bCs/>
          <w:szCs w:val="24"/>
        </w:rPr>
        <w:t>Util</w:t>
      </w:r>
      <w:r w:rsidRPr="006E7CE1" w:rsidR="00C31999">
        <w:rPr>
          <w:b/>
          <w:bCs/>
          <w:szCs w:val="24"/>
        </w:rPr>
        <w:t>i</w:t>
      </w:r>
      <w:r w:rsidRPr="006E7CE1" w:rsidR="00BD33D3">
        <w:rPr>
          <w:b/>
          <w:bCs/>
          <w:szCs w:val="24"/>
        </w:rPr>
        <w:t xml:space="preserve">ties </w:t>
      </w:r>
      <w:r w:rsidRPr="006E7CE1" w:rsidR="00C31999">
        <w:rPr>
          <w:b/>
          <w:bCs/>
          <w:szCs w:val="24"/>
        </w:rPr>
        <w:t xml:space="preserve">should not be able to collect costs </w:t>
      </w:r>
      <w:r w:rsidRPr="006E7CE1" w:rsidR="00D0692C">
        <w:rPr>
          <w:b/>
          <w:bCs/>
          <w:szCs w:val="24"/>
        </w:rPr>
        <w:t xml:space="preserve">related to the Ohio Site Deployment pilot program </w:t>
      </w:r>
      <w:r w:rsidRPr="006E7CE1" w:rsidR="00C31999">
        <w:rPr>
          <w:b/>
          <w:bCs/>
          <w:szCs w:val="24"/>
        </w:rPr>
        <w:t xml:space="preserve">after </w:t>
      </w:r>
      <w:r w:rsidRPr="006E7CE1">
        <w:rPr>
          <w:b/>
          <w:bCs/>
          <w:szCs w:val="24"/>
        </w:rPr>
        <w:t>June 1, 2019</w:t>
      </w:r>
      <w:r w:rsidRPr="006E7CE1" w:rsidR="00C31999">
        <w:rPr>
          <w:b/>
          <w:bCs/>
          <w:szCs w:val="24"/>
        </w:rPr>
        <w:t>.</w:t>
      </w:r>
      <w:r w:rsidRPr="006E7CE1">
        <w:rPr>
          <w:b/>
          <w:bCs/>
          <w:szCs w:val="24"/>
        </w:rPr>
        <w:t xml:space="preserve"> </w:t>
      </w:r>
    </w:p>
    <w:p w:rsidR="007E1EE8" w:rsidRPr="006E7CE1" w:rsidP="00A06F12" w14:paraId="26142584" w14:textId="7EFD0C90">
      <w:pPr>
        <w:pStyle w:val="BodyTextIndent3"/>
        <w:widowControl w:val="0"/>
        <w:spacing w:before="240" w:line="480" w:lineRule="auto"/>
        <w:ind w:right="-29"/>
        <w:rPr>
          <w:szCs w:val="24"/>
        </w:rPr>
      </w:pPr>
      <w:r w:rsidRPr="006E7CE1">
        <w:rPr>
          <w:szCs w:val="24"/>
        </w:rPr>
        <w:t>The PUCO O</w:t>
      </w:r>
      <w:r w:rsidRPr="006E7CE1" w:rsidR="00090C53">
        <w:rPr>
          <w:szCs w:val="24"/>
        </w:rPr>
        <w:t>rder in 09-1820</w:t>
      </w:r>
      <w:r w:rsidRPr="006E7CE1" w:rsidR="00F53A75">
        <w:rPr>
          <w:szCs w:val="24"/>
        </w:rPr>
        <w:t>-EL-ATA</w:t>
      </w:r>
      <w:r w:rsidRPr="006E7CE1" w:rsidR="00090C53">
        <w:rPr>
          <w:szCs w:val="24"/>
        </w:rPr>
        <w:t xml:space="preserve"> </w:t>
      </w:r>
      <w:r w:rsidRPr="006E7CE1" w:rsidR="00295497">
        <w:rPr>
          <w:szCs w:val="24"/>
        </w:rPr>
        <w:t xml:space="preserve">did </w:t>
      </w:r>
      <w:r w:rsidRPr="006E7CE1">
        <w:rPr>
          <w:szCs w:val="24"/>
        </w:rPr>
        <w:t xml:space="preserve">specifically </w:t>
      </w:r>
      <w:r w:rsidRPr="006E7CE1" w:rsidR="00295497">
        <w:rPr>
          <w:szCs w:val="24"/>
        </w:rPr>
        <w:t xml:space="preserve">(explicitly) </w:t>
      </w:r>
      <w:r w:rsidRPr="006E7CE1">
        <w:rPr>
          <w:szCs w:val="24"/>
        </w:rPr>
        <w:t>approve FirstEnergy</w:t>
      </w:r>
      <w:r w:rsidRPr="006E7CE1" w:rsidR="00295497">
        <w:rPr>
          <w:szCs w:val="24"/>
        </w:rPr>
        <w:t>’s</w:t>
      </w:r>
      <w:r w:rsidRPr="006E7CE1">
        <w:rPr>
          <w:szCs w:val="24"/>
        </w:rPr>
        <w:t xml:space="preserve"> request to continue </w:t>
      </w:r>
      <w:r w:rsidRPr="006E7CE1" w:rsidR="00090C53">
        <w:rPr>
          <w:szCs w:val="24"/>
        </w:rPr>
        <w:t xml:space="preserve">the </w:t>
      </w:r>
      <w:r w:rsidRPr="006E7CE1">
        <w:rPr>
          <w:szCs w:val="24"/>
        </w:rPr>
        <w:t>Ohio Site Deployment Pilot Program until June 1, 2019.</w:t>
      </w:r>
      <w:r>
        <w:rPr>
          <w:rStyle w:val="FootnoteReference"/>
          <w:szCs w:val="24"/>
        </w:rPr>
        <w:footnoteReference w:id="19"/>
      </w:r>
      <w:r w:rsidRPr="006E7CE1">
        <w:rPr>
          <w:szCs w:val="24"/>
        </w:rPr>
        <w:t xml:space="preserve"> Furthermore, the Order approved the Utilities request to spend approximately $8.5 million in operating and maintenance costs.</w:t>
      </w:r>
      <w:r>
        <w:rPr>
          <w:rStyle w:val="FootnoteReference"/>
          <w:szCs w:val="24"/>
        </w:rPr>
        <w:footnoteReference w:id="20"/>
      </w:r>
      <w:r w:rsidRPr="006E7CE1">
        <w:rPr>
          <w:szCs w:val="24"/>
        </w:rPr>
        <w:t xml:space="preserve"> </w:t>
      </w:r>
      <w:r w:rsidRPr="006E7CE1" w:rsidR="003B0CFF">
        <w:rPr>
          <w:szCs w:val="24"/>
        </w:rPr>
        <w:t xml:space="preserve">FirstEnergy admits that it previously </w:t>
      </w:r>
      <w:r w:rsidRPr="006E7CE1" w:rsidR="00152AF3">
        <w:rPr>
          <w:szCs w:val="24"/>
        </w:rPr>
        <w:t xml:space="preserve">(and improperly) </w:t>
      </w:r>
      <w:r w:rsidRPr="006E7CE1" w:rsidR="003B0CFF">
        <w:rPr>
          <w:szCs w:val="24"/>
        </w:rPr>
        <w:t xml:space="preserve">collected capital costs through the </w:t>
      </w:r>
      <w:r w:rsidRPr="006E7CE1" w:rsidR="00295497">
        <w:rPr>
          <w:szCs w:val="24"/>
        </w:rPr>
        <w:t xml:space="preserve">Rider </w:t>
      </w:r>
      <w:r w:rsidRPr="006E7CE1" w:rsidR="003B0CFF">
        <w:rPr>
          <w:szCs w:val="24"/>
        </w:rPr>
        <w:t xml:space="preserve">AMI rider as </w:t>
      </w:r>
      <w:r w:rsidRPr="006E7CE1" w:rsidR="00B6288B">
        <w:rPr>
          <w:szCs w:val="24"/>
        </w:rPr>
        <w:t>a reason why it should be able to collect the capital costs from 2018.</w:t>
      </w:r>
      <w:r>
        <w:rPr>
          <w:rStyle w:val="FootnoteReference"/>
          <w:szCs w:val="24"/>
        </w:rPr>
        <w:footnoteReference w:id="21"/>
      </w:r>
      <w:r w:rsidRPr="006E7CE1" w:rsidR="008E5552">
        <w:rPr>
          <w:szCs w:val="24"/>
        </w:rPr>
        <w:t xml:space="preserve"> But FirstEnergy did not provide a citation </w:t>
      </w:r>
      <w:r w:rsidRPr="006E7CE1" w:rsidR="00CB72DC">
        <w:rPr>
          <w:szCs w:val="24"/>
        </w:rPr>
        <w:t xml:space="preserve">to which Rider AMI filings it is referring to. And </w:t>
      </w:r>
      <w:r w:rsidRPr="006E7CE1" w:rsidR="000030E2">
        <w:rPr>
          <w:szCs w:val="24"/>
        </w:rPr>
        <w:t>even if</w:t>
      </w:r>
      <w:r w:rsidRPr="006E7CE1">
        <w:rPr>
          <w:szCs w:val="24"/>
        </w:rPr>
        <w:t xml:space="preserve"> a previous </w:t>
      </w:r>
      <w:r w:rsidRPr="006E7CE1" w:rsidR="00C31999">
        <w:rPr>
          <w:szCs w:val="24"/>
        </w:rPr>
        <w:t xml:space="preserve">undefined Staff </w:t>
      </w:r>
      <w:r w:rsidRPr="006E7CE1">
        <w:rPr>
          <w:szCs w:val="24"/>
        </w:rPr>
        <w:t xml:space="preserve">audit did not reveal that capital costs were </w:t>
      </w:r>
      <w:r w:rsidRPr="006E7CE1" w:rsidR="00BD33D3">
        <w:rPr>
          <w:szCs w:val="24"/>
        </w:rPr>
        <w:t xml:space="preserve">improperly </w:t>
      </w:r>
      <w:r w:rsidRPr="006E7CE1">
        <w:rPr>
          <w:szCs w:val="24"/>
        </w:rPr>
        <w:t>included</w:t>
      </w:r>
      <w:r w:rsidRPr="006E7CE1" w:rsidR="005D3645">
        <w:rPr>
          <w:szCs w:val="24"/>
        </w:rPr>
        <w:t xml:space="preserve"> </w:t>
      </w:r>
      <w:r w:rsidRPr="006E7CE1">
        <w:rPr>
          <w:szCs w:val="24"/>
        </w:rPr>
        <w:t>in the Rider AMI</w:t>
      </w:r>
      <w:r w:rsidR="001F775C">
        <w:rPr>
          <w:szCs w:val="24"/>
        </w:rPr>
        <w:t>, this</w:t>
      </w:r>
      <w:r w:rsidRPr="006E7CE1">
        <w:rPr>
          <w:szCs w:val="24"/>
        </w:rPr>
        <w:t xml:space="preserve"> does not mean that FirstEnergy has authorization to continue </w:t>
      </w:r>
      <w:r w:rsidRPr="006E7CE1" w:rsidR="00152AF3">
        <w:rPr>
          <w:szCs w:val="24"/>
        </w:rPr>
        <w:t xml:space="preserve">improperly </w:t>
      </w:r>
      <w:r w:rsidRPr="006E7CE1" w:rsidR="00BD33D3">
        <w:rPr>
          <w:szCs w:val="24"/>
        </w:rPr>
        <w:t xml:space="preserve">collecting </w:t>
      </w:r>
      <w:r w:rsidRPr="006E7CE1" w:rsidR="001F775C">
        <w:rPr>
          <w:szCs w:val="24"/>
        </w:rPr>
        <w:t xml:space="preserve">unauthorized capital costs </w:t>
      </w:r>
      <w:r w:rsidRPr="006E7CE1" w:rsidR="00BD33D3">
        <w:rPr>
          <w:szCs w:val="24"/>
        </w:rPr>
        <w:t>from consumers</w:t>
      </w:r>
      <w:r w:rsidRPr="006E7CE1">
        <w:rPr>
          <w:szCs w:val="24"/>
        </w:rPr>
        <w:t xml:space="preserve">. </w:t>
      </w:r>
      <w:r w:rsidRPr="006E7CE1" w:rsidR="00DD4D50">
        <w:rPr>
          <w:szCs w:val="24"/>
        </w:rPr>
        <w:t xml:space="preserve">The PUCO </w:t>
      </w:r>
      <w:r w:rsidRPr="006E7CE1" w:rsidR="00BD33D3">
        <w:rPr>
          <w:szCs w:val="24"/>
        </w:rPr>
        <w:t xml:space="preserve">should </w:t>
      </w:r>
      <w:r w:rsidRPr="006E7CE1" w:rsidR="00DD4D50">
        <w:rPr>
          <w:szCs w:val="24"/>
        </w:rPr>
        <w:t xml:space="preserve">act to protect consumers against FirstEnergy’s attempts to </w:t>
      </w:r>
      <w:r w:rsidRPr="006E7CE1" w:rsidR="00514E4D">
        <w:rPr>
          <w:szCs w:val="24"/>
        </w:rPr>
        <w:t>collect unauthorized expenses through Rider AMI.</w:t>
      </w:r>
    </w:p>
    <w:p w:rsidR="003206FE" w:rsidP="00C638E9" w14:paraId="535D836A" w14:textId="77777777">
      <w:pPr>
        <w:pStyle w:val="BodyTextIndent3"/>
        <w:widowControl w:val="0"/>
        <w:spacing w:line="480" w:lineRule="auto"/>
        <w:ind w:right="-29" w:firstLine="0"/>
        <w:rPr>
          <w:szCs w:val="24"/>
        </w:rPr>
        <w:sectPr w:rsidSect="002B4D1F">
          <w:footerReference w:type="first" r:id="rId9"/>
          <w:pgSz w:w="12240" w:h="15840"/>
          <w:pgMar w:top="1440" w:right="1800" w:bottom="1440" w:left="1800" w:header="720" w:footer="720" w:gutter="0"/>
          <w:cols w:space="720"/>
          <w:titlePg/>
          <w:docGrid w:linePitch="65"/>
        </w:sectPr>
      </w:pPr>
      <w:r w:rsidRPr="006E7CE1">
        <w:rPr>
          <w:szCs w:val="24"/>
        </w:rPr>
        <w:t>As part of the PUCO’s 2019 audit of Rider AMI</w:t>
      </w:r>
      <w:r w:rsidRPr="006E7CE1" w:rsidR="00C31999">
        <w:rPr>
          <w:szCs w:val="24"/>
        </w:rPr>
        <w:t xml:space="preserve"> and the final audit of the Ohio Site Deployment pilot, </w:t>
      </w:r>
      <w:r w:rsidRPr="006E7CE1" w:rsidR="0027210E">
        <w:rPr>
          <w:szCs w:val="24"/>
        </w:rPr>
        <w:t xml:space="preserve">OCC </w:t>
      </w:r>
      <w:r w:rsidRPr="006E7CE1" w:rsidR="00514E4D">
        <w:rPr>
          <w:szCs w:val="24"/>
        </w:rPr>
        <w:t>urges the PUCO</w:t>
      </w:r>
      <w:r w:rsidRPr="006E7CE1">
        <w:rPr>
          <w:szCs w:val="24"/>
        </w:rPr>
        <w:t xml:space="preserve"> </w:t>
      </w:r>
      <w:r w:rsidRPr="006E7CE1" w:rsidR="00BA5B82">
        <w:rPr>
          <w:szCs w:val="24"/>
        </w:rPr>
        <w:t xml:space="preserve">to protect consumers by </w:t>
      </w:r>
      <w:r w:rsidRPr="006E7CE1" w:rsidR="0027210E">
        <w:rPr>
          <w:szCs w:val="24"/>
        </w:rPr>
        <w:t>verify</w:t>
      </w:r>
      <w:r w:rsidRPr="006E7CE1" w:rsidR="00BA5B82">
        <w:rPr>
          <w:szCs w:val="24"/>
        </w:rPr>
        <w:t>ing</w:t>
      </w:r>
      <w:r w:rsidRPr="006E7CE1" w:rsidR="0027210E">
        <w:rPr>
          <w:szCs w:val="24"/>
        </w:rPr>
        <w:t xml:space="preserve"> that between June 1, 2015 and June 1, 2019, only O&amp;M costs associated with the Ohio Site Deployment pilot program were collected through </w:t>
      </w:r>
      <w:r w:rsidRPr="006E7CE1" w:rsidR="00BA5B82">
        <w:rPr>
          <w:szCs w:val="24"/>
        </w:rPr>
        <w:t>Rider</w:t>
      </w:r>
      <w:r w:rsidRPr="006E7CE1" w:rsidR="0027210E">
        <w:rPr>
          <w:szCs w:val="24"/>
        </w:rPr>
        <w:t xml:space="preserve"> AMI. </w:t>
      </w:r>
      <w:r w:rsidRPr="006E7CE1" w:rsidR="00BD33D3">
        <w:rPr>
          <w:szCs w:val="24"/>
        </w:rPr>
        <w:t xml:space="preserve">All other unauthorized charges should be refunded to consumers. </w:t>
      </w:r>
      <w:r w:rsidRPr="006E7CE1" w:rsidR="0027210E">
        <w:rPr>
          <w:szCs w:val="24"/>
        </w:rPr>
        <w:t xml:space="preserve">Furthermore, </w:t>
      </w:r>
      <w:r w:rsidRPr="006E7CE1" w:rsidR="00C31999">
        <w:rPr>
          <w:szCs w:val="24"/>
        </w:rPr>
        <w:t xml:space="preserve">the </w:t>
      </w:r>
      <w:r w:rsidRPr="006E7CE1" w:rsidR="001D7D80">
        <w:rPr>
          <w:szCs w:val="24"/>
        </w:rPr>
        <w:t xml:space="preserve">PUCO </w:t>
      </w:r>
      <w:r w:rsidRPr="006E7CE1" w:rsidR="0027210E">
        <w:rPr>
          <w:szCs w:val="24"/>
        </w:rPr>
        <w:t xml:space="preserve">Staff </w:t>
      </w:r>
      <w:r w:rsidRPr="006E7CE1" w:rsidR="00C31999">
        <w:rPr>
          <w:szCs w:val="24"/>
        </w:rPr>
        <w:t xml:space="preserve">audit </w:t>
      </w:r>
      <w:r w:rsidRPr="006E7CE1" w:rsidR="0027210E">
        <w:rPr>
          <w:szCs w:val="24"/>
        </w:rPr>
        <w:t xml:space="preserve">should </w:t>
      </w:r>
      <w:r w:rsidRPr="006E7CE1" w:rsidR="00D0053C">
        <w:rPr>
          <w:szCs w:val="24"/>
        </w:rPr>
        <w:t xml:space="preserve">confirm </w:t>
      </w:r>
      <w:r w:rsidRPr="006E7CE1" w:rsidR="0027210E">
        <w:rPr>
          <w:szCs w:val="24"/>
        </w:rPr>
        <w:t xml:space="preserve">that the Ohio Site Deployment </w:t>
      </w:r>
      <w:r w:rsidRPr="006E7CE1" w:rsidR="00A75A7D">
        <w:rPr>
          <w:szCs w:val="24"/>
        </w:rPr>
        <w:t xml:space="preserve">pilot program </w:t>
      </w:r>
      <w:r w:rsidRPr="006E7CE1" w:rsidR="00D0053C">
        <w:rPr>
          <w:szCs w:val="24"/>
        </w:rPr>
        <w:t xml:space="preserve">costs </w:t>
      </w:r>
      <w:r w:rsidRPr="006E7CE1" w:rsidR="00A75A7D">
        <w:rPr>
          <w:szCs w:val="24"/>
        </w:rPr>
        <w:t xml:space="preserve">ended </w:t>
      </w:r>
      <w:r w:rsidRPr="006E7CE1" w:rsidR="00D0053C">
        <w:rPr>
          <w:szCs w:val="24"/>
        </w:rPr>
        <w:t xml:space="preserve">on </w:t>
      </w:r>
      <w:r w:rsidRPr="006E7CE1" w:rsidR="00A75A7D">
        <w:rPr>
          <w:szCs w:val="24"/>
        </w:rPr>
        <w:t>June 1, 2019</w:t>
      </w:r>
      <w:r w:rsidRPr="006E7CE1" w:rsidR="007E1EE8">
        <w:rPr>
          <w:szCs w:val="24"/>
        </w:rPr>
        <w:t xml:space="preserve">. </w:t>
      </w:r>
      <w:r w:rsidRPr="006E7CE1" w:rsidR="00D0053C">
        <w:rPr>
          <w:szCs w:val="24"/>
        </w:rPr>
        <w:t>A</w:t>
      </w:r>
      <w:r w:rsidRPr="006E7CE1" w:rsidR="007E1EE8">
        <w:rPr>
          <w:szCs w:val="24"/>
        </w:rPr>
        <w:t>ny</w:t>
      </w:r>
      <w:r w:rsidR="00C638E9">
        <w:rPr>
          <w:szCs w:val="24"/>
        </w:rPr>
        <w:t xml:space="preserve"> </w:t>
      </w:r>
    </w:p>
    <w:p w:rsidR="00F00110" w:rsidRPr="006E7CE1" w:rsidP="00C638E9" w14:paraId="775D861F" w14:textId="5956007C">
      <w:pPr>
        <w:pStyle w:val="BodyTextIndent3"/>
        <w:widowControl w:val="0"/>
        <w:spacing w:line="480" w:lineRule="auto"/>
        <w:ind w:right="-29" w:firstLine="0"/>
        <w:rPr>
          <w:szCs w:val="24"/>
        </w:rPr>
      </w:pPr>
      <w:r w:rsidRPr="006E7CE1">
        <w:rPr>
          <w:szCs w:val="24"/>
        </w:rPr>
        <w:t>additional expenses</w:t>
      </w:r>
      <w:r w:rsidRPr="006E7CE1" w:rsidR="00D0053C">
        <w:rPr>
          <w:szCs w:val="24"/>
        </w:rPr>
        <w:t xml:space="preserve"> after that date </w:t>
      </w:r>
      <w:r w:rsidRPr="006E7CE1">
        <w:rPr>
          <w:szCs w:val="24"/>
        </w:rPr>
        <w:t xml:space="preserve"> </w:t>
      </w:r>
      <w:r w:rsidRPr="006E7CE1" w:rsidR="00D0053C">
        <w:rPr>
          <w:szCs w:val="24"/>
        </w:rPr>
        <w:t xml:space="preserve">for the </w:t>
      </w:r>
      <w:r w:rsidRPr="006E7CE1" w:rsidR="007E1EE8">
        <w:rPr>
          <w:szCs w:val="24"/>
        </w:rPr>
        <w:t xml:space="preserve">Ohio Site Deployment </w:t>
      </w:r>
      <w:r w:rsidRPr="006E7CE1">
        <w:rPr>
          <w:szCs w:val="24"/>
        </w:rPr>
        <w:t xml:space="preserve">program </w:t>
      </w:r>
      <w:r w:rsidRPr="006E7CE1" w:rsidR="007E1EE8">
        <w:rPr>
          <w:szCs w:val="24"/>
        </w:rPr>
        <w:t>should be</w:t>
      </w:r>
      <w:r w:rsidRPr="006E7CE1" w:rsidR="00096771">
        <w:rPr>
          <w:szCs w:val="24"/>
        </w:rPr>
        <w:t xml:space="preserve"> returned to customers because they were not approved by the PUCO</w:t>
      </w:r>
      <w:r w:rsidRPr="006E7CE1" w:rsidR="007E1EE8">
        <w:rPr>
          <w:szCs w:val="24"/>
        </w:rPr>
        <w:t xml:space="preserve">. </w:t>
      </w:r>
      <w:r w:rsidRPr="006E7CE1" w:rsidR="0027210E">
        <w:rPr>
          <w:szCs w:val="24"/>
        </w:rPr>
        <w:t xml:space="preserve"> </w:t>
      </w:r>
      <w:r w:rsidRPr="006E7CE1" w:rsidR="00090C53">
        <w:rPr>
          <w:szCs w:val="24"/>
        </w:rPr>
        <w:t xml:space="preserve"> </w:t>
      </w:r>
    </w:p>
    <w:p w:rsidR="00627D01" w:rsidRPr="006E7CE1" w:rsidP="00627D01" w14:paraId="1A16A708" w14:textId="77777777">
      <w:pPr>
        <w:pStyle w:val="BodyTextIndent3"/>
        <w:widowControl w:val="0"/>
        <w:spacing w:line="240" w:lineRule="auto"/>
        <w:ind w:right="-29"/>
        <w:rPr>
          <w:szCs w:val="24"/>
        </w:rPr>
      </w:pPr>
    </w:p>
    <w:p w:rsidR="00A21F24" w:rsidRPr="006E7CE1" w:rsidP="003C520A" w14:paraId="67B40250" w14:textId="77777777">
      <w:pPr>
        <w:pStyle w:val="BodyTextIndent3"/>
        <w:widowControl w:val="0"/>
        <w:numPr>
          <w:ilvl w:val="0"/>
          <w:numId w:val="9"/>
        </w:numPr>
        <w:spacing w:line="480" w:lineRule="auto"/>
        <w:ind w:left="0" w:right="-24" w:firstLine="0"/>
        <w:rPr>
          <w:b/>
          <w:bCs/>
          <w:szCs w:val="24"/>
        </w:rPr>
      </w:pPr>
      <w:r w:rsidRPr="006E7CE1">
        <w:rPr>
          <w:b/>
          <w:bCs/>
          <w:szCs w:val="24"/>
        </w:rPr>
        <w:t>CONCLUSION</w:t>
      </w:r>
    </w:p>
    <w:p w:rsidR="00614CD5" w:rsidRPr="006E7CE1" w:rsidP="007F637A" w14:paraId="001130DB" w14:textId="13CDE561">
      <w:pPr>
        <w:pStyle w:val="BodyTextIndent3"/>
        <w:widowControl w:val="0"/>
        <w:spacing w:line="480" w:lineRule="auto"/>
        <w:ind w:right="-24"/>
        <w:rPr>
          <w:szCs w:val="24"/>
        </w:rPr>
      </w:pPr>
      <w:r w:rsidRPr="006E7CE1">
        <w:rPr>
          <w:szCs w:val="24"/>
        </w:rPr>
        <w:t>The PUCO</w:t>
      </w:r>
      <w:r w:rsidRPr="006E7CE1" w:rsidR="00FD7359">
        <w:rPr>
          <w:szCs w:val="24"/>
        </w:rPr>
        <w:t xml:space="preserve"> </w:t>
      </w:r>
      <w:r w:rsidRPr="006E7CE1" w:rsidR="00347029">
        <w:rPr>
          <w:szCs w:val="24"/>
        </w:rPr>
        <w:t xml:space="preserve">should </w:t>
      </w:r>
      <w:r w:rsidRPr="006E7CE1">
        <w:rPr>
          <w:szCs w:val="24"/>
        </w:rPr>
        <w:t xml:space="preserve">protect consumers against paying </w:t>
      </w:r>
      <w:r w:rsidRPr="006E7CE1" w:rsidR="00AB45EC">
        <w:rPr>
          <w:szCs w:val="24"/>
        </w:rPr>
        <w:t xml:space="preserve">$774,535 in </w:t>
      </w:r>
      <w:r w:rsidRPr="006E7CE1">
        <w:rPr>
          <w:szCs w:val="24"/>
        </w:rPr>
        <w:t>unapproved, unjust, and unreasonable rates through Rider AMI</w:t>
      </w:r>
      <w:r w:rsidRPr="006E7CE1" w:rsidR="00AA37D9">
        <w:rPr>
          <w:szCs w:val="24"/>
        </w:rPr>
        <w:t xml:space="preserve"> </w:t>
      </w:r>
      <w:r w:rsidRPr="006E7CE1" w:rsidR="00F86324">
        <w:rPr>
          <w:szCs w:val="24"/>
        </w:rPr>
        <w:t xml:space="preserve">by </w:t>
      </w:r>
      <w:r w:rsidRPr="006E7CE1" w:rsidR="00FD7359">
        <w:rPr>
          <w:szCs w:val="24"/>
        </w:rPr>
        <w:t>exclud</w:t>
      </w:r>
      <w:r w:rsidRPr="006E7CE1" w:rsidR="00F86324">
        <w:rPr>
          <w:szCs w:val="24"/>
        </w:rPr>
        <w:t>ing</w:t>
      </w:r>
      <w:r w:rsidRPr="006E7CE1" w:rsidR="009238EC">
        <w:rPr>
          <w:szCs w:val="24"/>
        </w:rPr>
        <w:t xml:space="preserve"> FirstEnergy’s </w:t>
      </w:r>
      <w:r w:rsidRPr="006E7CE1" w:rsidR="00D90F8C">
        <w:rPr>
          <w:szCs w:val="24"/>
        </w:rPr>
        <w:t>improper</w:t>
      </w:r>
      <w:r w:rsidRPr="006E7CE1" w:rsidR="00FD7359">
        <w:rPr>
          <w:szCs w:val="24"/>
        </w:rPr>
        <w:t xml:space="preserve"> capital </w:t>
      </w:r>
      <w:r w:rsidRPr="006E7CE1" w:rsidR="00D90F8C">
        <w:rPr>
          <w:szCs w:val="24"/>
        </w:rPr>
        <w:t>expenditure</w:t>
      </w:r>
      <w:r w:rsidRPr="006E7CE1" w:rsidR="006F2F6C">
        <w:rPr>
          <w:szCs w:val="24"/>
        </w:rPr>
        <w:t>s</w:t>
      </w:r>
      <w:r w:rsidRPr="006E7CE1" w:rsidR="00D90F8C">
        <w:rPr>
          <w:szCs w:val="24"/>
        </w:rPr>
        <w:t xml:space="preserve"> </w:t>
      </w:r>
      <w:r w:rsidRPr="006E7CE1" w:rsidR="00E33839">
        <w:rPr>
          <w:szCs w:val="24"/>
        </w:rPr>
        <w:t xml:space="preserve">that should </w:t>
      </w:r>
      <w:r w:rsidRPr="006E7CE1" w:rsidR="00C354F3">
        <w:rPr>
          <w:szCs w:val="24"/>
        </w:rPr>
        <w:t xml:space="preserve">instead </w:t>
      </w:r>
      <w:r w:rsidRPr="006E7CE1" w:rsidR="00E33839">
        <w:rPr>
          <w:szCs w:val="24"/>
        </w:rPr>
        <w:t xml:space="preserve">be expensed and </w:t>
      </w:r>
      <w:r w:rsidRPr="006E7CE1" w:rsidR="004E2CFD">
        <w:rPr>
          <w:szCs w:val="24"/>
        </w:rPr>
        <w:t>collected from customers</w:t>
      </w:r>
      <w:r w:rsidRPr="006E7CE1" w:rsidR="00E33839">
        <w:rPr>
          <w:szCs w:val="24"/>
        </w:rPr>
        <w:t xml:space="preserve"> </w:t>
      </w:r>
      <w:r w:rsidRPr="006E7CE1" w:rsidR="004E2CFD">
        <w:rPr>
          <w:szCs w:val="24"/>
        </w:rPr>
        <w:t>through</w:t>
      </w:r>
      <w:r w:rsidRPr="006E7CE1" w:rsidR="00E33839">
        <w:rPr>
          <w:szCs w:val="24"/>
        </w:rPr>
        <w:t xml:space="preserve"> base rates</w:t>
      </w:r>
      <w:r w:rsidRPr="006E7CE1" w:rsidR="00AB45EC">
        <w:rPr>
          <w:szCs w:val="24"/>
        </w:rPr>
        <w:t xml:space="preserve">. </w:t>
      </w:r>
      <w:r w:rsidRPr="006E7CE1" w:rsidR="005824D2">
        <w:rPr>
          <w:szCs w:val="24"/>
        </w:rPr>
        <w:t xml:space="preserve">Moreover, </w:t>
      </w:r>
      <w:r w:rsidRPr="006E7CE1" w:rsidR="003F62C2">
        <w:rPr>
          <w:szCs w:val="24"/>
        </w:rPr>
        <w:t>as OCC recommended in its initial comments,</w:t>
      </w:r>
      <w:r>
        <w:rPr>
          <w:rStyle w:val="FootnoteReference"/>
          <w:szCs w:val="24"/>
        </w:rPr>
        <w:footnoteReference w:id="22"/>
      </w:r>
      <w:r w:rsidRPr="006E7CE1" w:rsidR="003F62C2">
        <w:rPr>
          <w:szCs w:val="24"/>
        </w:rPr>
        <w:t xml:space="preserve"> </w:t>
      </w:r>
      <w:r w:rsidRPr="006E7CE1" w:rsidR="00037B2E">
        <w:rPr>
          <w:szCs w:val="24"/>
        </w:rPr>
        <w:t>FirstEnergy</w:t>
      </w:r>
      <w:r w:rsidRPr="006E7CE1" w:rsidR="00E33839">
        <w:rPr>
          <w:szCs w:val="24"/>
        </w:rPr>
        <w:t xml:space="preserve"> should be directed to modify its Application and calculate the reductions </w:t>
      </w:r>
      <w:r w:rsidRPr="006E7CE1" w:rsidR="00EF0902">
        <w:rPr>
          <w:szCs w:val="24"/>
        </w:rPr>
        <w:t xml:space="preserve">to </w:t>
      </w:r>
      <w:r w:rsidRPr="006E7CE1" w:rsidR="00E33839">
        <w:rPr>
          <w:szCs w:val="24"/>
        </w:rPr>
        <w:t xml:space="preserve">the 2018 AMI revenue requirement </w:t>
      </w:r>
      <w:r w:rsidRPr="006E7CE1" w:rsidR="00AB0512">
        <w:rPr>
          <w:szCs w:val="24"/>
        </w:rPr>
        <w:t xml:space="preserve">to account the for the disallowance of </w:t>
      </w:r>
      <w:r w:rsidRPr="006E7CE1" w:rsidR="00043746">
        <w:rPr>
          <w:szCs w:val="24"/>
        </w:rPr>
        <w:t xml:space="preserve">the </w:t>
      </w:r>
      <w:r w:rsidRPr="006E7CE1" w:rsidR="00AB0512">
        <w:rPr>
          <w:szCs w:val="24"/>
        </w:rPr>
        <w:t xml:space="preserve">$774,535 </w:t>
      </w:r>
      <w:r w:rsidRPr="006E7CE1" w:rsidR="00043746">
        <w:rPr>
          <w:szCs w:val="24"/>
        </w:rPr>
        <w:t xml:space="preserve">already identified and for </w:t>
      </w:r>
      <w:r w:rsidRPr="006E7CE1" w:rsidR="00E33839">
        <w:rPr>
          <w:szCs w:val="24"/>
        </w:rPr>
        <w:t xml:space="preserve"> </w:t>
      </w:r>
      <w:r w:rsidRPr="006E7CE1" w:rsidR="00AA6E1B">
        <w:rPr>
          <w:szCs w:val="24"/>
        </w:rPr>
        <w:t xml:space="preserve">any unauthorized “expansion” expenses that FE </w:t>
      </w:r>
      <w:r w:rsidRPr="006E7CE1" w:rsidR="0093360C">
        <w:rPr>
          <w:szCs w:val="24"/>
        </w:rPr>
        <w:t xml:space="preserve">incurred and improperly charged to Rider AMI. </w:t>
      </w:r>
      <w:r w:rsidRPr="006E7CE1" w:rsidR="00B21F5B">
        <w:rPr>
          <w:szCs w:val="24"/>
        </w:rPr>
        <w:t>FirstEnergy</w:t>
      </w:r>
      <w:r w:rsidRPr="006E7CE1" w:rsidR="00E33839">
        <w:rPr>
          <w:szCs w:val="24"/>
        </w:rPr>
        <w:t xml:space="preserve">. The resulting </w:t>
      </w:r>
      <w:r w:rsidRPr="006E7CE1" w:rsidR="005034A2">
        <w:rPr>
          <w:szCs w:val="24"/>
        </w:rPr>
        <w:t xml:space="preserve">revenue requirement </w:t>
      </w:r>
      <w:r w:rsidRPr="006E7CE1" w:rsidR="00D0053C">
        <w:rPr>
          <w:szCs w:val="24"/>
        </w:rPr>
        <w:t xml:space="preserve">reductions </w:t>
      </w:r>
      <w:r w:rsidRPr="006E7CE1" w:rsidR="00F966FB">
        <w:rPr>
          <w:szCs w:val="24"/>
        </w:rPr>
        <w:t>to</w:t>
      </w:r>
      <w:r w:rsidRPr="006E7CE1" w:rsidR="00D0053C">
        <w:rPr>
          <w:szCs w:val="24"/>
        </w:rPr>
        <w:t xml:space="preserve"> </w:t>
      </w:r>
      <w:r w:rsidRPr="006E7CE1" w:rsidR="00E33839">
        <w:rPr>
          <w:szCs w:val="24"/>
        </w:rPr>
        <w:t xml:space="preserve">the 2018 Rider AMI charges should be returned to customers immediately through an adjustment of the </w:t>
      </w:r>
      <w:r w:rsidRPr="006E7CE1" w:rsidR="0093360C">
        <w:rPr>
          <w:szCs w:val="24"/>
        </w:rPr>
        <w:t xml:space="preserve">2019 </w:t>
      </w:r>
      <w:r w:rsidRPr="006E7CE1" w:rsidR="00E33839">
        <w:rPr>
          <w:szCs w:val="24"/>
        </w:rPr>
        <w:t>AMI Rider charge</w:t>
      </w:r>
      <w:r w:rsidRPr="006E7CE1" w:rsidR="00A75A7D">
        <w:rPr>
          <w:szCs w:val="24"/>
        </w:rPr>
        <w:t>s</w:t>
      </w:r>
      <w:r w:rsidRPr="006E7CE1" w:rsidR="00E33839">
        <w:rPr>
          <w:szCs w:val="24"/>
        </w:rPr>
        <w:t xml:space="preserve"> to be collected in 2020</w:t>
      </w:r>
      <w:r w:rsidRPr="006E7CE1" w:rsidR="00FD7359">
        <w:rPr>
          <w:szCs w:val="24"/>
        </w:rPr>
        <w:t>.</w:t>
      </w:r>
      <w:r w:rsidRPr="006E7CE1" w:rsidR="00AB45EC">
        <w:rPr>
          <w:szCs w:val="24"/>
        </w:rPr>
        <w:tab/>
      </w:r>
      <w:r w:rsidRPr="006E7CE1" w:rsidR="00AB45EC">
        <w:rPr>
          <w:szCs w:val="24"/>
        </w:rPr>
        <w:tab/>
      </w:r>
      <w:r w:rsidRPr="006E7CE1" w:rsidR="00AB45EC">
        <w:rPr>
          <w:szCs w:val="24"/>
        </w:rPr>
        <w:tab/>
      </w:r>
      <w:r w:rsidRPr="006E7CE1" w:rsidR="00AB45EC">
        <w:rPr>
          <w:szCs w:val="24"/>
        </w:rPr>
        <w:tab/>
      </w:r>
      <w:r w:rsidR="007F637A">
        <w:rPr>
          <w:szCs w:val="24"/>
        </w:rPr>
        <w:tab/>
      </w:r>
      <w:r w:rsidR="007F637A">
        <w:rPr>
          <w:szCs w:val="24"/>
        </w:rPr>
        <w:tab/>
      </w:r>
      <w:r w:rsidR="007F637A">
        <w:rPr>
          <w:szCs w:val="24"/>
        </w:rPr>
        <w:tab/>
      </w:r>
      <w:r w:rsidR="007F637A">
        <w:rPr>
          <w:szCs w:val="24"/>
        </w:rPr>
        <w:tab/>
      </w:r>
      <w:r w:rsidRPr="006E7CE1" w:rsidR="00EB0F5D">
        <w:rPr>
          <w:szCs w:val="24"/>
        </w:rPr>
        <w:t>Respectfully submitted,</w:t>
      </w:r>
    </w:p>
    <w:p w:rsidR="00856E1B" w:rsidRPr="006E7CE1" w:rsidP="00856E1B" w14:paraId="2E8BFC4E" w14:textId="77777777">
      <w:pPr>
        <w:ind w:left="4320"/>
        <w:rPr>
          <w:szCs w:val="24"/>
        </w:rPr>
      </w:pPr>
      <w:r w:rsidRPr="006E7CE1">
        <w:rPr>
          <w:szCs w:val="24"/>
        </w:rPr>
        <w:t>Bruce Weston (0016973)</w:t>
      </w:r>
    </w:p>
    <w:p w:rsidR="00856E1B" w:rsidRPr="006E7CE1" w:rsidP="00856E1B" w14:paraId="4B5AFF66" w14:textId="77777777">
      <w:pPr>
        <w:tabs>
          <w:tab w:val="left" w:pos="4320"/>
        </w:tabs>
        <w:ind w:left="4320"/>
        <w:rPr>
          <w:szCs w:val="24"/>
        </w:rPr>
      </w:pPr>
      <w:r w:rsidRPr="006E7CE1">
        <w:rPr>
          <w:szCs w:val="24"/>
        </w:rPr>
        <w:t>Ohio Consumers’ Counsel</w:t>
      </w:r>
    </w:p>
    <w:p w:rsidR="00856E1B" w:rsidRPr="006E7CE1" w:rsidP="00856E1B" w14:paraId="7D04C2F8" w14:textId="77777777">
      <w:pPr>
        <w:tabs>
          <w:tab w:val="left" w:pos="4320"/>
        </w:tabs>
        <w:ind w:left="4320"/>
        <w:rPr>
          <w:szCs w:val="24"/>
        </w:rPr>
      </w:pPr>
    </w:p>
    <w:p w:rsidR="00B636E0" w:rsidRPr="006E7CE1" w:rsidP="00B636E0" w14:paraId="3AB898E8" w14:textId="59CB4C09">
      <w:pPr>
        <w:autoSpaceDE w:val="0"/>
        <w:autoSpaceDN w:val="0"/>
        <w:adjustRightInd w:val="0"/>
        <w:ind w:left="4320"/>
        <w:rPr>
          <w:i/>
          <w:szCs w:val="24"/>
        </w:rPr>
      </w:pPr>
      <w:r w:rsidRPr="006E7CE1">
        <w:rPr>
          <w:i/>
          <w:szCs w:val="24"/>
          <w:u w:val="single"/>
        </w:rPr>
        <w:t xml:space="preserve">/s/ Ambrosia </w:t>
      </w:r>
      <w:r w:rsidRPr="006E7CE1" w:rsidR="00B84242">
        <w:rPr>
          <w:i/>
          <w:szCs w:val="24"/>
          <w:u w:val="single"/>
        </w:rPr>
        <w:t xml:space="preserve">E. </w:t>
      </w:r>
      <w:r w:rsidRPr="006E7CE1" w:rsidR="003D6AC4">
        <w:rPr>
          <w:i/>
          <w:szCs w:val="24"/>
          <w:u w:val="single"/>
        </w:rPr>
        <w:t>Wilson</w:t>
      </w:r>
      <w:r w:rsidRPr="006E7CE1">
        <w:rPr>
          <w:i/>
          <w:szCs w:val="24"/>
          <w:u w:val="single"/>
        </w:rPr>
        <w:tab/>
      </w:r>
    </w:p>
    <w:p w:rsidR="00FD0F52" w:rsidRPr="006E7CE1" w:rsidP="00B636E0" w14:paraId="2FBE9C28" w14:textId="576869FC">
      <w:pPr>
        <w:tabs>
          <w:tab w:val="left" w:pos="4320"/>
        </w:tabs>
        <w:ind w:left="4320"/>
        <w:rPr>
          <w:szCs w:val="24"/>
        </w:rPr>
      </w:pPr>
      <w:r w:rsidRPr="006E7CE1">
        <w:rPr>
          <w:szCs w:val="24"/>
        </w:rPr>
        <w:t xml:space="preserve">Ambrosia E. </w:t>
      </w:r>
      <w:r w:rsidRPr="006E7CE1" w:rsidR="003D6AC4">
        <w:rPr>
          <w:szCs w:val="24"/>
        </w:rPr>
        <w:t>Wilson</w:t>
      </w:r>
      <w:r w:rsidRPr="006E7CE1">
        <w:rPr>
          <w:szCs w:val="24"/>
        </w:rPr>
        <w:t xml:space="preserve"> (0096598)</w:t>
      </w:r>
      <w:r w:rsidRPr="006E7CE1" w:rsidR="00E0377E">
        <w:rPr>
          <w:szCs w:val="24"/>
        </w:rPr>
        <w:br/>
        <w:t>Counsel of Record</w:t>
      </w:r>
    </w:p>
    <w:p w:rsidR="00EC7EAE" w:rsidRPr="006E7CE1" w:rsidP="00B636E0" w14:paraId="3E7974DC" w14:textId="77777777">
      <w:pPr>
        <w:tabs>
          <w:tab w:val="left" w:pos="4320"/>
        </w:tabs>
        <w:ind w:left="4320"/>
        <w:rPr>
          <w:szCs w:val="24"/>
        </w:rPr>
      </w:pPr>
      <w:r w:rsidRPr="006E7CE1">
        <w:rPr>
          <w:szCs w:val="24"/>
        </w:rPr>
        <w:t>Assistant Consumers’ Counsel</w:t>
      </w:r>
    </w:p>
    <w:p w:rsidR="00E14EBC" w:rsidRPr="006E7CE1" w:rsidP="00B636E0" w14:paraId="5484FCF4" w14:textId="77777777">
      <w:pPr>
        <w:tabs>
          <w:tab w:val="left" w:pos="4320"/>
        </w:tabs>
        <w:ind w:left="4320"/>
        <w:rPr>
          <w:b/>
          <w:szCs w:val="24"/>
        </w:rPr>
      </w:pPr>
    </w:p>
    <w:p w:rsidR="00B636E0" w:rsidRPr="006E7CE1" w:rsidP="00B636E0" w14:paraId="0CE8FF1A" w14:textId="77777777">
      <w:pPr>
        <w:tabs>
          <w:tab w:val="left" w:pos="4320"/>
        </w:tabs>
        <w:ind w:left="4320"/>
        <w:rPr>
          <w:b/>
          <w:szCs w:val="24"/>
        </w:rPr>
      </w:pPr>
      <w:r w:rsidRPr="006E7CE1">
        <w:rPr>
          <w:b/>
          <w:szCs w:val="24"/>
        </w:rPr>
        <w:t>Office of the Ohio Consumers' Counsel</w:t>
      </w:r>
    </w:p>
    <w:p w:rsidR="00B636E0" w:rsidRPr="006E7CE1" w:rsidP="00B636E0" w14:paraId="618F2F7B" w14:textId="77777777">
      <w:pPr>
        <w:tabs>
          <w:tab w:val="left" w:pos="4320"/>
        </w:tabs>
        <w:ind w:left="4320"/>
        <w:rPr>
          <w:szCs w:val="24"/>
        </w:rPr>
      </w:pPr>
      <w:r w:rsidRPr="006E7CE1">
        <w:rPr>
          <w:szCs w:val="24"/>
        </w:rPr>
        <w:t>65 E. State Street, 7th Floor</w:t>
      </w:r>
    </w:p>
    <w:p w:rsidR="00B636E0" w:rsidRPr="006E7CE1" w:rsidP="00B636E0" w14:paraId="4D1D73E0" w14:textId="77777777">
      <w:pPr>
        <w:tabs>
          <w:tab w:val="left" w:pos="4320"/>
        </w:tabs>
        <w:ind w:left="4320"/>
        <w:rPr>
          <w:szCs w:val="24"/>
        </w:rPr>
      </w:pPr>
      <w:r w:rsidRPr="006E7CE1">
        <w:rPr>
          <w:szCs w:val="24"/>
        </w:rPr>
        <w:t>Columbus, Ohio 43215-4213</w:t>
      </w:r>
    </w:p>
    <w:p w:rsidR="00FD0F52" w:rsidRPr="006E7CE1" w:rsidP="00B636E0" w14:paraId="74D1C58C" w14:textId="276572AE">
      <w:pPr>
        <w:tabs>
          <w:tab w:val="left" w:pos="4320"/>
        </w:tabs>
        <w:ind w:left="4320"/>
        <w:rPr>
          <w:szCs w:val="24"/>
        </w:rPr>
      </w:pPr>
      <w:r w:rsidRPr="006E7CE1">
        <w:rPr>
          <w:szCs w:val="24"/>
        </w:rPr>
        <w:t>Telephone [</w:t>
      </w:r>
      <w:r w:rsidRPr="006E7CE1" w:rsidR="003D6AC4">
        <w:rPr>
          <w:szCs w:val="24"/>
        </w:rPr>
        <w:t>Wilson</w:t>
      </w:r>
      <w:r w:rsidRPr="006E7CE1">
        <w:rPr>
          <w:szCs w:val="24"/>
        </w:rPr>
        <w:t>]: 614-466-1292</w:t>
      </w:r>
    </w:p>
    <w:p w:rsidR="00FD0F52" w:rsidRPr="006E7CE1" w:rsidP="00B636E0" w14:paraId="13161BD7" w14:textId="6FC12767">
      <w:pPr>
        <w:ind w:left="4320"/>
        <w:rPr>
          <w:color w:val="0000FF"/>
          <w:szCs w:val="24"/>
          <w:u w:val="single"/>
        </w:rPr>
      </w:pPr>
      <w:r w:rsidRPr="006E7CE1">
        <w:rPr>
          <w:color w:val="0000FF"/>
          <w:szCs w:val="24"/>
          <w:u w:val="single"/>
        </w:rPr>
        <w:t>ambrosia.</w:t>
      </w:r>
      <w:r w:rsidRPr="006E7CE1" w:rsidR="003D6AC4">
        <w:rPr>
          <w:color w:val="0000FF"/>
          <w:szCs w:val="24"/>
          <w:u w:val="single"/>
        </w:rPr>
        <w:t>wilson</w:t>
      </w:r>
      <w:r w:rsidRPr="006E7CE1">
        <w:rPr>
          <w:color w:val="0000FF"/>
          <w:szCs w:val="24"/>
          <w:u w:val="single"/>
        </w:rPr>
        <w:t>@occ.ohio.gov</w:t>
      </w:r>
    </w:p>
    <w:p w:rsidR="007A62C0" w:rsidRPr="006E7CE1" w:rsidP="007A62C0" w14:paraId="36DAEF9B" w14:textId="6A829983">
      <w:pPr>
        <w:ind w:left="4320"/>
        <w:rPr>
          <w:szCs w:val="24"/>
        </w:rPr>
      </w:pPr>
      <w:r w:rsidRPr="006E7CE1">
        <w:rPr>
          <w:szCs w:val="24"/>
        </w:rPr>
        <w:t>(will</w:t>
      </w:r>
      <w:r w:rsidRPr="006E7CE1" w:rsidR="00B84242">
        <w:rPr>
          <w:szCs w:val="24"/>
        </w:rPr>
        <w:t>ing to</w:t>
      </w:r>
      <w:r w:rsidRPr="006E7CE1">
        <w:rPr>
          <w:szCs w:val="24"/>
        </w:rPr>
        <w:t xml:space="preserve"> accept service </w:t>
      </w:r>
      <w:r w:rsidRPr="006E7CE1" w:rsidR="00B84242">
        <w:rPr>
          <w:szCs w:val="24"/>
        </w:rPr>
        <w:t>by</w:t>
      </w:r>
      <w:r w:rsidRPr="006E7CE1">
        <w:rPr>
          <w:szCs w:val="24"/>
        </w:rPr>
        <w:t xml:space="preserve"> e</w:t>
      </w:r>
      <w:r w:rsidRPr="006E7CE1" w:rsidR="00B84242">
        <w:rPr>
          <w:szCs w:val="24"/>
        </w:rPr>
        <w:t>-</w:t>
      </w:r>
      <w:r w:rsidRPr="006E7CE1">
        <w:rPr>
          <w:szCs w:val="24"/>
        </w:rPr>
        <w:t>mail)</w:t>
      </w:r>
    </w:p>
    <w:p w:rsidR="007A62C0" w:rsidRPr="006E7CE1" w14:paraId="59055CE3" w14:textId="77777777">
      <w:pPr>
        <w:rPr>
          <w:szCs w:val="24"/>
        </w:rPr>
      </w:pPr>
      <w:r w:rsidRPr="006E7CE1">
        <w:rPr>
          <w:szCs w:val="24"/>
        </w:rPr>
        <w:br w:type="page"/>
      </w:r>
    </w:p>
    <w:p w:rsidR="00614CD5" w:rsidRPr="006E7CE1" w:rsidP="007A62C0" w14:paraId="18E2D4D4" w14:textId="0826F157">
      <w:pPr>
        <w:ind w:left="4320" w:hanging="4320"/>
        <w:jc w:val="center"/>
        <w:rPr>
          <w:b/>
          <w:bCs/>
          <w:szCs w:val="24"/>
          <w:u w:val="single"/>
        </w:rPr>
      </w:pPr>
      <w:r w:rsidRPr="006E7CE1">
        <w:rPr>
          <w:b/>
          <w:bCs/>
          <w:szCs w:val="24"/>
          <w:u w:val="single"/>
        </w:rPr>
        <w:t>CERTIFICATE OF SERVICE</w:t>
      </w:r>
    </w:p>
    <w:p w:rsidR="00EC7EAE" w:rsidRPr="006E7CE1" w:rsidP="00B31962" w14:paraId="510B9059" w14:textId="77777777">
      <w:pPr>
        <w:jc w:val="center"/>
        <w:rPr>
          <w:b/>
          <w:bCs/>
          <w:szCs w:val="24"/>
          <w:u w:val="single"/>
        </w:rPr>
      </w:pPr>
    </w:p>
    <w:p w:rsidR="00614CD5" w:rsidRPr="006E7CE1" w:rsidP="00614CD5" w14:paraId="43AD7D2D" w14:textId="7B5806AD">
      <w:pPr>
        <w:spacing w:line="480" w:lineRule="atLeast"/>
        <w:ind w:firstLine="720"/>
        <w:rPr>
          <w:szCs w:val="24"/>
        </w:rPr>
      </w:pPr>
      <w:r w:rsidRPr="006E7CE1">
        <w:rPr>
          <w:szCs w:val="24"/>
        </w:rPr>
        <w:t xml:space="preserve">I hereby certify that a copy of these </w:t>
      </w:r>
      <w:r>
        <w:rPr>
          <w:szCs w:val="24"/>
        </w:rPr>
        <w:t xml:space="preserve">Reply </w:t>
      </w:r>
      <w:r w:rsidRPr="006E7CE1">
        <w:rPr>
          <w:szCs w:val="24"/>
        </w:rPr>
        <w:t xml:space="preserve">Comments was served on the persons stated below via electronic transmission, this </w:t>
      </w:r>
      <w:r w:rsidRPr="006E7CE1" w:rsidR="002B4D1F">
        <w:rPr>
          <w:szCs w:val="24"/>
        </w:rPr>
        <w:t>8th</w:t>
      </w:r>
      <w:r w:rsidRPr="006E7CE1">
        <w:rPr>
          <w:szCs w:val="24"/>
        </w:rPr>
        <w:t xml:space="preserve"> day of </w:t>
      </w:r>
      <w:r w:rsidRPr="006E7CE1" w:rsidR="003D6AC4">
        <w:rPr>
          <w:szCs w:val="24"/>
        </w:rPr>
        <w:t>May</w:t>
      </w:r>
      <w:r w:rsidRPr="006E7CE1">
        <w:rPr>
          <w:szCs w:val="24"/>
        </w:rPr>
        <w:t xml:space="preserve"> 20</w:t>
      </w:r>
      <w:r w:rsidRPr="006E7CE1" w:rsidR="00B31962">
        <w:rPr>
          <w:szCs w:val="24"/>
        </w:rPr>
        <w:t>20</w:t>
      </w:r>
      <w:r w:rsidRPr="006E7CE1">
        <w:rPr>
          <w:szCs w:val="24"/>
        </w:rPr>
        <w:t>.</w:t>
      </w:r>
    </w:p>
    <w:p w:rsidR="00614CD5" w:rsidRPr="006E7CE1" w14:paraId="71A7EED4" w14:textId="77777777">
      <w:pPr>
        <w:spacing w:line="480" w:lineRule="atLeast"/>
        <w:rPr>
          <w:szCs w:val="24"/>
        </w:rPr>
      </w:pPr>
    </w:p>
    <w:p w:rsidR="00614CD5" w:rsidRPr="006E7CE1" w14:paraId="52821FCB" w14:textId="0960B2F4">
      <w:pPr>
        <w:tabs>
          <w:tab w:val="left" w:pos="4320"/>
        </w:tabs>
        <w:rPr>
          <w:szCs w:val="24"/>
        </w:rPr>
      </w:pPr>
      <w:r w:rsidRPr="006E7CE1">
        <w:rPr>
          <w:szCs w:val="24"/>
        </w:rPr>
        <w:tab/>
      </w:r>
      <w:r w:rsidRPr="006E7CE1">
        <w:rPr>
          <w:i/>
          <w:szCs w:val="24"/>
          <w:u w:val="single"/>
        </w:rPr>
        <w:t xml:space="preserve">/s/ Ambrosia </w:t>
      </w:r>
      <w:r w:rsidRPr="006E7CE1" w:rsidR="00B31962">
        <w:rPr>
          <w:i/>
          <w:szCs w:val="24"/>
          <w:u w:val="single"/>
        </w:rPr>
        <w:t xml:space="preserve">E. </w:t>
      </w:r>
      <w:r w:rsidRPr="006E7CE1" w:rsidR="003D6AC4">
        <w:rPr>
          <w:i/>
          <w:szCs w:val="24"/>
          <w:u w:val="single"/>
        </w:rPr>
        <w:t>Wilson</w:t>
      </w:r>
      <w:r w:rsidRPr="006E7CE1">
        <w:rPr>
          <w:i/>
          <w:szCs w:val="24"/>
          <w:u w:val="single"/>
        </w:rPr>
        <w:tab/>
      </w:r>
    </w:p>
    <w:p w:rsidR="00614CD5" w:rsidRPr="006E7CE1" w14:paraId="650A946C" w14:textId="7C8DDCCF">
      <w:pPr>
        <w:tabs>
          <w:tab w:val="left" w:pos="4320"/>
        </w:tabs>
        <w:rPr>
          <w:szCs w:val="24"/>
        </w:rPr>
      </w:pPr>
      <w:r w:rsidRPr="006E7CE1">
        <w:rPr>
          <w:szCs w:val="24"/>
        </w:rPr>
        <w:tab/>
        <w:t>Ambrosia</w:t>
      </w:r>
      <w:r w:rsidRPr="006E7CE1" w:rsidR="00B31962">
        <w:rPr>
          <w:szCs w:val="24"/>
        </w:rPr>
        <w:t xml:space="preserve"> E. </w:t>
      </w:r>
      <w:r w:rsidRPr="006E7CE1" w:rsidR="003D6AC4">
        <w:rPr>
          <w:szCs w:val="24"/>
        </w:rPr>
        <w:t>Wilson</w:t>
      </w:r>
    </w:p>
    <w:p w:rsidR="00614CD5" w:rsidRPr="006E7CE1" w14:paraId="61ECDFBB" w14:textId="77777777">
      <w:pPr>
        <w:tabs>
          <w:tab w:val="left" w:pos="4320"/>
        </w:tabs>
        <w:rPr>
          <w:szCs w:val="24"/>
        </w:rPr>
      </w:pPr>
      <w:r w:rsidRPr="006E7CE1">
        <w:rPr>
          <w:szCs w:val="24"/>
        </w:rPr>
        <w:tab/>
        <w:t>Assistant Consumers' Counsel</w:t>
      </w:r>
    </w:p>
    <w:p w:rsidR="00614CD5" w:rsidRPr="006E7CE1" w14:paraId="574FE35F" w14:textId="77777777">
      <w:pPr>
        <w:pStyle w:val="CommentSubject"/>
        <w:rPr>
          <w:szCs w:val="24"/>
        </w:rPr>
      </w:pPr>
    </w:p>
    <w:p w:rsidR="00B31962" w:rsidRPr="006E7CE1" w:rsidP="00B31962" w14:paraId="00D383E6" w14:textId="77777777">
      <w:pPr>
        <w:rPr>
          <w:szCs w:val="24"/>
        </w:rPr>
      </w:pPr>
      <w:r w:rsidRPr="006E7CE1">
        <w:rPr>
          <w:szCs w:val="24"/>
        </w:rPr>
        <w:t>The PUCO’s e-filing system will electronically serve notice of the filing of this document on the following parties:</w:t>
      </w:r>
    </w:p>
    <w:p w:rsidR="00614CD5" w:rsidRPr="006E7CE1" w:rsidP="00614CD5" w14:paraId="2ED29691" w14:textId="77777777">
      <w:pPr>
        <w:pStyle w:val="CommentText"/>
        <w:jc w:val="center"/>
        <w:rPr>
          <w:b/>
          <w:u w:val="single"/>
        </w:rPr>
      </w:pPr>
    </w:p>
    <w:p w:rsidR="002B4D1F" w:rsidRPr="006E7CE1" w:rsidP="002B4D1F" w14:paraId="20976E82" w14:textId="77777777">
      <w:pPr>
        <w:pStyle w:val="CommentText"/>
        <w:jc w:val="center"/>
        <w:rPr>
          <w:b/>
          <w:u w:val="single"/>
        </w:rPr>
      </w:pPr>
      <w:r w:rsidRPr="006E7CE1">
        <w:rPr>
          <w:b/>
          <w:u w:val="single"/>
        </w:rPr>
        <w:t>SERVICE LIST</w:t>
      </w:r>
    </w:p>
    <w:p w:rsidR="002B4D1F" w:rsidRPr="006E7CE1" w:rsidP="002B4D1F" w14:paraId="6C7729CC" w14:textId="77777777">
      <w:pPr>
        <w:pStyle w:val="CommentText"/>
        <w:jc w:val="center"/>
        <w:rPr>
          <w:b/>
          <w:u w:val="single"/>
        </w:rPr>
      </w:pPr>
    </w:p>
    <w:tbl>
      <w:tblPr>
        <w:tblW w:w="0" w:type="auto"/>
        <w:tblLook w:val="04A0"/>
      </w:tblPr>
      <w:tblGrid>
        <w:gridCol w:w="4338"/>
        <w:gridCol w:w="4302"/>
      </w:tblGrid>
      <w:tr w14:paraId="41DB6FE4" w14:textId="77777777" w:rsidTr="003502A9">
        <w:tblPrEx>
          <w:tblW w:w="0" w:type="auto"/>
          <w:tblLook w:val="04A0"/>
        </w:tblPrEx>
        <w:tc>
          <w:tcPr>
            <w:tcW w:w="4428" w:type="dxa"/>
            <w:shd w:val="clear" w:color="auto" w:fill="auto"/>
          </w:tcPr>
          <w:p w:rsidR="002B4D1F" w:rsidRPr="006E7CE1" w:rsidP="003502A9" w14:paraId="328B5645" w14:textId="0EBC5981">
            <w:pPr>
              <w:pStyle w:val="CommentText"/>
              <w:rPr>
                <w:rStyle w:val="Hyperlink"/>
              </w:rPr>
            </w:pPr>
            <w:hyperlink r:id="rId10" w:history="1">
              <w:r w:rsidRPr="006E7CE1" w:rsidR="00627D01">
                <w:rPr>
                  <w:rStyle w:val="Hyperlink"/>
                </w:rPr>
                <w:t>jodi.bair@ohioattorneygeneral.gov</w:t>
              </w:r>
            </w:hyperlink>
          </w:p>
          <w:p w:rsidR="00627D01" w:rsidRPr="006E7CE1" w:rsidP="003502A9" w14:paraId="1EFC4331" w14:textId="27D61614">
            <w:pPr>
              <w:pStyle w:val="CommentText"/>
              <w:rPr>
                <w:rStyle w:val="Hyperlink"/>
              </w:rPr>
            </w:pPr>
            <w:hyperlink r:id="rId11" w:history="1">
              <w:r w:rsidRPr="006E7CE1" w:rsidR="00F63F17">
                <w:rPr>
                  <w:rStyle w:val="Hyperlink"/>
                </w:rPr>
                <w:t>steven.darnell@ohioattorneygeneral.gov</w:t>
              </w:r>
            </w:hyperlink>
          </w:p>
          <w:p w:rsidR="002B4D1F" w:rsidRPr="006E7CE1" w:rsidP="003502A9" w14:paraId="267962EB" w14:textId="77777777">
            <w:pPr>
              <w:pStyle w:val="CommentText"/>
            </w:pPr>
          </w:p>
          <w:p w:rsidR="002B4D1F" w:rsidRPr="006E7CE1" w:rsidP="003502A9" w14:paraId="19D4A0A6" w14:textId="77777777">
            <w:pPr>
              <w:pStyle w:val="CommentText"/>
            </w:pPr>
            <w:r w:rsidRPr="006E7CE1">
              <w:t>Attorney Examiners:</w:t>
            </w:r>
          </w:p>
          <w:p w:rsidR="002B4D1F" w:rsidRPr="006E7CE1" w:rsidP="003502A9" w14:paraId="0D23BA87" w14:textId="77777777">
            <w:pPr>
              <w:pStyle w:val="CommentText"/>
            </w:pPr>
          </w:p>
          <w:p w:rsidR="002B4D1F" w:rsidRPr="006E7CE1" w:rsidP="003502A9" w14:paraId="2EB785B1" w14:textId="77777777">
            <w:pPr>
              <w:pStyle w:val="CommentText"/>
            </w:pPr>
            <w:hyperlink r:id="rId12" w:history="1">
              <w:r w:rsidRPr="006E7CE1" w:rsidR="00EB0F5D">
                <w:rPr>
                  <w:rStyle w:val="Hyperlink"/>
                </w:rPr>
                <w:t>Megan.addison@puc.state.oh.us</w:t>
              </w:r>
            </w:hyperlink>
          </w:p>
          <w:p w:rsidR="002B4D1F" w:rsidRPr="006E7CE1" w:rsidP="003502A9" w14:paraId="51909710" w14:textId="77777777">
            <w:pPr>
              <w:pStyle w:val="CommentText"/>
            </w:pPr>
            <w:hyperlink r:id="rId13" w:history="1">
              <w:r w:rsidRPr="006E7CE1" w:rsidR="00EB0F5D">
                <w:rPr>
                  <w:rStyle w:val="Hyperlink"/>
                </w:rPr>
                <w:t>Gregory.price@puc.state.oh.us</w:t>
              </w:r>
            </w:hyperlink>
          </w:p>
          <w:p w:rsidR="002B4D1F" w:rsidRPr="006E7CE1" w:rsidP="003502A9" w14:paraId="330030C2" w14:textId="77777777">
            <w:pPr>
              <w:pStyle w:val="CommentText"/>
            </w:pPr>
          </w:p>
        </w:tc>
        <w:tc>
          <w:tcPr>
            <w:tcW w:w="4428" w:type="dxa"/>
            <w:shd w:val="clear" w:color="auto" w:fill="auto"/>
          </w:tcPr>
          <w:p w:rsidR="00627D01" w:rsidRPr="006E7CE1" w:rsidP="003502A9" w14:paraId="08F67D24" w14:textId="56B09A77">
            <w:pPr>
              <w:pStyle w:val="CommentText"/>
              <w:ind w:left="612"/>
              <w:rPr>
                <w:color w:val="0563C2"/>
              </w:rPr>
            </w:pPr>
            <w:hyperlink r:id="rId14" w:history="1">
              <w:r w:rsidRPr="006E7CE1" w:rsidR="00F63F17">
                <w:rPr>
                  <w:rStyle w:val="Hyperlink"/>
                </w:rPr>
                <w:t>cwatchorn@firstenergycorp.com</w:t>
              </w:r>
            </w:hyperlink>
          </w:p>
          <w:p w:rsidR="002B4D1F" w:rsidRPr="006E7CE1" w:rsidP="00627D01" w14:paraId="0295A4AF" w14:textId="77777777">
            <w:pPr>
              <w:pStyle w:val="CommentText"/>
              <w:ind w:left="612"/>
            </w:pPr>
          </w:p>
        </w:tc>
      </w:tr>
    </w:tbl>
    <w:p w:rsidR="00F82766" w:rsidRPr="006E7CE1" w:rsidP="00614CD5" w14:paraId="3F7BDB17" w14:textId="77777777">
      <w:pPr>
        <w:pStyle w:val="CommentText"/>
        <w:jc w:val="center"/>
        <w:rPr>
          <w:b/>
          <w:u w:val="single"/>
        </w:rPr>
      </w:pPr>
    </w:p>
    <w:p w:rsidR="00B31962" w:rsidRPr="006E7CE1" w:rsidP="00B31962" w14:paraId="718EB59E" w14:textId="77777777">
      <w:pPr>
        <w:pStyle w:val="BodyText"/>
        <w:rPr>
          <w:b/>
          <w:bCs/>
          <w:szCs w:val="24"/>
        </w:rPr>
      </w:pPr>
    </w:p>
    <w:p w:rsidR="00614CD5" w:rsidRPr="006E7CE1" w14:paraId="1FC452E6" w14:textId="77777777">
      <w:pPr>
        <w:pStyle w:val="BodyText"/>
        <w:rPr>
          <w:b/>
          <w:bCs/>
          <w:szCs w:val="24"/>
        </w:rPr>
      </w:pPr>
    </w:p>
    <w:sectPr w:rsidSect="002B4D1F">
      <w:pgSz w:w="12240" w:h="15840"/>
      <w:pgMar w:top="1440" w:right="1800" w:bottom="1440" w:left="1800"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9887917"/>
      <w:docPartObj>
        <w:docPartGallery w:val="Page Numbers (Bottom of Page)"/>
        <w:docPartUnique/>
      </w:docPartObj>
    </w:sdtPr>
    <w:sdtEndPr>
      <w:rPr>
        <w:noProof/>
        <w:sz w:val="24"/>
        <w:szCs w:val="24"/>
      </w:rPr>
    </w:sdtEndPr>
    <w:sdtContent>
      <w:p w:rsidR="001803C9" w:rsidRPr="001803C9" w14:paraId="613FB9D8" w14:textId="77777777">
        <w:pPr>
          <w:pStyle w:val="Footer"/>
          <w:jc w:val="center"/>
          <w:rPr>
            <w:sz w:val="24"/>
            <w:szCs w:val="24"/>
          </w:rPr>
        </w:pPr>
        <w:r w:rsidRPr="001803C9">
          <w:rPr>
            <w:sz w:val="24"/>
            <w:szCs w:val="24"/>
          </w:rPr>
          <w:fldChar w:fldCharType="begin"/>
        </w:r>
        <w:r w:rsidRPr="001803C9">
          <w:rPr>
            <w:sz w:val="24"/>
            <w:szCs w:val="24"/>
          </w:rPr>
          <w:instrText xml:space="preserve"> PAGE   \* MERGEFORMAT </w:instrText>
        </w:r>
        <w:r w:rsidRPr="001803C9">
          <w:rPr>
            <w:sz w:val="24"/>
            <w:szCs w:val="24"/>
          </w:rPr>
          <w:fldChar w:fldCharType="separate"/>
        </w:r>
        <w:r w:rsidRPr="001803C9">
          <w:rPr>
            <w:noProof/>
            <w:sz w:val="24"/>
            <w:szCs w:val="24"/>
          </w:rPr>
          <w:t>2</w:t>
        </w:r>
        <w:r w:rsidRPr="001803C9">
          <w:rPr>
            <w:noProof/>
            <w:sz w:val="24"/>
            <w:szCs w:val="24"/>
          </w:rPr>
          <w:fldChar w:fldCharType="end"/>
        </w:r>
      </w:p>
    </w:sdtContent>
  </w:sdt>
  <w:p w:rsidR="001803C9" w14:paraId="64C979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63F17" w14:paraId="2E743AD2" w14:textId="6F5B5321">
    <w:pPr>
      <w:pStyle w:val="Footer"/>
      <w:jc w:val="center"/>
    </w:pPr>
  </w:p>
  <w:p w:rsidR="00FC1875" w14:paraId="6FE8F97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00630334"/>
      <w:docPartObj>
        <w:docPartGallery w:val="Page Numbers (Bottom of Page)"/>
        <w:docPartUnique/>
      </w:docPartObj>
    </w:sdtPr>
    <w:sdtEndPr>
      <w:rPr>
        <w:noProof/>
        <w:sz w:val="24"/>
        <w:szCs w:val="24"/>
      </w:rPr>
    </w:sdtEndPr>
    <w:sdtContent>
      <w:p w:rsidR="00F63F17" w:rsidRPr="00CB2B80" w14:paraId="42203AA6" w14:textId="77777777">
        <w:pPr>
          <w:pStyle w:val="Footer"/>
          <w:jc w:val="center"/>
          <w:rPr>
            <w:sz w:val="24"/>
            <w:szCs w:val="24"/>
          </w:rPr>
        </w:pPr>
        <w:r w:rsidRPr="00CB2B80">
          <w:rPr>
            <w:sz w:val="24"/>
            <w:szCs w:val="24"/>
          </w:rPr>
          <w:fldChar w:fldCharType="begin"/>
        </w:r>
        <w:r w:rsidRPr="00CB2B80">
          <w:rPr>
            <w:sz w:val="24"/>
            <w:szCs w:val="24"/>
          </w:rPr>
          <w:instrText xml:space="preserve"> PAGE   \* MERGEFORMAT </w:instrText>
        </w:r>
        <w:r w:rsidRPr="00CB2B80">
          <w:rPr>
            <w:sz w:val="24"/>
            <w:szCs w:val="24"/>
          </w:rPr>
          <w:fldChar w:fldCharType="separate"/>
        </w:r>
        <w:r w:rsidRPr="00CB2B80">
          <w:rPr>
            <w:noProof/>
            <w:sz w:val="24"/>
            <w:szCs w:val="24"/>
          </w:rPr>
          <w:t>2</w:t>
        </w:r>
        <w:r w:rsidRPr="00CB2B80">
          <w:rPr>
            <w:noProof/>
            <w:sz w:val="24"/>
            <w:szCs w:val="24"/>
          </w:rPr>
          <w:fldChar w:fldCharType="end"/>
        </w:r>
      </w:p>
    </w:sdtContent>
  </w:sdt>
  <w:p w:rsidR="00F63F17" w14:paraId="6976CAF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051592"/>
      <w:docPartObj>
        <w:docPartGallery w:val="Page Numbers (Bottom of Page)"/>
        <w:docPartUnique/>
      </w:docPartObj>
    </w:sdtPr>
    <w:sdtEndPr>
      <w:rPr>
        <w:noProof/>
        <w:sz w:val="24"/>
        <w:szCs w:val="24"/>
      </w:rPr>
    </w:sdtEndPr>
    <w:sdtContent>
      <w:p w:rsidR="008717BD" w:rsidRPr="008717BD" w14:paraId="47E7E14B" w14:textId="77777777">
        <w:pPr>
          <w:pStyle w:val="Footer"/>
          <w:jc w:val="center"/>
          <w:rPr>
            <w:sz w:val="24"/>
            <w:szCs w:val="24"/>
          </w:rPr>
        </w:pPr>
        <w:r w:rsidRPr="008717BD">
          <w:rPr>
            <w:sz w:val="24"/>
            <w:szCs w:val="24"/>
          </w:rPr>
          <w:fldChar w:fldCharType="begin"/>
        </w:r>
        <w:r w:rsidRPr="008717BD">
          <w:rPr>
            <w:sz w:val="24"/>
            <w:szCs w:val="24"/>
          </w:rPr>
          <w:instrText xml:space="preserve"> PAGE   \* MERGEFORMAT </w:instrText>
        </w:r>
        <w:r w:rsidRPr="008717BD">
          <w:rPr>
            <w:sz w:val="24"/>
            <w:szCs w:val="24"/>
          </w:rPr>
          <w:fldChar w:fldCharType="separate"/>
        </w:r>
        <w:r w:rsidRPr="008717BD">
          <w:rPr>
            <w:noProof/>
            <w:sz w:val="24"/>
            <w:szCs w:val="24"/>
          </w:rPr>
          <w:t>2</w:t>
        </w:r>
        <w:r w:rsidRPr="008717BD">
          <w:rPr>
            <w:noProof/>
            <w:sz w:val="24"/>
            <w:szCs w:val="24"/>
          </w:rPr>
          <w:fldChar w:fldCharType="end"/>
        </w:r>
      </w:p>
    </w:sdtContent>
  </w:sdt>
  <w:p w:rsidR="008717BD" w14:paraId="25BAD1E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407D" w14:paraId="3D51A299" w14:textId="77777777">
      <w:r>
        <w:separator/>
      </w:r>
    </w:p>
  </w:footnote>
  <w:footnote w:type="continuationSeparator" w:id="1">
    <w:p w:rsidR="00A7407D" w14:paraId="0FB72E22" w14:textId="77777777">
      <w:r>
        <w:continuationSeparator/>
      </w:r>
    </w:p>
  </w:footnote>
  <w:footnote w:type="continuationNotice" w:id="2">
    <w:p w:rsidR="00A7407D" w14:paraId="79E1FB72" w14:textId="77777777"/>
  </w:footnote>
  <w:footnote w:id="3">
    <w:p w:rsidR="009F5382" w:rsidRPr="00FB3369" w:rsidP="006E7CE1" w14:paraId="39CA3204" w14:textId="77777777">
      <w:pPr>
        <w:pStyle w:val="FootnoteText"/>
        <w:spacing w:after="120"/>
      </w:pPr>
      <w:r w:rsidRPr="005B123D">
        <w:rPr>
          <w:rStyle w:val="FootnoteReference"/>
        </w:rPr>
        <w:footnoteRef/>
      </w:r>
      <w:r w:rsidRPr="005B123D">
        <w:t xml:space="preserve"> </w:t>
      </w:r>
      <w:r w:rsidRPr="002D4EE6">
        <w:t xml:space="preserve"> The Ohio Edison Company, The Cleveland Electric Illuminating company, and The Toledo Edison Company (collectively, “FirstEnergy”)</w:t>
      </w:r>
      <w:r w:rsidRPr="00FB3369">
        <w:t>.</w:t>
      </w:r>
    </w:p>
  </w:footnote>
  <w:footnote w:id="4">
    <w:p w:rsidR="00BE72D3" w:rsidRPr="005B123D" w:rsidP="006E7CE1" w14:paraId="72CC2F59" w14:textId="68825952">
      <w:pPr>
        <w:spacing w:after="120"/>
      </w:pPr>
      <w:r w:rsidRPr="005B123D">
        <w:rPr>
          <w:rStyle w:val="FootnoteReference"/>
          <w:sz w:val="20"/>
        </w:rPr>
        <w:footnoteRef/>
      </w:r>
      <w:r w:rsidRPr="005B123D">
        <w:rPr>
          <w:sz w:val="20"/>
        </w:rPr>
        <w:t xml:space="preserve"> </w:t>
      </w:r>
      <w:r w:rsidRPr="006E7CE1" w:rsidR="00AF15CF">
        <w:rPr>
          <w:sz w:val="20"/>
        </w:rPr>
        <w:t xml:space="preserve">The Ohio Site Deployment was comprised of various studies, including a Volt Var Optimization study, a Distribution Automation study and a consumer behavior study (“CBS”) conducted in two phases. </w:t>
      </w:r>
      <w:r w:rsidRPr="006E7CE1" w:rsidR="005B123D">
        <w:rPr>
          <w:sz w:val="20"/>
        </w:rPr>
        <w:t xml:space="preserve">It was </w:t>
      </w:r>
      <w:r w:rsidR="002D4EE6">
        <w:rPr>
          <w:sz w:val="20"/>
        </w:rPr>
        <w:t xml:space="preserve">addressed by the PUCO </w:t>
      </w:r>
      <w:r w:rsidRPr="006E7CE1" w:rsidR="005B123D">
        <w:rPr>
          <w:sz w:val="20"/>
        </w:rPr>
        <w:t>over several different cases</w:t>
      </w:r>
      <w:r w:rsidR="002D4EE6">
        <w:rPr>
          <w:sz w:val="20"/>
        </w:rPr>
        <w:t>.</w:t>
      </w:r>
      <w:r w:rsidRPr="006E7CE1" w:rsidR="005B123D">
        <w:rPr>
          <w:sz w:val="20"/>
        </w:rPr>
        <w:t xml:space="preserve"> </w:t>
      </w:r>
      <w:r w:rsidRPr="005B123D" w:rsidR="002E6E96">
        <w:rPr>
          <w:sz w:val="20"/>
        </w:rPr>
        <w:t xml:space="preserve">In case 09-1820-EL-ATA, FirstEnergy </w:t>
      </w:r>
      <w:r w:rsidRPr="005B123D" w:rsidR="00767044">
        <w:rPr>
          <w:sz w:val="20"/>
        </w:rPr>
        <w:t xml:space="preserve">filed its </w:t>
      </w:r>
      <w:r w:rsidRPr="005B123D" w:rsidR="00BA6890">
        <w:rPr>
          <w:sz w:val="20"/>
        </w:rPr>
        <w:t>Application for Approval of the Smart Grid Modernization Initiative. The stipulation in the 2009 case committed FirstEnergy to developing a proposal to pursue federal funds that may be available for smart grid investment. FirstEnergy’s proposal was selected for award negotiations from the Department of Energy on October 27, 2009. The following November, FirstEnergy applied to the PUCO for approval of the proposed Ohio Site Development</w:t>
      </w:r>
      <w:r w:rsidRPr="005B123D" w:rsidR="00AB49C4">
        <w:rPr>
          <w:sz w:val="20"/>
        </w:rPr>
        <w:t xml:space="preserve"> pilot</w:t>
      </w:r>
      <w:r w:rsidRPr="005B123D" w:rsidR="00BA6890">
        <w:rPr>
          <w:sz w:val="20"/>
        </w:rPr>
        <w:t xml:space="preserve">, which was to be a 3 year </w:t>
      </w:r>
      <w:r w:rsidR="005B123D">
        <w:rPr>
          <w:sz w:val="20"/>
        </w:rPr>
        <w:t xml:space="preserve">(but later extended to </w:t>
      </w:r>
      <w:r w:rsidR="00B26085">
        <w:rPr>
          <w:sz w:val="20"/>
        </w:rPr>
        <w:t>5</w:t>
      </w:r>
      <w:r w:rsidR="005B123D">
        <w:rPr>
          <w:sz w:val="20"/>
        </w:rPr>
        <w:t xml:space="preserve"> years) </w:t>
      </w:r>
      <w:r w:rsidRPr="005B123D" w:rsidR="00BA6890">
        <w:rPr>
          <w:sz w:val="20"/>
        </w:rPr>
        <w:t xml:space="preserve">pilot program involving 44,000 customers in CEI’s territory, as part of FirstEnergy’s Smart Grid Modernization Initiative. </w:t>
      </w:r>
      <w:r w:rsidRPr="005B123D" w:rsidR="009639F1">
        <w:rPr>
          <w:sz w:val="20"/>
        </w:rPr>
        <w:t>In 20</w:t>
      </w:r>
      <w:r w:rsidRPr="005B123D" w:rsidR="002E6E96">
        <w:rPr>
          <w:sz w:val="20"/>
        </w:rPr>
        <w:t>10</w:t>
      </w:r>
      <w:r w:rsidRPr="005B123D" w:rsidR="009639F1">
        <w:rPr>
          <w:sz w:val="20"/>
        </w:rPr>
        <w:t xml:space="preserve">, the PUCO approved </w:t>
      </w:r>
      <w:r w:rsidRPr="005B123D" w:rsidR="00F97623">
        <w:rPr>
          <w:sz w:val="20"/>
        </w:rPr>
        <w:t>FirstEnergy’s application for the Ohio Site Deployment of its Smart Grid Initiative filed in Case No. 09-1820-EL-ATA.</w:t>
      </w:r>
      <w:r w:rsidRPr="005B123D" w:rsidR="00F70094">
        <w:rPr>
          <w:sz w:val="20"/>
        </w:rPr>
        <w:t xml:space="preserve"> (</w:t>
      </w:r>
      <w:r w:rsidRPr="006E7CE1" w:rsidR="00F97623">
        <w:rPr>
          <w:i/>
          <w:iCs/>
          <w:sz w:val="20"/>
        </w:rPr>
        <w:t xml:space="preserve">See </w:t>
      </w:r>
      <w:r w:rsidRPr="005B123D" w:rsidR="006E0690">
        <w:rPr>
          <w:sz w:val="20"/>
        </w:rPr>
        <w:t>10-388-EL-SSO</w:t>
      </w:r>
      <w:r w:rsidRPr="005B123D" w:rsidR="008E091E">
        <w:rPr>
          <w:sz w:val="20"/>
        </w:rPr>
        <w:t>, Opinion and Order at 13</w:t>
      </w:r>
      <w:r w:rsidRPr="005B123D" w:rsidR="002E6E96">
        <w:rPr>
          <w:sz w:val="20"/>
        </w:rPr>
        <w:t xml:space="preserve"> (August 25, 2010)</w:t>
      </w:r>
      <w:r w:rsidRPr="005B123D" w:rsidR="00F70094">
        <w:rPr>
          <w:sz w:val="20"/>
        </w:rPr>
        <w:t>)</w:t>
      </w:r>
      <w:r w:rsidRPr="005B123D" w:rsidR="009639F1">
        <w:rPr>
          <w:sz w:val="20"/>
        </w:rPr>
        <w:t xml:space="preserve">. The </w:t>
      </w:r>
      <w:r w:rsidRPr="005B123D" w:rsidR="00F97623">
        <w:rPr>
          <w:sz w:val="20"/>
        </w:rPr>
        <w:t xml:space="preserve">PUCO </w:t>
      </w:r>
      <w:r w:rsidRPr="005B123D" w:rsidR="008A7986">
        <w:rPr>
          <w:sz w:val="20"/>
        </w:rPr>
        <w:t xml:space="preserve">required that no part of the Site Deployment would be completed without </w:t>
      </w:r>
      <w:r w:rsidRPr="005B123D" w:rsidR="00755408">
        <w:rPr>
          <w:sz w:val="20"/>
        </w:rPr>
        <w:t>matching Department</w:t>
      </w:r>
      <w:r w:rsidRPr="005B123D" w:rsidR="008A7986">
        <w:rPr>
          <w:sz w:val="20"/>
        </w:rPr>
        <w:t xml:space="preserve"> of Energy </w:t>
      </w:r>
      <w:r w:rsidRPr="005B123D" w:rsidR="00755408">
        <w:rPr>
          <w:sz w:val="20"/>
        </w:rPr>
        <w:t>funding</w:t>
      </w:r>
      <w:r w:rsidRPr="005B123D" w:rsidR="008A7986">
        <w:rPr>
          <w:sz w:val="20"/>
        </w:rPr>
        <w:t xml:space="preserve"> in an equal amount</w:t>
      </w:r>
      <w:r w:rsidRPr="005B123D" w:rsidR="00755408">
        <w:rPr>
          <w:sz w:val="20"/>
        </w:rPr>
        <w:t>. (</w:t>
      </w:r>
      <w:r w:rsidRPr="006E7CE1" w:rsidR="00755408">
        <w:rPr>
          <w:i/>
          <w:iCs/>
          <w:sz w:val="20"/>
        </w:rPr>
        <w:t>Id.</w:t>
      </w:r>
      <w:r w:rsidRPr="005B123D" w:rsidR="00755408">
        <w:rPr>
          <w:sz w:val="20"/>
        </w:rPr>
        <w:t xml:space="preserve"> at 14).</w:t>
      </w:r>
      <w:r w:rsidRPr="005B123D" w:rsidR="00DA734F">
        <w:rPr>
          <w:sz w:val="20"/>
        </w:rPr>
        <w:t xml:space="preserve"> </w:t>
      </w:r>
    </w:p>
  </w:footnote>
  <w:footnote w:id="5">
    <w:p w:rsidR="004746A4" w:rsidRPr="00B26085" w:rsidP="006E7CE1" w14:paraId="5FCC2E32" w14:textId="77777777">
      <w:pPr>
        <w:pStyle w:val="FootnoteText"/>
        <w:spacing w:after="120"/>
      </w:pPr>
      <w:r w:rsidRPr="005B123D">
        <w:rPr>
          <w:rStyle w:val="FootnoteReference"/>
        </w:rPr>
        <w:footnoteRef/>
      </w:r>
      <w:r w:rsidRPr="005B123D">
        <w:t xml:space="preserve"> </w:t>
      </w:r>
      <w:r w:rsidRPr="00B26085">
        <w:rPr>
          <w:i/>
          <w:iCs/>
        </w:rPr>
        <w:t>See Id.</w:t>
      </w:r>
    </w:p>
  </w:footnote>
  <w:footnote w:id="6">
    <w:p w:rsidR="00685B07" w:rsidRPr="00C074FA" w:rsidP="006E7CE1" w14:paraId="23B93205" w14:textId="01A271E2">
      <w:pPr>
        <w:pStyle w:val="FootnoteText"/>
        <w:spacing w:after="120"/>
      </w:pPr>
      <w:r w:rsidRPr="005B123D">
        <w:rPr>
          <w:rStyle w:val="FootnoteReference"/>
        </w:rPr>
        <w:footnoteRef/>
      </w:r>
      <w:r w:rsidRPr="005B123D">
        <w:t xml:space="preserve"> </w:t>
      </w:r>
      <w:r w:rsidRPr="00B26085" w:rsidR="003D6AC4">
        <w:rPr>
          <w:i/>
          <w:iCs/>
        </w:rPr>
        <w:t xml:space="preserve">See </w:t>
      </w:r>
      <w:r w:rsidRPr="00B26085" w:rsidR="00394098">
        <w:t>FirstEnergy</w:t>
      </w:r>
      <w:r w:rsidRPr="00B26085">
        <w:t xml:space="preserve"> Comments at 2-3.</w:t>
      </w:r>
    </w:p>
  </w:footnote>
  <w:footnote w:id="7">
    <w:p w:rsidR="00F12E69" w:rsidRPr="00034782" w:rsidP="006E7CE1" w14:paraId="391228A6" w14:textId="77777777">
      <w:pPr>
        <w:pStyle w:val="FootnoteText"/>
        <w:spacing w:after="120"/>
      </w:pPr>
      <w:r w:rsidRPr="005B123D">
        <w:rPr>
          <w:rStyle w:val="FootnoteReference"/>
        </w:rPr>
        <w:footnoteRef/>
      </w:r>
      <w:r w:rsidRPr="005B123D">
        <w:t xml:space="preserve"> </w:t>
      </w:r>
      <w:r w:rsidRPr="00B26085">
        <w:rPr>
          <w:i/>
          <w:iCs/>
        </w:rPr>
        <w:t>See Id.</w:t>
      </w:r>
      <w:r w:rsidRPr="00C074FA">
        <w:t xml:space="preserve"> at 3.</w:t>
      </w:r>
    </w:p>
  </w:footnote>
  <w:footnote w:id="8">
    <w:p w:rsidR="00D21289" w:rsidRPr="00D37023" w:rsidP="006E7CE1" w14:paraId="131F799A" w14:textId="4829A52A">
      <w:pPr>
        <w:spacing w:after="120"/>
        <w:rPr>
          <w:sz w:val="20"/>
        </w:rPr>
      </w:pPr>
      <w:r w:rsidRPr="005B123D">
        <w:rPr>
          <w:rStyle w:val="FootnoteReference"/>
          <w:sz w:val="20"/>
        </w:rPr>
        <w:footnoteRef/>
      </w:r>
      <w:r w:rsidRPr="005B123D">
        <w:rPr>
          <w:sz w:val="20"/>
        </w:rPr>
        <w:t xml:space="preserve"> </w:t>
      </w:r>
      <w:r w:rsidRPr="00B26085" w:rsidR="003D6AC4">
        <w:rPr>
          <w:i/>
          <w:iCs/>
          <w:sz w:val="20"/>
        </w:rPr>
        <w:t xml:space="preserve">See </w:t>
      </w:r>
      <w:r w:rsidRPr="00B26085">
        <w:rPr>
          <w:sz w:val="20"/>
        </w:rPr>
        <w:t>R.C. 4909.17 (No rate or charge shall be ef</w:t>
      </w:r>
      <w:r w:rsidRPr="00C074FA" w:rsidR="00394098">
        <w:rPr>
          <w:sz w:val="20"/>
        </w:rPr>
        <w:t>fec</w:t>
      </w:r>
      <w:r w:rsidRPr="00034782">
        <w:rPr>
          <w:sz w:val="20"/>
        </w:rPr>
        <w:t xml:space="preserve">tive until the PUCO, by order, determines it to be just and reasonable). </w:t>
      </w:r>
    </w:p>
  </w:footnote>
  <w:footnote w:id="9">
    <w:p w:rsidR="00EC2BF0" w:rsidRPr="005B123D" w:rsidP="006E7CE1" w14:paraId="62B23DF5" w14:textId="6CA64408">
      <w:pPr>
        <w:spacing w:after="120"/>
      </w:pPr>
      <w:r w:rsidRPr="005B123D">
        <w:rPr>
          <w:rStyle w:val="FootnoteReference"/>
          <w:sz w:val="20"/>
        </w:rPr>
        <w:footnoteRef/>
      </w:r>
      <w:r w:rsidRPr="005B123D">
        <w:rPr>
          <w:sz w:val="20"/>
        </w:rPr>
        <w:t xml:space="preserve"> </w:t>
      </w:r>
      <w:r w:rsidRPr="005B123D" w:rsidR="00064A04">
        <w:rPr>
          <w:i/>
          <w:iCs/>
          <w:sz w:val="20"/>
        </w:rPr>
        <w:t>See</w:t>
      </w:r>
      <w:r w:rsidRPr="005B123D" w:rsidR="00064A04">
        <w:rPr>
          <w:sz w:val="20"/>
        </w:rPr>
        <w:t xml:space="preserve"> FirstEnergy Comments at 3</w:t>
      </w:r>
      <w:r w:rsidRPr="005B123D" w:rsidR="00A57A60">
        <w:rPr>
          <w:sz w:val="20"/>
        </w:rPr>
        <w:t xml:space="preserve"> (“</w:t>
      </w:r>
      <w:r w:rsidRPr="006E7CE1" w:rsidR="00A57A60">
        <w:rPr>
          <w:sz w:val="20"/>
        </w:rPr>
        <w:t>In 2018 the Companies made</w:t>
      </w:r>
      <w:r w:rsidRPr="006E7CE1" w:rsidR="003C28C1">
        <w:rPr>
          <w:sz w:val="20"/>
        </w:rPr>
        <w:t>…</w:t>
      </w:r>
      <w:r w:rsidRPr="006E7CE1" w:rsidR="00A57A60">
        <w:rPr>
          <w:sz w:val="20"/>
        </w:rPr>
        <w:t>capital investments associated with the Ohio Site Deployment by expanding the installation and testing new smart grid devices in CEI’s pilot footprint”)</w:t>
      </w:r>
      <w:r w:rsidRPr="005B123D" w:rsidR="00064A04">
        <w:rPr>
          <w:sz w:val="20"/>
        </w:rPr>
        <w:t>.</w:t>
      </w:r>
    </w:p>
  </w:footnote>
  <w:footnote w:id="10">
    <w:p w:rsidR="00090C53" w:rsidRPr="00D37023" w:rsidP="006E7CE1" w14:paraId="5E83F1DB" w14:textId="08ABBB8D">
      <w:pPr>
        <w:pStyle w:val="FootnoteText"/>
        <w:spacing w:after="120"/>
      </w:pPr>
      <w:r w:rsidRPr="00B26085">
        <w:rPr>
          <w:rStyle w:val="FootnoteReference"/>
        </w:rPr>
        <w:footnoteRef/>
      </w:r>
      <w:r w:rsidRPr="00B26085">
        <w:t xml:space="preserve"> </w:t>
      </w:r>
      <w:r w:rsidRPr="00B26085">
        <w:rPr>
          <w:i/>
          <w:iCs/>
        </w:rPr>
        <w:t xml:space="preserve">See </w:t>
      </w:r>
      <w:r w:rsidRPr="00C074FA" w:rsidR="00064A04">
        <w:rPr>
          <w:i/>
          <w:iCs/>
        </w:rPr>
        <w:t>Id.</w:t>
      </w:r>
      <w:r w:rsidRPr="00D37023">
        <w:t xml:space="preserve"> at 2.</w:t>
      </w:r>
    </w:p>
  </w:footnote>
  <w:footnote w:id="11">
    <w:p w:rsidR="00803348" w:rsidRPr="006E7CE1" w:rsidP="008717BD" w14:paraId="7EA60989" w14:textId="48326856">
      <w:pPr>
        <w:spacing w:after="120"/>
        <w:rPr>
          <w:i/>
          <w:iCs/>
        </w:rPr>
      </w:pPr>
      <w:r w:rsidRPr="006E7CE1">
        <w:rPr>
          <w:rStyle w:val="FootnoteReference"/>
          <w:sz w:val="20"/>
        </w:rPr>
        <w:footnoteRef/>
      </w:r>
      <w:r w:rsidRPr="006E7CE1">
        <w:rPr>
          <w:sz w:val="20"/>
        </w:rPr>
        <w:t xml:space="preserve"> </w:t>
      </w:r>
      <w:r w:rsidRPr="006E7CE1" w:rsidR="0087577B">
        <w:rPr>
          <w:i/>
          <w:iCs/>
          <w:sz w:val="20"/>
        </w:rPr>
        <w:t xml:space="preserve">See </w:t>
      </w:r>
      <w:r w:rsidRPr="006E7CE1">
        <w:rPr>
          <w:sz w:val="20"/>
        </w:rPr>
        <w:t xml:space="preserve">OCC Comments at </w:t>
      </w:r>
      <w:r w:rsidRPr="006E7CE1" w:rsidR="0087577B">
        <w:rPr>
          <w:sz w:val="20"/>
        </w:rPr>
        <w:t xml:space="preserve">2; </w:t>
      </w:r>
      <w:r w:rsidRPr="006E7CE1" w:rsidR="0087577B">
        <w:rPr>
          <w:i/>
          <w:iCs/>
          <w:sz w:val="20"/>
        </w:rPr>
        <w:t>see also In re the Application of Ohio Edison Company, The Cleveland Electric Illuminating Company, and the Toledo Edison Company for Authority to Provide for a Standard Service Offer Pursuant to Section 4928.143, Revised Code, in the Form of an Electric Security Plan</w:t>
      </w:r>
      <w:r w:rsidRPr="006E7CE1" w:rsidR="0087577B">
        <w:rPr>
          <w:sz w:val="20"/>
        </w:rPr>
        <w:t>, Case No. 10-388-EL-SSO, Opinion and Order at 13-14 (August 25, 2010).</w:t>
      </w:r>
    </w:p>
  </w:footnote>
  <w:footnote w:id="12">
    <w:p w:rsidR="00136575" w:rsidRPr="00C074FA" w:rsidP="006E7CE1" w14:paraId="72477EDB" w14:textId="496E8398">
      <w:pPr>
        <w:pStyle w:val="FootnoteText"/>
        <w:spacing w:after="120"/>
      </w:pPr>
      <w:r w:rsidRPr="00B26085">
        <w:rPr>
          <w:rStyle w:val="FootnoteReference"/>
        </w:rPr>
        <w:footnoteRef/>
      </w:r>
      <w:r w:rsidRPr="00B26085">
        <w:t xml:space="preserve"> </w:t>
      </w:r>
      <w:r w:rsidRPr="006E7CE1">
        <w:rPr>
          <w:i/>
          <w:iCs/>
        </w:rPr>
        <w:t>See</w:t>
      </w:r>
      <w:r w:rsidRPr="00B26085">
        <w:t xml:space="preserve"> FirstEnergy Comments at 5.</w:t>
      </w:r>
    </w:p>
  </w:footnote>
  <w:footnote w:id="13">
    <w:p w:rsidR="00270478" w:rsidRPr="0045404B" w:rsidP="006E7CE1" w14:paraId="42EB93F8" w14:textId="6F624B6C">
      <w:pPr>
        <w:pStyle w:val="FootnoteText"/>
        <w:spacing w:after="120"/>
      </w:pPr>
      <w:r w:rsidRPr="00B26085">
        <w:rPr>
          <w:rStyle w:val="FootnoteReference"/>
        </w:rPr>
        <w:footnoteRef/>
      </w:r>
      <w:r w:rsidRPr="00B26085">
        <w:t xml:space="preserve"> </w:t>
      </w:r>
      <w:r w:rsidRPr="00B26085" w:rsidR="003D6AC4">
        <w:rPr>
          <w:i/>
          <w:iCs/>
        </w:rPr>
        <w:t xml:space="preserve">See </w:t>
      </w:r>
      <w:r w:rsidRPr="00C074FA" w:rsidR="00064A04">
        <w:rPr>
          <w:i/>
          <w:iCs/>
        </w:rPr>
        <w:t>Id.</w:t>
      </w:r>
      <w:r w:rsidRPr="00D37023">
        <w:t xml:space="preserve"> at 5.</w:t>
      </w:r>
    </w:p>
  </w:footnote>
  <w:footnote w:id="14">
    <w:p w:rsidR="003F7410" w:rsidRPr="00D37023" w:rsidP="006E7CE1" w14:paraId="403D5939" w14:textId="4C0C22FC">
      <w:pPr>
        <w:pStyle w:val="FootnoteText"/>
        <w:spacing w:after="120"/>
      </w:pPr>
      <w:r w:rsidRPr="00B26085">
        <w:rPr>
          <w:rStyle w:val="FootnoteReference"/>
        </w:rPr>
        <w:footnoteRef/>
      </w:r>
      <w:r w:rsidRPr="00B26085">
        <w:t xml:space="preserve"> </w:t>
      </w:r>
      <w:r w:rsidRPr="00B26085" w:rsidR="003D6AC4">
        <w:rPr>
          <w:i/>
          <w:iCs/>
        </w:rPr>
        <w:t>See Id.</w:t>
      </w:r>
      <w:r w:rsidRPr="00C074FA" w:rsidR="0032573E">
        <w:t xml:space="preserve"> </w:t>
      </w:r>
    </w:p>
  </w:footnote>
  <w:footnote w:id="15">
    <w:p w:rsidR="00FF099F" w:rsidRPr="00C074FA" w:rsidP="006E7CE1" w14:paraId="5F413BFF" w14:textId="09A6C002">
      <w:pPr>
        <w:pStyle w:val="FootnoteText"/>
        <w:spacing w:after="120"/>
      </w:pPr>
      <w:r w:rsidRPr="00B26085">
        <w:rPr>
          <w:rStyle w:val="FootnoteReference"/>
        </w:rPr>
        <w:footnoteRef/>
      </w:r>
      <w:r w:rsidRPr="00B26085">
        <w:t xml:space="preserve"> </w:t>
      </w:r>
      <w:r w:rsidRPr="00B26085" w:rsidR="003D6AC4">
        <w:rPr>
          <w:i/>
          <w:iCs/>
        </w:rPr>
        <w:t>See Id.</w:t>
      </w:r>
    </w:p>
  </w:footnote>
  <w:footnote w:id="16">
    <w:p w:rsidR="00022546" w:rsidRPr="00B26085" w:rsidP="006E7CE1" w14:paraId="2ECDF648" w14:textId="77777777">
      <w:pPr>
        <w:pStyle w:val="FootnoteText"/>
        <w:spacing w:after="120"/>
      </w:pPr>
      <w:r w:rsidRPr="00B26085">
        <w:rPr>
          <w:rStyle w:val="FootnoteReference"/>
        </w:rPr>
        <w:footnoteRef/>
      </w:r>
      <w:r w:rsidRPr="00B26085">
        <w:t xml:space="preserve"> According to Merriam-Webster, “explicit” means fully revealed or expressed without vagueness, implication, or ambiguity; leaving to </w:t>
      </w:r>
      <w:r w:rsidRPr="005B123D">
        <w:t xml:space="preserve">questions as to meaning or intent. In contrast, “effectively” means acceptably, adequately….” </w:t>
      </w:r>
      <w:hyperlink r:id="rId1" w:history="1">
        <w:r w:rsidRPr="00B26085">
          <w:rPr>
            <w:rStyle w:val="Hyperlink"/>
          </w:rPr>
          <w:t>https://www.merriam-webster.com/thesaurus</w:t>
        </w:r>
      </w:hyperlink>
      <w:r w:rsidRPr="00B26085">
        <w:t xml:space="preserve">.   </w:t>
      </w:r>
    </w:p>
  </w:footnote>
  <w:footnote w:id="17">
    <w:p w:rsidR="001D09B0" w:rsidRPr="0045404B" w:rsidP="006E7CE1" w14:paraId="6897BF7C" w14:textId="5D20C2E6">
      <w:pPr>
        <w:pStyle w:val="FootnoteText"/>
        <w:keepLines/>
        <w:spacing w:after="120"/>
        <w:rPr>
          <w:rStyle w:val="FootnoteReference"/>
          <w:vertAlign w:val="baseline"/>
        </w:rPr>
      </w:pPr>
      <w:r w:rsidRPr="00B26085">
        <w:rPr>
          <w:rStyle w:val="FootnoteReference"/>
        </w:rPr>
        <w:footnoteRef/>
      </w:r>
      <w:r w:rsidRPr="00B26085">
        <w:rPr>
          <w:rStyle w:val="FootnoteReference"/>
          <w:vertAlign w:val="baseline"/>
        </w:rPr>
        <w:t xml:space="preserve"> </w:t>
      </w:r>
      <w:r w:rsidRPr="00B26085" w:rsidR="003D6AC4">
        <w:rPr>
          <w:rStyle w:val="FootnoteReference"/>
          <w:i/>
          <w:iCs/>
          <w:vertAlign w:val="baseline"/>
        </w:rPr>
        <w:t>See</w:t>
      </w:r>
      <w:r w:rsidRPr="00C074FA" w:rsidR="003D6AC4">
        <w:rPr>
          <w:rStyle w:val="FootnoteReference"/>
          <w:vertAlign w:val="baseline"/>
        </w:rPr>
        <w:t xml:space="preserve"> </w:t>
      </w:r>
      <w:r w:rsidRPr="00D37023">
        <w:rPr>
          <w:rStyle w:val="FootnoteReference"/>
          <w:vertAlign w:val="baseline"/>
        </w:rPr>
        <w:t>R.C. 4909.17.</w:t>
      </w:r>
    </w:p>
  </w:footnote>
  <w:footnote w:id="18">
    <w:p w:rsidR="00270478" w:rsidRPr="009512C6" w:rsidP="006E7CE1" w14:paraId="615C9C8F" w14:textId="258E35B2">
      <w:pPr>
        <w:pStyle w:val="FootnoteText"/>
        <w:keepLines/>
        <w:spacing w:after="120"/>
        <w:rPr>
          <w:rStyle w:val="FootnoteReference"/>
          <w:vertAlign w:val="baseline"/>
        </w:rPr>
      </w:pPr>
      <w:r w:rsidRPr="00B26085">
        <w:rPr>
          <w:rStyle w:val="FootnoteReference"/>
        </w:rPr>
        <w:footnoteRef/>
      </w:r>
      <w:r w:rsidRPr="00B26085">
        <w:rPr>
          <w:rStyle w:val="FootnoteReference"/>
          <w:vertAlign w:val="baseline"/>
        </w:rPr>
        <w:t xml:space="preserve"> </w:t>
      </w:r>
      <w:r w:rsidRPr="00B26085" w:rsidR="005524B3">
        <w:rPr>
          <w:rStyle w:val="FootnoteReference"/>
          <w:i/>
          <w:iCs/>
          <w:vertAlign w:val="baseline"/>
        </w:rPr>
        <w:t>S</w:t>
      </w:r>
      <w:r w:rsidRPr="00C074FA" w:rsidR="005524B3">
        <w:rPr>
          <w:i/>
          <w:iCs/>
        </w:rPr>
        <w:t xml:space="preserve">ee </w:t>
      </w:r>
      <w:r w:rsidRPr="00D37023" w:rsidR="005524B3">
        <w:t xml:space="preserve">OCC comments at </w:t>
      </w:r>
      <w:r w:rsidRPr="0045404B" w:rsidR="00757919">
        <w:t>3.</w:t>
      </w:r>
      <w:r w:rsidRPr="009512C6">
        <w:rPr>
          <w:rStyle w:val="FootnoteReference"/>
          <w:vertAlign w:val="baseline"/>
        </w:rPr>
        <w:t xml:space="preserve"> </w:t>
      </w:r>
    </w:p>
  </w:footnote>
  <w:footnote w:id="19">
    <w:p w:rsidR="002061AD" w:rsidRPr="005B123D" w:rsidP="006E7CE1" w14:paraId="75231459" w14:textId="0A0C71B9">
      <w:pPr>
        <w:pStyle w:val="FootnoteText"/>
        <w:spacing w:after="120"/>
      </w:pPr>
      <w:r w:rsidRPr="00B26085">
        <w:rPr>
          <w:rStyle w:val="FootnoteReference"/>
        </w:rPr>
        <w:footnoteRef/>
      </w:r>
      <w:r w:rsidRPr="00B26085">
        <w:t xml:space="preserve"> </w:t>
      </w:r>
      <w:r w:rsidRPr="00B26085" w:rsidR="009526B2">
        <w:rPr>
          <w:i/>
          <w:iCs/>
        </w:rPr>
        <w:t xml:space="preserve">See In re the Application of </w:t>
      </w:r>
      <w:r w:rsidRPr="00C074FA" w:rsidR="00C11B14">
        <w:rPr>
          <w:i/>
          <w:iCs/>
        </w:rPr>
        <w:t xml:space="preserve">FirstEnergy for Approval of Ohio Site Development of the Smart Grid Modernization Initiative and Timely Recovery of </w:t>
      </w:r>
      <w:r w:rsidRPr="005B123D" w:rsidR="00B66CF1">
        <w:rPr>
          <w:i/>
          <w:iCs/>
        </w:rPr>
        <w:t>Associated</w:t>
      </w:r>
      <w:r w:rsidRPr="005B123D" w:rsidR="00C11B14">
        <w:rPr>
          <w:i/>
          <w:iCs/>
        </w:rPr>
        <w:t xml:space="preserve"> Costs</w:t>
      </w:r>
      <w:r w:rsidRPr="005B123D" w:rsidR="00C11B14">
        <w:t xml:space="preserve">, </w:t>
      </w:r>
      <w:r w:rsidRPr="005B123D" w:rsidR="005D3645">
        <w:t>Case 09-1820</w:t>
      </w:r>
      <w:r w:rsidRPr="005B123D" w:rsidR="00C11B14">
        <w:t>-EL-ATA, et. al</w:t>
      </w:r>
      <w:r w:rsidRPr="005B123D" w:rsidR="005D3645">
        <w:t>, Finding and Order at 3</w:t>
      </w:r>
      <w:r w:rsidRPr="005B123D" w:rsidR="00B66CF1">
        <w:t xml:space="preserve"> (May 28, 2015)</w:t>
      </w:r>
      <w:r w:rsidRPr="005B123D" w:rsidR="005D3645">
        <w:t>.</w:t>
      </w:r>
    </w:p>
  </w:footnote>
  <w:footnote w:id="20">
    <w:p w:rsidR="0027210E" w:rsidRPr="00C074FA" w:rsidP="006E7CE1" w14:paraId="0CB703F3" w14:textId="2759226C">
      <w:pPr>
        <w:pStyle w:val="FootnoteText"/>
        <w:spacing w:after="120"/>
      </w:pPr>
      <w:r w:rsidRPr="00B26085">
        <w:rPr>
          <w:rStyle w:val="FootnoteReference"/>
        </w:rPr>
        <w:footnoteRef/>
      </w:r>
      <w:r w:rsidRPr="00B26085">
        <w:t xml:space="preserve"> </w:t>
      </w:r>
      <w:r w:rsidRPr="00B26085" w:rsidR="00B66CF1">
        <w:rPr>
          <w:i/>
          <w:iCs/>
        </w:rPr>
        <w:t>See Id.</w:t>
      </w:r>
    </w:p>
  </w:footnote>
  <w:footnote w:id="21">
    <w:p w:rsidR="00F63F4E" w:rsidRPr="006E7CE1" w:rsidP="006E7CE1" w14:paraId="0D51E713" w14:textId="1E8DB090">
      <w:pPr>
        <w:spacing w:after="120"/>
      </w:pPr>
      <w:r w:rsidRPr="005B123D">
        <w:rPr>
          <w:rStyle w:val="FootnoteReference"/>
          <w:sz w:val="20"/>
        </w:rPr>
        <w:footnoteRef/>
      </w:r>
      <w:r w:rsidRPr="005B123D">
        <w:rPr>
          <w:sz w:val="20"/>
        </w:rPr>
        <w:t xml:space="preserve"> </w:t>
      </w:r>
      <w:r w:rsidRPr="006E7CE1">
        <w:rPr>
          <w:i/>
          <w:iCs/>
          <w:sz w:val="20"/>
        </w:rPr>
        <w:t>See</w:t>
      </w:r>
      <w:r w:rsidRPr="005B123D">
        <w:rPr>
          <w:sz w:val="20"/>
        </w:rPr>
        <w:t xml:space="preserve"> FirstEnergy Comments at 7 (“</w:t>
      </w:r>
      <w:r w:rsidRPr="006E7CE1">
        <w:rPr>
          <w:sz w:val="20"/>
        </w:rPr>
        <w:t>Further, the Companies note that similar maintenance and repair expenses have been included in prior Rider AMI filings with no exceptions identified”).</w:t>
      </w:r>
    </w:p>
  </w:footnote>
  <w:footnote w:id="22">
    <w:p w:rsidR="005524B3" w:rsidRPr="00D37023" w:rsidP="006E7CE1" w14:paraId="2E3C1B28" w14:textId="7212AB74">
      <w:pPr>
        <w:pStyle w:val="FootnoteText"/>
        <w:spacing w:after="120"/>
      </w:pPr>
      <w:r w:rsidRPr="00B26085">
        <w:rPr>
          <w:rStyle w:val="FootnoteReference"/>
        </w:rPr>
        <w:footnoteRef/>
      </w:r>
      <w:r w:rsidRPr="00B26085" w:rsidR="00627D01">
        <w:rPr>
          <w:i/>
          <w:iCs/>
        </w:rPr>
        <w:t xml:space="preserve"> </w:t>
      </w:r>
      <w:r w:rsidRPr="00B26085" w:rsidR="00B41507">
        <w:rPr>
          <w:i/>
          <w:iCs/>
        </w:rPr>
        <w:t xml:space="preserve">See </w:t>
      </w:r>
      <w:r w:rsidRPr="00C074FA" w:rsidR="003D6AC4">
        <w:rPr>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55641FB"/>
    <w:multiLevelType w:val="hybridMultilevel"/>
    <w:tmpl w:val="B4F6EFAA"/>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44C2BFB"/>
    <w:multiLevelType w:val="hybridMultilevel"/>
    <w:tmpl w:val="5FBE81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73463D"/>
    <w:multiLevelType w:val="hybridMultilevel"/>
    <w:tmpl w:val="05CE2BE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D053AAB"/>
    <w:multiLevelType w:val="hybridMultilevel"/>
    <w:tmpl w:val="BD608D2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1E385F"/>
    <w:multiLevelType w:val="hybridMultilevel"/>
    <w:tmpl w:val="CED8C20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53BD4992"/>
    <w:multiLevelType w:val="hybridMultilevel"/>
    <w:tmpl w:val="E0E69D9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nsid w:val="6A3B2B17"/>
    <w:multiLevelType w:val="hybridMultilevel"/>
    <w:tmpl w:val="17A0B85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8"/>
  </w:num>
  <w:num w:numId="2">
    <w:abstractNumId w:val="6"/>
  </w:num>
  <w:num w:numId="3">
    <w:abstractNumId w:val="10"/>
  </w:num>
  <w:num w:numId="4">
    <w:abstractNumId w:val="9"/>
  </w:num>
  <w:num w:numId="5">
    <w:abstractNumId w:val="0"/>
  </w:num>
  <w:num w:numId="6">
    <w:abstractNumId w:val="12"/>
  </w:num>
  <w:num w:numId="7">
    <w:abstractNumId w:val="5"/>
  </w:num>
  <w:num w:numId="8">
    <w:abstractNumId w:val="11"/>
  </w:num>
  <w:num w:numId="9">
    <w:abstractNumId w:val="1"/>
  </w:num>
  <w:num w:numId="10">
    <w:abstractNumId w:val="3"/>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48"/>
    <w:rsid w:val="000030E2"/>
    <w:rsid w:val="000056EF"/>
    <w:rsid w:val="000059BA"/>
    <w:rsid w:val="0001016C"/>
    <w:rsid w:val="00017261"/>
    <w:rsid w:val="00022546"/>
    <w:rsid w:val="00032FDD"/>
    <w:rsid w:val="00034782"/>
    <w:rsid w:val="00036D6A"/>
    <w:rsid w:val="00037B2E"/>
    <w:rsid w:val="000418A2"/>
    <w:rsid w:val="00043746"/>
    <w:rsid w:val="00050325"/>
    <w:rsid w:val="00057616"/>
    <w:rsid w:val="0006232A"/>
    <w:rsid w:val="0006454A"/>
    <w:rsid w:val="00064A04"/>
    <w:rsid w:val="000653BF"/>
    <w:rsid w:val="000661DC"/>
    <w:rsid w:val="000721A9"/>
    <w:rsid w:val="00075060"/>
    <w:rsid w:val="00081569"/>
    <w:rsid w:val="00085092"/>
    <w:rsid w:val="00087FF0"/>
    <w:rsid w:val="00090133"/>
    <w:rsid w:val="00090C53"/>
    <w:rsid w:val="00093AC2"/>
    <w:rsid w:val="00096771"/>
    <w:rsid w:val="000A199F"/>
    <w:rsid w:val="000A772E"/>
    <w:rsid w:val="000B3429"/>
    <w:rsid w:val="000B7FE7"/>
    <w:rsid w:val="000D7CB8"/>
    <w:rsid w:val="000F2F69"/>
    <w:rsid w:val="000F516D"/>
    <w:rsid w:val="000F52C1"/>
    <w:rsid w:val="00101E8A"/>
    <w:rsid w:val="001114B6"/>
    <w:rsid w:val="00136575"/>
    <w:rsid w:val="00136635"/>
    <w:rsid w:val="001402D0"/>
    <w:rsid w:val="00152AF3"/>
    <w:rsid w:val="00160BAA"/>
    <w:rsid w:val="001653F2"/>
    <w:rsid w:val="00167F62"/>
    <w:rsid w:val="00170273"/>
    <w:rsid w:val="001710D4"/>
    <w:rsid w:val="00173F23"/>
    <w:rsid w:val="001803C9"/>
    <w:rsid w:val="00180DBA"/>
    <w:rsid w:val="00187622"/>
    <w:rsid w:val="00187ABB"/>
    <w:rsid w:val="00196E79"/>
    <w:rsid w:val="001A17A8"/>
    <w:rsid w:val="001A4537"/>
    <w:rsid w:val="001C6FF8"/>
    <w:rsid w:val="001D09B0"/>
    <w:rsid w:val="001D2035"/>
    <w:rsid w:val="001D7ACF"/>
    <w:rsid w:val="001D7D80"/>
    <w:rsid w:val="001E3AC7"/>
    <w:rsid w:val="001E4C2F"/>
    <w:rsid w:val="001F6846"/>
    <w:rsid w:val="001F775C"/>
    <w:rsid w:val="0020183B"/>
    <w:rsid w:val="002019D4"/>
    <w:rsid w:val="002061AD"/>
    <w:rsid w:val="002066CB"/>
    <w:rsid w:val="00227817"/>
    <w:rsid w:val="00233260"/>
    <w:rsid w:val="00234700"/>
    <w:rsid w:val="002351EE"/>
    <w:rsid w:val="00236CC3"/>
    <w:rsid w:val="002401AE"/>
    <w:rsid w:val="00240C2A"/>
    <w:rsid w:val="00243EEC"/>
    <w:rsid w:val="002644AC"/>
    <w:rsid w:val="00270478"/>
    <w:rsid w:val="0027210E"/>
    <w:rsid w:val="00290CD5"/>
    <w:rsid w:val="00295497"/>
    <w:rsid w:val="002A53B1"/>
    <w:rsid w:val="002B17FF"/>
    <w:rsid w:val="002B4D1F"/>
    <w:rsid w:val="002B5E33"/>
    <w:rsid w:val="002B6459"/>
    <w:rsid w:val="002C2315"/>
    <w:rsid w:val="002C2B7A"/>
    <w:rsid w:val="002C3C08"/>
    <w:rsid w:val="002C4412"/>
    <w:rsid w:val="002D4EE6"/>
    <w:rsid w:val="002D684F"/>
    <w:rsid w:val="002E28A3"/>
    <w:rsid w:val="002E6E96"/>
    <w:rsid w:val="002F0CCA"/>
    <w:rsid w:val="00305C41"/>
    <w:rsid w:val="00306D24"/>
    <w:rsid w:val="00310D17"/>
    <w:rsid w:val="003206FE"/>
    <w:rsid w:val="00321BCA"/>
    <w:rsid w:val="0032573E"/>
    <w:rsid w:val="003300A7"/>
    <w:rsid w:val="00330544"/>
    <w:rsid w:val="00340B91"/>
    <w:rsid w:val="00341032"/>
    <w:rsid w:val="00344F5D"/>
    <w:rsid w:val="00347029"/>
    <w:rsid w:val="003502A9"/>
    <w:rsid w:val="003525D3"/>
    <w:rsid w:val="00362396"/>
    <w:rsid w:val="00366E97"/>
    <w:rsid w:val="003714D3"/>
    <w:rsid w:val="00371EC3"/>
    <w:rsid w:val="00376A99"/>
    <w:rsid w:val="003777F5"/>
    <w:rsid w:val="00383C2F"/>
    <w:rsid w:val="00386A56"/>
    <w:rsid w:val="00394098"/>
    <w:rsid w:val="003A0E75"/>
    <w:rsid w:val="003A239A"/>
    <w:rsid w:val="003A29A3"/>
    <w:rsid w:val="003A380F"/>
    <w:rsid w:val="003A4C84"/>
    <w:rsid w:val="003B0465"/>
    <w:rsid w:val="003B0CFF"/>
    <w:rsid w:val="003C244B"/>
    <w:rsid w:val="003C2721"/>
    <w:rsid w:val="003C28C1"/>
    <w:rsid w:val="003C51CA"/>
    <w:rsid w:val="003C520A"/>
    <w:rsid w:val="003C64DC"/>
    <w:rsid w:val="003D153B"/>
    <w:rsid w:val="003D46E6"/>
    <w:rsid w:val="003D6AC4"/>
    <w:rsid w:val="003E405E"/>
    <w:rsid w:val="003F3351"/>
    <w:rsid w:val="003F62C2"/>
    <w:rsid w:val="003F7410"/>
    <w:rsid w:val="00402E11"/>
    <w:rsid w:val="00403D50"/>
    <w:rsid w:val="0040486F"/>
    <w:rsid w:val="00405FBD"/>
    <w:rsid w:val="004154D8"/>
    <w:rsid w:val="004237DB"/>
    <w:rsid w:val="00423AF1"/>
    <w:rsid w:val="00432B95"/>
    <w:rsid w:val="0043349F"/>
    <w:rsid w:val="00433EEB"/>
    <w:rsid w:val="0045404B"/>
    <w:rsid w:val="0045634B"/>
    <w:rsid w:val="00457D1F"/>
    <w:rsid w:val="0046703B"/>
    <w:rsid w:val="0047007C"/>
    <w:rsid w:val="004743A9"/>
    <w:rsid w:val="004746A4"/>
    <w:rsid w:val="004815F9"/>
    <w:rsid w:val="00484272"/>
    <w:rsid w:val="00490A98"/>
    <w:rsid w:val="00491A47"/>
    <w:rsid w:val="004A45C7"/>
    <w:rsid w:val="004B00CE"/>
    <w:rsid w:val="004B49E2"/>
    <w:rsid w:val="004C0B53"/>
    <w:rsid w:val="004C13E7"/>
    <w:rsid w:val="004C4AC2"/>
    <w:rsid w:val="004C6BC4"/>
    <w:rsid w:val="004D4093"/>
    <w:rsid w:val="004D4181"/>
    <w:rsid w:val="004E2CFD"/>
    <w:rsid w:val="004E6788"/>
    <w:rsid w:val="004F014E"/>
    <w:rsid w:val="004F30C0"/>
    <w:rsid w:val="004F54A9"/>
    <w:rsid w:val="0050259A"/>
    <w:rsid w:val="005034A2"/>
    <w:rsid w:val="005138F1"/>
    <w:rsid w:val="00514E4D"/>
    <w:rsid w:val="0051545B"/>
    <w:rsid w:val="00516C5D"/>
    <w:rsid w:val="00534E17"/>
    <w:rsid w:val="005435CD"/>
    <w:rsid w:val="00543F41"/>
    <w:rsid w:val="005514D1"/>
    <w:rsid w:val="005524B3"/>
    <w:rsid w:val="005554B8"/>
    <w:rsid w:val="00557CE5"/>
    <w:rsid w:val="005601BD"/>
    <w:rsid w:val="00561DE7"/>
    <w:rsid w:val="0056315B"/>
    <w:rsid w:val="00565230"/>
    <w:rsid w:val="00565BFA"/>
    <w:rsid w:val="00580A36"/>
    <w:rsid w:val="005824D2"/>
    <w:rsid w:val="0058406B"/>
    <w:rsid w:val="00585A37"/>
    <w:rsid w:val="00596C9C"/>
    <w:rsid w:val="005A76EF"/>
    <w:rsid w:val="005B123D"/>
    <w:rsid w:val="005B4536"/>
    <w:rsid w:val="005B6257"/>
    <w:rsid w:val="005C1117"/>
    <w:rsid w:val="005C2DD7"/>
    <w:rsid w:val="005C2FA9"/>
    <w:rsid w:val="005C3C88"/>
    <w:rsid w:val="005C4C50"/>
    <w:rsid w:val="005C69BE"/>
    <w:rsid w:val="005D0EC7"/>
    <w:rsid w:val="005D3645"/>
    <w:rsid w:val="005D3FD9"/>
    <w:rsid w:val="005E605E"/>
    <w:rsid w:val="005F591A"/>
    <w:rsid w:val="00614CD5"/>
    <w:rsid w:val="006206BF"/>
    <w:rsid w:val="0062767A"/>
    <w:rsid w:val="00627D01"/>
    <w:rsid w:val="00632226"/>
    <w:rsid w:val="00633DAB"/>
    <w:rsid w:val="00637D58"/>
    <w:rsid w:val="006423FE"/>
    <w:rsid w:val="00642C4E"/>
    <w:rsid w:val="00644482"/>
    <w:rsid w:val="00647C5B"/>
    <w:rsid w:val="006520E8"/>
    <w:rsid w:val="00656D97"/>
    <w:rsid w:val="00670A2D"/>
    <w:rsid w:val="0067117C"/>
    <w:rsid w:val="006827A1"/>
    <w:rsid w:val="00685B07"/>
    <w:rsid w:val="006C40C2"/>
    <w:rsid w:val="006C79D3"/>
    <w:rsid w:val="006D348F"/>
    <w:rsid w:val="006D55C1"/>
    <w:rsid w:val="006E0690"/>
    <w:rsid w:val="006E414E"/>
    <w:rsid w:val="006E7CE1"/>
    <w:rsid w:val="006F2F6C"/>
    <w:rsid w:val="006F5F48"/>
    <w:rsid w:val="00703998"/>
    <w:rsid w:val="00707A14"/>
    <w:rsid w:val="00711B89"/>
    <w:rsid w:val="00740068"/>
    <w:rsid w:val="00740350"/>
    <w:rsid w:val="007407A8"/>
    <w:rsid w:val="00745F72"/>
    <w:rsid w:val="00755408"/>
    <w:rsid w:val="00757919"/>
    <w:rsid w:val="007606DE"/>
    <w:rsid w:val="00761144"/>
    <w:rsid w:val="007634F5"/>
    <w:rsid w:val="00767044"/>
    <w:rsid w:val="00767EDD"/>
    <w:rsid w:val="0077006E"/>
    <w:rsid w:val="00772E08"/>
    <w:rsid w:val="00787941"/>
    <w:rsid w:val="00793093"/>
    <w:rsid w:val="007A489B"/>
    <w:rsid w:val="007A49A3"/>
    <w:rsid w:val="007A5CE2"/>
    <w:rsid w:val="007A62C0"/>
    <w:rsid w:val="007A6DDC"/>
    <w:rsid w:val="007A7E29"/>
    <w:rsid w:val="007B5A48"/>
    <w:rsid w:val="007B5ED9"/>
    <w:rsid w:val="007C098D"/>
    <w:rsid w:val="007D0B14"/>
    <w:rsid w:val="007E1E7A"/>
    <w:rsid w:val="007E1EE8"/>
    <w:rsid w:val="007E29BD"/>
    <w:rsid w:val="007E59AD"/>
    <w:rsid w:val="007F637A"/>
    <w:rsid w:val="008015AB"/>
    <w:rsid w:val="00803348"/>
    <w:rsid w:val="0081003F"/>
    <w:rsid w:val="00813691"/>
    <w:rsid w:val="00813BCB"/>
    <w:rsid w:val="00821BC3"/>
    <w:rsid w:val="00822B23"/>
    <w:rsid w:val="00825395"/>
    <w:rsid w:val="00825990"/>
    <w:rsid w:val="00827459"/>
    <w:rsid w:val="00830500"/>
    <w:rsid w:val="00831107"/>
    <w:rsid w:val="00844E3A"/>
    <w:rsid w:val="00851F0C"/>
    <w:rsid w:val="00856E1B"/>
    <w:rsid w:val="00864998"/>
    <w:rsid w:val="008717BD"/>
    <w:rsid w:val="0087577B"/>
    <w:rsid w:val="008931E8"/>
    <w:rsid w:val="008945E9"/>
    <w:rsid w:val="008A7986"/>
    <w:rsid w:val="008B2468"/>
    <w:rsid w:val="008B46F8"/>
    <w:rsid w:val="008C2FAB"/>
    <w:rsid w:val="008D7621"/>
    <w:rsid w:val="008E034B"/>
    <w:rsid w:val="008E091E"/>
    <w:rsid w:val="008E2479"/>
    <w:rsid w:val="008E5552"/>
    <w:rsid w:val="008F3B06"/>
    <w:rsid w:val="008F559A"/>
    <w:rsid w:val="008F6AD6"/>
    <w:rsid w:val="00902663"/>
    <w:rsid w:val="00911183"/>
    <w:rsid w:val="009238EC"/>
    <w:rsid w:val="009249E4"/>
    <w:rsid w:val="009256DC"/>
    <w:rsid w:val="00925961"/>
    <w:rsid w:val="00925A5B"/>
    <w:rsid w:val="00932B74"/>
    <w:rsid w:val="009335EB"/>
    <w:rsid w:val="0093360C"/>
    <w:rsid w:val="00946607"/>
    <w:rsid w:val="00946A5E"/>
    <w:rsid w:val="0095002D"/>
    <w:rsid w:val="009512C6"/>
    <w:rsid w:val="00951863"/>
    <w:rsid w:val="009526B2"/>
    <w:rsid w:val="00954301"/>
    <w:rsid w:val="00962B70"/>
    <w:rsid w:val="009639F1"/>
    <w:rsid w:val="00965E3E"/>
    <w:rsid w:val="00970FDE"/>
    <w:rsid w:val="00982FF9"/>
    <w:rsid w:val="0099020E"/>
    <w:rsid w:val="00994A56"/>
    <w:rsid w:val="009B0915"/>
    <w:rsid w:val="009B4E1E"/>
    <w:rsid w:val="009C0189"/>
    <w:rsid w:val="009C2782"/>
    <w:rsid w:val="009C3818"/>
    <w:rsid w:val="009C71B6"/>
    <w:rsid w:val="009D3E25"/>
    <w:rsid w:val="009D72ED"/>
    <w:rsid w:val="009E1E5D"/>
    <w:rsid w:val="009E2F30"/>
    <w:rsid w:val="009F1599"/>
    <w:rsid w:val="009F4C7D"/>
    <w:rsid w:val="009F5382"/>
    <w:rsid w:val="009F72F2"/>
    <w:rsid w:val="00A00F70"/>
    <w:rsid w:val="00A01A66"/>
    <w:rsid w:val="00A044B5"/>
    <w:rsid w:val="00A06F12"/>
    <w:rsid w:val="00A134E6"/>
    <w:rsid w:val="00A13B7B"/>
    <w:rsid w:val="00A141BE"/>
    <w:rsid w:val="00A21F24"/>
    <w:rsid w:val="00A33CDA"/>
    <w:rsid w:val="00A42BBA"/>
    <w:rsid w:val="00A46164"/>
    <w:rsid w:val="00A50F98"/>
    <w:rsid w:val="00A57A60"/>
    <w:rsid w:val="00A621D3"/>
    <w:rsid w:val="00A6642E"/>
    <w:rsid w:val="00A67234"/>
    <w:rsid w:val="00A6730F"/>
    <w:rsid w:val="00A70D4D"/>
    <w:rsid w:val="00A7407D"/>
    <w:rsid w:val="00A75A7D"/>
    <w:rsid w:val="00A811C5"/>
    <w:rsid w:val="00A9028F"/>
    <w:rsid w:val="00A91833"/>
    <w:rsid w:val="00A91E54"/>
    <w:rsid w:val="00AA244B"/>
    <w:rsid w:val="00AA321A"/>
    <w:rsid w:val="00AA37D9"/>
    <w:rsid w:val="00AA6E1B"/>
    <w:rsid w:val="00AA7629"/>
    <w:rsid w:val="00AB0512"/>
    <w:rsid w:val="00AB4366"/>
    <w:rsid w:val="00AB45EC"/>
    <w:rsid w:val="00AB49C4"/>
    <w:rsid w:val="00AB663F"/>
    <w:rsid w:val="00AC70FB"/>
    <w:rsid w:val="00AD20F6"/>
    <w:rsid w:val="00AD56DC"/>
    <w:rsid w:val="00AD7BD0"/>
    <w:rsid w:val="00AE266A"/>
    <w:rsid w:val="00AE5692"/>
    <w:rsid w:val="00AE7DCC"/>
    <w:rsid w:val="00AF15CF"/>
    <w:rsid w:val="00AF38DB"/>
    <w:rsid w:val="00AF4642"/>
    <w:rsid w:val="00B02814"/>
    <w:rsid w:val="00B11615"/>
    <w:rsid w:val="00B217CB"/>
    <w:rsid w:val="00B21F5B"/>
    <w:rsid w:val="00B22F1B"/>
    <w:rsid w:val="00B26085"/>
    <w:rsid w:val="00B277BA"/>
    <w:rsid w:val="00B31962"/>
    <w:rsid w:val="00B363DA"/>
    <w:rsid w:val="00B41507"/>
    <w:rsid w:val="00B434C0"/>
    <w:rsid w:val="00B45771"/>
    <w:rsid w:val="00B45BEE"/>
    <w:rsid w:val="00B55013"/>
    <w:rsid w:val="00B558FE"/>
    <w:rsid w:val="00B6288B"/>
    <w:rsid w:val="00B636E0"/>
    <w:rsid w:val="00B66CF1"/>
    <w:rsid w:val="00B713E1"/>
    <w:rsid w:val="00B84242"/>
    <w:rsid w:val="00B86AAD"/>
    <w:rsid w:val="00BA0330"/>
    <w:rsid w:val="00BA4651"/>
    <w:rsid w:val="00BA5B82"/>
    <w:rsid w:val="00BA6890"/>
    <w:rsid w:val="00BB7301"/>
    <w:rsid w:val="00BB776E"/>
    <w:rsid w:val="00BC0CE3"/>
    <w:rsid w:val="00BC1520"/>
    <w:rsid w:val="00BC24BA"/>
    <w:rsid w:val="00BC5522"/>
    <w:rsid w:val="00BD1AC6"/>
    <w:rsid w:val="00BD33D3"/>
    <w:rsid w:val="00BD7036"/>
    <w:rsid w:val="00BE1863"/>
    <w:rsid w:val="00BE72D3"/>
    <w:rsid w:val="00BF75FE"/>
    <w:rsid w:val="00C00737"/>
    <w:rsid w:val="00C05E50"/>
    <w:rsid w:val="00C074FA"/>
    <w:rsid w:val="00C11B14"/>
    <w:rsid w:val="00C30E23"/>
    <w:rsid w:val="00C31999"/>
    <w:rsid w:val="00C354F3"/>
    <w:rsid w:val="00C360EB"/>
    <w:rsid w:val="00C401C3"/>
    <w:rsid w:val="00C4218F"/>
    <w:rsid w:val="00C42C7D"/>
    <w:rsid w:val="00C4481C"/>
    <w:rsid w:val="00C45311"/>
    <w:rsid w:val="00C45935"/>
    <w:rsid w:val="00C46633"/>
    <w:rsid w:val="00C46E36"/>
    <w:rsid w:val="00C53EF3"/>
    <w:rsid w:val="00C638E9"/>
    <w:rsid w:val="00C701C7"/>
    <w:rsid w:val="00C71BFB"/>
    <w:rsid w:val="00C72117"/>
    <w:rsid w:val="00C862FA"/>
    <w:rsid w:val="00C87142"/>
    <w:rsid w:val="00C8794C"/>
    <w:rsid w:val="00C91F8D"/>
    <w:rsid w:val="00CB2B80"/>
    <w:rsid w:val="00CB540A"/>
    <w:rsid w:val="00CB695B"/>
    <w:rsid w:val="00CB72DC"/>
    <w:rsid w:val="00CC14BA"/>
    <w:rsid w:val="00CC1BC2"/>
    <w:rsid w:val="00CC57D2"/>
    <w:rsid w:val="00CC7018"/>
    <w:rsid w:val="00CD2BEF"/>
    <w:rsid w:val="00CD6639"/>
    <w:rsid w:val="00CD7A78"/>
    <w:rsid w:val="00CE4DA0"/>
    <w:rsid w:val="00CF2B29"/>
    <w:rsid w:val="00D0053C"/>
    <w:rsid w:val="00D02A7E"/>
    <w:rsid w:val="00D0662C"/>
    <w:rsid w:val="00D0692C"/>
    <w:rsid w:val="00D07734"/>
    <w:rsid w:val="00D1051C"/>
    <w:rsid w:val="00D10959"/>
    <w:rsid w:val="00D10CB6"/>
    <w:rsid w:val="00D21289"/>
    <w:rsid w:val="00D21A0D"/>
    <w:rsid w:val="00D21B42"/>
    <w:rsid w:val="00D25498"/>
    <w:rsid w:val="00D270D1"/>
    <w:rsid w:val="00D336B4"/>
    <w:rsid w:val="00D36A0B"/>
    <w:rsid w:val="00D37023"/>
    <w:rsid w:val="00D4608F"/>
    <w:rsid w:val="00D501BB"/>
    <w:rsid w:val="00D51040"/>
    <w:rsid w:val="00D617A2"/>
    <w:rsid w:val="00D677B1"/>
    <w:rsid w:val="00D737E0"/>
    <w:rsid w:val="00D75984"/>
    <w:rsid w:val="00D90F8C"/>
    <w:rsid w:val="00D95042"/>
    <w:rsid w:val="00D971FA"/>
    <w:rsid w:val="00DA734F"/>
    <w:rsid w:val="00DC54FA"/>
    <w:rsid w:val="00DD0CBE"/>
    <w:rsid w:val="00DD3B88"/>
    <w:rsid w:val="00DD4311"/>
    <w:rsid w:val="00DD4D50"/>
    <w:rsid w:val="00DD5646"/>
    <w:rsid w:val="00DE6CE7"/>
    <w:rsid w:val="00DF32F0"/>
    <w:rsid w:val="00DF4C5B"/>
    <w:rsid w:val="00E00BA4"/>
    <w:rsid w:val="00E01F89"/>
    <w:rsid w:val="00E0377E"/>
    <w:rsid w:val="00E14EBC"/>
    <w:rsid w:val="00E213AA"/>
    <w:rsid w:val="00E22900"/>
    <w:rsid w:val="00E22F16"/>
    <w:rsid w:val="00E257A1"/>
    <w:rsid w:val="00E271C5"/>
    <w:rsid w:val="00E3329E"/>
    <w:rsid w:val="00E33839"/>
    <w:rsid w:val="00E33A0B"/>
    <w:rsid w:val="00E47D22"/>
    <w:rsid w:val="00E56C2D"/>
    <w:rsid w:val="00E60D08"/>
    <w:rsid w:val="00E63F41"/>
    <w:rsid w:val="00E64ED4"/>
    <w:rsid w:val="00E665DC"/>
    <w:rsid w:val="00E67D3D"/>
    <w:rsid w:val="00E76374"/>
    <w:rsid w:val="00E92B16"/>
    <w:rsid w:val="00EA1DCE"/>
    <w:rsid w:val="00EB0F5D"/>
    <w:rsid w:val="00EB11EC"/>
    <w:rsid w:val="00EB256B"/>
    <w:rsid w:val="00EC2BF0"/>
    <w:rsid w:val="00EC766F"/>
    <w:rsid w:val="00EC7774"/>
    <w:rsid w:val="00EC7EAE"/>
    <w:rsid w:val="00EF0902"/>
    <w:rsid w:val="00EF646A"/>
    <w:rsid w:val="00F00110"/>
    <w:rsid w:val="00F02534"/>
    <w:rsid w:val="00F121DC"/>
    <w:rsid w:val="00F126CC"/>
    <w:rsid w:val="00F12E69"/>
    <w:rsid w:val="00F1355A"/>
    <w:rsid w:val="00F13A6B"/>
    <w:rsid w:val="00F21F5C"/>
    <w:rsid w:val="00F242F9"/>
    <w:rsid w:val="00F257DB"/>
    <w:rsid w:val="00F321FE"/>
    <w:rsid w:val="00F37991"/>
    <w:rsid w:val="00F37B85"/>
    <w:rsid w:val="00F41A9D"/>
    <w:rsid w:val="00F424EC"/>
    <w:rsid w:val="00F51301"/>
    <w:rsid w:val="00F51A8C"/>
    <w:rsid w:val="00F53A75"/>
    <w:rsid w:val="00F554FA"/>
    <w:rsid w:val="00F55F07"/>
    <w:rsid w:val="00F566DA"/>
    <w:rsid w:val="00F63F17"/>
    <w:rsid w:val="00F63F4E"/>
    <w:rsid w:val="00F64877"/>
    <w:rsid w:val="00F67C7E"/>
    <w:rsid w:val="00F70094"/>
    <w:rsid w:val="00F741F8"/>
    <w:rsid w:val="00F7603C"/>
    <w:rsid w:val="00F82766"/>
    <w:rsid w:val="00F86324"/>
    <w:rsid w:val="00F9038B"/>
    <w:rsid w:val="00F95BFB"/>
    <w:rsid w:val="00F966FB"/>
    <w:rsid w:val="00F97623"/>
    <w:rsid w:val="00FA12D0"/>
    <w:rsid w:val="00FA30F7"/>
    <w:rsid w:val="00FA5BB8"/>
    <w:rsid w:val="00FB3369"/>
    <w:rsid w:val="00FB3596"/>
    <w:rsid w:val="00FB3D4D"/>
    <w:rsid w:val="00FB57D5"/>
    <w:rsid w:val="00FB7D74"/>
    <w:rsid w:val="00FC1875"/>
    <w:rsid w:val="00FD0F52"/>
    <w:rsid w:val="00FD7359"/>
    <w:rsid w:val="00FF099F"/>
    <w:rsid w:val="00FF1D5B"/>
    <w:rsid w:val="00FF574E"/>
    <w:rsid w:val="00FF77D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autoRedefine/>
    <w:qFormat/>
    <w:rsid w:val="004746A4"/>
    <w:pPr>
      <w:keepNext/>
      <w:spacing w:after="240"/>
      <w:ind w:left="2160" w:hanging="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link w:val="FootnoteTextChar"/>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AE4499"/>
    <w:rPr>
      <w:sz w:val="24"/>
    </w:rPr>
  </w:style>
  <w:style w:type="character" w:customStyle="1" w:styleId="BodyTextIndent3Char">
    <w:name w:val="Body Text Indent 3 Char"/>
    <w:link w:val="BodyTextIndent3"/>
    <w:rsid w:val="002C118E"/>
    <w:rPr>
      <w:sz w:val="24"/>
    </w:rPr>
  </w:style>
  <w:style w:type="character" w:customStyle="1" w:styleId="CommentTextChar">
    <w:name w:val="Comment Text Char"/>
    <w:link w:val="CommentText"/>
    <w:semiHidden/>
    <w:rsid w:val="002C118E"/>
    <w:rPr>
      <w:sz w:val="24"/>
      <w:szCs w:val="24"/>
    </w:rPr>
  </w:style>
  <w:style w:type="character" w:customStyle="1" w:styleId="FootnoteTextChar">
    <w:name w:val="Footnote Text Char"/>
    <w:link w:val="FootnoteText"/>
    <w:locked/>
    <w:rsid w:val="00C06CC0"/>
  </w:style>
  <w:style w:type="paragraph" w:styleId="Revision">
    <w:name w:val="Revision"/>
    <w:hidden/>
    <w:uiPriority w:val="99"/>
    <w:semiHidden/>
    <w:rsid w:val="00657CE8"/>
    <w:rPr>
      <w:sz w:val="24"/>
    </w:rPr>
  </w:style>
  <w:style w:type="character" w:customStyle="1" w:styleId="UnresolvedMention1">
    <w:name w:val="Unresolved Mention1"/>
    <w:basedOn w:val="DefaultParagraphFont"/>
    <w:uiPriority w:val="99"/>
    <w:semiHidden/>
    <w:unhideWhenUsed/>
    <w:rsid w:val="00CE6826"/>
    <w:rPr>
      <w:color w:val="605E5C"/>
      <w:shd w:val="clear" w:color="auto" w:fill="E1DFDD"/>
    </w:rPr>
  </w:style>
  <w:style w:type="character" w:customStyle="1" w:styleId="HeaderChar">
    <w:name w:val="Header Char"/>
    <w:basedOn w:val="DefaultParagraphFont"/>
    <w:link w:val="Header"/>
    <w:uiPriority w:val="99"/>
    <w:rsid w:val="002B4D1F"/>
    <w:rPr>
      <w:sz w:val="24"/>
    </w:rPr>
  </w:style>
  <w:style w:type="character" w:customStyle="1" w:styleId="FooterChar">
    <w:name w:val="Footer Char"/>
    <w:basedOn w:val="DefaultParagraphFont"/>
    <w:link w:val="Footer"/>
    <w:uiPriority w:val="99"/>
    <w:rsid w:val="002B4D1F"/>
  </w:style>
  <w:style w:type="paragraph" w:styleId="NormalWeb">
    <w:name w:val="Normal (Web)"/>
    <w:basedOn w:val="Normal"/>
    <w:uiPriority w:val="99"/>
    <w:unhideWhenUsed/>
    <w:rsid w:val="00C87142"/>
    <w:pPr>
      <w:spacing w:before="100" w:beforeAutospacing="1" w:after="100" w:afterAutospacing="1"/>
    </w:pPr>
    <w:rPr>
      <w:szCs w:val="24"/>
    </w:rPr>
  </w:style>
  <w:style w:type="paragraph" w:styleId="ListParagraph">
    <w:name w:val="List Paragraph"/>
    <w:basedOn w:val="Normal"/>
    <w:uiPriority w:val="34"/>
    <w:qFormat/>
    <w:rsid w:val="00642C4E"/>
    <w:pPr>
      <w:ind w:left="720"/>
      <w:contextualSpacing/>
    </w:pPr>
  </w:style>
  <w:style w:type="character" w:customStyle="1" w:styleId="UnresolvedMention2">
    <w:name w:val="Unresolved Mention2"/>
    <w:basedOn w:val="DefaultParagraphFont"/>
    <w:rsid w:val="00627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di.bair@ohioattorneygeneral.gov" TargetMode="External" /><Relationship Id="rId11" Type="http://schemas.openxmlformats.org/officeDocument/2006/relationships/hyperlink" Target="mailto:steven.darnell@ohioattorneygeneral.gov" TargetMode="External" /><Relationship Id="rId12" Type="http://schemas.openxmlformats.org/officeDocument/2006/relationships/hyperlink" Target="mailto:Megan.addison@puc.state.oh.us" TargetMode="External" /><Relationship Id="rId13" Type="http://schemas.openxmlformats.org/officeDocument/2006/relationships/hyperlink" Target="mailto:Gregory.price@puc.state.oh.us" TargetMode="External" /><Relationship Id="rId14" Type="http://schemas.openxmlformats.org/officeDocument/2006/relationships/hyperlink" Target="mailto:cwatchorn@firstenergycorp.com"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merriam-webster.com/thesaur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EA947-00C6-48A2-B038-B85D67EE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2020-05-08T19:13:19Z</dcterms:created>
  <dcterms:modified xsi:type="dcterms:W3CDTF">2020-05-08T19:13:19Z</dcterms:modified>
</cp:coreProperties>
</file>