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rPr>
      </w:pPr>
      <w:bookmarkStart w:id="0" w:name="_GoBack"/>
      <w:bookmarkEnd w:id="0"/>
      <w:r w:rsidRPr="00DC1FF0">
        <w:rPr>
          <w:rFonts w:ascii="Times New Roman" w:eastAsia="Courier New" w:hAnsi="Times New Roman" w:cs="Times New Roman"/>
          <w:b/>
          <w:bCs/>
          <w:sz w:val="24"/>
          <w:szCs w:val="24"/>
        </w:rPr>
        <w:t>BEFORE</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rPr>
      </w:pPr>
      <w:r w:rsidRPr="00DC1FF0">
        <w:rPr>
          <w:rFonts w:ascii="Times New Roman" w:eastAsia="Courier New" w:hAnsi="Times New Roman" w:cs="Times New Roman"/>
          <w:b/>
          <w:bCs/>
          <w:sz w:val="24"/>
          <w:szCs w:val="24"/>
        </w:rPr>
        <w:t>THE PUBLIC UTILITIES COMMISSION OF OHIO</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ED5BD9" w:rsidRPr="00DC1FF0" w:rsidTr="00ED5BD9">
        <w:trPr>
          <w:trHeight w:val="807"/>
        </w:trPr>
        <w:tc>
          <w:tcPr>
            <w:tcW w:w="4332" w:type="dxa"/>
            <w:shd w:val="clear" w:color="auto" w:fill="auto"/>
          </w:tcPr>
          <w:p w:rsidR="00ED5BD9" w:rsidRPr="00DC1FF0" w:rsidRDefault="00ED5BD9" w:rsidP="00ED5BD9">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the Matter of the Application of Duke</w:t>
            </w:r>
          </w:p>
          <w:p w:rsidR="00ED5BD9" w:rsidRPr="00DC1FF0" w:rsidRDefault="00ED5BD9" w:rsidP="00ED5BD9">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Energy Ohio for Authority to Establish a</w:t>
            </w:r>
          </w:p>
          <w:p w:rsidR="00ED5BD9" w:rsidRPr="00DC1FF0" w:rsidRDefault="00ED5BD9" w:rsidP="00ED5BD9">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Standard Service Offer Pursuant to Section 4928.143, Revised Code, in the Form of an Electric Security Plan, Accounting Modifications and Tariffs for Generation Service.</w:t>
            </w:r>
          </w:p>
          <w:p w:rsidR="00ED5BD9" w:rsidRPr="00DC1FF0" w:rsidRDefault="00ED5BD9" w:rsidP="00ED5BD9">
            <w:pPr>
              <w:autoSpaceDE w:val="0"/>
              <w:autoSpaceDN w:val="0"/>
              <w:adjustRightInd w:val="0"/>
              <w:spacing w:after="0" w:line="240" w:lineRule="auto"/>
              <w:rPr>
                <w:rFonts w:ascii="Times New Roman" w:eastAsia="Times New Roman" w:hAnsi="Times New Roman" w:cs="Times New Roman"/>
                <w:sz w:val="24"/>
                <w:szCs w:val="24"/>
              </w:rPr>
            </w:pPr>
          </w:p>
          <w:p w:rsidR="00ED5BD9" w:rsidRPr="00DC1FF0" w:rsidRDefault="00ED5BD9" w:rsidP="00ED5BD9">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the Matter of the Application of Duke</w:t>
            </w:r>
          </w:p>
          <w:p w:rsidR="00ED5BD9" w:rsidRPr="00DC1FF0" w:rsidRDefault="00ED5BD9" w:rsidP="00ED5BD9">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Energy Ohio for Authority to Amend its</w:t>
            </w:r>
          </w:p>
          <w:p w:rsidR="00ED5BD9" w:rsidRPr="00DC1FF0" w:rsidRDefault="00ED5BD9" w:rsidP="00ED5BD9">
            <w:pPr>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Certified Supplier Tariff, P.U.C.O. </w:t>
            </w:r>
          </w:p>
          <w:p w:rsidR="00ED5BD9" w:rsidRPr="00DC1FF0" w:rsidRDefault="00ED5BD9" w:rsidP="00ED5BD9">
            <w:pPr>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No. 20. </w:t>
            </w:r>
          </w:p>
        </w:tc>
        <w:tc>
          <w:tcPr>
            <w:tcW w:w="360" w:type="dxa"/>
            <w:shd w:val="clear" w:color="auto" w:fill="auto"/>
          </w:tcPr>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tc>
        <w:tc>
          <w:tcPr>
            <w:tcW w:w="4400" w:type="dxa"/>
            <w:shd w:val="clear" w:color="auto" w:fill="auto"/>
          </w:tcPr>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Case No. 14-841-EL-SSO</w:t>
            </w: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Case No. 14-842-EL-ATA</w:t>
            </w:r>
          </w:p>
        </w:tc>
      </w:tr>
    </w:tbl>
    <w:p w:rsidR="00ED5BD9" w:rsidRPr="00DC1FF0" w:rsidRDefault="00ED5BD9" w:rsidP="00ED5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ab/>
      </w:r>
    </w:p>
    <w:p w:rsidR="00ED5BD9" w:rsidRPr="00DC1FF0" w:rsidRDefault="00ED5BD9" w:rsidP="00ED5BD9">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D5BD9" w:rsidRPr="00DC1FF0" w:rsidRDefault="00ED5BD9" w:rsidP="00ED5BD9">
      <w:pPr>
        <w:spacing w:after="0" w:line="240" w:lineRule="auto"/>
        <w:jc w:val="center"/>
        <w:rPr>
          <w:rFonts w:ascii="Times New Roman" w:eastAsia="Times New Roman" w:hAnsi="Times New Roman" w:cs="Times New Roman"/>
          <w:b/>
          <w:bCs/>
          <w:sz w:val="24"/>
          <w:szCs w:val="24"/>
        </w:rPr>
      </w:pPr>
      <w:r w:rsidRPr="00DC1FF0">
        <w:rPr>
          <w:rFonts w:ascii="Times New Roman" w:eastAsia="Times New Roman" w:hAnsi="Times New Roman" w:cs="Times New Roman"/>
          <w:b/>
          <w:bCs/>
          <w:sz w:val="24"/>
          <w:szCs w:val="24"/>
        </w:rPr>
        <w:t xml:space="preserve">REPLY BRIEF </w:t>
      </w:r>
    </w:p>
    <w:p w:rsidR="00ED5BD9" w:rsidRPr="00DC1FF0" w:rsidRDefault="00ED5BD9" w:rsidP="00ED5BD9">
      <w:pPr>
        <w:spacing w:after="0" w:line="240" w:lineRule="auto"/>
        <w:jc w:val="center"/>
        <w:rPr>
          <w:rFonts w:ascii="Times New Roman" w:eastAsia="Times New Roman" w:hAnsi="Times New Roman" w:cs="Times New Roman"/>
          <w:b/>
          <w:bCs/>
          <w:sz w:val="24"/>
          <w:szCs w:val="24"/>
        </w:rPr>
      </w:pPr>
      <w:r w:rsidRPr="00DC1FF0">
        <w:rPr>
          <w:rFonts w:ascii="Times New Roman" w:eastAsia="Times New Roman" w:hAnsi="Times New Roman" w:cs="Times New Roman"/>
          <w:b/>
          <w:bCs/>
          <w:sz w:val="24"/>
          <w:szCs w:val="24"/>
        </w:rPr>
        <w:t>BY</w:t>
      </w:r>
    </w:p>
    <w:p w:rsidR="00ED5BD9" w:rsidRPr="00DC1FF0" w:rsidRDefault="00ED5BD9" w:rsidP="00ED5BD9">
      <w:pPr>
        <w:spacing w:after="0" w:line="240" w:lineRule="auto"/>
        <w:jc w:val="center"/>
        <w:rPr>
          <w:rFonts w:ascii="Times New Roman" w:eastAsia="Times New Roman" w:hAnsi="Times New Roman" w:cs="Times New Roman"/>
          <w:b/>
          <w:bCs/>
          <w:sz w:val="24"/>
          <w:szCs w:val="24"/>
        </w:rPr>
      </w:pPr>
      <w:r w:rsidRPr="00DC1FF0">
        <w:rPr>
          <w:rFonts w:ascii="Times New Roman" w:eastAsia="Times New Roman" w:hAnsi="Times New Roman" w:cs="Times New Roman"/>
          <w:b/>
          <w:bCs/>
          <w:sz w:val="24"/>
          <w:szCs w:val="24"/>
        </w:rPr>
        <w:t>THE OFFICE OF THE OHIO CONSUMERS’ COUNSEL</w:t>
      </w:r>
    </w:p>
    <w:p w:rsidR="00ED5BD9" w:rsidRPr="00DC1FF0" w:rsidRDefault="00ED5BD9" w:rsidP="00ED5BD9">
      <w:pPr>
        <w:pBdr>
          <w:bottom w:val="single" w:sz="12" w:space="1" w:color="auto"/>
        </w:pBdr>
        <w:tabs>
          <w:tab w:val="left" w:pos="4320"/>
        </w:tabs>
        <w:spacing w:after="0" w:line="240" w:lineRule="auto"/>
        <w:rPr>
          <w:rFonts w:ascii="Times New Roman" w:eastAsia="Times New Roman" w:hAnsi="Times New Roman" w:cs="Times New Roman"/>
          <w:sz w:val="24"/>
          <w:szCs w:val="24"/>
        </w:rPr>
      </w:pPr>
    </w:p>
    <w:p w:rsidR="00ED5BD9" w:rsidRPr="00DC1FF0" w:rsidRDefault="00ED5BD9" w:rsidP="00ED5BD9">
      <w:pPr>
        <w:tabs>
          <w:tab w:val="left" w:pos="4320"/>
        </w:tabs>
        <w:spacing w:after="0" w:line="240" w:lineRule="auto"/>
        <w:rPr>
          <w:rFonts w:ascii="Times New Roman" w:eastAsia="Times New Roman" w:hAnsi="Times New Roman" w:cs="Times New Roman"/>
          <w:sz w:val="24"/>
          <w:szCs w:val="24"/>
        </w:rPr>
      </w:pPr>
    </w:p>
    <w:p w:rsidR="006857BB" w:rsidRPr="00DC1FF0" w:rsidRDefault="006857BB" w:rsidP="00896261">
      <w:pPr>
        <w:rPr>
          <w:rFonts w:ascii="Times New Roman" w:hAnsi="Times New Roman" w:cs="Times New Roman"/>
          <w:sz w:val="24"/>
          <w:szCs w:val="24"/>
        </w:rPr>
      </w:pPr>
    </w:p>
    <w:p w:rsidR="00896261" w:rsidRPr="00DC1FF0" w:rsidRDefault="00896261" w:rsidP="00896261">
      <w:pPr>
        <w:pStyle w:val="Footer"/>
        <w:tabs>
          <w:tab w:val="clear" w:pos="8640"/>
          <w:tab w:val="left" w:pos="4320"/>
        </w:tabs>
        <w:spacing w:line="240" w:lineRule="auto"/>
      </w:pPr>
      <w:r w:rsidRPr="00DC1FF0">
        <w:tab/>
      </w:r>
      <w:r w:rsidRPr="00DC1FF0">
        <w:tab/>
        <w:t>BRUCE J. WESTON</w:t>
      </w:r>
    </w:p>
    <w:p w:rsidR="00896261" w:rsidRPr="00DC1FF0" w:rsidRDefault="00896261" w:rsidP="00896261">
      <w:pPr>
        <w:tabs>
          <w:tab w:val="left" w:pos="4320"/>
        </w:tabs>
        <w:spacing w:after="0" w:line="240" w:lineRule="auto"/>
        <w:rPr>
          <w:rFonts w:ascii="Times New Roman" w:hAnsi="Times New Roman" w:cs="Times New Roman"/>
          <w:sz w:val="24"/>
          <w:szCs w:val="24"/>
        </w:rPr>
      </w:pPr>
      <w:r w:rsidRPr="00DC1FF0">
        <w:rPr>
          <w:rFonts w:ascii="Times New Roman" w:hAnsi="Times New Roman" w:cs="Times New Roman"/>
          <w:sz w:val="24"/>
          <w:szCs w:val="24"/>
        </w:rPr>
        <w:tab/>
        <w:t>OHIO CONSUMERS’ COUNSEL</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Maureen R. Grady, Counsel of Record</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(0020847)</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Joseph P. Serio (0036959)</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Edmund “Tad” Berger (0090307)</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Assistant Consumers’ Counsel</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p>
    <w:p w:rsidR="00896261" w:rsidRPr="00DC1FF0" w:rsidRDefault="00896261" w:rsidP="00896261">
      <w:pPr>
        <w:autoSpaceDE w:val="0"/>
        <w:autoSpaceDN w:val="0"/>
        <w:adjustRightInd w:val="0"/>
        <w:spacing w:after="0" w:line="240" w:lineRule="auto"/>
        <w:ind w:left="4320"/>
        <w:rPr>
          <w:rFonts w:ascii="Times New Roman" w:hAnsi="Times New Roman" w:cs="Times New Roman"/>
          <w:b/>
          <w:bCs/>
          <w:color w:val="000000"/>
          <w:sz w:val="24"/>
          <w:szCs w:val="24"/>
        </w:rPr>
      </w:pPr>
      <w:r w:rsidRPr="00DC1FF0">
        <w:rPr>
          <w:rFonts w:ascii="Times New Roman" w:hAnsi="Times New Roman" w:cs="Times New Roman"/>
          <w:b/>
          <w:bCs/>
          <w:color w:val="000000"/>
          <w:sz w:val="24"/>
          <w:szCs w:val="24"/>
        </w:rPr>
        <w:t>Office of the Ohio Consumers’ Counsel</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10 West Broad Street, Suite 1800</w:t>
      </w:r>
    </w:p>
    <w:p w:rsidR="00896261" w:rsidRPr="00DC1FF0" w:rsidRDefault="00896261" w:rsidP="00896261">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Columbus, Ohio 43215-3485</w:t>
      </w:r>
    </w:p>
    <w:p w:rsidR="00896261" w:rsidRPr="00DC1FF0" w:rsidRDefault="00896261" w:rsidP="00896261">
      <w:pPr>
        <w:autoSpaceDE w:val="0"/>
        <w:autoSpaceDN w:val="0"/>
        <w:adjustRightInd w:val="0"/>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(Grady) (614) 466-9567</w:t>
      </w:r>
    </w:p>
    <w:p w:rsidR="00896261" w:rsidRPr="00DC1FF0" w:rsidRDefault="00896261" w:rsidP="00896261">
      <w:pPr>
        <w:autoSpaceDE w:val="0"/>
        <w:autoSpaceDN w:val="0"/>
        <w:adjustRightInd w:val="0"/>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(Serio) (614) 466-9565</w:t>
      </w:r>
    </w:p>
    <w:p w:rsidR="00896261" w:rsidRPr="00DC1FF0" w:rsidRDefault="00896261" w:rsidP="00896261">
      <w:pPr>
        <w:autoSpaceDE w:val="0"/>
        <w:autoSpaceDN w:val="0"/>
        <w:adjustRightInd w:val="0"/>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(Berger) (614) 466-1292</w:t>
      </w:r>
    </w:p>
    <w:p w:rsidR="00896261" w:rsidRPr="00DC1FF0" w:rsidRDefault="001D5E02" w:rsidP="00896261">
      <w:pPr>
        <w:autoSpaceDE w:val="0"/>
        <w:autoSpaceDN w:val="0"/>
        <w:adjustRightInd w:val="0"/>
        <w:spacing w:after="0" w:line="240" w:lineRule="auto"/>
        <w:ind w:left="4320"/>
        <w:rPr>
          <w:rFonts w:ascii="Times New Roman" w:hAnsi="Times New Roman" w:cs="Times New Roman"/>
          <w:sz w:val="24"/>
          <w:szCs w:val="24"/>
        </w:rPr>
      </w:pPr>
      <w:hyperlink r:id="rId8" w:history="1">
        <w:r w:rsidR="00896261" w:rsidRPr="00DC1FF0">
          <w:rPr>
            <w:rStyle w:val="Hyperlink"/>
            <w:rFonts w:ascii="Times New Roman" w:hAnsi="Times New Roman"/>
            <w:sz w:val="24"/>
            <w:szCs w:val="24"/>
          </w:rPr>
          <w:t>Maureen.grady@occ.ohio.gov</w:t>
        </w:r>
      </w:hyperlink>
    </w:p>
    <w:p w:rsidR="00896261" w:rsidRPr="00DC1FF0" w:rsidRDefault="001D5E02" w:rsidP="00896261">
      <w:pPr>
        <w:autoSpaceDE w:val="0"/>
        <w:autoSpaceDN w:val="0"/>
        <w:adjustRightInd w:val="0"/>
        <w:spacing w:after="0" w:line="240" w:lineRule="auto"/>
        <w:ind w:left="4320"/>
        <w:rPr>
          <w:rFonts w:ascii="Times New Roman" w:hAnsi="Times New Roman" w:cs="Times New Roman"/>
          <w:sz w:val="24"/>
          <w:szCs w:val="24"/>
        </w:rPr>
      </w:pPr>
      <w:hyperlink r:id="rId9" w:history="1">
        <w:r w:rsidR="00896261" w:rsidRPr="00DC1FF0">
          <w:rPr>
            <w:rStyle w:val="Hyperlink"/>
            <w:rFonts w:ascii="Times New Roman" w:hAnsi="Times New Roman"/>
            <w:sz w:val="24"/>
            <w:szCs w:val="24"/>
          </w:rPr>
          <w:t>Joseph.serio@occ.ohio.gov</w:t>
        </w:r>
      </w:hyperlink>
    </w:p>
    <w:p w:rsidR="00896261" w:rsidRPr="00DC1FF0" w:rsidRDefault="001D5E02" w:rsidP="006B48F4">
      <w:pPr>
        <w:autoSpaceDE w:val="0"/>
        <w:autoSpaceDN w:val="0"/>
        <w:adjustRightInd w:val="0"/>
        <w:spacing w:after="0" w:line="240" w:lineRule="auto"/>
        <w:ind w:left="4410"/>
        <w:rPr>
          <w:rStyle w:val="Hyperlink"/>
          <w:rFonts w:ascii="Times New Roman" w:hAnsi="Times New Roman"/>
          <w:sz w:val="24"/>
          <w:szCs w:val="24"/>
        </w:rPr>
      </w:pPr>
      <w:hyperlink r:id="rId10" w:history="1">
        <w:r w:rsidR="00896261" w:rsidRPr="00DC1FF0">
          <w:rPr>
            <w:rStyle w:val="Hyperlink"/>
            <w:rFonts w:ascii="Times New Roman" w:hAnsi="Times New Roman"/>
            <w:sz w:val="24"/>
            <w:szCs w:val="24"/>
          </w:rPr>
          <w:t>Edmund.berger@occ.ohio.gov</w:t>
        </w:r>
      </w:hyperlink>
    </w:p>
    <w:p w:rsidR="00896261" w:rsidRDefault="006B48F4" w:rsidP="00896261">
      <w:pPr>
        <w:rPr>
          <w:rFonts w:ascii="Times New Roman" w:hAnsi="Times New Roman" w:cs="Times New Roman"/>
          <w:sz w:val="24"/>
          <w:szCs w:val="24"/>
        </w:rPr>
      </w:pPr>
      <w:r>
        <w:rPr>
          <w:rFonts w:ascii="Times New Roman" w:hAnsi="Times New Roman" w:cs="Times New Roman"/>
          <w:sz w:val="24"/>
          <w:szCs w:val="24"/>
        </w:rPr>
        <w:t>December 29, 2014</w:t>
      </w:r>
    </w:p>
    <w:p w:rsidR="006B48F4" w:rsidRPr="00DC1FF0" w:rsidRDefault="006B48F4" w:rsidP="00896261">
      <w:pPr>
        <w:rPr>
          <w:rFonts w:ascii="Times New Roman" w:hAnsi="Times New Roman" w:cs="Times New Roman"/>
          <w:sz w:val="24"/>
          <w:szCs w:val="24"/>
        </w:rPr>
      </w:pPr>
    </w:p>
    <w:p w:rsidR="00896261" w:rsidRPr="00DC1FF0" w:rsidRDefault="00896261" w:rsidP="00896261">
      <w:pPr>
        <w:rPr>
          <w:rFonts w:ascii="Times New Roman" w:hAnsi="Times New Roman" w:cs="Times New Roman"/>
          <w:sz w:val="24"/>
          <w:szCs w:val="24"/>
        </w:rPr>
        <w:sectPr w:rsidR="00896261" w:rsidRPr="00DC1FF0" w:rsidSect="001E177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rsidR="00896261" w:rsidRPr="00DC1FF0" w:rsidRDefault="00896261" w:rsidP="00896261">
      <w:pPr>
        <w:spacing w:after="0" w:line="240" w:lineRule="auto"/>
        <w:ind w:left="3600" w:firstLine="720"/>
        <w:rPr>
          <w:rFonts w:ascii="Times New Roman" w:hAnsi="Times New Roman" w:cs="Times New Roman"/>
          <w:sz w:val="24"/>
          <w:szCs w:val="24"/>
        </w:rPr>
      </w:pPr>
      <w:r w:rsidRPr="00DC1FF0">
        <w:rPr>
          <w:rFonts w:ascii="Times New Roman" w:hAnsi="Times New Roman" w:cs="Times New Roman"/>
          <w:sz w:val="24"/>
          <w:szCs w:val="24"/>
        </w:rPr>
        <w:lastRenderedPageBreak/>
        <w:t>Dane Stinson (Reg. No. 0019101)</w:t>
      </w:r>
    </w:p>
    <w:p w:rsidR="00896261" w:rsidRPr="00DC1FF0" w:rsidRDefault="00896261" w:rsidP="00896261">
      <w:pPr>
        <w:keepNext/>
        <w:tabs>
          <w:tab w:val="right" w:pos="8265"/>
          <w:tab w:val="right" w:pos="9360"/>
        </w:tabs>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Dylan Borchers (Reg. No. 0090690)</w:t>
      </w:r>
    </w:p>
    <w:p w:rsidR="00896261" w:rsidRPr="00DC1FF0" w:rsidRDefault="00896261" w:rsidP="00896261">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Bricker &amp; Eckler LLP</w:t>
      </w:r>
    </w:p>
    <w:p w:rsidR="00896261" w:rsidRPr="00DC1FF0" w:rsidRDefault="00896261" w:rsidP="00896261">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100 South Third Street</w:t>
      </w:r>
    </w:p>
    <w:p w:rsidR="00896261" w:rsidRPr="00DC1FF0" w:rsidRDefault="00896261" w:rsidP="00896261">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Columbus, OH  43215-4291</w:t>
      </w:r>
    </w:p>
    <w:p w:rsidR="00896261" w:rsidRPr="00DC1FF0" w:rsidRDefault="00896261" w:rsidP="00896261">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(614) 227-2300</w:t>
      </w:r>
    </w:p>
    <w:p w:rsidR="00896261" w:rsidRPr="00DC1FF0" w:rsidRDefault="00896261" w:rsidP="00896261">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Facsimile:  (614) 227-2390</w:t>
      </w:r>
    </w:p>
    <w:p w:rsidR="00896261" w:rsidRPr="00DC1FF0" w:rsidRDefault="001D5E02" w:rsidP="00896261">
      <w:pPr>
        <w:spacing w:after="0" w:line="240" w:lineRule="auto"/>
        <w:ind w:left="4320"/>
        <w:rPr>
          <w:rFonts w:ascii="Times New Roman" w:hAnsi="Times New Roman" w:cs="Times New Roman"/>
          <w:sz w:val="24"/>
          <w:szCs w:val="24"/>
        </w:rPr>
      </w:pPr>
      <w:hyperlink r:id="rId17" w:history="1">
        <w:r w:rsidR="00896261" w:rsidRPr="00DC1FF0">
          <w:rPr>
            <w:rFonts w:ascii="Times New Roman" w:hAnsi="Times New Roman" w:cs="Times New Roman"/>
            <w:color w:val="0000FF"/>
            <w:sz w:val="24"/>
            <w:szCs w:val="24"/>
            <w:u w:val="single"/>
          </w:rPr>
          <w:t>dstinson@bricker.com</w:t>
        </w:r>
      </w:hyperlink>
    </w:p>
    <w:p w:rsidR="00896261" w:rsidRPr="00DC1FF0" w:rsidRDefault="001D5E02" w:rsidP="00896261">
      <w:pPr>
        <w:spacing w:after="0" w:line="240" w:lineRule="auto"/>
        <w:ind w:left="4320"/>
        <w:rPr>
          <w:rFonts w:ascii="Times New Roman" w:hAnsi="Times New Roman" w:cs="Times New Roman"/>
          <w:sz w:val="24"/>
          <w:szCs w:val="24"/>
        </w:rPr>
      </w:pPr>
      <w:hyperlink r:id="rId18" w:history="1">
        <w:r w:rsidR="00896261" w:rsidRPr="00DC1FF0">
          <w:rPr>
            <w:rFonts w:ascii="Times New Roman" w:hAnsi="Times New Roman" w:cs="Times New Roman"/>
            <w:color w:val="0000FF"/>
            <w:sz w:val="24"/>
            <w:szCs w:val="24"/>
            <w:u w:val="single"/>
          </w:rPr>
          <w:t>dborchers@bricker.com</w:t>
        </w:r>
      </w:hyperlink>
    </w:p>
    <w:p w:rsidR="00896261" w:rsidRPr="00DC1FF0" w:rsidRDefault="00896261" w:rsidP="00896261">
      <w:pPr>
        <w:spacing w:after="0" w:line="240" w:lineRule="auto"/>
        <w:ind w:left="4320"/>
        <w:rPr>
          <w:rFonts w:ascii="Times New Roman" w:hAnsi="Times New Roman" w:cs="Times New Roman"/>
          <w:sz w:val="24"/>
          <w:szCs w:val="24"/>
        </w:rPr>
      </w:pPr>
    </w:p>
    <w:p w:rsidR="00896261" w:rsidRPr="00DC1FF0" w:rsidRDefault="00896261" w:rsidP="00896261">
      <w:pPr>
        <w:pStyle w:val="Footer"/>
        <w:tabs>
          <w:tab w:val="clear" w:pos="4320"/>
          <w:tab w:val="clear" w:pos="8640"/>
        </w:tabs>
        <w:spacing w:line="240" w:lineRule="auto"/>
        <w:ind w:left="4320"/>
      </w:pPr>
      <w:r w:rsidRPr="00DC1FF0">
        <w:t xml:space="preserve">Outside Counsel for the </w:t>
      </w:r>
    </w:p>
    <w:p w:rsidR="00896261" w:rsidRPr="00DC1FF0" w:rsidRDefault="00896261" w:rsidP="00896261">
      <w:pPr>
        <w:pStyle w:val="Footer"/>
        <w:tabs>
          <w:tab w:val="clear" w:pos="4320"/>
          <w:tab w:val="clear" w:pos="8640"/>
        </w:tabs>
        <w:spacing w:line="240" w:lineRule="auto"/>
        <w:ind w:left="4320"/>
        <w:rPr>
          <w:b/>
          <w:u w:val="single"/>
        </w:rPr>
      </w:pPr>
      <w:r w:rsidRPr="00DC1FF0">
        <w:t>Office of the Ohio Consumers’ Counsel</w:t>
      </w:r>
    </w:p>
    <w:p w:rsidR="00896261" w:rsidRPr="00DC1FF0" w:rsidRDefault="00896261" w:rsidP="00896261">
      <w:pPr>
        <w:rPr>
          <w:rFonts w:ascii="Times New Roman" w:hAnsi="Times New Roman" w:cs="Times New Roman"/>
          <w:sz w:val="24"/>
          <w:szCs w:val="24"/>
        </w:rPr>
      </w:pPr>
    </w:p>
    <w:p w:rsidR="0067615D" w:rsidRPr="00DC1FF0" w:rsidRDefault="0067615D" w:rsidP="00896261">
      <w:pPr>
        <w:rPr>
          <w:rFonts w:ascii="Times New Roman" w:hAnsi="Times New Roman" w:cs="Times New Roman"/>
          <w:sz w:val="24"/>
          <w:szCs w:val="24"/>
        </w:rPr>
      </w:pPr>
    </w:p>
    <w:p w:rsidR="0067615D" w:rsidRPr="00DC1FF0" w:rsidRDefault="0067615D" w:rsidP="00896261">
      <w:pPr>
        <w:rPr>
          <w:rFonts w:ascii="Times New Roman" w:hAnsi="Times New Roman" w:cs="Times New Roman"/>
          <w:sz w:val="24"/>
          <w:szCs w:val="24"/>
        </w:rPr>
        <w:sectPr w:rsidR="0067615D" w:rsidRPr="00DC1FF0" w:rsidSect="001E1778">
          <w:pgSz w:w="12240" w:h="15840"/>
          <w:pgMar w:top="1440" w:right="1800" w:bottom="1440" w:left="1800" w:header="720" w:footer="720" w:gutter="0"/>
          <w:cols w:space="720"/>
          <w:docGrid w:linePitch="360"/>
        </w:sectPr>
      </w:pPr>
    </w:p>
    <w:p w:rsidR="006857BB" w:rsidRPr="00DC1FF0" w:rsidRDefault="006857BB" w:rsidP="006857BB">
      <w:pPr>
        <w:jc w:val="center"/>
        <w:rPr>
          <w:rFonts w:ascii="Times New Roman" w:hAnsi="Times New Roman" w:cs="Times New Roman"/>
          <w:b/>
          <w:sz w:val="24"/>
          <w:szCs w:val="24"/>
        </w:rPr>
      </w:pPr>
      <w:r w:rsidRPr="00DC1FF0">
        <w:rPr>
          <w:rFonts w:ascii="Times New Roman" w:hAnsi="Times New Roman" w:cs="Times New Roman"/>
          <w:b/>
          <w:sz w:val="24"/>
          <w:szCs w:val="24"/>
        </w:rPr>
        <w:lastRenderedPageBreak/>
        <w:t>TABLE OF CONTENTS</w:t>
      </w:r>
    </w:p>
    <w:p w:rsidR="00896261" w:rsidRPr="00086603" w:rsidRDefault="00086603" w:rsidP="00A26BD9">
      <w:pPr>
        <w:jc w:val="right"/>
        <w:rPr>
          <w:rFonts w:ascii="Times New Roman" w:hAnsi="Times New Roman" w:cs="Times New Roman"/>
          <w:b/>
          <w:sz w:val="24"/>
          <w:szCs w:val="24"/>
          <w:u w:val="single"/>
        </w:rPr>
      </w:pPr>
      <w:r w:rsidRPr="00086603">
        <w:rPr>
          <w:rFonts w:ascii="Times New Roman" w:hAnsi="Times New Roman" w:cs="Times New Roman"/>
          <w:b/>
          <w:sz w:val="24"/>
          <w:szCs w:val="24"/>
          <w:u w:val="single"/>
        </w:rPr>
        <w:t>Page</w:t>
      </w:r>
    </w:p>
    <w:p w:rsidR="00A26BD9" w:rsidRDefault="00896261" w:rsidP="00A26BD9">
      <w:pPr>
        <w:pStyle w:val="TOC1"/>
        <w:ind w:right="720"/>
        <w:rPr>
          <w:rFonts w:asciiTheme="minorHAnsi" w:eastAsiaTheme="minorEastAsia" w:hAnsiTheme="minorHAnsi"/>
          <w:caps w:val="0"/>
          <w:noProof/>
          <w:sz w:val="22"/>
        </w:rPr>
      </w:pPr>
      <w:r w:rsidRPr="00DC1FF0">
        <w:rPr>
          <w:rFonts w:cs="Times New Roman"/>
          <w:b/>
          <w:szCs w:val="24"/>
        </w:rPr>
        <w:fldChar w:fldCharType="begin"/>
      </w:r>
      <w:r w:rsidRPr="00DC1FF0">
        <w:rPr>
          <w:rFonts w:cs="Times New Roman"/>
          <w:b/>
          <w:szCs w:val="24"/>
        </w:rPr>
        <w:instrText xml:space="preserve"> TOC \o "1-6" \h \z \u </w:instrText>
      </w:r>
      <w:r w:rsidRPr="00DC1FF0">
        <w:rPr>
          <w:rFonts w:cs="Times New Roman"/>
          <w:b/>
          <w:szCs w:val="24"/>
        </w:rPr>
        <w:fldChar w:fldCharType="separate"/>
      </w:r>
      <w:hyperlink w:anchor="_Toc407632196" w:history="1">
        <w:r w:rsidR="00A26BD9" w:rsidRPr="00FF44A6">
          <w:rPr>
            <w:rStyle w:val="Hyperlink"/>
            <w:noProof/>
          </w:rPr>
          <w:t>I.</w:t>
        </w:r>
        <w:r w:rsidR="00A26BD9">
          <w:rPr>
            <w:rFonts w:asciiTheme="minorHAnsi" w:eastAsiaTheme="minorEastAsia" w:hAnsiTheme="minorHAnsi"/>
            <w:caps w:val="0"/>
            <w:noProof/>
            <w:sz w:val="22"/>
          </w:rPr>
          <w:tab/>
        </w:r>
        <w:r w:rsidR="00A26BD9" w:rsidRPr="00FF44A6">
          <w:rPr>
            <w:rStyle w:val="Hyperlink"/>
            <w:noProof/>
          </w:rPr>
          <w:t>INTRODUCTION</w:t>
        </w:r>
        <w:r w:rsidR="00A26BD9">
          <w:rPr>
            <w:noProof/>
            <w:webHidden/>
          </w:rPr>
          <w:tab/>
        </w:r>
        <w:r w:rsidR="00A26BD9">
          <w:rPr>
            <w:noProof/>
            <w:webHidden/>
          </w:rPr>
          <w:fldChar w:fldCharType="begin"/>
        </w:r>
        <w:r w:rsidR="00A26BD9">
          <w:rPr>
            <w:noProof/>
            <w:webHidden/>
          </w:rPr>
          <w:instrText xml:space="preserve"> PAGEREF _Toc407632196 \h </w:instrText>
        </w:r>
        <w:r w:rsidR="00A26BD9">
          <w:rPr>
            <w:noProof/>
            <w:webHidden/>
          </w:rPr>
        </w:r>
        <w:r w:rsidR="00A26BD9">
          <w:rPr>
            <w:noProof/>
            <w:webHidden/>
          </w:rPr>
          <w:fldChar w:fldCharType="separate"/>
        </w:r>
        <w:r w:rsidR="00410002">
          <w:rPr>
            <w:noProof/>
            <w:webHidden/>
          </w:rPr>
          <w:t>1</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197" w:history="1">
        <w:r w:rsidR="00A26BD9" w:rsidRPr="00FF44A6">
          <w:rPr>
            <w:rStyle w:val="Hyperlink"/>
            <w:noProof/>
          </w:rPr>
          <w:t>II.</w:t>
        </w:r>
        <w:r w:rsidR="00A26BD9">
          <w:rPr>
            <w:rFonts w:asciiTheme="minorHAnsi" w:eastAsiaTheme="minorEastAsia" w:hAnsiTheme="minorHAnsi"/>
            <w:caps w:val="0"/>
            <w:noProof/>
            <w:sz w:val="22"/>
          </w:rPr>
          <w:tab/>
        </w:r>
        <w:r w:rsidR="00A26BD9" w:rsidRPr="00FF44A6">
          <w:rPr>
            <w:rStyle w:val="Hyperlink"/>
            <w:noProof/>
          </w:rPr>
          <w:t>PRICE STABILIZATION RIDER (OVEC)</w:t>
        </w:r>
        <w:r w:rsidR="00A26BD9">
          <w:rPr>
            <w:noProof/>
            <w:webHidden/>
          </w:rPr>
          <w:tab/>
        </w:r>
        <w:r w:rsidR="00A26BD9">
          <w:rPr>
            <w:noProof/>
            <w:webHidden/>
          </w:rPr>
          <w:fldChar w:fldCharType="begin"/>
        </w:r>
        <w:r w:rsidR="00A26BD9">
          <w:rPr>
            <w:noProof/>
            <w:webHidden/>
          </w:rPr>
          <w:instrText xml:space="preserve"> PAGEREF _Toc407632197 \h </w:instrText>
        </w:r>
        <w:r w:rsidR="00A26BD9">
          <w:rPr>
            <w:noProof/>
            <w:webHidden/>
          </w:rPr>
        </w:r>
        <w:r w:rsidR="00A26BD9">
          <w:rPr>
            <w:noProof/>
            <w:webHidden/>
          </w:rPr>
          <w:fldChar w:fldCharType="separate"/>
        </w:r>
        <w:r w:rsidR="00410002">
          <w:rPr>
            <w:noProof/>
            <w:webHidden/>
          </w:rPr>
          <w:t>2</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198" w:history="1">
        <w:r w:rsidR="00A26BD9" w:rsidRPr="00FF44A6">
          <w:rPr>
            <w:rStyle w:val="Hyperlink"/>
            <w:noProof/>
          </w:rPr>
          <w:t>A.</w:t>
        </w:r>
        <w:r w:rsidR="00A26BD9">
          <w:rPr>
            <w:rFonts w:asciiTheme="minorHAnsi" w:eastAsiaTheme="minorEastAsia" w:hAnsiTheme="minorHAnsi"/>
            <w:noProof/>
            <w:sz w:val="22"/>
          </w:rPr>
          <w:tab/>
        </w:r>
        <w:r w:rsidR="00A26BD9" w:rsidRPr="00FF44A6">
          <w:rPr>
            <w:rStyle w:val="Hyperlink"/>
            <w:noProof/>
          </w:rPr>
          <w:t>Duke’s proposed Price Stabilization Rider would harm customers and should be rejected.</w:t>
        </w:r>
        <w:r w:rsidR="00A26BD9">
          <w:rPr>
            <w:noProof/>
            <w:webHidden/>
          </w:rPr>
          <w:tab/>
        </w:r>
        <w:r w:rsidR="00A26BD9">
          <w:rPr>
            <w:noProof/>
            <w:webHidden/>
          </w:rPr>
          <w:fldChar w:fldCharType="begin"/>
        </w:r>
        <w:r w:rsidR="00A26BD9">
          <w:rPr>
            <w:noProof/>
            <w:webHidden/>
          </w:rPr>
          <w:instrText xml:space="preserve"> PAGEREF _Toc407632198 \h </w:instrText>
        </w:r>
        <w:r w:rsidR="00A26BD9">
          <w:rPr>
            <w:noProof/>
            <w:webHidden/>
          </w:rPr>
        </w:r>
        <w:r w:rsidR="00A26BD9">
          <w:rPr>
            <w:noProof/>
            <w:webHidden/>
          </w:rPr>
          <w:fldChar w:fldCharType="separate"/>
        </w:r>
        <w:r w:rsidR="00410002">
          <w:rPr>
            <w:noProof/>
            <w:webHidden/>
          </w:rPr>
          <w:t>2</w:t>
        </w:r>
        <w:r w:rsidR="00A26BD9">
          <w:rPr>
            <w:noProof/>
            <w:webHidden/>
          </w:rPr>
          <w:fldChar w:fldCharType="end"/>
        </w:r>
      </w:hyperlink>
    </w:p>
    <w:p w:rsidR="00A26BD9" w:rsidRDefault="001D5E02" w:rsidP="00A26BD9">
      <w:pPr>
        <w:pStyle w:val="TOC3"/>
        <w:tabs>
          <w:tab w:val="left" w:pos="2160"/>
        </w:tabs>
        <w:ind w:right="720"/>
        <w:rPr>
          <w:rFonts w:asciiTheme="minorHAnsi" w:eastAsiaTheme="minorEastAsia" w:hAnsiTheme="minorHAnsi"/>
          <w:noProof/>
          <w:sz w:val="22"/>
        </w:rPr>
      </w:pPr>
      <w:hyperlink w:anchor="_Toc407632199" w:history="1">
        <w:r w:rsidR="00A26BD9" w:rsidRPr="00FF44A6">
          <w:rPr>
            <w:rStyle w:val="Hyperlink"/>
            <w:noProof/>
          </w:rPr>
          <w:t>1.</w:t>
        </w:r>
        <w:r w:rsidR="00A26BD9">
          <w:rPr>
            <w:rFonts w:asciiTheme="minorHAnsi" w:eastAsiaTheme="minorEastAsia" w:hAnsiTheme="minorHAnsi"/>
            <w:noProof/>
            <w:sz w:val="22"/>
          </w:rPr>
          <w:tab/>
        </w:r>
        <w:r w:rsidR="00A26BD9" w:rsidRPr="00FF44A6">
          <w:rPr>
            <w:rStyle w:val="Hyperlink"/>
            <w:noProof/>
          </w:rPr>
          <w:t>Ohio Energy Group’s proposal extending the PSR through calendar year 2024 would violate the law, is highly speculative, and would harm customers.</w:t>
        </w:r>
        <w:r w:rsidR="00A26BD9">
          <w:rPr>
            <w:noProof/>
            <w:webHidden/>
          </w:rPr>
          <w:tab/>
        </w:r>
        <w:r w:rsidR="00A26BD9">
          <w:rPr>
            <w:noProof/>
            <w:webHidden/>
          </w:rPr>
          <w:fldChar w:fldCharType="begin"/>
        </w:r>
        <w:r w:rsidR="00A26BD9">
          <w:rPr>
            <w:noProof/>
            <w:webHidden/>
          </w:rPr>
          <w:instrText xml:space="preserve"> PAGEREF _Toc407632199 \h </w:instrText>
        </w:r>
        <w:r w:rsidR="00A26BD9">
          <w:rPr>
            <w:noProof/>
            <w:webHidden/>
          </w:rPr>
        </w:r>
        <w:r w:rsidR="00A26BD9">
          <w:rPr>
            <w:noProof/>
            <w:webHidden/>
          </w:rPr>
          <w:fldChar w:fldCharType="separate"/>
        </w:r>
        <w:r w:rsidR="00410002">
          <w:rPr>
            <w:noProof/>
            <w:webHidden/>
          </w:rPr>
          <w:t>11</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00" w:history="1">
        <w:r w:rsidR="00A26BD9" w:rsidRPr="00FF44A6">
          <w:rPr>
            <w:rStyle w:val="Hyperlink"/>
            <w:noProof/>
          </w:rPr>
          <w:t>III.</w:t>
        </w:r>
        <w:r w:rsidR="00A26BD9">
          <w:rPr>
            <w:rFonts w:asciiTheme="minorHAnsi" w:eastAsiaTheme="minorEastAsia" w:hAnsiTheme="minorHAnsi"/>
            <w:caps w:val="0"/>
            <w:noProof/>
            <w:sz w:val="22"/>
          </w:rPr>
          <w:tab/>
        </w:r>
        <w:r w:rsidR="00A26BD9" w:rsidRPr="00FF44A6">
          <w:rPr>
            <w:rStyle w:val="Hyperlink"/>
            <w:noProof/>
          </w:rPr>
          <w:t>ESP v. MRO</w:t>
        </w:r>
        <w:r w:rsidR="00A26BD9">
          <w:rPr>
            <w:noProof/>
            <w:webHidden/>
          </w:rPr>
          <w:tab/>
        </w:r>
        <w:r w:rsidR="00A26BD9">
          <w:rPr>
            <w:noProof/>
            <w:webHidden/>
          </w:rPr>
          <w:fldChar w:fldCharType="begin"/>
        </w:r>
        <w:r w:rsidR="00A26BD9">
          <w:rPr>
            <w:noProof/>
            <w:webHidden/>
          </w:rPr>
          <w:instrText xml:space="preserve"> PAGEREF _Toc407632200 \h </w:instrText>
        </w:r>
        <w:r w:rsidR="00A26BD9">
          <w:rPr>
            <w:noProof/>
            <w:webHidden/>
          </w:rPr>
        </w:r>
        <w:r w:rsidR="00A26BD9">
          <w:rPr>
            <w:noProof/>
            <w:webHidden/>
          </w:rPr>
          <w:fldChar w:fldCharType="separate"/>
        </w:r>
        <w:r w:rsidR="00410002">
          <w:rPr>
            <w:noProof/>
            <w:webHidden/>
          </w:rPr>
          <w:t>14</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01" w:history="1">
        <w:r w:rsidR="00A26BD9" w:rsidRPr="00FF44A6">
          <w:rPr>
            <w:rStyle w:val="Hyperlink"/>
            <w:rFonts w:eastAsia="Times New Roman"/>
            <w:noProof/>
          </w:rPr>
          <w:t>A.</w:t>
        </w:r>
        <w:r w:rsidR="00A26BD9">
          <w:rPr>
            <w:rFonts w:asciiTheme="minorHAnsi" w:eastAsiaTheme="minorEastAsia" w:hAnsiTheme="minorHAnsi"/>
            <w:noProof/>
            <w:sz w:val="22"/>
          </w:rPr>
          <w:tab/>
        </w:r>
        <w:r w:rsidR="00A26BD9" w:rsidRPr="00FF44A6">
          <w:rPr>
            <w:rStyle w:val="Hyperlink"/>
            <w:rFonts w:eastAsia="Times New Roman"/>
            <w:noProof/>
          </w:rPr>
          <w:t>Duke’s proposed ESP is not more favorable than an MRO under the PUCO’s traditional application of the statutory test.  It should be rejected or modified.</w:t>
        </w:r>
        <w:r w:rsidR="00A26BD9">
          <w:rPr>
            <w:noProof/>
            <w:webHidden/>
          </w:rPr>
          <w:tab/>
        </w:r>
        <w:r w:rsidR="00A26BD9">
          <w:rPr>
            <w:noProof/>
            <w:webHidden/>
          </w:rPr>
          <w:fldChar w:fldCharType="begin"/>
        </w:r>
        <w:r w:rsidR="00A26BD9">
          <w:rPr>
            <w:noProof/>
            <w:webHidden/>
          </w:rPr>
          <w:instrText xml:space="preserve"> PAGEREF _Toc407632201 \h </w:instrText>
        </w:r>
        <w:r w:rsidR="00A26BD9">
          <w:rPr>
            <w:noProof/>
            <w:webHidden/>
          </w:rPr>
        </w:r>
        <w:r w:rsidR="00A26BD9">
          <w:rPr>
            <w:noProof/>
            <w:webHidden/>
          </w:rPr>
          <w:fldChar w:fldCharType="separate"/>
        </w:r>
        <w:r w:rsidR="00410002">
          <w:rPr>
            <w:noProof/>
            <w:webHidden/>
          </w:rPr>
          <w:t>14</w:t>
        </w:r>
        <w:r w:rsidR="00A26BD9">
          <w:rPr>
            <w:noProof/>
            <w:webHidden/>
          </w:rPr>
          <w:fldChar w:fldCharType="end"/>
        </w:r>
      </w:hyperlink>
    </w:p>
    <w:p w:rsidR="00A26BD9" w:rsidRDefault="001D5E02" w:rsidP="00A26BD9">
      <w:pPr>
        <w:pStyle w:val="TOC3"/>
        <w:tabs>
          <w:tab w:val="left" w:pos="2160"/>
        </w:tabs>
        <w:ind w:right="720"/>
        <w:rPr>
          <w:rFonts w:asciiTheme="minorHAnsi" w:eastAsiaTheme="minorEastAsia" w:hAnsiTheme="minorHAnsi"/>
          <w:noProof/>
          <w:sz w:val="22"/>
        </w:rPr>
      </w:pPr>
      <w:hyperlink w:anchor="_Toc407632202" w:history="1">
        <w:r w:rsidR="00A26BD9" w:rsidRPr="00FF44A6">
          <w:rPr>
            <w:rStyle w:val="Hyperlink"/>
            <w:rFonts w:eastAsia="Times New Roman"/>
            <w:noProof/>
          </w:rPr>
          <w:t>1.</w:t>
        </w:r>
        <w:r w:rsidR="00A26BD9">
          <w:rPr>
            <w:rFonts w:asciiTheme="minorHAnsi" w:eastAsiaTheme="minorEastAsia" w:hAnsiTheme="minorHAnsi"/>
            <w:noProof/>
            <w:sz w:val="22"/>
          </w:rPr>
          <w:tab/>
        </w:r>
        <w:r w:rsidR="00A26BD9" w:rsidRPr="00FF44A6">
          <w:rPr>
            <w:rStyle w:val="Hyperlink"/>
            <w:rFonts w:eastAsia="Times New Roman"/>
            <w:noProof/>
          </w:rPr>
          <w:t>The test’s first element: determination of the SSO generation price</w:t>
        </w:r>
        <w:r w:rsidR="00A26BD9">
          <w:rPr>
            <w:noProof/>
            <w:webHidden/>
          </w:rPr>
          <w:tab/>
        </w:r>
        <w:r w:rsidR="00A26BD9">
          <w:rPr>
            <w:noProof/>
            <w:webHidden/>
          </w:rPr>
          <w:fldChar w:fldCharType="begin"/>
        </w:r>
        <w:r w:rsidR="00A26BD9">
          <w:rPr>
            <w:noProof/>
            <w:webHidden/>
          </w:rPr>
          <w:instrText xml:space="preserve"> PAGEREF _Toc407632202 \h </w:instrText>
        </w:r>
        <w:r w:rsidR="00A26BD9">
          <w:rPr>
            <w:noProof/>
            <w:webHidden/>
          </w:rPr>
        </w:r>
        <w:r w:rsidR="00A26BD9">
          <w:rPr>
            <w:noProof/>
            <w:webHidden/>
          </w:rPr>
          <w:fldChar w:fldCharType="separate"/>
        </w:r>
        <w:r w:rsidR="00410002">
          <w:rPr>
            <w:noProof/>
            <w:webHidden/>
          </w:rPr>
          <w:t>16</w:t>
        </w:r>
        <w:r w:rsidR="00A26BD9">
          <w:rPr>
            <w:noProof/>
            <w:webHidden/>
          </w:rPr>
          <w:fldChar w:fldCharType="end"/>
        </w:r>
      </w:hyperlink>
    </w:p>
    <w:p w:rsidR="00A26BD9" w:rsidRDefault="001D5E02" w:rsidP="00A26BD9">
      <w:pPr>
        <w:pStyle w:val="TOC3"/>
        <w:tabs>
          <w:tab w:val="left" w:pos="2160"/>
        </w:tabs>
        <w:ind w:right="720"/>
        <w:rPr>
          <w:rFonts w:asciiTheme="minorHAnsi" w:eastAsiaTheme="minorEastAsia" w:hAnsiTheme="minorHAnsi"/>
          <w:noProof/>
          <w:sz w:val="22"/>
        </w:rPr>
      </w:pPr>
      <w:hyperlink w:anchor="_Toc407632203" w:history="1">
        <w:r w:rsidR="00A26BD9" w:rsidRPr="00FF44A6">
          <w:rPr>
            <w:rStyle w:val="Hyperlink"/>
            <w:rFonts w:eastAsia="Times New Roman"/>
            <w:noProof/>
          </w:rPr>
          <w:t>2.</w:t>
        </w:r>
        <w:r w:rsidR="00A26BD9">
          <w:rPr>
            <w:rFonts w:asciiTheme="minorHAnsi" w:eastAsiaTheme="minorEastAsia" w:hAnsiTheme="minorHAnsi"/>
            <w:noProof/>
            <w:sz w:val="22"/>
          </w:rPr>
          <w:tab/>
        </w:r>
        <w:r w:rsidR="00A26BD9" w:rsidRPr="00FF44A6">
          <w:rPr>
            <w:rStyle w:val="Hyperlink"/>
            <w:rFonts w:eastAsia="Times New Roman"/>
            <w:noProof/>
          </w:rPr>
          <w:t>The test’s second element: cost quantification of ESP provisions</w:t>
        </w:r>
        <w:r w:rsidR="00A26BD9">
          <w:rPr>
            <w:noProof/>
            <w:webHidden/>
          </w:rPr>
          <w:tab/>
        </w:r>
        <w:r w:rsidR="00A26BD9">
          <w:rPr>
            <w:noProof/>
            <w:webHidden/>
          </w:rPr>
          <w:fldChar w:fldCharType="begin"/>
        </w:r>
        <w:r w:rsidR="00A26BD9">
          <w:rPr>
            <w:noProof/>
            <w:webHidden/>
          </w:rPr>
          <w:instrText xml:space="preserve"> PAGEREF _Toc407632203 \h </w:instrText>
        </w:r>
        <w:r w:rsidR="00A26BD9">
          <w:rPr>
            <w:noProof/>
            <w:webHidden/>
          </w:rPr>
        </w:r>
        <w:r w:rsidR="00A26BD9">
          <w:rPr>
            <w:noProof/>
            <w:webHidden/>
          </w:rPr>
          <w:fldChar w:fldCharType="separate"/>
        </w:r>
        <w:r w:rsidR="00410002">
          <w:rPr>
            <w:noProof/>
            <w:webHidden/>
          </w:rPr>
          <w:t>16</w:t>
        </w:r>
        <w:r w:rsidR="00A26BD9">
          <w:rPr>
            <w:noProof/>
            <w:webHidden/>
          </w:rPr>
          <w:fldChar w:fldCharType="end"/>
        </w:r>
      </w:hyperlink>
    </w:p>
    <w:p w:rsidR="00A26BD9" w:rsidRDefault="001D5E02" w:rsidP="00A26BD9">
      <w:pPr>
        <w:pStyle w:val="TOC4"/>
        <w:tabs>
          <w:tab w:val="left" w:pos="2880"/>
          <w:tab w:val="decimal" w:leader="dot" w:pos="8640"/>
        </w:tabs>
        <w:ind w:right="720"/>
        <w:rPr>
          <w:rFonts w:asciiTheme="minorHAnsi" w:eastAsiaTheme="minorEastAsia" w:hAnsiTheme="minorHAnsi"/>
          <w:noProof/>
          <w:sz w:val="22"/>
        </w:rPr>
      </w:pPr>
      <w:hyperlink w:anchor="_Toc407632204" w:history="1">
        <w:r w:rsidR="00A26BD9" w:rsidRPr="00FF44A6">
          <w:rPr>
            <w:rStyle w:val="Hyperlink"/>
            <w:rFonts w:eastAsia="Times New Roman"/>
            <w:noProof/>
          </w:rPr>
          <w:t>a.</w:t>
        </w:r>
        <w:r w:rsidR="00A26BD9">
          <w:rPr>
            <w:rFonts w:asciiTheme="minorHAnsi" w:eastAsiaTheme="minorEastAsia" w:hAnsiTheme="minorHAnsi"/>
            <w:noProof/>
            <w:sz w:val="22"/>
          </w:rPr>
          <w:tab/>
        </w:r>
        <w:r w:rsidR="00A26BD9" w:rsidRPr="00FF44A6">
          <w:rPr>
            <w:rStyle w:val="Hyperlink"/>
            <w:rFonts w:eastAsia="Times New Roman"/>
            <w:noProof/>
          </w:rPr>
          <w:t>The PSR does not “relate to bypassability”</w:t>
        </w:r>
        <w:r w:rsidR="00A26BD9">
          <w:rPr>
            <w:noProof/>
            <w:webHidden/>
          </w:rPr>
          <w:tab/>
        </w:r>
        <w:r w:rsidR="00A26BD9">
          <w:rPr>
            <w:noProof/>
            <w:webHidden/>
          </w:rPr>
          <w:fldChar w:fldCharType="begin"/>
        </w:r>
        <w:r w:rsidR="00A26BD9">
          <w:rPr>
            <w:noProof/>
            <w:webHidden/>
          </w:rPr>
          <w:instrText xml:space="preserve"> PAGEREF _Toc407632204 \h </w:instrText>
        </w:r>
        <w:r w:rsidR="00A26BD9">
          <w:rPr>
            <w:noProof/>
            <w:webHidden/>
          </w:rPr>
        </w:r>
        <w:r w:rsidR="00A26BD9">
          <w:rPr>
            <w:noProof/>
            <w:webHidden/>
          </w:rPr>
          <w:fldChar w:fldCharType="separate"/>
        </w:r>
        <w:r w:rsidR="00410002">
          <w:rPr>
            <w:noProof/>
            <w:webHidden/>
          </w:rPr>
          <w:t>17</w:t>
        </w:r>
        <w:r w:rsidR="00A26BD9">
          <w:rPr>
            <w:noProof/>
            <w:webHidden/>
          </w:rPr>
          <w:fldChar w:fldCharType="end"/>
        </w:r>
      </w:hyperlink>
    </w:p>
    <w:p w:rsidR="00A26BD9" w:rsidRDefault="001D5E02" w:rsidP="00A26BD9">
      <w:pPr>
        <w:pStyle w:val="TOC4"/>
        <w:tabs>
          <w:tab w:val="left" w:pos="2880"/>
          <w:tab w:val="decimal" w:leader="dot" w:pos="8640"/>
        </w:tabs>
        <w:ind w:right="720"/>
        <w:rPr>
          <w:rFonts w:asciiTheme="minorHAnsi" w:eastAsiaTheme="minorEastAsia" w:hAnsiTheme="minorHAnsi"/>
          <w:noProof/>
          <w:sz w:val="22"/>
        </w:rPr>
      </w:pPr>
      <w:hyperlink w:anchor="_Toc407632205" w:history="1">
        <w:r w:rsidR="00A26BD9" w:rsidRPr="00FF44A6">
          <w:rPr>
            <w:rStyle w:val="Hyperlink"/>
            <w:rFonts w:eastAsia="Times New Roman"/>
            <w:noProof/>
          </w:rPr>
          <w:t>b.</w:t>
        </w:r>
        <w:r w:rsidR="00A26BD9">
          <w:rPr>
            <w:rFonts w:asciiTheme="minorHAnsi" w:eastAsiaTheme="minorEastAsia" w:hAnsiTheme="minorHAnsi"/>
            <w:noProof/>
            <w:sz w:val="22"/>
          </w:rPr>
          <w:tab/>
        </w:r>
        <w:r w:rsidR="00A26BD9" w:rsidRPr="00FF44A6">
          <w:rPr>
            <w:rStyle w:val="Hyperlink"/>
            <w:rFonts w:eastAsia="Times New Roman"/>
            <w:noProof/>
          </w:rPr>
          <w:t>The PSR does not provide stability or certainty</w:t>
        </w:r>
        <w:r w:rsidR="00A26BD9">
          <w:rPr>
            <w:noProof/>
            <w:webHidden/>
          </w:rPr>
          <w:tab/>
        </w:r>
        <w:r w:rsidR="00A26BD9">
          <w:rPr>
            <w:noProof/>
            <w:webHidden/>
          </w:rPr>
          <w:fldChar w:fldCharType="begin"/>
        </w:r>
        <w:r w:rsidR="00A26BD9">
          <w:rPr>
            <w:noProof/>
            <w:webHidden/>
          </w:rPr>
          <w:instrText xml:space="preserve"> PAGEREF _Toc407632205 \h </w:instrText>
        </w:r>
        <w:r w:rsidR="00A26BD9">
          <w:rPr>
            <w:noProof/>
            <w:webHidden/>
          </w:rPr>
        </w:r>
        <w:r w:rsidR="00A26BD9">
          <w:rPr>
            <w:noProof/>
            <w:webHidden/>
          </w:rPr>
          <w:fldChar w:fldCharType="separate"/>
        </w:r>
        <w:r w:rsidR="00410002">
          <w:rPr>
            <w:noProof/>
            <w:webHidden/>
          </w:rPr>
          <w:t>17</w:t>
        </w:r>
        <w:r w:rsidR="00A26BD9">
          <w:rPr>
            <w:noProof/>
            <w:webHidden/>
          </w:rPr>
          <w:fldChar w:fldCharType="end"/>
        </w:r>
      </w:hyperlink>
    </w:p>
    <w:p w:rsidR="00A26BD9" w:rsidRDefault="001D5E02" w:rsidP="00A26BD9">
      <w:pPr>
        <w:pStyle w:val="TOC3"/>
        <w:tabs>
          <w:tab w:val="left" w:pos="2160"/>
        </w:tabs>
        <w:ind w:right="720"/>
        <w:rPr>
          <w:rFonts w:asciiTheme="minorHAnsi" w:eastAsiaTheme="minorEastAsia" w:hAnsiTheme="minorHAnsi"/>
          <w:noProof/>
          <w:sz w:val="22"/>
        </w:rPr>
      </w:pPr>
      <w:hyperlink w:anchor="_Toc407632206" w:history="1">
        <w:r w:rsidR="00A26BD9" w:rsidRPr="00FF44A6">
          <w:rPr>
            <w:rStyle w:val="Hyperlink"/>
            <w:rFonts w:eastAsia="Times New Roman"/>
            <w:noProof/>
          </w:rPr>
          <w:t>3.</w:t>
        </w:r>
        <w:r w:rsidR="00A26BD9">
          <w:rPr>
            <w:rFonts w:asciiTheme="minorHAnsi" w:eastAsiaTheme="minorEastAsia" w:hAnsiTheme="minorHAnsi"/>
            <w:noProof/>
            <w:sz w:val="22"/>
          </w:rPr>
          <w:tab/>
        </w:r>
        <w:r w:rsidR="00A26BD9" w:rsidRPr="00FF44A6">
          <w:rPr>
            <w:rStyle w:val="Hyperlink"/>
            <w:rFonts w:eastAsia="Times New Roman"/>
            <w:noProof/>
          </w:rPr>
          <w:t>The test’s third element: consideration of qualitative benefits.</w:t>
        </w:r>
        <w:r w:rsidR="00A26BD9">
          <w:rPr>
            <w:noProof/>
            <w:webHidden/>
          </w:rPr>
          <w:tab/>
        </w:r>
        <w:r w:rsidR="00A26BD9">
          <w:rPr>
            <w:noProof/>
            <w:webHidden/>
          </w:rPr>
          <w:fldChar w:fldCharType="begin"/>
        </w:r>
        <w:r w:rsidR="00A26BD9">
          <w:rPr>
            <w:noProof/>
            <w:webHidden/>
          </w:rPr>
          <w:instrText xml:space="preserve"> PAGEREF _Toc407632206 \h </w:instrText>
        </w:r>
        <w:r w:rsidR="00A26BD9">
          <w:rPr>
            <w:noProof/>
            <w:webHidden/>
          </w:rPr>
        </w:r>
        <w:r w:rsidR="00A26BD9">
          <w:rPr>
            <w:noProof/>
            <w:webHidden/>
          </w:rPr>
          <w:fldChar w:fldCharType="separate"/>
        </w:r>
        <w:r w:rsidR="00410002">
          <w:rPr>
            <w:noProof/>
            <w:webHidden/>
          </w:rPr>
          <w:t>19</w:t>
        </w:r>
        <w:r w:rsidR="00A26BD9">
          <w:rPr>
            <w:noProof/>
            <w:webHidden/>
          </w:rPr>
          <w:fldChar w:fldCharType="end"/>
        </w:r>
      </w:hyperlink>
    </w:p>
    <w:p w:rsidR="00A26BD9" w:rsidRDefault="001D5E02" w:rsidP="00A26BD9">
      <w:pPr>
        <w:pStyle w:val="TOC4"/>
        <w:tabs>
          <w:tab w:val="left" w:pos="2880"/>
          <w:tab w:val="decimal" w:leader="dot" w:pos="8640"/>
        </w:tabs>
        <w:ind w:right="720"/>
        <w:rPr>
          <w:rFonts w:asciiTheme="minorHAnsi" w:eastAsiaTheme="minorEastAsia" w:hAnsiTheme="minorHAnsi"/>
          <w:noProof/>
          <w:sz w:val="22"/>
        </w:rPr>
      </w:pPr>
      <w:hyperlink w:anchor="_Toc407632207" w:history="1">
        <w:r w:rsidR="00A26BD9" w:rsidRPr="00FF44A6">
          <w:rPr>
            <w:rStyle w:val="Hyperlink"/>
            <w:rFonts w:eastAsia="Times New Roman"/>
            <w:noProof/>
          </w:rPr>
          <w:t>a.</w:t>
        </w:r>
        <w:r w:rsidR="00A26BD9">
          <w:rPr>
            <w:rFonts w:asciiTheme="minorHAnsi" w:eastAsiaTheme="minorEastAsia" w:hAnsiTheme="minorHAnsi"/>
            <w:noProof/>
            <w:sz w:val="22"/>
          </w:rPr>
          <w:tab/>
        </w:r>
        <w:r w:rsidR="00A26BD9" w:rsidRPr="00FF44A6">
          <w:rPr>
            <w:rStyle w:val="Hyperlink"/>
            <w:rFonts w:eastAsia="Times New Roman"/>
            <w:noProof/>
          </w:rPr>
          <w:t>Qualitative benefits falling within R.C. 4928.143(B)(2)</w:t>
        </w:r>
        <w:r w:rsidR="00A26BD9">
          <w:rPr>
            <w:noProof/>
            <w:webHidden/>
          </w:rPr>
          <w:tab/>
        </w:r>
        <w:r w:rsidR="00A26BD9">
          <w:rPr>
            <w:noProof/>
            <w:webHidden/>
          </w:rPr>
          <w:fldChar w:fldCharType="begin"/>
        </w:r>
        <w:r w:rsidR="00A26BD9">
          <w:rPr>
            <w:noProof/>
            <w:webHidden/>
          </w:rPr>
          <w:instrText xml:space="preserve"> PAGEREF _Toc407632207 \h </w:instrText>
        </w:r>
        <w:r w:rsidR="00A26BD9">
          <w:rPr>
            <w:noProof/>
            <w:webHidden/>
          </w:rPr>
        </w:r>
        <w:r w:rsidR="00A26BD9">
          <w:rPr>
            <w:noProof/>
            <w:webHidden/>
          </w:rPr>
          <w:fldChar w:fldCharType="separate"/>
        </w:r>
        <w:r w:rsidR="00410002">
          <w:rPr>
            <w:noProof/>
            <w:webHidden/>
          </w:rPr>
          <w:t>20</w:t>
        </w:r>
        <w:r w:rsidR="00A26BD9">
          <w:rPr>
            <w:noProof/>
            <w:webHidden/>
          </w:rPr>
          <w:fldChar w:fldCharType="end"/>
        </w:r>
      </w:hyperlink>
    </w:p>
    <w:p w:rsidR="00A26BD9" w:rsidRDefault="001D5E02" w:rsidP="00A26BD9">
      <w:pPr>
        <w:pStyle w:val="TOC5"/>
        <w:tabs>
          <w:tab w:val="left" w:pos="3600"/>
          <w:tab w:val="decimal" w:leader="dot" w:pos="8640"/>
        </w:tabs>
        <w:ind w:right="720"/>
        <w:rPr>
          <w:rFonts w:asciiTheme="minorHAnsi" w:eastAsiaTheme="minorEastAsia" w:hAnsiTheme="minorHAnsi"/>
          <w:noProof/>
          <w:sz w:val="22"/>
        </w:rPr>
      </w:pPr>
      <w:hyperlink w:anchor="_Toc407632208" w:history="1">
        <w:r w:rsidR="00A26BD9" w:rsidRPr="00FF44A6">
          <w:rPr>
            <w:rStyle w:val="Hyperlink"/>
            <w:rFonts w:eastAsia="Times New Roman"/>
            <w:noProof/>
          </w:rPr>
          <w:t>i.</w:t>
        </w:r>
        <w:r w:rsidR="00A26BD9">
          <w:rPr>
            <w:rFonts w:asciiTheme="minorHAnsi" w:eastAsiaTheme="minorEastAsia" w:hAnsiTheme="minorHAnsi"/>
            <w:noProof/>
            <w:sz w:val="22"/>
          </w:rPr>
          <w:tab/>
        </w:r>
        <w:r w:rsidR="00A26BD9" w:rsidRPr="00FF44A6">
          <w:rPr>
            <w:rStyle w:val="Hyperlink"/>
            <w:rFonts w:eastAsia="Times New Roman"/>
            <w:noProof/>
          </w:rPr>
          <w:t>The PSR should not be included in the ESP because it does not fall within R.C. 4928.143(B)(2)(d) and because it violates state policies set forth in R.C. 4928.02.</w:t>
        </w:r>
        <w:r w:rsidR="00A26BD9">
          <w:rPr>
            <w:noProof/>
            <w:webHidden/>
          </w:rPr>
          <w:tab/>
        </w:r>
        <w:r w:rsidR="00A26BD9">
          <w:rPr>
            <w:noProof/>
            <w:webHidden/>
          </w:rPr>
          <w:fldChar w:fldCharType="begin"/>
        </w:r>
        <w:r w:rsidR="00A26BD9">
          <w:rPr>
            <w:noProof/>
            <w:webHidden/>
          </w:rPr>
          <w:instrText xml:space="preserve"> PAGEREF _Toc407632208 \h </w:instrText>
        </w:r>
        <w:r w:rsidR="00A26BD9">
          <w:rPr>
            <w:noProof/>
            <w:webHidden/>
          </w:rPr>
        </w:r>
        <w:r w:rsidR="00A26BD9">
          <w:rPr>
            <w:noProof/>
            <w:webHidden/>
          </w:rPr>
          <w:fldChar w:fldCharType="separate"/>
        </w:r>
        <w:r w:rsidR="00410002">
          <w:rPr>
            <w:noProof/>
            <w:webHidden/>
          </w:rPr>
          <w:t>20</w:t>
        </w:r>
        <w:r w:rsidR="00A26BD9">
          <w:rPr>
            <w:noProof/>
            <w:webHidden/>
          </w:rPr>
          <w:fldChar w:fldCharType="end"/>
        </w:r>
      </w:hyperlink>
    </w:p>
    <w:p w:rsidR="00A26BD9" w:rsidRDefault="001D5E02" w:rsidP="00A26BD9">
      <w:pPr>
        <w:pStyle w:val="TOC5"/>
        <w:tabs>
          <w:tab w:val="left" w:pos="3600"/>
          <w:tab w:val="decimal" w:leader="dot" w:pos="8640"/>
        </w:tabs>
        <w:ind w:right="720"/>
        <w:rPr>
          <w:rFonts w:asciiTheme="minorHAnsi" w:eastAsiaTheme="minorEastAsia" w:hAnsiTheme="minorHAnsi"/>
          <w:noProof/>
          <w:sz w:val="22"/>
        </w:rPr>
      </w:pPr>
      <w:hyperlink w:anchor="_Toc407632209" w:history="1">
        <w:r w:rsidR="00A26BD9" w:rsidRPr="00FF44A6">
          <w:rPr>
            <w:rStyle w:val="Hyperlink"/>
            <w:rFonts w:eastAsia="Times New Roman"/>
            <w:noProof/>
          </w:rPr>
          <w:t>ii.</w:t>
        </w:r>
        <w:r w:rsidR="00A26BD9">
          <w:rPr>
            <w:rFonts w:asciiTheme="minorHAnsi" w:eastAsiaTheme="minorEastAsia" w:hAnsiTheme="minorHAnsi"/>
            <w:noProof/>
            <w:sz w:val="22"/>
          </w:rPr>
          <w:tab/>
        </w:r>
        <w:r w:rsidR="00A26BD9" w:rsidRPr="00FF44A6">
          <w:rPr>
            <w:rStyle w:val="Hyperlink"/>
            <w:rFonts w:eastAsia="Times New Roman"/>
            <w:noProof/>
          </w:rPr>
          <w:t>The Distribution Capital Investment Rider should not be included in the ESP because it is available under an SSO in the form of an MRO.</w:t>
        </w:r>
        <w:r w:rsidR="00A26BD9">
          <w:rPr>
            <w:noProof/>
            <w:webHidden/>
          </w:rPr>
          <w:tab/>
        </w:r>
        <w:r w:rsidR="00A26BD9">
          <w:rPr>
            <w:noProof/>
            <w:webHidden/>
          </w:rPr>
          <w:fldChar w:fldCharType="begin"/>
        </w:r>
        <w:r w:rsidR="00A26BD9">
          <w:rPr>
            <w:noProof/>
            <w:webHidden/>
          </w:rPr>
          <w:instrText xml:space="preserve"> PAGEREF _Toc407632209 \h </w:instrText>
        </w:r>
        <w:r w:rsidR="00A26BD9">
          <w:rPr>
            <w:noProof/>
            <w:webHidden/>
          </w:rPr>
        </w:r>
        <w:r w:rsidR="00A26BD9">
          <w:rPr>
            <w:noProof/>
            <w:webHidden/>
          </w:rPr>
          <w:fldChar w:fldCharType="separate"/>
        </w:r>
        <w:r w:rsidR="00410002">
          <w:rPr>
            <w:noProof/>
            <w:webHidden/>
          </w:rPr>
          <w:t>22</w:t>
        </w:r>
        <w:r w:rsidR="00A26BD9">
          <w:rPr>
            <w:noProof/>
            <w:webHidden/>
          </w:rPr>
          <w:fldChar w:fldCharType="end"/>
        </w:r>
      </w:hyperlink>
    </w:p>
    <w:p w:rsidR="00A26BD9" w:rsidRDefault="001D5E02" w:rsidP="00A26BD9">
      <w:pPr>
        <w:pStyle w:val="TOC4"/>
        <w:tabs>
          <w:tab w:val="left" w:pos="2880"/>
          <w:tab w:val="decimal" w:leader="dot" w:pos="8640"/>
        </w:tabs>
        <w:ind w:right="720"/>
        <w:rPr>
          <w:rFonts w:asciiTheme="minorHAnsi" w:eastAsiaTheme="minorEastAsia" w:hAnsiTheme="minorHAnsi"/>
          <w:noProof/>
          <w:sz w:val="22"/>
        </w:rPr>
      </w:pPr>
      <w:hyperlink w:anchor="_Toc407632210" w:history="1">
        <w:r w:rsidR="00A26BD9" w:rsidRPr="00FF44A6">
          <w:rPr>
            <w:rStyle w:val="Hyperlink"/>
            <w:rFonts w:eastAsia="Times New Roman"/>
            <w:noProof/>
          </w:rPr>
          <w:t>b.</w:t>
        </w:r>
        <w:r w:rsidR="00A26BD9">
          <w:rPr>
            <w:rFonts w:asciiTheme="minorHAnsi" w:eastAsiaTheme="minorEastAsia" w:hAnsiTheme="minorHAnsi"/>
            <w:noProof/>
            <w:sz w:val="22"/>
          </w:rPr>
          <w:tab/>
        </w:r>
        <w:r w:rsidR="00A26BD9" w:rsidRPr="00FF44A6">
          <w:rPr>
            <w:rStyle w:val="Hyperlink"/>
            <w:rFonts w:eastAsia="Times New Roman"/>
            <w:noProof/>
          </w:rPr>
          <w:t>Qualitative benefits falling under R.C. 4928.02.</w:t>
        </w:r>
        <w:r w:rsidR="00A26BD9">
          <w:rPr>
            <w:noProof/>
            <w:webHidden/>
          </w:rPr>
          <w:tab/>
        </w:r>
        <w:r w:rsidR="00A26BD9">
          <w:rPr>
            <w:noProof/>
            <w:webHidden/>
          </w:rPr>
          <w:fldChar w:fldCharType="begin"/>
        </w:r>
        <w:r w:rsidR="00A26BD9">
          <w:rPr>
            <w:noProof/>
            <w:webHidden/>
          </w:rPr>
          <w:instrText xml:space="preserve"> PAGEREF _Toc407632210 \h </w:instrText>
        </w:r>
        <w:r w:rsidR="00A26BD9">
          <w:rPr>
            <w:noProof/>
            <w:webHidden/>
          </w:rPr>
        </w:r>
        <w:r w:rsidR="00A26BD9">
          <w:rPr>
            <w:noProof/>
            <w:webHidden/>
          </w:rPr>
          <w:fldChar w:fldCharType="separate"/>
        </w:r>
        <w:r w:rsidR="00410002">
          <w:rPr>
            <w:noProof/>
            <w:webHidden/>
          </w:rPr>
          <w:t>24</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11" w:history="1">
        <w:r w:rsidR="00A26BD9" w:rsidRPr="00FF44A6">
          <w:rPr>
            <w:rStyle w:val="Hyperlink"/>
            <w:noProof/>
          </w:rPr>
          <w:t>IV.</w:t>
        </w:r>
        <w:r w:rsidR="00A26BD9">
          <w:rPr>
            <w:rFonts w:asciiTheme="minorHAnsi" w:eastAsiaTheme="minorEastAsia" w:hAnsiTheme="minorHAnsi"/>
            <w:caps w:val="0"/>
            <w:noProof/>
            <w:sz w:val="22"/>
          </w:rPr>
          <w:tab/>
        </w:r>
        <w:r w:rsidR="00A26BD9" w:rsidRPr="00FF44A6">
          <w:rPr>
            <w:rStyle w:val="Hyperlink"/>
            <w:noProof/>
          </w:rPr>
          <w:t>DISTRIBUTION RIDERS</w:t>
        </w:r>
        <w:r w:rsidR="00A26BD9">
          <w:rPr>
            <w:noProof/>
            <w:webHidden/>
          </w:rPr>
          <w:tab/>
        </w:r>
        <w:r w:rsidR="00A26BD9">
          <w:rPr>
            <w:noProof/>
            <w:webHidden/>
          </w:rPr>
          <w:fldChar w:fldCharType="begin"/>
        </w:r>
        <w:r w:rsidR="00A26BD9">
          <w:rPr>
            <w:noProof/>
            <w:webHidden/>
          </w:rPr>
          <w:instrText xml:space="preserve"> PAGEREF _Toc407632211 \h </w:instrText>
        </w:r>
        <w:r w:rsidR="00A26BD9">
          <w:rPr>
            <w:noProof/>
            <w:webHidden/>
          </w:rPr>
        </w:r>
        <w:r w:rsidR="00A26BD9">
          <w:rPr>
            <w:noProof/>
            <w:webHidden/>
          </w:rPr>
          <w:fldChar w:fldCharType="separate"/>
        </w:r>
        <w:r w:rsidR="00410002">
          <w:rPr>
            <w:noProof/>
            <w:webHidden/>
          </w:rPr>
          <w:t>27</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12" w:history="1">
        <w:r w:rsidR="00A26BD9" w:rsidRPr="00FF44A6">
          <w:rPr>
            <w:rStyle w:val="Hyperlink"/>
            <w:noProof/>
          </w:rPr>
          <w:t>A.</w:t>
        </w:r>
        <w:r w:rsidR="00A26BD9">
          <w:rPr>
            <w:rFonts w:asciiTheme="minorHAnsi" w:eastAsiaTheme="minorEastAsia" w:hAnsiTheme="minorHAnsi"/>
            <w:noProof/>
            <w:sz w:val="22"/>
          </w:rPr>
          <w:tab/>
        </w:r>
        <w:r w:rsidR="00A26BD9" w:rsidRPr="00FF44A6">
          <w:rPr>
            <w:rStyle w:val="Hyperlink"/>
            <w:noProof/>
          </w:rPr>
          <w:t>Duke Failed To Demonstrate Any Need For The DCI Rider.</w:t>
        </w:r>
        <w:r w:rsidR="00A26BD9">
          <w:rPr>
            <w:noProof/>
            <w:webHidden/>
          </w:rPr>
          <w:tab/>
        </w:r>
        <w:r w:rsidR="00A26BD9">
          <w:rPr>
            <w:noProof/>
            <w:webHidden/>
          </w:rPr>
          <w:fldChar w:fldCharType="begin"/>
        </w:r>
        <w:r w:rsidR="00A26BD9">
          <w:rPr>
            <w:noProof/>
            <w:webHidden/>
          </w:rPr>
          <w:instrText xml:space="preserve"> PAGEREF _Toc407632212 \h </w:instrText>
        </w:r>
        <w:r w:rsidR="00A26BD9">
          <w:rPr>
            <w:noProof/>
            <w:webHidden/>
          </w:rPr>
        </w:r>
        <w:r w:rsidR="00A26BD9">
          <w:rPr>
            <w:noProof/>
            <w:webHidden/>
          </w:rPr>
          <w:fldChar w:fldCharType="separate"/>
        </w:r>
        <w:r w:rsidR="00410002">
          <w:rPr>
            <w:noProof/>
            <w:webHidden/>
          </w:rPr>
          <w:t>27</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13" w:history="1">
        <w:r w:rsidR="00A26BD9" w:rsidRPr="00FF44A6">
          <w:rPr>
            <w:rStyle w:val="Hyperlink"/>
            <w:noProof/>
          </w:rPr>
          <w:t>B.</w:t>
        </w:r>
        <w:r w:rsidR="00A26BD9">
          <w:rPr>
            <w:rFonts w:asciiTheme="minorHAnsi" w:eastAsiaTheme="minorEastAsia" w:hAnsiTheme="minorHAnsi"/>
            <w:noProof/>
            <w:sz w:val="22"/>
          </w:rPr>
          <w:tab/>
        </w:r>
        <w:r w:rsidR="00A26BD9" w:rsidRPr="00FF44A6">
          <w:rPr>
            <w:rStyle w:val="Hyperlink"/>
            <w:noProof/>
          </w:rPr>
          <w:t>The Expectations Of Duke And Its Customers Are Not Aligned Regarding Service Reliability Expectations.</w:t>
        </w:r>
        <w:r w:rsidR="00A26BD9">
          <w:rPr>
            <w:noProof/>
            <w:webHidden/>
          </w:rPr>
          <w:tab/>
        </w:r>
        <w:r w:rsidR="00A26BD9">
          <w:rPr>
            <w:noProof/>
            <w:webHidden/>
          </w:rPr>
          <w:fldChar w:fldCharType="begin"/>
        </w:r>
        <w:r w:rsidR="00A26BD9">
          <w:rPr>
            <w:noProof/>
            <w:webHidden/>
          </w:rPr>
          <w:instrText xml:space="preserve"> PAGEREF _Toc407632213 \h </w:instrText>
        </w:r>
        <w:r w:rsidR="00A26BD9">
          <w:rPr>
            <w:noProof/>
            <w:webHidden/>
          </w:rPr>
        </w:r>
        <w:r w:rsidR="00A26BD9">
          <w:rPr>
            <w:noProof/>
            <w:webHidden/>
          </w:rPr>
          <w:fldChar w:fldCharType="separate"/>
        </w:r>
        <w:r w:rsidR="00410002">
          <w:rPr>
            <w:noProof/>
            <w:webHidden/>
          </w:rPr>
          <w:t>28</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14" w:history="1">
        <w:r w:rsidR="00A26BD9" w:rsidRPr="00FF44A6">
          <w:rPr>
            <w:rStyle w:val="Hyperlink"/>
            <w:noProof/>
          </w:rPr>
          <w:t>C.</w:t>
        </w:r>
        <w:r w:rsidR="00A26BD9">
          <w:rPr>
            <w:rFonts w:asciiTheme="minorHAnsi" w:eastAsiaTheme="minorEastAsia" w:hAnsiTheme="minorHAnsi"/>
            <w:noProof/>
            <w:sz w:val="22"/>
          </w:rPr>
          <w:tab/>
        </w:r>
        <w:r w:rsidR="00A26BD9" w:rsidRPr="00FF44A6">
          <w:rPr>
            <w:rStyle w:val="Hyperlink"/>
            <w:noProof/>
          </w:rPr>
          <w:t>The Staff Does Not Support The DCI Rider.</w:t>
        </w:r>
        <w:r w:rsidR="00A26BD9">
          <w:rPr>
            <w:noProof/>
            <w:webHidden/>
          </w:rPr>
          <w:tab/>
        </w:r>
        <w:r w:rsidR="00A26BD9">
          <w:rPr>
            <w:noProof/>
            <w:webHidden/>
          </w:rPr>
          <w:fldChar w:fldCharType="begin"/>
        </w:r>
        <w:r w:rsidR="00A26BD9">
          <w:rPr>
            <w:noProof/>
            <w:webHidden/>
          </w:rPr>
          <w:instrText xml:space="preserve"> PAGEREF _Toc407632214 \h </w:instrText>
        </w:r>
        <w:r w:rsidR="00A26BD9">
          <w:rPr>
            <w:noProof/>
            <w:webHidden/>
          </w:rPr>
        </w:r>
        <w:r w:rsidR="00A26BD9">
          <w:rPr>
            <w:noProof/>
            <w:webHidden/>
          </w:rPr>
          <w:fldChar w:fldCharType="separate"/>
        </w:r>
        <w:r w:rsidR="00410002">
          <w:rPr>
            <w:noProof/>
            <w:webHidden/>
          </w:rPr>
          <w:t>32</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15" w:history="1">
        <w:r w:rsidR="00A26BD9" w:rsidRPr="00FF44A6">
          <w:rPr>
            <w:rStyle w:val="Hyperlink"/>
            <w:noProof/>
          </w:rPr>
          <w:t>D.</w:t>
        </w:r>
        <w:r w:rsidR="00A26BD9">
          <w:rPr>
            <w:rFonts w:asciiTheme="minorHAnsi" w:eastAsiaTheme="minorEastAsia" w:hAnsiTheme="minorHAnsi"/>
            <w:noProof/>
            <w:sz w:val="22"/>
          </w:rPr>
          <w:tab/>
        </w:r>
        <w:r w:rsidR="00A26BD9" w:rsidRPr="00FF44A6">
          <w:rPr>
            <w:rStyle w:val="Hyperlink"/>
            <w:noProof/>
          </w:rPr>
          <w:t>The Staff Analysis Of Customer Expectations Is Flawed Because It Did Not Include The Cost Of Service Reliability.</w:t>
        </w:r>
        <w:r w:rsidR="00A26BD9">
          <w:rPr>
            <w:noProof/>
            <w:webHidden/>
          </w:rPr>
          <w:tab/>
        </w:r>
        <w:r w:rsidR="00A26BD9">
          <w:rPr>
            <w:noProof/>
            <w:webHidden/>
          </w:rPr>
          <w:fldChar w:fldCharType="begin"/>
        </w:r>
        <w:r w:rsidR="00A26BD9">
          <w:rPr>
            <w:noProof/>
            <w:webHidden/>
          </w:rPr>
          <w:instrText xml:space="preserve"> PAGEREF _Toc407632215 \h </w:instrText>
        </w:r>
        <w:r w:rsidR="00A26BD9">
          <w:rPr>
            <w:noProof/>
            <w:webHidden/>
          </w:rPr>
        </w:r>
        <w:r w:rsidR="00A26BD9">
          <w:rPr>
            <w:noProof/>
            <w:webHidden/>
          </w:rPr>
          <w:fldChar w:fldCharType="separate"/>
        </w:r>
        <w:r w:rsidR="00410002">
          <w:rPr>
            <w:noProof/>
            <w:webHidden/>
          </w:rPr>
          <w:t>32</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16" w:history="1">
        <w:r w:rsidR="00A26BD9" w:rsidRPr="00FF44A6">
          <w:rPr>
            <w:rStyle w:val="Hyperlink"/>
            <w:noProof/>
          </w:rPr>
          <w:t>E.</w:t>
        </w:r>
        <w:r w:rsidR="00A26BD9">
          <w:rPr>
            <w:rFonts w:asciiTheme="minorHAnsi" w:eastAsiaTheme="minorEastAsia" w:hAnsiTheme="minorHAnsi"/>
            <w:noProof/>
            <w:sz w:val="22"/>
          </w:rPr>
          <w:tab/>
        </w:r>
        <w:r w:rsidR="00A26BD9" w:rsidRPr="00FF44A6">
          <w:rPr>
            <w:rStyle w:val="Hyperlink"/>
            <w:noProof/>
          </w:rPr>
          <w:t>If The PUCO Adopts The DCI Rider (Contrary To OCC’s Recommendations Otherwise) It Should Reduce The Rate Of Return Funded By Customers To Reflect Duke’s Accelerated Cost Recovery And Reduced Risks From The DCI Rider.</w:t>
        </w:r>
        <w:r w:rsidR="00A26BD9">
          <w:rPr>
            <w:noProof/>
            <w:webHidden/>
          </w:rPr>
          <w:tab/>
        </w:r>
        <w:r w:rsidR="00A26BD9">
          <w:rPr>
            <w:noProof/>
            <w:webHidden/>
          </w:rPr>
          <w:fldChar w:fldCharType="begin"/>
        </w:r>
        <w:r w:rsidR="00A26BD9">
          <w:rPr>
            <w:noProof/>
            <w:webHidden/>
          </w:rPr>
          <w:instrText xml:space="preserve"> PAGEREF _Toc407632216 \h </w:instrText>
        </w:r>
        <w:r w:rsidR="00A26BD9">
          <w:rPr>
            <w:noProof/>
            <w:webHidden/>
          </w:rPr>
        </w:r>
        <w:r w:rsidR="00A26BD9">
          <w:rPr>
            <w:noProof/>
            <w:webHidden/>
          </w:rPr>
          <w:fldChar w:fldCharType="separate"/>
        </w:r>
        <w:r w:rsidR="00410002">
          <w:rPr>
            <w:noProof/>
            <w:webHidden/>
          </w:rPr>
          <w:t>34</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17" w:history="1">
        <w:r w:rsidR="00A26BD9" w:rsidRPr="00FF44A6">
          <w:rPr>
            <w:rStyle w:val="Hyperlink"/>
            <w:noProof/>
          </w:rPr>
          <w:t>F.</w:t>
        </w:r>
        <w:r w:rsidR="00A26BD9">
          <w:rPr>
            <w:rFonts w:asciiTheme="minorHAnsi" w:eastAsiaTheme="minorEastAsia" w:hAnsiTheme="minorHAnsi"/>
            <w:noProof/>
            <w:sz w:val="22"/>
          </w:rPr>
          <w:tab/>
        </w:r>
        <w:r w:rsidR="00A26BD9" w:rsidRPr="00FF44A6">
          <w:rPr>
            <w:rStyle w:val="Hyperlink"/>
            <w:noProof/>
          </w:rPr>
          <w:t>If Duke’s Proposed Distribution Storm Rider Is Approved, The PUCO Must Provide Clear Guidelines Under Which The Rider May Be Invoked.</w:t>
        </w:r>
        <w:r w:rsidR="00A26BD9">
          <w:rPr>
            <w:noProof/>
            <w:webHidden/>
          </w:rPr>
          <w:tab/>
        </w:r>
        <w:r w:rsidR="00A26BD9">
          <w:rPr>
            <w:noProof/>
            <w:webHidden/>
          </w:rPr>
          <w:fldChar w:fldCharType="begin"/>
        </w:r>
        <w:r w:rsidR="00A26BD9">
          <w:rPr>
            <w:noProof/>
            <w:webHidden/>
          </w:rPr>
          <w:instrText xml:space="preserve"> PAGEREF _Toc407632217 \h </w:instrText>
        </w:r>
        <w:r w:rsidR="00A26BD9">
          <w:rPr>
            <w:noProof/>
            <w:webHidden/>
          </w:rPr>
        </w:r>
        <w:r w:rsidR="00A26BD9">
          <w:rPr>
            <w:noProof/>
            <w:webHidden/>
          </w:rPr>
          <w:fldChar w:fldCharType="separate"/>
        </w:r>
        <w:r w:rsidR="00410002">
          <w:rPr>
            <w:noProof/>
            <w:webHidden/>
          </w:rPr>
          <w:t>39</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18" w:history="1">
        <w:r w:rsidR="00A26BD9" w:rsidRPr="00FF44A6">
          <w:rPr>
            <w:rStyle w:val="Hyperlink"/>
            <w:noProof/>
          </w:rPr>
          <w:t>V.</w:t>
        </w:r>
        <w:r w:rsidR="00A26BD9">
          <w:rPr>
            <w:rFonts w:asciiTheme="minorHAnsi" w:eastAsiaTheme="minorEastAsia" w:hAnsiTheme="minorHAnsi"/>
            <w:caps w:val="0"/>
            <w:noProof/>
            <w:sz w:val="22"/>
          </w:rPr>
          <w:tab/>
        </w:r>
        <w:r w:rsidR="00A26BD9" w:rsidRPr="00FF44A6">
          <w:rPr>
            <w:rStyle w:val="Hyperlink"/>
            <w:noProof/>
          </w:rPr>
          <w:t>COST ALLOCATION AND RATE DESIGN</w:t>
        </w:r>
        <w:r w:rsidR="00A26BD9">
          <w:rPr>
            <w:noProof/>
            <w:webHidden/>
          </w:rPr>
          <w:tab/>
        </w:r>
        <w:r w:rsidR="00A26BD9">
          <w:rPr>
            <w:noProof/>
            <w:webHidden/>
          </w:rPr>
          <w:fldChar w:fldCharType="begin"/>
        </w:r>
        <w:r w:rsidR="00A26BD9">
          <w:rPr>
            <w:noProof/>
            <w:webHidden/>
          </w:rPr>
          <w:instrText xml:space="preserve"> PAGEREF _Toc407632218 \h </w:instrText>
        </w:r>
        <w:r w:rsidR="00A26BD9">
          <w:rPr>
            <w:noProof/>
            <w:webHidden/>
          </w:rPr>
        </w:r>
        <w:r w:rsidR="00A26BD9">
          <w:rPr>
            <w:noProof/>
            <w:webHidden/>
          </w:rPr>
          <w:fldChar w:fldCharType="separate"/>
        </w:r>
        <w:r w:rsidR="00410002">
          <w:rPr>
            <w:noProof/>
            <w:webHidden/>
          </w:rPr>
          <w:t>42</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19" w:history="1">
        <w:r w:rsidR="00A26BD9" w:rsidRPr="00FF44A6">
          <w:rPr>
            <w:rStyle w:val="Hyperlink"/>
            <w:noProof/>
          </w:rPr>
          <w:t>A.</w:t>
        </w:r>
        <w:r w:rsidR="00A26BD9">
          <w:rPr>
            <w:rFonts w:asciiTheme="minorHAnsi" w:eastAsiaTheme="minorEastAsia" w:hAnsiTheme="minorHAnsi"/>
            <w:noProof/>
            <w:sz w:val="22"/>
          </w:rPr>
          <w:tab/>
        </w:r>
        <w:r w:rsidR="00A26BD9" w:rsidRPr="00FF44A6">
          <w:rPr>
            <w:rStyle w:val="Hyperlink"/>
            <w:noProof/>
          </w:rPr>
          <w:t>Duke’s Proposal To Allocate Capacity Costs To Customer Classes Even Though Duke Is Not Billed SSO Supplier Charges By Customer Class, Is Contrary To Cost Causation Principles And Would Unfairly Charge Residential Customers More For Electricity.</w:t>
        </w:r>
        <w:r w:rsidR="00A26BD9">
          <w:rPr>
            <w:noProof/>
            <w:webHidden/>
          </w:rPr>
          <w:tab/>
        </w:r>
        <w:r w:rsidR="00A26BD9">
          <w:rPr>
            <w:noProof/>
            <w:webHidden/>
          </w:rPr>
          <w:fldChar w:fldCharType="begin"/>
        </w:r>
        <w:r w:rsidR="00A26BD9">
          <w:rPr>
            <w:noProof/>
            <w:webHidden/>
          </w:rPr>
          <w:instrText xml:space="preserve"> PAGEREF _Toc407632219 \h </w:instrText>
        </w:r>
        <w:r w:rsidR="00A26BD9">
          <w:rPr>
            <w:noProof/>
            <w:webHidden/>
          </w:rPr>
        </w:r>
        <w:r w:rsidR="00A26BD9">
          <w:rPr>
            <w:noProof/>
            <w:webHidden/>
          </w:rPr>
          <w:fldChar w:fldCharType="separate"/>
        </w:r>
        <w:r w:rsidR="00410002">
          <w:rPr>
            <w:noProof/>
            <w:webHidden/>
          </w:rPr>
          <w:t>42</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20" w:history="1">
        <w:r w:rsidR="00A26BD9" w:rsidRPr="00FF44A6">
          <w:rPr>
            <w:rStyle w:val="Hyperlink"/>
            <w:noProof/>
          </w:rPr>
          <w:t>B.</w:t>
        </w:r>
        <w:r w:rsidR="00A26BD9">
          <w:rPr>
            <w:rFonts w:asciiTheme="minorHAnsi" w:eastAsiaTheme="minorEastAsia" w:hAnsiTheme="minorHAnsi"/>
            <w:noProof/>
            <w:sz w:val="22"/>
          </w:rPr>
          <w:tab/>
        </w:r>
        <w:r w:rsidR="00A26BD9" w:rsidRPr="00FF44A6">
          <w:rPr>
            <w:rStyle w:val="Hyperlink"/>
            <w:noProof/>
          </w:rPr>
          <w:t>The DCI Rider Should Be Allocated Based On Net Plant In Service Because This Is Consistent With Cost Causation Principles As Opposed To A “Simple,” But Wrong, Allocation Endorsed By Duke And Other Parties.</w:t>
        </w:r>
        <w:r w:rsidR="00A26BD9">
          <w:rPr>
            <w:noProof/>
            <w:webHidden/>
          </w:rPr>
          <w:tab/>
        </w:r>
        <w:r w:rsidR="00A26BD9">
          <w:rPr>
            <w:noProof/>
            <w:webHidden/>
          </w:rPr>
          <w:fldChar w:fldCharType="begin"/>
        </w:r>
        <w:r w:rsidR="00A26BD9">
          <w:rPr>
            <w:noProof/>
            <w:webHidden/>
          </w:rPr>
          <w:instrText xml:space="preserve"> PAGEREF _Toc407632220 \h </w:instrText>
        </w:r>
        <w:r w:rsidR="00A26BD9">
          <w:rPr>
            <w:noProof/>
            <w:webHidden/>
          </w:rPr>
        </w:r>
        <w:r w:rsidR="00A26BD9">
          <w:rPr>
            <w:noProof/>
            <w:webHidden/>
          </w:rPr>
          <w:fldChar w:fldCharType="separate"/>
        </w:r>
        <w:r w:rsidR="00410002">
          <w:rPr>
            <w:noProof/>
            <w:webHidden/>
          </w:rPr>
          <w:t>43</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21" w:history="1">
        <w:r w:rsidR="00A26BD9" w:rsidRPr="00FF44A6">
          <w:rPr>
            <w:rStyle w:val="Hyperlink"/>
            <w:noProof/>
          </w:rPr>
          <w:t>C.</w:t>
        </w:r>
        <w:r w:rsidR="00A26BD9">
          <w:rPr>
            <w:rFonts w:asciiTheme="minorHAnsi" w:eastAsiaTheme="minorEastAsia" w:hAnsiTheme="minorHAnsi"/>
            <w:noProof/>
            <w:sz w:val="22"/>
          </w:rPr>
          <w:tab/>
        </w:r>
        <w:r w:rsidR="00A26BD9" w:rsidRPr="00FF44A6">
          <w:rPr>
            <w:rStyle w:val="Hyperlink"/>
            <w:noProof/>
          </w:rPr>
          <w:t>If Approved In Any Respect, Rider PSR Should Be Allocated On A Non-Bypassable Basis As Duke Proposed.</w:t>
        </w:r>
        <w:r w:rsidR="00A26BD9">
          <w:rPr>
            <w:noProof/>
            <w:webHidden/>
          </w:rPr>
          <w:tab/>
        </w:r>
        <w:r w:rsidR="00A26BD9">
          <w:rPr>
            <w:noProof/>
            <w:webHidden/>
          </w:rPr>
          <w:fldChar w:fldCharType="begin"/>
        </w:r>
        <w:r w:rsidR="00A26BD9">
          <w:rPr>
            <w:noProof/>
            <w:webHidden/>
          </w:rPr>
          <w:instrText xml:space="preserve"> PAGEREF _Toc407632221 \h </w:instrText>
        </w:r>
        <w:r w:rsidR="00A26BD9">
          <w:rPr>
            <w:noProof/>
            <w:webHidden/>
          </w:rPr>
        </w:r>
        <w:r w:rsidR="00A26BD9">
          <w:rPr>
            <w:noProof/>
            <w:webHidden/>
          </w:rPr>
          <w:fldChar w:fldCharType="separate"/>
        </w:r>
        <w:r w:rsidR="00410002">
          <w:rPr>
            <w:noProof/>
            <w:webHidden/>
          </w:rPr>
          <w:t>45</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22" w:history="1">
        <w:r w:rsidR="00A26BD9" w:rsidRPr="00FF44A6">
          <w:rPr>
            <w:rStyle w:val="Hyperlink"/>
            <w:noProof/>
          </w:rPr>
          <w:t>D.</w:t>
        </w:r>
        <w:r w:rsidR="00A26BD9">
          <w:rPr>
            <w:rFonts w:asciiTheme="minorHAnsi" w:eastAsiaTheme="minorEastAsia" w:hAnsiTheme="minorHAnsi"/>
            <w:noProof/>
            <w:sz w:val="22"/>
          </w:rPr>
          <w:tab/>
        </w:r>
        <w:r w:rsidR="00A26BD9" w:rsidRPr="00FF44A6">
          <w:rPr>
            <w:rStyle w:val="Hyperlink"/>
            <w:noProof/>
          </w:rPr>
          <w:t>The PUCO Should Reject OEG’s Proposal To Continue The Subsidy To Duke’s 4 Large Interruptible Customers At The Expense Of Other Customers.</w:t>
        </w:r>
        <w:r w:rsidR="00A26BD9">
          <w:rPr>
            <w:noProof/>
            <w:webHidden/>
          </w:rPr>
          <w:tab/>
        </w:r>
        <w:r w:rsidR="00A26BD9">
          <w:rPr>
            <w:noProof/>
            <w:webHidden/>
          </w:rPr>
          <w:fldChar w:fldCharType="begin"/>
        </w:r>
        <w:r w:rsidR="00A26BD9">
          <w:rPr>
            <w:noProof/>
            <w:webHidden/>
          </w:rPr>
          <w:instrText xml:space="preserve"> PAGEREF _Toc407632222 \h </w:instrText>
        </w:r>
        <w:r w:rsidR="00A26BD9">
          <w:rPr>
            <w:noProof/>
            <w:webHidden/>
          </w:rPr>
        </w:r>
        <w:r w:rsidR="00A26BD9">
          <w:rPr>
            <w:noProof/>
            <w:webHidden/>
          </w:rPr>
          <w:fldChar w:fldCharType="separate"/>
        </w:r>
        <w:r w:rsidR="00410002">
          <w:rPr>
            <w:noProof/>
            <w:webHidden/>
          </w:rPr>
          <w:t>46</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23" w:history="1">
        <w:r w:rsidR="00A26BD9" w:rsidRPr="00FF44A6">
          <w:rPr>
            <w:rStyle w:val="Hyperlink"/>
            <w:noProof/>
          </w:rPr>
          <w:t>VI.</w:t>
        </w:r>
        <w:r w:rsidR="00A26BD9">
          <w:rPr>
            <w:rFonts w:asciiTheme="minorHAnsi" w:eastAsiaTheme="minorEastAsia" w:hAnsiTheme="minorHAnsi"/>
            <w:caps w:val="0"/>
            <w:noProof/>
            <w:sz w:val="22"/>
          </w:rPr>
          <w:tab/>
        </w:r>
        <w:r w:rsidR="00A26BD9" w:rsidRPr="00FF44A6">
          <w:rPr>
            <w:rStyle w:val="Hyperlink"/>
            <w:noProof/>
          </w:rPr>
          <w:t>EARLY TERMINATION</w:t>
        </w:r>
        <w:r w:rsidR="00A26BD9">
          <w:rPr>
            <w:noProof/>
            <w:webHidden/>
          </w:rPr>
          <w:tab/>
        </w:r>
        <w:r w:rsidR="00A26BD9">
          <w:rPr>
            <w:noProof/>
            <w:webHidden/>
          </w:rPr>
          <w:fldChar w:fldCharType="begin"/>
        </w:r>
        <w:r w:rsidR="00A26BD9">
          <w:rPr>
            <w:noProof/>
            <w:webHidden/>
          </w:rPr>
          <w:instrText xml:space="preserve"> PAGEREF _Toc407632223 \h </w:instrText>
        </w:r>
        <w:r w:rsidR="00A26BD9">
          <w:rPr>
            <w:noProof/>
            <w:webHidden/>
          </w:rPr>
        </w:r>
        <w:r w:rsidR="00A26BD9">
          <w:rPr>
            <w:noProof/>
            <w:webHidden/>
          </w:rPr>
          <w:fldChar w:fldCharType="separate"/>
        </w:r>
        <w:r w:rsidR="00410002">
          <w:rPr>
            <w:noProof/>
            <w:webHidden/>
          </w:rPr>
          <w:t>50</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24" w:history="1">
        <w:r w:rsidR="00A26BD9" w:rsidRPr="00FF44A6">
          <w:rPr>
            <w:rStyle w:val="Hyperlink"/>
            <w:rFonts w:eastAsia="Times New Roman"/>
            <w:noProof/>
          </w:rPr>
          <w:t>A.</w:t>
        </w:r>
        <w:r w:rsidR="00A26BD9">
          <w:rPr>
            <w:rFonts w:asciiTheme="minorHAnsi" w:eastAsiaTheme="minorEastAsia" w:hAnsiTheme="minorHAnsi"/>
            <w:noProof/>
            <w:sz w:val="22"/>
          </w:rPr>
          <w:tab/>
        </w:r>
        <w:r w:rsidR="00A26BD9" w:rsidRPr="00FF44A6">
          <w:rPr>
            <w:rStyle w:val="Hyperlink"/>
            <w:rFonts w:eastAsia="Times New Roman"/>
            <w:noProof/>
          </w:rPr>
          <w:t>Duke’s Proposal To Unilaterally Terminate Its ESP A Year Early Should Not Be Allowed.</w:t>
        </w:r>
        <w:r w:rsidR="00A26BD9">
          <w:rPr>
            <w:noProof/>
            <w:webHidden/>
          </w:rPr>
          <w:tab/>
        </w:r>
        <w:r w:rsidR="00A26BD9">
          <w:rPr>
            <w:noProof/>
            <w:webHidden/>
          </w:rPr>
          <w:fldChar w:fldCharType="begin"/>
        </w:r>
        <w:r w:rsidR="00A26BD9">
          <w:rPr>
            <w:noProof/>
            <w:webHidden/>
          </w:rPr>
          <w:instrText xml:space="preserve"> PAGEREF _Toc407632224 \h </w:instrText>
        </w:r>
        <w:r w:rsidR="00A26BD9">
          <w:rPr>
            <w:noProof/>
            <w:webHidden/>
          </w:rPr>
        </w:r>
        <w:r w:rsidR="00A26BD9">
          <w:rPr>
            <w:noProof/>
            <w:webHidden/>
          </w:rPr>
          <w:fldChar w:fldCharType="separate"/>
        </w:r>
        <w:r w:rsidR="00410002">
          <w:rPr>
            <w:noProof/>
            <w:webHidden/>
          </w:rPr>
          <w:t>50</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25" w:history="1">
        <w:r w:rsidR="00A26BD9" w:rsidRPr="00FF44A6">
          <w:rPr>
            <w:rStyle w:val="Hyperlink"/>
            <w:rFonts w:eastAsia="Times New Roman"/>
            <w:noProof/>
          </w:rPr>
          <w:t>B.</w:t>
        </w:r>
        <w:r w:rsidR="00A26BD9">
          <w:rPr>
            <w:rFonts w:asciiTheme="minorHAnsi" w:eastAsiaTheme="minorEastAsia" w:hAnsiTheme="minorHAnsi"/>
            <w:noProof/>
            <w:sz w:val="22"/>
          </w:rPr>
          <w:tab/>
        </w:r>
        <w:r w:rsidR="00A26BD9" w:rsidRPr="00FF44A6">
          <w:rPr>
            <w:rStyle w:val="Hyperlink"/>
            <w:rFonts w:eastAsia="Times New Roman"/>
            <w:noProof/>
          </w:rPr>
          <w:t>Duke’s Proposal Unreasonably Shifts Market Risk To Wholesale Suppliers And Consumers And Could Translate Into Higher Prices For Customers.</w:t>
        </w:r>
        <w:r w:rsidR="00A26BD9">
          <w:rPr>
            <w:noProof/>
            <w:webHidden/>
          </w:rPr>
          <w:tab/>
        </w:r>
        <w:r w:rsidR="00A26BD9">
          <w:rPr>
            <w:noProof/>
            <w:webHidden/>
          </w:rPr>
          <w:fldChar w:fldCharType="begin"/>
        </w:r>
        <w:r w:rsidR="00A26BD9">
          <w:rPr>
            <w:noProof/>
            <w:webHidden/>
          </w:rPr>
          <w:instrText xml:space="preserve"> PAGEREF _Toc407632225 \h </w:instrText>
        </w:r>
        <w:r w:rsidR="00A26BD9">
          <w:rPr>
            <w:noProof/>
            <w:webHidden/>
          </w:rPr>
        </w:r>
        <w:r w:rsidR="00A26BD9">
          <w:rPr>
            <w:noProof/>
            <w:webHidden/>
          </w:rPr>
          <w:fldChar w:fldCharType="separate"/>
        </w:r>
        <w:r w:rsidR="00410002">
          <w:rPr>
            <w:noProof/>
            <w:webHidden/>
          </w:rPr>
          <w:t>50</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26" w:history="1">
        <w:r w:rsidR="00A26BD9" w:rsidRPr="00FF44A6">
          <w:rPr>
            <w:rStyle w:val="Hyperlink"/>
            <w:rFonts w:eastAsia="Times New Roman"/>
            <w:noProof/>
          </w:rPr>
          <w:t>C.</w:t>
        </w:r>
        <w:r w:rsidR="00A26BD9">
          <w:rPr>
            <w:rFonts w:asciiTheme="minorHAnsi" w:eastAsiaTheme="minorEastAsia" w:hAnsiTheme="minorHAnsi"/>
            <w:noProof/>
            <w:sz w:val="22"/>
          </w:rPr>
          <w:tab/>
        </w:r>
        <w:r w:rsidR="00A26BD9" w:rsidRPr="00FF44A6">
          <w:rPr>
            <w:rStyle w:val="Hyperlink"/>
            <w:rFonts w:eastAsia="Times New Roman"/>
            <w:noProof/>
          </w:rPr>
          <w:t>Duke’s Early Termination Proposal Is Overly Vague And Neither Duke’s Application Nor Its Initial Brief Provide Any Statutory Authority In Support.</w:t>
        </w:r>
        <w:r w:rsidR="00A26BD9">
          <w:rPr>
            <w:noProof/>
            <w:webHidden/>
          </w:rPr>
          <w:tab/>
        </w:r>
        <w:r w:rsidR="00A26BD9">
          <w:rPr>
            <w:noProof/>
            <w:webHidden/>
          </w:rPr>
          <w:fldChar w:fldCharType="begin"/>
        </w:r>
        <w:r w:rsidR="00A26BD9">
          <w:rPr>
            <w:noProof/>
            <w:webHidden/>
          </w:rPr>
          <w:instrText xml:space="preserve"> PAGEREF _Toc407632226 \h </w:instrText>
        </w:r>
        <w:r w:rsidR="00A26BD9">
          <w:rPr>
            <w:noProof/>
            <w:webHidden/>
          </w:rPr>
        </w:r>
        <w:r w:rsidR="00A26BD9">
          <w:rPr>
            <w:noProof/>
            <w:webHidden/>
          </w:rPr>
          <w:fldChar w:fldCharType="separate"/>
        </w:r>
        <w:r w:rsidR="00410002">
          <w:rPr>
            <w:noProof/>
            <w:webHidden/>
          </w:rPr>
          <w:t>52</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27" w:history="1">
        <w:r w:rsidR="00A26BD9" w:rsidRPr="00FF44A6">
          <w:rPr>
            <w:rStyle w:val="Hyperlink"/>
            <w:noProof/>
          </w:rPr>
          <w:t>VII.</w:t>
        </w:r>
        <w:r w:rsidR="00A26BD9">
          <w:rPr>
            <w:rFonts w:asciiTheme="minorHAnsi" w:eastAsiaTheme="minorEastAsia" w:hAnsiTheme="minorHAnsi"/>
            <w:caps w:val="0"/>
            <w:noProof/>
            <w:sz w:val="22"/>
          </w:rPr>
          <w:tab/>
        </w:r>
        <w:r w:rsidR="00A26BD9" w:rsidRPr="00FF44A6">
          <w:rPr>
            <w:rStyle w:val="Hyperlink"/>
            <w:noProof/>
          </w:rPr>
          <w:t>SEET ROE THRESHOLD</w:t>
        </w:r>
        <w:r w:rsidR="00A26BD9">
          <w:rPr>
            <w:noProof/>
            <w:webHidden/>
          </w:rPr>
          <w:tab/>
        </w:r>
        <w:r w:rsidR="00A26BD9">
          <w:rPr>
            <w:noProof/>
            <w:webHidden/>
          </w:rPr>
          <w:fldChar w:fldCharType="begin"/>
        </w:r>
        <w:r w:rsidR="00A26BD9">
          <w:rPr>
            <w:noProof/>
            <w:webHidden/>
          </w:rPr>
          <w:instrText xml:space="preserve"> PAGEREF _Toc407632227 \h </w:instrText>
        </w:r>
        <w:r w:rsidR="00A26BD9">
          <w:rPr>
            <w:noProof/>
            <w:webHidden/>
          </w:rPr>
        </w:r>
        <w:r w:rsidR="00A26BD9">
          <w:rPr>
            <w:noProof/>
            <w:webHidden/>
          </w:rPr>
          <w:fldChar w:fldCharType="separate"/>
        </w:r>
        <w:r w:rsidR="00410002">
          <w:rPr>
            <w:noProof/>
            <w:webHidden/>
          </w:rPr>
          <w:t>53</w:t>
        </w:r>
        <w:r w:rsidR="00A26BD9">
          <w:rPr>
            <w:noProof/>
            <w:webHidden/>
          </w:rPr>
          <w:fldChar w:fldCharType="end"/>
        </w:r>
      </w:hyperlink>
    </w:p>
    <w:p w:rsidR="00A26BD9" w:rsidRDefault="001D5E02" w:rsidP="00A26BD9">
      <w:pPr>
        <w:pStyle w:val="TOC2"/>
        <w:tabs>
          <w:tab w:val="left" w:pos="1440"/>
          <w:tab w:val="decimal" w:leader="dot" w:pos="8640"/>
        </w:tabs>
        <w:ind w:right="720"/>
        <w:rPr>
          <w:rFonts w:asciiTheme="minorHAnsi" w:eastAsiaTheme="minorEastAsia" w:hAnsiTheme="minorHAnsi"/>
          <w:noProof/>
          <w:sz w:val="22"/>
        </w:rPr>
      </w:pPr>
      <w:hyperlink w:anchor="_Toc407632228" w:history="1">
        <w:r w:rsidR="00A26BD9" w:rsidRPr="00FF44A6">
          <w:rPr>
            <w:rStyle w:val="Hyperlink"/>
            <w:rFonts w:eastAsia="Times New Roman"/>
            <w:noProof/>
          </w:rPr>
          <w:t>A.</w:t>
        </w:r>
        <w:r w:rsidR="00A26BD9">
          <w:rPr>
            <w:rFonts w:asciiTheme="minorHAnsi" w:eastAsiaTheme="minorEastAsia" w:hAnsiTheme="minorHAnsi"/>
            <w:noProof/>
            <w:sz w:val="22"/>
          </w:rPr>
          <w:tab/>
        </w:r>
        <w:r w:rsidR="00A26BD9" w:rsidRPr="00FF44A6">
          <w:rPr>
            <w:rStyle w:val="Hyperlink"/>
            <w:rFonts w:eastAsia="Times New Roman"/>
            <w:noProof/>
          </w:rPr>
          <w:t>Duke Fails To Provide Evidence Justifying A SEET ROE Threshold Of 15 Percent.</w:t>
        </w:r>
        <w:r w:rsidR="00A26BD9">
          <w:rPr>
            <w:noProof/>
            <w:webHidden/>
          </w:rPr>
          <w:tab/>
        </w:r>
        <w:r w:rsidR="00A26BD9">
          <w:rPr>
            <w:noProof/>
            <w:webHidden/>
          </w:rPr>
          <w:fldChar w:fldCharType="begin"/>
        </w:r>
        <w:r w:rsidR="00A26BD9">
          <w:rPr>
            <w:noProof/>
            <w:webHidden/>
          </w:rPr>
          <w:instrText xml:space="preserve"> PAGEREF _Toc407632228 \h </w:instrText>
        </w:r>
        <w:r w:rsidR="00A26BD9">
          <w:rPr>
            <w:noProof/>
            <w:webHidden/>
          </w:rPr>
        </w:r>
        <w:r w:rsidR="00A26BD9">
          <w:rPr>
            <w:noProof/>
            <w:webHidden/>
          </w:rPr>
          <w:fldChar w:fldCharType="separate"/>
        </w:r>
        <w:r w:rsidR="00410002">
          <w:rPr>
            <w:noProof/>
            <w:webHidden/>
          </w:rPr>
          <w:t>53</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29" w:history="1">
        <w:r w:rsidR="00A26BD9" w:rsidRPr="00FF44A6">
          <w:rPr>
            <w:rStyle w:val="Hyperlink"/>
            <w:noProof/>
          </w:rPr>
          <w:t>VIII.</w:t>
        </w:r>
        <w:r w:rsidR="00A26BD9">
          <w:rPr>
            <w:rFonts w:asciiTheme="minorHAnsi" w:eastAsiaTheme="minorEastAsia" w:hAnsiTheme="minorHAnsi"/>
            <w:caps w:val="0"/>
            <w:noProof/>
            <w:sz w:val="22"/>
          </w:rPr>
          <w:tab/>
        </w:r>
        <w:r w:rsidR="00A26BD9" w:rsidRPr="00FF44A6">
          <w:rPr>
            <w:rStyle w:val="Hyperlink"/>
            <w:noProof/>
          </w:rPr>
          <w:t>ENROLL FROM YOUR WALLET Should not be approved</w:t>
        </w:r>
        <w:r w:rsidR="00A26BD9">
          <w:rPr>
            <w:noProof/>
            <w:webHidden/>
          </w:rPr>
          <w:tab/>
        </w:r>
        <w:r w:rsidR="00A26BD9">
          <w:rPr>
            <w:noProof/>
            <w:webHidden/>
          </w:rPr>
          <w:fldChar w:fldCharType="begin"/>
        </w:r>
        <w:r w:rsidR="00A26BD9">
          <w:rPr>
            <w:noProof/>
            <w:webHidden/>
          </w:rPr>
          <w:instrText xml:space="preserve"> PAGEREF _Toc407632229 \h </w:instrText>
        </w:r>
        <w:r w:rsidR="00A26BD9">
          <w:rPr>
            <w:noProof/>
            <w:webHidden/>
          </w:rPr>
        </w:r>
        <w:r w:rsidR="00A26BD9">
          <w:rPr>
            <w:noProof/>
            <w:webHidden/>
          </w:rPr>
          <w:fldChar w:fldCharType="separate"/>
        </w:r>
        <w:r w:rsidR="00410002">
          <w:rPr>
            <w:noProof/>
            <w:webHidden/>
          </w:rPr>
          <w:t>54</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30" w:history="1">
        <w:r w:rsidR="00A26BD9" w:rsidRPr="00FF44A6">
          <w:rPr>
            <w:rStyle w:val="Hyperlink"/>
            <w:noProof/>
          </w:rPr>
          <w:t>IX.</w:t>
        </w:r>
        <w:r w:rsidR="00A26BD9">
          <w:rPr>
            <w:rFonts w:asciiTheme="minorHAnsi" w:eastAsiaTheme="minorEastAsia" w:hAnsiTheme="minorHAnsi"/>
            <w:caps w:val="0"/>
            <w:noProof/>
            <w:sz w:val="22"/>
          </w:rPr>
          <w:tab/>
        </w:r>
        <w:r w:rsidR="00A26BD9" w:rsidRPr="00FF44A6">
          <w:rPr>
            <w:rStyle w:val="Hyperlink"/>
            <w:noProof/>
          </w:rPr>
          <w:t>The MARKET ENERGY PLAN should not be adopted</w:t>
        </w:r>
        <w:r w:rsidR="00A26BD9">
          <w:rPr>
            <w:noProof/>
            <w:webHidden/>
          </w:rPr>
          <w:tab/>
        </w:r>
        <w:r w:rsidR="00A26BD9">
          <w:rPr>
            <w:noProof/>
            <w:webHidden/>
          </w:rPr>
          <w:fldChar w:fldCharType="begin"/>
        </w:r>
        <w:r w:rsidR="00A26BD9">
          <w:rPr>
            <w:noProof/>
            <w:webHidden/>
          </w:rPr>
          <w:instrText xml:space="preserve"> PAGEREF _Toc407632230 \h </w:instrText>
        </w:r>
        <w:r w:rsidR="00A26BD9">
          <w:rPr>
            <w:noProof/>
            <w:webHidden/>
          </w:rPr>
        </w:r>
        <w:r w:rsidR="00A26BD9">
          <w:rPr>
            <w:noProof/>
            <w:webHidden/>
          </w:rPr>
          <w:fldChar w:fldCharType="separate"/>
        </w:r>
        <w:r w:rsidR="00410002">
          <w:rPr>
            <w:noProof/>
            <w:webHidden/>
          </w:rPr>
          <w:t>55</w:t>
        </w:r>
        <w:r w:rsidR="00A26BD9">
          <w:rPr>
            <w:noProof/>
            <w:webHidden/>
          </w:rPr>
          <w:fldChar w:fldCharType="end"/>
        </w:r>
      </w:hyperlink>
    </w:p>
    <w:p w:rsidR="00A26BD9" w:rsidRDefault="001D5E02" w:rsidP="00A26BD9">
      <w:pPr>
        <w:pStyle w:val="TOC1"/>
        <w:ind w:right="720"/>
        <w:rPr>
          <w:rFonts w:asciiTheme="minorHAnsi" w:eastAsiaTheme="minorEastAsia" w:hAnsiTheme="minorHAnsi"/>
          <w:caps w:val="0"/>
          <w:noProof/>
          <w:sz w:val="22"/>
        </w:rPr>
      </w:pPr>
      <w:hyperlink w:anchor="_Toc407632231" w:history="1">
        <w:r w:rsidR="00A26BD9" w:rsidRPr="00FF44A6">
          <w:rPr>
            <w:rStyle w:val="Hyperlink"/>
            <w:noProof/>
          </w:rPr>
          <w:t>X.</w:t>
        </w:r>
        <w:r w:rsidR="00A26BD9">
          <w:rPr>
            <w:rFonts w:asciiTheme="minorHAnsi" w:eastAsiaTheme="minorEastAsia" w:hAnsiTheme="minorHAnsi"/>
            <w:caps w:val="0"/>
            <w:noProof/>
            <w:sz w:val="22"/>
          </w:rPr>
          <w:tab/>
        </w:r>
        <w:r w:rsidR="00A26BD9" w:rsidRPr="00FF44A6">
          <w:rPr>
            <w:rStyle w:val="Hyperlink"/>
            <w:noProof/>
          </w:rPr>
          <w:t>CONCLUSION</w:t>
        </w:r>
        <w:r w:rsidR="00A26BD9">
          <w:rPr>
            <w:noProof/>
            <w:webHidden/>
          </w:rPr>
          <w:tab/>
        </w:r>
        <w:r w:rsidR="00A26BD9">
          <w:rPr>
            <w:noProof/>
            <w:webHidden/>
          </w:rPr>
          <w:fldChar w:fldCharType="begin"/>
        </w:r>
        <w:r w:rsidR="00A26BD9">
          <w:rPr>
            <w:noProof/>
            <w:webHidden/>
          </w:rPr>
          <w:instrText xml:space="preserve"> PAGEREF _Toc407632231 \h </w:instrText>
        </w:r>
        <w:r w:rsidR="00A26BD9">
          <w:rPr>
            <w:noProof/>
            <w:webHidden/>
          </w:rPr>
        </w:r>
        <w:r w:rsidR="00A26BD9">
          <w:rPr>
            <w:noProof/>
            <w:webHidden/>
          </w:rPr>
          <w:fldChar w:fldCharType="separate"/>
        </w:r>
        <w:r w:rsidR="00410002">
          <w:rPr>
            <w:noProof/>
            <w:webHidden/>
          </w:rPr>
          <w:t>56</w:t>
        </w:r>
        <w:r w:rsidR="00A26BD9">
          <w:rPr>
            <w:noProof/>
            <w:webHidden/>
          </w:rPr>
          <w:fldChar w:fldCharType="end"/>
        </w:r>
      </w:hyperlink>
    </w:p>
    <w:p w:rsidR="0067615D" w:rsidRPr="00DC1FF0" w:rsidRDefault="00896261" w:rsidP="006857BB">
      <w:pPr>
        <w:jc w:val="center"/>
        <w:rPr>
          <w:rFonts w:ascii="Times New Roman" w:hAnsi="Times New Roman" w:cs="Times New Roman"/>
          <w:b/>
          <w:sz w:val="24"/>
          <w:szCs w:val="24"/>
        </w:rPr>
        <w:sectPr w:rsidR="0067615D" w:rsidRPr="00DC1FF0" w:rsidSect="0067615D">
          <w:headerReference w:type="even" r:id="rId19"/>
          <w:headerReference w:type="default" r:id="rId20"/>
          <w:footerReference w:type="default" r:id="rId21"/>
          <w:headerReference w:type="first" r:id="rId22"/>
          <w:pgSz w:w="12240" w:h="15840"/>
          <w:pgMar w:top="1440" w:right="1800" w:bottom="1440" w:left="1800" w:header="720" w:footer="720" w:gutter="0"/>
          <w:pgNumType w:fmt="lowerRoman" w:start="1"/>
          <w:cols w:space="720"/>
          <w:docGrid w:linePitch="360"/>
        </w:sectPr>
      </w:pPr>
      <w:r w:rsidRPr="00DC1FF0">
        <w:rPr>
          <w:rFonts w:ascii="Times New Roman" w:hAnsi="Times New Roman" w:cs="Times New Roman"/>
          <w:b/>
          <w:sz w:val="24"/>
          <w:szCs w:val="24"/>
        </w:rPr>
        <w:fldChar w:fldCharType="end"/>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rPr>
      </w:pPr>
      <w:r w:rsidRPr="00DC1FF0">
        <w:rPr>
          <w:rFonts w:ascii="Times New Roman" w:eastAsia="Courier New" w:hAnsi="Times New Roman" w:cs="Times New Roman"/>
          <w:b/>
          <w:bCs/>
          <w:sz w:val="24"/>
          <w:szCs w:val="24"/>
        </w:rPr>
        <w:t>BEFORE</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rPr>
      </w:pPr>
      <w:r w:rsidRPr="00DC1FF0">
        <w:rPr>
          <w:rFonts w:ascii="Times New Roman" w:eastAsia="Courier New" w:hAnsi="Times New Roman" w:cs="Times New Roman"/>
          <w:b/>
          <w:bCs/>
          <w:sz w:val="24"/>
          <w:szCs w:val="24"/>
        </w:rPr>
        <w:t>THE PUBLIC UTILITIES COMMISSION OF OHIO</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896261" w:rsidRPr="00DC1FF0" w:rsidTr="00896261">
        <w:trPr>
          <w:trHeight w:val="807"/>
        </w:trPr>
        <w:tc>
          <w:tcPr>
            <w:tcW w:w="4332" w:type="dxa"/>
            <w:shd w:val="clear" w:color="auto" w:fill="auto"/>
          </w:tcPr>
          <w:p w:rsidR="00896261" w:rsidRPr="00DC1FF0" w:rsidRDefault="00896261" w:rsidP="00896261">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the Matter of the Application of Duke</w:t>
            </w:r>
          </w:p>
          <w:p w:rsidR="00896261" w:rsidRPr="00DC1FF0" w:rsidRDefault="00896261" w:rsidP="00896261">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Energy Ohio for Authority to Establish a</w:t>
            </w:r>
          </w:p>
          <w:p w:rsidR="00896261" w:rsidRPr="00DC1FF0" w:rsidRDefault="00896261" w:rsidP="00896261">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Standard Service Offer Pursuant to Section 4928.143, Revised Code, in the Form of an Electric Security Plan, Accounting Modifications and Tariffs for Generation Service.</w:t>
            </w:r>
          </w:p>
          <w:p w:rsidR="00896261" w:rsidRPr="00DC1FF0" w:rsidRDefault="00896261" w:rsidP="00896261">
            <w:pPr>
              <w:autoSpaceDE w:val="0"/>
              <w:autoSpaceDN w:val="0"/>
              <w:adjustRightInd w:val="0"/>
              <w:spacing w:after="0" w:line="240" w:lineRule="auto"/>
              <w:rPr>
                <w:rFonts w:ascii="Times New Roman" w:eastAsia="Times New Roman" w:hAnsi="Times New Roman" w:cs="Times New Roman"/>
                <w:sz w:val="24"/>
                <w:szCs w:val="24"/>
              </w:rPr>
            </w:pPr>
          </w:p>
          <w:p w:rsidR="00896261" w:rsidRPr="00DC1FF0" w:rsidRDefault="00896261" w:rsidP="00896261">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the Matter of the Application of Duke</w:t>
            </w:r>
          </w:p>
          <w:p w:rsidR="00896261" w:rsidRPr="00DC1FF0" w:rsidRDefault="00896261" w:rsidP="00896261">
            <w:pPr>
              <w:autoSpaceDE w:val="0"/>
              <w:autoSpaceDN w:val="0"/>
              <w:adjustRightInd w:val="0"/>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Energy Ohio for Authority to Amend its</w:t>
            </w:r>
          </w:p>
          <w:p w:rsidR="00896261" w:rsidRPr="00DC1FF0" w:rsidRDefault="00896261" w:rsidP="00896261">
            <w:pPr>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Certified Supplier Tariff, P.U.C.O. </w:t>
            </w:r>
          </w:p>
          <w:p w:rsidR="00896261" w:rsidRPr="00DC1FF0" w:rsidRDefault="00896261" w:rsidP="00896261">
            <w:pPr>
              <w:spacing w:after="0" w:line="24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No. 20. </w:t>
            </w:r>
          </w:p>
        </w:tc>
        <w:tc>
          <w:tcPr>
            <w:tcW w:w="360" w:type="dxa"/>
            <w:shd w:val="clear" w:color="auto" w:fill="auto"/>
          </w:tcPr>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w:t>
            </w:r>
          </w:p>
        </w:tc>
        <w:tc>
          <w:tcPr>
            <w:tcW w:w="4400" w:type="dxa"/>
            <w:shd w:val="clear" w:color="auto" w:fill="auto"/>
          </w:tcPr>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Case No. 14-841-EL-SSO</w:t>
            </w: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Case No. 14-842-EL-ATA</w:t>
            </w:r>
          </w:p>
        </w:tc>
      </w:tr>
    </w:tbl>
    <w:p w:rsidR="00896261" w:rsidRPr="00DC1FF0" w:rsidRDefault="00896261" w:rsidP="0089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C1FF0">
        <w:rPr>
          <w:rFonts w:ascii="Times New Roman" w:eastAsia="Courier New" w:hAnsi="Times New Roman" w:cs="Times New Roman"/>
          <w:sz w:val="24"/>
          <w:szCs w:val="24"/>
        </w:rPr>
        <w:tab/>
      </w:r>
    </w:p>
    <w:p w:rsidR="00896261" w:rsidRPr="00DC1FF0" w:rsidRDefault="00896261" w:rsidP="00896261">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896261" w:rsidRPr="00DC1FF0" w:rsidRDefault="00896261" w:rsidP="00896261">
      <w:pPr>
        <w:spacing w:after="0" w:line="240" w:lineRule="auto"/>
        <w:jc w:val="center"/>
        <w:rPr>
          <w:rFonts w:ascii="Times New Roman" w:eastAsia="Times New Roman" w:hAnsi="Times New Roman" w:cs="Times New Roman"/>
          <w:b/>
          <w:bCs/>
          <w:sz w:val="24"/>
          <w:szCs w:val="24"/>
        </w:rPr>
      </w:pPr>
      <w:r w:rsidRPr="00DC1FF0">
        <w:rPr>
          <w:rFonts w:ascii="Times New Roman" w:eastAsia="Times New Roman" w:hAnsi="Times New Roman" w:cs="Times New Roman"/>
          <w:b/>
          <w:bCs/>
          <w:sz w:val="24"/>
          <w:szCs w:val="24"/>
        </w:rPr>
        <w:t xml:space="preserve">REPLY BRIEF </w:t>
      </w:r>
    </w:p>
    <w:p w:rsidR="00896261" w:rsidRPr="00DC1FF0" w:rsidRDefault="00896261" w:rsidP="00896261">
      <w:pPr>
        <w:spacing w:after="0" w:line="240" w:lineRule="auto"/>
        <w:jc w:val="center"/>
        <w:rPr>
          <w:rFonts w:ascii="Times New Roman" w:eastAsia="Times New Roman" w:hAnsi="Times New Roman" w:cs="Times New Roman"/>
          <w:b/>
          <w:bCs/>
          <w:sz w:val="24"/>
          <w:szCs w:val="24"/>
        </w:rPr>
      </w:pPr>
      <w:r w:rsidRPr="00DC1FF0">
        <w:rPr>
          <w:rFonts w:ascii="Times New Roman" w:eastAsia="Times New Roman" w:hAnsi="Times New Roman" w:cs="Times New Roman"/>
          <w:b/>
          <w:bCs/>
          <w:sz w:val="24"/>
          <w:szCs w:val="24"/>
        </w:rPr>
        <w:t>BY</w:t>
      </w:r>
    </w:p>
    <w:p w:rsidR="00896261" w:rsidRPr="00DC1FF0" w:rsidRDefault="00896261" w:rsidP="00896261">
      <w:pPr>
        <w:spacing w:after="0" w:line="240" w:lineRule="auto"/>
        <w:jc w:val="center"/>
        <w:rPr>
          <w:rFonts w:ascii="Times New Roman" w:eastAsia="Times New Roman" w:hAnsi="Times New Roman" w:cs="Times New Roman"/>
          <w:b/>
          <w:bCs/>
          <w:sz w:val="24"/>
          <w:szCs w:val="24"/>
        </w:rPr>
      </w:pPr>
      <w:r w:rsidRPr="00DC1FF0">
        <w:rPr>
          <w:rFonts w:ascii="Times New Roman" w:eastAsia="Times New Roman" w:hAnsi="Times New Roman" w:cs="Times New Roman"/>
          <w:b/>
          <w:bCs/>
          <w:sz w:val="24"/>
          <w:szCs w:val="24"/>
        </w:rPr>
        <w:t>THE OFFICE OF THE OHIO CONSUMERS’ COUNSEL</w:t>
      </w:r>
    </w:p>
    <w:p w:rsidR="00896261" w:rsidRPr="00DC1FF0" w:rsidRDefault="00896261" w:rsidP="00896261">
      <w:pPr>
        <w:pBdr>
          <w:bottom w:val="single" w:sz="12" w:space="1" w:color="auto"/>
        </w:pBdr>
        <w:tabs>
          <w:tab w:val="left" w:pos="4320"/>
        </w:tabs>
        <w:spacing w:after="0" w:line="240" w:lineRule="auto"/>
        <w:rPr>
          <w:rFonts w:ascii="Times New Roman" w:eastAsia="Times New Roman" w:hAnsi="Times New Roman" w:cs="Times New Roman"/>
          <w:sz w:val="24"/>
          <w:szCs w:val="24"/>
        </w:rPr>
      </w:pPr>
    </w:p>
    <w:p w:rsidR="00896261" w:rsidRPr="00DC1FF0" w:rsidRDefault="00896261" w:rsidP="00896261">
      <w:pPr>
        <w:tabs>
          <w:tab w:val="left" w:pos="4320"/>
        </w:tabs>
        <w:spacing w:after="0" w:line="240" w:lineRule="auto"/>
        <w:rPr>
          <w:rFonts w:ascii="Times New Roman" w:eastAsia="Times New Roman" w:hAnsi="Times New Roman" w:cs="Times New Roman"/>
          <w:sz w:val="24"/>
          <w:szCs w:val="24"/>
        </w:rPr>
      </w:pPr>
    </w:p>
    <w:p w:rsidR="00717429" w:rsidRPr="00DC1FF0" w:rsidRDefault="00717429" w:rsidP="00717429">
      <w:pPr>
        <w:pStyle w:val="Heading1"/>
        <w:rPr>
          <w:rFonts w:ascii="Times New Roman" w:hAnsi="Times New Roman" w:cs="Times New Roman"/>
          <w:szCs w:val="24"/>
        </w:rPr>
      </w:pPr>
      <w:bookmarkStart w:id="1" w:name="_Toc407632196"/>
      <w:r w:rsidRPr="00DC1FF0">
        <w:rPr>
          <w:rFonts w:ascii="Times New Roman" w:hAnsi="Times New Roman" w:cs="Times New Roman"/>
          <w:szCs w:val="24"/>
        </w:rPr>
        <w:t>INTRODUCTION</w:t>
      </w:r>
      <w:bookmarkEnd w:id="1"/>
    </w:p>
    <w:p w:rsidR="00853BB0" w:rsidRDefault="00601700" w:rsidP="009D3925">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 xml:space="preserve">The Office of the Ohio Consumers’ Counsel (“OCC”) on behalf of </w:t>
      </w:r>
      <w:r w:rsidR="00273E63" w:rsidRPr="00DC1FF0">
        <w:rPr>
          <w:rFonts w:ascii="Times New Roman" w:hAnsi="Times New Roman" w:cs="Times New Roman"/>
          <w:sz w:val="24"/>
          <w:szCs w:val="24"/>
        </w:rPr>
        <w:t>615,738</w:t>
      </w:r>
      <w:r w:rsidR="009D3925" w:rsidRPr="00DC1FF0">
        <w:rPr>
          <w:rFonts w:ascii="Times New Roman" w:hAnsi="Times New Roman" w:cs="Times New Roman"/>
          <w:sz w:val="24"/>
          <w:szCs w:val="24"/>
        </w:rPr>
        <w:t xml:space="preserve"> </w:t>
      </w:r>
      <w:r w:rsidRPr="00DC1FF0">
        <w:rPr>
          <w:rFonts w:ascii="Times New Roman" w:hAnsi="Times New Roman" w:cs="Times New Roman"/>
          <w:sz w:val="24"/>
          <w:szCs w:val="24"/>
        </w:rPr>
        <w:t>residential consumers of Duke Energy Ohio Inc. (“Duke” or “Utility”) has demonstrated that Duke’s electric security plan (“ESP”) proposal is a bad deal for customers</w:t>
      </w:r>
      <w:r w:rsidR="00853BB0">
        <w:rPr>
          <w:rFonts w:ascii="Times New Roman" w:hAnsi="Times New Roman" w:cs="Times New Roman"/>
          <w:sz w:val="24"/>
          <w:szCs w:val="24"/>
        </w:rPr>
        <w:t xml:space="preserve">. </w:t>
      </w:r>
      <w:r w:rsidR="00EA4141" w:rsidRPr="00DC1FF0">
        <w:rPr>
          <w:rFonts w:ascii="Times New Roman" w:hAnsi="Times New Roman" w:cs="Times New Roman"/>
          <w:sz w:val="24"/>
          <w:szCs w:val="24"/>
        </w:rPr>
        <w:t xml:space="preserve">It </w:t>
      </w:r>
      <w:r w:rsidR="00717429" w:rsidRPr="00DC1FF0">
        <w:rPr>
          <w:rFonts w:ascii="Times New Roman" w:hAnsi="Times New Roman" w:cs="Times New Roman"/>
          <w:sz w:val="24"/>
          <w:szCs w:val="24"/>
        </w:rPr>
        <w:t>is not just and reasonable</w:t>
      </w:r>
      <w:r w:rsidR="00853BB0">
        <w:rPr>
          <w:rFonts w:ascii="Times New Roman" w:hAnsi="Times New Roman" w:cs="Times New Roman"/>
          <w:sz w:val="24"/>
          <w:szCs w:val="24"/>
        </w:rPr>
        <w:t xml:space="preserve"> and it </w:t>
      </w:r>
      <w:r w:rsidR="00853BB0" w:rsidRPr="00DC1FF0">
        <w:rPr>
          <w:rFonts w:ascii="Times New Roman" w:hAnsi="Times New Roman" w:cs="Times New Roman"/>
          <w:sz w:val="24"/>
          <w:szCs w:val="24"/>
        </w:rPr>
        <w:t>should be rejected by the Public Utilities Commission</w:t>
      </w:r>
      <w:r w:rsidR="00853BB0">
        <w:rPr>
          <w:rFonts w:ascii="Times New Roman" w:hAnsi="Times New Roman" w:cs="Times New Roman"/>
          <w:sz w:val="24"/>
          <w:szCs w:val="24"/>
        </w:rPr>
        <w:t xml:space="preserve"> of Ohio (“PUCO”</w:t>
      </w:r>
      <w:r w:rsidR="00853BB0" w:rsidRPr="00DC1FF0">
        <w:rPr>
          <w:rFonts w:ascii="Times New Roman" w:hAnsi="Times New Roman" w:cs="Times New Roman"/>
          <w:sz w:val="24"/>
          <w:szCs w:val="24"/>
        </w:rPr>
        <w:t>).</w:t>
      </w:r>
      <w:r w:rsidR="00EA4141" w:rsidRPr="00DC1FF0">
        <w:rPr>
          <w:rFonts w:ascii="Times New Roman" w:hAnsi="Times New Roman" w:cs="Times New Roman"/>
          <w:sz w:val="24"/>
          <w:szCs w:val="24"/>
        </w:rPr>
        <w:t xml:space="preserve"> N</w:t>
      </w:r>
      <w:r w:rsidR="00717429" w:rsidRPr="00DC1FF0">
        <w:rPr>
          <w:rFonts w:ascii="Times New Roman" w:hAnsi="Times New Roman" w:cs="Times New Roman"/>
          <w:sz w:val="24"/>
          <w:szCs w:val="24"/>
        </w:rPr>
        <w:t>or is it lawful. C</w:t>
      </w:r>
      <w:r w:rsidR="00853BB0">
        <w:rPr>
          <w:rFonts w:ascii="Times New Roman" w:hAnsi="Times New Roman" w:cs="Times New Roman"/>
          <w:sz w:val="24"/>
          <w:szCs w:val="24"/>
        </w:rPr>
        <w:t xml:space="preserve">ontrary to Duke’s contentions, </w:t>
      </w:r>
      <w:r w:rsidR="00717429" w:rsidRPr="00DC1FF0">
        <w:rPr>
          <w:rFonts w:ascii="Times New Roman" w:hAnsi="Times New Roman" w:cs="Times New Roman"/>
          <w:sz w:val="24"/>
          <w:szCs w:val="24"/>
        </w:rPr>
        <w:t>t</w:t>
      </w:r>
      <w:r w:rsidR="00853BB0">
        <w:rPr>
          <w:rFonts w:ascii="Times New Roman" w:hAnsi="Times New Roman" w:cs="Times New Roman"/>
          <w:sz w:val="24"/>
          <w:szCs w:val="24"/>
        </w:rPr>
        <w:t>he ESP</w:t>
      </w:r>
      <w:r w:rsidR="00717429" w:rsidRPr="00DC1FF0">
        <w:rPr>
          <w:rFonts w:ascii="Times New Roman" w:hAnsi="Times New Roman" w:cs="Times New Roman"/>
          <w:sz w:val="24"/>
          <w:szCs w:val="24"/>
        </w:rPr>
        <w:t xml:space="preserve"> conflicts with many provisions of Senate Bill 3 and Senate Bill 221 that make up Chapter 4928 of the Revised Code. Duke’s ESP includes a </w:t>
      </w:r>
      <w:r w:rsidR="00853BB0">
        <w:rPr>
          <w:rFonts w:ascii="Times New Roman" w:hAnsi="Times New Roman" w:cs="Times New Roman"/>
          <w:sz w:val="24"/>
          <w:szCs w:val="24"/>
        </w:rPr>
        <w:t>proposed self-serving</w:t>
      </w:r>
      <w:r w:rsidR="00717429" w:rsidRPr="00DC1FF0">
        <w:rPr>
          <w:rFonts w:ascii="Times New Roman" w:hAnsi="Times New Roman" w:cs="Times New Roman"/>
          <w:sz w:val="24"/>
          <w:szCs w:val="24"/>
        </w:rPr>
        <w:t xml:space="preserve"> </w:t>
      </w:r>
      <w:r w:rsidR="00EA4141" w:rsidRPr="00DC1FF0">
        <w:rPr>
          <w:rFonts w:ascii="Times New Roman" w:hAnsi="Times New Roman" w:cs="Times New Roman"/>
          <w:sz w:val="24"/>
          <w:szCs w:val="24"/>
        </w:rPr>
        <w:t xml:space="preserve">unlawful </w:t>
      </w:r>
      <w:r w:rsidR="00717429" w:rsidRPr="00DC1FF0">
        <w:rPr>
          <w:rFonts w:ascii="Times New Roman" w:hAnsi="Times New Roman" w:cs="Times New Roman"/>
          <w:sz w:val="24"/>
          <w:szCs w:val="24"/>
        </w:rPr>
        <w:t xml:space="preserve">subsidy for Duke’s ownership interest in the Ohio Valley Electric Corporation </w:t>
      </w:r>
      <w:r w:rsidR="00853BB0">
        <w:rPr>
          <w:rFonts w:ascii="Times New Roman" w:hAnsi="Times New Roman" w:cs="Times New Roman"/>
          <w:sz w:val="24"/>
          <w:szCs w:val="24"/>
        </w:rPr>
        <w:t xml:space="preserve">(“OVEC”) -- </w:t>
      </w:r>
      <w:r w:rsidR="009D3925" w:rsidRPr="00DC1FF0">
        <w:rPr>
          <w:rFonts w:ascii="Times New Roman" w:hAnsi="Times New Roman" w:cs="Times New Roman"/>
          <w:sz w:val="24"/>
          <w:szCs w:val="24"/>
        </w:rPr>
        <w:t>Duke’s propose</w:t>
      </w:r>
      <w:r w:rsidR="00853BB0">
        <w:rPr>
          <w:rFonts w:ascii="Times New Roman" w:hAnsi="Times New Roman" w:cs="Times New Roman"/>
          <w:sz w:val="24"/>
          <w:szCs w:val="24"/>
        </w:rPr>
        <w:t>d Price Stabilization Rider (“</w:t>
      </w:r>
      <w:r w:rsidR="009D3925" w:rsidRPr="00DC1FF0">
        <w:rPr>
          <w:rFonts w:ascii="Times New Roman" w:hAnsi="Times New Roman" w:cs="Times New Roman"/>
          <w:sz w:val="24"/>
          <w:szCs w:val="24"/>
        </w:rPr>
        <w:t>PSR”</w:t>
      </w:r>
      <w:r w:rsidR="00853BB0">
        <w:rPr>
          <w:rFonts w:ascii="Times New Roman" w:hAnsi="Times New Roman" w:cs="Times New Roman"/>
          <w:sz w:val="24"/>
          <w:szCs w:val="24"/>
        </w:rPr>
        <w:t>).</w:t>
      </w:r>
    </w:p>
    <w:p w:rsidR="00717429" w:rsidRPr="00DC1FF0" w:rsidRDefault="00853BB0" w:rsidP="00853B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ESP</w:t>
      </w:r>
      <w:r w:rsidR="00EA4141" w:rsidRPr="00DC1FF0">
        <w:rPr>
          <w:rFonts w:ascii="Times New Roman" w:hAnsi="Times New Roman" w:cs="Times New Roman"/>
          <w:sz w:val="24"/>
          <w:szCs w:val="24"/>
        </w:rPr>
        <w:t xml:space="preserve"> also proposes </w:t>
      </w:r>
      <w:r w:rsidR="00717429" w:rsidRPr="00DC1FF0">
        <w:rPr>
          <w:rFonts w:ascii="Times New Roman" w:hAnsi="Times New Roman" w:cs="Times New Roman"/>
          <w:sz w:val="24"/>
          <w:szCs w:val="24"/>
        </w:rPr>
        <w:t>to spend $</w:t>
      </w:r>
      <w:r w:rsidR="00C33A39">
        <w:rPr>
          <w:rFonts w:ascii="Times New Roman" w:hAnsi="Times New Roman" w:cs="Times New Roman"/>
          <w:sz w:val="24"/>
          <w:szCs w:val="24"/>
        </w:rPr>
        <w:t>104</w:t>
      </w:r>
      <w:r w:rsidR="00717429" w:rsidRPr="00DC1FF0">
        <w:rPr>
          <w:rFonts w:ascii="Times New Roman" w:hAnsi="Times New Roman" w:cs="Times New Roman"/>
          <w:sz w:val="24"/>
          <w:szCs w:val="24"/>
        </w:rPr>
        <w:t xml:space="preserve"> million over three years on a heightened budget for </w:t>
      </w:r>
      <w:r w:rsidR="00EA4141" w:rsidRPr="00DC1FF0">
        <w:rPr>
          <w:rFonts w:ascii="Times New Roman" w:hAnsi="Times New Roman" w:cs="Times New Roman"/>
          <w:sz w:val="24"/>
          <w:szCs w:val="24"/>
        </w:rPr>
        <w:t xml:space="preserve">so-called </w:t>
      </w:r>
      <w:r w:rsidR="00717429" w:rsidRPr="00DC1FF0">
        <w:rPr>
          <w:rFonts w:ascii="Times New Roman" w:hAnsi="Times New Roman" w:cs="Times New Roman"/>
          <w:sz w:val="24"/>
          <w:szCs w:val="24"/>
        </w:rPr>
        <w:t xml:space="preserve">distribution </w:t>
      </w:r>
      <w:r>
        <w:rPr>
          <w:rFonts w:ascii="Times New Roman" w:hAnsi="Times New Roman" w:cs="Times New Roman"/>
          <w:sz w:val="24"/>
          <w:szCs w:val="24"/>
        </w:rPr>
        <w:t xml:space="preserve">capital </w:t>
      </w:r>
      <w:r w:rsidR="00717429" w:rsidRPr="00DC1FF0">
        <w:rPr>
          <w:rFonts w:ascii="Times New Roman" w:hAnsi="Times New Roman" w:cs="Times New Roman"/>
          <w:sz w:val="24"/>
          <w:szCs w:val="24"/>
        </w:rPr>
        <w:t>infrastru</w:t>
      </w:r>
      <w:r>
        <w:rPr>
          <w:rFonts w:ascii="Times New Roman" w:hAnsi="Times New Roman" w:cs="Times New Roman"/>
          <w:sz w:val="24"/>
          <w:szCs w:val="24"/>
        </w:rPr>
        <w:t>cture (“</w:t>
      </w:r>
      <w:r w:rsidR="00717429" w:rsidRPr="00DC1FF0">
        <w:rPr>
          <w:rFonts w:ascii="Times New Roman" w:hAnsi="Times New Roman" w:cs="Times New Roman"/>
          <w:sz w:val="24"/>
          <w:szCs w:val="24"/>
        </w:rPr>
        <w:t>DCI</w:t>
      </w:r>
      <w:r>
        <w:rPr>
          <w:rFonts w:ascii="Times New Roman" w:hAnsi="Times New Roman" w:cs="Times New Roman"/>
          <w:sz w:val="24"/>
          <w:szCs w:val="24"/>
        </w:rPr>
        <w:t>”</w:t>
      </w:r>
      <w:r w:rsidR="00717429" w:rsidRPr="00DC1FF0">
        <w:rPr>
          <w:rFonts w:ascii="Times New Roman" w:hAnsi="Times New Roman" w:cs="Times New Roman"/>
          <w:sz w:val="24"/>
          <w:szCs w:val="24"/>
        </w:rPr>
        <w:t>)</w:t>
      </w:r>
      <w:r>
        <w:rPr>
          <w:rFonts w:ascii="Times New Roman" w:hAnsi="Times New Roman" w:cs="Times New Roman"/>
          <w:sz w:val="24"/>
          <w:szCs w:val="24"/>
        </w:rPr>
        <w:t xml:space="preserve"> Rider</w:t>
      </w:r>
      <w:r w:rsidR="00361E40" w:rsidRPr="00DC1FF0">
        <w:rPr>
          <w:rFonts w:ascii="Times New Roman" w:hAnsi="Times New Roman" w:cs="Times New Roman"/>
          <w:sz w:val="24"/>
          <w:szCs w:val="24"/>
        </w:rPr>
        <w:t>.</w:t>
      </w:r>
      <w:r>
        <w:rPr>
          <w:rFonts w:ascii="Times New Roman" w:hAnsi="Times New Roman" w:cs="Times New Roman"/>
          <w:sz w:val="24"/>
          <w:szCs w:val="24"/>
        </w:rPr>
        <w:t xml:space="preserve"> These proposals </w:t>
      </w:r>
      <w:r w:rsidR="00717429" w:rsidRPr="00DC1FF0">
        <w:rPr>
          <w:rFonts w:ascii="Times New Roman" w:hAnsi="Times New Roman" w:cs="Times New Roman"/>
          <w:sz w:val="24"/>
          <w:szCs w:val="24"/>
        </w:rPr>
        <w:t>ensur</w:t>
      </w:r>
      <w:r>
        <w:rPr>
          <w:rFonts w:ascii="Times New Roman" w:hAnsi="Times New Roman" w:cs="Times New Roman"/>
          <w:sz w:val="24"/>
          <w:szCs w:val="24"/>
        </w:rPr>
        <w:t>e accelerated revenues for Duke,</w:t>
      </w:r>
      <w:r w:rsidR="00EA4141" w:rsidRPr="00DC1FF0">
        <w:rPr>
          <w:rFonts w:ascii="Times New Roman" w:hAnsi="Times New Roman" w:cs="Times New Roman"/>
          <w:sz w:val="24"/>
          <w:szCs w:val="24"/>
        </w:rPr>
        <w:t xml:space="preserve"> are </w:t>
      </w:r>
      <w:r w:rsidR="00717429" w:rsidRPr="00DC1FF0">
        <w:rPr>
          <w:rFonts w:ascii="Times New Roman" w:hAnsi="Times New Roman" w:cs="Times New Roman"/>
          <w:sz w:val="24"/>
          <w:szCs w:val="24"/>
        </w:rPr>
        <w:t>more properly considered in a base rat</w:t>
      </w:r>
      <w:r>
        <w:rPr>
          <w:rFonts w:ascii="Times New Roman" w:hAnsi="Times New Roman" w:cs="Times New Roman"/>
          <w:sz w:val="24"/>
          <w:szCs w:val="24"/>
        </w:rPr>
        <w:t>e proceeding. The ESP</w:t>
      </w:r>
      <w:r w:rsidR="009D3925" w:rsidRPr="00DC1FF0">
        <w:rPr>
          <w:rFonts w:ascii="Times New Roman" w:hAnsi="Times New Roman" w:cs="Times New Roman"/>
          <w:sz w:val="24"/>
          <w:szCs w:val="24"/>
        </w:rPr>
        <w:t xml:space="preserve"> </w:t>
      </w:r>
      <w:r w:rsidR="00717429" w:rsidRPr="00DC1FF0">
        <w:rPr>
          <w:rFonts w:ascii="Times New Roman" w:hAnsi="Times New Roman" w:cs="Times New Roman"/>
          <w:sz w:val="24"/>
          <w:szCs w:val="24"/>
        </w:rPr>
        <w:t xml:space="preserve">does not effectively </w:t>
      </w:r>
      <w:r w:rsidR="00EA4141" w:rsidRPr="00DC1FF0">
        <w:rPr>
          <w:rFonts w:ascii="Times New Roman" w:hAnsi="Times New Roman" w:cs="Times New Roman"/>
          <w:sz w:val="24"/>
          <w:szCs w:val="24"/>
        </w:rPr>
        <w:t xml:space="preserve">address </w:t>
      </w:r>
      <w:r w:rsidR="00717429" w:rsidRPr="00DC1FF0">
        <w:rPr>
          <w:rFonts w:ascii="Times New Roman" w:hAnsi="Times New Roman" w:cs="Times New Roman"/>
          <w:sz w:val="24"/>
          <w:szCs w:val="24"/>
        </w:rPr>
        <w:t>stability and predictability</w:t>
      </w:r>
      <w:r>
        <w:rPr>
          <w:rFonts w:ascii="Times New Roman" w:hAnsi="Times New Roman" w:cs="Times New Roman"/>
          <w:sz w:val="24"/>
          <w:szCs w:val="24"/>
        </w:rPr>
        <w:t xml:space="preserve"> through the PSR. </w:t>
      </w:r>
      <w:r w:rsidR="009D3925" w:rsidRPr="00DC1FF0">
        <w:rPr>
          <w:rFonts w:ascii="Times New Roman" w:hAnsi="Times New Roman" w:cs="Times New Roman"/>
          <w:sz w:val="24"/>
          <w:szCs w:val="24"/>
        </w:rPr>
        <w:t xml:space="preserve">Instead, stability and predictability of retail electric service </w:t>
      </w:r>
      <w:r w:rsidR="00717429" w:rsidRPr="00DC1FF0">
        <w:rPr>
          <w:rFonts w:ascii="Times New Roman" w:hAnsi="Times New Roman" w:cs="Times New Roman"/>
          <w:sz w:val="24"/>
          <w:szCs w:val="24"/>
        </w:rPr>
        <w:t xml:space="preserve">are already adequately addressed by the SSO auction structure and the operation of the PJM market. </w:t>
      </w:r>
      <w:r w:rsidR="009D3925" w:rsidRPr="00DC1FF0">
        <w:rPr>
          <w:rFonts w:ascii="Times New Roman" w:hAnsi="Times New Roman" w:cs="Times New Roman"/>
          <w:sz w:val="24"/>
          <w:szCs w:val="24"/>
        </w:rPr>
        <w:t xml:space="preserve">Alternatively, </w:t>
      </w:r>
      <w:r w:rsidR="00EA4141" w:rsidRPr="00DC1FF0">
        <w:rPr>
          <w:rFonts w:ascii="Times New Roman" w:hAnsi="Times New Roman" w:cs="Times New Roman"/>
          <w:sz w:val="24"/>
          <w:szCs w:val="24"/>
        </w:rPr>
        <w:t>if the PUCO does not reject the proposed ESP, it must</w:t>
      </w:r>
      <w:r w:rsidR="00717429" w:rsidRPr="00DC1FF0">
        <w:rPr>
          <w:rFonts w:ascii="Times New Roman" w:hAnsi="Times New Roman" w:cs="Times New Roman"/>
          <w:sz w:val="24"/>
          <w:szCs w:val="24"/>
        </w:rPr>
        <w:t xml:space="preserve"> modify Duke’s proposed ESP so that its Standard Service Offer is a Market Rate Offer without the numerous, costly riders that serve no sound purpose </w:t>
      </w:r>
      <w:r>
        <w:rPr>
          <w:rFonts w:ascii="Times New Roman" w:hAnsi="Times New Roman" w:cs="Times New Roman"/>
          <w:sz w:val="24"/>
          <w:szCs w:val="24"/>
        </w:rPr>
        <w:t xml:space="preserve">-- </w:t>
      </w:r>
      <w:r w:rsidR="00717429" w:rsidRPr="00DC1FF0">
        <w:rPr>
          <w:rFonts w:ascii="Times New Roman" w:hAnsi="Times New Roman" w:cs="Times New Roman"/>
          <w:sz w:val="24"/>
          <w:szCs w:val="24"/>
        </w:rPr>
        <w:t>other than to enrich Duke</w:t>
      </w:r>
      <w:r w:rsidR="00EA4141" w:rsidRPr="00DC1FF0">
        <w:rPr>
          <w:rFonts w:ascii="Times New Roman" w:hAnsi="Times New Roman" w:cs="Times New Roman"/>
          <w:sz w:val="24"/>
          <w:szCs w:val="24"/>
        </w:rPr>
        <w:t>.</w:t>
      </w:r>
    </w:p>
    <w:p w:rsidR="00717429" w:rsidRPr="00DC1FF0" w:rsidRDefault="00717429" w:rsidP="00717429">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The PUCO should also reject proposals set forth by other parties</w:t>
      </w:r>
      <w:r w:rsidR="00BA1C18" w:rsidRPr="00DC1FF0">
        <w:rPr>
          <w:rFonts w:ascii="Times New Roman" w:hAnsi="Times New Roman" w:cs="Times New Roman"/>
          <w:sz w:val="24"/>
          <w:szCs w:val="24"/>
        </w:rPr>
        <w:t xml:space="preserve"> to modify the ESP</w:t>
      </w:r>
      <w:r w:rsidR="00164AB1" w:rsidRPr="00DC1FF0">
        <w:rPr>
          <w:rFonts w:ascii="Times New Roman" w:hAnsi="Times New Roman" w:cs="Times New Roman"/>
          <w:sz w:val="24"/>
          <w:szCs w:val="24"/>
        </w:rPr>
        <w:t>.</w:t>
      </w:r>
      <w:r w:rsidR="009D3925" w:rsidRPr="00DC1FF0">
        <w:rPr>
          <w:rFonts w:ascii="Times New Roman" w:hAnsi="Times New Roman" w:cs="Times New Roman"/>
          <w:sz w:val="24"/>
          <w:szCs w:val="24"/>
        </w:rPr>
        <w:t xml:space="preserve"> The other proposals the PUCO should reject include </w:t>
      </w:r>
      <w:r w:rsidRPr="00DC1FF0">
        <w:rPr>
          <w:rFonts w:ascii="Times New Roman" w:hAnsi="Times New Roman" w:cs="Times New Roman"/>
          <w:sz w:val="24"/>
          <w:szCs w:val="24"/>
        </w:rPr>
        <w:t>OEG’s proposal for a long-term Price Stabilization Rider and RESA’s proposal for a Market Energy Plan</w:t>
      </w:r>
      <w:r w:rsidR="00853BB0">
        <w:rPr>
          <w:rFonts w:ascii="Times New Roman" w:hAnsi="Times New Roman" w:cs="Times New Roman"/>
          <w:sz w:val="24"/>
          <w:szCs w:val="24"/>
        </w:rPr>
        <w:t xml:space="preserve"> and the</w:t>
      </w:r>
      <w:r w:rsidR="009D3925"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“Enroll from your Wallet” </w:t>
      </w:r>
      <w:r w:rsidR="00853BB0">
        <w:rPr>
          <w:rFonts w:ascii="Times New Roman" w:hAnsi="Times New Roman" w:cs="Times New Roman"/>
          <w:sz w:val="24"/>
          <w:szCs w:val="24"/>
        </w:rPr>
        <w:t xml:space="preserve">proposal </w:t>
      </w:r>
      <w:r w:rsidRPr="00DC1FF0">
        <w:rPr>
          <w:rFonts w:ascii="Times New Roman" w:hAnsi="Times New Roman" w:cs="Times New Roman"/>
          <w:sz w:val="24"/>
          <w:szCs w:val="24"/>
        </w:rPr>
        <w:t>that would undermine customers’ efforts to make thoughtful choices about their energy suppliers.</w:t>
      </w:r>
    </w:p>
    <w:p w:rsidR="00717429" w:rsidRPr="00DC1FF0" w:rsidRDefault="00717429" w:rsidP="00717429">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Finally, the PUCO should reject Duke’s proposed 15% SEET threshold, which is unsupported by the evidence</w:t>
      </w:r>
      <w:r w:rsidR="00853BB0">
        <w:rPr>
          <w:rFonts w:ascii="Times New Roman" w:hAnsi="Times New Roman" w:cs="Times New Roman"/>
          <w:sz w:val="24"/>
          <w:szCs w:val="24"/>
        </w:rPr>
        <w:t xml:space="preserve">. </w:t>
      </w:r>
      <w:r w:rsidR="00EA4141" w:rsidRPr="00DC1FF0">
        <w:rPr>
          <w:rFonts w:ascii="Times New Roman" w:hAnsi="Times New Roman" w:cs="Times New Roman"/>
          <w:sz w:val="24"/>
          <w:szCs w:val="24"/>
        </w:rPr>
        <w:t xml:space="preserve">It should </w:t>
      </w:r>
      <w:r w:rsidRPr="00DC1FF0">
        <w:rPr>
          <w:rFonts w:ascii="Times New Roman" w:hAnsi="Times New Roman" w:cs="Times New Roman"/>
          <w:sz w:val="24"/>
          <w:szCs w:val="24"/>
        </w:rPr>
        <w:t xml:space="preserve">either defer determination of the SEET until </w:t>
      </w:r>
      <w:r w:rsidR="00EA4141" w:rsidRPr="00DC1FF0">
        <w:rPr>
          <w:rFonts w:ascii="Times New Roman" w:hAnsi="Times New Roman" w:cs="Times New Roman"/>
          <w:sz w:val="24"/>
          <w:szCs w:val="24"/>
        </w:rPr>
        <w:t>Duke’s</w:t>
      </w:r>
      <w:r w:rsidRPr="00DC1FF0">
        <w:rPr>
          <w:rFonts w:ascii="Times New Roman" w:hAnsi="Times New Roman" w:cs="Times New Roman"/>
          <w:sz w:val="24"/>
          <w:szCs w:val="24"/>
        </w:rPr>
        <w:t xml:space="preserve"> annual SEET proceeding or adopt a more reasonable threshold of 12%.</w:t>
      </w:r>
    </w:p>
    <w:p w:rsidR="00717429" w:rsidRPr="00DC1FF0" w:rsidRDefault="00717429" w:rsidP="00717429">
      <w:pPr>
        <w:spacing w:after="0" w:line="240" w:lineRule="auto"/>
        <w:ind w:firstLine="720"/>
        <w:rPr>
          <w:rFonts w:ascii="Times New Roman" w:hAnsi="Times New Roman" w:cs="Times New Roman"/>
          <w:sz w:val="24"/>
          <w:szCs w:val="24"/>
        </w:rPr>
      </w:pPr>
    </w:p>
    <w:p w:rsidR="00A40A7F" w:rsidRPr="00DC1FF0" w:rsidRDefault="00A40A7F" w:rsidP="00A40A7F">
      <w:pPr>
        <w:pStyle w:val="Heading1"/>
        <w:rPr>
          <w:rFonts w:ascii="Times New Roman" w:hAnsi="Times New Roman" w:cs="Times New Roman"/>
          <w:szCs w:val="24"/>
        </w:rPr>
      </w:pPr>
      <w:bookmarkStart w:id="2" w:name="_Toc407632197"/>
      <w:r w:rsidRPr="00DC1FF0">
        <w:rPr>
          <w:rFonts w:ascii="Times New Roman" w:hAnsi="Times New Roman" w:cs="Times New Roman"/>
          <w:szCs w:val="24"/>
        </w:rPr>
        <w:t>PRICE STABILIZATION RIDER (OVEC)</w:t>
      </w:r>
      <w:bookmarkEnd w:id="2"/>
    </w:p>
    <w:p w:rsidR="00A40A7F" w:rsidRPr="00DC1FF0" w:rsidRDefault="00A40A7F" w:rsidP="00A40A7F">
      <w:pPr>
        <w:pStyle w:val="Heading2"/>
        <w:rPr>
          <w:rFonts w:ascii="Times New Roman" w:hAnsi="Times New Roman" w:cs="Times New Roman"/>
          <w:szCs w:val="24"/>
        </w:rPr>
      </w:pPr>
      <w:bookmarkStart w:id="3" w:name="_Toc407632198"/>
      <w:r w:rsidRPr="00D77C8B">
        <w:t>A.</w:t>
      </w:r>
      <w:r w:rsidRPr="00D77C8B">
        <w:tab/>
        <w:t xml:space="preserve">Duke’s proposed Price Stabilization Rider </w:t>
      </w:r>
      <w:r w:rsidR="00EA4141" w:rsidRPr="00D77C8B">
        <w:t xml:space="preserve">would </w:t>
      </w:r>
      <w:r w:rsidRPr="00D77C8B">
        <w:t>harm</w:t>
      </w:r>
      <w:r w:rsidRPr="00DC1FF0">
        <w:rPr>
          <w:rFonts w:ascii="Times New Roman" w:hAnsi="Times New Roman" w:cs="Times New Roman"/>
          <w:szCs w:val="24"/>
        </w:rPr>
        <w:t xml:space="preserve"> customers and should be rejected.</w:t>
      </w:r>
      <w:bookmarkEnd w:id="3"/>
    </w:p>
    <w:p w:rsidR="00A40A7F" w:rsidRPr="00DC1FF0" w:rsidRDefault="00A40A7F" w:rsidP="00A40A7F">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r>
      <w:r w:rsidR="00EA4141" w:rsidRPr="00DC1FF0">
        <w:rPr>
          <w:rFonts w:ascii="Times New Roman" w:hAnsi="Times New Roman" w:cs="Times New Roman"/>
          <w:sz w:val="24"/>
          <w:szCs w:val="24"/>
        </w:rPr>
        <w:t xml:space="preserve">In this proceeding there was </w:t>
      </w:r>
      <w:r w:rsidRPr="00DC1FF0">
        <w:rPr>
          <w:rFonts w:ascii="Times New Roman" w:hAnsi="Times New Roman" w:cs="Times New Roman"/>
          <w:sz w:val="24"/>
          <w:szCs w:val="24"/>
        </w:rPr>
        <w:t>extensive testimony and record discussion of Duke’s proposed Price Stabilization Rider</w:t>
      </w:r>
      <w:r w:rsidR="00853BB0">
        <w:rPr>
          <w:rFonts w:ascii="Times New Roman" w:hAnsi="Times New Roman" w:cs="Times New Roman"/>
          <w:sz w:val="24"/>
          <w:szCs w:val="24"/>
        </w:rPr>
        <w:t xml:space="preserve">. </w:t>
      </w:r>
      <w:r w:rsidR="00EA4141" w:rsidRPr="00DC1FF0">
        <w:rPr>
          <w:rFonts w:ascii="Times New Roman" w:hAnsi="Times New Roman" w:cs="Times New Roman"/>
          <w:sz w:val="24"/>
          <w:szCs w:val="24"/>
        </w:rPr>
        <w:t>It was opposed by almost every interv</w:t>
      </w:r>
      <w:r w:rsidR="00853BB0">
        <w:rPr>
          <w:rFonts w:ascii="Times New Roman" w:hAnsi="Times New Roman" w:cs="Times New Roman"/>
          <w:sz w:val="24"/>
          <w:szCs w:val="24"/>
        </w:rPr>
        <w:t>enor, including the PUCO Staff. S</w:t>
      </w:r>
      <w:r w:rsidR="00EA4141" w:rsidRPr="00DC1FF0">
        <w:rPr>
          <w:rFonts w:ascii="Times New Roman" w:hAnsi="Times New Roman" w:cs="Times New Roman"/>
          <w:sz w:val="24"/>
          <w:szCs w:val="24"/>
        </w:rPr>
        <w:t>urprisingly, Du</w:t>
      </w:r>
      <w:r w:rsidR="00853BB0">
        <w:rPr>
          <w:rFonts w:ascii="Times New Roman" w:hAnsi="Times New Roman" w:cs="Times New Roman"/>
          <w:sz w:val="24"/>
          <w:szCs w:val="24"/>
        </w:rPr>
        <w:t xml:space="preserve">ke devoted only 7 pages of its Initial Brief to defend the PSR. </w:t>
      </w:r>
      <w:r w:rsidRPr="00DC1FF0">
        <w:rPr>
          <w:rFonts w:ascii="Times New Roman" w:hAnsi="Times New Roman" w:cs="Times New Roman"/>
          <w:sz w:val="24"/>
          <w:szCs w:val="24"/>
        </w:rPr>
        <w:t xml:space="preserve">But it is not surprising </w:t>
      </w:r>
      <w:r w:rsidR="009D3925" w:rsidRPr="00DC1FF0">
        <w:rPr>
          <w:rFonts w:ascii="Times New Roman" w:hAnsi="Times New Roman" w:cs="Times New Roman"/>
          <w:sz w:val="24"/>
          <w:szCs w:val="24"/>
        </w:rPr>
        <w:t xml:space="preserve">when </w:t>
      </w:r>
      <w:r w:rsidR="00EA4141" w:rsidRPr="00DC1FF0">
        <w:rPr>
          <w:rFonts w:ascii="Times New Roman" w:hAnsi="Times New Roman" w:cs="Times New Roman"/>
          <w:sz w:val="24"/>
          <w:szCs w:val="24"/>
        </w:rPr>
        <w:t xml:space="preserve">the paucity </w:t>
      </w:r>
      <w:r w:rsidRPr="00DC1FF0">
        <w:rPr>
          <w:rFonts w:ascii="Times New Roman" w:hAnsi="Times New Roman" w:cs="Times New Roman"/>
          <w:sz w:val="24"/>
          <w:szCs w:val="24"/>
        </w:rPr>
        <w:t>of evidence put forward by Duke on this issue</w:t>
      </w:r>
      <w:r w:rsidR="00EA4141" w:rsidRPr="00DC1FF0">
        <w:rPr>
          <w:rFonts w:ascii="Times New Roman" w:hAnsi="Times New Roman" w:cs="Times New Roman"/>
          <w:sz w:val="24"/>
          <w:szCs w:val="24"/>
        </w:rPr>
        <w:t xml:space="preserve"> </w:t>
      </w:r>
      <w:r w:rsidRPr="00DC1FF0">
        <w:rPr>
          <w:rFonts w:ascii="Times New Roman" w:hAnsi="Times New Roman" w:cs="Times New Roman"/>
          <w:sz w:val="24"/>
          <w:szCs w:val="24"/>
        </w:rPr>
        <w:t>is considered.</w:t>
      </w:r>
      <w:r w:rsidRPr="00DC1FF0">
        <w:rPr>
          <w:rFonts w:ascii="Times New Roman" w:hAnsi="Times New Roman" w:cs="Times New Roman"/>
          <w:sz w:val="24"/>
          <w:szCs w:val="24"/>
          <w:vertAlign w:val="superscript"/>
        </w:rPr>
        <w:footnoteReference w:id="1"/>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As discussed in OCC’s </w:t>
      </w:r>
      <w:r w:rsidR="00084CB8" w:rsidRPr="00DC1FF0">
        <w:rPr>
          <w:rFonts w:ascii="Times New Roman" w:hAnsi="Times New Roman" w:cs="Times New Roman"/>
          <w:sz w:val="24"/>
          <w:szCs w:val="24"/>
        </w:rPr>
        <w:t>Initial B</w:t>
      </w:r>
      <w:r w:rsidRPr="00DC1FF0">
        <w:rPr>
          <w:rFonts w:ascii="Times New Roman" w:hAnsi="Times New Roman" w:cs="Times New Roman"/>
          <w:sz w:val="24"/>
          <w:szCs w:val="24"/>
        </w:rPr>
        <w:t>rief, Duke made little effort to m</w:t>
      </w:r>
      <w:r w:rsidR="00084CB8" w:rsidRPr="00DC1FF0">
        <w:rPr>
          <w:rFonts w:ascii="Times New Roman" w:hAnsi="Times New Roman" w:cs="Times New Roman"/>
          <w:sz w:val="24"/>
          <w:szCs w:val="24"/>
        </w:rPr>
        <w:t>eet its burden of proof on this issue.</w:t>
      </w:r>
      <w:r w:rsidRPr="00DC1FF0">
        <w:rPr>
          <w:rFonts w:ascii="Times New Roman" w:hAnsi="Times New Roman" w:cs="Times New Roman"/>
          <w:sz w:val="24"/>
          <w:szCs w:val="24"/>
        </w:rPr>
        <w:t xml:space="preserve"> Duke’s brief reflects its negligible concern with the need to proffer evidence to support its position </w:t>
      </w:r>
      <w:r w:rsidR="00853BB0">
        <w:rPr>
          <w:rFonts w:ascii="Times New Roman" w:hAnsi="Times New Roman" w:cs="Times New Roman"/>
          <w:sz w:val="24"/>
          <w:szCs w:val="24"/>
        </w:rPr>
        <w:t xml:space="preserve">-- </w:t>
      </w:r>
      <w:r w:rsidR="00EA4141" w:rsidRPr="00DC1FF0">
        <w:rPr>
          <w:rFonts w:ascii="Times New Roman" w:hAnsi="Times New Roman" w:cs="Times New Roman"/>
          <w:sz w:val="24"/>
          <w:szCs w:val="24"/>
        </w:rPr>
        <w:t xml:space="preserve">a position that requires </w:t>
      </w:r>
      <w:r w:rsidRPr="00DC1FF0">
        <w:rPr>
          <w:rFonts w:ascii="Times New Roman" w:hAnsi="Times New Roman" w:cs="Times New Roman"/>
          <w:sz w:val="24"/>
          <w:szCs w:val="24"/>
        </w:rPr>
        <w:t xml:space="preserve">customers </w:t>
      </w:r>
      <w:r w:rsidR="00EA4141" w:rsidRPr="00DC1FF0">
        <w:rPr>
          <w:rFonts w:ascii="Times New Roman" w:hAnsi="Times New Roman" w:cs="Times New Roman"/>
          <w:sz w:val="24"/>
          <w:szCs w:val="24"/>
        </w:rPr>
        <w:t xml:space="preserve">to unlawfully </w:t>
      </w:r>
      <w:r w:rsidRPr="00DC1FF0">
        <w:rPr>
          <w:rFonts w:ascii="Times New Roman" w:hAnsi="Times New Roman" w:cs="Times New Roman"/>
          <w:sz w:val="24"/>
          <w:szCs w:val="24"/>
        </w:rPr>
        <w:t>subsidize Duke’s interest in OVEC.</w:t>
      </w:r>
    </w:p>
    <w:p w:rsidR="00BA1C18" w:rsidRPr="00DC1FF0" w:rsidRDefault="00A40A7F" w:rsidP="00A40A7F">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Although Duke argues that “[s]tate regulatory policy is not one-dimensional and should not be determined from a philosophical debate,”</w:t>
      </w:r>
      <w:r w:rsidRPr="00DC1FF0">
        <w:rPr>
          <w:rFonts w:ascii="Times New Roman" w:hAnsi="Times New Roman" w:cs="Times New Roman"/>
          <w:sz w:val="24"/>
          <w:szCs w:val="24"/>
          <w:vertAlign w:val="superscript"/>
        </w:rPr>
        <w:footnoteReference w:id="2"/>
      </w:r>
      <w:r w:rsidRPr="00DC1FF0">
        <w:rPr>
          <w:rFonts w:ascii="Times New Roman" w:hAnsi="Times New Roman" w:cs="Times New Roman"/>
          <w:sz w:val="24"/>
          <w:szCs w:val="24"/>
        </w:rPr>
        <w:t xml:space="preserve"> Duke’s argument </w:t>
      </w:r>
      <w:r w:rsidR="00853BB0">
        <w:rPr>
          <w:rFonts w:ascii="Times New Roman" w:hAnsi="Times New Roman" w:cs="Times New Roman"/>
          <w:sz w:val="24"/>
          <w:szCs w:val="24"/>
        </w:rPr>
        <w:t xml:space="preserve">emphasizes the a philosophical debate </w:t>
      </w:r>
      <w:r w:rsidRPr="00DC1FF0">
        <w:rPr>
          <w:rFonts w:ascii="Times New Roman" w:hAnsi="Times New Roman" w:cs="Times New Roman"/>
          <w:sz w:val="24"/>
          <w:szCs w:val="24"/>
        </w:rPr>
        <w:t>rather than a discussion of the law</w:t>
      </w:r>
      <w:r w:rsidR="00515B21">
        <w:rPr>
          <w:rFonts w:ascii="Times New Roman" w:hAnsi="Times New Roman" w:cs="Times New Roman"/>
          <w:sz w:val="24"/>
          <w:szCs w:val="24"/>
        </w:rPr>
        <w:t xml:space="preserve"> and the applicable facts</w:t>
      </w:r>
      <w:r w:rsidR="00EA4141" w:rsidRPr="00DC1FF0">
        <w:rPr>
          <w:rFonts w:ascii="Times New Roman" w:hAnsi="Times New Roman" w:cs="Times New Roman"/>
          <w:sz w:val="24"/>
          <w:szCs w:val="24"/>
        </w:rPr>
        <w:t>.</w:t>
      </w:r>
      <w:r w:rsidRPr="00DC1FF0">
        <w:rPr>
          <w:rFonts w:ascii="Times New Roman" w:hAnsi="Times New Roman" w:cs="Times New Roman"/>
          <w:sz w:val="24"/>
          <w:szCs w:val="24"/>
        </w:rPr>
        <w:t xml:space="preserve"> Duke discusses the PUCO’s “mission statement” (although not offered into evidence in this proceeding) and identifies the PUCO’s role to be as “a steward for ratepayers.”</w:t>
      </w:r>
      <w:r w:rsidRPr="00DC1FF0">
        <w:rPr>
          <w:rFonts w:ascii="Times New Roman" w:hAnsi="Times New Roman" w:cs="Times New Roman"/>
          <w:sz w:val="24"/>
          <w:szCs w:val="24"/>
          <w:vertAlign w:val="superscript"/>
        </w:rPr>
        <w:footnoteReference w:id="3"/>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Duke then discusses the anticipated retirement of 27,000 MW of generation in PJM by 2019 and that 76 percent of these retirements will be coal plants, thus “undeniably reduc[ing] fuel diversity.”</w:t>
      </w:r>
      <w:r w:rsidRPr="00DC1FF0">
        <w:rPr>
          <w:rFonts w:ascii="Times New Roman" w:hAnsi="Times New Roman" w:cs="Times New Roman"/>
          <w:sz w:val="24"/>
          <w:szCs w:val="24"/>
          <w:vertAlign w:val="superscript"/>
        </w:rPr>
        <w:footnoteReference w:id="4"/>
      </w:r>
      <w:r w:rsidR="00084CB8" w:rsidRPr="00DC1FF0">
        <w:rPr>
          <w:rFonts w:ascii="Times New Roman" w:hAnsi="Times New Roman" w:cs="Times New Roman"/>
          <w:sz w:val="24"/>
          <w:szCs w:val="24"/>
        </w:rPr>
        <w:t xml:space="preserve"> </w:t>
      </w:r>
    </w:p>
    <w:p w:rsidR="00A40A7F" w:rsidRPr="00DC1FF0" w:rsidRDefault="00A40A7F" w:rsidP="00164AB1">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Duke’s apparent point is that reduction in fuel diversity caused by a significant amount of coal unit retirements may have ramificati</w:t>
      </w:r>
      <w:r w:rsidR="00084CB8" w:rsidRPr="00DC1FF0">
        <w:rPr>
          <w:rFonts w:ascii="Times New Roman" w:hAnsi="Times New Roman" w:cs="Times New Roman"/>
          <w:sz w:val="24"/>
          <w:szCs w:val="24"/>
        </w:rPr>
        <w:t xml:space="preserve">ons for overall energy prices. </w:t>
      </w:r>
      <w:r w:rsidR="00EA4141" w:rsidRPr="00DC1FF0">
        <w:rPr>
          <w:rFonts w:ascii="Times New Roman" w:hAnsi="Times New Roman" w:cs="Times New Roman"/>
          <w:sz w:val="24"/>
          <w:szCs w:val="24"/>
        </w:rPr>
        <w:t>Duke seems to be suggesting that</w:t>
      </w:r>
      <w:r w:rsidRPr="00DC1FF0">
        <w:rPr>
          <w:rFonts w:ascii="Times New Roman" w:hAnsi="Times New Roman" w:cs="Times New Roman"/>
          <w:sz w:val="24"/>
          <w:szCs w:val="24"/>
        </w:rPr>
        <w:t xml:space="preserve"> the PUCO can an</w:t>
      </w:r>
      <w:r w:rsidR="00084CB8" w:rsidRPr="00DC1FF0">
        <w:rPr>
          <w:rFonts w:ascii="Times New Roman" w:hAnsi="Times New Roman" w:cs="Times New Roman"/>
          <w:sz w:val="24"/>
          <w:szCs w:val="24"/>
        </w:rPr>
        <w:t>d should do something about it.</w:t>
      </w:r>
      <w:r w:rsidRPr="00DC1FF0">
        <w:rPr>
          <w:rFonts w:ascii="Times New Roman" w:hAnsi="Times New Roman" w:cs="Times New Roman"/>
          <w:sz w:val="24"/>
          <w:szCs w:val="24"/>
        </w:rPr>
        <w:t xml:space="preserve"> Duke concludes that the PSR is that somethi</w:t>
      </w:r>
      <w:r w:rsidR="00084CB8" w:rsidRPr="00DC1FF0">
        <w:rPr>
          <w:rFonts w:ascii="Times New Roman" w:hAnsi="Times New Roman" w:cs="Times New Roman"/>
          <w:sz w:val="24"/>
          <w:szCs w:val="24"/>
        </w:rPr>
        <w:t xml:space="preserve">ng. </w:t>
      </w:r>
      <w:r w:rsidRPr="00DC1FF0">
        <w:rPr>
          <w:rFonts w:ascii="Times New Roman" w:hAnsi="Times New Roman" w:cs="Times New Roman"/>
          <w:sz w:val="24"/>
          <w:szCs w:val="24"/>
        </w:rPr>
        <w:t>Unfortunately, Duke’s main premise, which is that closing 27,000 MW of coal-fired generation in PJM will r</w:t>
      </w:r>
      <w:r w:rsidR="00084CB8" w:rsidRPr="00DC1FF0">
        <w:rPr>
          <w:rFonts w:ascii="Times New Roman" w:hAnsi="Times New Roman" w:cs="Times New Roman"/>
          <w:sz w:val="24"/>
          <w:szCs w:val="24"/>
        </w:rPr>
        <w:t>educe fuel diversity, is wrong.</w:t>
      </w:r>
      <w:r w:rsidRPr="00DC1FF0">
        <w:rPr>
          <w:rFonts w:ascii="Times New Roman" w:hAnsi="Times New Roman" w:cs="Times New Roman"/>
          <w:sz w:val="24"/>
          <w:szCs w:val="24"/>
        </w:rPr>
        <w:t xml:space="preserve"> Since PJM is predominantly coal-fired based, closing some coal plants and replacing them with gas-fired generation actu</w:t>
      </w:r>
      <w:r w:rsidR="00084CB8" w:rsidRPr="00DC1FF0">
        <w:rPr>
          <w:rFonts w:ascii="Times New Roman" w:hAnsi="Times New Roman" w:cs="Times New Roman"/>
          <w:sz w:val="24"/>
          <w:szCs w:val="24"/>
        </w:rPr>
        <w:t xml:space="preserve">ally increases fuel diversity. </w:t>
      </w:r>
      <w:r w:rsidRPr="00DC1FF0">
        <w:rPr>
          <w:rFonts w:ascii="Times New Roman" w:hAnsi="Times New Roman" w:cs="Times New Roman"/>
          <w:sz w:val="24"/>
          <w:szCs w:val="24"/>
        </w:rPr>
        <w:t xml:space="preserve">Duke starts with an incorrect premise and its analysis falls apart from there. </w:t>
      </w:r>
    </w:p>
    <w:p w:rsidR="001007DE" w:rsidRPr="00DC1FF0" w:rsidRDefault="00A40A7F" w:rsidP="00A40A7F">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 xml:space="preserve">Duke’s </w:t>
      </w:r>
      <w:r w:rsidR="00705B1E">
        <w:rPr>
          <w:rFonts w:ascii="Times New Roman" w:hAnsi="Times New Roman" w:cs="Times New Roman"/>
          <w:sz w:val="24"/>
          <w:szCs w:val="24"/>
        </w:rPr>
        <w:t xml:space="preserve">arguments </w:t>
      </w:r>
      <w:r w:rsidRPr="00DC1FF0">
        <w:rPr>
          <w:rFonts w:ascii="Times New Roman" w:hAnsi="Times New Roman" w:cs="Times New Roman"/>
          <w:sz w:val="24"/>
          <w:szCs w:val="24"/>
        </w:rPr>
        <w:t>regarding the im</w:t>
      </w:r>
      <w:r w:rsidR="00084CB8" w:rsidRPr="00DC1FF0">
        <w:rPr>
          <w:rFonts w:ascii="Times New Roman" w:hAnsi="Times New Roman" w:cs="Times New Roman"/>
          <w:sz w:val="24"/>
          <w:szCs w:val="24"/>
        </w:rPr>
        <w:t>pact of coal unit retirements</w:t>
      </w:r>
      <w:r w:rsidR="00705B1E">
        <w:rPr>
          <w:rFonts w:ascii="Times New Roman" w:hAnsi="Times New Roman" w:cs="Times New Roman"/>
          <w:sz w:val="24"/>
          <w:szCs w:val="24"/>
        </w:rPr>
        <w:t xml:space="preserve"> are pure speculation</w:t>
      </w:r>
      <w:r w:rsidR="00084CB8" w:rsidRPr="00DC1FF0">
        <w:rPr>
          <w:rFonts w:ascii="Times New Roman" w:hAnsi="Times New Roman" w:cs="Times New Roman"/>
          <w:sz w:val="24"/>
          <w:szCs w:val="24"/>
        </w:rPr>
        <w:t xml:space="preserve"> -- </w:t>
      </w:r>
      <w:r w:rsidRPr="00DC1FF0">
        <w:rPr>
          <w:rFonts w:ascii="Times New Roman" w:hAnsi="Times New Roman" w:cs="Times New Roman"/>
          <w:sz w:val="24"/>
          <w:szCs w:val="24"/>
        </w:rPr>
        <w:t xml:space="preserve">just like </w:t>
      </w:r>
      <w:r w:rsidR="00084CB8" w:rsidRPr="00DC1FF0">
        <w:rPr>
          <w:rFonts w:ascii="Times New Roman" w:hAnsi="Times New Roman" w:cs="Times New Roman"/>
          <w:sz w:val="24"/>
          <w:szCs w:val="24"/>
        </w:rPr>
        <w:t>most of its case on this issue</w:t>
      </w:r>
      <w:r w:rsidR="00682FB4">
        <w:rPr>
          <w:rFonts w:ascii="Times New Roman" w:hAnsi="Times New Roman" w:cs="Times New Roman"/>
          <w:sz w:val="24"/>
          <w:szCs w:val="24"/>
        </w:rPr>
        <w:t>.</w:t>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And this </w:t>
      </w:r>
      <w:r w:rsidR="00705B1E">
        <w:rPr>
          <w:rFonts w:ascii="Times New Roman" w:hAnsi="Times New Roman" w:cs="Times New Roman"/>
          <w:sz w:val="24"/>
          <w:szCs w:val="24"/>
        </w:rPr>
        <w:t xml:space="preserve">general </w:t>
      </w:r>
      <w:r w:rsidRPr="00DC1FF0">
        <w:rPr>
          <w:rFonts w:ascii="Times New Roman" w:hAnsi="Times New Roman" w:cs="Times New Roman"/>
          <w:sz w:val="24"/>
          <w:szCs w:val="24"/>
        </w:rPr>
        <w:t xml:space="preserve">speculation regarding events in the larger economy and PJM as a whole, are not </w:t>
      </w:r>
      <w:r w:rsidR="00084CB8" w:rsidRPr="00DC1FF0">
        <w:rPr>
          <w:rFonts w:ascii="Times New Roman" w:hAnsi="Times New Roman" w:cs="Times New Roman"/>
          <w:sz w:val="24"/>
          <w:szCs w:val="24"/>
        </w:rPr>
        <w:t xml:space="preserve">tied to </w:t>
      </w:r>
      <w:r w:rsidR="00705B1E">
        <w:rPr>
          <w:rFonts w:ascii="Times New Roman" w:hAnsi="Times New Roman" w:cs="Times New Roman"/>
          <w:sz w:val="24"/>
          <w:szCs w:val="24"/>
        </w:rPr>
        <w:t xml:space="preserve">the specifics of Duke’s </w:t>
      </w:r>
      <w:r w:rsidR="00084CB8" w:rsidRPr="00DC1FF0">
        <w:rPr>
          <w:rFonts w:ascii="Times New Roman" w:hAnsi="Times New Roman" w:cs="Times New Roman"/>
          <w:sz w:val="24"/>
          <w:szCs w:val="24"/>
        </w:rPr>
        <w:t xml:space="preserve">PSR. </w:t>
      </w:r>
      <w:r w:rsidR="00705B1E">
        <w:rPr>
          <w:rFonts w:ascii="Times New Roman" w:hAnsi="Times New Roman" w:cs="Times New Roman"/>
          <w:sz w:val="24"/>
          <w:szCs w:val="24"/>
        </w:rPr>
        <w:t>Duke says this is “simple math.” B</w:t>
      </w:r>
      <w:r w:rsidR="00C5274B">
        <w:rPr>
          <w:rFonts w:ascii="Times New Roman" w:hAnsi="Times New Roman" w:cs="Times New Roman"/>
          <w:sz w:val="24"/>
          <w:szCs w:val="24"/>
        </w:rPr>
        <w:t>ut</w:t>
      </w:r>
      <w:r w:rsidR="00705B1E">
        <w:rPr>
          <w:rFonts w:ascii="Times New Roman" w:hAnsi="Times New Roman" w:cs="Times New Roman"/>
          <w:sz w:val="24"/>
          <w:szCs w:val="24"/>
        </w:rPr>
        <w:t xml:space="preserve"> Duke</w:t>
      </w:r>
      <w:r w:rsidR="00C5274B">
        <w:rPr>
          <w:rFonts w:ascii="Times New Roman" w:hAnsi="Times New Roman" w:cs="Times New Roman"/>
          <w:sz w:val="24"/>
          <w:szCs w:val="24"/>
        </w:rPr>
        <w:t xml:space="preserve"> did not share </w:t>
      </w:r>
      <w:r w:rsidRPr="00DC1FF0">
        <w:rPr>
          <w:rFonts w:ascii="Times New Roman" w:hAnsi="Times New Roman" w:cs="Times New Roman"/>
          <w:sz w:val="24"/>
          <w:szCs w:val="24"/>
        </w:rPr>
        <w:t>t</w:t>
      </w:r>
      <w:r w:rsidR="00C5274B">
        <w:rPr>
          <w:rFonts w:ascii="Times New Roman" w:hAnsi="Times New Roman" w:cs="Times New Roman"/>
          <w:sz w:val="24"/>
          <w:szCs w:val="24"/>
        </w:rPr>
        <w:t>his simple math</w:t>
      </w:r>
      <w:r w:rsidRPr="00DC1FF0">
        <w:rPr>
          <w:rFonts w:ascii="Times New Roman" w:hAnsi="Times New Roman" w:cs="Times New Roman"/>
          <w:sz w:val="24"/>
          <w:szCs w:val="24"/>
        </w:rPr>
        <w:t xml:space="preserve"> </w:t>
      </w:r>
      <w:r w:rsidR="00084CB8" w:rsidRPr="00DC1FF0">
        <w:rPr>
          <w:rFonts w:ascii="Times New Roman" w:hAnsi="Times New Roman" w:cs="Times New Roman"/>
          <w:sz w:val="24"/>
          <w:szCs w:val="24"/>
        </w:rPr>
        <w:t xml:space="preserve">with any of the other parties. </w:t>
      </w:r>
      <w:r w:rsidRPr="00DC1FF0">
        <w:rPr>
          <w:rFonts w:ascii="Times New Roman" w:hAnsi="Times New Roman" w:cs="Times New Roman"/>
          <w:sz w:val="24"/>
          <w:szCs w:val="24"/>
        </w:rPr>
        <w:t xml:space="preserve">As discussed in OCC’s Initial Brief, the </w:t>
      </w:r>
      <w:r w:rsidR="00C5274B">
        <w:rPr>
          <w:rFonts w:ascii="Times New Roman" w:hAnsi="Times New Roman" w:cs="Times New Roman"/>
          <w:sz w:val="24"/>
          <w:szCs w:val="24"/>
        </w:rPr>
        <w:t xml:space="preserve">only </w:t>
      </w:r>
      <w:r w:rsidR="00705B1E">
        <w:rPr>
          <w:rFonts w:ascii="Times New Roman" w:hAnsi="Times New Roman" w:cs="Times New Roman"/>
          <w:sz w:val="24"/>
          <w:szCs w:val="24"/>
        </w:rPr>
        <w:t xml:space="preserve">simple </w:t>
      </w:r>
      <w:r w:rsidRPr="00DC1FF0">
        <w:rPr>
          <w:rFonts w:ascii="Times New Roman" w:hAnsi="Times New Roman" w:cs="Times New Roman"/>
          <w:sz w:val="24"/>
          <w:szCs w:val="24"/>
        </w:rPr>
        <w:t xml:space="preserve">math that Duke did </w:t>
      </w:r>
      <w:r w:rsidR="00682FB4">
        <w:rPr>
          <w:rFonts w:ascii="Times New Roman" w:hAnsi="Times New Roman" w:cs="Times New Roman"/>
          <w:sz w:val="24"/>
          <w:szCs w:val="24"/>
        </w:rPr>
        <w:t xml:space="preserve">perform </w:t>
      </w:r>
      <w:r w:rsidR="00EA4141" w:rsidRPr="00DC1FF0">
        <w:rPr>
          <w:rFonts w:ascii="Times New Roman" w:hAnsi="Times New Roman" w:cs="Times New Roman"/>
          <w:sz w:val="24"/>
          <w:szCs w:val="24"/>
        </w:rPr>
        <w:t>(</w:t>
      </w:r>
      <w:r w:rsidRPr="00DC1FF0">
        <w:rPr>
          <w:rFonts w:ascii="Times New Roman" w:hAnsi="Times New Roman" w:cs="Times New Roman"/>
          <w:sz w:val="24"/>
          <w:szCs w:val="24"/>
        </w:rPr>
        <w:t>shown in OCC Exhibit 4/4A</w:t>
      </w:r>
      <w:r w:rsidR="00EA4141" w:rsidRPr="00DC1FF0">
        <w:rPr>
          <w:rFonts w:ascii="Times New Roman" w:hAnsi="Times New Roman" w:cs="Times New Roman"/>
          <w:sz w:val="24"/>
          <w:szCs w:val="24"/>
        </w:rPr>
        <w:t>)</w:t>
      </w:r>
      <w:r w:rsidRPr="00DC1FF0">
        <w:rPr>
          <w:rFonts w:ascii="Times New Roman" w:hAnsi="Times New Roman" w:cs="Times New Roman"/>
          <w:sz w:val="24"/>
          <w:szCs w:val="24"/>
        </w:rPr>
        <w:t xml:space="preserve">, is based on numerous speculative assumptions with much </w:t>
      </w:r>
      <w:r w:rsidR="00EA4141" w:rsidRPr="00DC1FF0">
        <w:rPr>
          <w:rFonts w:ascii="Times New Roman" w:hAnsi="Times New Roman" w:cs="Times New Roman"/>
          <w:sz w:val="24"/>
          <w:szCs w:val="24"/>
        </w:rPr>
        <w:t xml:space="preserve">unsupported </w:t>
      </w:r>
      <w:r w:rsidRPr="00DC1FF0">
        <w:rPr>
          <w:rFonts w:ascii="Times New Roman" w:hAnsi="Times New Roman" w:cs="Times New Roman"/>
          <w:sz w:val="24"/>
          <w:szCs w:val="24"/>
        </w:rPr>
        <w:t>information</w:t>
      </w:r>
      <w:r w:rsidR="00EA4141" w:rsidRPr="00DC1FF0">
        <w:rPr>
          <w:rFonts w:ascii="Times New Roman" w:hAnsi="Times New Roman" w:cs="Times New Roman"/>
          <w:sz w:val="24"/>
          <w:szCs w:val="24"/>
        </w:rPr>
        <w:t>.</w:t>
      </w:r>
      <w:r w:rsidRPr="00DC1FF0">
        <w:rPr>
          <w:rFonts w:ascii="Times New Roman" w:hAnsi="Times New Roman" w:cs="Times New Roman"/>
          <w:sz w:val="24"/>
          <w:szCs w:val="24"/>
          <w:vertAlign w:val="superscript"/>
        </w:rPr>
        <w:footnoteReference w:id="5"/>
      </w:r>
      <w:r w:rsidR="00084CB8" w:rsidRPr="00DC1FF0">
        <w:rPr>
          <w:rFonts w:ascii="Times New Roman" w:hAnsi="Times New Roman" w:cs="Times New Roman"/>
          <w:sz w:val="24"/>
          <w:szCs w:val="24"/>
        </w:rPr>
        <w:t xml:space="preserve"> </w:t>
      </w:r>
    </w:p>
    <w:p w:rsidR="00A40A7F" w:rsidRPr="00DC1FF0" w:rsidRDefault="00A40A7F" w:rsidP="00164AB1">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 xml:space="preserve">Indeed, Duke’s claim that wholesale capacity prices are likely to increase if PJM’s proposed “capacity performance initiative” is implemented, is an unquantified “belief” that prices will come closer to net </w:t>
      </w:r>
      <w:r w:rsidR="00084CB8" w:rsidRPr="00DC1FF0">
        <w:rPr>
          <w:rFonts w:ascii="Times New Roman" w:hAnsi="Times New Roman" w:cs="Times New Roman"/>
          <w:sz w:val="24"/>
          <w:szCs w:val="24"/>
        </w:rPr>
        <w:t>cost of new entry (“</w:t>
      </w:r>
      <w:r w:rsidRPr="00DC1FF0">
        <w:rPr>
          <w:rFonts w:ascii="Times New Roman" w:hAnsi="Times New Roman" w:cs="Times New Roman"/>
          <w:sz w:val="24"/>
          <w:szCs w:val="24"/>
        </w:rPr>
        <w:t>CONE</w:t>
      </w:r>
      <w:r w:rsidR="00084CB8" w:rsidRPr="00DC1FF0">
        <w:rPr>
          <w:rFonts w:ascii="Times New Roman" w:hAnsi="Times New Roman" w:cs="Times New Roman"/>
          <w:sz w:val="24"/>
          <w:szCs w:val="24"/>
        </w:rPr>
        <w:t>”)</w:t>
      </w:r>
      <w:r w:rsidRPr="00DC1FF0">
        <w:rPr>
          <w:rFonts w:ascii="Times New Roman" w:hAnsi="Times New Roman" w:cs="Times New Roman"/>
          <w:sz w:val="24"/>
          <w:szCs w:val="24"/>
        </w:rPr>
        <w:t xml:space="preserve"> as a result of PJM’s proposed tariff changes.</w:t>
      </w:r>
      <w:r w:rsidRPr="00DC1FF0">
        <w:rPr>
          <w:rFonts w:ascii="Times New Roman" w:hAnsi="Times New Roman" w:cs="Times New Roman"/>
          <w:sz w:val="24"/>
          <w:szCs w:val="24"/>
          <w:vertAlign w:val="superscript"/>
        </w:rPr>
        <w:footnoteReference w:id="6"/>
      </w:r>
      <w:r w:rsidRPr="00DC1FF0">
        <w:rPr>
          <w:rFonts w:ascii="Times New Roman" w:hAnsi="Times New Roman" w:cs="Times New Roman"/>
          <w:sz w:val="24"/>
          <w:szCs w:val="24"/>
        </w:rPr>
        <w:t xml:space="preserve"> It is only through such speculative cla</w:t>
      </w:r>
      <w:r w:rsidR="00084CB8" w:rsidRPr="00DC1FF0">
        <w:rPr>
          <w:rFonts w:ascii="Times New Roman" w:hAnsi="Times New Roman" w:cs="Times New Roman"/>
          <w:sz w:val="24"/>
          <w:szCs w:val="24"/>
        </w:rPr>
        <w:t>ims --</w:t>
      </w:r>
      <w:r w:rsidRPr="00DC1FF0">
        <w:rPr>
          <w:rFonts w:ascii="Times New Roman" w:hAnsi="Times New Roman" w:cs="Times New Roman"/>
          <w:sz w:val="24"/>
          <w:szCs w:val="24"/>
        </w:rPr>
        <w:t xml:space="preserve"> without any logical connection to the proposed PSR -- that Duke seeks to create an illusion t</w:t>
      </w:r>
      <w:r w:rsidR="00084CB8" w:rsidRPr="00DC1FF0">
        <w:rPr>
          <w:rFonts w:ascii="Times New Roman" w:hAnsi="Times New Roman" w:cs="Times New Roman"/>
          <w:sz w:val="24"/>
          <w:szCs w:val="24"/>
        </w:rPr>
        <w:t xml:space="preserve">hat there is merit to the PSR. </w:t>
      </w:r>
      <w:r w:rsidRPr="00DC1FF0">
        <w:rPr>
          <w:rFonts w:ascii="Times New Roman" w:hAnsi="Times New Roman" w:cs="Times New Roman"/>
          <w:sz w:val="24"/>
          <w:szCs w:val="24"/>
        </w:rPr>
        <w:t>Further, without any citation to the record, Duke claims PJM’s initiative is “likely to impact wholesale capacity prices within and subsequent to the term of the Company’s proposed ESP.”</w:t>
      </w:r>
      <w:r w:rsidRPr="00DC1FF0">
        <w:rPr>
          <w:rFonts w:ascii="Times New Roman" w:hAnsi="Times New Roman" w:cs="Times New Roman"/>
          <w:sz w:val="24"/>
          <w:szCs w:val="24"/>
          <w:vertAlign w:val="superscript"/>
        </w:rPr>
        <w:footnoteReference w:id="7"/>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These claims are unsupported by record evidence.</w:t>
      </w:r>
    </w:p>
    <w:p w:rsidR="00A40A7F" w:rsidRPr="00DC1FF0" w:rsidRDefault="00A40A7F" w:rsidP="00A40A7F">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Duke, in its brief, also points to the “polar vortex and other extreme cold periods in January 2014” as “driving undeniable change in the wholesale market.”</w:t>
      </w:r>
      <w:r w:rsidRPr="00DC1FF0">
        <w:rPr>
          <w:rFonts w:ascii="Times New Roman" w:hAnsi="Times New Roman" w:cs="Times New Roman"/>
          <w:sz w:val="24"/>
          <w:szCs w:val="24"/>
          <w:vertAlign w:val="superscript"/>
        </w:rPr>
        <w:footnoteReference w:id="8"/>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While weather events certainly drive change in the wholesale market, especially in the short-term, there is no evidence that the PSR is an effective hedge against weather risk or that retai</w:t>
      </w:r>
      <w:r w:rsidR="00084CB8" w:rsidRPr="00DC1FF0">
        <w:rPr>
          <w:rFonts w:ascii="Times New Roman" w:hAnsi="Times New Roman" w:cs="Times New Roman"/>
          <w:sz w:val="24"/>
          <w:szCs w:val="24"/>
        </w:rPr>
        <w:t xml:space="preserve">l customers need such a hedge. </w:t>
      </w:r>
      <w:r w:rsidRPr="00DC1FF0">
        <w:rPr>
          <w:rFonts w:ascii="Times New Roman" w:hAnsi="Times New Roman" w:cs="Times New Roman"/>
          <w:sz w:val="24"/>
          <w:szCs w:val="24"/>
        </w:rPr>
        <w:t>Indeed, the fact that SSO auctions set the prices for Duke’s SSO customers means that Duke’s customers’ prices were no</w:t>
      </w:r>
      <w:r w:rsidR="00084CB8" w:rsidRPr="00DC1FF0">
        <w:rPr>
          <w:rFonts w:ascii="Times New Roman" w:hAnsi="Times New Roman" w:cs="Times New Roman"/>
          <w:sz w:val="24"/>
          <w:szCs w:val="24"/>
        </w:rPr>
        <w:t>t affected by such volatility.</w:t>
      </w:r>
      <w:r w:rsidRPr="00DC1FF0">
        <w:rPr>
          <w:rFonts w:ascii="Times New Roman" w:hAnsi="Times New Roman" w:cs="Times New Roman"/>
          <w:sz w:val="24"/>
          <w:szCs w:val="24"/>
        </w:rPr>
        <w:t xml:space="preserve"> Moreover, the mere fact that energy and capacity markets in this economy “have been volatile” means little for purposes of resolving whether the PS</w:t>
      </w:r>
      <w:r w:rsidR="00084CB8" w:rsidRPr="00DC1FF0">
        <w:rPr>
          <w:rFonts w:ascii="Times New Roman" w:hAnsi="Times New Roman" w:cs="Times New Roman"/>
          <w:sz w:val="24"/>
          <w:szCs w:val="24"/>
        </w:rPr>
        <w:t>R will reduce that volatility</w:t>
      </w:r>
      <w:r w:rsidR="00C5274B">
        <w:rPr>
          <w:rFonts w:ascii="Times New Roman" w:hAnsi="Times New Roman" w:cs="Times New Roman"/>
          <w:sz w:val="24"/>
          <w:szCs w:val="24"/>
        </w:rPr>
        <w:t xml:space="preserve"> in the future</w:t>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In contrast, OCC</w:t>
      </w:r>
      <w:r w:rsidRPr="00DC1FF0">
        <w:rPr>
          <w:rFonts w:ascii="Times New Roman" w:hAnsi="Times New Roman" w:cs="Times New Roman"/>
          <w:sz w:val="24"/>
          <w:szCs w:val="24"/>
          <w:vertAlign w:val="superscript"/>
        </w:rPr>
        <w:footnoteReference w:id="9"/>
      </w:r>
      <w:r w:rsidR="00084CB8" w:rsidRPr="00DC1FF0">
        <w:rPr>
          <w:rFonts w:ascii="Times New Roman" w:hAnsi="Times New Roman" w:cs="Times New Roman"/>
          <w:sz w:val="24"/>
          <w:szCs w:val="24"/>
        </w:rPr>
        <w:t xml:space="preserve"> -- and other intervenors --</w:t>
      </w:r>
      <w:r w:rsidRPr="00DC1FF0">
        <w:rPr>
          <w:rFonts w:ascii="Times New Roman" w:hAnsi="Times New Roman" w:cs="Times New Roman"/>
          <w:sz w:val="24"/>
          <w:szCs w:val="24"/>
        </w:rPr>
        <w:t xml:space="preserve"> provide a reasonable discussion of the causes of that volatility and </w:t>
      </w:r>
      <w:r w:rsidR="00A52138" w:rsidRPr="00DC1FF0">
        <w:rPr>
          <w:rFonts w:ascii="Times New Roman" w:hAnsi="Times New Roman" w:cs="Times New Roman"/>
          <w:sz w:val="24"/>
          <w:szCs w:val="24"/>
        </w:rPr>
        <w:t xml:space="preserve">discuss </w:t>
      </w:r>
      <w:r w:rsidRPr="00DC1FF0">
        <w:rPr>
          <w:rFonts w:ascii="Times New Roman" w:hAnsi="Times New Roman" w:cs="Times New Roman"/>
          <w:sz w:val="24"/>
          <w:szCs w:val="24"/>
        </w:rPr>
        <w:t>whether the PS</w:t>
      </w:r>
      <w:r w:rsidR="00084CB8" w:rsidRPr="00DC1FF0">
        <w:rPr>
          <w:rFonts w:ascii="Times New Roman" w:hAnsi="Times New Roman" w:cs="Times New Roman"/>
          <w:sz w:val="24"/>
          <w:szCs w:val="24"/>
        </w:rPr>
        <w:t xml:space="preserve">R will reduce that volatility. </w:t>
      </w:r>
      <w:r w:rsidRPr="00DC1FF0">
        <w:rPr>
          <w:rFonts w:ascii="Times New Roman" w:hAnsi="Times New Roman" w:cs="Times New Roman"/>
          <w:sz w:val="24"/>
          <w:szCs w:val="24"/>
        </w:rPr>
        <w:t>It w</w:t>
      </w:r>
      <w:r w:rsidR="00084CB8" w:rsidRPr="00DC1FF0">
        <w:rPr>
          <w:rFonts w:ascii="Times New Roman" w:hAnsi="Times New Roman" w:cs="Times New Roman"/>
          <w:sz w:val="24"/>
          <w:szCs w:val="24"/>
        </w:rPr>
        <w:t>ill no</w:t>
      </w:r>
      <w:r w:rsidRPr="00DC1FF0">
        <w:rPr>
          <w:rFonts w:ascii="Times New Roman" w:hAnsi="Times New Roman" w:cs="Times New Roman"/>
          <w:sz w:val="24"/>
          <w:szCs w:val="24"/>
        </w:rPr>
        <w:t>t.</w:t>
      </w:r>
    </w:p>
    <w:p w:rsidR="00A40A7F" w:rsidRPr="00DC1FF0" w:rsidRDefault="00A40A7F" w:rsidP="00A40A7F">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Duke says that the PUCO has an opportunity to “approve a measure that is intended to mitigate rate volatility” and afford Duke’s customers “a level of</w:t>
      </w:r>
      <w:r w:rsidR="00084CB8" w:rsidRPr="00DC1FF0">
        <w:rPr>
          <w:rFonts w:ascii="Times New Roman" w:hAnsi="Times New Roman" w:cs="Times New Roman"/>
          <w:sz w:val="24"/>
          <w:szCs w:val="24"/>
        </w:rPr>
        <w:t xml:space="preserve"> stability and predictability.”</w:t>
      </w:r>
      <w:r w:rsidRPr="00DC1FF0">
        <w:rPr>
          <w:rFonts w:ascii="Times New Roman" w:hAnsi="Times New Roman" w:cs="Times New Roman"/>
          <w:sz w:val="24"/>
          <w:szCs w:val="24"/>
          <w:vertAlign w:val="superscript"/>
        </w:rPr>
        <w:footnoteReference w:id="10"/>
      </w:r>
      <w:r w:rsidRPr="00DC1FF0">
        <w:rPr>
          <w:rFonts w:ascii="Times New Roman" w:hAnsi="Times New Roman" w:cs="Times New Roman"/>
          <w:sz w:val="24"/>
          <w:szCs w:val="24"/>
        </w:rPr>
        <w:t xml:space="preserve"> But the PSR is not likely to produce stability or predictability</w:t>
      </w:r>
      <w:r w:rsidRPr="00DC1FF0">
        <w:rPr>
          <w:rFonts w:ascii="Times New Roman" w:hAnsi="Times New Roman" w:cs="Times New Roman"/>
          <w:sz w:val="24"/>
          <w:szCs w:val="24"/>
          <w:vertAlign w:val="superscript"/>
        </w:rPr>
        <w:footnoteReference w:id="11"/>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 and Duke barely discusses the evidence eit</w:t>
      </w:r>
      <w:r w:rsidR="00084CB8" w:rsidRPr="00DC1FF0">
        <w:rPr>
          <w:rFonts w:ascii="Times New Roman" w:hAnsi="Times New Roman" w:cs="Times New Roman"/>
          <w:sz w:val="24"/>
          <w:szCs w:val="24"/>
        </w:rPr>
        <w:t>her in its favor or against it.</w:t>
      </w:r>
      <w:r w:rsidRPr="00DC1FF0">
        <w:rPr>
          <w:rFonts w:ascii="Times New Roman" w:hAnsi="Times New Roman" w:cs="Times New Roman"/>
          <w:sz w:val="24"/>
          <w:szCs w:val="24"/>
        </w:rPr>
        <w:t xml:space="preserve"> As discussed in </w:t>
      </w:r>
      <w:r w:rsidR="00515B21">
        <w:rPr>
          <w:rFonts w:ascii="Times New Roman" w:hAnsi="Times New Roman" w:cs="Times New Roman"/>
          <w:sz w:val="24"/>
          <w:szCs w:val="24"/>
        </w:rPr>
        <w:t xml:space="preserve">the PUCO Staff and </w:t>
      </w:r>
      <w:r w:rsidRPr="00DC1FF0">
        <w:rPr>
          <w:rFonts w:ascii="Times New Roman" w:hAnsi="Times New Roman" w:cs="Times New Roman"/>
          <w:sz w:val="24"/>
          <w:szCs w:val="24"/>
        </w:rPr>
        <w:t xml:space="preserve">intervenors’ </w:t>
      </w:r>
      <w:r w:rsidR="00084CB8" w:rsidRPr="00DC1FF0">
        <w:rPr>
          <w:rFonts w:ascii="Times New Roman" w:hAnsi="Times New Roman" w:cs="Times New Roman"/>
          <w:sz w:val="24"/>
          <w:szCs w:val="24"/>
        </w:rPr>
        <w:t>Initial B</w:t>
      </w:r>
      <w:r w:rsidRPr="00DC1FF0">
        <w:rPr>
          <w:rFonts w:ascii="Times New Roman" w:hAnsi="Times New Roman" w:cs="Times New Roman"/>
          <w:sz w:val="24"/>
          <w:szCs w:val="24"/>
        </w:rPr>
        <w:t>riefs, stability and predictability are not likely to be the outcome of OVEC’s operations or the proposed PSR.</w:t>
      </w:r>
      <w:r w:rsidR="00084CB8" w:rsidRPr="00DC1FF0">
        <w:rPr>
          <w:rStyle w:val="FootnoteReference"/>
          <w:rFonts w:ascii="Times New Roman" w:hAnsi="Times New Roman" w:cs="Times New Roman"/>
          <w:sz w:val="24"/>
          <w:szCs w:val="24"/>
        </w:rPr>
        <w:footnoteReference w:id="12"/>
      </w:r>
    </w:p>
    <w:p w:rsidR="00A40A7F" w:rsidRPr="00DC1FF0" w:rsidRDefault="00A40A7F" w:rsidP="00A40A7F">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Duke claims that the PSR “can assist with the mitigation of price spikes, without causing any impact to the wholesale market,”</w:t>
      </w:r>
      <w:r w:rsidRPr="00DC1FF0">
        <w:rPr>
          <w:rFonts w:ascii="Times New Roman" w:hAnsi="Times New Roman" w:cs="Times New Roman"/>
          <w:sz w:val="24"/>
          <w:szCs w:val="24"/>
          <w:vertAlign w:val="superscript"/>
        </w:rPr>
        <w:footnoteReference w:id="13"/>
      </w:r>
      <w:r w:rsidRPr="00DC1FF0">
        <w:rPr>
          <w:rFonts w:ascii="Times New Roman" w:hAnsi="Times New Roman" w:cs="Times New Roman"/>
          <w:sz w:val="24"/>
          <w:szCs w:val="24"/>
        </w:rPr>
        <w:t xml:space="preserve"> but</w:t>
      </w:r>
      <w:r w:rsidR="00084CB8" w:rsidRPr="00DC1FF0">
        <w:rPr>
          <w:rFonts w:ascii="Times New Roman" w:hAnsi="Times New Roman" w:cs="Times New Roman"/>
          <w:sz w:val="24"/>
          <w:szCs w:val="24"/>
        </w:rPr>
        <w:t xml:space="preserve"> the evidence shows otherwise. The </w:t>
      </w:r>
      <w:r w:rsidRPr="00DC1FF0">
        <w:rPr>
          <w:rFonts w:ascii="Times New Roman" w:hAnsi="Times New Roman" w:cs="Times New Roman"/>
          <w:sz w:val="24"/>
          <w:szCs w:val="24"/>
        </w:rPr>
        <w:t>PSR can have extremely detrimental effects to the wholesale market.</w:t>
      </w:r>
    </w:p>
    <w:p w:rsidR="00A40A7F" w:rsidRPr="00DC1FF0" w:rsidRDefault="00A40A7F" w:rsidP="00A40A7F">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The uniformity of opponents’ arguments speaks to the real legal and factual problems underl</w:t>
      </w:r>
      <w:r w:rsidR="00084CB8" w:rsidRPr="00DC1FF0">
        <w:rPr>
          <w:rFonts w:ascii="Times New Roman" w:hAnsi="Times New Roman" w:cs="Times New Roman"/>
          <w:sz w:val="24"/>
          <w:szCs w:val="24"/>
        </w:rPr>
        <w:t xml:space="preserve">ying the PSR. </w:t>
      </w:r>
      <w:r w:rsidRPr="00DC1FF0">
        <w:rPr>
          <w:rFonts w:ascii="Times New Roman" w:hAnsi="Times New Roman" w:cs="Times New Roman"/>
          <w:sz w:val="24"/>
          <w:szCs w:val="24"/>
        </w:rPr>
        <w:t>In the absence of discussion of these numerous issues by Duke, OCC would point to the wide-ranging issues and concerns with Duke’s proposed PSR</w:t>
      </w:r>
      <w:r w:rsidR="00084CB8" w:rsidRPr="00DC1FF0">
        <w:rPr>
          <w:rFonts w:ascii="Times New Roman" w:hAnsi="Times New Roman" w:cs="Times New Roman"/>
          <w:sz w:val="24"/>
          <w:szCs w:val="24"/>
        </w:rPr>
        <w:t>,</w:t>
      </w:r>
      <w:r w:rsidRPr="00DC1FF0">
        <w:rPr>
          <w:rFonts w:ascii="Times New Roman" w:hAnsi="Times New Roman" w:cs="Times New Roman"/>
          <w:sz w:val="24"/>
          <w:szCs w:val="24"/>
        </w:rPr>
        <w:t xml:space="preserve"> addressed by </w:t>
      </w:r>
      <w:r w:rsidR="00515B21">
        <w:rPr>
          <w:rFonts w:ascii="Times New Roman" w:hAnsi="Times New Roman" w:cs="Times New Roman"/>
          <w:sz w:val="24"/>
          <w:szCs w:val="24"/>
        </w:rPr>
        <w:t xml:space="preserve">the PUCO Staff and </w:t>
      </w:r>
      <w:r w:rsidRPr="00DC1FF0">
        <w:rPr>
          <w:rFonts w:ascii="Times New Roman" w:hAnsi="Times New Roman" w:cs="Times New Roman"/>
          <w:sz w:val="24"/>
          <w:szCs w:val="24"/>
        </w:rPr>
        <w:t>intervenors, as follows:</w:t>
      </w: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is contrary to the PUCO’s goal of achieving a fully-competitive market, an objective made plain in Duke’s last ESP proceeding.</w:t>
      </w:r>
      <w:r w:rsidRPr="00DC1FF0">
        <w:rPr>
          <w:rFonts w:ascii="Times New Roman" w:hAnsi="Times New Roman" w:cs="Times New Roman"/>
          <w:sz w:val="24"/>
          <w:szCs w:val="24"/>
          <w:vertAlign w:val="superscript"/>
        </w:rPr>
        <w:footnoteReference w:id="14"/>
      </w:r>
    </w:p>
    <w:p w:rsidR="00A40A7F" w:rsidRPr="00DC1FF0" w:rsidRDefault="00A40A7F" w:rsidP="00084CB8">
      <w:pPr>
        <w:spacing w:after="0" w:line="240" w:lineRule="auto"/>
        <w:ind w:left="1440" w:right="72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would adjust the compensation Duke receives for wholesale electric service, a matter that is not within the jurisdiction of the PUCO and is preempted by FERC’s jurisdiction under the Federal Power Act.</w:t>
      </w:r>
      <w:r w:rsidRPr="00DC1FF0">
        <w:rPr>
          <w:rFonts w:ascii="Times New Roman" w:hAnsi="Times New Roman" w:cs="Times New Roman"/>
          <w:sz w:val="24"/>
          <w:szCs w:val="24"/>
          <w:vertAlign w:val="superscript"/>
        </w:rPr>
        <w:footnoteReference w:id="15"/>
      </w:r>
    </w:p>
    <w:p w:rsidR="00A40A7F" w:rsidRPr="00DC1FF0" w:rsidRDefault="00A40A7F" w:rsidP="00084CB8">
      <w:pPr>
        <w:spacing w:after="0" w:line="240" w:lineRule="auto"/>
        <w:ind w:left="1440" w:right="720"/>
        <w:contextualSpacing/>
        <w:rPr>
          <w:rFonts w:ascii="Times New Roman" w:hAnsi="Times New Roman" w:cs="Times New Roman"/>
          <w:sz w:val="24"/>
          <w:szCs w:val="24"/>
        </w:rPr>
      </w:pPr>
    </w:p>
    <w:p w:rsidR="00084CB8"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Costs recovered through the PSR would not be subject to prudence review by the PUCO and the PUCO could not “independently disallow any costs Duke will assess its retail customers” through the PSR.</w:t>
      </w:r>
      <w:r w:rsidRPr="00DC1FF0">
        <w:rPr>
          <w:rFonts w:ascii="Times New Roman" w:hAnsi="Times New Roman" w:cs="Times New Roman"/>
          <w:sz w:val="24"/>
          <w:szCs w:val="24"/>
          <w:vertAlign w:val="superscript"/>
        </w:rPr>
        <w:footnoteReference w:id="16"/>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Any challenge to the prudence of OVEC costs underlying the PSR would be through a complaint at FERC.</w:t>
      </w:r>
      <w:r w:rsidRPr="00DC1FF0">
        <w:rPr>
          <w:rFonts w:ascii="Times New Roman" w:hAnsi="Times New Roman" w:cs="Times New Roman"/>
          <w:sz w:val="24"/>
          <w:szCs w:val="24"/>
          <w:vertAlign w:val="superscript"/>
        </w:rPr>
        <w:footnoteReference w:id="17"/>
      </w:r>
      <w:r w:rsidRPr="00DC1FF0">
        <w:rPr>
          <w:rFonts w:ascii="Times New Roman" w:hAnsi="Times New Roman" w:cs="Times New Roman"/>
          <w:sz w:val="24"/>
          <w:szCs w:val="24"/>
        </w:rPr>
        <w:t xml:space="preserve"> A complaining party would not only have the burden of proving the costs were unreasonable but would have to overcome the presumption of reasonableness under the </w:t>
      </w:r>
      <w:r w:rsidRPr="00DC1FF0">
        <w:rPr>
          <w:rFonts w:ascii="Times New Roman" w:hAnsi="Times New Roman" w:cs="Times New Roman"/>
          <w:i/>
          <w:sz w:val="24"/>
          <w:szCs w:val="24"/>
        </w:rPr>
        <w:t>Mobile Sierra</w:t>
      </w:r>
      <w:r w:rsidRPr="00DC1FF0">
        <w:rPr>
          <w:rFonts w:ascii="Times New Roman" w:hAnsi="Times New Roman" w:cs="Times New Roman"/>
          <w:sz w:val="24"/>
          <w:szCs w:val="24"/>
        </w:rPr>
        <w:t xml:space="preserve"> doctrine.</w:t>
      </w:r>
      <w:r w:rsidRPr="00DC1FF0">
        <w:rPr>
          <w:rFonts w:ascii="Times New Roman" w:hAnsi="Times New Roman" w:cs="Times New Roman"/>
          <w:sz w:val="24"/>
          <w:szCs w:val="24"/>
          <w:vertAlign w:val="superscript"/>
        </w:rPr>
        <w:footnoteReference w:id="18"/>
      </w:r>
    </w:p>
    <w:p w:rsidR="00084CB8" w:rsidRPr="00DC1FF0" w:rsidRDefault="00084CB8" w:rsidP="00084CB8">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24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Any concerns about whether the wholesale market is operating efficiently, including any concerns about volatility and reliability, are being addressed and should continue to be addressed before FERC.</w:t>
      </w:r>
      <w:r w:rsidRPr="00DC1FF0">
        <w:rPr>
          <w:rFonts w:ascii="Times New Roman" w:hAnsi="Times New Roman" w:cs="Times New Roman"/>
          <w:sz w:val="24"/>
          <w:szCs w:val="24"/>
          <w:vertAlign w:val="superscript"/>
        </w:rPr>
        <w:footnoteReference w:id="19"/>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The PSR “is not a proper or effective remedy to the concerns with the PJM markets.”</w:t>
      </w:r>
      <w:r w:rsidRPr="00DC1FF0">
        <w:rPr>
          <w:rFonts w:ascii="Times New Roman" w:hAnsi="Times New Roman" w:cs="Times New Roman"/>
          <w:sz w:val="24"/>
          <w:szCs w:val="24"/>
          <w:vertAlign w:val="superscript"/>
        </w:rPr>
        <w:footnoteReference w:id="20"/>
      </w:r>
    </w:p>
    <w:p w:rsidR="00084CB8" w:rsidRPr="00DC1FF0" w:rsidRDefault="00084CB8" w:rsidP="00084CB8">
      <w:pPr>
        <w:spacing w:after="240" w:line="240" w:lineRule="auto"/>
        <w:ind w:left="1440" w:right="720"/>
        <w:contextualSpacing/>
        <w:rPr>
          <w:rFonts w:ascii="Times New Roman" w:hAnsi="Times New Roman" w:cs="Times New Roman"/>
          <w:sz w:val="24"/>
          <w:szCs w:val="24"/>
        </w:rPr>
      </w:pPr>
    </w:p>
    <w:p w:rsidR="00164AB1"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is not authorized by the Electric Security Plan statute, R.C. 4928.143,</w:t>
      </w:r>
      <w:r w:rsidRPr="00DC1FF0">
        <w:rPr>
          <w:rFonts w:ascii="Times New Roman" w:hAnsi="Times New Roman" w:cs="Times New Roman"/>
          <w:sz w:val="24"/>
          <w:szCs w:val="24"/>
          <w:vertAlign w:val="superscript"/>
        </w:rPr>
        <w:footnoteReference w:id="21"/>
      </w:r>
      <w:r w:rsidRPr="00DC1FF0">
        <w:rPr>
          <w:rFonts w:ascii="Times New Roman" w:hAnsi="Times New Roman" w:cs="Times New Roman"/>
          <w:sz w:val="24"/>
          <w:szCs w:val="24"/>
        </w:rPr>
        <w:t xml:space="preserve"> and would otherwise be inconsistent and viola</w:t>
      </w:r>
      <w:r w:rsidR="00A52138" w:rsidRPr="00DC1FF0">
        <w:rPr>
          <w:rFonts w:ascii="Times New Roman" w:hAnsi="Times New Roman" w:cs="Times New Roman"/>
          <w:sz w:val="24"/>
          <w:szCs w:val="24"/>
        </w:rPr>
        <w:t xml:space="preserve">tes </w:t>
      </w:r>
      <w:r w:rsidRPr="00DC1FF0">
        <w:rPr>
          <w:rFonts w:ascii="Times New Roman" w:hAnsi="Times New Roman" w:cs="Times New Roman"/>
          <w:sz w:val="24"/>
          <w:szCs w:val="24"/>
        </w:rPr>
        <w:t>Ohio law</w:t>
      </w:r>
      <w:r w:rsidR="00A52138" w:rsidRPr="00DC1FF0">
        <w:rPr>
          <w:rFonts w:ascii="Times New Roman" w:hAnsi="Times New Roman" w:cs="Times New Roman"/>
          <w:sz w:val="24"/>
          <w:szCs w:val="24"/>
        </w:rPr>
        <w:t xml:space="preserve">.  This is because it </w:t>
      </w:r>
      <w:r w:rsidRPr="00DC1FF0">
        <w:rPr>
          <w:rFonts w:ascii="Times New Roman" w:hAnsi="Times New Roman" w:cs="Times New Roman"/>
          <w:sz w:val="24"/>
          <w:szCs w:val="24"/>
        </w:rPr>
        <w:t>allow</w:t>
      </w:r>
      <w:r w:rsidR="00A52138" w:rsidRPr="00DC1FF0">
        <w:rPr>
          <w:rFonts w:ascii="Times New Roman" w:hAnsi="Times New Roman" w:cs="Times New Roman"/>
          <w:sz w:val="24"/>
          <w:szCs w:val="24"/>
        </w:rPr>
        <w:t>s</w:t>
      </w:r>
      <w:r w:rsidRPr="00DC1FF0">
        <w:rPr>
          <w:rFonts w:ascii="Times New Roman" w:hAnsi="Times New Roman" w:cs="Times New Roman"/>
          <w:sz w:val="24"/>
          <w:szCs w:val="24"/>
        </w:rPr>
        <w:t xml:space="preserve"> costs to be </w:t>
      </w:r>
      <w:r w:rsidR="00A52138" w:rsidRPr="00DC1FF0">
        <w:rPr>
          <w:rFonts w:ascii="Times New Roman" w:hAnsi="Times New Roman" w:cs="Times New Roman"/>
          <w:sz w:val="24"/>
          <w:szCs w:val="24"/>
        </w:rPr>
        <w:t xml:space="preserve">collected from customers </w:t>
      </w:r>
      <w:r w:rsidRPr="00DC1FF0">
        <w:rPr>
          <w:rFonts w:ascii="Times New Roman" w:hAnsi="Times New Roman" w:cs="Times New Roman"/>
          <w:sz w:val="24"/>
          <w:szCs w:val="24"/>
        </w:rPr>
        <w:t>without statutory authority</w:t>
      </w:r>
      <w:r w:rsidR="00164AB1" w:rsidRPr="00DC1FF0">
        <w:rPr>
          <w:rFonts w:ascii="Times New Roman" w:hAnsi="Times New Roman" w:cs="Times New Roman"/>
          <w:sz w:val="24"/>
          <w:szCs w:val="24"/>
        </w:rPr>
        <w:t>. It also is</w:t>
      </w:r>
      <w:r w:rsidR="00A52138" w:rsidRPr="00DC1FF0">
        <w:rPr>
          <w:rFonts w:ascii="Times New Roman" w:hAnsi="Times New Roman" w:cs="Times New Roman"/>
          <w:sz w:val="24"/>
          <w:szCs w:val="24"/>
        </w:rPr>
        <w:t xml:space="preserve"> an unlawful anti-competitive </w:t>
      </w:r>
      <w:r w:rsidRPr="00DC1FF0">
        <w:rPr>
          <w:rFonts w:ascii="Times New Roman" w:hAnsi="Times New Roman" w:cs="Times New Roman"/>
          <w:sz w:val="24"/>
          <w:szCs w:val="24"/>
        </w:rPr>
        <w:t>subsid</w:t>
      </w:r>
      <w:r w:rsidR="00A52138" w:rsidRPr="00DC1FF0">
        <w:rPr>
          <w:rFonts w:ascii="Times New Roman" w:hAnsi="Times New Roman" w:cs="Times New Roman"/>
          <w:sz w:val="24"/>
          <w:szCs w:val="24"/>
        </w:rPr>
        <w:t xml:space="preserve">y of Duke’s </w:t>
      </w:r>
      <w:r w:rsidRPr="00DC1FF0">
        <w:rPr>
          <w:rFonts w:ascii="Times New Roman" w:hAnsi="Times New Roman" w:cs="Times New Roman"/>
          <w:sz w:val="24"/>
          <w:szCs w:val="24"/>
        </w:rPr>
        <w:t>generation-related costs</w:t>
      </w:r>
      <w:r w:rsidR="00A52138" w:rsidRPr="00DC1FF0">
        <w:rPr>
          <w:rFonts w:ascii="Times New Roman" w:hAnsi="Times New Roman" w:cs="Times New Roman"/>
          <w:sz w:val="24"/>
          <w:szCs w:val="24"/>
        </w:rPr>
        <w:t xml:space="preserve"> </w:t>
      </w:r>
      <w:r w:rsidR="00164AB1" w:rsidRPr="00DC1FF0">
        <w:rPr>
          <w:rFonts w:ascii="Times New Roman" w:hAnsi="Times New Roman" w:cs="Times New Roman"/>
          <w:sz w:val="24"/>
          <w:szCs w:val="24"/>
        </w:rPr>
        <w:t xml:space="preserve">by its distribution customers. </w:t>
      </w:r>
    </w:p>
    <w:p w:rsidR="00164AB1" w:rsidRPr="00DC1FF0" w:rsidRDefault="00164AB1">
      <w:pPr>
        <w:rPr>
          <w:rFonts w:ascii="Times New Roman" w:hAnsi="Times New Roman" w:cs="Times New Roman"/>
          <w:sz w:val="24"/>
          <w:szCs w:val="24"/>
        </w:rPr>
      </w:pPr>
      <w:r w:rsidRPr="00DC1FF0">
        <w:rPr>
          <w:rFonts w:ascii="Times New Roman" w:hAnsi="Times New Roman" w:cs="Times New Roman"/>
          <w:sz w:val="24"/>
          <w:szCs w:val="24"/>
        </w:rPr>
        <w:br w:type="page"/>
      </w:r>
    </w:p>
    <w:p w:rsidR="00A40A7F" w:rsidRPr="00DC1FF0" w:rsidRDefault="00682FB4" w:rsidP="00164AB1">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This violates</w:t>
      </w:r>
      <w:r w:rsidR="00A52138" w:rsidRPr="00DC1FF0">
        <w:rPr>
          <w:rFonts w:ascii="Times New Roman" w:hAnsi="Times New Roman" w:cs="Times New Roman"/>
          <w:sz w:val="24"/>
          <w:szCs w:val="24"/>
        </w:rPr>
        <w:t xml:space="preserve"> numerous laws</w:t>
      </w:r>
      <w:r w:rsidR="00A40A7F" w:rsidRPr="00DC1FF0">
        <w:rPr>
          <w:rFonts w:ascii="Times New Roman" w:hAnsi="Times New Roman" w:cs="Times New Roman"/>
          <w:sz w:val="24"/>
          <w:szCs w:val="24"/>
        </w:rPr>
        <w:t>, including R.C. 4928.141,</w:t>
      </w:r>
      <w:r w:rsidR="00A40A7F" w:rsidRPr="00DC1FF0">
        <w:rPr>
          <w:rFonts w:ascii="Times New Roman" w:hAnsi="Times New Roman" w:cs="Times New Roman"/>
          <w:sz w:val="24"/>
          <w:szCs w:val="24"/>
          <w:vertAlign w:val="superscript"/>
        </w:rPr>
        <w:footnoteReference w:id="22"/>
      </w:r>
      <w:r w:rsidR="00A40A7F" w:rsidRPr="00DC1FF0">
        <w:rPr>
          <w:rFonts w:ascii="Times New Roman" w:hAnsi="Times New Roman" w:cs="Times New Roman"/>
          <w:sz w:val="24"/>
          <w:szCs w:val="24"/>
        </w:rPr>
        <w:t xml:space="preserve"> R.C. 4928.143(B)(1),</w:t>
      </w:r>
      <w:r w:rsidR="00A40A7F" w:rsidRPr="00DC1FF0">
        <w:rPr>
          <w:rFonts w:ascii="Times New Roman" w:hAnsi="Times New Roman" w:cs="Times New Roman"/>
          <w:sz w:val="24"/>
          <w:szCs w:val="24"/>
          <w:vertAlign w:val="superscript"/>
        </w:rPr>
        <w:footnoteReference w:id="23"/>
      </w:r>
      <w:r w:rsidR="00A40A7F" w:rsidRPr="00DC1FF0">
        <w:rPr>
          <w:rFonts w:ascii="Times New Roman" w:hAnsi="Times New Roman" w:cs="Times New Roman"/>
          <w:sz w:val="24"/>
          <w:szCs w:val="24"/>
        </w:rPr>
        <w:t xml:space="preserve"> R.C. 4928.143(B)(2),</w:t>
      </w:r>
      <w:r w:rsidR="00A40A7F" w:rsidRPr="00DC1FF0">
        <w:rPr>
          <w:rFonts w:ascii="Times New Roman" w:hAnsi="Times New Roman" w:cs="Times New Roman"/>
          <w:sz w:val="24"/>
          <w:szCs w:val="24"/>
          <w:vertAlign w:val="superscript"/>
        </w:rPr>
        <w:footnoteReference w:id="24"/>
      </w:r>
      <w:r w:rsidR="00A40A7F" w:rsidRPr="00DC1FF0">
        <w:rPr>
          <w:rFonts w:ascii="Times New Roman" w:hAnsi="Times New Roman" w:cs="Times New Roman"/>
          <w:sz w:val="24"/>
          <w:szCs w:val="24"/>
        </w:rPr>
        <w:t xml:space="preserve"> and R.C. 4928.02(H).</w:t>
      </w:r>
      <w:r w:rsidR="00A40A7F" w:rsidRPr="00DC1FF0">
        <w:rPr>
          <w:rFonts w:ascii="Times New Roman" w:hAnsi="Times New Roman" w:cs="Times New Roman"/>
          <w:sz w:val="24"/>
          <w:szCs w:val="24"/>
          <w:vertAlign w:val="superscript"/>
        </w:rPr>
        <w:footnoteReference w:id="25"/>
      </w:r>
    </w:p>
    <w:p w:rsidR="00164AB1" w:rsidRPr="00DC1FF0" w:rsidRDefault="00164AB1" w:rsidP="00164AB1">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 xml:space="preserve">The PSR subsidy would insulate Duke and its shareholders from the risk of the competitive market with respect to its OVEC interest and </w:t>
      </w:r>
      <w:r w:rsidR="00A52138" w:rsidRPr="00DC1FF0">
        <w:rPr>
          <w:rFonts w:ascii="Times New Roman" w:hAnsi="Times New Roman" w:cs="Times New Roman"/>
          <w:sz w:val="24"/>
          <w:szCs w:val="24"/>
        </w:rPr>
        <w:t xml:space="preserve">unreasonably and unlawfully </w:t>
      </w:r>
      <w:r w:rsidRPr="00DC1FF0">
        <w:rPr>
          <w:rFonts w:ascii="Times New Roman" w:hAnsi="Times New Roman" w:cs="Times New Roman"/>
          <w:sz w:val="24"/>
          <w:szCs w:val="24"/>
        </w:rPr>
        <w:t>shift that risk to customers.</w:t>
      </w:r>
      <w:r w:rsidRPr="00DC1FF0">
        <w:rPr>
          <w:rFonts w:ascii="Times New Roman" w:hAnsi="Times New Roman" w:cs="Times New Roman"/>
          <w:sz w:val="24"/>
          <w:szCs w:val="24"/>
          <w:vertAlign w:val="superscript"/>
        </w:rPr>
        <w:footnoteReference w:id="26"/>
      </w:r>
    </w:p>
    <w:p w:rsidR="00084CB8" w:rsidRPr="00DC1FF0" w:rsidRDefault="00084CB8" w:rsidP="00084CB8">
      <w:pPr>
        <w:spacing w:after="0" w:line="240" w:lineRule="auto"/>
        <w:ind w:left="1440"/>
        <w:contextualSpacing/>
        <w:rPr>
          <w:rFonts w:ascii="Times New Roman" w:hAnsi="Times New Roman" w:cs="Times New Roman"/>
          <w:sz w:val="24"/>
          <w:szCs w:val="24"/>
        </w:rPr>
      </w:pPr>
    </w:p>
    <w:p w:rsidR="00A40A7F" w:rsidRPr="00DC1FF0" w:rsidRDefault="00A40A7F" w:rsidP="00515B21">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as a financial hedging arrangement, is not “necessary to maintain essential electric service” as required of all SSOs.</w:t>
      </w:r>
      <w:r w:rsidRPr="00DC1FF0">
        <w:rPr>
          <w:rFonts w:ascii="Times New Roman" w:hAnsi="Times New Roman" w:cs="Times New Roman"/>
          <w:sz w:val="24"/>
          <w:szCs w:val="24"/>
          <w:vertAlign w:val="superscript"/>
        </w:rPr>
        <w:footnoteReference w:id="27"/>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violates R.C. 4928.38 that requires electric utilities to be fully on their own in the competitive market for retail electric service.</w:t>
      </w:r>
      <w:r w:rsidRPr="00DC1FF0">
        <w:rPr>
          <w:rFonts w:ascii="Times New Roman" w:hAnsi="Times New Roman" w:cs="Times New Roman"/>
          <w:sz w:val="24"/>
          <w:szCs w:val="24"/>
          <w:vertAlign w:val="superscript"/>
        </w:rPr>
        <w:footnoteReference w:id="28"/>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violates the R.C. 4928.38 and Duke’s ETP Stipulation which prohibit the recovery of transition revenue or its equivalent.</w:t>
      </w:r>
      <w:r w:rsidRPr="00DC1FF0">
        <w:rPr>
          <w:rFonts w:ascii="Times New Roman" w:hAnsi="Times New Roman" w:cs="Times New Roman"/>
          <w:sz w:val="24"/>
          <w:szCs w:val="24"/>
          <w:vertAlign w:val="superscript"/>
        </w:rPr>
        <w:footnoteReference w:id="29"/>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violates the Stipulation in Duke’s last ESP requiring Duke to divest all of its generation assets.</w:t>
      </w:r>
      <w:r w:rsidRPr="00DC1FF0">
        <w:rPr>
          <w:rFonts w:ascii="Times New Roman" w:hAnsi="Times New Roman" w:cs="Times New Roman"/>
          <w:sz w:val="24"/>
          <w:szCs w:val="24"/>
          <w:vertAlign w:val="superscript"/>
        </w:rPr>
        <w:footnoteReference w:id="30"/>
      </w:r>
    </w:p>
    <w:p w:rsidR="00084CB8" w:rsidRPr="00DC1FF0" w:rsidRDefault="00084CB8" w:rsidP="00C5274B">
      <w:pPr>
        <w:spacing w:after="0" w:line="240" w:lineRule="auto"/>
        <w:ind w:left="1530"/>
        <w:contextualSpacing/>
        <w:rPr>
          <w:rFonts w:ascii="Times New Roman" w:hAnsi="Times New Roman" w:cs="Times New Roman"/>
          <w:sz w:val="24"/>
          <w:szCs w:val="24"/>
        </w:rPr>
      </w:pPr>
    </w:p>
    <w:p w:rsidR="00A40A7F" w:rsidRPr="00DC1FF0" w:rsidRDefault="00A52138"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w:t>
      </w:r>
      <w:r w:rsidR="00A40A7F" w:rsidRPr="00DC1FF0">
        <w:rPr>
          <w:rFonts w:ascii="Times New Roman" w:hAnsi="Times New Roman" w:cs="Times New Roman"/>
          <w:sz w:val="24"/>
          <w:szCs w:val="24"/>
        </w:rPr>
        <w:t xml:space="preserve">he term of Duke’s PSR is indeterminate since Duke could terminate it by selling </w:t>
      </w:r>
      <w:r w:rsidRPr="00DC1FF0">
        <w:rPr>
          <w:rFonts w:ascii="Times New Roman" w:hAnsi="Times New Roman" w:cs="Times New Roman"/>
          <w:sz w:val="24"/>
          <w:szCs w:val="24"/>
        </w:rPr>
        <w:t>or</w:t>
      </w:r>
      <w:r w:rsidR="00A40A7F" w:rsidRPr="00DC1FF0">
        <w:rPr>
          <w:rFonts w:ascii="Times New Roman" w:hAnsi="Times New Roman" w:cs="Times New Roman"/>
          <w:sz w:val="24"/>
          <w:szCs w:val="24"/>
        </w:rPr>
        <w:t xml:space="preserve"> transferring its OVEC interest</w:t>
      </w:r>
      <w:r w:rsidRPr="00DC1FF0">
        <w:rPr>
          <w:rFonts w:ascii="Times New Roman" w:hAnsi="Times New Roman" w:cs="Times New Roman"/>
          <w:sz w:val="24"/>
          <w:szCs w:val="24"/>
        </w:rPr>
        <w:t>. A</w:t>
      </w:r>
      <w:r w:rsidR="00A40A7F" w:rsidRPr="00DC1FF0">
        <w:rPr>
          <w:rFonts w:ascii="Times New Roman" w:hAnsi="Times New Roman" w:cs="Times New Roman"/>
          <w:sz w:val="24"/>
          <w:szCs w:val="24"/>
        </w:rPr>
        <w:t>ny benefits to customers that might occur in the future could be eliminated at Duke’s option.</w:t>
      </w:r>
      <w:r w:rsidR="00A40A7F" w:rsidRPr="00DC1FF0">
        <w:rPr>
          <w:rFonts w:ascii="Times New Roman" w:hAnsi="Times New Roman" w:cs="Times New Roman"/>
          <w:sz w:val="24"/>
          <w:szCs w:val="24"/>
          <w:vertAlign w:val="superscript"/>
        </w:rPr>
        <w:footnoteReference w:id="31"/>
      </w:r>
    </w:p>
    <w:p w:rsidR="00084CB8" w:rsidRPr="00DC1FF0" w:rsidRDefault="00084CB8" w:rsidP="00084CB8">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Duke filed its case without providing any information to evaluate the economics of OVEC or the PSR.</w:t>
      </w:r>
      <w:r w:rsidRPr="00DC1FF0">
        <w:rPr>
          <w:rFonts w:ascii="Times New Roman" w:hAnsi="Times New Roman" w:cs="Times New Roman"/>
          <w:sz w:val="24"/>
          <w:szCs w:val="24"/>
          <w:vertAlign w:val="superscript"/>
        </w:rPr>
        <w:footnoteReference w:id="32"/>
      </w:r>
    </w:p>
    <w:p w:rsidR="00A40A7F" w:rsidRPr="00DC1FF0" w:rsidRDefault="00A40A7F" w:rsidP="00084CB8">
      <w:pPr>
        <w:spacing w:after="0" w:line="240" w:lineRule="auto"/>
        <w:ind w:left="1440"/>
        <w:contextualSpacing/>
        <w:rPr>
          <w:rFonts w:ascii="Times New Roman" w:hAnsi="Times New Roman" w:cs="Times New Roman"/>
          <w:sz w:val="24"/>
          <w:szCs w:val="24"/>
        </w:rPr>
      </w:pPr>
    </w:p>
    <w:p w:rsidR="00A40A7F" w:rsidRPr="00DC1FF0" w:rsidRDefault="00A40A7F" w:rsidP="00A5213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Duke’s claims that the PSR will provide rate stability depend on Duke’s long-term forecast</w:t>
      </w:r>
      <w:r w:rsidR="00A52138" w:rsidRPr="00DC1FF0">
        <w:rPr>
          <w:rFonts w:ascii="Times New Roman" w:hAnsi="Times New Roman" w:cs="Times New Roman"/>
          <w:sz w:val="24"/>
          <w:szCs w:val="24"/>
        </w:rPr>
        <w:t>.  B</w:t>
      </w:r>
      <w:r w:rsidRPr="00DC1FF0">
        <w:rPr>
          <w:rFonts w:ascii="Times New Roman" w:hAnsi="Times New Roman" w:cs="Times New Roman"/>
          <w:sz w:val="24"/>
          <w:szCs w:val="24"/>
        </w:rPr>
        <w:t xml:space="preserve">ut Duke’s PSR is proposed in this case for the </w:t>
      </w:r>
      <w:r w:rsidR="00A52138" w:rsidRPr="00DC1FF0">
        <w:rPr>
          <w:rFonts w:ascii="Times New Roman" w:hAnsi="Times New Roman" w:cs="Times New Roman"/>
          <w:sz w:val="24"/>
          <w:szCs w:val="24"/>
        </w:rPr>
        <w:t xml:space="preserve">three year term </w:t>
      </w:r>
      <w:r w:rsidRPr="00DC1FF0">
        <w:rPr>
          <w:rFonts w:ascii="Times New Roman" w:hAnsi="Times New Roman" w:cs="Times New Roman"/>
          <w:sz w:val="24"/>
          <w:szCs w:val="24"/>
        </w:rPr>
        <w:t>of the ESP</w:t>
      </w:r>
      <w:r w:rsidR="00A52138" w:rsidRPr="00DC1FF0">
        <w:rPr>
          <w:rFonts w:ascii="Times New Roman" w:hAnsi="Times New Roman" w:cs="Times New Roman"/>
          <w:sz w:val="24"/>
          <w:szCs w:val="24"/>
        </w:rPr>
        <w:t xml:space="preserve">.  During this three year time frame, according to </w:t>
      </w:r>
      <w:r w:rsidRPr="00DC1FF0">
        <w:rPr>
          <w:rFonts w:ascii="Times New Roman" w:hAnsi="Times New Roman" w:cs="Times New Roman"/>
          <w:sz w:val="24"/>
          <w:szCs w:val="24"/>
        </w:rPr>
        <w:t>Duke’s own estimates</w:t>
      </w:r>
      <w:r w:rsidR="00A52138" w:rsidRPr="00DC1FF0">
        <w:rPr>
          <w:rFonts w:ascii="Times New Roman" w:hAnsi="Times New Roman" w:cs="Times New Roman"/>
          <w:sz w:val="24"/>
          <w:szCs w:val="24"/>
        </w:rPr>
        <w:t>, customers will be harmed.</w:t>
      </w:r>
      <w:r w:rsidRPr="00DC1FF0">
        <w:rPr>
          <w:rFonts w:ascii="Times New Roman" w:hAnsi="Times New Roman" w:cs="Times New Roman"/>
          <w:sz w:val="24"/>
          <w:szCs w:val="24"/>
        </w:rPr>
        <w:t xml:space="preserve"> Indeed, PUCO Staff states that the “PSR could be extremely costly for customers during the </w:t>
      </w:r>
      <w:r w:rsidRPr="00DC1FF0">
        <w:rPr>
          <w:rFonts w:ascii="Times New Roman" w:hAnsi="Times New Roman" w:cs="Times New Roman"/>
          <w:i/>
          <w:sz w:val="24"/>
          <w:szCs w:val="24"/>
        </w:rPr>
        <w:t>ESP III term</w:t>
      </w:r>
      <w:r w:rsidRPr="00DC1FF0">
        <w:rPr>
          <w:rFonts w:ascii="Times New Roman" w:hAnsi="Times New Roman" w:cs="Times New Roman"/>
          <w:sz w:val="24"/>
          <w:szCs w:val="24"/>
        </w:rPr>
        <w:t>.”</w:t>
      </w:r>
      <w:r w:rsidRPr="00DC1FF0">
        <w:rPr>
          <w:rFonts w:ascii="Times New Roman" w:hAnsi="Times New Roman" w:cs="Times New Roman"/>
          <w:sz w:val="24"/>
          <w:szCs w:val="24"/>
          <w:vertAlign w:val="superscript"/>
        </w:rPr>
        <w:footnoteReference w:id="33"/>
      </w:r>
    </w:p>
    <w:p w:rsidR="00084CB8" w:rsidRPr="00DC1FF0" w:rsidRDefault="00084CB8" w:rsidP="00515B21">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Duke failed to meet its burden to show that the PSR would stabilize customer rates.</w:t>
      </w:r>
      <w:r w:rsidRPr="00DC1FF0">
        <w:rPr>
          <w:rFonts w:ascii="Times New Roman" w:hAnsi="Times New Roman" w:cs="Times New Roman"/>
          <w:sz w:val="24"/>
          <w:szCs w:val="24"/>
          <w:vertAlign w:val="superscript"/>
        </w:rPr>
        <w:footnoteReference w:id="34"/>
      </w:r>
    </w:p>
    <w:p w:rsidR="00A40A7F" w:rsidRPr="00DC1FF0" w:rsidRDefault="00A40A7F" w:rsidP="00C5274B">
      <w:pPr>
        <w:pStyle w:val="ListParagraph"/>
        <w:spacing w:line="240" w:lineRule="auto"/>
        <w:ind w:left="1440"/>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dollar cost to customers of the PSR, as well as its value as a hedge, depends both on changes in energy market prices and changes in OVEC costs.</w:t>
      </w:r>
      <w:r w:rsidRPr="00DC1FF0">
        <w:rPr>
          <w:rFonts w:ascii="Times New Roman" w:hAnsi="Times New Roman" w:cs="Times New Roman"/>
          <w:sz w:val="24"/>
          <w:szCs w:val="24"/>
          <w:vertAlign w:val="superscript"/>
        </w:rPr>
        <w:footnoteReference w:id="35"/>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084CB8"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Duke’s cash flow from OVEC relies on many “suspect assumptions, including overstated generation output, overstated unforced capacity levels, suspect future energy price projections, and it ignores the risk that OVEC will be excluded from the PJM markets.”</w:t>
      </w:r>
      <w:r w:rsidRPr="00DC1FF0">
        <w:rPr>
          <w:rFonts w:ascii="Times New Roman" w:hAnsi="Times New Roman" w:cs="Times New Roman"/>
          <w:sz w:val="24"/>
          <w:szCs w:val="24"/>
          <w:vertAlign w:val="superscript"/>
        </w:rPr>
        <w:footnoteReference w:id="36"/>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OVEC’s costs per MWh are not stable as reflected by changes over the last few years.</w:t>
      </w:r>
      <w:r w:rsidRPr="00DC1FF0">
        <w:rPr>
          <w:rFonts w:ascii="Times New Roman" w:hAnsi="Times New Roman" w:cs="Times New Roman"/>
          <w:sz w:val="24"/>
          <w:szCs w:val="24"/>
          <w:vertAlign w:val="superscript"/>
        </w:rPr>
        <w:footnoteReference w:id="37"/>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Many factors could greatly increase the costs of operating the OVEC units over the next few years.  These include additional capital expenditures, increases in coal prices, and future environmental regulations.</w:t>
      </w:r>
      <w:r w:rsidRPr="00DC1FF0">
        <w:rPr>
          <w:rFonts w:ascii="Times New Roman" w:hAnsi="Times New Roman" w:cs="Times New Roman"/>
          <w:sz w:val="24"/>
          <w:szCs w:val="24"/>
          <w:vertAlign w:val="superscript"/>
        </w:rPr>
        <w:footnoteReference w:id="38"/>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A40A7F" w:rsidRPr="00DC1FF0" w:rsidRDefault="00A52138"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is premised upon the so called need to provide price stability and address rate volatility.  But, t</w:t>
      </w:r>
      <w:r w:rsidR="00A40A7F" w:rsidRPr="00DC1FF0">
        <w:rPr>
          <w:rFonts w:ascii="Times New Roman" w:hAnsi="Times New Roman" w:cs="Times New Roman"/>
          <w:sz w:val="24"/>
          <w:szCs w:val="24"/>
        </w:rPr>
        <w:t>here is no volatility problem since SSO volatility is addressed by the SSO auction process.</w:t>
      </w:r>
      <w:r w:rsidR="00A40A7F" w:rsidRPr="00DC1FF0">
        <w:rPr>
          <w:rFonts w:ascii="Times New Roman" w:hAnsi="Times New Roman" w:cs="Times New Roman"/>
          <w:sz w:val="24"/>
          <w:szCs w:val="24"/>
          <w:vertAlign w:val="superscript"/>
        </w:rPr>
        <w:footnoteReference w:id="39"/>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164AB1" w:rsidRPr="00DC1FF0" w:rsidRDefault="00164AB1" w:rsidP="00C5274B">
      <w:pPr>
        <w:spacing w:after="0" w:line="240" w:lineRule="auto"/>
        <w:ind w:left="1440"/>
        <w:contextualSpacing/>
        <w:rPr>
          <w:rFonts w:ascii="Times New Roman" w:hAnsi="Times New Roman" w:cs="Times New Roman"/>
          <w:sz w:val="24"/>
          <w:szCs w:val="24"/>
        </w:rPr>
      </w:pPr>
    </w:p>
    <w:p w:rsidR="00164AB1" w:rsidRPr="00DC1FF0" w:rsidRDefault="00164AB1" w:rsidP="00C5274B">
      <w:pPr>
        <w:spacing w:after="0" w:line="240" w:lineRule="auto"/>
        <w:ind w:left="1440"/>
        <w:contextualSpacing/>
        <w:rPr>
          <w:rFonts w:ascii="Times New Roman" w:hAnsi="Times New Roman" w:cs="Times New Roman"/>
          <w:sz w:val="24"/>
          <w:szCs w:val="24"/>
        </w:rPr>
      </w:pPr>
    </w:p>
    <w:p w:rsidR="00164AB1" w:rsidRPr="00DC1FF0" w:rsidRDefault="00164AB1" w:rsidP="00C5274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 xml:space="preserve">Non-SSO customers can </w:t>
      </w:r>
      <w:r w:rsidR="00067A8B" w:rsidRPr="00DC1FF0">
        <w:rPr>
          <w:rFonts w:ascii="Times New Roman" w:hAnsi="Times New Roman" w:cs="Times New Roman"/>
          <w:sz w:val="24"/>
          <w:szCs w:val="24"/>
        </w:rPr>
        <w:t xml:space="preserve">already </w:t>
      </w:r>
      <w:r w:rsidRPr="00DC1FF0">
        <w:rPr>
          <w:rFonts w:ascii="Times New Roman" w:hAnsi="Times New Roman" w:cs="Times New Roman"/>
          <w:sz w:val="24"/>
          <w:szCs w:val="24"/>
        </w:rPr>
        <w:t>effectively hedge by purchasing a fixed price product or through self-generation.</w:t>
      </w:r>
      <w:r w:rsidRPr="00DC1FF0">
        <w:rPr>
          <w:rFonts w:ascii="Times New Roman" w:hAnsi="Times New Roman" w:cs="Times New Roman"/>
          <w:sz w:val="24"/>
          <w:szCs w:val="24"/>
          <w:vertAlign w:val="superscript"/>
        </w:rPr>
        <w:footnoteReference w:id="40"/>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Rider PSR would create more, not less, volatility for these customers.</w:t>
      </w:r>
      <w:r w:rsidRPr="00DC1FF0">
        <w:rPr>
          <w:rFonts w:ascii="Times New Roman" w:hAnsi="Times New Roman" w:cs="Times New Roman"/>
          <w:sz w:val="24"/>
          <w:szCs w:val="24"/>
          <w:vertAlign w:val="superscript"/>
        </w:rPr>
        <w:footnoteReference w:id="41"/>
      </w:r>
      <w:r w:rsidR="00084CB8" w:rsidRPr="00DC1FF0">
        <w:rPr>
          <w:rFonts w:ascii="Times New Roman" w:hAnsi="Times New Roman" w:cs="Times New Roman"/>
          <w:sz w:val="24"/>
          <w:szCs w:val="24"/>
        </w:rPr>
        <w:t xml:space="preserve"> </w:t>
      </w:r>
      <w:r w:rsidRPr="00DC1FF0">
        <w:rPr>
          <w:rFonts w:ascii="Times New Roman" w:hAnsi="Times New Roman" w:cs="Times New Roman"/>
          <w:sz w:val="24"/>
          <w:szCs w:val="24"/>
        </w:rPr>
        <w:t>Taking on these risks was intended to be a matter of customer choice.</w:t>
      </w:r>
      <w:r w:rsidRPr="00DC1FF0">
        <w:rPr>
          <w:rFonts w:ascii="Times New Roman" w:hAnsi="Times New Roman" w:cs="Times New Roman"/>
          <w:sz w:val="24"/>
          <w:szCs w:val="24"/>
          <w:vertAlign w:val="superscript"/>
        </w:rPr>
        <w:footnoteReference w:id="42"/>
      </w:r>
    </w:p>
    <w:p w:rsidR="00084CB8" w:rsidRPr="00DC1FF0" w:rsidRDefault="00084CB8" w:rsidP="00C5274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OVEC hedge is a bad hedge because the age (59 years old) of OVEC’s facilities means that they will face substantial capital improvements to remain operational.</w:t>
      </w:r>
    </w:p>
    <w:p w:rsidR="00A40A7F" w:rsidRPr="00DC1FF0" w:rsidRDefault="00A40A7F" w:rsidP="00084CB8">
      <w:pPr>
        <w:spacing w:after="0" w:line="240" w:lineRule="auto"/>
        <w:ind w:left="1440"/>
        <w:contextualSpacing/>
        <w:rPr>
          <w:rFonts w:ascii="Times New Roman" w:hAnsi="Times New Roman" w:cs="Times New Roman"/>
          <w:sz w:val="24"/>
          <w:szCs w:val="24"/>
        </w:rPr>
      </w:pPr>
    </w:p>
    <w:p w:rsidR="00BB584D" w:rsidRDefault="00A40A7F" w:rsidP="00C5274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OVEC units “are more costly to dispatch than” other coal-fired generation owned by the University of Cincinnati and Miami University.</w:t>
      </w:r>
      <w:r w:rsidRPr="00DC1FF0">
        <w:rPr>
          <w:rFonts w:ascii="Times New Roman" w:hAnsi="Times New Roman" w:cs="Times New Roman"/>
          <w:sz w:val="24"/>
          <w:szCs w:val="24"/>
          <w:vertAlign w:val="superscript"/>
        </w:rPr>
        <w:footnoteReference w:id="43"/>
      </w:r>
    </w:p>
    <w:p w:rsidR="00C5274B" w:rsidRPr="00C5274B" w:rsidRDefault="00C5274B" w:rsidP="00C5274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Because there is not a known cost or benefit associated with OVEC, it is a poor hedge mechanism.</w:t>
      </w:r>
      <w:r w:rsidRPr="00DC1FF0">
        <w:rPr>
          <w:rFonts w:ascii="Times New Roman" w:hAnsi="Times New Roman" w:cs="Times New Roman"/>
          <w:sz w:val="24"/>
          <w:szCs w:val="24"/>
          <w:vertAlign w:val="superscript"/>
        </w:rPr>
        <w:footnoteReference w:id="44"/>
      </w:r>
    </w:p>
    <w:p w:rsidR="00117ADB" w:rsidRPr="00DC1FF0" w:rsidRDefault="00117ADB" w:rsidP="00117ADB">
      <w:pPr>
        <w:spacing w:after="0" w:line="240" w:lineRule="auto"/>
        <w:ind w:left="1440"/>
        <w:contextualSpacing/>
        <w:rPr>
          <w:rFonts w:ascii="Times New Roman" w:hAnsi="Times New Roman" w:cs="Times New Roman"/>
          <w:sz w:val="24"/>
          <w:szCs w:val="24"/>
        </w:rPr>
      </w:pPr>
    </w:p>
    <w:p w:rsidR="00A40A7F" w:rsidRPr="00DC1FF0" w:rsidRDefault="00A40A7F" w:rsidP="00084CB8">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Any OVEC hedge is de minimis.</w:t>
      </w:r>
      <w:r w:rsidRPr="00DC1FF0">
        <w:rPr>
          <w:rFonts w:ascii="Times New Roman" w:hAnsi="Times New Roman" w:cs="Times New Roman"/>
          <w:sz w:val="24"/>
          <w:szCs w:val="24"/>
          <w:vertAlign w:val="superscript"/>
        </w:rPr>
        <w:footnoteReference w:id="45"/>
      </w:r>
    </w:p>
    <w:p w:rsidR="00117ADB" w:rsidRPr="00DC1FF0" w:rsidRDefault="00117ADB" w:rsidP="00117AD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would likely allow the pass through of decommissioning costs to customers after closure of the plants, a potentially significant detriment to customers and a subsidy to Duke of its OVEC interest.</w:t>
      </w:r>
      <w:r w:rsidRPr="00DC1FF0">
        <w:rPr>
          <w:rFonts w:ascii="Times New Roman" w:hAnsi="Times New Roman" w:cs="Times New Roman"/>
          <w:sz w:val="24"/>
          <w:szCs w:val="24"/>
          <w:vertAlign w:val="superscript"/>
        </w:rPr>
        <w:t xml:space="preserve"> </w:t>
      </w:r>
      <w:r w:rsidRPr="00DC1FF0">
        <w:rPr>
          <w:rFonts w:ascii="Times New Roman" w:hAnsi="Times New Roman" w:cs="Times New Roman"/>
          <w:sz w:val="24"/>
          <w:szCs w:val="24"/>
          <w:vertAlign w:val="superscript"/>
        </w:rPr>
        <w:footnoteReference w:id="46"/>
      </w:r>
    </w:p>
    <w:p w:rsidR="00117ADB" w:rsidRPr="00DC1FF0" w:rsidRDefault="00117ADB" w:rsidP="00117AD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Duke did not</w:t>
      </w:r>
      <w:r w:rsidR="00117ADB" w:rsidRPr="00DC1FF0">
        <w:rPr>
          <w:rFonts w:ascii="Times New Roman" w:hAnsi="Times New Roman" w:cs="Times New Roman"/>
          <w:sz w:val="24"/>
          <w:szCs w:val="24"/>
        </w:rPr>
        <w:t xml:space="preserve"> conduct a competitive process --</w:t>
      </w:r>
      <w:r w:rsidRPr="00DC1FF0">
        <w:rPr>
          <w:rFonts w:ascii="Times New Roman" w:hAnsi="Times New Roman" w:cs="Times New Roman"/>
          <w:sz w:val="24"/>
          <w:szCs w:val="24"/>
        </w:rPr>
        <w:t xml:space="preserve"> as it </w:t>
      </w:r>
      <w:r w:rsidR="00117ADB" w:rsidRPr="00DC1FF0">
        <w:rPr>
          <w:rFonts w:ascii="Times New Roman" w:hAnsi="Times New Roman" w:cs="Times New Roman"/>
          <w:sz w:val="24"/>
          <w:szCs w:val="24"/>
        </w:rPr>
        <w:t>should have --</w:t>
      </w:r>
      <w:r w:rsidRPr="00DC1FF0">
        <w:rPr>
          <w:rFonts w:ascii="Times New Roman" w:hAnsi="Times New Roman" w:cs="Times New Roman"/>
          <w:sz w:val="24"/>
          <w:szCs w:val="24"/>
        </w:rPr>
        <w:t xml:space="preserve"> to determine whether the OVEC asset presented the best hedge or whether there were “other potentially more beneficial and less costly hedging options.”</w:t>
      </w:r>
      <w:r w:rsidRPr="00DC1FF0">
        <w:rPr>
          <w:rFonts w:ascii="Times New Roman" w:hAnsi="Times New Roman" w:cs="Times New Roman"/>
          <w:sz w:val="24"/>
          <w:szCs w:val="24"/>
          <w:vertAlign w:val="superscript"/>
        </w:rPr>
        <w:footnoteReference w:id="47"/>
      </w:r>
    </w:p>
    <w:p w:rsidR="00117ADB" w:rsidRPr="00DC1FF0" w:rsidRDefault="00117ADB" w:rsidP="00117ADB">
      <w:pPr>
        <w:spacing w:after="0" w:line="240" w:lineRule="auto"/>
        <w:ind w:left="1440"/>
        <w:contextualSpacing/>
        <w:rPr>
          <w:rFonts w:ascii="Times New Roman" w:hAnsi="Times New Roman" w:cs="Times New Roman"/>
          <w:sz w:val="24"/>
          <w:szCs w:val="24"/>
        </w:rPr>
      </w:pPr>
    </w:p>
    <w:p w:rsidR="00A40A7F" w:rsidRPr="00DC1FF0" w:rsidRDefault="00117ADB"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 PSR has no price guarantee -- high or low -- price point for customers.</w:t>
      </w:r>
      <w:r w:rsidR="00A40A7F" w:rsidRPr="00DC1FF0">
        <w:rPr>
          <w:rFonts w:ascii="Times New Roman" w:hAnsi="Times New Roman" w:cs="Times New Roman"/>
          <w:sz w:val="24"/>
          <w:szCs w:val="24"/>
        </w:rPr>
        <w:t xml:space="preserve"> In other words, customers are completely at the risk of the market and OVEC operations.</w:t>
      </w:r>
      <w:r w:rsidR="00A40A7F" w:rsidRPr="00DC1FF0">
        <w:rPr>
          <w:rFonts w:ascii="Times New Roman" w:hAnsi="Times New Roman" w:cs="Times New Roman"/>
          <w:sz w:val="24"/>
          <w:szCs w:val="24"/>
          <w:vertAlign w:val="superscript"/>
        </w:rPr>
        <w:footnoteReference w:id="48"/>
      </w:r>
    </w:p>
    <w:p w:rsidR="00117ADB" w:rsidRPr="00DC1FF0" w:rsidRDefault="00117ADB" w:rsidP="00C5274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There are significant risks to OVEC’s facilities presented by EPA’s pending greenhouse gas rules (“GHGs”).</w:t>
      </w:r>
      <w:r w:rsidRPr="00DC1FF0">
        <w:rPr>
          <w:rFonts w:ascii="Times New Roman" w:hAnsi="Times New Roman" w:cs="Times New Roman"/>
          <w:sz w:val="24"/>
          <w:szCs w:val="24"/>
          <w:vertAlign w:val="superscript"/>
        </w:rPr>
        <w:footnoteReference w:id="49"/>
      </w:r>
      <w:r w:rsidR="00164AB1" w:rsidRPr="00DC1FF0">
        <w:rPr>
          <w:rFonts w:ascii="Times New Roman" w:hAnsi="Times New Roman" w:cs="Times New Roman"/>
          <w:sz w:val="24"/>
          <w:szCs w:val="24"/>
        </w:rPr>
        <w:t xml:space="preserve"> </w:t>
      </w:r>
      <w:r w:rsidRPr="00DC1FF0">
        <w:rPr>
          <w:rFonts w:ascii="Times New Roman" w:hAnsi="Times New Roman" w:cs="Times New Roman"/>
          <w:sz w:val="24"/>
          <w:szCs w:val="24"/>
        </w:rPr>
        <w:t>This includes potential decreases in output, driving earlie</w:t>
      </w:r>
      <w:r w:rsidR="00C5274B">
        <w:rPr>
          <w:rFonts w:ascii="Times New Roman" w:hAnsi="Times New Roman" w:cs="Times New Roman"/>
          <w:sz w:val="24"/>
          <w:szCs w:val="24"/>
        </w:rPr>
        <w:t xml:space="preserve">r retirement than anticipated. </w:t>
      </w:r>
      <w:r w:rsidRPr="00DC1FF0">
        <w:rPr>
          <w:rFonts w:ascii="Times New Roman" w:hAnsi="Times New Roman" w:cs="Times New Roman"/>
          <w:sz w:val="24"/>
          <w:szCs w:val="24"/>
        </w:rPr>
        <w:t>Thus, the PSR “would saddle retail electric customers with the cost of environmental regulations related to the Company’s share of the OVEC generation assets.”</w:t>
      </w:r>
      <w:r w:rsidRPr="00DC1FF0">
        <w:rPr>
          <w:rFonts w:ascii="Times New Roman" w:hAnsi="Times New Roman" w:cs="Times New Roman"/>
          <w:sz w:val="24"/>
          <w:szCs w:val="24"/>
          <w:vertAlign w:val="superscript"/>
        </w:rPr>
        <w:footnoteReference w:id="50"/>
      </w:r>
    </w:p>
    <w:p w:rsidR="00117ADB" w:rsidRPr="00DC1FF0" w:rsidRDefault="00117ADB" w:rsidP="00C5274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Other generation assets in the market, especially renewables and demand response, face considerably less risk from GHG rules and may actually benefit in price performance from them.</w:t>
      </w:r>
      <w:r w:rsidRPr="00DC1FF0">
        <w:rPr>
          <w:rFonts w:ascii="Times New Roman" w:hAnsi="Times New Roman" w:cs="Times New Roman"/>
          <w:sz w:val="24"/>
          <w:szCs w:val="24"/>
          <w:vertAlign w:val="superscript"/>
        </w:rPr>
        <w:footnoteReference w:id="51"/>
      </w:r>
    </w:p>
    <w:p w:rsidR="00A40A7F" w:rsidRPr="00DC1FF0" w:rsidRDefault="00A40A7F" w:rsidP="00117AD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Rider PSR would provide Duke with “a competitive advantage over other wholesale market generators that do not have revenue assurance from retail electric consumers.”</w:t>
      </w:r>
      <w:r w:rsidRPr="00DC1FF0">
        <w:rPr>
          <w:rFonts w:ascii="Times New Roman" w:hAnsi="Times New Roman" w:cs="Times New Roman"/>
          <w:sz w:val="24"/>
          <w:szCs w:val="24"/>
          <w:vertAlign w:val="superscript"/>
        </w:rPr>
        <w:footnoteReference w:id="52"/>
      </w:r>
    </w:p>
    <w:p w:rsidR="00A40A7F" w:rsidRPr="00DC1FF0" w:rsidRDefault="00A40A7F" w:rsidP="00117AD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Because PSR would guarantee full cost recovery to Duke, Duke would have no incentive to manage its share of OVEC costs or to direct efficient operation of the plants.</w:t>
      </w:r>
      <w:r w:rsidRPr="00DC1FF0">
        <w:rPr>
          <w:rFonts w:ascii="Times New Roman" w:hAnsi="Times New Roman" w:cs="Times New Roman"/>
          <w:sz w:val="24"/>
          <w:szCs w:val="24"/>
          <w:vertAlign w:val="superscript"/>
        </w:rPr>
        <w:footnoteReference w:id="53"/>
      </w:r>
      <w:r w:rsidRPr="00DC1FF0">
        <w:rPr>
          <w:rFonts w:ascii="Times New Roman" w:hAnsi="Times New Roman" w:cs="Times New Roman"/>
          <w:sz w:val="24"/>
          <w:szCs w:val="24"/>
        </w:rPr>
        <w:t xml:space="preserve">  And Duke would not have the incentive “to bid OVEC into the energy and capacity markets like a rational market participant.”</w:t>
      </w:r>
      <w:r w:rsidRPr="00DC1FF0">
        <w:rPr>
          <w:rFonts w:ascii="Times New Roman" w:hAnsi="Times New Roman" w:cs="Times New Roman"/>
          <w:sz w:val="24"/>
          <w:szCs w:val="24"/>
          <w:vertAlign w:val="superscript"/>
        </w:rPr>
        <w:footnoteReference w:id="54"/>
      </w:r>
    </w:p>
    <w:p w:rsidR="00117ADB" w:rsidRPr="00DC1FF0" w:rsidRDefault="00117ADB" w:rsidP="00C5274B">
      <w:pPr>
        <w:spacing w:after="0" w:line="240" w:lineRule="auto"/>
        <w:ind w:left="1440"/>
        <w:contextualSpacing/>
        <w:rPr>
          <w:rFonts w:ascii="Times New Roman" w:hAnsi="Times New Roman" w:cs="Times New Roman"/>
          <w:sz w:val="24"/>
          <w:szCs w:val="24"/>
        </w:rPr>
      </w:pPr>
    </w:p>
    <w:p w:rsidR="00A40A7F" w:rsidRPr="00DC1FF0" w:rsidRDefault="00A40A7F" w:rsidP="00117ADB">
      <w:pPr>
        <w:numPr>
          <w:ilvl w:val="0"/>
          <w:numId w:val="16"/>
        </w:numPr>
        <w:spacing w:after="0" w:line="240" w:lineRule="auto"/>
        <w:ind w:left="1440" w:hanging="720"/>
        <w:contextualSpacing/>
        <w:rPr>
          <w:rFonts w:ascii="Times New Roman" w:hAnsi="Times New Roman" w:cs="Times New Roman"/>
          <w:sz w:val="24"/>
          <w:szCs w:val="24"/>
        </w:rPr>
      </w:pPr>
      <w:r w:rsidRPr="00DC1FF0">
        <w:rPr>
          <w:rFonts w:ascii="Times New Roman" w:hAnsi="Times New Roman" w:cs="Times New Roman"/>
          <w:sz w:val="24"/>
          <w:szCs w:val="24"/>
        </w:rPr>
        <w:t>Logic suggests that if Duke forecasted OVEC to be extremely profitable, it would have retained the OVEC profits for itself.</w:t>
      </w:r>
      <w:r w:rsidRPr="00DC1FF0">
        <w:rPr>
          <w:rFonts w:ascii="Times New Roman" w:hAnsi="Times New Roman" w:cs="Times New Roman"/>
          <w:sz w:val="24"/>
          <w:szCs w:val="24"/>
          <w:vertAlign w:val="superscript"/>
        </w:rPr>
        <w:footnoteReference w:id="55"/>
      </w:r>
    </w:p>
    <w:p w:rsidR="00A40A7F" w:rsidRPr="00DC1FF0" w:rsidRDefault="00A40A7F" w:rsidP="00A40A7F">
      <w:pPr>
        <w:pStyle w:val="ListParagraph"/>
        <w:rPr>
          <w:rFonts w:ascii="Times New Roman" w:hAnsi="Times New Roman" w:cs="Times New Roman"/>
          <w:sz w:val="24"/>
          <w:szCs w:val="24"/>
        </w:rPr>
      </w:pPr>
    </w:p>
    <w:p w:rsidR="00A40A7F" w:rsidRPr="00DC1FF0" w:rsidRDefault="00A40A7F" w:rsidP="00A40A7F">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In light of the absence of evidence proffered by Duke to support the PSR and the numerous</w:t>
      </w:r>
      <w:r w:rsidR="0050518F" w:rsidRPr="00DC1FF0">
        <w:rPr>
          <w:rFonts w:ascii="Times New Roman" w:hAnsi="Times New Roman" w:cs="Times New Roman"/>
          <w:sz w:val="24"/>
          <w:szCs w:val="24"/>
        </w:rPr>
        <w:t xml:space="preserve"> legal and factual </w:t>
      </w:r>
      <w:r w:rsidRPr="00DC1FF0">
        <w:rPr>
          <w:rFonts w:ascii="Times New Roman" w:hAnsi="Times New Roman" w:cs="Times New Roman"/>
          <w:sz w:val="24"/>
          <w:szCs w:val="24"/>
        </w:rPr>
        <w:t>problems with the proposal,</w:t>
      </w:r>
      <w:r w:rsidR="00067A8B" w:rsidRPr="00DC1FF0">
        <w:rPr>
          <w:rFonts w:ascii="Times New Roman" w:hAnsi="Times New Roman" w:cs="Times New Roman"/>
          <w:sz w:val="24"/>
          <w:szCs w:val="24"/>
        </w:rPr>
        <w:t xml:space="preserve"> </w:t>
      </w:r>
      <w:r w:rsidRPr="00DC1FF0">
        <w:rPr>
          <w:rFonts w:ascii="Times New Roman" w:hAnsi="Times New Roman" w:cs="Times New Roman"/>
          <w:sz w:val="24"/>
          <w:szCs w:val="24"/>
        </w:rPr>
        <w:t>the PSR should be rejected by the PUCO.</w:t>
      </w:r>
    </w:p>
    <w:p w:rsidR="00164AB1" w:rsidRPr="00DC1FF0" w:rsidRDefault="00164AB1" w:rsidP="00A40A7F">
      <w:pPr>
        <w:spacing w:after="0" w:line="480" w:lineRule="auto"/>
        <w:ind w:firstLine="720"/>
        <w:rPr>
          <w:rFonts w:ascii="Times New Roman" w:hAnsi="Times New Roman" w:cs="Times New Roman"/>
          <w:sz w:val="24"/>
          <w:szCs w:val="24"/>
        </w:rPr>
      </w:pPr>
    </w:p>
    <w:p w:rsidR="00A40A7F" w:rsidRPr="00DC1FF0" w:rsidRDefault="00C2517E" w:rsidP="00A40A7F">
      <w:pPr>
        <w:pStyle w:val="Heading3"/>
        <w:rPr>
          <w:rFonts w:ascii="Times New Roman" w:hAnsi="Times New Roman" w:cs="Times New Roman"/>
          <w:szCs w:val="24"/>
        </w:rPr>
      </w:pPr>
      <w:bookmarkStart w:id="4" w:name="_Toc407632199"/>
      <w:r>
        <w:rPr>
          <w:rFonts w:ascii="Times New Roman" w:hAnsi="Times New Roman" w:cs="Times New Roman"/>
          <w:szCs w:val="24"/>
        </w:rPr>
        <w:t>1</w:t>
      </w:r>
      <w:r w:rsidR="00A40A7F" w:rsidRPr="00DC1FF0">
        <w:rPr>
          <w:rFonts w:ascii="Times New Roman" w:hAnsi="Times New Roman" w:cs="Times New Roman"/>
          <w:szCs w:val="24"/>
        </w:rPr>
        <w:t>.</w:t>
      </w:r>
      <w:r w:rsidR="00A40A7F" w:rsidRPr="00DC1FF0">
        <w:rPr>
          <w:rFonts w:ascii="Times New Roman" w:hAnsi="Times New Roman" w:cs="Times New Roman"/>
          <w:szCs w:val="24"/>
        </w:rPr>
        <w:tab/>
        <w:t>Ohio Energy Group</w:t>
      </w:r>
      <w:r w:rsidR="00664E15" w:rsidRPr="00DC1FF0">
        <w:rPr>
          <w:rFonts w:ascii="Times New Roman" w:hAnsi="Times New Roman" w:cs="Times New Roman"/>
          <w:szCs w:val="24"/>
        </w:rPr>
        <w:t>’s</w:t>
      </w:r>
      <w:r w:rsidR="00A40A7F" w:rsidRPr="00DC1FF0">
        <w:rPr>
          <w:rFonts w:ascii="Times New Roman" w:hAnsi="Times New Roman" w:cs="Times New Roman"/>
          <w:szCs w:val="24"/>
        </w:rPr>
        <w:t xml:space="preserve"> proposal </w:t>
      </w:r>
      <w:r w:rsidR="00067A8B" w:rsidRPr="00DC1FF0">
        <w:rPr>
          <w:rFonts w:ascii="Times New Roman" w:hAnsi="Times New Roman" w:cs="Times New Roman"/>
          <w:szCs w:val="24"/>
        </w:rPr>
        <w:t xml:space="preserve">extending the </w:t>
      </w:r>
      <w:r w:rsidR="00A40A7F" w:rsidRPr="00DC1FF0">
        <w:rPr>
          <w:rFonts w:ascii="Times New Roman" w:hAnsi="Times New Roman" w:cs="Times New Roman"/>
          <w:szCs w:val="24"/>
        </w:rPr>
        <w:t>PSR through calendar year 2024 would violate the law, is highly speculative, and would harm</w:t>
      </w:r>
      <w:r w:rsidR="00067A8B" w:rsidRPr="00DC1FF0">
        <w:rPr>
          <w:rFonts w:ascii="Times New Roman" w:hAnsi="Times New Roman" w:cs="Times New Roman"/>
          <w:szCs w:val="24"/>
        </w:rPr>
        <w:t xml:space="preserve"> </w:t>
      </w:r>
      <w:r w:rsidR="00A40A7F" w:rsidRPr="00DC1FF0">
        <w:rPr>
          <w:rFonts w:ascii="Times New Roman" w:hAnsi="Times New Roman" w:cs="Times New Roman"/>
          <w:szCs w:val="24"/>
        </w:rPr>
        <w:t>customers.</w:t>
      </w:r>
      <w:bookmarkEnd w:id="4"/>
    </w:p>
    <w:p w:rsidR="00067A8B" w:rsidRPr="00DC1FF0" w:rsidRDefault="00A40A7F" w:rsidP="00A40A7F">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Ohio Energy Group (“OEG”) recommended approval of a PSR to continue through year 2024, arguing that it is “good public policy” “to maintain some level of state jurisdiction over generation.”</w:t>
      </w:r>
      <w:r w:rsidRPr="00DC1FF0">
        <w:rPr>
          <w:rFonts w:ascii="Times New Roman" w:eastAsia="Times New Roman" w:hAnsi="Times New Roman" w:cs="Times New Roman"/>
          <w:sz w:val="24"/>
          <w:szCs w:val="24"/>
          <w:vertAlign w:val="superscript"/>
        </w:rPr>
        <w:footnoteReference w:id="56"/>
      </w:r>
      <w:r w:rsidR="00117ADB" w:rsidRPr="00DC1FF0">
        <w:rPr>
          <w:rFonts w:ascii="Times New Roman" w:eastAsia="Times New Roman" w:hAnsi="Times New Roman" w:cs="Times New Roman"/>
          <w:sz w:val="24"/>
          <w:szCs w:val="24"/>
        </w:rPr>
        <w:t xml:space="preserve"> </w:t>
      </w:r>
      <w:r w:rsidRPr="00DC1FF0">
        <w:rPr>
          <w:rFonts w:ascii="Times New Roman" w:eastAsia="Times New Roman" w:hAnsi="Times New Roman" w:cs="Times New Roman"/>
          <w:sz w:val="24"/>
          <w:szCs w:val="24"/>
        </w:rPr>
        <w:t xml:space="preserve">But as </w:t>
      </w:r>
      <w:r w:rsidR="00515B21">
        <w:rPr>
          <w:rFonts w:ascii="Times New Roman" w:eastAsia="Times New Roman" w:hAnsi="Times New Roman" w:cs="Times New Roman"/>
          <w:sz w:val="24"/>
          <w:szCs w:val="24"/>
        </w:rPr>
        <w:t xml:space="preserve">the </w:t>
      </w:r>
      <w:r w:rsidRPr="00DC1FF0">
        <w:rPr>
          <w:rFonts w:ascii="Times New Roman" w:eastAsia="Times New Roman" w:hAnsi="Times New Roman" w:cs="Times New Roman"/>
          <w:sz w:val="24"/>
          <w:szCs w:val="24"/>
        </w:rPr>
        <w:t>PUCO Staff emphasized, this is bad public policy</w:t>
      </w:r>
      <w:r w:rsidR="00067A8B" w:rsidRPr="00DC1FF0">
        <w:rPr>
          <w:rFonts w:ascii="Times New Roman" w:eastAsia="Times New Roman" w:hAnsi="Times New Roman" w:cs="Times New Roman"/>
          <w:sz w:val="24"/>
          <w:szCs w:val="24"/>
        </w:rPr>
        <w:t xml:space="preserve">. It amounts to a </w:t>
      </w:r>
      <w:r w:rsidRPr="00DC1FF0">
        <w:rPr>
          <w:rFonts w:ascii="Times New Roman" w:eastAsia="Times New Roman" w:hAnsi="Times New Roman" w:cs="Times New Roman"/>
          <w:sz w:val="24"/>
          <w:szCs w:val="24"/>
        </w:rPr>
        <w:t>guarantee</w:t>
      </w:r>
      <w:r w:rsidR="00067A8B" w:rsidRPr="00DC1FF0">
        <w:rPr>
          <w:rFonts w:ascii="Times New Roman" w:eastAsia="Times New Roman" w:hAnsi="Times New Roman" w:cs="Times New Roman"/>
          <w:sz w:val="24"/>
          <w:szCs w:val="24"/>
        </w:rPr>
        <w:t xml:space="preserve"> of </w:t>
      </w:r>
      <w:r w:rsidRPr="00DC1FF0">
        <w:rPr>
          <w:rFonts w:ascii="Times New Roman" w:eastAsia="Times New Roman" w:hAnsi="Times New Roman" w:cs="Times New Roman"/>
          <w:sz w:val="24"/>
          <w:szCs w:val="24"/>
        </w:rPr>
        <w:t xml:space="preserve">profits for </w:t>
      </w:r>
      <w:r w:rsidR="009F0AF3" w:rsidRPr="00DC1FF0">
        <w:rPr>
          <w:rFonts w:ascii="Times New Roman" w:eastAsia="Times New Roman" w:hAnsi="Times New Roman" w:cs="Times New Roman"/>
          <w:sz w:val="24"/>
          <w:szCs w:val="24"/>
        </w:rPr>
        <w:t xml:space="preserve">generation </w:t>
      </w:r>
      <w:r w:rsidRPr="00DC1FF0">
        <w:rPr>
          <w:rFonts w:ascii="Times New Roman" w:eastAsia="Times New Roman" w:hAnsi="Times New Roman" w:cs="Times New Roman"/>
          <w:sz w:val="24"/>
          <w:szCs w:val="24"/>
        </w:rPr>
        <w:t xml:space="preserve">services which the </w:t>
      </w:r>
      <w:r w:rsidR="009F0AF3" w:rsidRPr="00DC1FF0">
        <w:rPr>
          <w:rFonts w:ascii="Times New Roman" w:eastAsia="Times New Roman" w:hAnsi="Times New Roman" w:cs="Times New Roman"/>
          <w:sz w:val="24"/>
          <w:szCs w:val="24"/>
        </w:rPr>
        <w:t xml:space="preserve">distribution </w:t>
      </w:r>
      <w:r w:rsidR="00117ADB" w:rsidRPr="00DC1FF0">
        <w:rPr>
          <w:rFonts w:ascii="Times New Roman" w:eastAsia="Times New Roman" w:hAnsi="Times New Roman" w:cs="Times New Roman"/>
          <w:sz w:val="24"/>
          <w:szCs w:val="24"/>
        </w:rPr>
        <w:t xml:space="preserve">utility is not even providing. </w:t>
      </w:r>
      <w:r w:rsidRPr="00DC1FF0">
        <w:rPr>
          <w:rFonts w:ascii="Times New Roman" w:eastAsia="Times New Roman" w:hAnsi="Times New Roman" w:cs="Times New Roman"/>
          <w:sz w:val="24"/>
          <w:szCs w:val="24"/>
        </w:rPr>
        <w:t xml:space="preserve">And, as discussed below, OEG witness Taylor’s </w:t>
      </w:r>
      <w:r w:rsidR="009F0AF3" w:rsidRPr="00DC1FF0">
        <w:rPr>
          <w:rFonts w:ascii="Times New Roman" w:eastAsia="Times New Roman" w:hAnsi="Times New Roman" w:cs="Times New Roman"/>
          <w:sz w:val="24"/>
          <w:szCs w:val="24"/>
        </w:rPr>
        <w:t xml:space="preserve">disingenuous </w:t>
      </w:r>
      <w:r w:rsidRPr="00DC1FF0">
        <w:rPr>
          <w:rFonts w:ascii="Times New Roman" w:eastAsia="Times New Roman" w:hAnsi="Times New Roman" w:cs="Times New Roman"/>
          <w:sz w:val="24"/>
          <w:szCs w:val="24"/>
        </w:rPr>
        <w:t xml:space="preserve">proposal that OEG’s own customers be permitted to “opt out” of the PSR is indicative that OEG </w:t>
      </w:r>
      <w:r w:rsidR="00C5274B">
        <w:rPr>
          <w:rFonts w:ascii="Times New Roman" w:eastAsia="Times New Roman" w:hAnsi="Times New Roman" w:cs="Times New Roman"/>
          <w:sz w:val="24"/>
          <w:szCs w:val="24"/>
        </w:rPr>
        <w:t xml:space="preserve">is not willing to </w:t>
      </w:r>
      <w:r w:rsidR="00384CA0">
        <w:rPr>
          <w:rFonts w:ascii="Times New Roman" w:eastAsia="Times New Roman" w:hAnsi="Times New Roman" w:cs="Times New Roman"/>
          <w:sz w:val="24"/>
          <w:szCs w:val="24"/>
        </w:rPr>
        <w:t>pay for PSR</w:t>
      </w:r>
      <w:r w:rsidR="00C5274B">
        <w:rPr>
          <w:rFonts w:ascii="Times New Roman" w:eastAsia="Times New Roman" w:hAnsi="Times New Roman" w:cs="Times New Roman"/>
          <w:sz w:val="24"/>
          <w:szCs w:val="24"/>
        </w:rPr>
        <w:t>.</w:t>
      </w:r>
    </w:p>
    <w:p w:rsidR="00A40A7F" w:rsidRPr="00DC1FF0" w:rsidRDefault="00A40A7F" w:rsidP="00A40A7F">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Indeed, OEG’s proposal suffers from all of the same shortcomings associated with Duke’s PSR identifie</w:t>
      </w:r>
      <w:r w:rsidR="00117ADB" w:rsidRPr="00DC1FF0">
        <w:rPr>
          <w:rFonts w:ascii="Times New Roman" w:eastAsia="Times New Roman" w:hAnsi="Times New Roman" w:cs="Times New Roman"/>
          <w:sz w:val="24"/>
          <w:szCs w:val="24"/>
        </w:rPr>
        <w:t>d by OCC and other intervenors.</w:t>
      </w:r>
      <w:r w:rsidRPr="00DC1FF0">
        <w:rPr>
          <w:rFonts w:ascii="Times New Roman" w:eastAsia="Times New Roman" w:hAnsi="Times New Roman" w:cs="Times New Roman"/>
          <w:sz w:val="24"/>
          <w:szCs w:val="24"/>
        </w:rPr>
        <w:t xml:space="preserve"> Like Duke’s proposal, OEG Witness Taylor’s proposal for a PSR Rider through calendar year 2024 would subject customers to </w:t>
      </w:r>
      <w:r w:rsidR="00C5274B">
        <w:rPr>
          <w:rFonts w:ascii="Times New Roman" w:eastAsia="Times New Roman" w:hAnsi="Times New Roman" w:cs="Times New Roman"/>
          <w:sz w:val="24"/>
          <w:szCs w:val="24"/>
        </w:rPr>
        <w:t xml:space="preserve">years of </w:t>
      </w:r>
      <w:r w:rsidRPr="00DC1FF0">
        <w:rPr>
          <w:rFonts w:ascii="Times New Roman" w:eastAsia="Times New Roman" w:hAnsi="Times New Roman" w:cs="Times New Roman"/>
          <w:sz w:val="24"/>
          <w:szCs w:val="24"/>
        </w:rPr>
        <w:t>unlawful charges. Additionally, the OEG proposal would be inconsistent with the term of Duke’s proposed ESP and contrary to the clear intent of the law</w:t>
      </w:r>
      <w:r w:rsidR="00C5274B">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rPr>
        <w:t xml:space="preserve"> that the term of any provision of an ESP not exceed the term of the ESP as a whole.</w:t>
      </w:r>
      <w:r w:rsidRPr="00DC1FF0">
        <w:rPr>
          <w:rFonts w:ascii="Times New Roman" w:eastAsia="Times New Roman" w:hAnsi="Times New Roman" w:cs="Times New Roman"/>
          <w:sz w:val="24"/>
          <w:szCs w:val="24"/>
          <w:vertAlign w:val="superscript"/>
        </w:rPr>
        <w:footnoteReference w:id="57"/>
      </w:r>
      <w:r w:rsidRPr="00DC1FF0">
        <w:rPr>
          <w:rFonts w:ascii="Times New Roman" w:eastAsia="Times New Roman" w:hAnsi="Times New Roman" w:cs="Times New Roman"/>
          <w:sz w:val="24"/>
          <w:szCs w:val="24"/>
        </w:rPr>
        <w:t xml:space="preserve"> OEG’s proposal would also exacerbate the risk and harm to customers based on Mr. Taylor’s speculation about the market ten years into the future. The risk and likely harm to customers would be significantly greater than even Duke’s proposal for the term of the ESP. </w:t>
      </w:r>
    </w:p>
    <w:p w:rsidR="00A40A7F" w:rsidRPr="00DC1FF0" w:rsidRDefault="00A40A7F" w:rsidP="00A40A7F">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 xml:space="preserve">As discussed above, R.C. 4928.38 required Duke to be fully </w:t>
      </w:r>
      <w:r w:rsidRPr="00DC1FF0">
        <w:rPr>
          <w:rFonts w:ascii="Times New Roman" w:eastAsia="Times New Roman" w:hAnsi="Times New Roman" w:cs="Times New Roman"/>
          <w:b/>
          <w:sz w:val="24"/>
          <w:szCs w:val="24"/>
        </w:rPr>
        <w:t>on its own</w:t>
      </w:r>
      <w:r w:rsidRPr="00DC1FF0">
        <w:rPr>
          <w:rFonts w:ascii="Times New Roman" w:eastAsia="Times New Roman" w:hAnsi="Times New Roman" w:cs="Times New Roman"/>
          <w:sz w:val="24"/>
          <w:szCs w:val="24"/>
        </w:rPr>
        <w:t xml:space="preserve"> in the competitive electric generation market as of the end of its market development period. That period expired and should not be extended further. Moreover, reliance on Duke’s long-term forecasts of OVEC costs and energy market prices, as Mr. Taylor recognizes, is prone to substantial error. As he admits, he doesn’t know when “OVEC’s all-in costs are likely to be at or below market prices.”</w:t>
      </w:r>
      <w:r w:rsidRPr="00DC1FF0">
        <w:rPr>
          <w:rFonts w:ascii="Times New Roman" w:eastAsia="Times New Roman" w:hAnsi="Times New Roman" w:cs="Times New Roman"/>
          <w:sz w:val="24"/>
          <w:szCs w:val="24"/>
          <w:vertAlign w:val="superscript"/>
        </w:rPr>
        <w:footnoteReference w:id="58"/>
      </w:r>
      <w:r w:rsidR="00C5274B">
        <w:rPr>
          <w:rFonts w:ascii="Times New Roman" w:eastAsia="Times New Roman" w:hAnsi="Times New Roman" w:cs="Times New Roman"/>
          <w:sz w:val="24"/>
          <w:szCs w:val="24"/>
        </w:rPr>
        <w:t xml:space="preserve"> If he doesn’t know when, he cannot know if they will ever be at or below the market price. </w:t>
      </w:r>
    </w:p>
    <w:p w:rsidR="00A40A7F" w:rsidRPr="00DC1FF0" w:rsidRDefault="00A40A7F" w:rsidP="00A40A7F">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r>
      <w:r w:rsidR="00B57847" w:rsidRPr="00DC1FF0">
        <w:rPr>
          <w:rFonts w:ascii="Times New Roman" w:eastAsia="Times New Roman" w:hAnsi="Times New Roman" w:cs="Times New Roman"/>
          <w:sz w:val="24"/>
          <w:szCs w:val="24"/>
        </w:rPr>
        <w:t xml:space="preserve">Mr. Taylor’s recommendation ignores Ohio law. And it relies on Duke’s long-term and highly speculative forecast of OVEC costs and energy and capacity market prices. </w:t>
      </w:r>
      <w:r w:rsidRPr="00DC1FF0">
        <w:rPr>
          <w:rFonts w:ascii="Times New Roman" w:eastAsia="Times New Roman" w:hAnsi="Times New Roman" w:cs="Times New Roman"/>
          <w:sz w:val="24"/>
          <w:szCs w:val="24"/>
        </w:rPr>
        <w:t>In fact, as he admitted during cross-examination, Mr. Taylor relied entirely on Duke’s estimate of OVEC’s costs and revenues.</w:t>
      </w:r>
      <w:r w:rsidRPr="00DC1FF0">
        <w:rPr>
          <w:rFonts w:ascii="Times New Roman" w:eastAsia="Times New Roman" w:hAnsi="Times New Roman" w:cs="Times New Roman"/>
          <w:sz w:val="24"/>
          <w:szCs w:val="24"/>
          <w:vertAlign w:val="superscript"/>
        </w:rPr>
        <w:footnoteReference w:id="59"/>
      </w:r>
      <w:r w:rsidRPr="00DC1FF0">
        <w:rPr>
          <w:rFonts w:ascii="Times New Roman" w:eastAsia="Times New Roman" w:hAnsi="Times New Roman" w:cs="Times New Roman"/>
          <w:sz w:val="24"/>
          <w:szCs w:val="24"/>
        </w:rPr>
        <w:t xml:space="preserve"> He prepared no analysis of OVEC costs or revenues independently that underlie Duke’s analysis of the net cost or benefit.</w:t>
      </w:r>
      <w:r w:rsidRPr="00DC1FF0">
        <w:rPr>
          <w:rFonts w:ascii="Times New Roman" w:eastAsia="Times New Roman" w:hAnsi="Times New Roman" w:cs="Times New Roman"/>
          <w:sz w:val="24"/>
          <w:szCs w:val="24"/>
          <w:vertAlign w:val="superscript"/>
        </w:rPr>
        <w:footnoteReference w:id="60"/>
      </w:r>
      <w:r w:rsidRPr="00DC1FF0">
        <w:rPr>
          <w:rFonts w:ascii="Times New Roman" w:eastAsia="Times New Roman" w:hAnsi="Times New Roman" w:cs="Times New Roman"/>
          <w:sz w:val="24"/>
          <w:szCs w:val="24"/>
        </w:rPr>
        <w:t xml:space="preserve"> Nor did Mr. Taylor analyze Duke’s workpapers -- in fact, he did not even review the workpapers until after submitting his testimony and giving a deposition.</w:t>
      </w:r>
      <w:r w:rsidRPr="00DC1FF0">
        <w:rPr>
          <w:rFonts w:ascii="Times New Roman" w:eastAsia="Times New Roman" w:hAnsi="Times New Roman" w:cs="Times New Roman"/>
          <w:sz w:val="24"/>
          <w:szCs w:val="24"/>
          <w:vertAlign w:val="superscript"/>
        </w:rPr>
        <w:footnoteReference w:id="61"/>
      </w:r>
      <w:r w:rsidRPr="00DC1FF0">
        <w:rPr>
          <w:rFonts w:ascii="Times New Roman" w:eastAsia="Times New Roman" w:hAnsi="Times New Roman" w:cs="Times New Roman"/>
          <w:sz w:val="24"/>
          <w:szCs w:val="24"/>
        </w:rPr>
        <w:t xml:space="preserve"> Furthermore, Mr. Taylor did not attempt to analyze the OVEC budget at all.</w:t>
      </w:r>
      <w:r w:rsidRPr="00DC1FF0">
        <w:rPr>
          <w:rFonts w:ascii="Times New Roman" w:eastAsia="Times New Roman" w:hAnsi="Times New Roman" w:cs="Times New Roman"/>
          <w:sz w:val="24"/>
          <w:szCs w:val="24"/>
          <w:vertAlign w:val="superscript"/>
        </w:rPr>
        <w:footnoteReference w:id="62"/>
      </w:r>
      <w:r w:rsidRPr="00DC1FF0">
        <w:rPr>
          <w:rFonts w:ascii="Times New Roman" w:eastAsia="Times New Roman" w:hAnsi="Times New Roman" w:cs="Times New Roman"/>
          <w:sz w:val="24"/>
          <w:szCs w:val="24"/>
        </w:rPr>
        <w:t xml:space="preserve"> And his opinions were not informed by the depositions or testimony of OVEC’s Chief Financial Officer, Mr. Brodt, or Duke’s witnesses Dougherty, Zhang or Jennings pertaining to the OVEC Analysis.</w:t>
      </w:r>
      <w:r w:rsidRPr="00DC1FF0">
        <w:rPr>
          <w:rFonts w:ascii="Times New Roman" w:eastAsia="Times New Roman" w:hAnsi="Times New Roman" w:cs="Times New Roman"/>
          <w:sz w:val="24"/>
          <w:szCs w:val="24"/>
          <w:vertAlign w:val="superscript"/>
        </w:rPr>
        <w:footnoteReference w:id="63"/>
      </w:r>
    </w:p>
    <w:p w:rsidR="00A40A7F" w:rsidRPr="00DC1FF0" w:rsidRDefault="00A40A7F" w:rsidP="00A40A7F">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Given Mr. Taylor’s recognition of the insignifi</w:t>
      </w:r>
      <w:r w:rsidR="00117ADB" w:rsidRPr="00DC1FF0">
        <w:rPr>
          <w:rFonts w:ascii="Times New Roman" w:eastAsia="Times New Roman" w:hAnsi="Times New Roman" w:cs="Times New Roman"/>
          <w:sz w:val="24"/>
          <w:szCs w:val="24"/>
        </w:rPr>
        <w:t xml:space="preserve">cance </w:t>
      </w:r>
      <w:r w:rsidR="002C4F0A" w:rsidRPr="00DC1FF0">
        <w:rPr>
          <w:rFonts w:ascii="Times New Roman" w:eastAsia="Times New Roman" w:hAnsi="Times New Roman" w:cs="Times New Roman"/>
          <w:sz w:val="24"/>
          <w:szCs w:val="24"/>
        </w:rPr>
        <w:t xml:space="preserve">of any benefit </w:t>
      </w:r>
      <w:r w:rsidR="00117ADB" w:rsidRPr="00DC1FF0">
        <w:rPr>
          <w:rFonts w:ascii="Times New Roman" w:eastAsia="Times New Roman" w:hAnsi="Times New Roman" w:cs="Times New Roman"/>
          <w:sz w:val="24"/>
          <w:szCs w:val="24"/>
        </w:rPr>
        <w:t xml:space="preserve">to customers of the </w:t>
      </w:r>
      <w:r w:rsidRPr="00DC1FF0">
        <w:rPr>
          <w:rFonts w:ascii="Times New Roman" w:eastAsia="Times New Roman" w:hAnsi="Times New Roman" w:cs="Times New Roman"/>
          <w:sz w:val="24"/>
          <w:szCs w:val="24"/>
        </w:rPr>
        <w:t>PSR,</w:t>
      </w:r>
      <w:r w:rsidR="00515B21">
        <w:rPr>
          <w:rStyle w:val="FootnoteReference"/>
          <w:rFonts w:ascii="Times New Roman" w:eastAsia="Times New Roman" w:hAnsi="Times New Roman" w:cs="Times New Roman"/>
          <w:sz w:val="24"/>
          <w:szCs w:val="24"/>
        </w:rPr>
        <w:footnoteReference w:id="64"/>
      </w:r>
      <w:r w:rsidRPr="00DC1FF0">
        <w:rPr>
          <w:rFonts w:ascii="Times New Roman" w:eastAsia="Times New Roman" w:hAnsi="Times New Roman" w:cs="Times New Roman"/>
          <w:sz w:val="24"/>
          <w:szCs w:val="24"/>
        </w:rPr>
        <w:t xml:space="preserve"> it is difficult to understand his insisten</w:t>
      </w:r>
      <w:r w:rsidR="00C5274B">
        <w:rPr>
          <w:rFonts w:ascii="Times New Roman" w:eastAsia="Times New Roman" w:hAnsi="Times New Roman" w:cs="Times New Roman"/>
          <w:sz w:val="24"/>
          <w:szCs w:val="24"/>
        </w:rPr>
        <w:t>ce on it. Nonetheless, OCC</w:t>
      </w:r>
      <w:r w:rsidRPr="00DC1FF0">
        <w:rPr>
          <w:rFonts w:ascii="Times New Roman" w:eastAsia="Times New Roman" w:hAnsi="Times New Roman" w:cs="Times New Roman"/>
          <w:sz w:val="24"/>
          <w:szCs w:val="24"/>
        </w:rPr>
        <w:t xml:space="preserve"> emphasize</w:t>
      </w:r>
      <w:r w:rsidR="00C5274B">
        <w:rPr>
          <w:rFonts w:ascii="Times New Roman" w:eastAsia="Times New Roman" w:hAnsi="Times New Roman" w:cs="Times New Roman"/>
          <w:sz w:val="24"/>
          <w:szCs w:val="24"/>
        </w:rPr>
        <w:t>s</w:t>
      </w:r>
      <w:r w:rsidRPr="00DC1FF0">
        <w:rPr>
          <w:rFonts w:ascii="Times New Roman" w:eastAsia="Times New Roman" w:hAnsi="Times New Roman" w:cs="Times New Roman"/>
          <w:sz w:val="24"/>
          <w:szCs w:val="24"/>
        </w:rPr>
        <w:t xml:space="preserve"> that Mr. Taylor changed his position on the opt-out from his testimony in AEP Ohio’s </w:t>
      </w:r>
      <w:r w:rsidR="00117ADB" w:rsidRPr="00DC1FF0">
        <w:rPr>
          <w:rFonts w:ascii="Times New Roman" w:eastAsia="Times New Roman" w:hAnsi="Times New Roman" w:cs="Times New Roman"/>
          <w:sz w:val="24"/>
          <w:szCs w:val="24"/>
        </w:rPr>
        <w:t xml:space="preserve">recent </w:t>
      </w:r>
      <w:r w:rsidRPr="00DC1FF0">
        <w:rPr>
          <w:rFonts w:ascii="Times New Roman" w:eastAsia="Times New Roman" w:hAnsi="Times New Roman" w:cs="Times New Roman"/>
          <w:sz w:val="24"/>
          <w:szCs w:val="24"/>
        </w:rPr>
        <w:t xml:space="preserve">ESP proceeding. In AEP Ohio’s ESP proceeding, Mr. Taylor testified that </w:t>
      </w:r>
      <w:r w:rsidR="009F0AF3" w:rsidRPr="00DC1FF0">
        <w:rPr>
          <w:rFonts w:ascii="Times New Roman" w:eastAsia="Times New Roman" w:hAnsi="Times New Roman" w:cs="Times New Roman"/>
          <w:sz w:val="24"/>
          <w:szCs w:val="24"/>
        </w:rPr>
        <w:t xml:space="preserve">he </w:t>
      </w:r>
      <w:r w:rsidRPr="00DC1FF0">
        <w:rPr>
          <w:rFonts w:ascii="Times New Roman" w:eastAsia="Times New Roman" w:hAnsi="Times New Roman" w:cs="Times New Roman"/>
          <w:sz w:val="24"/>
          <w:szCs w:val="24"/>
        </w:rPr>
        <w:t>would have no objection to the opt-out from the OVEC PPA Rider in that case being extended to an entire class of customers, such as the residential class, so that the class could “self-insure” in Mr. Taylor’s terminology.</w:t>
      </w:r>
      <w:r w:rsidRPr="00DC1FF0">
        <w:rPr>
          <w:rFonts w:ascii="Times New Roman" w:eastAsia="Times New Roman" w:hAnsi="Times New Roman" w:cs="Times New Roman"/>
          <w:sz w:val="24"/>
          <w:szCs w:val="24"/>
          <w:vertAlign w:val="superscript"/>
        </w:rPr>
        <w:footnoteReference w:id="65"/>
      </w:r>
      <w:r w:rsidRPr="00DC1FF0">
        <w:rPr>
          <w:rFonts w:ascii="Times New Roman" w:eastAsia="Times New Roman" w:hAnsi="Times New Roman" w:cs="Times New Roman"/>
          <w:sz w:val="24"/>
          <w:szCs w:val="24"/>
        </w:rPr>
        <w:t xml:space="preserve"> However, </w:t>
      </w:r>
      <w:r w:rsidR="001065DB">
        <w:rPr>
          <w:rFonts w:ascii="Times New Roman" w:eastAsia="Times New Roman" w:hAnsi="Times New Roman" w:cs="Times New Roman"/>
          <w:sz w:val="24"/>
          <w:szCs w:val="24"/>
        </w:rPr>
        <w:t xml:space="preserve">only a few months later, </w:t>
      </w:r>
      <w:r w:rsidRPr="00DC1FF0">
        <w:rPr>
          <w:rFonts w:ascii="Times New Roman" w:eastAsia="Times New Roman" w:hAnsi="Times New Roman" w:cs="Times New Roman"/>
          <w:sz w:val="24"/>
          <w:szCs w:val="24"/>
        </w:rPr>
        <w:t>in the current case, Mr. Taylor testified that he would disagree with such a proposal.</w:t>
      </w:r>
      <w:r w:rsidRPr="00DC1FF0">
        <w:rPr>
          <w:rFonts w:ascii="Times New Roman" w:eastAsia="Times New Roman" w:hAnsi="Times New Roman" w:cs="Times New Roman"/>
          <w:sz w:val="24"/>
          <w:szCs w:val="24"/>
          <w:vertAlign w:val="superscript"/>
        </w:rPr>
        <w:footnoteReference w:id="66"/>
      </w:r>
      <w:r w:rsidRPr="00DC1FF0">
        <w:rPr>
          <w:rFonts w:ascii="Times New Roman" w:eastAsia="Times New Roman" w:hAnsi="Times New Roman" w:cs="Times New Roman"/>
          <w:sz w:val="24"/>
          <w:szCs w:val="24"/>
        </w:rPr>
        <w:t xml:space="preserve"> There is no sound basis for Mr. Taylor’s change in position from his position in AEP Ohio ESP proceeding. If large customers are permitted to opt-out of Rider PSR, OCC should be permitted to opt out on behalf of the entire residential class.</w:t>
      </w:r>
      <w:r w:rsidR="001065DB">
        <w:rPr>
          <w:rFonts w:ascii="Times New Roman" w:eastAsia="Times New Roman" w:hAnsi="Times New Roman" w:cs="Times New Roman"/>
          <w:sz w:val="24"/>
          <w:szCs w:val="24"/>
        </w:rPr>
        <w:t xml:space="preserve"> </w:t>
      </w:r>
      <w:r w:rsidR="009F0AF3" w:rsidRPr="00DC1FF0">
        <w:rPr>
          <w:rFonts w:ascii="Times New Roman" w:eastAsia="Times New Roman" w:hAnsi="Times New Roman" w:cs="Times New Roman"/>
          <w:sz w:val="24"/>
          <w:szCs w:val="24"/>
        </w:rPr>
        <w:t xml:space="preserve">The residential class should enjoy the same </w:t>
      </w:r>
      <w:r w:rsidR="001065DB">
        <w:rPr>
          <w:rFonts w:ascii="Times New Roman" w:eastAsia="Times New Roman" w:hAnsi="Times New Roman" w:cs="Times New Roman"/>
          <w:sz w:val="24"/>
          <w:szCs w:val="24"/>
        </w:rPr>
        <w:t>right</w:t>
      </w:r>
      <w:r w:rsidR="009F0AF3" w:rsidRPr="00DC1FF0">
        <w:rPr>
          <w:rFonts w:ascii="Times New Roman" w:eastAsia="Times New Roman" w:hAnsi="Times New Roman" w:cs="Times New Roman"/>
          <w:sz w:val="24"/>
          <w:szCs w:val="24"/>
        </w:rPr>
        <w:t xml:space="preserve"> of choosing the best position be</w:t>
      </w:r>
      <w:r w:rsidR="00164AB1" w:rsidRPr="00DC1FF0">
        <w:rPr>
          <w:rFonts w:ascii="Times New Roman" w:eastAsia="Times New Roman" w:hAnsi="Times New Roman" w:cs="Times New Roman"/>
          <w:sz w:val="24"/>
          <w:szCs w:val="24"/>
        </w:rPr>
        <w:t>t</w:t>
      </w:r>
      <w:r w:rsidR="009F0AF3" w:rsidRPr="00DC1FF0">
        <w:rPr>
          <w:rFonts w:ascii="Times New Roman" w:eastAsia="Times New Roman" w:hAnsi="Times New Roman" w:cs="Times New Roman"/>
          <w:sz w:val="24"/>
          <w:szCs w:val="24"/>
        </w:rPr>
        <w:t>ween regulation and market that the large industrial customers desire.</w:t>
      </w:r>
      <w:r w:rsidR="001065DB">
        <w:rPr>
          <w:rFonts w:ascii="Times New Roman" w:eastAsia="Times New Roman" w:hAnsi="Times New Roman" w:cs="Times New Roman"/>
          <w:sz w:val="24"/>
          <w:szCs w:val="24"/>
        </w:rPr>
        <w:t xml:space="preserve"> Such a right should not be reserved only for large industrial cu</w:t>
      </w:r>
      <w:r w:rsidR="00515B21">
        <w:rPr>
          <w:rFonts w:ascii="Times New Roman" w:eastAsia="Times New Roman" w:hAnsi="Times New Roman" w:cs="Times New Roman"/>
          <w:sz w:val="24"/>
          <w:szCs w:val="24"/>
        </w:rPr>
        <w:t>s</w:t>
      </w:r>
      <w:r w:rsidR="001065DB">
        <w:rPr>
          <w:rFonts w:ascii="Times New Roman" w:eastAsia="Times New Roman" w:hAnsi="Times New Roman" w:cs="Times New Roman"/>
          <w:sz w:val="24"/>
          <w:szCs w:val="24"/>
        </w:rPr>
        <w:t>tomers.</w:t>
      </w:r>
    </w:p>
    <w:p w:rsidR="00A40A7F" w:rsidRPr="00DC1FF0" w:rsidRDefault="00117ADB" w:rsidP="00A40A7F">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OEG’s Initial B</w:t>
      </w:r>
      <w:r w:rsidR="00A40A7F" w:rsidRPr="00DC1FF0">
        <w:rPr>
          <w:rFonts w:ascii="Times New Roman" w:eastAsia="Times New Roman" w:hAnsi="Times New Roman" w:cs="Times New Roman"/>
          <w:sz w:val="24"/>
          <w:szCs w:val="24"/>
        </w:rPr>
        <w:t>rief also argues some of the same issues presented by Duke such as the impact of coal plant retirements on reliability in PJM.</w:t>
      </w:r>
      <w:r w:rsidRPr="00DC1FF0">
        <w:rPr>
          <w:rFonts w:ascii="Times New Roman" w:eastAsia="Times New Roman" w:hAnsi="Times New Roman" w:cs="Times New Roman"/>
          <w:sz w:val="24"/>
          <w:szCs w:val="24"/>
        </w:rPr>
        <w:t xml:space="preserve"> </w:t>
      </w:r>
      <w:r w:rsidR="00A40A7F" w:rsidRPr="00DC1FF0">
        <w:rPr>
          <w:rFonts w:ascii="Times New Roman" w:eastAsia="Times New Roman" w:hAnsi="Times New Roman" w:cs="Times New Roman"/>
          <w:sz w:val="24"/>
          <w:szCs w:val="24"/>
        </w:rPr>
        <w:t>But OEG’s position on th</w:t>
      </w:r>
      <w:r w:rsidR="009F0AF3" w:rsidRPr="00DC1FF0">
        <w:rPr>
          <w:rFonts w:ascii="Times New Roman" w:eastAsia="Times New Roman" w:hAnsi="Times New Roman" w:cs="Times New Roman"/>
          <w:sz w:val="24"/>
          <w:szCs w:val="24"/>
        </w:rPr>
        <w:t>is</w:t>
      </w:r>
      <w:r w:rsidR="00A40A7F" w:rsidRPr="00DC1FF0">
        <w:rPr>
          <w:rFonts w:ascii="Times New Roman" w:eastAsia="Times New Roman" w:hAnsi="Times New Roman" w:cs="Times New Roman"/>
          <w:sz w:val="24"/>
          <w:szCs w:val="24"/>
        </w:rPr>
        <w:t xml:space="preserve"> issue, like Duke’s position, </w:t>
      </w:r>
      <w:r w:rsidRPr="00DC1FF0">
        <w:rPr>
          <w:rFonts w:ascii="Times New Roman" w:eastAsia="Times New Roman" w:hAnsi="Times New Roman" w:cs="Times New Roman"/>
          <w:sz w:val="24"/>
          <w:szCs w:val="24"/>
        </w:rPr>
        <w:t xml:space="preserve">does not stand up to scrutiny. </w:t>
      </w:r>
      <w:r w:rsidR="00A40A7F" w:rsidRPr="00DC1FF0">
        <w:rPr>
          <w:rFonts w:ascii="Times New Roman" w:eastAsia="Times New Roman" w:hAnsi="Times New Roman" w:cs="Times New Roman"/>
          <w:sz w:val="24"/>
          <w:szCs w:val="24"/>
        </w:rPr>
        <w:t>The assumption that coal plant retirements will impact reliability or drive up energy prices is ba</w:t>
      </w:r>
      <w:r w:rsidRPr="00DC1FF0">
        <w:rPr>
          <w:rFonts w:ascii="Times New Roman" w:eastAsia="Times New Roman" w:hAnsi="Times New Roman" w:cs="Times New Roman"/>
          <w:sz w:val="24"/>
          <w:szCs w:val="24"/>
        </w:rPr>
        <w:t>seless as discussed previously.</w:t>
      </w:r>
      <w:r w:rsidR="00164AB1" w:rsidRPr="00DC1FF0">
        <w:rPr>
          <w:rFonts w:ascii="Times New Roman" w:eastAsia="Times New Roman" w:hAnsi="Times New Roman" w:cs="Times New Roman"/>
          <w:sz w:val="24"/>
          <w:szCs w:val="24"/>
        </w:rPr>
        <w:t xml:space="preserve"> </w:t>
      </w:r>
      <w:r w:rsidR="00A40A7F" w:rsidRPr="00DC1FF0">
        <w:rPr>
          <w:rFonts w:ascii="Times New Roman" w:eastAsia="Times New Roman" w:hAnsi="Times New Roman" w:cs="Times New Roman"/>
          <w:sz w:val="24"/>
          <w:szCs w:val="24"/>
        </w:rPr>
        <w:t>OEG’s arguments for a PSR, albeit a different PSR, should be rejected.</w:t>
      </w:r>
    </w:p>
    <w:p w:rsidR="00926C46" w:rsidRPr="00DC1FF0" w:rsidRDefault="00926C46" w:rsidP="00926C46">
      <w:pPr>
        <w:spacing w:after="0" w:line="240" w:lineRule="auto"/>
        <w:ind w:firstLine="720"/>
        <w:rPr>
          <w:rFonts w:ascii="Times New Roman" w:eastAsia="Times New Roman" w:hAnsi="Times New Roman" w:cs="Times New Roman"/>
          <w:sz w:val="24"/>
          <w:szCs w:val="24"/>
        </w:rPr>
      </w:pPr>
    </w:p>
    <w:p w:rsidR="00DC1FF0" w:rsidRPr="00DC1FF0" w:rsidRDefault="00DC1FF0" w:rsidP="00DC1FF0">
      <w:pPr>
        <w:pStyle w:val="Heading1"/>
        <w:rPr>
          <w:rFonts w:ascii="Times New Roman" w:hAnsi="Times New Roman" w:cs="Times New Roman"/>
          <w:szCs w:val="24"/>
        </w:rPr>
      </w:pPr>
      <w:bookmarkStart w:id="5" w:name="_Toc407632200"/>
      <w:r w:rsidRPr="00DC1FF0">
        <w:rPr>
          <w:rFonts w:ascii="Times New Roman" w:hAnsi="Times New Roman" w:cs="Times New Roman"/>
          <w:szCs w:val="24"/>
        </w:rPr>
        <w:t>ESP v. MRO</w:t>
      </w:r>
      <w:bookmarkEnd w:id="5"/>
      <w:r w:rsidRPr="00DC1FF0">
        <w:rPr>
          <w:rFonts w:ascii="Times New Roman" w:hAnsi="Times New Roman" w:cs="Times New Roman"/>
          <w:szCs w:val="24"/>
        </w:rPr>
        <w:t xml:space="preserve"> </w:t>
      </w:r>
    </w:p>
    <w:p w:rsidR="00DC1FF0" w:rsidRPr="00DC1FF0" w:rsidRDefault="00DC1FF0" w:rsidP="00DC1FF0">
      <w:pPr>
        <w:pStyle w:val="Heading2"/>
        <w:rPr>
          <w:rFonts w:ascii="Times New Roman" w:eastAsia="Times New Roman" w:hAnsi="Times New Roman" w:cs="Times New Roman"/>
          <w:szCs w:val="24"/>
          <w:u w:val="single"/>
        </w:rPr>
      </w:pPr>
      <w:bookmarkStart w:id="6" w:name="_Toc407632201"/>
      <w:r w:rsidRPr="00DC1FF0">
        <w:rPr>
          <w:rFonts w:ascii="Times New Roman" w:eastAsia="Times New Roman" w:hAnsi="Times New Roman" w:cs="Times New Roman"/>
          <w:szCs w:val="24"/>
        </w:rPr>
        <w:t>A.</w:t>
      </w:r>
      <w:r w:rsidRPr="00DC1FF0">
        <w:rPr>
          <w:rFonts w:ascii="Times New Roman" w:eastAsia="Times New Roman" w:hAnsi="Times New Roman" w:cs="Times New Roman"/>
          <w:szCs w:val="24"/>
        </w:rPr>
        <w:tab/>
        <w:t>Duke’s proposed ESP is not more favorable than an MRO under the PUCO’s traditional application of the statutory test.  It should be rejected or modified.</w:t>
      </w:r>
      <w:bookmarkEnd w:id="6"/>
    </w:p>
    <w:p w:rsidR="00DC1FF0" w:rsidRPr="00DC1FF0" w:rsidRDefault="00DC1FF0" w:rsidP="00DC1FF0">
      <w:pPr>
        <w:spacing w:before="240"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All parties briefing this issue</w:t>
      </w:r>
      <w:r w:rsidRPr="00DC1FF0">
        <w:rPr>
          <w:rFonts w:ascii="Times New Roman" w:eastAsia="Times New Roman" w:hAnsi="Times New Roman" w:cs="Times New Roman"/>
          <w:sz w:val="24"/>
          <w:szCs w:val="24"/>
          <w:vertAlign w:val="superscript"/>
        </w:rPr>
        <w:footnoteReference w:id="67"/>
      </w:r>
      <w:r w:rsidRPr="00DC1FF0">
        <w:rPr>
          <w:rFonts w:ascii="Times New Roman" w:eastAsia="Times New Roman" w:hAnsi="Times New Roman" w:cs="Times New Roman"/>
          <w:sz w:val="24"/>
          <w:szCs w:val="24"/>
        </w:rPr>
        <w:t xml:space="preserve"> recognize that the PUCO’s traditional analysis of the ESP v. MRO test</w:t>
      </w:r>
      <w:r w:rsidRPr="00DC1FF0">
        <w:rPr>
          <w:rFonts w:ascii="Times New Roman" w:eastAsia="Times New Roman" w:hAnsi="Times New Roman" w:cs="Times New Roman"/>
          <w:sz w:val="24"/>
          <w:szCs w:val="24"/>
          <w:vertAlign w:val="superscript"/>
        </w:rPr>
        <w:footnoteReference w:id="68"/>
      </w:r>
      <w:r w:rsidRPr="00DC1FF0">
        <w:rPr>
          <w:rFonts w:ascii="Times New Roman" w:eastAsia="Times New Roman" w:hAnsi="Times New Roman" w:cs="Times New Roman"/>
          <w:sz w:val="24"/>
          <w:szCs w:val="24"/>
        </w:rPr>
        <w:t xml:space="preserve"> requires the consideration of three elements:  (1) the SSO price of generation to customers, (2) other quantifiable provisions, and (3) qualitative provisions.</w:t>
      </w:r>
      <w:r w:rsidRPr="00DC1FF0">
        <w:rPr>
          <w:rFonts w:ascii="Times New Roman" w:eastAsia="Times New Roman" w:hAnsi="Times New Roman" w:cs="Times New Roman"/>
          <w:sz w:val="24"/>
          <w:szCs w:val="24"/>
          <w:vertAlign w:val="superscript"/>
        </w:rPr>
        <w:footnoteReference w:id="69"/>
      </w:r>
      <w:r w:rsidRPr="00DC1FF0">
        <w:rPr>
          <w:rFonts w:ascii="Times New Roman" w:eastAsia="Times New Roman" w:hAnsi="Times New Roman" w:cs="Times New Roman"/>
          <w:sz w:val="24"/>
          <w:szCs w:val="24"/>
        </w:rPr>
        <w:t xml:space="preserve"> These three elements, combined, are compared to the results that would be obtained under R.C. 4928.142, if the SSO were proposed in the form of an MRO. From this comparison, the PUCO makes its determination whether the proposed ESP, in the aggregate, is more favorable than an SSO in the form of an MRO. All of the parties briefing this issue, except Duke, agree that the proposed ESP is </w:t>
      </w:r>
      <w:r w:rsidRPr="00DC1FF0">
        <w:rPr>
          <w:rFonts w:ascii="Times New Roman" w:eastAsia="Times New Roman" w:hAnsi="Times New Roman" w:cs="Times New Roman"/>
          <w:b/>
          <w:sz w:val="24"/>
          <w:szCs w:val="24"/>
        </w:rPr>
        <w:t xml:space="preserve">less </w:t>
      </w:r>
      <w:r w:rsidRPr="00DC1FF0">
        <w:rPr>
          <w:rFonts w:ascii="Times New Roman" w:eastAsia="Times New Roman" w:hAnsi="Times New Roman" w:cs="Times New Roman"/>
          <w:sz w:val="24"/>
          <w:szCs w:val="24"/>
        </w:rPr>
        <w:t xml:space="preserve">favorable than an MRO. The PUCO should so find and reject Duke’s </w:t>
      </w:r>
      <w:r w:rsidR="001065DB">
        <w:rPr>
          <w:rFonts w:ascii="Times New Roman" w:eastAsia="Times New Roman" w:hAnsi="Times New Roman" w:cs="Times New Roman"/>
          <w:sz w:val="24"/>
          <w:szCs w:val="24"/>
        </w:rPr>
        <w:t>A</w:t>
      </w:r>
      <w:r w:rsidRPr="00DC1FF0">
        <w:rPr>
          <w:rFonts w:ascii="Times New Roman" w:eastAsia="Times New Roman" w:hAnsi="Times New Roman" w:cs="Times New Roman"/>
          <w:sz w:val="24"/>
          <w:szCs w:val="24"/>
        </w:rPr>
        <w:t>pplication, or modify the provisions in the ESP to satisfy the statutory test.</w:t>
      </w:r>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 xml:space="preserve">In addressing the test’s first element, Duke’s position is that the SSO price of generation would be the same under an SSO offered as an ESP or as an MRO. Duke reasons that the price under either would be determined by the same competitive bid process. OCC and all other parties agree. However, the parties </w:t>
      </w:r>
      <w:r w:rsidR="00515B21">
        <w:rPr>
          <w:rFonts w:ascii="Times New Roman" w:eastAsia="Times New Roman" w:hAnsi="Times New Roman" w:cs="Times New Roman"/>
          <w:sz w:val="24"/>
          <w:szCs w:val="24"/>
        </w:rPr>
        <w:t xml:space="preserve">significantly disagree with </w:t>
      </w:r>
      <w:r w:rsidRPr="00DC1FF0">
        <w:rPr>
          <w:rFonts w:ascii="Times New Roman" w:eastAsia="Times New Roman" w:hAnsi="Times New Roman" w:cs="Times New Roman"/>
          <w:sz w:val="24"/>
          <w:szCs w:val="24"/>
        </w:rPr>
        <w:t>Duke’s analysis under of the test’s second and third elements.</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Under the second element, Duke claims that n</w:t>
      </w:r>
      <w:r w:rsidR="00515B21">
        <w:rPr>
          <w:rFonts w:ascii="Times New Roman" w:eastAsia="Times New Roman" w:hAnsi="Times New Roman" w:cs="Times New Roman"/>
          <w:sz w:val="24"/>
          <w:szCs w:val="24"/>
        </w:rPr>
        <w:t>o other provisions in its ESP are</w:t>
      </w:r>
      <w:r w:rsidRPr="00DC1FF0">
        <w:rPr>
          <w:rFonts w:ascii="Times New Roman" w:eastAsia="Times New Roman" w:hAnsi="Times New Roman" w:cs="Times New Roman"/>
          <w:sz w:val="24"/>
          <w:szCs w:val="24"/>
        </w:rPr>
        <w:t xml:space="preserve"> quantifiable.</w:t>
      </w:r>
      <w:r w:rsidRPr="00DC1FF0">
        <w:rPr>
          <w:rFonts w:ascii="Times New Roman" w:eastAsia="Times New Roman" w:hAnsi="Times New Roman" w:cs="Times New Roman"/>
          <w:sz w:val="24"/>
          <w:szCs w:val="24"/>
          <w:vertAlign w:val="superscript"/>
        </w:rPr>
        <w:footnoteReference w:id="70"/>
      </w:r>
      <w:r w:rsidRPr="00DC1FF0">
        <w:rPr>
          <w:rFonts w:ascii="Times New Roman" w:eastAsia="Times New Roman" w:hAnsi="Times New Roman" w:cs="Times New Roman"/>
          <w:sz w:val="24"/>
          <w:szCs w:val="24"/>
        </w:rPr>
        <w:t xml:space="preserve"> However, the evidence shows, based upon Duke’s own data, that the PSR will cost Ohio’s consumers an additional $22 million over the ESP’s three year term, and possibly much more thereafter.</w:t>
      </w:r>
      <w:r w:rsidRPr="00DC1FF0">
        <w:rPr>
          <w:rFonts w:ascii="Times New Roman" w:eastAsia="Times New Roman" w:hAnsi="Times New Roman" w:cs="Times New Roman"/>
          <w:sz w:val="24"/>
          <w:szCs w:val="24"/>
          <w:vertAlign w:val="superscript"/>
        </w:rPr>
        <w:footnoteReference w:id="71"/>
      </w:r>
      <w:r w:rsidRPr="00DC1FF0">
        <w:rPr>
          <w:rFonts w:ascii="Times New Roman" w:eastAsia="Times New Roman" w:hAnsi="Times New Roman" w:cs="Times New Roman"/>
          <w:sz w:val="24"/>
          <w:szCs w:val="24"/>
        </w:rPr>
        <w:t xml:space="preserve"> The PUCO’s precedent requires that when an ESP provision is quantifiable and not available under an MRO, the provision must be included as a cost of the ESP.</w:t>
      </w:r>
      <w:r w:rsidRPr="00DC1FF0">
        <w:rPr>
          <w:rFonts w:ascii="Times New Roman" w:eastAsia="Times New Roman" w:hAnsi="Times New Roman" w:cs="Times New Roman"/>
          <w:sz w:val="24"/>
          <w:szCs w:val="24"/>
          <w:vertAlign w:val="superscript"/>
        </w:rPr>
        <w:footnoteReference w:id="72"/>
      </w:r>
      <w:r w:rsidRPr="00DC1FF0">
        <w:rPr>
          <w:rFonts w:ascii="Times New Roman" w:eastAsia="Times New Roman" w:hAnsi="Times New Roman" w:cs="Times New Roman"/>
          <w:sz w:val="24"/>
          <w:szCs w:val="24"/>
        </w:rPr>
        <w:t xml:space="preserve"> Duke erred in failing to do so. When properly considering the PSR’s cost, there’s no doubt that the ESP is less favorable than an MRO.</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Nevertheless, Duke argues that because the SSO generation price is the same under either form of SSO</w:t>
      </w:r>
      <w:r w:rsidR="001065DB">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rPr>
        <w:t xml:space="preserve"> and because no other provisions are quantifiable, its proposed ESP must be approved based solely on the alleged qualitative benefits it identifies. </w:t>
      </w:r>
      <w:r w:rsidRPr="00DC1FF0">
        <w:rPr>
          <w:rStyle w:val="FootnoteReference"/>
          <w:rFonts w:ascii="Times New Roman" w:eastAsia="Times New Roman" w:hAnsi="Times New Roman" w:cs="Times New Roman"/>
          <w:sz w:val="24"/>
          <w:szCs w:val="24"/>
        </w:rPr>
        <w:footnoteReference w:id="73"/>
      </w:r>
      <w:r w:rsidRPr="00DC1FF0">
        <w:rPr>
          <w:rFonts w:ascii="Times New Roman" w:eastAsia="Times New Roman" w:hAnsi="Times New Roman" w:cs="Times New Roman"/>
          <w:sz w:val="24"/>
          <w:szCs w:val="24"/>
        </w:rPr>
        <w:t xml:space="preserve"> However, the evidence shows that these claimed “qualitative benefits” are either (1) not beneficial at all or (2) could be provided if the SSO were in the form of an MRO.</w:t>
      </w:r>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In making its determination under the test, the PUCO must find that Duke’s proposed ESP is significantly less favorable than an MRO on a quantitative basis. Because the ESP contains no bona fid</w:t>
      </w:r>
      <w:r w:rsidR="001065DB">
        <w:rPr>
          <w:rFonts w:ascii="Times New Roman" w:eastAsia="Times New Roman" w:hAnsi="Times New Roman" w:cs="Times New Roman"/>
          <w:sz w:val="24"/>
          <w:szCs w:val="24"/>
        </w:rPr>
        <w:t>e qualitative benefits, Duke’s A</w:t>
      </w:r>
      <w:r w:rsidRPr="00DC1FF0">
        <w:rPr>
          <w:rFonts w:ascii="Times New Roman" w:eastAsia="Times New Roman" w:hAnsi="Times New Roman" w:cs="Times New Roman"/>
          <w:sz w:val="24"/>
          <w:szCs w:val="24"/>
        </w:rPr>
        <w:t>pplication must be denied, or modified to comply with the statutory test. The PUCO must provide the same relief even if it were to find some measure of qualitative benefits to Duke’s Application, considering that the qualitative benefits are insufficient to overcome the significant costs that the PSR would impose on Ohio’s consumers.</w:t>
      </w:r>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The following analysis addresses in more detail the elements of the statutory test and how Duke has misconstrued the test’s statutory, regulatory and judicial requirements.</w:t>
      </w:r>
    </w:p>
    <w:p w:rsidR="00DC1FF0" w:rsidRPr="00DC1FF0" w:rsidRDefault="00DC1FF0" w:rsidP="00DC1FF0">
      <w:pPr>
        <w:pStyle w:val="Heading3"/>
        <w:rPr>
          <w:rFonts w:ascii="Times New Roman" w:eastAsia="Times New Roman" w:hAnsi="Times New Roman" w:cs="Times New Roman"/>
          <w:szCs w:val="24"/>
        </w:rPr>
      </w:pPr>
      <w:bookmarkStart w:id="7" w:name="_Toc407632202"/>
      <w:r w:rsidRPr="00DC1FF0">
        <w:rPr>
          <w:rFonts w:ascii="Times New Roman" w:eastAsia="Times New Roman" w:hAnsi="Times New Roman" w:cs="Times New Roman"/>
          <w:szCs w:val="24"/>
        </w:rPr>
        <w:t>1.</w:t>
      </w:r>
      <w:r w:rsidRPr="00DC1FF0">
        <w:rPr>
          <w:rFonts w:ascii="Times New Roman" w:eastAsia="Times New Roman" w:hAnsi="Times New Roman" w:cs="Times New Roman"/>
          <w:szCs w:val="24"/>
        </w:rPr>
        <w:tab/>
        <w:t>The test’s first element: determination of the SSO generation price</w:t>
      </w:r>
      <w:bookmarkEnd w:id="7"/>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As stated above, the SSO generation price would be determined by essentially the same competitive bid process under either the proposed ESP or an MRO. Thus, all parties briefing this issue agree that the SSO generation price would be quantitatively equal under either form of SSO.</w:t>
      </w:r>
    </w:p>
    <w:p w:rsidR="00DC1FF0" w:rsidRPr="00DC1FF0" w:rsidRDefault="00DC1FF0" w:rsidP="00DC1FF0">
      <w:pPr>
        <w:pStyle w:val="Heading3"/>
        <w:rPr>
          <w:rFonts w:ascii="Times New Roman" w:eastAsia="Times New Roman" w:hAnsi="Times New Roman" w:cs="Times New Roman"/>
          <w:szCs w:val="24"/>
        </w:rPr>
      </w:pPr>
      <w:bookmarkStart w:id="8" w:name="_Toc407632203"/>
      <w:r w:rsidRPr="00DC1FF0">
        <w:rPr>
          <w:rFonts w:ascii="Times New Roman" w:eastAsia="Times New Roman" w:hAnsi="Times New Roman" w:cs="Times New Roman"/>
          <w:szCs w:val="24"/>
        </w:rPr>
        <w:t>2.</w:t>
      </w:r>
      <w:r w:rsidRPr="00DC1FF0">
        <w:rPr>
          <w:rFonts w:ascii="Times New Roman" w:eastAsia="Times New Roman" w:hAnsi="Times New Roman" w:cs="Times New Roman"/>
          <w:szCs w:val="24"/>
        </w:rPr>
        <w:tab/>
        <w:t>The test’s second element: cost quantification of ESP provisions</w:t>
      </w:r>
      <w:bookmarkEnd w:id="8"/>
      <w:r w:rsidRPr="00DC1FF0">
        <w:rPr>
          <w:rFonts w:ascii="Times New Roman" w:eastAsia="Times New Roman" w:hAnsi="Times New Roman" w:cs="Times New Roman"/>
          <w:szCs w:val="24"/>
        </w:rPr>
        <w:t xml:space="preserve"> </w:t>
      </w:r>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The Ohio Supreme Court has made clear that the only provisions that may be included in an ESP are the pricing for generation supply, pursuant to R.C. 4928.143(B)(1), and the nine other cost items contained in R.C. 4928.143(B)(2).</w:t>
      </w:r>
      <w:r w:rsidRPr="00DC1FF0">
        <w:rPr>
          <w:rFonts w:ascii="Times New Roman" w:eastAsia="Times New Roman" w:hAnsi="Times New Roman" w:cs="Times New Roman"/>
          <w:sz w:val="24"/>
          <w:szCs w:val="24"/>
          <w:vertAlign w:val="superscript"/>
        </w:rPr>
        <w:footnoteReference w:id="74"/>
      </w:r>
      <w:r w:rsidRPr="00DC1FF0">
        <w:rPr>
          <w:rFonts w:ascii="Times New Roman" w:eastAsia="Times New Roman" w:hAnsi="Times New Roman" w:cs="Times New Roman"/>
          <w:sz w:val="24"/>
          <w:szCs w:val="24"/>
        </w:rPr>
        <w:t xml:space="preserve"> Duke states that its proposed PSR is nothing more than a financial device that provides a hedge to customers against wholesale price volatility.</w:t>
      </w:r>
      <w:r w:rsidRPr="00DC1FF0">
        <w:rPr>
          <w:rFonts w:ascii="Times New Roman" w:eastAsia="Times New Roman" w:hAnsi="Times New Roman" w:cs="Times New Roman"/>
          <w:sz w:val="24"/>
          <w:szCs w:val="24"/>
          <w:vertAlign w:val="superscript"/>
        </w:rPr>
        <w:footnoteReference w:id="75"/>
      </w:r>
      <w:r w:rsidRPr="00DC1FF0">
        <w:rPr>
          <w:rFonts w:ascii="Times New Roman" w:eastAsia="Times New Roman" w:hAnsi="Times New Roman" w:cs="Times New Roman"/>
          <w:sz w:val="24"/>
          <w:szCs w:val="24"/>
        </w:rPr>
        <w:t xml:space="preserve"> R.C. 4928.143(B)(2) does not permit the inclusion of a such financial hedge in an ESP; so Duke seeks its inclusion under R.C. 4928.143(B)(2)(d).</w:t>
      </w:r>
      <w:r w:rsidRPr="00DC1FF0">
        <w:rPr>
          <w:rFonts w:ascii="Times New Roman" w:eastAsia="Times New Roman" w:hAnsi="Times New Roman" w:cs="Times New Roman"/>
          <w:sz w:val="24"/>
          <w:szCs w:val="24"/>
          <w:vertAlign w:val="superscript"/>
        </w:rPr>
        <w:footnoteReference w:id="76"/>
      </w:r>
      <w:r w:rsidRPr="00DC1FF0">
        <w:rPr>
          <w:rFonts w:ascii="Times New Roman" w:eastAsia="Times New Roman" w:hAnsi="Times New Roman" w:cs="Times New Roman"/>
          <w:sz w:val="24"/>
          <w:szCs w:val="24"/>
        </w:rPr>
        <w:t xml:space="preserve"> Duke awkwardly claims the PSR is a “charge…relating to…bypassability…as would have the effect of stabilizing or providing certainty regarding retail electric service.”</w:t>
      </w:r>
      <w:r w:rsidRPr="00DC1FF0">
        <w:rPr>
          <w:rFonts w:ascii="Times New Roman" w:eastAsia="Times New Roman" w:hAnsi="Times New Roman" w:cs="Times New Roman"/>
          <w:sz w:val="24"/>
          <w:szCs w:val="24"/>
          <w:vertAlign w:val="superscript"/>
        </w:rPr>
        <w:footnoteReference w:id="77"/>
      </w:r>
      <w:r w:rsidRPr="00DC1FF0">
        <w:rPr>
          <w:rFonts w:ascii="Times New Roman" w:eastAsia="Times New Roman" w:hAnsi="Times New Roman" w:cs="Times New Roman"/>
          <w:sz w:val="24"/>
          <w:szCs w:val="24"/>
        </w:rPr>
        <w:t xml:space="preserve"> Duke’s claim must be rejected.</w:t>
      </w:r>
    </w:p>
    <w:p w:rsidR="00DC1FF0" w:rsidRPr="00DC1FF0" w:rsidRDefault="00DC1FF0" w:rsidP="00DC1FF0">
      <w:pPr>
        <w:pStyle w:val="Heading4"/>
        <w:rPr>
          <w:rFonts w:ascii="Times New Roman" w:eastAsia="Times New Roman" w:hAnsi="Times New Roman" w:cs="Times New Roman"/>
          <w:szCs w:val="24"/>
        </w:rPr>
      </w:pPr>
      <w:bookmarkStart w:id="9" w:name="_Toc407632204"/>
      <w:r w:rsidRPr="00DC1FF0">
        <w:rPr>
          <w:rFonts w:ascii="Times New Roman" w:eastAsia="Times New Roman" w:hAnsi="Times New Roman" w:cs="Times New Roman"/>
          <w:szCs w:val="24"/>
        </w:rPr>
        <w:t>a.</w:t>
      </w:r>
      <w:r w:rsidRPr="00DC1FF0">
        <w:rPr>
          <w:rFonts w:ascii="Times New Roman" w:eastAsia="Times New Roman" w:hAnsi="Times New Roman" w:cs="Times New Roman"/>
          <w:szCs w:val="24"/>
        </w:rPr>
        <w:tab/>
        <w:t>The PSR does not “relate to bypassability”</w:t>
      </w:r>
      <w:bookmarkEnd w:id="9"/>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 xml:space="preserve">Duke’s analysis never explains to what “bypassable” provision of the ESP its PSR relates. Instead, it </w:t>
      </w:r>
      <w:r w:rsidR="001065DB">
        <w:rPr>
          <w:rFonts w:ascii="Times New Roman" w:eastAsia="Times New Roman" w:hAnsi="Times New Roman" w:cs="Times New Roman"/>
          <w:sz w:val="24"/>
          <w:szCs w:val="24"/>
        </w:rPr>
        <w:t xml:space="preserve">merely </w:t>
      </w:r>
      <w:r w:rsidRPr="00DC1FF0">
        <w:rPr>
          <w:rFonts w:ascii="Times New Roman" w:eastAsia="Times New Roman" w:hAnsi="Times New Roman" w:cs="Times New Roman"/>
          <w:sz w:val="24"/>
          <w:szCs w:val="24"/>
        </w:rPr>
        <w:t>asserts that the PSR must be included in the ESP mer</w:t>
      </w:r>
      <w:r w:rsidR="00515B21">
        <w:rPr>
          <w:rFonts w:ascii="Times New Roman" w:eastAsia="Times New Roman" w:hAnsi="Times New Roman" w:cs="Times New Roman"/>
          <w:sz w:val="24"/>
          <w:szCs w:val="24"/>
        </w:rPr>
        <w:t>ely because it is a bypassable r</w:t>
      </w:r>
      <w:r w:rsidRPr="00DC1FF0">
        <w:rPr>
          <w:rFonts w:ascii="Times New Roman" w:eastAsia="Times New Roman" w:hAnsi="Times New Roman" w:cs="Times New Roman"/>
          <w:sz w:val="24"/>
          <w:szCs w:val="24"/>
        </w:rPr>
        <w:t>ider.</w:t>
      </w:r>
      <w:r w:rsidRPr="00DC1FF0">
        <w:rPr>
          <w:rFonts w:ascii="Times New Roman" w:eastAsia="Times New Roman" w:hAnsi="Times New Roman" w:cs="Times New Roman"/>
          <w:sz w:val="24"/>
          <w:szCs w:val="24"/>
          <w:vertAlign w:val="superscript"/>
        </w:rPr>
        <w:footnoteReference w:id="78"/>
      </w:r>
      <w:r w:rsidRPr="00DC1FF0">
        <w:rPr>
          <w:rFonts w:ascii="Times New Roman" w:eastAsia="Times New Roman" w:hAnsi="Times New Roman" w:cs="Times New Roman"/>
          <w:sz w:val="24"/>
          <w:szCs w:val="24"/>
        </w:rPr>
        <w:t xml:space="preserve"> The difficulty with Duke’s rationale is that </w:t>
      </w:r>
      <w:r w:rsidRPr="00DC1FF0">
        <w:rPr>
          <w:rFonts w:ascii="Times New Roman" w:eastAsia="Times New Roman" w:hAnsi="Times New Roman" w:cs="Times New Roman"/>
          <w:b/>
          <w:sz w:val="24"/>
          <w:szCs w:val="24"/>
        </w:rPr>
        <w:t>all</w:t>
      </w:r>
      <w:r w:rsidRPr="00DC1FF0">
        <w:rPr>
          <w:rFonts w:ascii="Times New Roman" w:eastAsia="Times New Roman" w:hAnsi="Times New Roman" w:cs="Times New Roman"/>
          <w:sz w:val="24"/>
          <w:szCs w:val="24"/>
        </w:rPr>
        <w:t xml:space="preserve"> charges that conceivably could be imposed in an ESP would necessarily be labeled as either bypassable or non-bypassable and, thus, available for inclusion in an ESP. Considering as much, Duke’s interpretation is unlawful because it reads out </w:t>
      </w:r>
      <w:r w:rsidR="00515B21">
        <w:rPr>
          <w:rFonts w:ascii="Times New Roman" w:eastAsia="Times New Roman" w:hAnsi="Times New Roman" w:cs="Times New Roman"/>
          <w:sz w:val="24"/>
          <w:szCs w:val="24"/>
        </w:rPr>
        <w:t xml:space="preserve">of </w:t>
      </w:r>
      <w:r w:rsidRPr="00DC1FF0">
        <w:rPr>
          <w:rFonts w:ascii="Times New Roman" w:eastAsia="Times New Roman" w:hAnsi="Times New Roman" w:cs="Times New Roman"/>
          <w:sz w:val="24"/>
          <w:szCs w:val="24"/>
        </w:rPr>
        <w:t>the statute the requirement that the PSR charge be related to a provision related to “bypassability.” Under Duke’s reading, the PSR is includable in the ESP because it is a “[non-bypassable] charge …as would have the effect stabilizing or providing certainty…” Duke’s interpretation violates RC. 1.47(B), which provides that the General Assembly intends the entire statu</w:t>
      </w:r>
      <w:r w:rsidR="00515B21">
        <w:rPr>
          <w:rFonts w:ascii="Times New Roman" w:eastAsia="Times New Roman" w:hAnsi="Times New Roman" w:cs="Times New Roman"/>
          <w:sz w:val="24"/>
          <w:szCs w:val="24"/>
        </w:rPr>
        <w:t>t</w:t>
      </w:r>
      <w:r w:rsidRPr="00DC1FF0">
        <w:rPr>
          <w:rFonts w:ascii="Times New Roman" w:eastAsia="Times New Roman" w:hAnsi="Times New Roman" w:cs="Times New Roman"/>
          <w:sz w:val="24"/>
          <w:szCs w:val="24"/>
        </w:rPr>
        <w:t>e to be effective.</w:t>
      </w:r>
    </w:p>
    <w:p w:rsidR="00DC1FF0" w:rsidRPr="00DC1FF0" w:rsidRDefault="00DC1FF0" w:rsidP="00DC1FF0">
      <w:pPr>
        <w:pStyle w:val="Heading4"/>
        <w:rPr>
          <w:rFonts w:ascii="Times New Roman" w:eastAsia="Times New Roman" w:hAnsi="Times New Roman" w:cs="Times New Roman"/>
          <w:szCs w:val="24"/>
        </w:rPr>
      </w:pPr>
      <w:bookmarkStart w:id="10" w:name="_Toc407632205"/>
      <w:r w:rsidRPr="00DC1FF0">
        <w:rPr>
          <w:rFonts w:ascii="Times New Roman" w:eastAsia="Times New Roman" w:hAnsi="Times New Roman" w:cs="Times New Roman"/>
          <w:szCs w:val="24"/>
        </w:rPr>
        <w:t>b.</w:t>
      </w:r>
      <w:r w:rsidRPr="00DC1FF0">
        <w:rPr>
          <w:rFonts w:ascii="Times New Roman" w:eastAsia="Times New Roman" w:hAnsi="Times New Roman" w:cs="Times New Roman"/>
          <w:szCs w:val="24"/>
        </w:rPr>
        <w:tab/>
        <w:t>The PSR does not provide stability or certainty</w:t>
      </w:r>
      <w:bookmarkEnd w:id="10"/>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As anticipated by OCC and the other intervenors in their Initial Briefs, Duke claims that the PSR will provide stability and certainty to its consumers’ electric rates. It reasons that Ohio is entering a time of increased volatility in electricity prices and that the PSR is needed to smooth out price spikes, with customers effectively paying a charge when wholesale prices are low, and receiving a credit to their bills when wholesale prices are high.</w:t>
      </w:r>
      <w:r w:rsidRPr="00DC1FF0">
        <w:rPr>
          <w:rFonts w:ascii="Times New Roman" w:eastAsia="Times New Roman" w:hAnsi="Times New Roman" w:cs="Times New Roman"/>
          <w:sz w:val="24"/>
          <w:szCs w:val="24"/>
          <w:vertAlign w:val="superscript"/>
        </w:rPr>
        <w:footnoteReference w:id="79"/>
      </w:r>
      <w:r w:rsidRPr="00DC1FF0">
        <w:rPr>
          <w:rFonts w:ascii="Times New Roman" w:eastAsia="Times New Roman" w:hAnsi="Times New Roman" w:cs="Times New Roman"/>
          <w:sz w:val="24"/>
          <w:szCs w:val="24"/>
        </w:rPr>
        <w:t xml:space="preserve"> The $22 million in PSR charges that Duke customer</w:t>
      </w:r>
      <w:r w:rsidR="00515B21">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rPr>
        <w:t>s will bear during this ESP belies Duke’s claim, and the PSR should be rejected on that basis alone. However, the intervenors’ witnesses have convincingly demonstrated that the PSR will not provide stability and certainty to Ohio consumers’ electricity rates.</w:t>
      </w:r>
      <w:r w:rsidRPr="00DC1FF0">
        <w:rPr>
          <w:rStyle w:val="FootnoteReference"/>
          <w:rFonts w:ascii="Times New Roman" w:eastAsia="Times New Roman" w:hAnsi="Times New Roman" w:cs="Times New Roman"/>
          <w:sz w:val="24"/>
          <w:szCs w:val="24"/>
        </w:rPr>
        <w:footnoteReference w:id="80"/>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For example, OCC witness Wils</w:t>
      </w:r>
      <w:r w:rsidR="00515B21">
        <w:rPr>
          <w:rFonts w:ascii="Times New Roman" w:eastAsia="Times New Roman" w:hAnsi="Times New Roman" w:cs="Times New Roman"/>
          <w:sz w:val="24"/>
          <w:szCs w:val="24"/>
        </w:rPr>
        <w:t>on explained that SSO customers</w:t>
      </w:r>
      <w:r w:rsidRPr="00DC1FF0">
        <w:rPr>
          <w:rFonts w:ascii="Times New Roman" w:eastAsia="Times New Roman" w:hAnsi="Times New Roman" w:cs="Times New Roman"/>
          <w:sz w:val="24"/>
          <w:szCs w:val="24"/>
        </w:rPr>
        <w:t xml:space="preserve"> already are provided stable prices through the staggered one- to three-year contracts secured under the existing competitive bid process. The PSR would harm customers by adding a more volatile, fluctuating wholesale component to the SSO price.</w:t>
      </w:r>
      <w:r w:rsidRPr="00DC1FF0">
        <w:rPr>
          <w:rFonts w:ascii="Times New Roman" w:eastAsia="Times New Roman" w:hAnsi="Times New Roman" w:cs="Times New Roman"/>
          <w:sz w:val="24"/>
          <w:szCs w:val="24"/>
          <w:vertAlign w:val="superscript"/>
        </w:rPr>
        <w:footnoteReference w:id="81"/>
      </w:r>
      <w:r w:rsidRPr="00DC1FF0">
        <w:rPr>
          <w:rFonts w:ascii="Times New Roman" w:eastAsia="Times New Roman" w:hAnsi="Times New Roman" w:cs="Times New Roman"/>
          <w:sz w:val="24"/>
          <w:szCs w:val="24"/>
        </w:rPr>
        <w:t xml:space="preserve"> Mr. Wilson further explained that the PSR would add instability and uncertainty to shopping customers’ electricity prices, particularly those who secure offerings that hedge prices and provide greater stability.</w:t>
      </w:r>
      <w:r w:rsidRPr="00DC1FF0">
        <w:rPr>
          <w:rFonts w:ascii="Times New Roman" w:eastAsia="Times New Roman" w:hAnsi="Times New Roman" w:cs="Times New Roman"/>
          <w:sz w:val="24"/>
          <w:szCs w:val="24"/>
          <w:vertAlign w:val="superscript"/>
        </w:rPr>
        <w:footnoteReference w:id="82"/>
      </w:r>
      <w:r w:rsidR="00060875">
        <w:rPr>
          <w:rFonts w:ascii="Times New Roman" w:eastAsia="Times New Roman" w:hAnsi="Times New Roman" w:cs="Times New Roman"/>
          <w:sz w:val="24"/>
          <w:szCs w:val="24"/>
        </w:rPr>
        <w:t xml:space="preserve"> </w:t>
      </w:r>
      <w:r w:rsidRPr="00DC1FF0">
        <w:rPr>
          <w:rFonts w:ascii="Times New Roman" w:eastAsia="Times New Roman" w:hAnsi="Times New Roman" w:cs="Times New Roman"/>
          <w:sz w:val="24"/>
          <w:szCs w:val="24"/>
        </w:rPr>
        <w:t>He also explained that due to the quarterly lag in updating the PSR, volatility in the wholesale market likely would be reflected in customers’ rates at the same time they experience other increases to rates, e.g., from yearly auctions, again leading to further uncertainty and instability.</w:t>
      </w:r>
      <w:r w:rsidRPr="00DC1FF0">
        <w:rPr>
          <w:rFonts w:ascii="Times New Roman" w:eastAsia="Times New Roman" w:hAnsi="Times New Roman" w:cs="Times New Roman"/>
          <w:sz w:val="24"/>
          <w:szCs w:val="24"/>
          <w:vertAlign w:val="superscript"/>
        </w:rPr>
        <w:footnoteReference w:id="83"/>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Because the PSR does not relate to an event of bypassability or provide stability and certainty regarding retail electric service, it does not qualify for inclusion in the ESP under R.C. 4928.143(B)(2)(d) and </w:t>
      </w:r>
      <w:r w:rsidRPr="00DC1FF0">
        <w:rPr>
          <w:rFonts w:ascii="Times New Roman" w:eastAsia="Times New Roman" w:hAnsi="Times New Roman" w:cs="Times New Roman"/>
          <w:i/>
          <w:sz w:val="24"/>
          <w:szCs w:val="24"/>
        </w:rPr>
        <w:t>Columbus Southern II</w:t>
      </w:r>
      <w:r w:rsidR="00060875">
        <w:rPr>
          <w:rFonts w:ascii="Times New Roman" w:eastAsia="Times New Roman" w:hAnsi="Times New Roman" w:cs="Times New Roman"/>
          <w:sz w:val="24"/>
          <w:szCs w:val="24"/>
        </w:rPr>
        <w:t xml:space="preserve">. </w:t>
      </w:r>
      <w:r w:rsidRPr="00DC1FF0">
        <w:rPr>
          <w:rFonts w:ascii="Times New Roman" w:eastAsia="Times New Roman" w:hAnsi="Times New Roman" w:cs="Times New Roman"/>
          <w:sz w:val="24"/>
          <w:szCs w:val="24"/>
        </w:rPr>
        <w:t>Accordingly, the PUCO must reject it.</w:t>
      </w:r>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However, if the PSR were includable in the ESP, it certainly is capable of quantification as shown by Duke’s own data, and must be considered as a cost of the ESP.</w:t>
      </w:r>
      <w:r w:rsidRPr="00DC1FF0">
        <w:rPr>
          <w:rFonts w:ascii="Times New Roman" w:eastAsia="Times New Roman" w:hAnsi="Times New Roman" w:cs="Times New Roman"/>
          <w:sz w:val="24"/>
          <w:szCs w:val="24"/>
          <w:vertAlign w:val="superscript"/>
        </w:rPr>
        <w:footnoteReference w:id="84"/>
      </w:r>
      <w:r w:rsidRPr="00DC1FF0">
        <w:rPr>
          <w:rFonts w:ascii="Times New Roman" w:eastAsia="Times New Roman" w:hAnsi="Times New Roman" w:cs="Times New Roman"/>
          <w:sz w:val="24"/>
          <w:szCs w:val="24"/>
        </w:rPr>
        <w:t xml:space="preserve"> Duke’s data shows that the PSR would cost Ohio’s consumers $22 million over the 3-year term of the ESP. As stated previously, under the ESP v. MRO test, this significant expense would require that the ESP application be rejected or that it be modified by removing Rider PSR to meet the statutory test.</w:t>
      </w:r>
    </w:p>
    <w:p w:rsidR="00DC1FF0" w:rsidRPr="00DC1FF0" w:rsidRDefault="00DC1FF0" w:rsidP="00DC1FF0">
      <w:pPr>
        <w:pStyle w:val="Heading3"/>
        <w:rPr>
          <w:rFonts w:ascii="Times New Roman" w:eastAsia="Times New Roman" w:hAnsi="Times New Roman" w:cs="Times New Roman"/>
          <w:szCs w:val="24"/>
        </w:rPr>
      </w:pPr>
      <w:bookmarkStart w:id="11" w:name="_Toc407632206"/>
      <w:r w:rsidRPr="00DC1FF0">
        <w:rPr>
          <w:rFonts w:ascii="Times New Roman" w:eastAsia="Times New Roman" w:hAnsi="Times New Roman" w:cs="Times New Roman"/>
          <w:szCs w:val="24"/>
        </w:rPr>
        <w:t>3.</w:t>
      </w:r>
      <w:r w:rsidRPr="00DC1FF0">
        <w:rPr>
          <w:rFonts w:ascii="Times New Roman" w:eastAsia="Times New Roman" w:hAnsi="Times New Roman" w:cs="Times New Roman"/>
          <w:szCs w:val="24"/>
        </w:rPr>
        <w:tab/>
        <w:t>The test’s third element: consideration of qualitative benefits.</w:t>
      </w:r>
      <w:bookmarkEnd w:id="11"/>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 xml:space="preserve">Duke’s analysis of the authority to include “qualitative” benefits in an ESP is confused. On the one hand, it offers the PSR and DCI as qualitative benefits only and recognizes that for inclusion in the ESP they must fall within one of the nine categories listed in R.C. 4928.143(B)(2)(d), as required by </w:t>
      </w:r>
      <w:r w:rsidRPr="00DC1FF0">
        <w:rPr>
          <w:rFonts w:ascii="Times New Roman" w:eastAsia="Times New Roman" w:hAnsi="Times New Roman" w:cs="Times New Roman"/>
          <w:i/>
          <w:sz w:val="24"/>
          <w:szCs w:val="24"/>
        </w:rPr>
        <w:t>Columbus Southern II</w:t>
      </w:r>
      <w:r w:rsidRPr="00DC1FF0">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vertAlign w:val="superscript"/>
        </w:rPr>
        <w:footnoteReference w:id="85"/>
      </w:r>
      <w:r w:rsidRPr="00DC1FF0">
        <w:rPr>
          <w:rFonts w:ascii="Times New Roman" w:eastAsia="Times New Roman" w:hAnsi="Times New Roman" w:cs="Times New Roman"/>
          <w:sz w:val="24"/>
          <w:szCs w:val="24"/>
        </w:rPr>
        <w:t xml:space="preserve"> On the other hand, Duke claims that other provisions of the ESP can be considered under the statutory test merely if they are consistent with state policy -- contrary to </w:t>
      </w:r>
      <w:r w:rsidRPr="00DC1FF0">
        <w:rPr>
          <w:rFonts w:ascii="Times New Roman" w:eastAsia="Times New Roman" w:hAnsi="Times New Roman" w:cs="Times New Roman"/>
          <w:i/>
          <w:sz w:val="24"/>
          <w:szCs w:val="24"/>
        </w:rPr>
        <w:t>Columbus Southern II</w:t>
      </w:r>
      <w:r w:rsidRPr="00DC1FF0">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vertAlign w:val="superscript"/>
        </w:rPr>
        <w:footnoteReference w:id="86"/>
      </w:r>
      <w:r w:rsidRPr="00DC1FF0">
        <w:rPr>
          <w:rFonts w:ascii="Times New Roman" w:eastAsia="Times New Roman" w:hAnsi="Times New Roman" w:cs="Times New Roman"/>
          <w:sz w:val="24"/>
          <w:szCs w:val="24"/>
        </w:rPr>
        <w:t xml:space="preserve"> To support its position, Duke relies on </w:t>
      </w:r>
      <w:r w:rsidRPr="00DC1FF0">
        <w:rPr>
          <w:rFonts w:ascii="Times New Roman" w:eastAsia="Times New Roman" w:hAnsi="Times New Roman" w:cs="Times New Roman"/>
          <w:i/>
          <w:sz w:val="24"/>
          <w:szCs w:val="24"/>
        </w:rPr>
        <w:t>In Re Columbus Southern Power Co</w:t>
      </w:r>
      <w:r w:rsidRPr="00DC1FF0">
        <w:rPr>
          <w:rFonts w:ascii="Times New Roman" w:eastAsia="Times New Roman" w:hAnsi="Times New Roman" w:cs="Times New Roman"/>
          <w:sz w:val="24"/>
          <w:szCs w:val="24"/>
        </w:rPr>
        <w:t>., 128 Ohio St.3d 402, 2011-Ohio-958 (“</w:t>
      </w:r>
      <w:r w:rsidRPr="00DC1FF0">
        <w:rPr>
          <w:rFonts w:ascii="Times New Roman" w:eastAsia="Times New Roman" w:hAnsi="Times New Roman" w:cs="Times New Roman"/>
          <w:i/>
          <w:sz w:val="24"/>
          <w:szCs w:val="24"/>
        </w:rPr>
        <w:t>Columbus Southern I</w:t>
      </w:r>
      <w:r w:rsidRPr="00DC1FF0">
        <w:rPr>
          <w:rFonts w:ascii="Times New Roman" w:eastAsia="Times New Roman" w:hAnsi="Times New Roman" w:cs="Times New Roman"/>
          <w:sz w:val="24"/>
          <w:szCs w:val="24"/>
        </w:rPr>
        <w:t>”), in which the PUCO modified the EDU’s proposed SSO generation price submitted under R.C. 4928.143(B)(1). On appeal, the EDU claimed that as long as this price was less than that determined under R.C. 4928.142 for an MRO, the PUCO was without authority to modify it. It is in this context that the Court held:</w:t>
      </w:r>
    </w:p>
    <w:p w:rsidR="00DC1FF0" w:rsidRPr="00DC1FF0" w:rsidRDefault="00DC1FF0" w:rsidP="00DC1FF0">
      <w:pPr>
        <w:spacing w:after="0" w:line="240" w:lineRule="auto"/>
        <w:ind w:left="1440" w:right="1440"/>
        <w:rPr>
          <w:rFonts w:ascii="Times New Roman" w:eastAsia="Times New Roman" w:hAnsi="Times New Roman" w:cs="Times New Roman"/>
          <w:sz w:val="24"/>
          <w:szCs w:val="24"/>
        </w:rPr>
      </w:pPr>
      <w:r w:rsidRPr="00DC1FF0">
        <w:rPr>
          <w:rFonts w:ascii="Times New Roman" w:eastAsia="Times New Roman" w:hAnsi="Times New Roman" w:cs="Times New Roman"/>
          <w:color w:val="333333"/>
          <w:sz w:val="24"/>
          <w:szCs w:val="24"/>
        </w:rPr>
        <w:t>Moreover,</w:t>
      </w:r>
      <w:bookmarkStart w:id="12" w:name="clsccl5"/>
      <w:bookmarkEnd w:id="12"/>
      <w:r w:rsidRPr="00DC1FF0">
        <w:rPr>
          <w:rFonts w:ascii="Times New Roman" w:eastAsia="Times New Roman" w:hAnsi="Times New Roman" w:cs="Times New Roman"/>
          <w:color w:val="333333"/>
          <w:sz w:val="24"/>
          <w:szCs w:val="24"/>
        </w:rPr>
        <w:t xml:space="preserve"> while it is true that the commission must approve an electric security plan if it is “more favorable in the aggregate” than an expected market-rate offer, id., that fact does not bind the commission to a strict price comparison. On the contrary, in evaluating the favorability of a plan, the statute instructs the commission to consider “pricing </w:t>
      </w:r>
      <w:r w:rsidRPr="001065DB">
        <w:rPr>
          <w:rFonts w:ascii="Times New Roman" w:eastAsia="Times New Roman" w:hAnsi="Times New Roman" w:cs="Times New Roman"/>
          <w:b/>
          <w:iCs/>
          <w:color w:val="333333"/>
          <w:sz w:val="24"/>
          <w:szCs w:val="24"/>
        </w:rPr>
        <w:t>and all other terms and conditions</w:t>
      </w:r>
      <w:r w:rsidRPr="001065DB">
        <w:rPr>
          <w:rFonts w:ascii="Times New Roman" w:eastAsia="Times New Roman" w:hAnsi="Times New Roman" w:cs="Times New Roman"/>
          <w:b/>
          <w:color w:val="333333"/>
          <w:sz w:val="24"/>
          <w:szCs w:val="24"/>
        </w:rPr>
        <w:t>.”</w:t>
      </w:r>
      <w:r w:rsidRPr="00DC1FF0">
        <w:rPr>
          <w:rFonts w:ascii="Times New Roman" w:eastAsia="Times New Roman" w:hAnsi="Times New Roman" w:cs="Times New Roman"/>
          <w:color w:val="333333"/>
          <w:sz w:val="24"/>
          <w:szCs w:val="24"/>
        </w:rPr>
        <w:t xml:space="preserve"> (Emphasis added.) Id. Thus, the commission must consider more than price in determining whether an electric security plan should be modified. [</w:t>
      </w:r>
      <w:r w:rsidRPr="00DC1FF0">
        <w:rPr>
          <w:rFonts w:ascii="Times New Roman" w:eastAsia="Times New Roman" w:hAnsi="Times New Roman" w:cs="Times New Roman"/>
          <w:i/>
          <w:color w:val="333333"/>
          <w:sz w:val="24"/>
          <w:szCs w:val="24"/>
        </w:rPr>
        <w:t>Columbus Southern I</w:t>
      </w:r>
      <w:r w:rsidRPr="00DC1FF0">
        <w:rPr>
          <w:rFonts w:ascii="Times New Roman" w:eastAsia="Times New Roman" w:hAnsi="Times New Roman" w:cs="Times New Roman"/>
          <w:color w:val="333333"/>
          <w:sz w:val="24"/>
          <w:szCs w:val="24"/>
        </w:rPr>
        <w:t>, ¶ 27.]</w:t>
      </w:r>
    </w:p>
    <w:p w:rsidR="00DC1FF0" w:rsidRPr="00DC1FF0" w:rsidRDefault="00DC1FF0" w:rsidP="00DC1FF0">
      <w:pPr>
        <w:spacing w:before="240"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The Court’s language merely recognizes that R.C. Chapter 4928 does not restrict the PUCO’s discretion to </w:t>
      </w:r>
      <w:r w:rsidRPr="00DC1FF0">
        <w:rPr>
          <w:rFonts w:ascii="Times New Roman" w:eastAsia="Times New Roman" w:hAnsi="Times New Roman" w:cs="Times New Roman"/>
          <w:b/>
          <w:sz w:val="24"/>
          <w:szCs w:val="24"/>
        </w:rPr>
        <w:t>modify</w:t>
      </w:r>
      <w:r w:rsidRPr="00DC1FF0">
        <w:rPr>
          <w:rFonts w:ascii="Times New Roman" w:eastAsia="Times New Roman" w:hAnsi="Times New Roman" w:cs="Times New Roman"/>
          <w:sz w:val="24"/>
          <w:szCs w:val="24"/>
        </w:rPr>
        <w:t xml:space="preserve"> the provisions of an ESP that are properly included under R.C. 4928.143(B), particularly if they violate a state policy in R.C. 4928.02.</w:t>
      </w:r>
      <w:r w:rsidRPr="00DC1FF0">
        <w:rPr>
          <w:rFonts w:ascii="Times New Roman" w:eastAsia="Times New Roman" w:hAnsi="Times New Roman" w:cs="Times New Roman"/>
          <w:sz w:val="24"/>
          <w:szCs w:val="24"/>
          <w:vertAlign w:val="superscript"/>
        </w:rPr>
        <w:footnoteReference w:id="87"/>
      </w:r>
      <w:r w:rsidRPr="00DC1FF0">
        <w:rPr>
          <w:rFonts w:ascii="Times New Roman" w:eastAsia="Times New Roman" w:hAnsi="Times New Roman" w:cs="Times New Roman"/>
          <w:sz w:val="24"/>
          <w:szCs w:val="24"/>
        </w:rPr>
        <w:t xml:space="preserve"> It does no</w:t>
      </w:r>
      <w:r w:rsidR="00515B21">
        <w:rPr>
          <w:rFonts w:ascii="Times New Roman" w:eastAsia="Times New Roman" w:hAnsi="Times New Roman" w:cs="Times New Roman"/>
          <w:sz w:val="24"/>
          <w:szCs w:val="24"/>
        </w:rPr>
        <w:t>t permit an EDU to include</w:t>
      </w:r>
      <w:r w:rsidRPr="00DC1FF0">
        <w:rPr>
          <w:rFonts w:ascii="Times New Roman" w:eastAsia="Times New Roman" w:hAnsi="Times New Roman" w:cs="Times New Roman"/>
          <w:sz w:val="24"/>
          <w:szCs w:val="24"/>
        </w:rPr>
        <w:t xml:space="preserve"> provisions in its ESP that do not fall within the nine listed</w:t>
      </w:r>
      <w:r w:rsidR="001065DB">
        <w:rPr>
          <w:rFonts w:ascii="Times New Roman" w:eastAsia="Times New Roman" w:hAnsi="Times New Roman" w:cs="Times New Roman"/>
          <w:sz w:val="24"/>
          <w:szCs w:val="24"/>
        </w:rPr>
        <w:t xml:space="preserve"> items in R.C. 4928.143(B)(2).</w:t>
      </w:r>
    </w:p>
    <w:p w:rsidR="00DC1FF0" w:rsidRPr="00DC1FF0" w:rsidRDefault="00DC1FF0" w:rsidP="00DC1FF0">
      <w:pPr>
        <w:pStyle w:val="Heading4"/>
        <w:rPr>
          <w:rFonts w:ascii="Times New Roman" w:eastAsia="Times New Roman" w:hAnsi="Times New Roman" w:cs="Times New Roman"/>
          <w:szCs w:val="24"/>
        </w:rPr>
      </w:pPr>
      <w:bookmarkStart w:id="13" w:name="_Toc407632207"/>
      <w:r w:rsidRPr="00DC1FF0">
        <w:rPr>
          <w:rFonts w:ascii="Times New Roman" w:eastAsia="Times New Roman" w:hAnsi="Times New Roman" w:cs="Times New Roman"/>
          <w:szCs w:val="24"/>
        </w:rPr>
        <w:t>a.</w:t>
      </w:r>
      <w:r w:rsidRPr="00DC1FF0">
        <w:rPr>
          <w:rFonts w:ascii="Times New Roman" w:eastAsia="Times New Roman" w:hAnsi="Times New Roman" w:cs="Times New Roman"/>
          <w:szCs w:val="24"/>
        </w:rPr>
        <w:tab/>
        <w:t>Qualitative benefits falling within R.C. 4928.143(B)(2)</w:t>
      </w:r>
      <w:bookmarkEnd w:id="13"/>
    </w:p>
    <w:p w:rsidR="00DC1FF0" w:rsidRPr="00DC1FF0" w:rsidRDefault="00515B21" w:rsidP="00DC1FF0">
      <w:pPr>
        <w:pStyle w:val="Heading5"/>
        <w:rPr>
          <w:rFonts w:ascii="Times New Roman" w:eastAsia="Times New Roman" w:hAnsi="Times New Roman" w:cs="Times New Roman"/>
          <w:szCs w:val="24"/>
        </w:rPr>
      </w:pPr>
      <w:bookmarkStart w:id="14" w:name="_Toc407632208"/>
      <w:r>
        <w:rPr>
          <w:rFonts w:ascii="Times New Roman" w:eastAsia="Times New Roman" w:hAnsi="Times New Roman" w:cs="Times New Roman"/>
          <w:szCs w:val="24"/>
        </w:rPr>
        <w:t>i.</w:t>
      </w:r>
      <w:r>
        <w:rPr>
          <w:rFonts w:ascii="Times New Roman" w:eastAsia="Times New Roman" w:hAnsi="Times New Roman" w:cs="Times New Roman"/>
          <w:szCs w:val="24"/>
        </w:rPr>
        <w:tab/>
        <w:t>The</w:t>
      </w:r>
      <w:r w:rsidR="00DC1FF0" w:rsidRPr="00DC1FF0">
        <w:rPr>
          <w:rFonts w:ascii="Times New Roman" w:eastAsia="Times New Roman" w:hAnsi="Times New Roman" w:cs="Times New Roman"/>
          <w:szCs w:val="24"/>
        </w:rPr>
        <w:t xml:space="preserve"> PSR should not be included in the ESP because it does not fall within R.C. 4928.143(B)(2)(d) and because it violates state policies set forth in R.C. 4928.02.</w:t>
      </w:r>
      <w:bookmarkEnd w:id="14"/>
      <w:r w:rsidR="00DC1FF0" w:rsidRPr="00DC1FF0">
        <w:rPr>
          <w:rFonts w:ascii="Times New Roman" w:eastAsia="Times New Roman" w:hAnsi="Times New Roman" w:cs="Times New Roman"/>
          <w:szCs w:val="24"/>
        </w:rPr>
        <w:t xml:space="preserve">  </w:t>
      </w:r>
    </w:p>
    <w:p w:rsidR="00DC1FF0" w:rsidRPr="00DC1FF0" w:rsidRDefault="00DC1FF0" w:rsidP="00DC1FF0">
      <w:pPr>
        <w:widowControl w:val="0"/>
        <w:spacing w:before="240"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As shown above</w:t>
      </w:r>
      <w:r w:rsidR="001065DB">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rPr>
        <w:t xml:space="preserve"> when properly considering the PSR under the quantitative analysis, it clearly does not fall within the items listed in R.C. 4928.143(B)(2) and, for that reason, cannot be included in this proposed ESP.</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Alternatively, the PUCO need not reach the R.C. 4928.143(B)(2)(d) issue. Under authority of </w:t>
      </w:r>
      <w:r w:rsidRPr="00DC1FF0">
        <w:rPr>
          <w:rFonts w:ascii="Times New Roman" w:eastAsia="Times New Roman" w:hAnsi="Times New Roman" w:cs="Times New Roman"/>
          <w:i/>
          <w:sz w:val="24"/>
          <w:szCs w:val="24"/>
        </w:rPr>
        <w:t xml:space="preserve">Columbus Southern I, </w:t>
      </w:r>
      <w:r w:rsidRPr="00DC1FF0">
        <w:rPr>
          <w:rFonts w:ascii="Times New Roman" w:eastAsia="Times New Roman" w:hAnsi="Times New Roman" w:cs="Times New Roman"/>
          <w:sz w:val="24"/>
          <w:szCs w:val="24"/>
        </w:rPr>
        <w:t>the PUCO may modify the proposed ESP if it determines the PSR violates state policy or is otherwise unreasonable.</w:t>
      </w:r>
      <w:r w:rsidRPr="00DC1FF0">
        <w:rPr>
          <w:rFonts w:ascii="Times New Roman" w:eastAsia="Times New Roman" w:hAnsi="Times New Roman" w:cs="Times New Roman"/>
          <w:sz w:val="24"/>
          <w:szCs w:val="24"/>
          <w:vertAlign w:val="superscript"/>
        </w:rPr>
        <w:footnoteReference w:id="88"/>
      </w:r>
      <w:r w:rsidRPr="00DC1FF0">
        <w:rPr>
          <w:rFonts w:ascii="Times New Roman" w:eastAsia="Times New Roman" w:hAnsi="Times New Roman" w:cs="Times New Roman"/>
          <w:sz w:val="24"/>
          <w:szCs w:val="24"/>
        </w:rPr>
        <w:t xml:space="preserve"> In this regard, OCC, t</w:t>
      </w:r>
      <w:r w:rsidR="00515B21">
        <w:rPr>
          <w:rFonts w:ascii="Times New Roman" w:eastAsia="Times New Roman" w:hAnsi="Times New Roman" w:cs="Times New Roman"/>
          <w:sz w:val="24"/>
          <w:szCs w:val="24"/>
        </w:rPr>
        <w:t>he PUCO</w:t>
      </w:r>
      <w:r w:rsidRPr="00DC1FF0">
        <w:rPr>
          <w:rFonts w:ascii="Times New Roman" w:eastAsia="Times New Roman" w:hAnsi="Times New Roman" w:cs="Times New Roman"/>
          <w:sz w:val="24"/>
          <w:szCs w:val="24"/>
        </w:rPr>
        <w:t xml:space="preserve"> Staff, and other intervenors provide ample evidence demonstrating how the PSR violates the policy of this state contained in R.C. 4928.02; for example:</w:t>
      </w:r>
    </w:p>
    <w:p w:rsidR="00DC1FF0" w:rsidRPr="00DC1FF0" w:rsidRDefault="00DC1FF0" w:rsidP="00DC1FF0">
      <w:pPr>
        <w:numPr>
          <w:ilvl w:val="0"/>
          <w:numId w:val="11"/>
        </w:numPr>
        <w:spacing w:after="0" w:line="240" w:lineRule="auto"/>
        <w:ind w:left="2160" w:right="720" w:hanging="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R.C. 4928.02(A):</w:t>
      </w:r>
      <w:r w:rsidRPr="00DC1FF0">
        <w:rPr>
          <w:rFonts w:ascii="Times New Roman" w:eastAsia="Times New Roman" w:hAnsi="Times New Roman" w:cs="Times New Roman"/>
          <w:sz w:val="24"/>
          <w:szCs w:val="24"/>
          <w:vertAlign w:val="superscript"/>
        </w:rPr>
        <w:footnoteReference w:id="89"/>
      </w:r>
      <w:r w:rsidRPr="00DC1FF0">
        <w:rPr>
          <w:rFonts w:ascii="Times New Roman" w:eastAsia="Times New Roman" w:hAnsi="Times New Roman" w:cs="Times New Roman"/>
          <w:sz w:val="24"/>
          <w:szCs w:val="24"/>
        </w:rPr>
        <w:t xml:space="preserve"> State policy requires that Duke’s customers be provided reasonably priced retail electric service. The evidence demonstrates that the PSR will impose at least $22 million in costs on customers during the ESP with no corresponding benefits.</w:t>
      </w:r>
    </w:p>
    <w:p w:rsidR="00DC1FF0" w:rsidRPr="00DC1FF0" w:rsidRDefault="00DC1FF0" w:rsidP="00DC1FF0">
      <w:pPr>
        <w:numPr>
          <w:ilvl w:val="0"/>
          <w:numId w:val="11"/>
        </w:numPr>
        <w:spacing w:before="240" w:after="0" w:line="240" w:lineRule="auto"/>
        <w:ind w:left="2160" w:right="720" w:hanging="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R.C. 4928.02(B):</w:t>
      </w:r>
      <w:r w:rsidRPr="00DC1FF0">
        <w:rPr>
          <w:rFonts w:ascii="Times New Roman" w:eastAsia="Times New Roman" w:hAnsi="Times New Roman" w:cs="Times New Roman"/>
          <w:sz w:val="24"/>
          <w:szCs w:val="24"/>
          <w:vertAlign w:val="superscript"/>
        </w:rPr>
        <w:footnoteReference w:id="90"/>
      </w:r>
      <w:r w:rsidRPr="00DC1FF0">
        <w:rPr>
          <w:rFonts w:ascii="Times New Roman" w:eastAsia="Times New Roman" w:hAnsi="Times New Roman" w:cs="Times New Roman"/>
          <w:sz w:val="24"/>
          <w:szCs w:val="24"/>
        </w:rPr>
        <w:t xml:space="preserve"> State policy is to ensure the availability of unbundled and comparable retail electric service that provides consumers with the supplier, price, terms, conditions, and quality options they elect to meet their respective needs.  In accordance with the policy, the PUCO has been transitioning Ohio’s EDUs toward a fully-competitive retail market, in which customers are to decide the level of market risk they are willing to absorb. The non-bypassable PSR forces customers to take Duke’s claimed hedge when they should select the level of risk they are willing to take in the market through competitive products.  Significantly, Duke concurs with the PUCO’s articulated policy and uses it as justification for the elimination of the Load Factor Adjustment Rider (Rider LFA), stating that “its continued existence undermines the state’s objective to have market influences alone determine the cost of competitive generation service.</w:t>
      </w:r>
      <w:r w:rsidRPr="00DC1FF0">
        <w:rPr>
          <w:rFonts w:ascii="Times New Roman" w:eastAsia="Times New Roman" w:hAnsi="Times New Roman" w:cs="Times New Roman"/>
          <w:sz w:val="24"/>
          <w:szCs w:val="24"/>
          <w:vertAlign w:val="superscript"/>
        </w:rPr>
        <w:footnoteReference w:id="91"/>
      </w:r>
      <w:r w:rsidRPr="00DC1FF0">
        <w:rPr>
          <w:rFonts w:ascii="Times New Roman" w:eastAsia="Times New Roman" w:hAnsi="Times New Roman" w:cs="Times New Roman"/>
          <w:sz w:val="24"/>
          <w:szCs w:val="24"/>
        </w:rPr>
        <w:t>”</w:t>
      </w:r>
    </w:p>
    <w:p w:rsidR="00DC1FF0" w:rsidRPr="00DC1FF0" w:rsidRDefault="00DC1FF0" w:rsidP="00DC1FF0">
      <w:pPr>
        <w:numPr>
          <w:ilvl w:val="0"/>
          <w:numId w:val="11"/>
        </w:numPr>
        <w:spacing w:before="240" w:after="0" w:line="240" w:lineRule="auto"/>
        <w:ind w:left="2160" w:right="720" w:hanging="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R.C. 4928.02(H):</w:t>
      </w:r>
      <w:r w:rsidRPr="00DC1FF0">
        <w:rPr>
          <w:rFonts w:ascii="Times New Roman" w:eastAsia="Times New Roman" w:hAnsi="Times New Roman" w:cs="Times New Roman"/>
          <w:sz w:val="24"/>
          <w:szCs w:val="24"/>
          <w:vertAlign w:val="superscript"/>
        </w:rPr>
        <w:footnoteReference w:id="92"/>
      </w:r>
      <w:r w:rsidRPr="00DC1FF0">
        <w:rPr>
          <w:rFonts w:ascii="Times New Roman" w:eastAsia="Times New Roman" w:hAnsi="Times New Roman" w:cs="Times New Roman"/>
          <w:sz w:val="24"/>
          <w:szCs w:val="24"/>
        </w:rPr>
        <w:t xml:space="preserve"> Rider PSR violates the proscription against distribution customers subsidizing competitive electric services. If the PSR were approved all of Duke’s customers taking distribution service would be required to pay the non-bypassable rider, which supports Duke’s interest in the OVEC generating facilities.  </w:t>
      </w:r>
    </w:p>
    <w:p w:rsidR="00DC1FF0" w:rsidRPr="00DC1FF0" w:rsidRDefault="001065DB" w:rsidP="00DC1FF0">
      <w:pPr>
        <w:spacing w:before="240"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DC1FF0" w:rsidRPr="00DC1FF0">
        <w:rPr>
          <w:rFonts w:ascii="Times New Roman" w:eastAsia="Times New Roman" w:hAnsi="Times New Roman" w:cs="Times New Roman"/>
          <w:sz w:val="24"/>
          <w:szCs w:val="24"/>
        </w:rPr>
        <w:t xml:space="preserve">PSR must be disallowed because it clearly violates state policies. </w:t>
      </w:r>
    </w:p>
    <w:p w:rsidR="00DC1FF0" w:rsidRPr="00DC1FF0" w:rsidRDefault="00DC1FF0" w:rsidP="00DC1FF0">
      <w:pPr>
        <w:pStyle w:val="Heading5"/>
        <w:rPr>
          <w:rFonts w:ascii="Times New Roman" w:eastAsia="Times New Roman" w:hAnsi="Times New Roman" w:cs="Times New Roman"/>
          <w:szCs w:val="24"/>
        </w:rPr>
      </w:pPr>
      <w:bookmarkStart w:id="15" w:name="_Toc407632209"/>
      <w:r w:rsidRPr="00DC1FF0">
        <w:rPr>
          <w:rFonts w:ascii="Times New Roman" w:eastAsia="Times New Roman" w:hAnsi="Times New Roman" w:cs="Times New Roman"/>
          <w:szCs w:val="24"/>
        </w:rPr>
        <w:t>ii.</w:t>
      </w:r>
      <w:r w:rsidRPr="00DC1FF0">
        <w:rPr>
          <w:rFonts w:ascii="Times New Roman" w:eastAsia="Times New Roman" w:hAnsi="Times New Roman" w:cs="Times New Roman"/>
          <w:szCs w:val="24"/>
        </w:rPr>
        <w:tab/>
        <w:t>The Distribution Capital Investment Rider should not be included in the ESP because it is available under an SSO in the form of an MRO.</w:t>
      </w:r>
      <w:bookmarkEnd w:id="15"/>
    </w:p>
    <w:p w:rsidR="00DC1FF0" w:rsidRPr="00DC1FF0" w:rsidRDefault="00DC1FF0" w:rsidP="00DC1FF0">
      <w:pPr>
        <w:spacing w:before="240"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 seeks to implement the DCI Rider pursuant to R.C. 4928.143(B)(2)(h). OCC does not dispute that the PUCO has the discretion to approve such riders, but has demonstrated that the DCI Rider, as proposed, is unreasonable and should be rejected.</w:t>
      </w:r>
      <w:r w:rsidRPr="00DC1FF0">
        <w:rPr>
          <w:rFonts w:ascii="Times New Roman" w:eastAsia="Times New Roman" w:hAnsi="Times New Roman" w:cs="Times New Roman"/>
          <w:sz w:val="24"/>
          <w:szCs w:val="24"/>
          <w:vertAlign w:val="superscript"/>
        </w:rPr>
        <w:footnoteReference w:id="93"/>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Although the DCI Rider falls within one of the cost items listed in R.C. 4928.143(B)(2), Duke did not quantify its costs because of the PUCO’s finding in </w:t>
      </w:r>
      <w:r w:rsidRPr="00DC1FF0">
        <w:rPr>
          <w:rFonts w:ascii="Times New Roman" w:eastAsia="Times New Roman" w:hAnsi="Times New Roman" w:cs="Times New Roman"/>
          <w:i/>
          <w:sz w:val="24"/>
          <w:szCs w:val="24"/>
        </w:rPr>
        <w:t>FirstEnergy ESP III</w:t>
      </w:r>
      <w:r w:rsidRPr="00DC1FF0">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vertAlign w:val="superscript"/>
        </w:rPr>
        <w:footnoteReference w:id="94"/>
      </w:r>
      <w:r w:rsidRPr="00DC1FF0">
        <w:rPr>
          <w:rFonts w:ascii="Times New Roman" w:eastAsia="Times New Roman" w:hAnsi="Times New Roman" w:cs="Times New Roman"/>
          <w:sz w:val="24"/>
          <w:szCs w:val="24"/>
        </w:rPr>
        <w:t xml:space="preserve"> In that decision, the PUCO recognized that an EDU would accelerate recovery of the subject distribution-related costs under an ESP, compared with recovery through a base rate case if the SSO were in the form an MRO.</w:t>
      </w:r>
      <w:r w:rsidRPr="00DC1FF0">
        <w:rPr>
          <w:rFonts w:ascii="Times New Roman" w:eastAsia="Times New Roman" w:hAnsi="Times New Roman" w:cs="Times New Roman"/>
          <w:sz w:val="24"/>
          <w:szCs w:val="24"/>
          <w:vertAlign w:val="superscript"/>
        </w:rPr>
        <w:footnoteReference w:id="95"/>
      </w:r>
      <w:r w:rsidRPr="00DC1FF0">
        <w:rPr>
          <w:rFonts w:ascii="Times New Roman" w:eastAsia="Times New Roman" w:hAnsi="Times New Roman" w:cs="Times New Roman"/>
          <w:sz w:val="24"/>
          <w:szCs w:val="24"/>
        </w:rPr>
        <w:t xml:space="preserve"> It reasoned that the costs would be a “wash” over a period of time extending beyond the ESP’s term. Yet, in this proceeding, Duke and Staff assert that the DCI Rider can be included in an ESP as a qualitative benefit because it would “accelerate improvements to and modernization of the safety and reliability of the distribution system.</w:t>
      </w:r>
      <w:r w:rsidRPr="00DC1FF0">
        <w:rPr>
          <w:rFonts w:ascii="Times New Roman" w:eastAsia="Times New Roman" w:hAnsi="Times New Roman" w:cs="Times New Roman"/>
          <w:sz w:val="24"/>
          <w:szCs w:val="24"/>
          <w:vertAlign w:val="superscript"/>
        </w:rPr>
        <w:footnoteReference w:id="96"/>
      </w:r>
      <w:r w:rsidRPr="00DC1FF0">
        <w:rPr>
          <w:rFonts w:ascii="Times New Roman" w:eastAsia="Times New Roman" w:hAnsi="Times New Roman" w:cs="Times New Roman"/>
          <w:sz w:val="24"/>
          <w:szCs w:val="24"/>
        </w:rPr>
        <w:t>” In other words, Duke and Staff ask the PUCO to ignore the accelerated costs consumers would incur to pay for improvements to the distribution system; but recognize only the benefit of the accelerated improvements.</w:t>
      </w:r>
      <w:r w:rsidRPr="00DC1FF0">
        <w:rPr>
          <w:rFonts w:ascii="Times New Roman" w:eastAsia="Times New Roman" w:hAnsi="Times New Roman" w:cs="Times New Roman"/>
          <w:sz w:val="24"/>
          <w:szCs w:val="24"/>
          <w:vertAlign w:val="superscript"/>
        </w:rPr>
        <w:footnoteReference w:id="97"/>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As stated in OCC’s Initial Brief, Duke</w:t>
      </w:r>
      <w:r w:rsidR="00060875">
        <w:rPr>
          <w:rFonts w:ascii="Times New Roman" w:eastAsia="Times New Roman" w:hAnsi="Times New Roman" w:cs="Times New Roman"/>
          <w:sz w:val="24"/>
          <w:szCs w:val="24"/>
        </w:rPr>
        <w:t>’s</w:t>
      </w:r>
      <w:r w:rsidRPr="00DC1FF0">
        <w:rPr>
          <w:rFonts w:ascii="Times New Roman" w:eastAsia="Times New Roman" w:hAnsi="Times New Roman" w:cs="Times New Roman"/>
          <w:sz w:val="24"/>
          <w:szCs w:val="24"/>
        </w:rPr>
        <w:t xml:space="preserve"> Application acknowledged that the qualitative benefits of the DCI Rider would be available if the SSO were in the form of an SSO.</w:t>
      </w:r>
      <w:r w:rsidRPr="00DC1FF0">
        <w:rPr>
          <w:rFonts w:ascii="Times New Roman" w:eastAsia="Times New Roman" w:hAnsi="Times New Roman" w:cs="Times New Roman"/>
          <w:sz w:val="24"/>
          <w:szCs w:val="24"/>
          <w:vertAlign w:val="superscript"/>
        </w:rPr>
        <w:footnoteReference w:id="98"/>
      </w:r>
      <w:r w:rsidRPr="00DC1FF0">
        <w:rPr>
          <w:rFonts w:ascii="Times New Roman" w:eastAsia="Times New Roman" w:hAnsi="Times New Roman" w:cs="Times New Roman"/>
          <w:sz w:val="24"/>
          <w:szCs w:val="24"/>
        </w:rPr>
        <w:t xml:space="preserve"> Moreover, Staff witness Turkenton agreed with OCC witness Hixon’s analysis that Duke would recover these distribution-related costs sooner under an ESP than if an MRO were implemented.</w:t>
      </w:r>
      <w:r w:rsidRPr="00DC1FF0">
        <w:rPr>
          <w:rFonts w:ascii="Times New Roman" w:eastAsia="Times New Roman" w:hAnsi="Times New Roman" w:cs="Times New Roman"/>
          <w:sz w:val="24"/>
          <w:szCs w:val="24"/>
          <w:vertAlign w:val="superscript"/>
        </w:rPr>
        <w:footnoteReference w:id="99"/>
      </w:r>
      <w:r w:rsidRPr="00DC1FF0">
        <w:rPr>
          <w:rFonts w:ascii="Times New Roman" w:eastAsia="Times New Roman" w:hAnsi="Times New Roman" w:cs="Times New Roman"/>
          <w:sz w:val="24"/>
          <w:szCs w:val="24"/>
        </w:rPr>
        <w:t xml:space="preserve"> Accordingly, it would be unreasonable for the PUCO to recognize the accelerated benefits customers would receive and not the accelerated costs they would incur.</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Perhaps aware of the unreasonableness of its position, Staff also claims that the DCI Rider provides a qualitative benefit because it is “an economical and efficient process of enabling [Duke] to make investments in its distribution system.”</w:t>
      </w:r>
      <w:r w:rsidRPr="00DC1FF0">
        <w:rPr>
          <w:rFonts w:ascii="Times New Roman" w:eastAsia="Times New Roman" w:hAnsi="Times New Roman" w:cs="Times New Roman"/>
          <w:sz w:val="24"/>
          <w:szCs w:val="24"/>
          <w:vertAlign w:val="superscript"/>
        </w:rPr>
        <w:footnoteReference w:id="100"/>
      </w:r>
      <w:r w:rsidRPr="00DC1FF0">
        <w:rPr>
          <w:rFonts w:ascii="Times New Roman" w:eastAsia="Times New Roman" w:hAnsi="Times New Roman" w:cs="Times New Roman"/>
          <w:sz w:val="24"/>
          <w:szCs w:val="24"/>
        </w:rPr>
        <w:t xml:space="preserve"> Staff witness Turkenton explained on cross examination that this “economical and efficie</w:t>
      </w:r>
      <w:r w:rsidR="00515B21">
        <w:rPr>
          <w:rFonts w:ascii="Times New Roman" w:eastAsia="Times New Roman" w:hAnsi="Times New Roman" w:cs="Times New Roman"/>
          <w:sz w:val="24"/>
          <w:szCs w:val="24"/>
        </w:rPr>
        <w:t>nt process” is nothing more than</w:t>
      </w:r>
      <w:r w:rsidRPr="00DC1FF0">
        <w:rPr>
          <w:rFonts w:ascii="Times New Roman" w:eastAsia="Times New Roman" w:hAnsi="Times New Roman" w:cs="Times New Roman"/>
          <w:sz w:val="24"/>
          <w:szCs w:val="24"/>
        </w:rPr>
        <w:t xml:space="preserve"> Duke’s ability to seek approval of the rider in this pending ESP proceeding, instead of waiting to seek approval of the same rider in a subsequent base rate proceeding. Staff’s argument is one of convenience. As OCC stated in its Initial </w:t>
      </w:r>
      <w:r w:rsidR="001065DB">
        <w:rPr>
          <w:rFonts w:ascii="Times New Roman" w:eastAsia="Times New Roman" w:hAnsi="Times New Roman" w:cs="Times New Roman"/>
          <w:sz w:val="24"/>
          <w:szCs w:val="24"/>
        </w:rPr>
        <w:t xml:space="preserve">Brief, Duke could have asked for </w:t>
      </w:r>
      <w:r w:rsidRPr="00DC1FF0">
        <w:rPr>
          <w:rFonts w:ascii="Times New Roman" w:eastAsia="Times New Roman" w:hAnsi="Times New Roman" w:cs="Times New Roman"/>
          <w:sz w:val="24"/>
          <w:szCs w:val="24"/>
        </w:rPr>
        <w:t>approval of such a rider in its last rate proceeding, which concluded in 2013, but didn’t.</w:t>
      </w:r>
      <w:r w:rsidRPr="00DC1FF0">
        <w:rPr>
          <w:rFonts w:ascii="Times New Roman" w:eastAsia="Times New Roman" w:hAnsi="Times New Roman" w:cs="Times New Roman"/>
          <w:sz w:val="24"/>
          <w:szCs w:val="24"/>
          <w:vertAlign w:val="superscript"/>
        </w:rPr>
        <w:footnoteReference w:id="101"/>
      </w:r>
      <w:r w:rsidRPr="00DC1FF0">
        <w:rPr>
          <w:rFonts w:ascii="Times New Roman" w:eastAsia="Times New Roman" w:hAnsi="Times New Roman" w:cs="Times New Roman"/>
          <w:sz w:val="24"/>
          <w:szCs w:val="24"/>
        </w:rPr>
        <w:t xml:space="preserve"> Staff simply cannot create a qualitative benefit based upon Duke’s choice of forums to seek the same relief.</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Clearly, the DCI Rider provides accelerated benefits </w:t>
      </w:r>
      <w:r w:rsidR="00E21CDB">
        <w:rPr>
          <w:rFonts w:ascii="Times New Roman" w:eastAsia="Times New Roman" w:hAnsi="Times New Roman" w:cs="Times New Roman"/>
          <w:sz w:val="24"/>
          <w:szCs w:val="24"/>
        </w:rPr>
        <w:t xml:space="preserve">to the Utility </w:t>
      </w:r>
      <w:r w:rsidRPr="00DC1FF0">
        <w:rPr>
          <w:rFonts w:ascii="Times New Roman" w:eastAsia="Times New Roman" w:hAnsi="Times New Roman" w:cs="Times New Roman"/>
          <w:sz w:val="24"/>
          <w:szCs w:val="24"/>
        </w:rPr>
        <w:t xml:space="preserve">and customers incur accelerate costs. It is unreasonable for the PUCO to find that these benefits outweigh the cost that customers pay for them. It is equally unreasonable to find the DCI Rider is a qualitative benefit just because Duke sought recovery in an ESP proceeding, when it could have </w:t>
      </w:r>
      <w:r w:rsidR="00515B21">
        <w:rPr>
          <w:rFonts w:ascii="Times New Roman" w:eastAsia="Times New Roman" w:hAnsi="Times New Roman" w:cs="Times New Roman"/>
          <w:sz w:val="24"/>
          <w:szCs w:val="24"/>
        </w:rPr>
        <w:t xml:space="preserve">sought </w:t>
      </w:r>
      <w:r w:rsidRPr="00DC1FF0">
        <w:rPr>
          <w:rFonts w:ascii="Times New Roman" w:eastAsia="Times New Roman" w:hAnsi="Times New Roman" w:cs="Times New Roman"/>
          <w:sz w:val="24"/>
          <w:szCs w:val="24"/>
        </w:rPr>
        <w:t>approval of the same rider in its last rate case in 2013, for similar expenses.</w:t>
      </w:r>
      <w:r w:rsidRPr="00DC1FF0">
        <w:rPr>
          <w:rFonts w:ascii="Times New Roman" w:eastAsia="Times New Roman" w:hAnsi="Times New Roman" w:cs="Times New Roman"/>
          <w:sz w:val="24"/>
          <w:szCs w:val="24"/>
          <w:vertAlign w:val="superscript"/>
        </w:rPr>
        <w:footnoteReference w:id="102"/>
      </w:r>
    </w:p>
    <w:p w:rsidR="00DC1FF0" w:rsidRPr="00DC1FF0" w:rsidRDefault="00DC1FF0" w:rsidP="00DC1FF0">
      <w:pPr>
        <w:pStyle w:val="Heading4"/>
        <w:rPr>
          <w:rFonts w:ascii="Times New Roman" w:eastAsia="Times New Roman" w:hAnsi="Times New Roman" w:cs="Times New Roman"/>
          <w:szCs w:val="24"/>
        </w:rPr>
      </w:pPr>
      <w:bookmarkStart w:id="16" w:name="_Toc407632210"/>
      <w:r w:rsidRPr="00DC1FF0">
        <w:rPr>
          <w:rFonts w:ascii="Times New Roman" w:eastAsia="Times New Roman" w:hAnsi="Times New Roman" w:cs="Times New Roman"/>
          <w:szCs w:val="24"/>
        </w:rPr>
        <w:t>b.</w:t>
      </w:r>
      <w:r w:rsidRPr="00DC1FF0">
        <w:rPr>
          <w:rFonts w:ascii="Times New Roman" w:eastAsia="Times New Roman" w:hAnsi="Times New Roman" w:cs="Times New Roman"/>
          <w:szCs w:val="24"/>
        </w:rPr>
        <w:tab/>
        <w:t>Qualitative benefits falling under R.C. 4928.02.</w:t>
      </w:r>
      <w:bookmarkEnd w:id="16"/>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its Initial Brief, Duke recognizes that a provision must fall within R.C. 4928.143(B)(2) to be included in an ESP.</w:t>
      </w:r>
      <w:r w:rsidRPr="00DC1FF0">
        <w:rPr>
          <w:rFonts w:ascii="Times New Roman" w:eastAsia="Times New Roman" w:hAnsi="Times New Roman" w:cs="Times New Roman"/>
          <w:sz w:val="24"/>
          <w:szCs w:val="24"/>
          <w:vertAlign w:val="superscript"/>
        </w:rPr>
        <w:footnoteReference w:id="103"/>
      </w:r>
      <w:r w:rsidRPr="00DC1FF0">
        <w:rPr>
          <w:rFonts w:ascii="Times New Roman" w:eastAsia="Times New Roman" w:hAnsi="Times New Roman" w:cs="Times New Roman"/>
          <w:sz w:val="24"/>
          <w:szCs w:val="24"/>
        </w:rPr>
        <w:t xml:space="preserve"> However, Duke relies on R.C. 4928.02 as authority for the inclusion of several alleged “qualitative benefits” in this ESP (and in some instances, cites no authority):</w:t>
      </w:r>
      <w:r w:rsidRPr="00DC1FF0">
        <w:rPr>
          <w:rFonts w:ascii="Times New Roman" w:eastAsia="Times New Roman" w:hAnsi="Times New Roman" w:cs="Times New Roman"/>
          <w:sz w:val="24"/>
          <w:szCs w:val="24"/>
          <w:vertAlign w:val="superscript"/>
        </w:rPr>
        <w:footnoteReference w:id="104"/>
      </w:r>
    </w:p>
    <w:p w:rsidR="00DC1FF0" w:rsidRPr="00DC1FF0" w:rsidRDefault="00DC1FF0" w:rsidP="00DC1FF0">
      <w:pPr>
        <w:numPr>
          <w:ilvl w:val="0"/>
          <w:numId w:val="12"/>
        </w:numPr>
        <w:spacing w:after="0" w:line="240" w:lineRule="auto"/>
        <w:ind w:left="2160" w:right="720" w:hanging="720"/>
        <w:contextualSpacing/>
        <w:rPr>
          <w:rFonts w:ascii="Times New Roman" w:eastAsia="Times New Roman" w:hAnsi="Times New Roman" w:cs="Times New Roman"/>
          <w:b/>
          <w:sz w:val="24"/>
          <w:szCs w:val="24"/>
          <w:u w:val="single"/>
        </w:rPr>
      </w:pPr>
      <w:r w:rsidRPr="00DC1FF0">
        <w:rPr>
          <w:rFonts w:ascii="Times New Roman" w:eastAsia="Times New Roman" w:hAnsi="Times New Roman" w:cs="Times New Roman"/>
          <w:sz w:val="24"/>
          <w:szCs w:val="24"/>
        </w:rPr>
        <w:t>Capacity Rider (Rider RC</w:t>
      </w:r>
      <w:r w:rsidR="00060875">
        <w:rPr>
          <w:rFonts w:ascii="Times New Roman" w:eastAsia="Times New Roman" w:hAnsi="Times New Roman" w:cs="Times New Roman"/>
          <w:sz w:val="24"/>
          <w:szCs w:val="24"/>
        </w:rPr>
        <w:t xml:space="preserve">) and Energy Rider (Rider RE). </w:t>
      </w:r>
      <w:r w:rsidR="00515B21">
        <w:rPr>
          <w:rFonts w:ascii="Times New Roman" w:eastAsia="Times New Roman" w:hAnsi="Times New Roman" w:cs="Times New Roman"/>
          <w:sz w:val="24"/>
          <w:szCs w:val="24"/>
        </w:rPr>
        <w:t>Duke</w:t>
      </w:r>
      <w:r w:rsidRPr="00DC1FF0">
        <w:rPr>
          <w:rFonts w:ascii="Times New Roman" w:eastAsia="Times New Roman" w:hAnsi="Times New Roman" w:cs="Times New Roman"/>
          <w:sz w:val="24"/>
          <w:szCs w:val="24"/>
        </w:rPr>
        <w:t xml:space="preserve"> proposes modifications to rate design that allegedly make the riders comparable to</w:t>
      </w:r>
      <w:r w:rsidR="00060875">
        <w:rPr>
          <w:rFonts w:ascii="Times New Roman" w:eastAsia="Times New Roman" w:hAnsi="Times New Roman" w:cs="Times New Roman"/>
          <w:sz w:val="24"/>
          <w:szCs w:val="24"/>
        </w:rPr>
        <w:t xml:space="preserve"> CRES rates</w:t>
      </w:r>
      <w:r w:rsidR="00E21CDB">
        <w:rPr>
          <w:rFonts w:ascii="Times New Roman" w:eastAsia="Times New Roman" w:hAnsi="Times New Roman" w:cs="Times New Roman"/>
          <w:sz w:val="24"/>
          <w:szCs w:val="24"/>
        </w:rPr>
        <w:t xml:space="preserve"> </w:t>
      </w:r>
      <w:r w:rsidRPr="00DC1FF0">
        <w:rPr>
          <w:rFonts w:ascii="Times New Roman" w:eastAsia="Times New Roman" w:hAnsi="Times New Roman" w:cs="Times New Roman"/>
          <w:sz w:val="24"/>
          <w:szCs w:val="24"/>
        </w:rPr>
        <w:t>Duke relies on R.C. 4928.02(A) and (B).</w:t>
      </w:r>
      <w:r w:rsidRPr="00DC1FF0">
        <w:rPr>
          <w:rFonts w:ascii="Times New Roman" w:eastAsia="Times New Roman" w:hAnsi="Times New Roman" w:cs="Times New Roman"/>
          <w:sz w:val="24"/>
          <w:szCs w:val="24"/>
          <w:vertAlign w:val="superscript"/>
        </w:rPr>
        <w:footnoteReference w:id="105"/>
      </w:r>
    </w:p>
    <w:p w:rsidR="00DC1FF0" w:rsidRPr="00DC1FF0" w:rsidRDefault="00060875" w:rsidP="00DC1FF0">
      <w:pPr>
        <w:numPr>
          <w:ilvl w:val="0"/>
          <w:numId w:val="12"/>
        </w:numPr>
        <w:spacing w:before="120" w:after="0" w:line="240" w:lineRule="auto"/>
        <w:ind w:left="2160" w:right="720" w:hanging="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Capacity Rider (Rider RC).</w:t>
      </w:r>
      <w:r w:rsidR="00DC1FF0" w:rsidRPr="00DC1FF0">
        <w:rPr>
          <w:rFonts w:ascii="Times New Roman" w:eastAsia="Times New Roman" w:hAnsi="Times New Roman" w:cs="Times New Roman"/>
          <w:sz w:val="24"/>
          <w:szCs w:val="24"/>
        </w:rPr>
        <w:t xml:space="preserve"> Duke proposes modification to rate desi</w:t>
      </w:r>
      <w:r>
        <w:rPr>
          <w:rFonts w:ascii="Times New Roman" w:eastAsia="Times New Roman" w:hAnsi="Times New Roman" w:cs="Times New Roman"/>
          <w:sz w:val="24"/>
          <w:szCs w:val="24"/>
        </w:rPr>
        <w:t>gn related to cost allocations.</w:t>
      </w:r>
      <w:r w:rsidR="00DC1FF0" w:rsidRPr="00DC1FF0">
        <w:rPr>
          <w:rFonts w:ascii="Times New Roman" w:eastAsia="Times New Roman" w:hAnsi="Times New Roman" w:cs="Times New Roman"/>
          <w:sz w:val="24"/>
          <w:szCs w:val="24"/>
        </w:rPr>
        <w:t xml:space="preserve"> Duke relies on R.C. 4928.02(A).</w:t>
      </w:r>
      <w:r w:rsidR="00DC1FF0" w:rsidRPr="00DC1FF0">
        <w:rPr>
          <w:rFonts w:ascii="Times New Roman" w:eastAsia="Times New Roman" w:hAnsi="Times New Roman" w:cs="Times New Roman"/>
          <w:sz w:val="24"/>
          <w:szCs w:val="24"/>
          <w:vertAlign w:val="superscript"/>
        </w:rPr>
        <w:footnoteReference w:id="106"/>
      </w:r>
    </w:p>
    <w:p w:rsidR="00DC1FF0" w:rsidRPr="00DC1FF0" w:rsidRDefault="00060875" w:rsidP="00DC1FF0">
      <w:pPr>
        <w:numPr>
          <w:ilvl w:val="0"/>
          <w:numId w:val="12"/>
        </w:numPr>
        <w:spacing w:before="120" w:after="0" w:line="240" w:lineRule="auto"/>
        <w:ind w:left="2160"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Rider (Rider RC). </w:t>
      </w:r>
      <w:r w:rsidR="00DC1FF0" w:rsidRPr="00DC1FF0">
        <w:rPr>
          <w:rFonts w:ascii="Times New Roman" w:eastAsia="Times New Roman" w:hAnsi="Times New Roman" w:cs="Times New Roman"/>
          <w:sz w:val="24"/>
          <w:szCs w:val="24"/>
        </w:rPr>
        <w:t>Duke proposes modifications to rate design to base rates on usage an</w:t>
      </w:r>
      <w:r w:rsidR="00515B21">
        <w:rPr>
          <w:rFonts w:ascii="Times New Roman" w:eastAsia="Times New Roman" w:hAnsi="Times New Roman" w:cs="Times New Roman"/>
          <w:sz w:val="24"/>
          <w:szCs w:val="24"/>
        </w:rPr>
        <w:t xml:space="preserve">d to eliminate demand aspects. </w:t>
      </w:r>
      <w:r w:rsidR="00DC1FF0" w:rsidRPr="00DC1FF0">
        <w:rPr>
          <w:rFonts w:ascii="Times New Roman" w:eastAsia="Times New Roman" w:hAnsi="Times New Roman" w:cs="Times New Roman"/>
          <w:sz w:val="24"/>
          <w:szCs w:val="24"/>
        </w:rPr>
        <w:t>Duke relies on R.C. 4928.02(A).</w:t>
      </w:r>
      <w:r w:rsidR="00DC1FF0" w:rsidRPr="00DC1FF0">
        <w:rPr>
          <w:rFonts w:ascii="Times New Roman" w:eastAsia="Times New Roman" w:hAnsi="Times New Roman" w:cs="Times New Roman"/>
          <w:sz w:val="24"/>
          <w:szCs w:val="24"/>
          <w:vertAlign w:val="superscript"/>
        </w:rPr>
        <w:footnoteReference w:id="107"/>
      </w:r>
    </w:p>
    <w:p w:rsidR="00DC1FF0" w:rsidRPr="00DC1FF0" w:rsidRDefault="00DC1FF0" w:rsidP="00DC1FF0">
      <w:pPr>
        <w:numPr>
          <w:ilvl w:val="0"/>
          <w:numId w:val="12"/>
        </w:numPr>
        <w:spacing w:before="120" w:after="0" w:line="240" w:lineRule="auto"/>
        <w:ind w:left="2160" w:right="720" w:hanging="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Load</w:t>
      </w:r>
      <w:r w:rsidR="00060875">
        <w:rPr>
          <w:rFonts w:ascii="Times New Roman" w:eastAsia="Times New Roman" w:hAnsi="Times New Roman" w:cs="Times New Roman"/>
          <w:sz w:val="24"/>
          <w:szCs w:val="24"/>
        </w:rPr>
        <w:t xml:space="preserve"> Factor Adjustment (Rider LFA).</w:t>
      </w:r>
      <w:r w:rsidRPr="00DC1FF0">
        <w:rPr>
          <w:rFonts w:ascii="Times New Roman" w:eastAsia="Times New Roman" w:hAnsi="Times New Roman" w:cs="Times New Roman"/>
          <w:sz w:val="24"/>
          <w:szCs w:val="24"/>
        </w:rPr>
        <w:t xml:space="preserve"> Duke proposes modifications to rate</w:t>
      </w:r>
      <w:r w:rsidR="00060875">
        <w:rPr>
          <w:rFonts w:ascii="Times New Roman" w:eastAsia="Times New Roman" w:hAnsi="Times New Roman" w:cs="Times New Roman"/>
          <w:sz w:val="24"/>
          <w:szCs w:val="24"/>
        </w:rPr>
        <w:t xml:space="preserve"> design to eliminate the rider.</w:t>
      </w:r>
      <w:r w:rsidRPr="00DC1FF0">
        <w:rPr>
          <w:rFonts w:ascii="Times New Roman" w:eastAsia="Times New Roman" w:hAnsi="Times New Roman" w:cs="Times New Roman"/>
          <w:sz w:val="24"/>
          <w:szCs w:val="24"/>
        </w:rPr>
        <w:t xml:space="preserve"> Duke cites no state policy other than to state Rider LFA’s continued existence undermines the state’s objective to have market influences alone determine the cost of</w:t>
      </w:r>
      <w:r w:rsidR="00515B21">
        <w:rPr>
          <w:rFonts w:ascii="Times New Roman" w:eastAsia="Times New Roman" w:hAnsi="Times New Roman" w:cs="Times New Roman"/>
          <w:sz w:val="24"/>
          <w:szCs w:val="24"/>
        </w:rPr>
        <w:t xml:space="preserve"> competitive generation service</w:t>
      </w:r>
      <w:r w:rsidRPr="00DC1FF0">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vertAlign w:val="superscript"/>
        </w:rPr>
        <w:footnoteReference w:id="108"/>
      </w:r>
      <w:r w:rsidRPr="00DC1FF0">
        <w:rPr>
          <w:rFonts w:ascii="Times New Roman" w:eastAsia="Times New Roman" w:hAnsi="Times New Roman" w:cs="Times New Roman"/>
          <w:sz w:val="24"/>
          <w:szCs w:val="24"/>
        </w:rPr>
        <w:t xml:space="preserve">  </w:t>
      </w:r>
    </w:p>
    <w:p w:rsidR="00DC1FF0" w:rsidRPr="00DC1FF0" w:rsidRDefault="00060875" w:rsidP="00DC1FF0">
      <w:pPr>
        <w:numPr>
          <w:ilvl w:val="0"/>
          <w:numId w:val="12"/>
        </w:numPr>
        <w:spacing w:before="120" w:after="0" w:line="240" w:lineRule="auto"/>
        <w:ind w:left="2160"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Rider DR-ECF. </w:t>
      </w:r>
      <w:r w:rsidR="00DC1FF0" w:rsidRPr="00DC1FF0">
        <w:rPr>
          <w:rFonts w:ascii="Times New Roman" w:eastAsia="Times New Roman" w:hAnsi="Times New Roman" w:cs="Times New Roman"/>
          <w:sz w:val="24"/>
          <w:szCs w:val="24"/>
        </w:rPr>
        <w:t>Duke proposes modifications to rate design to eliminate a demand response program provided in th</w:t>
      </w:r>
      <w:r>
        <w:rPr>
          <w:rFonts w:ascii="Times New Roman" w:eastAsia="Times New Roman" w:hAnsi="Times New Roman" w:cs="Times New Roman"/>
          <w:sz w:val="24"/>
          <w:szCs w:val="24"/>
        </w:rPr>
        <w:t xml:space="preserve">e rider. </w:t>
      </w:r>
      <w:r w:rsidR="00DC1FF0" w:rsidRPr="00DC1FF0">
        <w:rPr>
          <w:rFonts w:ascii="Times New Roman" w:eastAsia="Times New Roman" w:hAnsi="Times New Roman" w:cs="Times New Roman"/>
          <w:sz w:val="24"/>
          <w:szCs w:val="24"/>
        </w:rPr>
        <w:t>Duke cites no state policy other than to state that the program’s elimination is a move toward pure market pricing.</w:t>
      </w:r>
      <w:r w:rsidR="00DC1FF0" w:rsidRPr="00DC1FF0">
        <w:rPr>
          <w:rFonts w:ascii="Times New Roman" w:eastAsia="Times New Roman" w:hAnsi="Times New Roman" w:cs="Times New Roman"/>
          <w:sz w:val="24"/>
          <w:szCs w:val="24"/>
          <w:vertAlign w:val="superscript"/>
        </w:rPr>
        <w:footnoteReference w:id="109"/>
      </w:r>
      <w:r w:rsidR="00DC1FF0" w:rsidRPr="00DC1FF0">
        <w:rPr>
          <w:rFonts w:ascii="Times New Roman" w:eastAsia="Times New Roman" w:hAnsi="Times New Roman" w:cs="Times New Roman"/>
          <w:sz w:val="24"/>
          <w:szCs w:val="24"/>
        </w:rPr>
        <w:t xml:space="preserve">  </w:t>
      </w:r>
    </w:p>
    <w:p w:rsidR="00DC1FF0" w:rsidRPr="00DC1FF0" w:rsidRDefault="00DC1FF0" w:rsidP="00DC1FF0">
      <w:pPr>
        <w:numPr>
          <w:ilvl w:val="0"/>
          <w:numId w:val="12"/>
        </w:numPr>
        <w:spacing w:before="120" w:after="0" w:line="240" w:lineRule="auto"/>
        <w:ind w:left="2160" w:right="720" w:hanging="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Purchase of </w:t>
      </w:r>
      <w:r w:rsidR="00060875">
        <w:rPr>
          <w:rFonts w:ascii="Times New Roman" w:eastAsia="Times New Roman" w:hAnsi="Times New Roman" w:cs="Times New Roman"/>
          <w:sz w:val="24"/>
          <w:szCs w:val="24"/>
        </w:rPr>
        <w:t xml:space="preserve">Receivables Rider (Rider POR). </w:t>
      </w:r>
      <w:r w:rsidRPr="00DC1FF0">
        <w:rPr>
          <w:rFonts w:ascii="Times New Roman" w:eastAsia="Times New Roman" w:hAnsi="Times New Roman" w:cs="Times New Roman"/>
          <w:sz w:val="24"/>
          <w:szCs w:val="24"/>
        </w:rPr>
        <w:t>Duke will retain the existing POR program. Duke cites no policy.</w:t>
      </w:r>
      <w:r w:rsidRPr="00DC1FF0">
        <w:rPr>
          <w:rFonts w:ascii="Times New Roman" w:eastAsia="Times New Roman" w:hAnsi="Times New Roman" w:cs="Times New Roman"/>
          <w:sz w:val="24"/>
          <w:szCs w:val="24"/>
          <w:vertAlign w:val="superscript"/>
        </w:rPr>
        <w:footnoteReference w:id="110"/>
      </w:r>
      <w:r w:rsidRPr="00DC1FF0">
        <w:rPr>
          <w:rFonts w:ascii="Times New Roman" w:eastAsia="Times New Roman" w:hAnsi="Times New Roman" w:cs="Times New Roman"/>
          <w:sz w:val="24"/>
          <w:szCs w:val="24"/>
        </w:rPr>
        <w:t xml:space="preserve">  </w:t>
      </w:r>
    </w:p>
    <w:p w:rsidR="00DC1FF0" w:rsidRPr="00DC1FF0" w:rsidRDefault="00DC1FF0" w:rsidP="00DC1FF0">
      <w:pPr>
        <w:numPr>
          <w:ilvl w:val="0"/>
          <w:numId w:val="12"/>
        </w:numPr>
        <w:spacing w:before="120" w:after="0" w:line="240" w:lineRule="auto"/>
        <w:ind w:left="2160" w:right="720" w:hanging="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Net Metering R</w:t>
      </w:r>
      <w:r w:rsidR="00060875">
        <w:rPr>
          <w:rFonts w:ascii="Times New Roman" w:eastAsia="Times New Roman" w:hAnsi="Times New Roman" w:cs="Times New Roman"/>
          <w:sz w:val="24"/>
          <w:szCs w:val="24"/>
        </w:rPr>
        <w:t xml:space="preserve">ider (Rider NM). </w:t>
      </w:r>
      <w:r w:rsidRPr="00DC1FF0">
        <w:rPr>
          <w:rFonts w:ascii="Times New Roman" w:eastAsia="Times New Roman" w:hAnsi="Times New Roman" w:cs="Times New Roman"/>
          <w:sz w:val="24"/>
          <w:szCs w:val="24"/>
        </w:rPr>
        <w:t>Duke proposes changes to cl</w:t>
      </w:r>
      <w:r w:rsidR="00060875">
        <w:rPr>
          <w:rFonts w:ascii="Times New Roman" w:eastAsia="Times New Roman" w:hAnsi="Times New Roman" w:cs="Times New Roman"/>
          <w:sz w:val="24"/>
          <w:szCs w:val="24"/>
        </w:rPr>
        <w:t xml:space="preserve">arify language in its tariff. </w:t>
      </w:r>
      <w:r w:rsidRPr="00DC1FF0">
        <w:rPr>
          <w:rFonts w:ascii="Times New Roman" w:eastAsia="Times New Roman" w:hAnsi="Times New Roman" w:cs="Times New Roman"/>
          <w:sz w:val="24"/>
          <w:szCs w:val="24"/>
        </w:rPr>
        <w:t>Duke cites no state policy other than to state that the language change will enhance reasonable rates.</w:t>
      </w:r>
      <w:r w:rsidRPr="00DC1FF0">
        <w:rPr>
          <w:rFonts w:ascii="Times New Roman" w:eastAsia="Times New Roman" w:hAnsi="Times New Roman" w:cs="Times New Roman"/>
          <w:sz w:val="24"/>
          <w:szCs w:val="24"/>
          <w:vertAlign w:val="superscript"/>
        </w:rPr>
        <w:footnoteReference w:id="111"/>
      </w:r>
    </w:p>
    <w:p w:rsidR="00DC1FF0" w:rsidRPr="00DC1FF0" w:rsidRDefault="00DC1FF0" w:rsidP="00DC1FF0">
      <w:pPr>
        <w:spacing w:before="120" w:after="0" w:line="240" w:lineRule="auto"/>
        <w:ind w:right="720"/>
        <w:rPr>
          <w:rFonts w:ascii="Times New Roman" w:eastAsia="Times New Roman" w:hAnsi="Times New Roman" w:cs="Times New Roman"/>
          <w:sz w:val="24"/>
          <w:szCs w:val="24"/>
        </w:rPr>
      </w:pP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Because the modifications of the above riders (and the retention of Rider POR) do not fall within </w:t>
      </w:r>
      <w:r w:rsidR="00515B21">
        <w:rPr>
          <w:rFonts w:ascii="Times New Roman" w:eastAsia="Times New Roman" w:hAnsi="Times New Roman" w:cs="Times New Roman"/>
          <w:sz w:val="24"/>
          <w:szCs w:val="24"/>
        </w:rPr>
        <w:t xml:space="preserve">the </w:t>
      </w:r>
      <w:r w:rsidRPr="00DC1FF0">
        <w:rPr>
          <w:rFonts w:ascii="Times New Roman" w:eastAsia="Times New Roman" w:hAnsi="Times New Roman" w:cs="Times New Roman"/>
          <w:sz w:val="24"/>
          <w:szCs w:val="24"/>
        </w:rPr>
        <w:t>nine items listed in R.C. 4918.143(B)(2), they cannot be considered in performing the ESP v. MRO test under 4928.143(C)(1). Duke recognizes as much in its Initial Brief.</w:t>
      </w:r>
      <w:r w:rsidRPr="00DC1FF0">
        <w:rPr>
          <w:rFonts w:ascii="Times New Roman" w:eastAsia="Times New Roman" w:hAnsi="Times New Roman" w:cs="Times New Roman"/>
          <w:sz w:val="24"/>
          <w:szCs w:val="24"/>
          <w:vertAlign w:val="superscript"/>
        </w:rPr>
        <w:footnoteReference w:id="112"/>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Even if these alleged qualitative benefits did fall within R.C. 4928.143(B)(2), they would be excluded from consideration in the test because they also can be offered under an MRO. OCC witness Hixon testified that changes to the rate design riders are also available in an MRO. R.C. 4928.142 requires an MRO applicant to file a proposed rate design and the PUCO’s rules require it to provide proposed SSO generation rates derived from the competitive bid process (“CBP”). Specifically, the rules require the applicant to file (1) a proposed retail rate design, (2) an indication of how bid prices were used for deriving rates, and (3) a description of the rate structure chosen by the utility with the method used to convert bides prices to retail rates.</w:t>
      </w:r>
      <w:r w:rsidRPr="00DC1FF0">
        <w:rPr>
          <w:rFonts w:ascii="Times New Roman" w:eastAsia="Times New Roman" w:hAnsi="Times New Roman" w:cs="Times New Roman"/>
          <w:sz w:val="24"/>
          <w:szCs w:val="24"/>
          <w:vertAlign w:val="superscript"/>
        </w:rPr>
        <w:footnoteReference w:id="113"/>
      </w:r>
      <w:r w:rsidRPr="00DC1FF0">
        <w:rPr>
          <w:rFonts w:ascii="Times New Roman" w:eastAsia="Times New Roman" w:hAnsi="Times New Roman" w:cs="Times New Roman"/>
          <w:sz w:val="24"/>
          <w:szCs w:val="24"/>
        </w:rPr>
        <w:t xml:space="preserve"> Indeed, Duke filed a proposed retail rate design when it filed an application for an MRO in 2010.</w:t>
      </w:r>
      <w:r w:rsidRPr="00DC1FF0">
        <w:rPr>
          <w:rFonts w:ascii="Times New Roman" w:eastAsia="Times New Roman" w:hAnsi="Times New Roman" w:cs="Times New Roman"/>
          <w:sz w:val="24"/>
          <w:szCs w:val="24"/>
          <w:vertAlign w:val="superscript"/>
        </w:rPr>
        <w:footnoteReference w:id="114"/>
      </w:r>
      <w:r w:rsidRPr="00DC1FF0">
        <w:rPr>
          <w:rFonts w:ascii="Times New Roman" w:eastAsia="Times New Roman" w:hAnsi="Times New Roman" w:cs="Times New Roman"/>
          <w:sz w:val="24"/>
          <w:szCs w:val="24"/>
        </w:rPr>
        <w:t xml:space="preserve"> Moreover, Staff agrees that an MRO applicant must provide a proposed rate design to the PUCO, that the PUCO has the discretion to approve the design submitted, and that the EDU may submit subsequent MRO applicants and change its current rate design.</w:t>
      </w:r>
      <w:r w:rsidRPr="00DC1FF0">
        <w:rPr>
          <w:rFonts w:ascii="Times New Roman" w:eastAsia="Times New Roman" w:hAnsi="Times New Roman" w:cs="Times New Roman"/>
          <w:sz w:val="24"/>
          <w:szCs w:val="24"/>
          <w:vertAlign w:val="superscript"/>
        </w:rPr>
        <w:footnoteReference w:id="115"/>
      </w:r>
      <w:r w:rsidRPr="00DC1FF0">
        <w:rPr>
          <w:rFonts w:ascii="Times New Roman" w:eastAsia="Times New Roman" w:hAnsi="Times New Roman" w:cs="Times New Roman"/>
          <w:sz w:val="24"/>
          <w:szCs w:val="24"/>
        </w:rPr>
        <w:t xml:space="preserve"> Thus, the changes to SSO generation-related rates proposed in this ESP for the rate design riders are equally available in an MRO. Because they are available in an MRO, the changes cannot be considered a qualitative benefit reserved only for the ESP.</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 did not list Rider POR as a benefit in its direct testimony, and it cannot be considered a benefit of this ESP, because it already is being offered.</w:t>
      </w:r>
      <w:r w:rsidRPr="00DC1FF0">
        <w:rPr>
          <w:rFonts w:ascii="Times New Roman" w:eastAsia="Times New Roman" w:hAnsi="Times New Roman" w:cs="Times New Roman"/>
          <w:sz w:val="24"/>
          <w:szCs w:val="24"/>
          <w:vertAlign w:val="superscript"/>
        </w:rPr>
        <w:footnoteReference w:id="116"/>
      </w:r>
      <w:r w:rsidRPr="00DC1FF0">
        <w:rPr>
          <w:rFonts w:ascii="Times New Roman" w:eastAsia="Times New Roman" w:hAnsi="Times New Roman" w:cs="Times New Roman"/>
          <w:sz w:val="24"/>
          <w:szCs w:val="24"/>
        </w:rPr>
        <w:t xml:space="preserve"> Moreover, no reason exists that Duke couldn’t </w:t>
      </w:r>
      <w:r w:rsidR="00E21CDB">
        <w:rPr>
          <w:rFonts w:ascii="Times New Roman" w:eastAsia="Times New Roman" w:hAnsi="Times New Roman" w:cs="Times New Roman"/>
          <w:sz w:val="24"/>
          <w:szCs w:val="24"/>
        </w:rPr>
        <w:t xml:space="preserve">propose to </w:t>
      </w:r>
      <w:r w:rsidRPr="00DC1FF0">
        <w:rPr>
          <w:rFonts w:ascii="Times New Roman" w:eastAsia="Times New Roman" w:hAnsi="Times New Roman" w:cs="Times New Roman"/>
          <w:sz w:val="24"/>
          <w:szCs w:val="24"/>
        </w:rPr>
        <w:t>continue the program under an MRO.</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Finally, the language revisions proposed for Rider NM are also available under an MRO through an application to amend a tariff.</w:t>
      </w:r>
    </w:p>
    <w:p w:rsidR="00DC1FF0" w:rsidRPr="00DC1FF0" w:rsidRDefault="00DC1FF0" w:rsidP="00DC1FF0">
      <w:pPr>
        <w:spacing w:after="0" w:line="240" w:lineRule="auto"/>
        <w:ind w:firstLine="720"/>
        <w:rPr>
          <w:rFonts w:ascii="Times New Roman" w:eastAsia="Times New Roman" w:hAnsi="Times New Roman" w:cs="Times New Roman"/>
          <w:sz w:val="24"/>
          <w:szCs w:val="24"/>
        </w:rPr>
      </w:pPr>
    </w:p>
    <w:p w:rsidR="00ED5BD9" w:rsidRPr="00DC1FF0" w:rsidRDefault="00117ADB" w:rsidP="00A40A7F">
      <w:pPr>
        <w:pStyle w:val="Heading1"/>
        <w:rPr>
          <w:rFonts w:ascii="Times New Roman" w:hAnsi="Times New Roman" w:cs="Times New Roman"/>
          <w:szCs w:val="24"/>
        </w:rPr>
      </w:pPr>
      <w:bookmarkStart w:id="17" w:name="_Toc407632211"/>
      <w:r w:rsidRPr="00DC1FF0">
        <w:rPr>
          <w:rFonts w:ascii="Times New Roman" w:hAnsi="Times New Roman" w:cs="Times New Roman"/>
          <w:szCs w:val="24"/>
        </w:rPr>
        <w:t>D</w:t>
      </w:r>
      <w:r w:rsidR="00ED5BD9" w:rsidRPr="00DC1FF0">
        <w:rPr>
          <w:rFonts w:ascii="Times New Roman" w:hAnsi="Times New Roman" w:cs="Times New Roman"/>
          <w:szCs w:val="24"/>
        </w:rPr>
        <w:t>I</w:t>
      </w:r>
      <w:r w:rsidRPr="00DC1FF0">
        <w:rPr>
          <w:rFonts w:ascii="Times New Roman" w:hAnsi="Times New Roman" w:cs="Times New Roman"/>
          <w:szCs w:val="24"/>
        </w:rPr>
        <w:t>STRIBUTION</w:t>
      </w:r>
      <w:r w:rsidR="00ED5BD9" w:rsidRPr="00DC1FF0">
        <w:rPr>
          <w:rFonts w:ascii="Times New Roman" w:hAnsi="Times New Roman" w:cs="Times New Roman"/>
          <w:szCs w:val="24"/>
        </w:rPr>
        <w:t xml:space="preserve"> RIDER</w:t>
      </w:r>
      <w:r w:rsidRPr="00DC1FF0">
        <w:rPr>
          <w:rFonts w:ascii="Times New Roman" w:hAnsi="Times New Roman" w:cs="Times New Roman"/>
          <w:szCs w:val="24"/>
        </w:rPr>
        <w:t>S</w:t>
      </w:r>
      <w:bookmarkEnd w:id="17"/>
    </w:p>
    <w:p w:rsidR="00DC1FF0" w:rsidRPr="00DC1FF0" w:rsidRDefault="00DC1FF0" w:rsidP="00D77C8B">
      <w:pPr>
        <w:pStyle w:val="Heading2"/>
      </w:pPr>
      <w:bookmarkStart w:id="18" w:name="_Toc407632212"/>
      <w:r w:rsidRPr="00DC1FF0">
        <w:t>A.</w:t>
      </w:r>
      <w:r w:rsidRPr="00DC1FF0">
        <w:tab/>
        <w:t xml:space="preserve">Duke </w:t>
      </w:r>
      <w:r w:rsidR="00D77C8B" w:rsidRPr="00DC1FF0">
        <w:t xml:space="preserve">Failed To Demonstrate Any Need For The </w:t>
      </w:r>
      <w:r w:rsidRPr="00DC1FF0">
        <w:t>DCI Rider.</w:t>
      </w:r>
      <w:bookmarkEnd w:id="18"/>
    </w:p>
    <w:p w:rsidR="00DC1FF0" w:rsidRPr="00DC1FF0" w:rsidRDefault="00DC1FF0" w:rsidP="00DC1FF0">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Much like its Ap</w:t>
      </w:r>
      <w:r w:rsidR="00060875">
        <w:rPr>
          <w:rFonts w:ascii="Times New Roman" w:hAnsi="Times New Roman" w:cs="Times New Roman"/>
          <w:sz w:val="24"/>
          <w:szCs w:val="24"/>
        </w:rPr>
        <w:t xml:space="preserve">plication, </w:t>
      </w:r>
      <w:r w:rsidRPr="00DC1FF0">
        <w:rPr>
          <w:rFonts w:ascii="Times New Roman" w:hAnsi="Times New Roman" w:cs="Times New Roman"/>
          <w:sz w:val="24"/>
          <w:szCs w:val="24"/>
        </w:rPr>
        <w:t>Duke</w:t>
      </w:r>
      <w:r w:rsidR="00060875">
        <w:rPr>
          <w:rFonts w:ascii="Times New Roman" w:hAnsi="Times New Roman" w:cs="Times New Roman"/>
          <w:sz w:val="24"/>
          <w:szCs w:val="24"/>
        </w:rPr>
        <w:t>’s Initial Brief</w:t>
      </w:r>
      <w:r w:rsidRPr="00DC1FF0">
        <w:rPr>
          <w:rFonts w:ascii="Times New Roman" w:hAnsi="Times New Roman" w:cs="Times New Roman"/>
          <w:sz w:val="24"/>
          <w:szCs w:val="24"/>
        </w:rPr>
        <w:t xml:space="preserve"> stressed and relied on general statements and claims instead of specific details and documentation. Duke’s proposed DCI Rider is an example o</w:t>
      </w:r>
      <w:r w:rsidR="00E21CDB">
        <w:rPr>
          <w:rFonts w:ascii="Times New Roman" w:hAnsi="Times New Roman" w:cs="Times New Roman"/>
          <w:sz w:val="24"/>
          <w:szCs w:val="24"/>
        </w:rPr>
        <w:t>f this shortcoming.</w:t>
      </w:r>
      <w:r w:rsidRPr="00DC1FF0">
        <w:rPr>
          <w:rFonts w:ascii="Times New Roman" w:hAnsi="Times New Roman" w:cs="Times New Roman"/>
          <w:sz w:val="24"/>
          <w:szCs w:val="24"/>
        </w:rPr>
        <w:t xml:space="preserve"> Duke begins the defense of the proposed DCI Rider with general observations noting that such Riders are permitted by Ohio law, and that other Ohio electric utilities have had such Riders approved by the PUCO.</w:t>
      </w:r>
      <w:r w:rsidRPr="00DC1FF0">
        <w:rPr>
          <w:rFonts w:ascii="Times New Roman" w:hAnsi="Times New Roman" w:cs="Times New Roman"/>
          <w:sz w:val="24"/>
          <w:szCs w:val="24"/>
          <w:vertAlign w:val="superscript"/>
        </w:rPr>
        <w:footnoteReference w:id="117"/>
      </w:r>
      <w:r w:rsidRPr="00DC1FF0">
        <w:rPr>
          <w:rFonts w:ascii="Times New Roman" w:hAnsi="Times New Roman" w:cs="Times New Roman"/>
          <w:sz w:val="24"/>
          <w:szCs w:val="24"/>
        </w:rPr>
        <w:t xml:space="preserve"> Although both of these things are true, neither is justification for the PUCO approving a DCI Rider for Duke. There is nothing in R. C. 4928.143(B)(2)(h) that requires the PUCO to approve a DCI-type Rider, or that requires the PUCO to approve a DCI rider for one electric utility if the PUCO has approved such Riders for others. Instead Duke must demonstrate a need for </w:t>
      </w:r>
      <w:r w:rsidR="00515B21">
        <w:rPr>
          <w:rFonts w:ascii="Times New Roman" w:hAnsi="Times New Roman" w:cs="Times New Roman"/>
          <w:sz w:val="24"/>
          <w:szCs w:val="24"/>
        </w:rPr>
        <w:t xml:space="preserve">a </w:t>
      </w:r>
      <w:r w:rsidRPr="00DC1FF0">
        <w:rPr>
          <w:rFonts w:ascii="Times New Roman" w:hAnsi="Times New Roman" w:cs="Times New Roman"/>
          <w:sz w:val="24"/>
          <w:szCs w:val="24"/>
        </w:rPr>
        <w:t>distribution infrastructure modernization rider and must demonstrate that its interests and those of its customers are aligned regarding service reliability.</w:t>
      </w:r>
      <w:r w:rsidRPr="00DC1FF0">
        <w:rPr>
          <w:rFonts w:ascii="Times New Roman" w:hAnsi="Times New Roman" w:cs="Times New Roman"/>
          <w:sz w:val="24"/>
          <w:szCs w:val="24"/>
          <w:vertAlign w:val="superscript"/>
        </w:rPr>
        <w:footnoteReference w:id="118"/>
      </w:r>
      <w:r w:rsidRPr="00DC1FF0">
        <w:rPr>
          <w:rFonts w:ascii="Times New Roman" w:hAnsi="Times New Roman" w:cs="Times New Roman"/>
          <w:sz w:val="24"/>
          <w:szCs w:val="24"/>
        </w:rPr>
        <w:t xml:space="preserve"> </w:t>
      </w:r>
    </w:p>
    <w:p w:rsidR="00DC1FF0" w:rsidRPr="00DC1FF0" w:rsidRDefault="00DC1FF0" w:rsidP="00DC1FF0">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Instead of documentation and proof, Duke merely argued that distribution reliability is important to the Utility.</w:t>
      </w:r>
      <w:r w:rsidRPr="00DC1FF0">
        <w:rPr>
          <w:rFonts w:ascii="Times New Roman" w:hAnsi="Times New Roman" w:cs="Times New Roman"/>
          <w:sz w:val="24"/>
          <w:szCs w:val="24"/>
          <w:vertAlign w:val="superscript"/>
        </w:rPr>
        <w:footnoteReference w:id="119"/>
      </w:r>
      <w:r w:rsidRPr="00DC1FF0">
        <w:rPr>
          <w:rFonts w:ascii="Times New Roman" w:hAnsi="Times New Roman" w:cs="Times New Roman"/>
          <w:sz w:val="24"/>
          <w:szCs w:val="24"/>
        </w:rPr>
        <w:t xml:space="preserve"> OCC does not dispute a general statement by Duke that distribution reliability is important. However, Duke has done nothing to demonstrate that this important service reliability issue is somehow contingent on the specific approval of a DCI Rider.</w:t>
      </w:r>
      <w:r w:rsidRPr="00DC1FF0">
        <w:rPr>
          <w:rFonts w:ascii="Times New Roman" w:hAnsi="Times New Roman" w:cs="Times New Roman"/>
          <w:sz w:val="24"/>
          <w:szCs w:val="24"/>
          <w:vertAlign w:val="superscript"/>
        </w:rPr>
        <w:footnoteReference w:id="120"/>
      </w:r>
      <w:r w:rsidRPr="00DC1FF0">
        <w:rPr>
          <w:rFonts w:ascii="Times New Roman" w:hAnsi="Times New Roman" w:cs="Times New Roman"/>
          <w:sz w:val="24"/>
          <w:szCs w:val="24"/>
        </w:rPr>
        <w:t xml:space="preserve"> </w:t>
      </w:r>
    </w:p>
    <w:p w:rsidR="00DC1FF0" w:rsidRPr="00DC1FF0" w:rsidRDefault="00DC1FF0" w:rsidP="00DC1FF0">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Duke claims that there are challenges to providing reliable service.</w:t>
      </w:r>
      <w:r w:rsidRPr="00DC1FF0">
        <w:rPr>
          <w:rFonts w:ascii="Times New Roman" w:hAnsi="Times New Roman" w:cs="Times New Roman"/>
          <w:sz w:val="24"/>
          <w:szCs w:val="24"/>
          <w:vertAlign w:val="superscript"/>
        </w:rPr>
        <w:footnoteReference w:id="121"/>
      </w:r>
      <w:r w:rsidRPr="00DC1FF0">
        <w:rPr>
          <w:rFonts w:ascii="Times New Roman" w:hAnsi="Times New Roman" w:cs="Times New Roman"/>
          <w:sz w:val="24"/>
          <w:szCs w:val="24"/>
        </w:rPr>
        <w:t xml:space="preserve"> Mr. Arnold argued that aging infrastructure and obsolete equipment complicate maintenance of the distribution system.</w:t>
      </w:r>
      <w:r w:rsidRPr="00DC1FF0">
        <w:rPr>
          <w:rFonts w:ascii="Times New Roman" w:hAnsi="Times New Roman" w:cs="Times New Roman"/>
          <w:sz w:val="24"/>
          <w:szCs w:val="24"/>
          <w:vertAlign w:val="superscript"/>
        </w:rPr>
        <w:footnoteReference w:id="122"/>
      </w:r>
      <w:r w:rsidRPr="00DC1FF0">
        <w:rPr>
          <w:rFonts w:ascii="Times New Roman" w:hAnsi="Times New Roman" w:cs="Times New Roman"/>
          <w:sz w:val="24"/>
          <w:szCs w:val="24"/>
        </w:rPr>
        <w:t xml:space="preserve"> Despite these general claims that would apply to virtually any electric utility in the United States, Duke provided no documentation or analysis to demonstrate that these problems actually exist for Duke and that they can only be solved through the implementation of a DCI Rider. Moreover, when specifically asked, Mr. Arnold could not identify any situations where Duke was unable to find replacement parts for allegedly obsolete equipment.</w:t>
      </w:r>
      <w:r w:rsidRPr="00DC1FF0">
        <w:rPr>
          <w:rFonts w:ascii="Times New Roman" w:hAnsi="Times New Roman" w:cs="Times New Roman"/>
          <w:sz w:val="24"/>
          <w:szCs w:val="24"/>
          <w:vertAlign w:val="superscript"/>
        </w:rPr>
        <w:footnoteReference w:id="123"/>
      </w:r>
      <w:r w:rsidRPr="00DC1FF0">
        <w:rPr>
          <w:rFonts w:ascii="Times New Roman" w:hAnsi="Times New Roman" w:cs="Times New Roman"/>
          <w:sz w:val="24"/>
          <w:szCs w:val="24"/>
        </w:rPr>
        <w:t xml:space="preserve"> In addition, Mr. Arnold could not quantify any premium associated with having to obtain or fabricate a replacement part for allegedly obsolete equipment.</w:t>
      </w:r>
      <w:r w:rsidRPr="00DC1FF0">
        <w:rPr>
          <w:rFonts w:ascii="Times New Roman" w:hAnsi="Times New Roman" w:cs="Times New Roman"/>
          <w:sz w:val="24"/>
          <w:szCs w:val="24"/>
          <w:vertAlign w:val="superscript"/>
        </w:rPr>
        <w:footnoteReference w:id="124"/>
      </w:r>
      <w:r w:rsidRPr="00DC1FF0">
        <w:rPr>
          <w:rFonts w:ascii="Times New Roman" w:hAnsi="Times New Roman" w:cs="Times New Roman"/>
          <w:sz w:val="24"/>
          <w:szCs w:val="24"/>
        </w:rPr>
        <w:t xml:space="preserve"> The PUCO should not approve the $</w:t>
      </w:r>
      <w:r w:rsidR="003064FB">
        <w:rPr>
          <w:rFonts w:ascii="Times New Roman" w:hAnsi="Times New Roman" w:cs="Times New Roman"/>
          <w:sz w:val="24"/>
          <w:szCs w:val="24"/>
        </w:rPr>
        <w:t>104</w:t>
      </w:r>
      <w:r w:rsidRPr="00DC1FF0">
        <w:rPr>
          <w:rFonts w:ascii="Times New Roman" w:hAnsi="Times New Roman" w:cs="Times New Roman"/>
          <w:sz w:val="24"/>
          <w:szCs w:val="24"/>
        </w:rPr>
        <w:t xml:space="preserve"> million </w:t>
      </w:r>
      <w:r w:rsidR="00035356">
        <w:rPr>
          <w:rFonts w:ascii="Times New Roman" w:hAnsi="Times New Roman" w:cs="Times New Roman"/>
          <w:sz w:val="24"/>
          <w:szCs w:val="24"/>
        </w:rPr>
        <w:t>DCI</w:t>
      </w:r>
      <w:r w:rsidRPr="00DC1FF0">
        <w:rPr>
          <w:rFonts w:ascii="Times New Roman" w:hAnsi="Times New Roman" w:cs="Times New Roman"/>
          <w:sz w:val="24"/>
          <w:szCs w:val="24"/>
        </w:rPr>
        <w:t xml:space="preserve"> Rider program</w:t>
      </w:r>
      <w:r w:rsidRPr="00DC1FF0">
        <w:rPr>
          <w:rFonts w:ascii="Times New Roman" w:hAnsi="Times New Roman" w:cs="Times New Roman"/>
          <w:sz w:val="24"/>
          <w:szCs w:val="24"/>
          <w:vertAlign w:val="superscript"/>
        </w:rPr>
        <w:footnoteReference w:id="125"/>
      </w:r>
      <w:r w:rsidRPr="00DC1FF0">
        <w:rPr>
          <w:rFonts w:ascii="Times New Roman" w:hAnsi="Times New Roman" w:cs="Times New Roman"/>
          <w:sz w:val="24"/>
          <w:szCs w:val="24"/>
        </w:rPr>
        <w:t xml:space="preserve"> based these general unsupported allegations. </w:t>
      </w:r>
    </w:p>
    <w:p w:rsidR="00DC1FF0" w:rsidRPr="00DC1FF0" w:rsidRDefault="00DC1FF0" w:rsidP="00D77C8B">
      <w:pPr>
        <w:pStyle w:val="Heading2"/>
      </w:pPr>
      <w:bookmarkStart w:id="19" w:name="_Toc407632213"/>
      <w:r w:rsidRPr="00DC1FF0">
        <w:t>B.</w:t>
      </w:r>
      <w:r w:rsidRPr="00DC1FF0">
        <w:tab/>
        <w:t xml:space="preserve">The </w:t>
      </w:r>
      <w:r w:rsidR="00D77C8B" w:rsidRPr="00DC1FF0">
        <w:t xml:space="preserve">Expectations Of </w:t>
      </w:r>
      <w:r w:rsidRPr="00DC1FF0">
        <w:t xml:space="preserve">Duke </w:t>
      </w:r>
      <w:r w:rsidR="00D77C8B" w:rsidRPr="00DC1FF0">
        <w:t>And Its Customers Are Not Aligned Regarding Service Reliability Expectations</w:t>
      </w:r>
      <w:r w:rsidRPr="00DC1FF0">
        <w:t>.</w:t>
      </w:r>
      <w:bookmarkEnd w:id="19"/>
    </w:p>
    <w:p w:rsidR="00DC1FF0" w:rsidRPr="00DC1FF0" w:rsidRDefault="00DC1FF0" w:rsidP="003B740D">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R.C. 4928.143(B)(2)(h) specifies that the expectations of the utility and its customers must be aligned. There is no dispute that both the Utility and its customers want service reliability. However, there is no alignment when it comes to the increased cost of that service reliability. Duke’s customers have made it loud and clear both in the most recent distribution rate case, and in the 2013</w:t>
      </w:r>
      <w:r w:rsidRPr="00DC1FF0">
        <w:rPr>
          <w:rFonts w:ascii="Times New Roman" w:hAnsi="Times New Roman" w:cs="Times New Roman"/>
          <w:sz w:val="24"/>
          <w:szCs w:val="24"/>
          <w:vertAlign w:val="superscript"/>
        </w:rPr>
        <w:footnoteReference w:id="126"/>
      </w:r>
      <w:r w:rsidRPr="00DC1FF0">
        <w:rPr>
          <w:rFonts w:ascii="Times New Roman" w:hAnsi="Times New Roman" w:cs="Times New Roman"/>
          <w:sz w:val="24"/>
          <w:szCs w:val="24"/>
        </w:rPr>
        <w:t xml:space="preserve"> and 2014</w:t>
      </w:r>
      <w:r w:rsidRPr="00DC1FF0">
        <w:rPr>
          <w:rFonts w:ascii="Times New Roman" w:hAnsi="Times New Roman" w:cs="Times New Roman"/>
          <w:sz w:val="24"/>
          <w:szCs w:val="24"/>
          <w:vertAlign w:val="superscript"/>
        </w:rPr>
        <w:footnoteReference w:id="127"/>
      </w:r>
      <w:r w:rsidRPr="00DC1FF0">
        <w:rPr>
          <w:rFonts w:ascii="Times New Roman" w:hAnsi="Times New Roman" w:cs="Times New Roman"/>
          <w:sz w:val="24"/>
          <w:szCs w:val="24"/>
        </w:rPr>
        <w:t xml:space="preserve"> quarterly PUCO–required surveys that they do not want to pay higher rates for increased service reliability.</w:t>
      </w:r>
      <w:r w:rsidRPr="00DC1FF0">
        <w:rPr>
          <w:rFonts w:ascii="Times New Roman" w:hAnsi="Times New Roman" w:cs="Times New Roman"/>
          <w:sz w:val="24"/>
          <w:szCs w:val="24"/>
          <w:vertAlign w:val="superscript"/>
        </w:rPr>
        <w:footnoteReference w:id="128"/>
      </w:r>
    </w:p>
    <w:p w:rsidR="00DC1FF0" w:rsidRPr="00DC1FF0" w:rsidRDefault="00DC1FF0" w:rsidP="00DC1FF0">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Duke argues that its expectations and those of its customers are aligned regarding service reliability.</w:t>
      </w:r>
      <w:r w:rsidRPr="00DC1FF0">
        <w:rPr>
          <w:rFonts w:ascii="Times New Roman" w:hAnsi="Times New Roman" w:cs="Times New Roman"/>
          <w:sz w:val="24"/>
          <w:szCs w:val="24"/>
          <w:vertAlign w:val="superscript"/>
        </w:rPr>
        <w:footnoteReference w:id="129"/>
      </w:r>
      <w:r w:rsidRPr="00DC1FF0">
        <w:rPr>
          <w:rFonts w:ascii="Times New Roman" w:hAnsi="Times New Roman" w:cs="Times New Roman"/>
          <w:sz w:val="24"/>
          <w:szCs w:val="24"/>
        </w:rPr>
        <w:t xml:space="preserve"> Duke based this claim on Mr. Arnold being uniquely qualified to understand customer expectations.</w:t>
      </w:r>
      <w:r w:rsidRPr="00DC1FF0">
        <w:rPr>
          <w:rFonts w:ascii="Times New Roman" w:hAnsi="Times New Roman" w:cs="Times New Roman"/>
          <w:sz w:val="24"/>
          <w:szCs w:val="24"/>
          <w:vertAlign w:val="superscript"/>
        </w:rPr>
        <w:footnoteReference w:id="130"/>
      </w:r>
      <w:r w:rsidRPr="00DC1FF0">
        <w:rPr>
          <w:rFonts w:ascii="Times New Roman" w:hAnsi="Times New Roman" w:cs="Times New Roman"/>
          <w:sz w:val="24"/>
          <w:szCs w:val="24"/>
        </w:rPr>
        <w:t xml:space="preserve"> Yet in making this claim, Duke provided no citation or support for this claim, other than to say that Mr. Arnold works closely with large customers in the Duke service territory and works in the field -- having regular interaction with customers.</w:t>
      </w:r>
      <w:r w:rsidRPr="00DC1FF0">
        <w:rPr>
          <w:rFonts w:ascii="Times New Roman" w:hAnsi="Times New Roman" w:cs="Times New Roman"/>
          <w:sz w:val="24"/>
          <w:szCs w:val="24"/>
          <w:vertAlign w:val="superscript"/>
        </w:rPr>
        <w:footnoteReference w:id="131"/>
      </w:r>
      <w:r w:rsidRPr="00DC1FF0">
        <w:rPr>
          <w:rFonts w:ascii="Times New Roman" w:hAnsi="Times New Roman" w:cs="Times New Roman"/>
          <w:sz w:val="24"/>
          <w:szCs w:val="24"/>
        </w:rPr>
        <w:t xml:space="preserve"> Even if we accept that Mr. Arnold has interaction with customers, there is nothing in Mr. Arnold’s testimony that demonstrates that customers are willing to pay the extra costs </w:t>
      </w:r>
      <w:r w:rsidR="00515B21">
        <w:rPr>
          <w:rFonts w:ascii="Times New Roman" w:hAnsi="Times New Roman" w:cs="Times New Roman"/>
          <w:sz w:val="24"/>
          <w:szCs w:val="24"/>
        </w:rPr>
        <w:t xml:space="preserve">-- </w:t>
      </w:r>
      <w:r w:rsidRPr="00DC1FF0">
        <w:rPr>
          <w:rFonts w:ascii="Times New Roman" w:hAnsi="Times New Roman" w:cs="Times New Roman"/>
          <w:sz w:val="24"/>
          <w:szCs w:val="24"/>
        </w:rPr>
        <w:t xml:space="preserve">up to $100 per </w:t>
      </w:r>
      <w:r w:rsidR="00E21CDB">
        <w:rPr>
          <w:rFonts w:ascii="Times New Roman" w:hAnsi="Times New Roman" w:cs="Times New Roman"/>
          <w:sz w:val="24"/>
          <w:szCs w:val="24"/>
        </w:rPr>
        <w:t xml:space="preserve">residential </w:t>
      </w:r>
      <w:r w:rsidRPr="00DC1FF0">
        <w:rPr>
          <w:rFonts w:ascii="Times New Roman" w:hAnsi="Times New Roman" w:cs="Times New Roman"/>
          <w:sz w:val="24"/>
          <w:szCs w:val="24"/>
        </w:rPr>
        <w:t>customer per year by 2018</w:t>
      </w:r>
      <w:r w:rsidRPr="00DC1FF0">
        <w:rPr>
          <w:rFonts w:ascii="Times New Roman" w:hAnsi="Times New Roman" w:cs="Times New Roman"/>
          <w:sz w:val="24"/>
          <w:szCs w:val="24"/>
          <w:vertAlign w:val="superscript"/>
        </w:rPr>
        <w:footnoteReference w:id="132"/>
      </w:r>
      <w:r w:rsidRPr="00DC1FF0">
        <w:rPr>
          <w:rFonts w:ascii="Times New Roman" w:hAnsi="Times New Roman" w:cs="Times New Roman"/>
          <w:sz w:val="24"/>
          <w:szCs w:val="24"/>
        </w:rPr>
        <w:t xml:space="preserve"> </w:t>
      </w:r>
      <w:r w:rsidR="00515B21">
        <w:rPr>
          <w:rFonts w:ascii="Times New Roman" w:hAnsi="Times New Roman" w:cs="Times New Roman"/>
          <w:sz w:val="24"/>
          <w:szCs w:val="24"/>
        </w:rPr>
        <w:t xml:space="preserve">-- </w:t>
      </w:r>
      <w:r w:rsidRPr="00DC1FF0">
        <w:rPr>
          <w:rFonts w:ascii="Times New Roman" w:hAnsi="Times New Roman" w:cs="Times New Roman"/>
          <w:sz w:val="24"/>
          <w:szCs w:val="24"/>
        </w:rPr>
        <w:t>associated with the DCI Rider to get improved service reliability. There is nothing in Mr. Arnold’s testimony that even addresses the cost factor associates with service reliability.</w:t>
      </w:r>
    </w:p>
    <w:p w:rsidR="00DC1FF0" w:rsidRPr="00DC1FF0" w:rsidRDefault="00515B21" w:rsidP="00DC1F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Duke argues that it needs</w:t>
      </w:r>
      <w:r w:rsidR="00DC1FF0" w:rsidRPr="00DC1FF0">
        <w:rPr>
          <w:rFonts w:ascii="Times New Roman" w:hAnsi="Times New Roman" w:cs="Times New Roman"/>
          <w:sz w:val="24"/>
          <w:szCs w:val="24"/>
        </w:rPr>
        <w:t xml:space="preserve"> the DCI Rider to proactively address service reliability issues.</w:t>
      </w:r>
      <w:r w:rsidR="00DC1FF0" w:rsidRPr="00DC1FF0">
        <w:rPr>
          <w:rFonts w:ascii="Times New Roman" w:hAnsi="Times New Roman" w:cs="Times New Roman"/>
          <w:sz w:val="24"/>
          <w:szCs w:val="24"/>
          <w:vertAlign w:val="superscript"/>
        </w:rPr>
        <w:footnoteReference w:id="133"/>
      </w:r>
      <w:r w:rsidR="00DC1FF0" w:rsidRPr="00DC1FF0">
        <w:rPr>
          <w:rFonts w:ascii="Times New Roman" w:hAnsi="Times New Roman" w:cs="Times New Roman"/>
          <w:sz w:val="24"/>
          <w:szCs w:val="24"/>
        </w:rPr>
        <w:t xml:space="preserve"> Yet Duke made absolutely no showing that it was not able to proactively address service reliability issues today without a DCI Rider. In fact as pointed out by OCC witness Mierzwa, Duke has been able to address all of its service reliability needs and improve service reliability </w:t>
      </w:r>
      <w:r w:rsidR="00E21CDB">
        <w:rPr>
          <w:rFonts w:ascii="Times New Roman" w:hAnsi="Times New Roman" w:cs="Times New Roman"/>
          <w:sz w:val="24"/>
          <w:szCs w:val="24"/>
        </w:rPr>
        <w:t xml:space="preserve">since 2005 </w:t>
      </w:r>
      <w:r w:rsidR="00DC1FF0" w:rsidRPr="00DC1FF0">
        <w:rPr>
          <w:rFonts w:ascii="Times New Roman" w:hAnsi="Times New Roman" w:cs="Times New Roman"/>
          <w:sz w:val="24"/>
          <w:szCs w:val="24"/>
        </w:rPr>
        <w:t>without t</w:t>
      </w:r>
      <w:r w:rsidR="00E21CDB">
        <w:rPr>
          <w:rFonts w:ascii="Times New Roman" w:hAnsi="Times New Roman" w:cs="Times New Roman"/>
          <w:sz w:val="24"/>
          <w:szCs w:val="24"/>
        </w:rPr>
        <w:t>he use of a DCI Rider</w:t>
      </w:r>
      <w:r w:rsidR="00DC1FF0" w:rsidRPr="00DC1FF0">
        <w:rPr>
          <w:rFonts w:ascii="Times New Roman" w:hAnsi="Times New Roman" w:cs="Times New Roman"/>
          <w:sz w:val="24"/>
          <w:szCs w:val="24"/>
        </w:rPr>
        <w:t>.</w:t>
      </w:r>
      <w:r w:rsidR="00DC1FF0" w:rsidRPr="00DC1FF0">
        <w:rPr>
          <w:rFonts w:ascii="Times New Roman" w:hAnsi="Times New Roman" w:cs="Times New Roman"/>
          <w:sz w:val="24"/>
          <w:szCs w:val="24"/>
          <w:vertAlign w:val="superscript"/>
        </w:rPr>
        <w:footnoteReference w:id="134"/>
      </w:r>
    </w:p>
    <w:p w:rsidR="00DC1FF0" w:rsidRPr="00DC1FF0" w:rsidRDefault="00DC1FF0" w:rsidP="00DC1FF0">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The PUCO requires its quarterly surveys</w:t>
      </w:r>
      <w:r w:rsidRPr="00DC1FF0">
        <w:rPr>
          <w:rFonts w:ascii="Times New Roman" w:hAnsi="Times New Roman" w:cs="Times New Roman"/>
          <w:sz w:val="24"/>
          <w:szCs w:val="24"/>
          <w:vertAlign w:val="superscript"/>
        </w:rPr>
        <w:footnoteReference w:id="135"/>
      </w:r>
      <w:r w:rsidRPr="00DC1FF0">
        <w:rPr>
          <w:rFonts w:ascii="Times New Roman" w:hAnsi="Times New Roman" w:cs="Times New Roman"/>
          <w:sz w:val="24"/>
          <w:szCs w:val="24"/>
        </w:rPr>
        <w:t xml:space="preserve"> for a reason. And that reason is so that a Utility can get a direct understanding from its customers about its own customers’ expectations for service reliability. The quarterly surveys ask customers about their views on the cost of service reliability, but Duke has ignored them. It is axiomatic that if cost were not a factor then all customers would expect and demand the very best service reliability. But it also axiomatic that there is a cost associate</w:t>
      </w:r>
      <w:r w:rsidR="00E21CDB">
        <w:rPr>
          <w:rFonts w:ascii="Times New Roman" w:hAnsi="Times New Roman" w:cs="Times New Roman"/>
          <w:sz w:val="24"/>
          <w:szCs w:val="24"/>
        </w:rPr>
        <w:t>d with service reliability. T</w:t>
      </w:r>
      <w:r w:rsidRPr="00DC1FF0">
        <w:rPr>
          <w:rFonts w:ascii="Times New Roman" w:hAnsi="Times New Roman" w:cs="Times New Roman"/>
          <w:sz w:val="24"/>
          <w:szCs w:val="24"/>
        </w:rPr>
        <w:t>here must be some balance between the cost of service reliability and the level of that re</w:t>
      </w:r>
      <w:r w:rsidR="00060875">
        <w:rPr>
          <w:rFonts w:ascii="Times New Roman" w:hAnsi="Times New Roman" w:cs="Times New Roman"/>
          <w:sz w:val="24"/>
          <w:szCs w:val="24"/>
        </w:rPr>
        <w:t>liability. Duke witness Henning</w:t>
      </w:r>
      <w:r w:rsidR="00515B21">
        <w:rPr>
          <w:rFonts w:ascii="Times New Roman" w:hAnsi="Times New Roman" w:cs="Times New Roman"/>
          <w:sz w:val="24"/>
          <w:szCs w:val="24"/>
        </w:rPr>
        <w:t xml:space="preserve"> </w:t>
      </w:r>
      <w:r w:rsidRPr="00DC1FF0">
        <w:rPr>
          <w:rFonts w:ascii="Times New Roman" w:hAnsi="Times New Roman" w:cs="Times New Roman"/>
          <w:sz w:val="24"/>
          <w:szCs w:val="24"/>
        </w:rPr>
        <w:t>acknowledged this very fact.</w:t>
      </w:r>
      <w:r w:rsidRPr="00DC1FF0">
        <w:rPr>
          <w:rFonts w:ascii="Times New Roman" w:hAnsi="Times New Roman" w:cs="Times New Roman"/>
          <w:sz w:val="24"/>
          <w:szCs w:val="24"/>
          <w:vertAlign w:val="superscript"/>
        </w:rPr>
        <w:footnoteReference w:id="136"/>
      </w:r>
      <w:r w:rsidRPr="00DC1FF0">
        <w:rPr>
          <w:rFonts w:ascii="Times New Roman" w:hAnsi="Times New Roman" w:cs="Times New Roman"/>
          <w:sz w:val="24"/>
          <w:szCs w:val="24"/>
        </w:rPr>
        <w:t xml:space="preserve"> And that is why the statute requires the utility’s and customers</w:t>
      </w:r>
      <w:r w:rsidR="00515B21">
        <w:rPr>
          <w:rFonts w:ascii="Times New Roman" w:hAnsi="Times New Roman" w:cs="Times New Roman"/>
          <w:sz w:val="24"/>
          <w:szCs w:val="24"/>
        </w:rPr>
        <w:t>’</w:t>
      </w:r>
      <w:r w:rsidRPr="00DC1FF0">
        <w:rPr>
          <w:rFonts w:ascii="Times New Roman" w:hAnsi="Times New Roman" w:cs="Times New Roman"/>
          <w:sz w:val="24"/>
          <w:szCs w:val="24"/>
        </w:rPr>
        <w:t xml:space="preserve"> interests to be aligned. Duke’s interests </w:t>
      </w:r>
      <w:r w:rsidR="00E21CDB">
        <w:rPr>
          <w:rFonts w:ascii="Times New Roman" w:hAnsi="Times New Roman" w:cs="Times New Roman"/>
          <w:sz w:val="24"/>
          <w:szCs w:val="24"/>
        </w:rPr>
        <w:t xml:space="preserve">with the DCI Rider </w:t>
      </w:r>
      <w:r w:rsidRPr="00DC1FF0">
        <w:rPr>
          <w:rFonts w:ascii="Times New Roman" w:hAnsi="Times New Roman" w:cs="Times New Roman"/>
          <w:sz w:val="24"/>
          <w:szCs w:val="24"/>
        </w:rPr>
        <w:t>are to accelerate cost recovery and</w:t>
      </w:r>
      <w:r w:rsidR="00E21CDB">
        <w:rPr>
          <w:rFonts w:ascii="Times New Roman" w:hAnsi="Times New Roman" w:cs="Times New Roman"/>
          <w:sz w:val="24"/>
          <w:szCs w:val="24"/>
        </w:rPr>
        <w:t xml:space="preserve"> to reduce its business risks. </w:t>
      </w:r>
      <w:r w:rsidRPr="00DC1FF0">
        <w:rPr>
          <w:rFonts w:ascii="Times New Roman" w:hAnsi="Times New Roman" w:cs="Times New Roman"/>
          <w:sz w:val="24"/>
          <w:szCs w:val="24"/>
        </w:rPr>
        <w:t xml:space="preserve">Customers’ interests are to keep rates low. The interests are not aligned and the DCI Rider should be rejected. </w:t>
      </w:r>
    </w:p>
    <w:p w:rsidR="00DC1FF0" w:rsidRPr="00DC1FF0" w:rsidRDefault="00DC1FF0" w:rsidP="00DC1FF0">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Duke argued that Staff witness Baker acknowledged that customers’ and Duke’s expectations regarding service reliability are aligned.</w:t>
      </w:r>
      <w:r w:rsidRPr="00DC1FF0">
        <w:rPr>
          <w:rFonts w:ascii="Times New Roman" w:hAnsi="Times New Roman" w:cs="Times New Roman"/>
          <w:sz w:val="24"/>
          <w:szCs w:val="24"/>
          <w:vertAlign w:val="superscript"/>
        </w:rPr>
        <w:footnoteReference w:id="137"/>
      </w:r>
      <w:r w:rsidRPr="00DC1FF0">
        <w:rPr>
          <w:rFonts w:ascii="Times New Roman" w:hAnsi="Times New Roman" w:cs="Times New Roman"/>
          <w:sz w:val="24"/>
          <w:szCs w:val="24"/>
        </w:rPr>
        <w:t xml:space="preserve"> However, Mr. Baker’s assessment was also made without considering the cost to customers’ for service reliability.</w:t>
      </w:r>
      <w:r w:rsidRPr="00DC1FF0">
        <w:rPr>
          <w:rFonts w:ascii="Times New Roman" w:hAnsi="Times New Roman" w:cs="Times New Roman"/>
          <w:sz w:val="24"/>
          <w:szCs w:val="24"/>
          <w:vertAlign w:val="superscript"/>
        </w:rPr>
        <w:footnoteReference w:id="138"/>
      </w:r>
      <w:r w:rsidRPr="00DC1FF0">
        <w:rPr>
          <w:rFonts w:ascii="Times New Roman" w:hAnsi="Times New Roman" w:cs="Times New Roman"/>
          <w:sz w:val="24"/>
          <w:szCs w:val="24"/>
        </w:rPr>
        <w:t xml:space="preserve"> The recommendation of both Duke and Staff are not consistent with the statute because they both ignored the cost aspect of service reliability </w:t>
      </w:r>
      <w:r w:rsidR="00E21CDB">
        <w:rPr>
          <w:rFonts w:ascii="Times New Roman" w:hAnsi="Times New Roman" w:cs="Times New Roman"/>
          <w:sz w:val="24"/>
          <w:szCs w:val="24"/>
        </w:rPr>
        <w:t>as well as the results of the P</w:t>
      </w:r>
      <w:r w:rsidRPr="00DC1FF0">
        <w:rPr>
          <w:rFonts w:ascii="Times New Roman" w:hAnsi="Times New Roman" w:cs="Times New Roman"/>
          <w:sz w:val="24"/>
          <w:szCs w:val="24"/>
        </w:rPr>
        <w:t>U</w:t>
      </w:r>
      <w:r w:rsidR="00E21CDB">
        <w:rPr>
          <w:rFonts w:ascii="Times New Roman" w:hAnsi="Times New Roman" w:cs="Times New Roman"/>
          <w:sz w:val="24"/>
          <w:szCs w:val="24"/>
        </w:rPr>
        <w:t>C</w:t>
      </w:r>
      <w:r w:rsidRPr="00DC1FF0">
        <w:rPr>
          <w:rFonts w:ascii="Times New Roman" w:hAnsi="Times New Roman" w:cs="Times New Roman"/>
          <w:sz w:val="24"/>
          <w:szCs w:val="24"/>
        </w:rPr>
        <w:t xml:space="preserve">O quarterly surveys. </w:t>
      </w:r>
    </w:p>
    <w:p w:rsidR="00DC1FF0" w:rsidRPr="00DC1FF0" w:rsidRDefault="00DC1FF0" w:rsidP="00DC1FF0">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In addition, Duke failed to address, let alone demonstrate, that any of the factors that Mr. Mierzwa identified as a basis for the PUCO approving a Rider like the proposed DCI Rider applied to this situation. There is no evidence in the record to show that the capital costs associated with the DCI Rider are so substantial that Duke must recover those costs through a Rider mechanism rather than through a distribution rate case in order to avoid any financial harm, let alone dire financial harm.</w:t>
      </w:r>
      <w:r w:rsidRPr="00DC1FF0">
        <w:rPr>
          <w:rFonts w:ascii="Times New Roman" w:hAnsi="Times New Roman" w:cs="Times New Roman"/>
          <w:sz w:val="24"/>
          <w:szCs w:val="24"/>
          <w:vertAlign w:val="superscript"/>
        </w:rPr>
        <w:footnoteReference w:id="139"/>
      </w:r>
      <w:r w:rsidRPr="00DC1FF0">
        <w:rPr>
          <w:rFonts w:ascii="Times New Roman" w:hAnsi="Times New Roman" w:cs="Times New Roman"/>
          <w:sz w:val="24"/>
          <w:szCs w:val="24"/>
        </w:rPr>
        <w:t xml:space="preserve"> Also Duke made absolutely no effort to demonstrate that the costs associated with the DCI Rider were beyond its control. </w:t>
      </w:r>
    </w:p>
    <w:p w:rsidR="00DC1FF0" w:rsidRPr="00DC1FF0" w:rsidRDefault="00DC1FF0" w:rsidP="00DC1FF0">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Not only did Duke fail to demonstrate that its interests are aligned with those of its customers, but Duke also failed to demonstrate that its service reliability would be negatively impacted by the PU</w:t>
      </w:r>
      <w:r w:rsidR="00E21CDB">
        <w:rPr>
          <w:rFonts w:ascii="Times New Roman" w:hAnsi="Times New Roman" w:cs="Times New Roman"/>
          <w:sz w:val="24"/>
          <w:szCs w:val="24"/>
        </w:rPr>
        <w:t>CO not approving the DCI Rider.</w:t>
      </w:r>
      <w:r w:rsidRPr="00DC1FF0">
        <w:rPr>
          <w:rFonts w:ascii="Times New Roman" w:hAnsi="Times New Roman" w:cs="Times New Roman"/>
          <w:sz w:val="24"/>
          <w:szCs w:val="24"/>
        </w:rPr>
        <w:t xml:space="preserve"> Duke provided no surveys, projections or any type of documentation to support a claim that service reliability would in any way decline without the DCI Rider. Instead, the record reflects the fact that Duke has been able to maintain and improve its service reliability si</w:t>
      </w:r>
      <w:r w:rsidR="00E21CDB">
        <w:rPr>
          <w:rFonts w:ascii="Times New Roman" w:hAnsi="Times New Roman" w:cs="Times New Roman"/>
          <w:sz w:val="24"/>
          <w:szCs w:val="24"/>
        </w:rPr>
        <w:t>nce 2005 without a DCI Rider</w:t>
      </w:r>
      <w:r w:rsidRPr="00DC1FF0">
        <w:rPr>
          <w:rFonts w:ascii="Times New Roman" w:hAnsi="Times New Roman" w:cs="Times New Roman"/>
          <w:sz w:val="24"/>
          <w:szCs w:val="24"/>
        </w:rPr>
        <w:t xml:space="preserve"> by relying on distribution base rate cases to recover its capital investment.</w:t>
      </w:r>
      <w:r w:rsidRPr="00DC1FF0">
        <w:rPr>
          <w:rFonts w:ascii="Times New Roman" w:hAnsi="Times New Roman" w:cs="Times New Roman"/>
          <w:sz w:val="24"/>
          <w:szCs w:val="24"/>
          <w:vertAlign w:val="superscript"/>
        </w:rPr>
        <w:footnoteReference w:id="140"/>
      </w:r>
    </w:p>
    <w:p w:rsidR="00DC1FF0" w:rsidRPr="00DC1FF0" w:rsidRDefault="00DC1FF0" w:rsidP="00D77C8B">
      <w:pPr>
        <w:pStyle w:val="Heading2"/>
      </w:pPr>
      <w:bookmarkStart w:id="20" w:name="_Toc407632214"/>
      <w:r w:rsidRPr="00DC1FF0">
        <w:t>C.</w:t>
      </w:r>
      <w:r w:rsidRPr="00DC1FF0">
        <w:tab/>
        <w:t xml:space="preserve">The Staff </w:t>
      </w:r>
      <w:r w:rsidR="00D77C8B" w:rsidRPr="00DC1FF0">
        <w:t xml:space="preserve">Does Not Support The </w:t>
      </w:r>
      <w:r w:rsidRPr="00DC1FF0">
        <w:t>DCI Rider.</w:t>
      </w:r>
      <w:bookmarkEnd w:id="20"/>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In its Initial Brief, Staff states that, “in general Staff supports the Distribution Capital Investment Rider.”</w:t>
      </w:r>
      <w:r w:rsidRPr="00DC1FF0">
        <w:rPr>
          <w:rFonts w:ascii="Times New Roman" w:eastAsia="Times New Roman" w:hAnsi="Times New Roman" w:cs="Times New Roman"/>
          <w:sz w:val="24"/>
          <w:szCs w:val="24"/>
          <w:vertAlign w:val="superscript"/>
        </w:rPr>
        <w:footnoteReference w:id="141"/>
      </w:r>
      <w:r w:rsidRPr="00DC1FF0">
        <w:rPr>
          <w:rFonts w:ascii="Times New Roman" w:eastAsia="Times New Roman" w:hAnsi="Times New Roman" w:cs="Times New Roman"/>
          <w:sz w:val="24"/>
          <w:szCs w:val="24"/>
        </w:rPr>
        <w:t xml:space="preserve"> However, in making this statement, the Staff is contradicting the sworn testimony of its own witnesses, McCarter and Baker. Ms. McCarter specifically testified that the Staff does not support the DCI Rider, but that “staff does not oppose [it].”</w:t>
      </w:r>
      <w:r w:rsidRPr="00DC1FF0">
        <w:rPr>
          <w:rFonts w:ascii="Times New Roman" w:eastAsiaTheme="majorEastAsia" w:hAnsi="Times New Roman" w:cs="Times New Roman"/>
          <w:sz w:val="24"/>
          <w:szCs w:val="24"/>
          <w:vertAlign w:val="superscript"/>
        </w:rPr>
        <w:footnoteReference w:id="142"/>
      </w:r>
      <w:r w:rsidRPr="00DC1FF0">
        <w:rPr>
          <w:rFonts w:ascii="Times New Roman" w:eastAsia="Times New Roman" w:hAnsi="Times New Roman" w:cs="Times New Roman"/>
          <w:sz w:val="24"/>
          <w:szCs w:val="24"/>
        </w:rPr>
        <w:t xml:space="preserve"> Staff witness Baker confirmed Ms. McCarter stating that, “I don’t believe it’s staff’s testimony that -- that -- that the company needs to have a DCI Rider.”</w:t>
      </w:r>
      <w:r w:rsidRPr="00DC1FF0">
        <w:rPr>
          <w:rFonts w:ascii="Times New Roman" w:eastAsiaTheme="majorEastAsia" w:hAnsi="Times New Roman" w:cs="Times New Roman"/>
          <w:sz w:val="24"/>
          <w:szCs w:val="24"/>
          <w:vertAlign w:val="superscript"/>
        </w:rPr>
        <w:footnoteReference w:id="143"/>
      </w:r>
      <w:r w:rsidRPr="00DC1FF0">
        <w:rPr>
          <w:rFonts w:ascii="Times New Roman" w:eastAsia="Times New Roman" w:hAnsi="Times New Roman" w:cs="Times New Roman"/>
          <w:sz w:val="24"/>
          <w:szCs w:val="24"/>
        </w:rPr>
        <w:t xml:space="preserve"> Thus, no party to the proceedin</w:t>
      </w:r>
      <w:r w:rsidR="00060875">
        <w:rPr>
          <w:rFonts w:ascii="Times New Roman" w:eastAsia="Times New Roman" w:hAnsi="Times New Roman" w:cs="Times New Roman"/>
          <w:sz w:val="24"/>
          <w:szCs w:val="24"/>
        </w:rPr>
        <w:t>g supports the Utility proposal</w:t>
      </w:r>
      <w:r w:rsidR="0049158E">
        <w:rPr>
          <w:rFonts w:ascii="Times New Roman" w:eastAsia="Times New Roman" w:hAnsi="Times New Roman" w:cs="Times New Roman"/>
          <w:sz w:val="24"/>
          <w:szCs w:val="24"/>
        </w:rPr>
        <w:t>.</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addition, Ms. McCarter testified that her analysis of not opposing the DCI Rider did not include any determination of whether any of the accounts in the DCI Rider proposal would actually fit within a long-term infrastructure modernization plan.</w:t>
      </w:r>
      <w:r w:rsidRPr="00DC1FF0">
        <w:rPr>
          <w:rFonts w:ascii="Times New Roman" w:eastAsiaTheme="majorEastAsia" w:hAnsi="Times New Roman" w:cs="Times New Roman"/>
          <w:sz w:val="24"/>
          <w:szCs w:val="24"/>
          <w:vertAlign w:val="superscript"/>
        </w:rPr>
        <w:footnoteReference w:id="144"/>
      </w:r>
      <w:r w:rsidRPr="00DC1FF0">
        <w:rPr>
          <w:rFonts w:ascii="Times New Roman" w:eastAsia="Times New Roman" w:hAnsi="Times New Roman" w:cs="Times New Roman"/>
          <w:sz w:val="24"/>
          <w:szCs w:val="24"/>
        </w:rPr>
        <w:t xml:space="preserve"> She also did not do any analysis to determine if any of the proposed DCI programs were above and beyond what the Utility is currently doing.</w:t>
      </w:r>
      <w:r w:rsidRPr="00DC1FF0">
        <w:rPr>
          <w:rFonts w:ascii="Times New Roman" w:eastAsiaTheme="majorEastAsia" w:hAnsi="Times New Roman" w:cs="Times New Roman"/>
          <w:sz w:val="24"/>
          <w:szCs w:val="24"/>
          <w:vertAlign w:val="superscript"/>
        </w:rPr>
        <w:footnoteReference w:id="145"/>
      </w:r>
      <w:r w:rsidRPr="00DC1FF0">
        <w:rPr>
          <w:rFonts w:ascii="Times New Roman" w:eastAsia="Times New Roman" w:hAnsi="Times New Roman" w:cs="Times New Roman"/>
          <w:sz w:val="24"/>
          <w:szCs w:val="24"/>
        </w:rPr>
        <w:t xml:space="preserve"> The PUCO should not approve the DCI Rider.</w:t>
      </w:r>
    </w:p>
    <w:p w:rsidR="00DC1FF0" w:rsidRPr="00DC1FF0" w:rsidRDefault="00DC1FF0" w:rsidP="00D77C8B">
      <w:pPr>
        <w:pStyle w:val="Heading2"/>
      </w:pPr>
      <w:bookmarkStart w:id="21" w:name="_Toc407632215"/>
      <w:r w:rsidRPr="00DC1FF0">
        <w:t>D.</w:t>
      </w:r>
      <w:r w:rsidRPr="00DC1FF0">
        <w:tab/>
        <w:t xml:space="preserve">The Staff </w:t>
      </w:r>
      <w:r w:rsidR="00D77C8B" w:rsidRPr="00DC1FF0">
        <w:t>Analysis Of Customer Expectations Is Flawed Because It Did Not Include The Cost Of Service Reliability</w:t>
      </w:r>
      <w:r w:rsidRPr="00DC1FF0">
        <w:t>.</w:t>
      </w:r>
      <w:bookmarkEnd w:id="21"/>
      <w:r w:rsidRPr="00DC1FF0">
        <w:t xml:space="preserve"> </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Duke noted that Staff </w:t>
      </w:r>
      <w:r w:rsidR="0049158E">
        <w:rPr>
          <w:rFonts w:ascii="Times New Roman" w:eastAsia="Times New Roman" w:hAnsi="Times New Roman" w:cs="Times New Roman"/>
          <w:sz w:val="24"/>
          <w:szCs w:val="24"/>
        </w:rPr>
        <w:t>witness Baker testified that</w:t>
      </w:r>
      <w:r w:rsidRPr="00DC1FF0">
        <w:rPr>
          <w:rFonts w:ascii="Times New Roman" w:eastAsia="Times New Roman" w:hAnsi="Times New Roman" w:cs="Times New Roman"/>
          <w:sz w:val="24"/>
          <w:szCs w:val="24"/>
        </w:rPr>
        <w:t xml:space="preserve"> customer’s expectations regarding service reliability were consistent with the Utility’s.</w:t>
      </w:r>
      <w:r w:rsidRPr="00DC1FF0">
        <w:rPr>
          <w:rFonts w:ascii="Times New Roman" w:eastAsia="Times New Roman" w:hAnsi="Times New Roman" w:cs="Times New Roman"/>
          <w:sz w:val="24"/>
          <w:szCs w:val="24"/>
          <w:vertAlign w:val="superscript"/>
        </w:rPr>
        <w:footnoteReference w:id="146"/>
      </w:r>
      <w:r w:rsidRPr="00DC1FF0">
        <w:rPr>
          <w:rFonts w:ascii="Times New Roman" w:eastAsia="Times New Roman" w:hAnsi="Times New Roman" w:cs="Times New Roman"/>
          <w:sz w:val="24"/>
          <w:szCs w:val="24"/>
        </w:rPr>
        <w:t xml:space="preserve"> However, in reaching that conclusion, Mr. Baker acknowledged that the analysis to determine if customers’ and Utilities’ expectations for service reliability are aligned did not consider cost of the service reliability or affordability or unaffordability of the resulting service.</w:t>
      </w:r>
      <w:r w:rsidRPr="00DC1FF0">
        <w:rPr>
          <w:rFonts w:ascii="Times New Roman" w:eastAsia="Times New Roman" w:hAnsi="Times New Roman" w:cs="Times New Roman"/>
          <w:sz w:val="24"/>
          <w:szCs w:val="24"/>
          <w:vertAlign w:val="superscript"/>
        </w:rPr>
        <w:footnoteReference w:id="147"/>
      </w:r>
      <w:r w:rsidRPr="00DC1FF0">
        <w:rPr>
          <w:rFonts w:ascii="Times New Roman" w:eastAsia="Times New Roman" w:hAnsi="Times New Roman" w:cs="Times New Roman"/>
          <w:sz w:val="24"/>
          <w:szCs w:val="24"/>
        </w:rPr>
        <w:t xml:space="preserve"> Instead he stated that the cost of service reliability was considered as part of the Utility’s reliability standards case.</w:t>
      </w:r>
      <w:r w:rsidRPr="00DC1FF0">
        <w:rPr>
          <w:rFonts w:ascii="Times New Roman" w:eastAsiaTheme="majorEastAsia" w:hAnsi="Times New Roman" w:cs="Times New Roman"/>
          <w:sz w:val="24"/>
          <w:szCs w:val="24"/>
          <w:vertAlign w:val="superscript"/>
        </w:rPr>
        <w:footnoteReference w:id="148"/>
      </w:r>
      <w:r w:rsidRPr="00DC1FF0">
        <w:rPr>
          <w:rFonts w:ascii="Times New Roman" w:eastAsia="Times New Roman" w:hAnsi="Times New Roman" w:cs="Times New Roman"/>
          <w:sz w:val="24"/>
          <w:szCs w:val="24"/>
        </w:rPr>
        <w:t xml:space="preserve"> However when questioned specifically about the cost associated with service reliability, Mr. Baker testified that the Staff investigation emphasized reliability expectations and not cost expectations.</w:t>
      </w:r>
      <w:r w:rsidRPr="00DC1FF0">
        <w:rPr>
          <w:rFonts w:ascii="Times New Roman" w:eastAsiaTheme="majorEastAsia" w:hAnsi="Times New Roman" w:cs="Times New Roman"/>
          <w:sz w:val="24"/>
          <w:szCs w:val="24"/>
          <w:vertAlign w:val="superscript"/>
        </w:rPr>
        <w:footnoteReference w:id="149"/>
      </w:r>
      <w:r w:rsidRPr="00DC1FF0">
        <w:rPr>
          <w:rFonts w:ascii="Times New Roman" w:eastAsia="Times New Roman" w:hAnsi="Times New Roman" w:cs="Times New Roman"/>
          <w:sz w:val="24"/>
          <w:szCs w:val="24"/>
        </w:rPr>
        <w:t xml:space="preserve"> Mr. Baker went on to further separate service reliability from cost for service reliability by admitting that when comparing the expectations of customers and the Utility, the Staff was only looking at “reliability expectations, not cost expectations.”</w:t>
      </w:r>
      <w:r w:rsidRPr="00DC1FF0">
        <w:rPr>
          <w:rFonts w:ascii="Times New Roman" w:eastAsiaTheme="majorEastAsia" w:hAnsi="Times New Roman" w:cs="Times New Roman"/>
          <w:sz w:val="24"/>
          <w:szCs w:val="24"/>
          <w:vertAlign w:val="superscript"/>
        </w:rPr>
        <w:footnoteReference w:id="150"/>
      </w:r>
      <w:r w:rsidRPr="00DC1FF0">
        <w:rPr>
          <w:rFonts w:ascii="Times New Roman" w:eastAsia="Times New Roman" w:hAnsi="Times New Roman" w:cs="Times New Roman"/>
          <w:sz w:val="24"/>
          <w:szCs w:val="24"/>
        </w:rPr>
        <w:t xml:space="preserve"> Thus the Utility’s reliance on Mr. Baker’s testimony lacks weight because Mr. Baker ignored the cost component of service reliability in measuring customers’ expectations.</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Separating service reliability expectations from cost expectations is not practical and has the effect of negating the statutory requirements because all customers would expect perfect service reliability if cost was not a factor. Mr. Baker</w:t>
      </w:r>
      <w:r w:rsidRPr="00DC1FF0">
        <w:rPr>
          <w:rFonts w:ascii="Times New Roman" w:eastAsiaTheme="majorEastAsia" w:hAnsi="Times New Roman" w:cs="Times New Roman"/>
          <w:sz w:val="24"/>
          <w:szCs w:val="24"/>
          <w:vertAlign w:val="superscript"/>
        </w:rPr>
        <w:footnoteReference w:id="151"/>
      </w:r>
      <w:r w:rsidRPr="00DC1FF0">
        <w:rPr>
          <w:rFonts w:ascii="Times New Roman" w:eastAsia="Times New Roman" w:hAnsi="Times New Roman" w:cs="Times New Roman"/>
          <w:sz w:val="24"/>
          <w:szCs w:val="24"/>
        </w:rPr>
        <w:t xml:space="preserve"> and even Duke witness Henning</w:t>
      </w:r>
      <w:r w:rsidRPr="00DC1FF0">
        <w:rPr>
          <w:rFonts w:ascii="Times New Roman" w:eastAsiaTheme="majorEastAsia" w:hAnsi="Times New Roman" w:cs="Times New Roman"/>
          <w:sz w:val="24"/>
          <w:szCs w:val="24"/>
          <w:vertAlign w:val="superscript"/>
        </w:rPr>
        <w:footnoteReference w:id="152"/>
      </w:r>
      <w:r w:rsidRPr="00DC1FF0">
        <w:rPr>
          <w:rFonts w:ascii="Times New Roman" w:eastAsia="Times New Roman" w:hAnsi="Times New Roman" w:cs="Times New Roman"/>
          <w:sz w:val="24"/>
          <w:szCs w:val="24"/>
        </w:rPr>
        <w:t xml:space="preserve"> acknowledged this truism. Mr. Baker went as far as to testify that there has to be a balance between service reliability expectations and service reliability cost -- but he did not include that balance as part of his review.</w:t>
      </w:r>
      <w:r w:rsidRPr="00DC1FF0">
        <w:rPr>
          <w:rFonts w:ascii="Times New Roman" w:eastAsiaTheme="majorEastAsia" w:hAnsi="Times New Roman" w:cs="Times New Roman"/>
          <w:sz w:val="24"/>
          <w:szCs w:val="24"/>
          <w:vertAlign w:val="superscript"/>
        </w:rPr>
        <w:footnoteReference w:id="153"/>
      </w:r>
      <w:r w:rsidRPr="00DC1FF0">
        <w:rPr>
          <w:rFonts w:ascii="Times New Roman" w:eastAsia="Times New Roman" w:hAnsi="Times New Roman" w:cs="Times New Roman"/>
          <w:sz w:val="24"/>
          <w:szCs w:val="24"/>
        </w:rPr>
        <w:t xml:space="preserve"> However, cost is a factor and is an important factor because customers have to be able to afford service in order to use it. In fact, the Legislature has recognized the importance of cost in this equation as is evidenced by R.C. 4928.02(A) which identifies affordability as an important policy consideration for the PUCO. The PUCO should reject the Staff conclusion that Duke’s and customer’s expectations regarding service reliability are aligned. </w:t>
      </w:r>
    </w:p>
    <w:p w:rsidR="00DC1FF0" w:rsidRPr="00DC1FF0" w:rsidRDefault="00DC1FF0" w:rsidP="00D77C8B">
      <w:pPr>
        <w:pStyle w:val="Heading2"/>
      </w:pPr>
      <w:bookmarkStart w:id="22" w:name="_Toc406148707"/>
      <w:bookmarkStart w:id="23" w:name="_Toc407632216"/>
      <w:r w:rsidRPr="00DC1FF0">
        <w:t>E.</w:t>
      </w:r>
      <w:r w:rsidRPr="00DC1FF0">
        <w:tab/>
        <w:t xml:space="preserve">If </w:t>
      </w:r>
      <w:r w:rsidR="00D77C8B" w:rsidRPr="00DC1FF0">
        <w:t xml:space="preserve">The </w:t>
      </w:r>
      <w:r w:rsidRPr="00DC1FF0">
        <w:t xml:space="preserve">PUCO </w:t>
      </w:r>
      <w:r w:rsidR="00D77C8B" w:rsidRPr="00DC1FF0">
        <w:t xml:space="preserve">Adopts The </w:t>
      </w:r>
      <w:r w:rsidRPr="00DC1FF0">
        <w:t xml:space="preserve">DCI Rider </w:t>
      </w:r>
      <w:r w:rsidR="00D77C8B" w:rsidRPr="00DC1FF0">
        <w:t xml:space="preserve">(Contrary To </w:t>
      </w:r>
      <w:r w:rsidRPr="00DC1FF0">
        <w:t xml:space="preserve">OCC’s </w:t>
      </w:r>
      <w:r w:rsidR="00D77C8B" w:rsidRPr="00DC1FF0">
        <w:t xml:space="preserve">Recommendations Otherwise) It Should Reduce The Rate Of Return Funded By Customers To Reflect </w:t>
      </w:r>
      <w:r w:rsidRPr="00DC1FF0">
        <w:t xml:space="preserve">Duke’s </w:t>
      </w:r>
      <w:r w:rsidR="00D77C8B" w:rsidRPr="00DC1FF0">
        <w:t xml:space="preserve">Accelerated Cost Recovery And Reduced Risks From The </w:t>
      </w:r>
      <w:r w:rsidRPr="00DC1FF0">
        <w:t>DCI Rider.</w:t>
      </w:r>
      <w:bookmarkEnd w:id="22"/>
      <w:bookmarkEnd w:id="23"/>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 argues that its proposed Return on Equity (“ROE”) of 9.84 per cent is reasonable.</w:t>
      </w:r>
      <w:r w:rsidRPr="00DC1FF0">
        <w:rPr>
          <w:rFonts w:ascii="Times New Roman" w:eastAsia="Times New Roman" w:hAnsi="Times New Roman" w:cs="Times New Roman"/>
          <w:sz w:val="24"/>
          <w:szCs w:val="24"/>
          <w:vertAlign w:val="superscript"/>
        </w:rPr>
        <w:footnoteReference w:id="154"/>
      </w:r>
      <w:r w:rsidRPr="00DC1FF0">
        <w:rPr>
          <w:rFonts w:ascii="Times New Roman" w:eastAsia="Times New Roman" w:hAnsi="Times New Roman" w:cs="Times New Roman"/>
          <w:sz w:val="24"/>
          <w:szCs w:val="24"/>
        </w:rPr>
        <w:t xml:space="preserve"> Despite this claim it is undisputed that the DCI Rider, if adopted, will accelerate the charges that customers have to pay for the DCI-related programs.</w:t>
      </w:r>
      <w:r w:rsidRPr="00DC1FF0">
        <w:rPr>
          <w:rFonts w:ascii="Times New Roman" w:eastAsiaTheme="majorEastAsia" w:hAnsi="Times New Roman" w:cs="Times New Roman"/>
          <w:sz w:val="24"/>
          <w:szCs w:val="24"/>
          <w:vertAlign w:val="superscript"/>
        </w:rPr>
        <w:footnoteReference w:id="155"/>
      </w:r>
      <w:r w:rsidRPr="00DC1FF0">
        <w:rPr>
          <w:rFonts w:ascii="Times New Roman" w:eastAsia="Times New Roman" w:hAnsi="Times New Roman" w:cs="Times New Roman"/>
          <w:sz w:val="24"/>
          <w:szCs w:val="24"/>
        </w:rPr>
        <w:t xml:space="preserve"> Numerous witnesses admitted that this accelerated collection </w:t>
      </w:r>
      <w:r w:rsidR="00E21CDB">
        <w:rPr>
          <w:rFonts w:ascii="Times New Roman" w:eastAsia="Times New Roman" w:hAnsi="Times New Roman" w:cs="Times New Roman"/>
          <w:sz w:val="24"/>
          <w:szCs w:val="24"/>
        </w:rPr>
        <w:t xml:space="preserve">of capital investment </w:t>
      </w:r>
      <w:r w:rsidRPr="00DC1FF0">
        <w:rPr>
          <w:rFonts w:ascii="Times New Roman" w:eastAsia="Times New Roman" w:hAnsi="Times New Roman" w:cs="Times New Roman"/>
          <w:sz w:val="24"/>
          <w:szCs w:val="24"/>
        </w:rPr>
        <w:t>would benefit Duke’s shareholders, because it would provide Duke with co</w:t>
      </w:r>
      <w:r w:rsidR="00060875">
        <w:rPr>
          <w:rFonts w:ascii="Times New Roman" w:eastAsia="Times New Roman" w:hAnsi="Times New Roman" w:cs="Times New Roman"/>
          <w:sz w:val="24"/>
          <w:szCs w:val="24"/>
        </w:rPr>
        <w:t xml:space="preserve">st recovery on a faster basis. </w:t>
      </w:r>
      <w:r w:rsidRPr="00DC1FF0">
        <w:rPr>
          <w:rFonts w:ascii="Times New Roman" w:eastAsia="Times New Roman" w:hAnsi="Times New Roman" w:cs="Times New Roman"/>
          <w:sz w:val="24"/>
          <w:szCs w:val="24"/>
        </w:rPr>
        <w:t>It would also reduce Duke’s risk of not collecting the DCI-related capital costs.</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OCC </w:t>
      </w:r>
      <w:r w:rsidR="0049158E">
        <w:rPr>
          <w:rFonts w:ascii="Times New Roman" w:eastAsia="Times New Roman" w:hAnsi="Times New Roman" w:cs="Times New Roman"/>
          <w:sz w:val="24"/>
          <w:szCs w:val="24"/>
        </w:rPr>
        <w:t>witness Kahal testified that</w:t>
      </w:r>
      <w:r w:rsidRPr="00DC1FF0">
        <w:rPr>
          <w:rFonts w:ascii="Times New Roman" w:eastAsia="Times New Roman" w:hAnsi="Times New Roman" w:cs="Times New Roman"/>
          <w:sz w:val="24"/>
          <w:szCs w:val="24"/>
        </w:rPr>
        <w:t xml:space="preserve"> implementing </w:t>
      </w:r>
      <w:r w:rsidR="0049158E">
        <w:rPr>
          <w:rFonts w:ascii="Times New Roman" w:eastAsia="Times New Roman" w:hAnsi="Times New Roman" w:cs="Times New Roman"/>
          <w:sz w:val="24"/>
          <w:szCs w:val="24"/>
        </w:rPr>
        <w:t xml:space="preserve">the </w:t>
      </w:r>
      <w:r w:rsidRPr="00DC1FF0">
        <w:rPr>
          <w:rFonts w:ascii="Times New Roman" w:eastAsia="Times New Roman" w:hAnsi="Times New Roman" w:cs="Times New Roman"/>
          <w:sz w:val="24"/>
          <w:szCs w:val="24"/>
        </w:rPr>
        <w:t>DCI Rider would materially improve Duke’s business risk profile because it would permit Duke to make frequent and timely rate adjustments.</w:t>
      </w:r>
      <w:r w:rsidRPr="00DC1FF0">
        <w:rPr>
          <w:rFonts w:ascii="Times New Roman" w:eastAsiaTheme="majorEastAsia" w:hAnsi="Times New Roman" w:cs="Times New Roman"/>
          <w:sz w:val="24"/>
          <w:szCs w:val="24"/>
          <w:vertAlign w:val="superscript"/>
        </w:rPr>
        <w:footnoteReference w:id="156"/>
      </w:r>
      <w:r w:rsidRPr="00DC1FF0">
        <w:rPr>
          <w:rFonts w:ascii="Times New Roman" w:eastAsia="Times New Roman" w:hAnsi="Times New Roman" w:cs="Times New Roman"/>
          <w:sz w:val="24"/>
          <w:szCs w:val="24"/>
        </w:rPr>
        <w:t xml:space="preserve"> There was no DCI Rider in place when the PUCO established the rate of return for Duke in its most recent distribution base rate case (Case No. 12-1682-EL-AIR). As a result, the impact of the DCI Rider to reduce Duke’s business risk was not and could not have been factored into the rate of return determination, as OCC Witness Kahal testified.</w:t>
      </w:r>
      <w:r w:rsidRPr="00DC1FF0">
        <w:rPr>
          <w:rFonts w:ascii="Times New Roman" w:eastAsiaTheme="majorEastAsia" w:hAnsi="Times New Roman" w:cs="Times New Roman"/>
          <w:sz w:val="24"/>
          <w:szCs w:val="24"/>
          <w:vertAlign w:val="superscript"/>
        </w:rPr>
        <w:footnoteReference w:id="157"/>
      </w:r>
      <w:r w:rsidRPr="00DC1FF0">
        <w:rPr>
          <w:rFonts w:ascii="Times New Roman" w:eastAsia="Times New Roman" w:hAnsi="Times New Roman" w:cs="Times New Roman"/>
          <w:sz w:val="24"/>
          <w:szCs w:val="24"/>
        </w:rPr>
        <w:t xml:space="preserve"> Accordingly, Mr. Kahal recommended that if the PUCO were to implement a DCI Rider, then it would be appropriate to reduce Duke’s 9.84 percent </w:t>
      </w:r>
      <w:r w:rsidR="00AB1AF5">
        <w:rPr>
          <w:rFonts w:ascii="Times New Roman" w:eastAsia="Times New Roman" w:hAnsi="Times New Roman" w:cs="Times New Roman"/>
          <w:sz w:val="24"/>
          <w:szCs w:val="24"/>
        </w:rPr>
        <w:t xml:space="preserve">rate of return. </w:t>
      </w:r>
      <w:r w:rsidRPr="00DC1FF0">
        <w:rPr>
          <w:rFonts w:ascii="Times New Roman" w:eastAsia="Times New Roman" w:hAnsi="Times New Roman" w:cs="Times New Roman"/>
          <w:sz w:val="24"/>
          <w:szCs w:val="24"/>
        </w:rPr>
        <w:t xml:space="preserve">This would reflect a change in the Utility’s business risk profile as well as the </w:t>
      </w:r>
      <w:r w:rsidR="0049158E">
        <w:rPr>
          <w:rFonts w:ascii="Times New Roman" w:eastAsia="Times New Roman" w:hAnsi="Times New Roman" w:cs="Times New Roman"/>
          <w:sz w:val="24"/>
          <w:szCs w:val="24"/>
        </w:rPr>
        <w:t>general downward trend in</w:t>
      </w:r>
      <w:r w:rsidRPr="00DC1FF0">
        <w:rPr>
          <w:rFonts w:ascii="Times New Roman" w:eastAsia="Times New Roman" w:hAnsi="Times New Roman" w:cs="Times New Roman"/>
          <w:sz w:val="24"/>
          <w:szCs w:val="24"/>
        </w:rPr>
        <w:t xml:space="preserve"> capital costs since that rate case.</w:t>
      </w:r>
      <w:r w:rsidRPr="00DC1FF0">
        <w:rPr>
          <w:rFonts w:ascii="Times New Roman" w:eastAsiaTheme="majorEastAsia" w:hAnsi="Times New Roman" w:cs="Times New Roman"/>
          <w:sz w:val="24"/>
          <w:szCs w:val="24"/>
          <w:vertAlign w:val="superscript"/>
        </w:rPr>
        <w:footnoteReference w:id="158"/>
      </w:r>
      <w:r w:rsidRPr="00DC1FF0">
        <w:rPr>
          <w:rFonts w:ascii="Times New Roman" w:eastAsia="Times New Roman" w:hAnsi="Times New Roman" w:cs="Times New Roman"/>
          <w:sz w:val="24"/>
          <w:szCs w:val="24"/>
        </w:rPr>
        <w:t xml:space="preserve"> </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OCC is not alone in its assessment of the b</w:t>
      </w:r>
      <w:r w:rsidR="00AB1AF5">
        <w:rPr>
          <w:rFonts w:ascii="Times New Roman" w:eastAsia="Times New Roman" w:hAnsi="Times New Roman" w:cs="Times New Roman"/>
          <w:sz w:val="24"/>
          <w:szCs w:val="24"/>
        </w:rPr>
        <w:t>enefits of the</w:t>
      </w:r>
      <w:r w:rsidR="00947997">
        <w:rPr>
          <w:rFonts w:ascii="Times New Roman" w:eastAsia="Times New Roman" w:hAnsi="Times New Roman" w:cs="Times New Roman"/>
          <w:sz w:val="24"/>
          <w:szCs w:val="24"/>
        </w:rPr>
        <w:t xml:space="preserve"> DCI (and DSR).</w:t>
      </w:r>
      <w:r w:rsidRPr="00DC1FF0">
        <w:rPr>
          <w:rFonts w:ascii="Times New Roman" w:eastAsia="Times New Roman" w:hAnsi="Times New Roman" w:cs="Times New Roman"/>
          <w:sz w:val="24"/>
          <w:szCs w:val="24"/>
        </w:rPr>
        <w:t xml:space="preserve"> Staff witness McCarter acknowledged that with a DCI-type Rider Duke would benefit from: (1) accelerated cost recovery, (2) not evaluating the DCI-related expenses as part of an overall distribution base rate case, and (3) it would be possible for Duke to be earning at or above its authorized return.</w:t>
      </w:r>
      <w:r w:rsidRPr="00DC1FF0">
        <w:rPr>
          <w:rFonts w:ascii="Times New Roman" w:eastAsiaTheme="majorEastAsia" w:hAnsi="Times New Roman" w:cs="Times New Roman"/>
          <w:sz w:val="24"/>
          <w:szCs w:val="24"/>
          <w:vertAlign w:val="superscript"/>
        </w:rPr>
        <w:footnoteReference w:id="159"/>
      </w:r>
      <w:r w:rsidRPr="00DC1FF0">
        <w:rPr>
          <w:rFonts w:ascii="Times New Roman" w:eastAsia="Times New Roman" w:hAnsi="Times New Roman" w:cs="Times New Roman"/>
          <w:sz w:val="24"/>
          <w:szCs w:val="24"/>
        </w:rPr>
        <w:t xml:space="preserve"> Staff witness Turkenton testified that the use of a DCI Rider would benefit the Utility because it would enable Duke to recover its investment more quickly.</w:t>
      </w:r>
      <w:r w:rsidRPr="00DC1FF0">
        <w:rPr>
          <w:rFonts w:ascii="Times New Roman" w:eastAsiaTheme="majorEastAsia" w:hAnsi="Times New Roman" w:cs="Times New Roman"/>
          <w:sz w:val="24"/>
          <w:szCs w:val="24"/>
          <w:vertAlign w:val="superscript"/>
        </w:rPr>
        <w:footnoteReference w:id="160"/>
      </w:r>
      <w:r w:rsidRPr="00DC1FF0">
        <w:rPr>
          <w:rFonts w:ascii="Times New Roman" w:eastAsia="Times New Roman" w:hAnsi="Times New Roman" w:cs="Times New Roman"/>
          <w:sz w:val="24"/>
          <w:szCs w:val="24"/>
        </w:rPr>
        <w:t xml:space="preserve"> She added that the Storm Distribution Rider would also provide the same benefit for Duke.</w:t>
      </w:r>
      <w:r w:rsidRPr="00DC1FF0">
        <w:rPr>
          <w:rFonts w:ascii="Times New Roman" w:eastAsiaTheme="majorEastAsia" w:hAnsi="Times New Roman" w:cs="Times New Roman"/>
          <w:sz w:val="24"/>
          <w:szCs w:val="24"/>
          <w:vertAlign w:val="superscript"/>
        </w:rPr>
        <w:footnoteReference w:id="161"/>
      </w:r>
      <w:r w:rsidRPr="00DC1FF0">
        <w:rPr>
          <w:rFonts w:ascii="Times New Roman" w:eastAsia="Times New Roman" w:hAnsi="Times New Roman" w:cs="Times New Roman"/>
          <w:sz w:val="24"/>
          <w:szCs w:val="24"/>
        </w:rPr>
        <w:t xml:space="preserve"> </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Duke’s own witnesses also acknowledged this very point. Duk</w:t>
      </w:r>
      <w:r w:rsidR="0049158E">
        <w:rPr>
          <w:rFonts w:ascii="Times New Roman" w:eastAsia="Times New Roman" w:hAnsi="Times New Roman" w:cs="Times New Roman"/>
          <w:sz w:val="24"/>
          <w:szCs w:val="24"/>
        </w:rPr>
        <w:t>e Witness Wathe</w:t>
      </w:r>
      <w:r w:rsidRPr="00DC1FF0">
        <w:rPr>
          <w:rFonts w:ascii="Times New Roman" w:eastAsia="Times New Roman" w:hAnsi="Times New Roman" w:cs="Times New Roman"/>
          <w:sz w:val="24"/>
          <w:szCs w:val="24"/>
        </w:rPr>
        <w:t>n stated “the point of the rider is that it would allow us to recover these things [capital costs] a lot faster and more efficiently than ha</w:t>
      </w:r>
      <w:r w:rsidR="0049158E">
        <w:rPr>
          <w:rFonts w:ascii="Times New Roman" w:eastAsia="Times New Roman" w:hAnsi="Times New Roman" w:cs="Times New Roman"/>
          <w:sz w:val="24"/>
          <w:szCs w:val="24"/>
        </w:rPr>
        <w:t>ving to go through a rate case.</w:t>
      </w:r>
      <w:r w:rsidRPr="00DC1FF0">
        <w:rPr>
          <w:rFonts w:ascii="Times New Roman" w:eastAsiaTheme="majorEastAsia" w:hAnsi="Times New Roman" w:cs="Times New Roman"/>
          <w:sz w:val="24"/>
          <w:szCs w:val="24"/>
          <w:vertAlign w:val="superscript"/>
        </w:rPr>
        <w:footnoteReference w:id="162"/>
      </w:r>
      <w:r w:rsidRPr="00DC1FF0">
        <w:rPr>
          <w:rFonts w:ascii="Times New Roman" w:eastAsia="Times New Roman" w:hAnsi="Times New Roman" w:cs="Times New Roman"/>
          <w:sz w:val="24"/>
          <w:szCs w:val="24"/>
        </w:rPr>
        <w:t xml:space="preserve"> Duke witness Laub testified that cost recovery through a DCI Rider (compared to a distribution base rate case) would enable the Utility to recover the additional investment on an accelerated basis and this would be a benefit for Duke.</w:t>
      </w:r>
      <w:r w:rsidRPr="00DC1FF0">
        <w:rPr>
          <w:rFonts w:ascii="Times New Roman" w:eastAsiaTheme="majorEastAsia" w:hAnsi="Times New Roman" w:cs="Times New Roman"/>
          <w:sz w:val="24"/>
          <w:szCs w:val="24"/>
          <w:vertAlign w:val="superscript"/>
        </w:rPr>
        <w:footnoteReference w:id="163"/>
      </w:r>
      <w:r w:rsidRPr="00DC1FF0">
        <w:rPr>
          <w:rFonts w:ascii="Times New Roman" w:eastAsia="Times New Roman" w:hAnsi="Times New Roman" w:cs="Times New Roman"/>
          <w:sz w:val="24"/>
          <w:szCs w:val="24"/>
        </w:rPr>
        <w:t xml:space="preserve"> Finally Duke witness Ziolkowski acknowledged that faster cost recovery would be better for Duke.</w:t>
      </w:r>
      <w:r w:rsidRPr="00DC1FF0">
        <w:rPr>
          <w:rFonts w:ascii="Times New Roman" w:eastAsiaTheme="majorEastAsia" w:hAnsi="Times New Roman" w:cs="Times New Roman"/>
          <w:sz w:val="24"/>
          <w:szCs w:val="24"/>
          <w:vertAlign w:val="superscript"/>
        </w:rPr>
        <w:footnoteReference w:id="164"/>
      </w:r>
      <w:r w:rsidRPr="00DC1FF0">
        <w:rPr>
          <w:rFonts w:ascii="Times New Roman" w:eastAsia="Times New Roman" w:hAnsi="Times New Roman" w:cs="Times New Roman"/>
          <w:sz w:val="24"/>
          <w:szCs w:val="24"/>
        </w:rPr>
        <w:t xml:space="preserve"> He actually compared the benefit of the DCI Rider to annual distribution base rate cases.</w:t>
      </w:r>
      <w:r w:rsidRPr="00DC1FF0">
        <w:rPr>
          <w:rFonts w:ascii="Times New Roman" w:eastAsiaTheme="majorEastAsia" w:hAnsi="Times New Roman" w:cs="Times New Roman"/>
          <w:sz w:val="24"/>
          <w:szCs w:val="24"/>
          <w:vertAlign w:val="superscript"/>
        </w:rPr>
        <w:footnoteReference w:id="165"/>
      </w:r>
    </w:p>
    <w:p w:rsidR="00DC1FF0" w:rsidRPr="00DC1FF0" w:rsidRDefault="00DC1FF0" w:rsidP="00AB1AF5">
      <w:pPr>
        <w:spacing w:after="0" w:line="480" w:lineRule="auto"/>
        <w:ind w:firstLine="720"/>
        <w:rPr>
          <w:rFonts w:ascii="Times New Roman" w:eastAsia="Times New Roman" w:hAnsi="Times New Roman" w:cs="Times New Roman"/>
          <w:bCs/>
          <w:sz w:val="24"/>
          <w:szCs w:val="24"/>
        </w:rPr>
      </w:pPr>
      <w:r w:rsidRPr="00DC1FF0">
        <w:rPr>
          <w:rFonts w:ascii="Times New Roman" w:eastAsia="Times New Roman" w:hAnsi="Times New Roman" w:cs="Times New Roman"/>
          <w:sz w:val="24"/>
          <w:szCs w:val="24"/>
        </w:rPr>
        <w:t xml:space="preserve">The proposed DCI Rider does not protect consumers from paying excessive distribution charges. If approved, contrary to OCC’s recommendation otherwise, it should be modified to include consumer protections. </w:t>
      </w:r>
      <w:r w:rsidR="00AB1AF5">
        <w:rPr>
          <w:rFonts w:ascii="Times New Roman" w:eastAsia="Times New Roman" w:hAnsi="Times New Roman" w:cs="Times New Roman"/>
          <w:bCs/>
          <w:sz w:val="24"/>
          <w:szCs w:val="24"/>
        </w:rPr>
        <w:t>T</w:t>
      </w:r>
      <w:r w:rsidRPr="00DC1FF0">
        <w:rPr>
          <w:rFonts w:ascii="Times New Roman" w:eastAsia="Times New Roman" w:hAnsi="Times New Roman" w:cs="Times New Roman"/>
          <w:bCs/>
          <w:sz w:val="24"/>
          <w:szCs w:val="24"/>
        </w:rPr>
        <w:t xml:space="preserve">he PUCO </w:t>
      </w:r>
      <w:r w:rsidR="00AB1AF5">
        <w:rPr>
          <w:rFonts w:ascii="Times New Roman" w:eastAsia="Times New Roman" w:hAnsi="Times New Roman" w:cs="Times New Roman"/>
          <w:bCs/>
          <w:sz w:val="24"/>
          <w:szCs w:val="24"/>
        </w:rPr>
        <w:t>should address numerous</w:t>
      </w:r>
      <w:r w:rsidRPr="00DC1FF0">
        <w:rPr>
          <w:rFonts w:ascii="Times New Roman" w:eastAsia="Times New Roman" w:hAnsi="Times New Roman" w:cs="Times New Roman"/>
          <w:bCs/>
          <w:sz w:val="24"/>
          <w:szCs w:val="24"/>
        </w:rPr>
        <w:t xml:space="preserve"> flaws (other than the inclusion of general plant)</w:t>
      </w:r>
      <w:r w:rsidRPr="00DC1FF0">
        <w:rPr>
          <w:rFonts w:ascii="Times New Roman" w:eastAsia="Times New Roman" w:hAnsi="Times New Roman" w:cs="Times New Roman"/>
          <w:bCs/>
          <w:sz w:val="24"/>
          <w:szCs w:val="24"/>
          <w:vertAlign w:val="superscript"/>
        </w:rPr>
        <w:footnoteReference w:id="166"/>
      </w:r>
      <w:r w:rsidRPr="00DC1FF0">
        <w:rPr>
          <w:rFonts w:ascii="Times New Roman" w:eastAsia="Times New Roman" w:hAnsi="Times New Roman" w:cs="Times New Roman"/>
          <w:bCs/>
          <w:sz w:val="24"/>
          <w:szCs w:val="24"/>
        </w:rPr>
        <w:t xml:space="preserve"> </w:t>
      </w:r>
      <w:r w:rsidR="00AB1AF5">
        <w:rPr>
          <w:rFonts w:ascii="Times New Roman" w:eastAsia="Times New Roman" w:hAnsi="Times New Roman" w:cs="Times New Roman"/>
          <w:sz w:val="24"/>
          <w:szCs w:val="24"/>
        </w:rPr>
        <w:t>in the DCI proposal</w:t>
      </w:r>
      <w:r w:rsidRPr="00DC1FF0">
        <w:rPr>
          <w:rFonts w:ascii="Times New Roman" w:eastAsia="Times New Roman" w:hAnsi="Times New Roman" w:cs="Times New Roman"/>
          <w:sz w:val="24"/>
          <w:szCs w:val="24"/>
        </w:rPr>
        <w:t>. First, Duke testified that the DCI Rider would be based on projected costs and not actual expenses</w:t>
      </w:r>
      <w:r w:rsidRPr="00DC1FF0">
        <w:rPr>
          <w:rFonts w:ascii="Times New Roman" w:eastAsia="Times New Roman" w:hAnsi="Times New Roman" w:cs="Times New Roman"/>
          <w:bCs/>
          <w:sz w:val="24"/>
          <w:szCs w:val="24"/>
          <w:vertAlign w:val="superscript"/>
        </w:rPr>
        <w:t>.</w:t>
      </w:r>
      <w:r w:rsidRPr="00DC1FF0">
        <w:rPr>
          <w:rFonts w:ascii="Times New Roman" w:eastAsiaTheme="majorEastAsia" w:hAnsi="Times New Roman" w:cs="Times New Roman"/>
          <w:sz w:val="24"/>
          <w:szCs w:val="24"/>
          <w:vertAlign w:val="superscript"/>
        </w:rPr>
        <w:footnoteReference w:id="167"/>
      </w:r>
      <w:r w:rsidRPr="00DC1FF0">
        <w:rPr>
          <w:rFonts w:ascii="Times New Roman" w:eastAsia="Times New Roman" w:hAnsi="Times New Roman" w:cs="Times New Roman"/>
          <w:bCs/>
          <w:sz w:val="24"/>
          <w:szCs w:val="24"/>
          <w:vertAlign w:val="superscript"/>
        </w:rPr>
        <w:t xml:space="preserve"> </w:t>
      </w:r>
      <w:r w:rsidRPr="00DC1FF0">
        <w:rPr>
          <w:rFonts w:ascii="Times New Roman" w:eastAsia="Times New Roman" w:hAnsi="Times New Roman" w:cs="Times New Roman"/>
          <w:sz w:val="24"/>
          <w:szCs w:val="24"/>
        </w:rPr>
        <w:t>As noted by OCC witness Mierzwa, this would enable Duke to potentially charge customers for expenses that are not actually incurred. Duke would be able to overcharge customers in this manner because Duke did not propose a mechanism to reconcile the projected costs and actual expenses.</w:t>
      </w:r>
      <w:r w:rsidRPr="00DC1FF0">
        <w:rPr>
          <w:rFonts w:ascii="Times New Roman" w:eastAsia="Times New Roman" w:hAnsi="Times New Roman" w:cs="Times New Roman"/>
          <w:sz w:val="24"/>
          <w:szCs w:val="24"/>
          <w:vertAlign w:val="superscript"/>
        </w:rPr>
        <w:footnoteReference w:id="168"/>
      </w:r>
      <w:r w:rsidRPr="00DC1FF0">
        <w:rPr>
          <w:rFonts w:ascii="Times New Roman" w:eastAsia="Times New Roman" w:hAnsi="Times New Roman" w:cs="Times New Roman"/>
          <w:sz w:val="24"/>
          <w:szCs w:val="24"/>
        </w:rPr>
        <w:t xml:space="preserve"> Staff witness McCarter also raised this concern and Staff recommended that the PUCO reject the use of projected data</w:t>
      </w:r>
      <w:r w:rsidR="00402996">
        <w:rPr>
          <w:rFonts w:ascii="Times New Roman" w:eastAsia="Times New Roman" w:hAnsi="Times New Roman" w:cs="Times New Roman"/>
          <w:sz w:val="24"/>
          <w:szCs w:val="24"/>
        </w:rPr>
        <w:t>.</w:t>
      </w:r>
      <w:r w:rsidRPr="00DC1FF0">
        <w:rPr>
          <w:rFonts w:ascii="Times New Roman" w:eastAsiaTheme="majorEastAsia" w:hAnsi="Times New Roman" w:cs="Times New Roman"/>
          <w:sz w:val="24"/>
          <w:szCs w:val="24"/>
          <w:vertAlign w:val="superscript"/>
        </w:rPr>
        <w:footnoteReference w:id="169"/>
      </w:r>
    </w:p>
    <w:p w:rsidR="00DC1FF0" w:rsidRPr="00DC1FF0" w:rsidRDefault="00DC1FF0" w:rsidP="00DC1FF0">
      <w:pPr>
        <w:spacing w:after="0" w:line="480" w:lineRule="auto"/>
        <w:ind w:firstLine="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 second flaw the PUCO should address is crediting of O&amp;M cost savings on an expedited basis.</w:t>
      </w:r>
      <w:r w:rsidRPr="00DC1FF0">
        <w:rPr>
          <w:rFonts w:ascii="Times New Roman" w:eastAsiaTheme="majorEastAsia" w:hAnsi="Times New Roman" w:cs="Times New Roman"/>
          <w:sz w:val="24"/>
          <w:szCs w:val="24"/>
          <w:vertAlign w:val="superscript"/>
        </w:rPr>
        <w:footnoteReference w:id="170"/>
      </w:r>
      <w:r w:rsidRPr="00DC1FF0">
        <w:rPr>
          <w:rFonts w:ascii="Times New Roman" w:eastAsia="Times New Roman" w:hAnsi="Times New Roman" w:cs="Times New Roman"/>
          <w:sz w:val="24"/>
          <w:szCs w:val="24"/>
        </w:rPr>
        <w:t xml:space="preserve"> To the extent that the additional $104 million in DCI-related spending reduces O&amp;M expenses, then customers and NOT the Utility should get this benefit. </w:t>
      </w:r>
    </w:p>
    <w:p w:rsidR="00DC1FF0" w:rsidRPr="00DC1FF0" w:rsidRDefault="00DC1FF0" w:rsidP="00DC1FF0">
      <w:pPr>
        <w:spacing w:after="0" w:line="480" w:lineRule="auto"/>
        <w:ind w:firstLine="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 xml:space="preserve">Duke currently credits O&amp;M cost savings to customers on an </w:t>
      </w:r>
      <w:r w:rsidR="00AB1AF5">
        <w:rPr>
          <w:rFonts w:ascii="Times New Roman" w:eastAsia="Times New Roman" w:hAnsi="Times New Roman" w:cs="Times New Roman"/>
          <w:sz w:val="24"/>
          <w:szCs w:val="24"/>
        </w:rPr>
        <w:t>accelerated basis as part of its natural gas</w:t>
      </w:r>
      <w:r w:rsidRPr="00DC1FF0">
        <w:rPr>
          <w:rFonts w:ascii="Times New Roman" w:eastAsia="Times New Roman" w:hAnsi="Times New Roman" w:cs="Times New Roman"/>
          <w:sz w:val="24"/>
          <w:szCs w:val="24"/>
        </w:rPr>
        <w:t xml:space="preserve"> Accelerated Mains Replacement Program (“AMRP”) that is used to modernize Duke’s natural gas distribution infrastructure.</w:t>
      </w:r>
      <w:r w:rsidRPr="00DC1FF0">
        <w:rPr>
          <w:rFonts w:ascii="Times New Roman" w:eastAsiaTheme="majorEastAsia" w:hAnsi="Times New Roman" w:cs="Times New Roman"/>
          <w:sz w:val="24"/>
          <w:szCs w:val="24"/>
          <w:vertAlign w:val="superscript"/>
        </w:rPr>
        <w:footnoteReference w:id="171"/>
      </w:r>
      <w:r w:rsidRPr="00DC1FF0">
        <w:rPr>
          <w:rFonts w:ascii="Times New Roman" w:eastAsia="Times New Roman" w:hAnsi="Times New Roman" w:cs="Times New Roman"/>
          <w:sz w:val="24"/>
          <w:szCs w:val="24"/>
        </w:rPr>
        <w:t xml:space="preserve"> Staff witnes</w:t>
      </w:r>
      <w:r w:rsidR="00AB1AF5">
        <w:rPr>
          <w:rFonts w:ascii="Times New Roman" w:eastAsia="Times New Roman" w:hAnsi="Times New Roman" w:cs="Times New Roman"/>
          <w:sz w:val="24"/>
          <w:szCs w:val="24"/>
        </w:rPr>
        <w:t>s McCarter acknowledged that accelerated crediting</w:t>
      </w:r>
      <w:r w:rsidRPr="00DC1FF0">
        <w:rPr>
          <w:rFonts w:ascii="Times New Roman" w:eastAsia="Times New Roman" w:hAnsi="Times New Roman" w:cs="Times New Roman"/>
          <w:sz w:val="24"/>
          <w:szCs w:val="24"/>
        </w:rPr>
        <w:t xml:space="preserve"> </w:t>
      </w:r>
      <w:r w:rsidR="00AB1AF5">
        <w:rPr>
          <w:rFonts w:ascii="Times New Roman" w:eastAsia="Times New Roman" w:hAnsi="Times New Roman" w:cs="Times New Roman"/>
          <w:sz w:val="24"/>
          <w:szCs w:val="24"/>
        </w:rPr>
        <w:t xml:space="preserve">of </w:t>
      </w:r>
      <w:r w:rsidRPr="00DC1FF0">
        <w:rPr>
          <w:rFonts w:ascii="Times New Roman" w:eastAsia="Times New Roman" w:hAnsi="Times New Roman" w:cs="Times New Roman"/>
          <w:sz w:val="24"/>
          <w:szCs w:val="24"/>
        </w:rPr>
        <w:t>O&amp;M cost savings in the AMRP cases act as an offset to the program costs.</w:t>
      </w:r>
      <w:r w:rsidRPr="00DC1FF0">
        <w:rPr>
          <w:rFonts w:ascii="Times New Roman" w:eastAsiaTheme="majorEastAsia" w:hAnsi="Times New Roman" w:cs="Times New Roman"/>
          <w:sz w:val="24"/>
          <w:szCs w:val="24"/>
          <w:vertAlign w:val="superscript"/>
        </w:rPr>
        <w:footnoteReference w:id="172"/>
      </w:r>
      <w:r w:rsidRPr="00DC1FF0">
        <w:rPr>
          <w:rFonts w:ascii="Times New Roman" w:eastAsia="Times New Roman" w:hAnsi="Times New Roman" w:cs="Times New Roman"/>
          <w:sz w:val="24"/>
          <w:szCs w:val="24"/>
        </w:rPr>
        <w:t xml:space="preserve"> To the extent that Duke’s electric customers are required to pay the DCI Rider charges on an accelerated basis, those customers should get the same benefit that Duke’s natural gas customers’ get from the accelerated O&amp;M cost savings credit. </w:t>
      </w:r>
    </w:p>
    <w:p w:rsidR="00DC1FF0" w:rsidRPr="00DC1FF0" w:rsidRDefault="00DC1FF0" w:rsidP="00DC1FF0">
      <w:pPr>
        <w:spacing w:after="0" w:line="480" w:lineRule="auto"/>
        <w:ind w:firstLine="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 third flaw with the proposed DCI Rider that the PUCO should address is the lack of a cap on annual spending levels proposed.</w:t>
      </w:r>
      <w:r w:rsidRPr="00DC1FF0">
        <w:rPr>
          <w:rFonts w:ascii="Times New Roman" w:eastAsiaTheme="majorEastAsia" w:hAnsi="Times New Roman" w:cs="Times New Roman"/>
          <w:sz w:val="24"/>
          <w:szCs w:val="24"/>
          <w:vertAlign w:val="superscript"/>
        </w:rPr>
        <w:footnoteReference w:id="173"/>
      </w:r>
      <w:r w:rsidRPr="00DC1FF0">
        <w:rPr>
          <w:rFonts w:ascii="Times New Roman" w:eastAsia="Times New Roman" w:hAnsi="Times New Roman" w:cs="Times New Roman"/>
          <w:sz w:val="24"/>
          <w:szCs w:val="24"/>
        </w:rPr>
        <w:t xml:space="preserve"> If the </w:t>
      </w:r>
      <w:r w:rsidR="00AB1AF5">
        <w:rPr>
          <w:rFonts w:ascii="Times New Roman" w:eastAsia="Times New Roman" w:hAnsi="Times New Roman" w:cs="Times New Roman"/>
          <w:sz w:val="24"/>
          <w:szCs w:val="24"/>
        </w:rPr>
        <w:t>DCI R</w:t>
      </w:r>
      <w:r w:rsidRPr="00DC1FF0">
        <w:rPr>
          <w:rFonts w:ascii="Times New Roman" w:eastAsia="Times New Roman" w:hAnsi="Times New Roman" w:cs="Times New Roman"/>
          <w:sz w:val="24"/>
          <w:szCs w:val="24"/>
        </w:rPr>
        <w:t>ider is approved, contrary to OCC recommendations otherwise, it should be capped. This will limit the level of rate increases that customers will be forced to endure. For example, Ms. McCarter recommended a cap of $85 million in 2018 instead of the proposed $104 million.</w:t>
      </w:r>
      <w:r w:rsidRPr="00DC1FF0">
        <w:rPr>
          <w:rFonts w:ascii="Times New Roman" w:eastAsiaTheme="majorEastAsia" w:hAnsi="Times New Roman" w:cs="Times New Roman"/>
          <w:sz w:val="24"/>
          <w:szCs w:val="24"/>
          <w:vertAlign w:val="superscript"/>
        </w:rPr>
        <w:footnoteReference w:id="174"/>
      </w:r>
      <w:r w:rsidR="00AB1AF5">
        <w:rPr>
          <w:rFonts w:ascii="Times New Roman" w:eastAsia="Times New Roman" w:hAnsi="Times New Roman" w:cs="Times New Roman"/>
          <w:sz w:val="24"/>
          <w:szCs w:val="24"/>
        </w:rPr>
        <w:t xml:space="preserve"> Moreover, a</w:t>
      </w:r>
      <w:r w:rsidRPr="00DC1FF0">
        <w:rPr>
          <w:rFonts w:ascii="Times New Roman" w:eastAsia="Times New Roman" w:hAnsi="Times New Roman" w:cs="Times New Roman"/>
          <w:sz w:val="24"/>
          <w:szCs w:val="24"/>
        </w:rPr>
        <w:t>ny cap should exclude common general plant and any programs that are not directly related to infrastructure modernization.</w:t>
      </w:r>
    </w:p>
    <w:p w:rsidR="00DC1FF0" w:rsidRPr="00DC1FF0" w:rsidRDefault="00AB1AF5" w:rsidP="00DC1FF0">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fourth flaw is that </w:t>
      </w:r>
      <w:r w:rsidR="00DC1FF0" w:rsidRPr="00DC1FF0">
        <w:rPr>
          <w:rFonts w:ascii="Times New Roman" w:eastAsia="Times New Roman" w:hAnsi="Times New Roman" w:cs="Times New Roman"/>
          <w:sz w:val="24"/>
          <w:szCs w:val="24"/>
        </w:rPr>
        <w:t xml:space="preserve">the PUCO </w:t>
      </w:r>
      <w:r>
        <w:rPr>
          <w:rFonts w:ascii="Times New Roman" w:eastAsia="Times New Roman" w:hAnsi="Times New Roman" w:cs="Times New Roman"/>
          <w:sz w:val="24"/>
          <w:szCs w:val="24"/>
        </w:rPr>
        <w:t>should address is to</w:t>
      </w:r>
      <w:r w:rsidR="00DC1FF0" w:rsidRPr="00DC1FF0">
        <w:rPr>
          <w:rFonts w:ascii="Times New Roman" w:eastAsia="Times New Roman" w:hAnsi="Times New Roman" w:cs="Times New Roman"/>
          <w:sz w:val="24"/>
          <w:szCs w:val="24"/>
        </w:rPr>
        <w:t xml:space="preserve"> protect customers from the possibility of a distribution rate case during the term of the DCI Rider. Staff witness McCarter noted that it was her belief that approval of a DCI Rider would be accompanied by a distribution base rate freeze.</w:t>
      </w:r>
      <w:r w:rsidR="00DC1FF0" w:rsidRPr="00DC1FF0">
        <w:rPr>
          <w:rFonts w:ascii="Times New Roman" w:eastAsiaTheme="majorEastAsia" w:hAnsi="Times New Roman" w:cs="Times New Roman"/>
          <w:sz w:val="24"/>
          <w:szCs w:val="24"/>
          <w:vertAlign w:val="superscript"/>
        </w:rPr>
        <w:footnoteReference w:id="175"/>
      </w:r>
      <w:r w:rsidR="00DC1FF0" w:rsidRPr="00DC1FF0">
        <w:rPr>
          <w:rFonts w:ascii="Times New Roman" w:eastAsia="Times New Roman" w:hAnsi="Times New Roman" w:cs="Times New Roman"/>
          <w:sz w:val="24"/>
          <w:szCs w:val="24"/>
        </w:rPr>
        <w:t xml:space="preserve"> Ms. McCarter described a distribution base rate freeze accompanying a DCI Rider as being an “ideal” situation.</w:t>
      </w:r>
      <w:r w:rsidR="00DC1FF0" w:rsidRPr="00DC1FF0">
        <w:rPr>
          <w:rFonts w:ascii="Times New Roman" w:eastAsiaTheme="majorEastAsia" w:hAnsi="Times New Roman" w:cs="Times New Roman"/>
          <w:sz w:val="24"/>
          <w:szCs w:val="24"/>
          <w:vertAlign w:val="superscript"/>
        </w:rPr>
        <w:footnoteReference w:id="176"/>
      </w:r>
      <w:r w:rsidR="00DC1FF0" w:rsidRPr="00DC1FF0">
        <w:rPr>
          <w:rFonts w:ascii="Times New Roman" w:eastAsia="Times New Roman" w:hAnsi="Times New Roman" w:cs="Times New Roman"/>
          <w:sz w:val="24"/>
          <w:szCs w:val="24"/>
        </w:rPr>
        <w:t xml:space="preserve"> Customers should not be subject to the DCI Rider and a distribution b</w:t>
      </w:r>
      <w:r w:rsidR="00947997">
        <w:rPr>
          <w:rFonts w:ascii="Times New Roman" w:eastAsia="Times New Roman" w:hAnsi="Times New Roman" w:cs="Times New Roman"/>
          <w:sz w:val="24"/>
          <w:szCs w:val="24"/>
        </w:rPr>
        <w:t>ase rate case at the same time.</w:t>
      </w:r>
      <w:r w:rsidR="00DC1FF0" w:rsidRPr="00DC1FF0">
        <w:rPr>
          <w:rFonts w:ascii="Times New Roman" w:eastAsia="Times New Roman" w:hAnsi="Times New Roman" w:cs="Times New Roman"/>
          <w:sz w:val="24"/>
          <w:szCs w:val="24"/>
        </w:rPr>
        <w:t xml:space="preserve"> In fact, Ms. McCarter noted that if the Utility were to file a distribution base rate case during the term of the ESP, then the need for a DCI Rider would have to be “weighed and balanced.”</w:t>
      </w:r>
      <w:r w:rsidR="00DC1FF0" w:rsidRPr="00DC1FF0">
        <w:rPr>
          <w:rFonts w:ascii="Times New Roman" w:eastAsiaTheme="majorEastAsia" w:hAnsi="Times New Roman" w:cs="Times New Roman"/>
          <w:sz w:val="24"/>
          <w:szCs w:val="24"/>
          <w:vertAlign w:val="superscript"/>
        </w:rPr>
        <w:footnoteReference w:id="177"/>
      </w:r>
      <w:r w:rsidR="00DC1FF0" w:rsidRPr="00DC1FF0">
        <w:rPr>
          <w:rFonts w:ascii="Times New Roman" w:eastAsia="Times New Roman" w:hAnsi="Times New Roman" w:cs="Times New Roman"/>
          <w:sz w:val="24"/>
          <w:szCs w:val="24"/>
        </w:rPr>
        <w:t xml:space="preserve"> Staff witness Turkenton added that if Duke had a DCI Rider in place, “they wouldn’t need to come in for a base distribution case.”</w:t>
      </w:r>
      <w:r w:rsidR="00DC1FF0" w:rsidRPr="00DC1FF0">
        <w:rPr>
          <w:rFonts w:ascii="Times New Roman" w:eastAsiaTheme="majorEastAsia" w:hAnsi="Times New Roman" w:cs="Times New Roman"/>
          <w:sz w:val="24"/>
          <w:szCs w:val="24"/>
          <w:vertAlign w:val="superscript"/>
        </w:rPr>
        <w:footnoteReference w:id="178"/>
      </w:r>
      <w:r w:rsidR="00DC1FF0" w:rsidRPr="00DC1FF0">
        <w:rPr>
          <w:rFonts w:ascii="Times New Roman" w:eastAsia="Times New Roman" w:hAnsi="Times New Roman" w:cs="Times New Roman"/>
          <w:sz w:val="24"/>
          <w:szCs w:val="24"/>
        </w:rPr>
        <w:t xml:space="preserve"> </w:t>
      </w:r>
    </w:p>
    <w:p w:rsidR="00DC1FF0" w:rsidRPr="00DC1FF0" w:rsidRDefault="00DC1FF0" w:rsidP="00DC1FF0">
      <w:pPr>
        <w:spacing w:after="0" w:line="480" w:lineRule="auto"/>
        <w:ind w:firstLine="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Consequently, if the DCI Rider is approved, Duke should be prohibited from filing a distribution base rate case through the term of its ESP</w:t>
      </w:r>
      <w:r w:rsidR="00035356">
        <w:rPr>
          <w:rFonts w:ascii="Times New Roman" w:eastAsia="Times New Roman" w:hAnsi="Times New Roman" w:cs="Times New Roman"/>
          <w:sz w:val="24"/>
          <w:szCs w:val="24"/>
        </w:rPr>
        <w:t>,</w:t>
      </w:r>
      <w:r w:rsidRPr="00DC1FF0">
        <w:rPr>
          <w:rFonts w:ascii="Times New Roman" w:eastAsia="Times New Roman" w:hAnsi="Times New Roman" w:cs="Times New Roman"/>
          <w:sz w:val="24"/>
          <w:szCs w:val="24"/>
        </w:rPr>
        <w:t xml:space="preserve"> unless such proceeding is intended to both consolidate all riders with base distribution rates and include a comprehensive earnings review. </w:t>
      </w:r>
    </w:p>
    <w:p w:rsidR="00DC1FF0" w:rsidRPr="00DC1FF0" w:rsidRDefault="00DC1FF0" w:rsidP="00DC1FF0">
      <w:pPr>
        <w:spacing w:after="0" w:line="480" w:lineRule="auto"/>
        <w:ind w:firstLine="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Howev</w:t>
      </w:r>
      <w:r w:rsidR="00AB1AF5">
        <w:rPr>
          <w:rFonts w:ascii="Times New Roman" w:eastAsia="Times New Roman" w:hAnsi="Times New Roman" w:cs="Times New Roman"/>
          <w:sz w:val="24"/>
          <w:szCs w:val="24"/>
        </w:rPr>
        <w:t>er, if the PUCO approves the DC</w:t>
      </w:r>
      <w:r w:rsidRPr="00DC1FF0">
        <w:rPr>
          <w:rFonts w:ascii="Times New Roman" w:eastAsia="Times New Roman" w:hAnsi="Times New Roman" w:cs="Times New Roman"/>
          <w:sz w:val="24"/>
          <w:szCs w:val="24"/>
        </w:rPr>
        <w:t>I Rider, then it should also require that Duke file a distribution base rate case prior to any future extension or expansion of the DCI rider in the future in order to fully evaluate the DCI spending.</w:t>
      </w:r>
    </w:p>
    <w:p w:rsidR="00DC1FF0" w:rsidRPr="00DC1FF0" w:rsidRDefault="00DC1FF0" w:rsidP="00DC1FF0">
      <w:pPr>
        <w:spacing w:after="0" w:line="480" w:lineRule="auto"/>
        <w:ind w:firstLine="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 fifth flaw with Duke’s DCI Rider proposal is that it improperly charges customers for property taxes before they are incurred. OCC witness Mierzwa testified that Duke is assessed tangible personal property taxes when plant is actually placed in service.</w:t>
      </w:r>
      <w:r w:rsidRPr="00DC1FF0">
        <w:rPr>
          <w:rFonts w:ascii="Times New Roman" w:eastAsiaTheme="majorEastAsia" w:hAnsi="Times New Roman" w:cs="Times New Roman"/>
          <w:sz w:val="24"/>
          <w:szCs w:val="24"/>
          <w:vertAlign w:val="superscript"/>
        </w:rPr>
        <w:footnoteReference w:id="179"/>
      </w:r>
      <w:r w:rsidRPr="00DC1FF0">
        <w:rPr>
          <w:rFonts w:ascii="Times New Roman" w:eastAsia="Times New Roman" w:hAnsi="Times New Roman" w:cs="Times New Roman"/>
          <w:sz w:val="24"/>
          <w:szCs w:val="24"/>
        </w:rPr>
        <w:t xml:space="preserve"> The tax is assessed the following year and the associated tax is not paid until the year after.</w:t>
      </w:r>
      <w:r w:rsidRPr="00DC1FF0">
        <w:rPr>
          <w:rFonts w:ascii="Times New Roman" w:eastAsiaTheme="majorEastAsia" w:hAnsi="Times New Roman" w:cs="Times New Roman"/>
          <w:sz w:val="24"/>
          <w:szCs w:val="24"/>
          <w:vertAlign w:val="superscript"/>
        </w:rPr>
        <w:footnoteReference w:id="180"/>
      </w:r>
      <w:r w:rsidRPr="00DC1FF0">
        <w:rPr>
          <w:rFonts w:ascii="Times New Roman" w:eastAsia="Times New Roman" w:hAnsi="Times New Roman" w:cs="Times New Roman"/>
          <w:sz w:val="24"/>
          <w:szCs w:val="24"/>
        </w:rPr>
        <w:t xml:space="preserve"> Essentially, plant placed in service in 2015 will not be assessed until 2016 and the taxes are not paid until 2017.</w:t>
      </w:r>
      <w:r w:rsidRPr="00DC1FF0">
        <w:rPr>
          <w:rFonts w:ascii="Times New Roman" w:eastAsiaTheme="majorEastAsia" w:hAnsi="Times New Roman" w:cs="Times New Roman"/>
          <w:sz w:val="24"/>
          <w:szCs w:val="24"/>
          <w:vertAlign w:val="superscript"/>
        </w:rPr>
        <w:footnoteReference w:id="181"/>
      </w:r>
    </w:p>
    <w:p w:rsidR="00DC1FF0" w:rsidRPr="00DC1FF0" w:rsidRDefault="00DC1FF0" w:rsidP="00DC1FF0">
      <w:pPr>
        <w:spacing w:after="0" w:line="480" w:lineRule="auto"/>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For real property taxes the plant is assessed as of January 1</w:t>
      </w:r>
      <w:r w:rsidRPr="00DC1FF0">
        <w:rPr>
          <w:rFonts w:ascii="Times New Roman" w:eastAsia="Times New Roman" w:hAnsi="Times New Roman" w:cs="Times New Roman"/>
          <w:sz w:val="24"/>
          <w:szCs w:val="24"/>
          <w:vertAlign w:val="superscript"/>
        </w:rPr>
        <w:t>st</w:t>
      </w:r>
      <w:r w:rsidRPr="00DC1FF0">
        <w:rPr>
          <w:rFonts w:ascii="Times New Roman" w:eastAsia="Times New Roman" w:hAnsi="Times New Roman" w:cs="Times New Roman"/>
          <w:sz w:val="24"/>
          <w:szCs w:val="24"/>
        </w:rPr>
        <w:t xml:space="preserve"> of each year, but not billed until the following year.</w:t>
      </w:r>
      <w:r w:rsidRPr="00DC1FF0">
        <w:rPr>
          <w:rFonts w:ascii="Times New Roman" w:eastAsiaTheme="majorEastAsia" w:hAnsi="Times New Roman" w:cs="Times New Roman"/>
          <w:sz w:val="24"/>
          <w:szCs w:val="24"/>
          <w:vertAlign w:val="superscript"/>
        </w:rPr>
        <w:footnoteReference w:id="182"/>
      </w:r>
      <w:r w:rsidRPr="00DC1FF0">
        <w:rPr>
          <w:rFonts w:ascii="Times New Roman" w:eastAsia="Times New Roman" w:hAnsi="Times New Roman" w:cs="Times New Roman"/>
          <w:sz w:val="24"/>
          <w:szCs w:val="24"/>
        </w:rPr>
        <w:t xml:space="preserve"> For example the tax assessed on plant by January 1, 2015 would not be paid until 2016, and the tax on any plant placed in service after January 1</w:t>
      </w:r>
      <w:r w:rsidR="0049158E">
        <w:rPr>
          <w:rFonts w:ascii="Times New Roman" w:eastAsia="Times New Roman" w:hAnsi="Times New Roman" w:cs="Times New Roman"/>
          <w:sz w:val="24"/>
          <w:szCs w:val="24"/>
        </w:rPr>
        <w:t xml:space="preserve">, </w:t>
      </w:r>
      <w:r w:rsidRPr="00DC1FF0">
        <w:rPr>
          <w:rFonts w:ascii="Times New Roman" w:eastAsia="Times New Roman" w:hAnsi="Times New Roman" w:cs="Times New Roman"/>
          <w:sz w:val="24"/>
          <w:szCs w:val="24"/>
        </w:rPr>
        <w:t>2015, would not require payment until 2017.</w:t>
      </w:r>
      <w:r w:rsidRPr="00DC1FF0">
        <w:rPr>
          <w:rFonts w:ascii="Times New Roman" w:eastAsiaTheme="majorEastAsia" w:hAnsi="Times New Roman" w:cs="Times New Roman"/>
          <w:sz w:val="24"/>
          <w:szCs w:val="24"/>
          <w:vertAlign w:val="superscript"/>
        </w:rPr>
        <w:footnoteReference w:id="183"/>
      </w:r>
      <w:r w:rsidRPr="00DC1FF0">
        <w:rPr>
          <w:rFonts w:ascii="Times New Roman" w:eastAsia="Times New Roman" w:hAnsi="Times New Roman" w:cs="Times New Roman"/>
          <w:sz w:val="24"/>
          <w:szCs w:val="24"/>
        </w:rPr>
        <w:t xml:space="preserve"> </w:t>
      </w:r>
    </w:p>
    <w:p w:rsidR="00DC1FF0" w:rsidRPr="00DC1FF0" w:rsidRDefault="00DC1FF0" w:rsidP="00DC1FF0">
      <w:pPr>
        <w:spacing w:after="0" w:line="480" w:lineRule="auto"/>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Mr. Mierzwa testified that under the DCI Rider, Duke would include applicable property taxes in rates when the plant is placed in service, even though the property taxes would not be assessed until the following year.</w:t>
      </w:r>
      <w:r w:rsidRPr="00DC1FF0">
        <w:rPr>
          <w:rFonts w:ascii="Times New Roman" w:eastAsiaTheme="majorEastAsia" w:hAnsi="Times New Roman" w:cs="Times New Roman"/>
          <w:sz w:val="24"/>
          <w:szCs w:val="24"/>
          <w:vertAlign w:val="superscript"/>
        </w:rPr>
        <w:footnoteReference w:id="184"/>
      </w:r>
      <w:r w:rsidRPr="00DC1FF0">
        <w:rPr>
          <w:rFonts w:ascii="Times New Roman" w:eastAsia="Times New Roman" w:hAnsi="Times New Roman" w:cs="Times New Roman"/>
          <w:sz w:val="24"/>
          <w:szCs w:val="24"/>
        </w:rPr>
        <w:t xml:space="preserve"> It is not reasonable for customers to pay DCI Rider charges for taxes not yet incurred by Duke or reflected on Duke’s books. Mr. Mierzwa recommended that if the PUCO were to approve the DCI Rider, then property taxes should not be included in the Rider until the property being taxed is recognized as taxable by the applicable taxing authority.</w:t>
      </w:r>
      <w:r w:rsidRPr="00DC1FF0">
        <w:rPr>
          <w:rFonts w:ascii="Times New Roman" w:eastAsiaTheme="majorEastAsia" w:hAnsi="Times New Roman" w:cs="Times New Roman"/>
          <w:sz w:val="24"/>
          <w:szCs w:val="24"/>
          <w:vertAlign w:val="superscript"/>
        </w:rPr>
        <w:footnoteReference w:id="185"/>
      </w:r>
    </w:p>
    <w:p w:rsidR="00DC1FF0" w:rsidRPr="00DC1FF0" w:rsidRDefault="00D77C8B" w:rsidP="00D77C8B">
      <w:pPr>
        <w:pStyle w:val="Heading2"/>
      </w:pPr>
      <w:bookmarkStart w:id="24" w:name="_Toc407632217"/>
      <w:r>
        <w:t>F.</w:t>
      </w:r>
      <w:r>
        <w:tab/>
      </w:r>
      <w:r w:rsidR="00DC1FF0" w:rsidRPr="00DC1FF0">
        <w:t xml:space="preserve">If Duke’s </w:t>
      </w:r>
      <w:r w:rsidRPr="00DC1FF0">
        <w:t xml:space="preserve">Proposed </w:t>
      </w:r>
      <w:r w:rsidR="00DC1FF0" w:rsidRPr="00DC1FF0">
        <w:t xml:space="preserve">Distribution Storm Rider </w:t>
      </w:r>
      <w:r w:rsidRPr="00DC1FF0">
        <w:t xml:space="preserve">Is Approved, The </w:t>
      </w:r>
      <w:r w:rsidR="00DC1FF0" w:rsidRPr="00DC1FF0">
        <w:t xml:space="preserve">PUCO </w:t>
      </w:r>
      <w:r w:rsidRPr="00DC1FF0">
        <w:t>Must Provide Clear Guidelines Under Which The Rider May Be Invoked.</w:t>
      </w:r>
      <w:bookmarkEnd w:id="24"/>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 proposes Rider DSR, a non-bypassable rider that is designed to enable Duke to defer and collect expenses that it incurs in responding to major storm events. Specifically, Duke proposes to establish a regulatory asset account to defer the costs above or below the $4.4 million per calendar year included in Duke’s current distribution base rates.</w:t>
      </w:r>
      <w:r w:rsidRPr="00DC1FF0">
        <w:rPr>
          <w:rStyle w:val="FootnoteReference"/>
          <w:rFonts w:ascii="Times New Roman" w:eastAsia="Times New Roman" w:hAnsi="Times New Roman" w:cs="Times New Roman"/>
          <w:sz w:val="24"/>
          <w:szCs w:val="24"/>
        </w:rPr>
        <w:footnoteReference w:id="186"/>
      </w:r>
    </w:p>
    <w:p w:rsidR="00DC1FF0" w:rsidRPr="00DC1FF0" w:rsidRDefault="00DC1FF0" w:rsidP="00DC1FF0">
      <w:pPr>
        <w:spacing w:after="0" w:line="480" w:lineRule="auto"/>
        <w:ind w:firstLine="36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OCC Witness Mierzwa testified that Rider D</w:t>
      </w:r>
      <w:r w:rsidR="0080461A">
        <w:rPr>
          <w:rFonts w:ascii="Times New Roman" w:eastAsia="Times New Roman" w:hAnsi="Times New Roman" w:cs="Times New Roman"/>
          <w:sz w:val="24"/>
          <w:szCs w:val="24"/>
        </w:rPr>
        <w:t>SR</w:t>
      </w:r>
      <w:r w:rsidRPr="00DC1FF0">
        <w:rPr>
          <w:rFonts w:ascii="Times New Roman" w:eastAsia="Times New Roman" w:hAnsi="Times New Roman" w:cs="Times New Roman"/>
          <w:sz w:val="24"/>
          <w:szCs w:val="24"/>
        </w:rPr>
        <w:t xml:space="preserve"> should be rejected unless a full review o</w:t>
      </w:r>
      <w:r w:rsidR="0049158E">
        <w:rPr>
          <w:rFonts w:ascii="Times New Roman" w:eastAsia="Times New Roman" w:hAnsi="Times New Roman" w:cs="Times New Roman"/>
          <w:sz w:val="24"/>
          <w:szCs w:val="24"/>
        </w:rPr>
        <w:t>f the major storm O&amp;M costs is required to be</w:t>
      </w:r>
      <w:r w:rsidRPr="00DC1FF0">
        <w:rPr>
          <w:rFonts w:ascii="Times New Roman" w:eastAsia="Times New Roman" w:hAnsi="Times New Roman" w:cs="Times New Roman"/>
          <w:sz w:val="24"/>
          <w:szCs w:val="24"/>
        </w:rPr>
        <w:t xml:space="preserve"> conducted in a base rate or other separate proceeding.</w:t>
      </w:r>
      <w:r w:rsidRPr="00DC1FF0">
        <w:rPr>
          <w:rFonts w:ascii="Times New Roman" w:eastAsia="Times New Roman" w:hAnsi="Times New Roman" w:cs="Times New Roman"/>
          <w:sz w:val="24"/>
          <w:szCs w:val="24"/>
          <w:vertAlign w:val="superscript"/>
        </w:rPr>
        <w:footnoteReference w:id="187"/>
      </w:r>
      <w:r w:rsidRPr="00DC1FF0">
        <w:rPr>
          <w:rFonts w:ascii="Times New Roman" w:eastAsia="Times New Roman" w:hAnsi="Times New Roman" w:cs="Times New Roman"/>
          <w:sz w:val="24"/>
          <w:szCs w:val="24"/>
        </w:rPr>
        <w:t xml:space="preserve"> At hearing, Duke testified that it was amenable to this concept,</w:t>
      </w:r>
      <w:r w:rsidRPr="00DC1FF0">
        <w:rPr>
          <w:rFonts w:ascii="Times New Roman" w:eastAsia="Times New Roman" w:hAnsi="Times New Roman" w:cs="Times New Roman"/>
          <w:sz w:val="24"/>
          <w:szCs w:val="24"/>
          <w:vertAlign w:val="superscript"/>
        </w:rPr>
        <w:footnoteReference w:id="188"/>
      </w:r>
      <w:r w:rsidRPr="00DC1FF0">
        <w:rPr>
          <w:rFonts w:ascii="Times New Roman" w:eastAsia="Times New Roman" w:hAnsi="Times New Roman" w:cs="Times New Roman"/>
          <w:sz w:val="24"/>
          <w:szCs w:val="24"/>
        </w:rPr>
        <w:t xml:space="preserve"> and Staff supported review of DSR expenses in a separate proceeding.</w:t>
      </w:r>
      <w:r w:rsidRPr="00DC1FF0">
        <w:rPr>
          <w:rFonts w:ascii="Times New Roman" w:eastAsia="Times New Roman" w:hAnsi="Times New Roman" w:cs="Times New Roman"/>
          <w:sz w:val="24"/>
          <w:szCs w:val="24"/>
          <w:vertAlign w:val="superscript"/>
        </w:rPr>
        <w:footnoteReference w:id="189"/>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Thus, OCC renews the request made in its Initial Brief that the PUCO provide clear guidelines under which the rider may be invoked. Consistent with OCC witness Mierzwa’s alternative recommendation,</w:t>
      </w:r>
      <w:r w:rsidRPr="00DC1FF0">
        <w:rPr>
          <w:rFonts w:ascii="Times New Roman" w:eastAsia="Times New Roman" w:hAnsi="Times New Roman" w:cs="Times New Roman"/>
          <w:sz w:val="24"/>
          <w:szCs w:val="24"/>
          <w:vertAlign w:val="superscript"/>
        </w:rPr>
        <w:footnoteReference w:id="190"/>
      </w:r>
      <w:r w:rsidRPr="00DC1FF0">
        <w:rPr>
          <w:rFonts w:ascii="Times New Roman" w:eastAsia="Times New Roman" w:hAnsi="Times New Roman" w:cs="Times New Roman"/>
          <w:sz w:val="24"/>
          <w:szCs w:val="24"/>
        </w:rPr>
        <w:t xml:space="preserve"> Staff’s modifications, Duke’s clarifications on cross examination, and the process ordered in other proceedings,</w:t>
      </w:r>
      <w:r w:rsidRPr="00DC1FF0">
        <w:rPr>
          <w:rFonts w:ascii="Times New Roman" w:eastAsia="Times New Roman" w:hAnsi="Times New Roman" w:cs="Times New Roman"/>
          <w:sz w:val="24"/>
          <w:szCs w:val="24"/>
          <w:vertAlign w:val="superscript"/>
        </w:rPr>
        <w:footnoteReference w:id="191"/>
      </w:r>
      <w:r w:rsidRPr="00DC1FF0">
        <w:rPr>
          <w:rFonts w:ascii="Times New Roman" w:eastAsia="Times New Roman" w:hAnsi="Times New Roman" w:cs="Times New Roman"/>
          <w:sz w:val="24"/>
          <w:szCs w:val="24"/>
        </w:rPr>
        <w:t xml:space="preserve"> OCC proposes the following guidelines:</w:t>
      </w:r>
    </w:p>
    <w:p w:rsidR="00DC1FF0" w:rsidRPr="00DC1FF0" w:rsidRDefault="00DC1FF0" w:rsidP="00DC1FF0">
      <w:pPr>
        <w:numPr>
          <w:ilvl w:val="0"/>
          <w:numId w:val="20"/>
        </w:numPr>
        <w:spacing w:after="0" w:line="240" w:lineRule="auto"/>
        <w:ind w:left="1440" w:right="720" w:hanging="720"/>
        <w:contextualSpacing/>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 must file an annual report with the PUCO and serve a copy on OCC after the end of each calendar year. Based upon that report, the PUCO may, in its discretion or upon a motion setting forth reasonable grounds, order its Staff to conduct a formal audit of the regulatory asset account.</w:t>
      </w:r>
    </w:p>
    <w:p w:rsidR="00DC1FF0" w:rsidRPr="00DC1FF0" w:rsidRDefault="00DC1FF0" w:rsidP="00DC1FF0">
      <w:pPr>
        <w:numPr>
          <w:ilvl w:val="0"/>
          <w:numId w:val="20"/>
        </w:numPr>
        <w:spacing w:before="240" w:after="0" w:line="240" w:lineRule="auto"/>
        <w:ind w:left="1440" w:right="720" w:hanging="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Carrying charges shall not be assessed until the end of the calendar year when the amount of the deferral (positive or negative) is determined and no carrying costs shall be recovered during the recovery period.</w:t>
      </w:r>
    </w:p>
    <w:p w:rsidR="00DC1FF0" w:rsidRPr="00DC1FF0" w:rsidRDefault="00DC1FF0" w:rsidP="00DC1FF0">
      <w:pPr>
        <w:numPr>
          <w:ilvl w:val="0"/>
          <w:numId w:val="20"/>
        </w:numPr>
        <w:spacing w:before="240" w:after="0" w:line="240" w:lineRule="auto"/>
        <w:ind w:left="1440" w:right="720" w:hanging="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Prior to invoking Rider DSR, Duke must file a separate application with the PUCO to determine the prudence of Duke’s major storm expenses. Interested parties will be given the opportunity to intervene in the proceeding. Duke will bear the burden of proving that the major storm O&amp;M costs were prudently incurred and reasonable. Staff and interested parties shall be permitted to file comments within 60 days after the application is docketed. If any objections are not resolved by Duke, the PUCO shall require that an evidentiary hearing be scheduled, with the opportunity to conduct discovery and present testimony.</w:t>
      </w:r>
    </w:p>
    <w:p w:rsidR="00DC1FF0" w:rsidRPr="00DC1FF0" w:rsidRDefault="00DC1FF0" w:rsidP="00DC1FF0">
      <w:pPr>
        <w:spacing w:after="0" w:line="240" w:lineRule="auto"/>
        <w:rPr>
          <w:rFonts w:ascii="Times New Roman" w:eastAsia="Times New Roman" w:hAnsi="Times New Roman" w:cs="Times New Roman"/>
          <w:sz w:val="24"/>
          <w:szCs w:val="24"/>
        </w:rPr>
      </w:pP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its Initial Brief, Staff requests various changes to Duke’s DSR.</w:t>
      </w:r>
      <w:r w:rsidRPr="00DC1FF0">
        <w:rPr>
          <w:rStyle w:val="FootnoteReference"/>
          <w:rFonts w:ascii="Times New Roman" w:eastAsia="Times New Roman" w:hAnsi="Times New Roman" w:cs="Times New Roman"/>
          <w:sz w:val="24"/>
          <w:szCs w:val="24"/>
        </w:rPr>
        <w:footnoteReference w:id="192"/>
      </w:r>
      <w:r w:rsidRPr="00DC1FF0">
        <w:rPr>
          <w:rFonts w:ascii="Times New Roman" w:eastAsia="Times New Roman" w:hAnsi="Times New Roman" w:cs="Times New Roman"/>
          <w:sz w:val="24"/>
          <w:szCs w:val="24"/>
        </w:rPr>
        <w:t xml:space="preserve"> Staff’s recommendations do not affect OCC’s recommendation that the PUCO approve the above guidelines; however, OCC wishes to com</w:t>
      </w:r>
      <w:r w:rsidR="00AB1AF5">
        <w:rPr>
          <w:rFonts w:ascii="Times New Roman" w:eastAsia="Times New Roman" w:hAnsi="Times New Roman" w:cs="Times New Roman"/>
          <w:sz w:val="24"/>
          <w:szCs w:val="24"/>
        </w:rPr>
        <w:t>ments on Staff’s various proposed changes</w:t>
      </w:r>
      <w:r w:rsidRPr="00DC1FF0">
        <w:rPr>
          <w:rFonts w:ascii="Times New Roman" w:eastAsia="Times New Roman" w:hAnsi="Times New Roman" w:cs="Times New Roman"/>
          <w:sz w:val="24"/>
          <w:szCs w:val="24"/>
        </w:rPr>
        <w:t xml:space="preserve">. </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Staff requests that it be required to conduct an audit only after the end of each deferral year when the deferred amount of storm repair dollars exceeds $5 million.</w:t>
      </w:r>
      <w:r w:rsidRPr="00DC1FF0">
        <w:rPr>
          <w:rFonts w:ascii="Times New Roman" w:eastAsia="Times New Roman" w:hAnsi="Times New Roman" w:cs="Times New Roman"/>
          <w:sz w:val="24"/>
          <w:szCs w:val="24"/>
          <w:vertAlign w:val="superscript"/>
        </w:rPr>
        <w:footnoteReference w:id="193"/>
      </w:r>
      <w:r w:rsidRPr="00DC1FF0">
        <w:rPr>
          <w:rFonts w:ascii="Times New Roman" w:eastAsia="Times New Roman" w:hAnsi="Times New Roman" w:cs="Times New Roman"/>
          <w:sz w:val="24"/>
          <w:szCs w:val="24"/>
        </w:rPr>
        <w:t xml:space="preserve"> OCC opposes a strict standard as the trigger of an audit, and recommends that the PUCO have the discretion to conduct an audit or order an audit upon motion setting forth reasonable grounds.</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Staff also recommends that the recovery of the major storm costs subject to the DSR be recovered only through the DSR, and that costs not be deferred for collection  in a base rate proceeding.</w:t>
      </w:r>
      <w:r w:rsidRPr="00DC1FF0">
        <w:rPr>
          <w:rFonts w:ascii="Times New Roman" w:eastAsia="Times New Roman" w:hAnsi="Times New Roman" w:cs="Times New Roman"/>
          <w:sz w:val="24"/>
          <w:szCs w:val="24"/>
          <w:vertAlign w:val="superscript"/>
        </w:rPr>
        <w:footnoteReference w:id="194"/>
      </w:r>
      <w:r w:rsidRPr="00DC1FF0">
        <w:rPr>
          <w:rFonts w:ascii="Times New Roman" w:eastAsia="Times New Roman" w:hAnsi="Times New Roman" w:cs="Times New Roman"/>
          <w:sz w:val="24"/>
          <w:szCs w:val="24"/>
        </w:rPr>
        <w:t xml:space="preserve"> OCC does not object to Staff’s proposal.</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Consistent with the above guidelines, OCC agrees with Staff’s proposal that carrying charges not begin until the end of the year when the amount of the deferral is determined and also that there should be no carrying charges during any recovery period.</w:t>
      </w:r>
      <w:r w:rsidRPr="00DC1FF0">
        <w:rPr>
          <w:rFonts w:ascii="Times New Roman" w:eastAsia="Times New Roman" w:hAnsi="Times New Roman" w:cs="Times New Roman"/>
          <w:sz w:val="24"/>
          <w:szCs w:val="24"/>
          <w:vertAlign w:val="superscript"/>
        </w:rPr>
        <w:footnoteReference w:id="195"/>
      </w:r>
    </w:p>
    <w:p w:rsid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Finally, OCC does not object to proposed accounting recommendations to account for labor expenses associated with the rider,</w:t>
      </w:r>
      <w:r w:rsidRPr="00DC1FF0">
        <w:rPr>
          <w:rFonts w:ascii="Times New Roman" w:eastAsia="Times New Roman" w:hAnsi="Times New Roman" w:cs="Times New Roman"/>
          <w:sz w:val="24"/>
          <w:szCs w:val="24"/>
          <w:vertAlign w:val="superscript"/>
        </w:rPr>
        <w:footnoteReference w:id="196"/>
      </w:r>
      <w:r w:rsidRPr="00DC1FF0">
        <w:rPr>
          <w:rFonts w:ascii="Times New Roman" w:eastAsia="Times New Roman" w:hAnsi="Times New Roman" w:cs="Times New Roman"/>
          <w:sz w:val="24"/>
          <w:szCs w:val="24"/>
        </w:rPr>
        <w:t xml:space="preserve"> provided that such accounting procedures are subject to review in a proceeding in which Duke files its application to invoke Rider DSR.</w:t>
      </w:r>
    </w:p>
    <w:p w:rsidR="00035356" w:rsidRPr="00DC1FF0" w:rsidRDefault="00035356" w:rsidP="00035356">
      <w:pPr>
        <w:spacing w:after="0" w:line="240" w:lineRule="auto"/>
        <w:ind w:firstLine="720"/>
        <w:rPr>
          <w:rFonts w:ascii="Times New Roman" w:eastAsia="Times New Roman" w:hAnsi="Times New Roman" w:cs="Times New Roman"/>
          <w:sz w:val="24"/>
          <w:szCs w:val="24"/>
        </w:rPr>
      </w:pPr>
    </w:p>
    <w:p w:rsidR="0090530A" w:rsidRPr="00DC1FF0" w:rsidRDefault="00A40A7F" w:rsidP="00A40A7F">
      <w:pPr>
        <w:pStyle w:val="Heading1"/>
        <w:rPr>
          <w:rFonts w:ascii="Times New Roman" w:hAnsi="Times New Roman" w:cs="Times New Roman"/>
          <w:szCs w:val="24"/>
        </w:rPr>
      </w:pPr>
      <w:bookmarkStart w:id="25" w:name="_Toc407632218"/>
      <w:r w:rsidRPr="00DC1FF0">
        <w:rPr>
          <w:rFonts w:ascii="Times New Roman" w:hAnsi="Times New Roman" w:cs="Times New Roman"/>
          <w:szCs w:val="24"/>
        </w:rPr>
        <w:t>COST ALLOCATION AND RATE DESIGN</w:t>
      </w:r>
      <w:bookmarkEnd w:id="25"/>
    </w:p>
    <w:p w:rsidR="0090530A" w:rsidRPr="00DC1FF0" w:rsidRDefault="0090530A" w:rsidP="00D77C8B">
      <w:pPr>
        <w:pStyle w:val="Heading2"/>
      </w:pPr>
      <w:bookmarkStart w:id="26" w:name="_Toc407632219"/>
      <w:r w:rsidRPr="00DC1FF0">
        <w:t>A.</w:t>
      </w:r>
      <w:r w:rsidRPr="00DC1FF0">
        <w:tab/>
        <w:t xml:space="preserve">Duke’s </w:t>
      </w:r>
      <w:r w:rsidR="00D77C8B" w:rsidRPr="00DC1FF0">
        <w:t xml:space="preserve">Proposal To Allocate Capacity Costs To Customer Classes Even Though </w:t>
      </w:r>
      <w:r w:rsidRPr="00DC1FF0">
        <w:t xml:space="preserve">Duke </w:t>
      </w:r>
      <w:r w:rsidR="00D77C8B" w:rsidRPr="00DC1FF0">
        <w:t xml:space="preserve">Is Not Billed </w:t>
      </w:r>
      <w:r w:rsidRPr="00DC1FF0">
        <w:t xml:space="preserve">SSO </w:t>
      </w:r>
      <w:r w:rsidR="00D77C8B" w:rsidRPr="00DC1FF0">
        <w:t>Supplier Charges By Customer Class, Is Contrary To Cost Causation Principles And Would Unfairly Charge Residential Customers More For Electricity</w:t>
      </w:r>
      <w:r w:rsidRPr="00DC1FF0">
        <w:t>.</w:t>
      </w:r>
      <w:bookmarkEnd w:id="26"/>
    </w:p>
    <w:p w:rsidR="006A7D71"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As discussed in OCC’s Initial Brief, charges from SSO suppliers should be passed through to Duke’s customers on the same basis as they are charged, i.e. $/kWh.</w:t>
      </w:r>
      <w:r w:rsidRPr="00DC1FF0">
        <w:rPr>
          <w:rStyle w:val="FootnoteReference"/>
          <w:rFonts w:ascii="Times New Roman" w:hAnsi="Times New Roman" w:cs="Times New Roman"/>
          <w:sz w:val="24"/>
          <w:szCs w:val="24"/>
        </w:rPr>
        <w:footnoteReference w:id="197"/>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This is consistent with cost-causation principles as prominently advocated by Duke</w:t>
      </w:r>
      <w:r w:rsidRPr="00DC1FF0">
        <w:rPr>
          <w:rStyle w:val="FootnoteReference"/>
          <w:rFonts w:ascii="Times New Roman" w:hAnsi="Times New Roman" w:cs="Times New Roman"/>
          <w:sz w:val="24"/>
          <w:szCs w:val="24"/>
        </w:rPr>
        <w:footnoteReference w:id="198"/>
      </w:r>
      <w:r w:rsidRPr="00DC1FF0">
        <w:rPr>
          <w:rFonts w:ascii="Times New Roman" w:hAnsi="Times New Roman" w:cs="Times New Roman"/>
          <w:sz w:val="24"/>
          <w:szCs w:val="24"/>
        </w:rPr>
        <w:t xml:space="preserve"> and also recognizes the value to SSO suppliers provided by the more stable residential load.</w:t>
      </w:r>
      <w:r w:rsidRPr="00DC1FF0">
        <w:rPr>
          <w:rStyle w:val="FootnoteReference"/>
          <w:rFonts w:ascii="Times New Roman" w:hAnsi="Times New Roman" w:cs="Times New Roman"/>
          <w:sz w:val="24"/>
          <w:szCs w:val="24"/>
        </w:rPr>
        <w:footnoteReference w:id="199"/>
      </w:r>
      <w:r w:rsidR="00FD5C6C" w:rsidRPr="00DC1FF0">
        <w:rPr>
          <w:rFonts w:ascii="Times New Roman" w:hAnsi="Times New Roman" w:cs="Times New Roman"/>
          <w:sz w:val="24"/>
          <w:szCs w:val="24"/>
        </w:rPr>
        <w:t xml:space="preserve"> </w:t>
      </w:r>
    </w:p>
    <w:p w:rsidR="0090530A"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But Duke argues for continuation of its Retail Capacity (“RC”) Rider which attempts to determine what portion of SSO supplier charges are related to “capacity” and allocate them to customers based on a Coincident Peak (“CP”) methodology of allocation.</w:t>
      </w:r>
      <w:r w:rsidRPr="00DC1FF0">
        <w:rPr>
          <w:rStyle w:val="FootnoteReference"/>
          <w:rFonts w:ascii="Times New Roman" w:hAnsi="Times New Roman" w:cs="Times New Roman"/>
          <w:sz w:val="24"/>
          <w:szCs w:val="24"/>
        </w:rPr>
        <w:footnoteReference w:id="200"/>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Duke claims that this would reflect the “manner in which such costs are incurred” and is consistent with cost causation.</w:t>
      </w:r>
      <w:r w:rsidRPr="00DC1FF0">
        <w:rPr>
          <w:rStyle w:val="FootnoteReference"/>
          <w:rFonts w:ascii="Times New Roman" w:hAnsi="Times New Roman" w:cs="Times New Roman"/>
          <w:sz w:val="24"/>
          <w:szCs w:val="24"/>
        </w:rPr>
        <w:footnoteReference w:id="201"/>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Duke claims that certain changes it proposes in this methodology, such as using a 5CP rather than a 12CP method of allocation, are refinements to its allocation method.</w:t>
      </w:r>
      <w:r w:rsidRPr="00DC1FF0">
        <w:rPr>
          <w:rStyle w:val="FootnoteReference"/>
          <w:rFonts w:ascii="Times New Roman" w:hAnsi="Times New Roman" w:cs="Times New Roman"/>
          <w:sz w:val="24"/>
          <w:szCs w:val="24"/>
        </w:rPr>
        <w:footnoteReference w:id="202"/>
      </w:r>
      <w:r w:rsidRPr="00DC1FF0">
        <w:rPr>
          <w:rFonts w:ascii="Times New Roman" w:hAnsi="Times New Roman" w:cs="Times New Roman"/>
          <w:sz w:val="24"/>
          <w:szCs w:val="24"/>
        </w:rPr>
        <w:t xml:space="preserve">  </w:t>
      </w:r>
    </w:p>
    <w:p w:rsidR="0090530A"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But it is contrary to cost allocation principles to charge a cost to customers in a manner other than the way it is charged to the electric utility</w:t>
      </w:r>
      <w:r w:rsidR="002C4F0A" w:rsidRPr="00DC1FF0">
        <w:rPr>
          <w:rFonts w:ascii="Times New Roman" w:hAnsi="Times New Roman" w:cs="Times New Roman"/>
          <w:sz w:val="24"/>
          <w:szCs w:val="24"/>
        </w:rPr>
        <w:t>.</w:t>
      </w:r>
      <w:r w:rsidR="006A7D71" w:rsidRPr="00DC1FF0">
        <w:rPr>
          <w:rFonts w:ascii="Times New Roman" w:hAnsi="Times New Roman" w:cs="Times New Roman"/>
          <w:sz w:val="24"/>
          <w:szCs w:val="24"/>
        </w:rPr>
        <w:t xml:space="preserve"> A</w:t>
      </w:r>
      <w:r w:rsidR="002C4F0A" w:rsidRPr="00DC1FF0">
        <w:rPr>
          <w:rFonts w:ascii="Times New Roman" w:hAnsi="Times New Roman" w:cs="Times New Roman"/>
          <w:sz w:val="24"/>
          <w:szCs w:val="24"/>
        </w:rPr>
        <w:t>d</w:t>
      </w:r>
      <w:r w:rsidR="006A7D71" w:rsidRPr="00DC1FF0">
        <w:rPr>
          <w:rFonts w:ascii="Times New Roman" w:hAnsi="Times New Roman" w:cs="Times New Roman"/>
          <w:sz w:val="24"/>
          <w:szCs w:val="24"/>
        </w:rPr>
        <w:t xml:space="preserve">ditionally, </w:t>
      </w:r>
      <w:r w:rsidRPr="00DC1FF0">
        <w:rPr>
          <w:rFonts w:ascii="Times New Roman" w:hAnsi="Times New Roman" w:cs="Times New Roman"/>
          <w:sz w:val="24"/>
          <w:szCs w:val="24"/>
        </w:rPr>
        <w:t>Duke provided no example of another charge that is re-allocated in such a manner.</w:t>
      </w:r>
      <w:r w:rsidRPr="00DC1FF0">
        <w:rPr>
          <w:rStyle w:val="FootnoteReference"/>
          <w:rFonts w:ascii="Times New Roman" w:hAnsi="Times New Roman" w:cs="Times New Roman"/>
          <w:sz w:val="24"/>
          <w:szCs w:val="24"/>
        </w:rPr>
        <w:footnoteReference w:id="203"/>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Such an artificial re-allocation approach is unprecedented and</w:t>
      </w:r>
      <w:r w:rsidR="00FD5C6C" w:rsidRPr="00DC1FF0">
        <w:rPr>
          <w:rFonts w:ascii="Times New Roman" w:hAnsi="Times New Roman" w:cs="Times New Roman"/>
          <w:sz w:val="24"/>
          <w:szCs w:val="24"/>
        </w:rPr>
        <w:t xml:space="preserve"> contrary to regulatory policy.</w:t>
      </w:r>
      <w:r w:rsidRPr="00DC1FF0">
        <w:rPr>
          <w:rFonts w:ascii="Times New Roman" w:hAnsi="Times New Roman" w:cs="Times New Roman"/>
          <w:sz w:val="24"/>
          <w:szCs w:val="24"/>
        </w:rPr>
        <w:t xml:space="preserve"> And it is more complex, not more simple, to charge the</w:t>
      </w:r>
      <w:r w:rsidR="00FD5C6C" w:rsidRPr="00DC1FF0">
        <w:rPr>
          <w:rFonts w:ascii="Times New Roman" w:hAnsi="Times New Roman" w:cs="Times New Roman"/>
          <w:sz w:val="24"/>
          <w:szCs w:val="24"/>
        </w:rPr>
        <w:t xml:space="preserve">se costs as Duke has proposed. </w:t>
      </w:r>
      <w:r w:rsidRPr="00DC1FF0">
        <w:rPr>
          <w:rFonts w:ascii="Times New Roman" w:hAnsi="Times New Roman" w:cs="Times New Roman"/>
          <w:sz w:val="24"/>
          <w:szCs w:val="24"/>
        </w:rPr>
        <w:t>Moreover, Duke no longer self-suppl</w:t>
      </w:r>
      <w:r w:rsidR="006A7D71" w:rsidRPr="00DC1FF0">
        <w:rPr>
          <w:rFonts w:ascii="Times New Roman" w:hAnsi="Times New Roman" w:cs="Times New Roman"/>
          <w:sz w:val="24"/>
          <w:szCs w:val="24"/>
        </w:rPr>
        <w:t xml:space="preserve">ies </w:t>
      </w:r>
      <w:r w:rsidRPr="00DC1FF0">
        <w:rPr>
          <w:rFonts w:ascii="Times New Roman" w:hAnsi="Times New Roman" w:cs="Times New Roman"/>
          <w:sz w:val="24"/>
          <w:szCs w:val="24"/>
        </w:rPr>
        <w:t>capacity requirements</w:t>
      </w:r>
      <w:r w:rsidR="00947997">
        <w:rPr>
          <w:rFonts w:ascii="Times New Roman" w:hAnsi="Times New Roman" w:cs="Times New Roman"/>
          <w:sz w:val="24"/>
          <w:szCs w:val="24"/>
        </w:rPr>
        <w:t xml:space="preserve">. </w:t>
      </w:r>
      <w:r w:rsidR="006A7D71" w:rsidRPr="00DC1FF0">
        <w:rPr>
          <w:rFonts w:ascii="Times New Roman" w:hAnsi="Times New Roman" w:cs="Times New Roman"/>
          <w:sz w:val="24"/>
          <w:szCs w:val="24"/>
        </w:rPr>
        <w:t xml:space="preserve">It is no </w:t>
      </w:r>
      <w:r w:rsidRPr="00DC1FF0">
        <w:rPr>
          <w:rFonts w:ascii="Times New Roman" w:hAnsi="Times New Roman" w:cs="Times New Roman"/>
          <w:sz w:val="24"/>
          <w:szCs w:val="24"/>
        </w:rPr>
        <w:t>longer a Fixed Resource Requirement (“FRR”) entity</w:t>
      </w:r>
      <w:r w:rsidR="006A7D71" w:rsidRPr="00DC1FF0">
        <w:rPr>
          <w:rFonts w:ascii="Times New Roman" w:hAnsi="Times New Roman" w:cs="Times New Roman"/>
          <w:sz w:val="24"/>
          <w:szCs w:val="24"/>
        </w:rPr>
        <w:t xml:space="preserve">. A </w:t>
      </w:r>
      <w:r w:rsidRPr="00DC1FF0">
        <w:rPr>
          <w:rFonts w:ascii="Times New Roman" w:hAnsi="Times New Roman" w:cs="Times New Roman"/>
          <w:sz w:val="24"/>
          <w:szCs w:val="24"/>
        </w:rPr>
        <w:t>capacity charge</w:t>
      </w:r>
      <w:r w:rsidR="006A7D71" w:rsidRPr="00DC1FF0">
        <w:rPr>
          <w:rFonts w:ascii="Times New Roman" w:hAnsi="Times New Roman" w:cs="Times New Roman"/>
          <w:sz w:val="24"/>
          <w:szCs w:val="24"/>
        </w:rPr>
        <w:t xml:space="preserve"> thus</w:t>
      </w:r>
      <w:r w:rsidRPr="00DC1FF0">
        <w:rPr>
          <w:rFonts w:ascii="Times New Roman" w:hAnsi="Times New Roman" w:cs="Times New Roman"/>
          <w:sz w:val="24"/>
          <w:szCs w:val="24"/>
        </w:rPr>
        <w:t xml:space="preserve"> is unrelated to any costs Duke is incurring from its own generation and inserts an improper estimate of capacity costs where none is needed.</w:t>
      </w:r>
      <w:r w:rsidRPr="00DC1FF0">
        <w:rPr>
          <w:rStyle w:val="FootnoteReference"/>
          <w:rFonts w:ascii="Times New Roman" w:hAnsi="Times New Roman" w:cs="Times New Roman"/>
          <w:sz w:val="24"/>
          <w:szCs w:val="24"/>
        </w:rPr>
        <w:footnoteReference w:id="204"/>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All SSO Supplier charges should be passed through to</w:t>
      </w:r>
      <w:r w:rsidR="00FD5C6C" w:rsidRPr="00DC1FF0">
        <w:rPr>
          <w:rFonts w:ascii="Times New Roman" w:hAnsi="Times New Roman" w:cs="Times New Roman"/>
          <w:sz w:val="24"/>
          <w:szCs w:val="24"/>
        </w:rPr>
        <w:t xml:space="preserve"> customers as they are charged --</w:t>
      </w:r>
      <w:r w:rsidRPr="00DC1FF0">
        <w:rPr>
          <w:rFonts w:ascii="Times New Roman" w:hAnsi="Times New Roman" w:cs="Times New Roman"/>
          <w:sz w:val="24"/>
          <w:szCs w:val="24"/>
        </w:rPr>
        <w:t xml:space="preserve"> on a $/kWh basis. </w:t>
      </w:r>
    </w:p>
    <w:p w:rsidR="0090530A" w:rsidRPr="00DC1FF0" w:rsidRDefault="00BD24C7" w:rsidP="00D77C8B">
      <w:pPr>
        <w:pStyle w:val="Heading2"/>
      </w:pPr>
      <w:bookmarkStart w:id="27" w:name="_Toc407632220"/>
      <w:r>
        <w:t>B.</w:t>
      </w:r>
      <w:r>
        <w:tab/>
        <w:t>The</w:t>
      </w:r>
      <w:r w:rsidR="0090530A" w:rsidRPr="00DC1FF0">
        <w:t xml:space="preserve"> DCI </w:t>
      </w:r>
      <w:r>
        <w:t xml:space="preserve">Rider </w:t>
      </w:r>
      <w:r w:rsidR="00D77C8B" w:rsidRPr="00DC1FF0">
        <w:t xml:space="preserve">Should Be Allocated Based On Net Plant In Service Because This Is Consistent With Cost Causation Principles As Opposed To A “Simple,” But Wrong, Allocation Endorsed By </w:t>
      </w:r>
      <w:r w:rsidR="0090530A" w:rsidRPr="00DC1FF0">
        <w:t xml:space="preserve">Duke </w:t>
      </w:r>
      <w:r w:rsidR="00D77C8B" w:rsidRPr="00DC1FF0">
        <w:t>And Other Parties</w:t>
      </w:r>
      <w:r w:rsidR="0090530A" w:rsidRPr="00DC1FF0">
        <w:t>.</w:t>
      </w:r>
      <w:bookmarkEnd w:id="27"/>
    </w:p>
    <w:p w:rsidR="0090530A" w:rsidRPr="00DC1FF0" w:rsidRDefault="00FD5C6C"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Two parties --</w:t>
      </w:r>
      <w:r w:rsidR="0090530A" w:rsidRPr="00DC1FF0">
        <w:rPr>
          <w:rFonts w:ascii="Times New Roman" w:hAnsi="Times New Roman" w:cs="Times New Roman"/>
          <w:sz w:val="24"/>
          <w:szCs w:val="24"/>
        </w:rPr>
        <w:t xml:space="preserve"> Greater Cincinnati Heal</w:t>
      </w:r>
      <w:r w:rsidRPr="00DC1FF0">
        <w:rPr>
          <w:rFonts w:ascii="Times New Roman" w:hAnsi="Times New Roman" w:cs="Times New Roman"/>
          <w:sz w:val="24"/>
          <w:szCs w:val="24"/>
        </w:rPr>
        <w:t>th Council (“GCHC”) and Kroger --</w:t>
      </w:r>
      <w:r w:rsidR="00BD24C7">
        <w:rPr>
          <w:rFonts w:ascii="Times New Roman" w:hAnsi="Times New Roman" w:cs="Times New Roman"/>
          <w:sz w:val="24"/>
          <w:szCs w:val="24"/>
        </w:rPr>
        <w:t xml:space="preserve"> argue that, to the extent the </w:t>
      </w:r>
      <w:r w:rsidR="0090530A" w:rsidRPr="00DC1FF0">
        <w:rPr>
          <w:rFonts w:ascii="Times New Roman" w:hAnsi="Times New Roman" w:cs="Times New Roman"/>
          <w:sz w:val="24"/>
          <w:szCs w:val="24"/>
        </w:rPr>
        <w:t xml:space="preserve">DCI </w:t>
      </w:r>
      <w:r w:rsidR="00BD24C7">
        <w:rPr>
          <w:rFonts w:ascii="Times New Roman" w:hAnsi="Times New Roman" w:cs="Times New Roman"/>
          <w:sz w:val="24"/>
          <w:szCs w:val="24"/>
        </w:rPr>
        <w:t xml:space="preserve">Rider </w:t>
      </w:r>
      <w:r w:rsidR="0090530A" w:rsidRPr="00DC1FF0">
        <w:rPr>
          <w:rFonts w:ascii="Times New Roman" w:hAnsi="Times New Roman" w:cs="Times New Roman"/>
          <w:sz w:val="24"/>
          <w:szCs w:val="24"/>
        </w:rPr>
        <w:t>is approved, the associated costs should be allocated other than based on an allocation of net plant</w:t>
      </w:r>
      <w:r w:rsidRPr="00DC1FF0">
        <w:rPr>
          <w:rFonts w:ascii="Times New Roman" w:hAnsi="Times New Roman" w:cs="Times New Roman"/>
          <w:sz w:val="24"/>
          <w:szCs w:val="24"/>
        </w:rPr>
        <w:t xml:space="preserve"> in service as proposed by OCC.</w:t>
      </w:r>
      <w:r w:rsidR="00A30547" w:rsidRPr="00DC1FF0">
        <w:rPr>
          <w:rStyle w:val="FootnoteReference"/>
          <w:rFonts w:ascii="Times New Roman" w:hAnsi="Times New Roman" w:cs="Times New Roman"/>
          <w:sz w:val="24"/>
          <w:szCs w:val="24"/>
        </w:rPr>
        <w:footnoteReference w:id="205"/>
      </w:r>
      <w:r w:rsidR="0090530A" w:rsidRPr="00DC1FF0">
        <w:rPr>
          <w:rFonts w:ascii="Times New Roman" w:hAnsi="Times New Roman" w:cs="Times New Roman"/>
          <w:sz w:val="24"/>
          <w:szCs w:val="24"/>
        </w:rPr>
        <w:t xml:space="preserve"> These parties also oppose Duke’s proposed allocation on the basis of what Duke termed “to</w:t>
      </w:r>
      <w:r w:rsidRPr="00DC1FF0">
        <w:rPr>
          <w:rFonts w:ascii="Times New Roman" w:hAnsi="Times New Roman" w:cs="Times New Roman"/>
          <w:sz w:val="24"/>
          <w:szCs w:val="24"/>
        </w:rPr>
        <w:t>tal base distribution revenues,”</w:t>
      </w:r>
      <w:r w:rsidR="00A30547" w:rsidRPr="00DC1FF0">
        <w:rPr>
          <w:rStyle w:val="FootnoteReference"/>
          <w:rFonts w:ascii="Times New Roman" w:hAnsi="Times New Roman" w:cs="Times New Roman"/>
          <w:sz w:val="24"/>
          <w:szCs w:val="24"/>
        </w:rPr>
        <w:footnoteReference w:id="206"/>
      </w:r>
      <w:r w:rsidR="0090530A" w:rsidRPr="00DC1FF0">
        <w:rPr>
          <w:rFonts w:ascii="Times New Roman" w:hAnsi="Times New Roman" w:cs="Times New Roman"/>
          <w:sz w:val="24"/>
          <w:szCs w:val="24"/>
        </w:rPr>
        <w:t xml:space="preserve"> but in fact is far more complicated as Kroger witness Higgins testified.</w:t>
      </w:r>
      <w:r w:rsidR="0090530A" w:rsidRPr="00DC1FF0">
        <w:rPr>
          <w:rStyle w:val="FootnoteReference"/>
          <w:rFonts w:ascii="Times New Roman" w:hAnsi="Times New Roman" w:cs="Times New Roman"/>
          <w:sz w:val="24"/>
          <w:szCs w:val="24"/>
        </w:rPr>
        <w:footnoteReference w:id="207"/>
      </w:r>
      <w:r w:rsidRPr="00DC1FF0">
        <w:rPr>
          <w:rFonts w:ascii="Times New Roman" w:hAnsi="Times New Roman" w:cs="Times New Roman"/>
          <w:sz w:val="24"/>
          <w:szCs w:val="24"/>
        </w:rPr>
        <w:t xml:space="preserve"> </w:t>
      </w:r>
      <w:r w:rsidR="0090530A" w:rsidRPr="00DC1FF0">
        <w:rPr>
          <w:rFonts w:ascii="Times New Roman" w:hAnsi="Times New Roman" w:cs="Times New Roman"/>
          <w:sz w:val="24"/>
          <w:szCs w:val="24"/>
        </w:rPr>
        <w:t>GCHC and Kroger instead support “a simple equal percentage increase of base distribution rates,” suggesting that this would be “revenue neutral to Duke, simple to administer and fair to all customers.”</w:t>
      </w:r>
      <w:r w:rsidR="0090530A" w:rsidRPr="00DC1FF0">
        <w:rPr>
          <w:rStyle w:val="FootnoteReference"/>
          <w:rFonts w:ascii="Times New Roman" w:hAnsi="Times New Roman" w:cs="Times New Roman"/>
          <w:sz w:val="24"/>
          <w:szCs w:val="24"/>
        </w:rPr>
        <w:footnoteReference w:id="208"/>
      </w:r>
      <w:r w:rsidRPr="00DC1FF0">
        <w:rPr>
          <w:rFonts w:ascii="Times New Roman" w:hAnsi="Times New Roman" w:cs="Times New Roman"/>
          <w:sz w:val="24"/>
          <w:szCs w:val="24"/>
        </w:rPr>
        <w:t xml:space="preserve"> </w:t>
      </w:r>
      <w:r w:rsidR="0090530A" w:rsidRPr="00DC1FF0">
        <w:rPr>
          <w:rFonts w:ascii="Times New Roman" w:hAnsi="Times New Roman" w:cs="Times New Roman"/>
          <w:sz w:val="24"/>
          <w:szCs w:val="24"/>
        </w:rPr>
        <w:t>GCHC disputes OCC’s proposal because it disputes “the validity” of Duke’s cost study that it is based upon.</w:t>
      </w:r>
      <w:r w:rsidR="0090530A" w:rsidRPr="00DC1FF0">
        <w:rPr>
          <w:rStyle w:val="FootnoteReference"/>
          <w:rFonts w:ascii="Times New Roman" w:hAnsi="Times New Roman" w:cs="Times New Roman"/>
          <w:sz w:val="24"/>
          <w:szCs w:val="24"/>
        </w:rPr>
        <w:footnoteReference w:id="209"/>
      </w:r>
      <w:r w:rsidRPr="00DC1FF0">
        <w:rPr>
          <w:rFonts w:ascii="Times New Roman" w:hAnsi="Times New Roman" w:cs="Times New Roman"/>
          <w:sz w:val="24"/>
          <w:szCs w:val="24"/>
        </w:rPr>
        <w:t xml:space="preserve"> </w:t>
      </w:r>
      <w:r w:rsidR="0090530A" w:rsidRPr="00DC1FF0">
        <w:rPr>
          <w:rFonts w:ascii="Times New Roman" w:hAnsi="Times New Roman" w:cs="Times New Roman"/>
          <w:sz w:val="24"/>
          <w:szCs w:val="24"/>
        </w:rPr>
        <w:t>GCHC inappropriately points to the fact that the stipulation in the last rate case varied from the cost study.</w:t>
      </w:r>
      <w:r w:rsidR="0090530A" w:rsidRPr="00DC1FF0">
        <w:rPr>
          <w:rStyle w:val="FootnoteReference"/>
          <w:rFonts w:ascii="Times New Roman" w:hAnsi="Times New Roman" w:cs="Times New Roman"/>
          <w:sz w:val="24"/>
          <w:szCs w:val="24"/>
        </w:rPr>
        <w:footnoteReference w:id="210"/>
      </w:r>
    </w:p>
    <w:p w:rsidR="0090530A"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But neither the GCHC/Kroger propo</w:t>
      </w:r>
      <w:r w:rsidR="00FD5C6C" w:rsidRPr="00DC1FF0">
        <w:rPr>
          <w:rFonts w:ascii="Times New Roman" w:hAnsi="Times New Roman" w:cs="Times New Roman"/>
          <w:sz w:val="24"/>
          <w:szCs w:val="24"/>
        </w:rPr>
        <w:t>sed “equal percentage increase,” or the Utilit</w:t>
      </w:r>
      <w:r w:rsidRPr="00DC1FF0">
        <w:rPr>
          <w:rFonts w:ascii="Times New Roman" w:hAnsi="Times New Roman" w:cs="Times New Roman"/>
          <w:sz w:val="24"/>
          <w:szCs w:val="24"/>
        </w:rPr>
        <w:t>y’s base distribution revenue methodology, is consistent w</w:t>
      </w:r>
      <w:r w:rsidR="00FD5C6C" w:rsidRPr="00DC1FF0">
        <w:rPr>
          <w:rFonts w:ascii="Times New Roman" w:hAnsi="Times New Roman" w:cs="Times New Roman"/>
          <w:sz w:val="24"/>
          <w:szCs w:val="24"/>
        </w:rPr>
        <w:t xml:space="preserve">ith cost causation principles. </w:t>
      </w:r>
      <w:r w:rsidRPr="00DC1FF0">
        <w:rPr>
          <w:rFonts w:ascii="Times New Roman" w:hAnsi="Times New Roman" w:cs="Times New Roman"/>
          <w:sz w:val="24"/>
          <w:szCs w:val="24"/>
        </w:rPr>
        <w:t>These methods should be rejected in favor of a meth</w:t>
      </w:r>
      <w:r w:rsidR="00FD5C6C" w:rsidRPr="00DC1FF0">
        <w:rPr>
          <w:rFonts w:ascii="Times New Roman" w:hAnsi="Times New Roman" w:cs="Times New Roman"/>
          <w:sz w:val="24"/>
          <w:szCs w:val="24"/>
        </w:rPr>
        <w:t>od that follows cost causation --</w:t>
      </w:r>
      <w:r w:rsidRPr="00DC1FF0">
        <w:rPr>
          <w:rFonts w:ascii="Times New Roman" w:hAnsi="Times New Roman" w:cs="Times New Roman"/>
          <w:sz w:val="24"/>
          <w:szCs w:val="24"/>
        </w:rPr>
        <w:t xml:space="preserve"> an allocation of distribution capital improvements based on distribution net plant in service.</w:t>
      </w:r>
      <w:r w:rsidRPr="00DC1FF0">
        <w:rPr>
          <w:rStyle w:val="FootnoteReference"/>
          <w:rFonts w:ascii="Times New Roman" w:hAnsi="Times New Roman" w:cs="Times New Roman"/>
          <w:sz w:val="24"/>
          <w:szCs w:val="24"/>
        </w:rPr>
        <w:footnoteReference w:id="211"/>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In addition to the fact that cost causation principles should form the basis for decisions on cost allocation, OCC would emphasize that </w:t>
      </w:r>
      <w:r w:rsidR="00225244" w:rsidRPr="00DC1FF0">
        <w:rPr>
          <w:rFonts w:ascii="Times New Roman" w:hAnsi="Times New Roman" w:cs="Times New Roman"/>
          <w:sz w:val="24"/>
          <w:szCs w:val="24"/>
        </w:rPr>
        <w:t xml:space="preserve">GCHC’s </w:t>
      </w:r>
      <w:r w:rsidRPr="00DC1FF0">
        <w:rPr>
          <w:rFonts w:ascii="Times New Roman" w:hAnsi="Times New Roman" w:cs="Times New Roman"/>
          <w:sz w:val="24"/>
          <w:szCs w:val="24"/>
        </w:rPr>
        <w:t xml:space="preserve">reliance on </w:t>
      </w:r>
      <w:r w:rsidR="00225244" w:rsidRPr="00DC1FF0">
        <w:rPr>
          <w:rFonts w:ascii="Times New Roman" w:hAnsi="Times New Roman" w:cs="Times New Roman"/>
          <w:sz w:val="24"/>
          <w:szCs w:val="24"/>
        </w:rPr>
        <w:t xml:space="preserve">the allocation of DCI costs in </w:t>
      </w:r>
      <w:r w:rsidRPr="00DC1FF0">
        <w:rPr>
          <w:rFonts w:ascii="Times New Roman" w:hAnsi="Times New Roman" w:cs="Times New Roman"/>
          <w:sz w:val="24"/>
          <w:szCs w:val="24"/>
        </w:rPr>
        <w:t>the Stipulation in Duke’s last base rate proceeding is inappropriate, as made clear in such Stipulation.</w:t>
      </w:r>
      <w:r w:rsidRPr="00DC1FF0">
        <w:rPr>
          <w:rStyle w:val="FootnoteReference"/>
          <w:rFonts w:ascii="Times New Roman" w:hAnsi="Times New Roman" w:cs="Times New Roman"/>
          <w:sz w:val="24"/>
          <w:szCs w:val="24"/>
        </w:rPr>
        <w:footnoteReference w:id="212"/>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And while GCHC appears to have concerns about the “validity” of Duke’s cost of service study, it should have raised those concerns on the record of this proceeding so that they could have been addressed by other parties rather than </w:t>
      </w:r>
      <w:r w:rsidR="006A7D71" w:rsidRPr="00DC1FF0">
        <w:rPr>
          <w:rFonts w:ascii="Times New Roman" w:hAnsi="Times New Roman" w:cs="Times New Roman"/>
          <w:sz w:val="24"/>
          <w:szCs w:val="24"/>
        </w:rPr>
        <w:t>raising the issue</w:t>
      </w:r>
      <w:r w:rsidR="00FD5C6C" w:rsidRPr="00DC1FF0">
        <w:rPr>
          <w:rFonts w:ascii="Times New Roman" w:hAnsi="Times New Roman" w:cs="Times New Roman"/>
          <w:sz w:val="24"/>
          <w:szCs w:val="24"/>
        </w:rPr>
        <w:t xml:space="preserve"> in its Initial Brief. </w:t>
      </w:r>
      <w:r w:rsidRPr="00DC1FF0">
        <w:rPr>
          <w:rFonts w:ascii="Times New Roman" w:hAnsi="Times New Roman" w:cs="Times New Roman"/>
          <w:sz w:val="24"/>
          <w:szCs w:val="24"/>
        </w:rPr>
        <w:t>The PUCO should reject such concerns in the absence of persuasive testimony in this proceeding.</w:t>
      </w:r>
    </w:p>
    <w:p w:rsidR="0090530A"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OCC witness Yankel’s net plant in service allocator is the only one that corresponds with the causation of costs being sought to be allocated and should be adopted by the PUCO.</w:t>
      </w:r>
    </w:p>
    <w:p w:rsidR="0090530A" w:rsidRPr="00DC1FF0" w:rsidRDefault="0090530A" w:rsidP="00D77C8B">
      <w:pPr>
        <w:pStyle w:val="Heading2"/>
      </w:pPr>
      <w:bookmarkStart w:id="28" w:name="_Toc407632221"/>
      <w:r w:rsidRPr="00DC1FF0">
        <w:t>C.</w:t>
      </w:r>
      <w:r w:rsidRPr="00DC1FF0">
        <w:tab/>
        <w:t xml:space="preserve">If </w:t>
      </w:r>
      <w:r w:rsidR="00D77C8B" w:rsidRPr="00DC1FF0">
        <w:t xml:space="preserve">Approved In Any Respect, </w:t>
      </w:r>
      <w:r w:rsidRPr="00DC1FF0">
        <w:t>Rider PSR</w:t>
      </w:r>
      <w:r w:rsidR="002F4634" w:rsidRPr="00DC1FF0">
        <w:t xml:space="preserve"> </w:t>
      </w:r>
      <w:r w:rsidR="00D77C8B" w:rsidRPr="00DC1FF0">
        <w:t xml:space="preserve">Should Be Allocated On A Non-Bypassable Basis As </w:t>
      </w:r>
      <w:r w:rsidRPr="00DC1FF0">
        <w:t xml:space="preserve">Duke </w:t>
      </w:r>
      <w:r w:rsidR="00D77C8B" w:rsidRPr="00DC1FF0">
        <w:t>Proposed</w:t>
      </w:r>
      <w:r w:rsidRPr="00DC1FF0">
        <w:t>.</w:t>
      </w:r>
      <w:bookmarkEnd w:id="28"/>
    </w:p>
    <w:p w:rsidR="0090530A"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Some parties contended that, if approved in any respect, Duke’s proposed PSR should be bypassable rather than non-bypassable.</w:t>
      </w:r>
      <w:r w:rsidRPr="00DC1FF0">
        <w:rPr>
          <w:rStyle w:val="FootnoteReference"/>
          <w:rFonts w:ascii="Times New Roman" w:hAnsi="Times New Roman" w:cs="Times New Roman"/>
          <w:sz w:val="24"/>
          <w:szCs w:val="24"/>
        </w:rPr>
        <w:footnoteReference w:id="213"/>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This issue was addressed in OCC’s </w:t>
      </w:r>
      <w:r w:rsidR="00FD5C6C" w:rsidRPr="00DC1FF0">
        <w:rPr>
          <w:rFonts w:ascii="Times New Roman" w:hAnsi="Times New Roman" w:cs="Times New Roman"/>
          <w:sz w:val="24"/>
          <w:szCs w:val="24"/>
        </w:rPr>
        <w:t xml:space="preserve">Initial </w:t>
      </w:r>
      <w:r w:rsidRPr="00DC1FF0">
        <w:rPr>
          <w:rFonts w:ascii="Times New Roman" w:hAnsi="Times New Roman" w:cs="Times New Roman"/>
          <w:sz w:val="24"/>
          <w:szCs w:val="24"/>
        </w:rPr>
        <w:t>Brief.</w:t>
      </w:r>
      <w:r w:rsidRPr="00DC1FF0">
        <w:rPr>
          <w:rStyle w:val="FootnoteReference"/>
          <w:rFonts w:ascii="Times New Roman" w:hAnsi="Times New Roman" w:cs="Times New Roman"/>
          <w:sz w:val="24"/>
          <w:szCs w:val="24"/>
        </w:rPr>
        <w:footnoteReference w:id="214"/>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As discussed there, Duke’s proposed allocation of this charge on a $/kWh basis to all customers would be the only reasonable basis to allocate this “profit [or loss] sharing mechanism.”</w:t>
      </w:r>
      <w:r w:rsidRPr="00DC1FF0">
        <w:rPr>
          <w:rStyle w:val="FootnoteReference"/>
          <w:rFonts w:ascii="Times New Roman" w:hAnsi="Times New Roman" w:cs="Times New Roman"/>
          <w:sz w:val="24"/>
          <w:szCs w:val="24"/>
        </w:rPr>
        <w:footnoteReference w:id="215"/>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Since no capacity or energy is actually utilized to serve any customer, allocating the charge to just SSO customers or just shopping customers would improperly suggest that the charge is associated with serving a parti</w:t>
      </w:r>
      <w:r w:rsidR="00FD5C6C" w:rsidRPr="00DC1FF0">
        <w:rPr>
          <w:rFonts w:ascii="Times New Roman" w:hAnsi="Times New Roman" w:cs="Times New Roman"/>
          <w:sz w:val="24"/>
          <w:szCs w:val="24"/>
        </w:rPr>
        <w:t xml:space="preserve">cular market (SSO or non-SSO). </w:t>
      </w:r>
      <w:r w:rsidRPr="00DC1FF0">
        <w:rPr>
          <w:rFonts w:ascii="Times New Roman" w:hAnsi="Times New Roman" w:cs="Times New Roman"/>
          <w:sz w:val="24"/>
          <w:szCs w:val="24"/>
        </w:rPr>
        <w:t>It is not.</w:t>
      </w:r>
    </w:p>
    <w:p w:rsidR="0090530A"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IGS argues that “a bypassable PSR would at least not require all distribution customers to subsidize a competitive service and it would not send as negative of a signal to other generators in the market.”</w:t>
      </w:r>
      <w:r w:rsidRPr="00DC1FF0">
        <w:rPr>
          <w:rStyle w:val="FootnoteReference"/>
          <w:rFonts w:ascii="Times New Roman" w:hAnsi="Times New Roman" w:cs="Times New Roman"/>
          <w:sz w:val="24"/>
          <w:szCs w:val="24"/>
        </w:rPr>
        <w:footnoteReference w:id="216"/>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IGS also argues that a bypassable allocation would “preserve customers’ right to choose.”</w:t>
      </w:r>
      <w:r w:rsidRPr="00DC1FF0">
        <w:rPr>
          <w:rStyle w:val="FootnoteReference"/>
          <w:rFonts w:ascii="Times New Roman" w:hAnsi="Times New Roman" w:cs="Times New Roman"/>
          <w:sz w:val="24"/>
          <w:szCs w:val="24"/>
        </w:rPr>
        <w:footnoteReference w:id="217"/>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But Duke’s proposed PSR is not abou</w:t>
      </w:r>
      <w:r w:rsidR="00FD5C6C" w:rsidRPr="00DC1FF0">
        <w:rPr>
          <w:rFonts w:ascii="Times New Roman" w:hAnsi="Times New Roman" w:cs="Times New Roman"/>
          <w:sz w:val="24"/>
          <w:szCs w:val="24"/>
        </w:rPr>
        <w:t xml:space="preserve">t “choosing” or “competition.” </w:t>
      </w:r>
      <w:r w:rsidRPr="00DC1FF0">
        <w:rPr>
          <w:rFonts w:ascii="Times New Roman" w:hAnsi="Times New Roman" w:cs="Times New Roman"/>
          <w:sz w:val="24"/>
          <w:szCs w:val="24"/>
        </w:rPr>
        <w:t xml:space="preserve">It is a subsidy and it is a subsidy that, if approved, will not provide any actual generation service to </w:t>
      </w:r>
      <w:r w:rsidR="00FD5C6C" w:rsidRPr="00DC1FF0">
        <w:rPr>
          <w:rFonts w:ascii="Times New Roman" w:hAnsi="Times New Roman" w:cs="Times New Roman"/>
          <w:sz w:val="24"/>
          <w:szCs w:val="24"/>
        </w:rPr>
        <w:t>any customer (shopping or not).</w:t>
      </w:r>
      <w:r w:rsidRPr="00DC1FF0">
        <w:rPr>
          <w:rFonts w:ascii="Times New Roman" w:hAnsi="Times New Roman" w:cs="Times New Roman"/>
          <w:sz w:val="24"/>
          <w:szCs w:val="24"/>
        </w:rPr>
        <w:t xml:space="preserve"> Unless all customers are given the right to choose whether to take the PSR, all customers should have to pay for the PSR if the PUCO finds that they should have to pay any money toward it at all.</w:t>
      </w:r>
    </w:p>
    <w:p w:rsidR="0090530A" w:rsidRPr="00DC1FF0" w:rsidRDefault="0090530A" w:rsidP="00D77C8B">
      <w:pPr>
        <w:pStyle w:val="Heading2"/>
      </w:pPr>
      <w:bookmarkStart w:id="29" w:name="_Toc407632222"/>
      <w:r w:rsidRPr="00DC1FF0">
        <w:t>D.</w:t>
      </w:r>
      <w:r w:rsidRPr="00DC1FF0">
        <w:tab/>
        <w:t xml:space="preserve">The PUCO </w:t>
      </w:r>
      <w:r w:rsidR="00D77C8B" w:rsidRPr="00DC1FF0">
        <w:t xml:space="preserve">Should Reject </w:t>
      </w:r>
      <w:r w:rsidRPr="00DC1FF0">
        <w:t xml:space="preserve">OEG’s </w:t>
      </w:r>
      <w:r w:rsidR="00D77C8B" w:rsidRPr="00DC1FF0">
        <w:t xml:space="preserve">Proposal To Continue The Subsidy To </w:t>
      </w:r>
      <w:r w:rsidRPr="00DC1FF0">
        <w:t xml:space="preserve">Duke’s </w:t>
      </w:r>
      <w:r w:rsidR="00D77C8B" w:rsidRPr="00DC1FF0">
        <w:t>4 Large Interruptible Customers At The Expense Of Other Customers.</w:t>
      </w:r>
      <w:bookmarkEnd w:id="29"/>
      <w:r w:rsidR="00D77C8B" w:rsidRPr="00DC1FF0">
        <w:t xml:space="preserve"> </w:t>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OEG proposes the continuation of Duke’s large customer interruptible program despite the fact that Duke, will no longer have the generation resources or obligation to generate power to meet customer requirements.</w:t>
      </w:r>
      <w:r w:rsidRPr="00DC1FF0">
        <w:rPr>
          <w:rStyle w:val="FootnoteReference"/>
          <w:rFonts w:ascii="Times New Roman" w:hAnsi="Times New Roman" w:cs="Times New Roman"/>
          <w:sz w:val="24"/>
          <w:szCs w:val="24"/>
        </w:rPr>
        <w:footnoteReference w:id="218"/>
      </w:r>
      <w:r w:rsidRPr="00DC1FF0">
        <w:rPr>
          <w:rFonts w:ascii="Times New Roman" w:hAnsi="Times New Roman" w:cs="Times New Roman"/>
          <w:sz w:val="24"/>
          <w:szCs w:val="24"/>
        </w:rPr>
        <w:t xml:space="preserve"> Indeed, OEG proposes an “enhanced version” of the interruptible program, proposing to “modify and expand its terms.”</w:t>
      </w:r>
      <w:r w:rsidRPr="00DC1FF0">
        <w:rPr>
          <w:rStyle w:val="FootnoteReference"/>
          <w:rFonts w:ascii="Times New Roman" w:hAnsi="Times New Roman" w:cs="Times New Roman"/>
          <w:sz w:val="24"/>
          <w:szCs w:val="24"/>
        </w:rPr>
        <w:footnoteReference w:id="219"/>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As Duke recognized in proposing </w:t>
      </w:r>
      <w:r w:rsidR="00034852" w:rsidRPr="00DC1FF0">
        <w:rPr>
          <w:rFonts w:ascii="Times New Roman" w:hAnsi="Times New Roman" w:cs="Times New Roman"/>
          <w:sz w:val="24"/>
          <w:szCs w:val="24"/>
        </w:rPr>
        <w:t xml:space="preserve">to eliminate </w:t>
      </w:r>
      <w:r w:rsidRPr="00DC1FF0">
        <w:rPr>
          <w:rFonts w:ascii="Times New Roman" w:hAnsi="Times New Roman" w:cs="Times New Roman"/>
          <w:sz w:val="24"/>
          <w:szCs w:val="24"/>
        </w:rPr>
        <w:t>this program, there is no longer a basis for Duke to offer such service</w:t>
      </w:r>
      <w:r w:rsidR="00034852" w:rsidRPr="00DC1FF0">
        <w:rPr>
          <w:rFonts w:ascii="Times New Roman" w:hAnsi="Times New Roman" w:cs="Times New Roman"/>
          <w:sz w:val="24"/>
          <w:szCs w:val="24"/>
        </w:rPr>
        <w:t xml:space="preserve">. Such a </w:t>
      </w:r>
      <w:r w:rsidRPr="00DC1FF0">
        <w:rPr>
          <w:rFonts w:ascii="Times New Roman" w:hAnsi="Times New Roman" w:cs="Times New Roman"/>
          <w:sz w:val="24"/>
          <w:szCs w:val="24"/>
        </w:rPr>
        <w:t>program would only serve to subsidize large customers at t</w:t>
      </w:r>
      <w:r w:rsidR="00FD5C6C" w:rsidRPr="00DC1FF0">
        <w:rPr>
          <w:rFonts w:ascii="Times New Roman" w:hAnsi="Times New Roman" w:cs="Times New Roman"/>
          <w:sz w:val="24"/>
          <w:szCs w:val="24"/>
        </w:rPr>
        <w:t xml:space="preserve">he expense of small customers. </w:t>
      </w:r>
      <w:r w:rsidRPr="00DC1FF0">
        <w:rPr>
          <w:rFonts w:ascii="Times New Roman" w:hAnsi="Times New Roman" w:cs="Times New Roman"/>
          <w:sz w:val="24"/>
          <w:szCs w:val="24"/>
        </w:rPr>
        <w:t>OEG’s proposals should be rejected.</w:t>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OCC addressed this issue in its Initial Brief.</w:t>
      </w:r>
      <w:r w:rsidRPr="00DC1FF0">
        <w:rPr>
          <w:rStyle w:val="FootnoteReference"/>
          <w:rFonts w:ascii="Times New Roman" w:hAnsi="Times New Roman" w:cs="Times New Roman"/>
          <w:sz w:val="24"/>
          <w:szCs w:val="24"/>
        </w:rPr>
        <w:footnoteReference w:id="220"/>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As OCC discussed there, the interruptible program was intended to terminate at the conclusion of the current ESP</w:t>
      </w:r>
      <w:r w:rsidR="00AB1AF5">
        <w:rPr>
          <w:rFonts w:ascii="Times New Roman" w:hAnsi="Times New Roman" w:cs="Times New Roman"/>
          <w:sz w:val="24"/>
          <w:szCs w:val="24"/>
        </w:rPr>
        <w:t xml:space="preserve">. </w:t>
      </w:r>
      <w:r w:rsidR="00034852" w:rsidRPr="00DC1FF0">
        <w:rPr>
          <w:rFonts w:ascii="Times New Roman" w:hAnsi="Times New Roman" w:cs="Times New Roman"/>
          <w:sz w:val="24"/>
          <w:szCs w:val="24"/>
        </w:rPr>
        <w:t xml:space="preserve">This coincides </w:t>
      </w:r>
      <w:r w:rsidRPr="00DC1FF0">
        <w:rPr>
          <w:rFonts w:ascii="Times New Roman" w:hAnsi="Times New Roman" w:cs="Times New Roman"/>
          <w:sz w:val="24"/>
          <w:szCs w:val="24"/>
        </w:rPr>
        <w:t xml:space="preserve">with the termination of Duke’s election of an FRR plan and its notice to PJM of its intent to </w:t>
      </w:r>
      <w:r w:rsidR="00FD5C6C" w:rsidRPr="00DC1FF0">
        <w:rPr>
          <w:rFonts w:ascii="Times New Roman" w:hAnsi="Times New Roman" w:cs="Times New Roman"/>
          <w:sz w:val="24"/>
          <w:szCs w:val="24"/>
        </w:rPr>
        <w:t>participate (with any of its</w:t>
      </w:r>
      <w:r w:rsidRPr="00DC1FF0">
        <w:rPr>
          <w:rFonts w:ascii="Times New Roman" w:hAnsi="Times New Roman" w:cs="Times New Roman"/>
          <w:sz w:val="24"/>
          <w:szCs w:val="24"/>
        </w:rPr>
        <w:t xml:space="preserve"> generating resources) in RPM and the 2015/2016 base residual auctions.</w:t>
      </w:r>
      <w:r w:rsidRPr="00DC1FF0">
        <w:rPr>
          <w:rStyle w:val="FootnoteReference"/>
          <w:rFonts w:ascii="Times New Roman" w:hAnsi="Times New Roman" w:cs="Times New Roman"/>
          <w:sz w:val="24"/>
          <w:szCs w:val="24"/>
        </w:rPr>
        <w:footnoteReference w:id="221"/>
      </w:r>
      <w:r w:rsidRPr="00DC1FF0">
        <w:rPr>
          <w:rFonts w:ascii="Times New Roman" w:hAnsi="Times New Roman" w:cs="Times New Roman"/>
          <w:sz w:val="24"/>
          <w:szCs w:val="24"/>
        </w:rPr>
        <w:t xml:space="preserve"> Duke has twice notified interruptible customers of the upcoming termination of this service.</w:t>
      </w:r>
      <w:r w:rsidRPr="00DC1FF0">
        <w:rPr>
          <w:rStyle w:val="FootnoteReference"/>
          <w:rFonts w:ascii="Times New Roman" w:hAnsi="Times New Roman" w:cs="Times New Roman"/>
          <w:sz w:val="24"/>
          <w:szCs w:val="24"/>
        </w:rPr>
        <w:footnoteReference w:id="222"/>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 xml:space="preserve">OEG argues that </w:t>
      </w:r>
      <w:r w:rsidR="00034852" w:rsidRPr="00DC1FF0">
        <w:rPr>
          <w:rFonts w:ascii="Times New Roman" w:hAnsi="Times New Roman" w:cs="Times New Roman"/>
          <w:sz w:val="24"/>
          <w:szCs w:val="24"/>
        </w:rPr>
        <w:t xml:space="preserve">eliminating </w:t>
      </w:r>
      <w:r w:rsidRPr="00DC1FF0">
        <w:rPr>
          <w:rFonts w:ascii="Times New Roman" w:hAnsi="Times New Roman" w:cs="Times New Roman"/>
          <w:sz w:val="24"/>
          <w:szCs w:val="24"/>
        </w:rPr>
        <w:t>Duke’s FRR plan “will not alter the value of its large customer interruptible load program.”</w:t>
      </w:r>
      <w:r w:rsidRPr="00DC1FF0">
        <w:rPr>
          <w:rStyle w:val="FootnoteReference"/>
          <w:rFonts w:ascii="Times New Roman" w:hAnsi="Times New Roman" w:cs="Times New Roman"/>
          <w:sz w:val="24"/>
          <w:szCs w:val="24"/>
        </w:rPr>
        <w:footnoteReference w:id="223"/>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OEG’s position in this regard is groundle</w:t>
      </w:r>
      <w:r w:rsidR="00FD5C6C" w:rsidRPr="00DC1FF0">
        <w:rPr>
          <w:rFonts w:ascii="Times New Roman" w:hAnsi="Times New Roman" w:cs="Times New Roman"/>
          <w:sz w:val="24"/>
          <w:szCs w:val="24"/>
        </w:rPr>
        <w:t>ss</w:t>
      </w:r>
      <w:r w:rsidR="00034852" w:rsidRPr="00DC1FF0">
        <w:rPr>
          <w:rFonts w:ascii="Times New Roman" w:hAnsi="Times New Roman" w:cs="Times New Roman"/>
          <w:sz w:val="24"/>
          <w:szCs w:val="24"/>
        </w:rPr>
        <w:t>.</w:t>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OEG argues that Duke “could still bid that load into the PJM RPM market as a capacity resource and that it could continue “to provide benefits to customers in Duke’s service territory.”</w:t>
      </w:r>
      <w:r w:rsidRPr="00DC1FF0">
        <w:rPr>
          <w:rStyle w:val="FootnoteReference"/>
          <w:rFonts w:ascii="Times New Roman" w:hAnsi="Times New Roman" w:cs="Times New Roman"/>
          <w:sz w:val="24"/>
          <w:szCs w:val="24"/>
        </w:rPr>
        <w:footnoteReference w:id="224"/>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 xml:space="preserve">But if Duke is </w:t>
      </w:r>
      <w:r w:rsidRPr="00DC1FF0">
        <w:rPr>
          <w:rFonts w:ascii="Times New Roman" w:hAnsi="Times New Roman" w:cs="Times New Roman"/>
          <w:b/>
          <w:sz w:val="24"/>
          <w:szCs w:val="24"/>
        </w:rPr>
        <w:t>not</w:t>
      </w:r>
      <w:r w:rsidR="00947997">
        <w:rPr>
          <w:rFonts w:ascii="Times New Roman" w:hAnsi="Times New Roman" w:cs="Times New Roman"/>
          <w:sz w:val="24"/>
          <w:szCs w:val="24"/>
        </w:rPr>
        <w:t xml:space="preserve"> incurring generation costs --</w:t>
      </w:r>
      <w:r w:rsidRPr="00DC1FF0">
        <w:rPr>
          <w:rFonts w:ascii="Times New Roman" w:hAnsi="Times New Roman" w:cs="Times New Roman"/>
          <w:sz w:val="24"/>
          <w:szCs w:val="24"/>
        </w:rPr>
        <w:t xml:space="preserve"> and others are responsible for meeting MWh demands</w:t>
      </w:r>
      <w:r w:rsidR="00947997">
        <w:rPr>
          <w:rFonts w:ascii="Times New Roman" w:hAnsi="Times New Roman" w:cs="Times New Roman"/>
          <w:sz w:val="24"/>
          <w:szCs w:val="24"/>
        </w:rPr>
        <w:t xml:space="preserve"> -</w:t>
      </w:r>
      <w:r w:rsidR="00034852" w:rsidRPr="00DC1FF0">
        <w:rPr>
          <w:rFonts w:ascii="Times New Roman" w:hAnsi="Times New Roman" w:cs="Times New Roman"/>
          <w:sz w:val="24"/>
          <w:szCs w:val="24"/>
        </w:rPr>
        <w:t>-</w:t>
      </w:r>
      <w:r w:rsidRPr="00DC1FF0">
        <w:rPr>
          <w:rFonts w:ascii="Times New Roman" w:hAnsi="Times New Roman" w:cs="Times New Roman"/>
          <w:sz w:val="24"/>
          <w:szCs w:val="24"/>
        </w:rPr>
        <w:t xml:space="preserve"> curtailing load on Duke’s system will no longer provide a value connected to any interruptible credit.</w:t>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OEG argues that there will be reliability benefits from “reduce[</w:t>
      </w:r>
      <w:r w:rsidR="00653F83" w:rsidRPr="00DC1FF0">
        <w:rPr>
          <w:rFonts w:ascii="Times New Roman" w:hAnsi="Times New Roman" w:cs="Times New Roman"/>
          <w:sz w:val="24"/>
          <w:szCs w:val="24"/>
        </w:rPr>
        <w:t>d</w:t>
      </w:r>
      <w:r w:rsidRPr="00DC1FF0">
        <w:rPr>
          <w:rFonts w:ascii="Times New Roman" w:hAnsi="Times New Roman" w:cs="Times New Roman"/>
          <w:sz w:val="24"/>
          <w:szCs w:val="24"/>
        </w:rPr>
        <w:t>] strains on the electric grid during peak times, increasing</w:t>
      </w:r>
      <w:r w:rsidR="00FD5C6C" w:rsidRPr="00DC1FF0">
        <w:rPr>
          <w:rFonts w:ascii="Times New Roman" w:hAnsi="Times New Roman" w:cs="Times New Roman"/>
          <w:sz w:val="24"/>
          <w:szCs w:val="24"/>
        </w:rPr>
        <w:t xml:space="preserve"> the reliability of the grid.” </w:t>
      </w:r>
      <w:r w:rsidRPr="00DC1FF0">
        <w:rPr>
          <w:rFonts w:ascii="Times New Roman" w:hAnsi="Times New Roman" w:cs="Times New Roman"/>
          <w:sz w:val="24"/>
          <w:szCs w:val="24"/>
        </w:rPr>
        <w:t xml:space="preserve">This improperly suggests that with Duke no longer in generation business, it, rather than PJM, still has a role in ensuring economic dispatch </w:t>
      </w:r>
      <w:r w:rsidR="00FD5C6C" w:rsidRPr="00DC1FF0">
        <w:rPr>
          <w:rFonts w:ascii="Times New Roman" w:hAnsi="Times New Roman" w:cs="Times New Roman"/>
          <w:sz w:val="24"/>
          <w:szCs w:val="24"/>
        </w:rPr>
        <w:t xml:space="preserve">and reliability of generation. </w:t>
      </w:r>
      <w:r w:rsidRPr="00DC1FF0">
        <w:rPr>
          <w:rFonts w:ascii="Times New Roman" w:hAnsi="Times New Roman" w:cs="Times New Roman"/>
          <w:sz w:val="24"/>
          <w:szCs w:val="24"/>
        </w:rPr>
        <w:t>That is not the case</w:t>
      </w:r>
      <w:r w:rsidR="00947997">
        <w:rPr>
          <w:rFonts w:ascii="Times New Roman" w:hAnsi="Times New Roman" w:cs="Times New Roman"/>
          <w:sz w:val="24"/>
          <w:szCs w:val="24"/>
        </w:rPr>
        <w:t>.</w:t>
      </w:r>
      <w:r w:rsidR="00034852" w:rsidRPr="00DC1FF0">
        <w:rPr>
          <w:rFonts w:ascii="Times New Roman" w:hAnsi="Times New Roman" w:cs="Times New Roman"/>
          <w:sz w:val="24"/>
          <w:szCs w:val="24"/>
        </w:rPr>
        <w:t xml:space="preserve"> A</w:t>
      </w:r>
      <w:r w:rsidR="00AB1AF5">
        <w:rPr>
          <w:rFonts w:ascii="Times New Roman" w:hAnsi="Times New Roman" w:cs="Times New Roman"/>
          <w:sz w:val="24"/>
          <w:szCs w:val="24"/>
        </w:rPr>
        <w:t>s OCC witness</w:t>
      </w:r>
      <w:r w:rsidRPr="00DC1FF0">
        <w:rPr>
          <w:rFonts w:ascii="Times New Roman" w:hAnsi="Times New Roman" w:cs="Times New Roman"/>
          <w:sz w:val="24"/>
          <w:szCs w:val="24"/>
        </w:rPr>
        <w:t xml:space="preserve"> Yankel testified, eliminating the interruptible credit will not affect reliability, which will rest with PJM.</w:t>
      </w:r>
      <w:r w:rsidRPr="00DC1FF0">
        <w:rPr>
          <w:rStyle w:val="FootnoteReference"/>
          <w:rFonts w:ascii="Times New Roman" w:hAnsi="Times New Roman" w:cs="Times New Roman"/>
          <w:sz w:val="24"/>
          <w:szCs w:val="24"/>
        </w:rPr>
        <w:footnoteReference w:id="225"/>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OEG again points to the impact of coal plant retirements and suggests that Duke should use its interruptible customers’ resources to “bolster the reliability of its system.”</w:t>
      </w:r>
      <w:r w:rsidRPr="00DC1FF0">
        <w:rPr>
          <w:rStyle w:val="FootnoteReference"/>
          <w:rFonts w:ascii="Times New Roman" w:hAnsi="Times New Roman" w:cs="Times New Roman"/>
          <w:sz w:val="24"/>
          <w:szCs w:val="24"/>
        </w:rPr>
        <w:footnoteReference w:id="226"/>
      </w:r>
      <w:r w:rsidRPr="00DC1FF0">
        <w:rPr>
          <w:rFonts w:ascii="Times New Roman" w:hAnsi="Times New Roman" w:cs="Times New Roman"/>
          <w:sz w:val="24"/>
          <w:szCs w:val="24"/>
        </w:rPr>
        <w:t xml:space="preserve"> But there is no evidence that the reliability of Duke’s transmission or distribution system is impr</w:t>
      </w:r>
      <w:r w:rsidR="00FD5C6C" w:rsidRPr="00DC1FF0">
        <w:rPr>
          <w:rFonts w:ascii="Times New Roman" w:hAnsi="Times New Roman" w:cs="Times New Roman"/>
          <w:sz w:val="24"/>
          <w:szCs w:val="24"/>
        </w:rPr>
        <w:t xml:space="preserve">oved by the reduction in load. </w:t>
      </w:r>
      <w:r w:rsidRPr="00DC1FF0">
        <w:rPr>
          <w:rFonts w:ascii="Times New Roman" w:hAnsi="Times New Roman" w:cs="Times New Roman"/>
          <w:sz w:val="24"/>
          <w:szCs w:val="24"/>
        </w:rPr>
        <w:t>This is strictly a generation issue and OEG is simply wrong that there is a benefit to reliability</w:t>
      </w:r>
      <w:r w:rsidR="00034852" w:rsidRPr="00DC1FF0">
        <w:rPr>
          <w:rFonts w:ascii="Times New Roman" w:hAnsi="Times New Roman" w:cs="Times New Roman"/>
          <w:sz w:val="24"/>
          <w:szCs w:val="24"/>
        </w:rPr>
        <w:t>.</w:t>
      </w:r>
      <w:r w:rsidRPr="00DC1FF0">
        <w:rPr>
          <w:rFonts w:ascii="Times New Roman" w:hAnsi="Times New Roman" w:cs="Times New Roman"/>
          <w:sz w:val="24"/>
          <w:szCs w:val="24"/>
        </w:rPr>
        <w:t xml:space="preserve"> </w:t>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OEG also suggests that there would be an economic benefit from Duke’s interruptible load program.</w:t>
      </w:r>
      <w:r w:rsidRPr="00DC1FF0">
        <w:rPr>
          <w:rStyle w:val="FootnoteReference"/>
          <w:rFonts w:ascii="Times New Roman" w:hAnsi="Times New Roman" w:cs="Times New Roman"/>
          <w:sz w:val="24"/>
          <w:szCs w:val="24"/>
        </w:rPr>
        <w:footnoteReference w:id="227"/>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And OEG points to the PUCO’s past recognition of the benefits of interruptible programs to both interruptible customers who can accept a lower quality of service and to customers who benefit from enhanced reliability.</w:t>
      </w:r>
      <w:r w:rsidRPr="00DC1FF0">
        <w:rPr>
          <w:rStyle w:val="FootnoteReference"/>
          <w:rFonts w:ascii="Times New Roman" w:hAnsi="Times New Roman" w:cs="Times New Roman"/>
          <w:sz w:val="24"/>
          <w:szCs w:val="24"/>
        </w:rPr>
        <w:footnoteReference w:id="228"/>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But OEG’s claims relate to interruptible programs that relate to a time when electric utilities maintained an obligation to serve load with their own gen</w:t>
      </w:r>
      <w:r w:rsidR="00FD5C6C" w:rsidRPr="00DC1FF0">
        <w:rPr>
          <w:rFonts w:ascii="Times New Roman" w:hAnsi="Times New Roman" w:cs="Times New Roman"/>
          <w:sz w:val="24"/>
          <w:szCs w:val="24"/>
        </w:rPr>
        <w:t xml:space="preserve">erating resources. </w:t>
      </w:r>
      <w:r w:rsidRPr="00DC1FF0">
        <w:rPr>
          <w:rFonts w:ascii="Times New Roman" w:hAnsi="Times New Roman" w:cs="Times New Roman"/>
          <w:sz w:val="24"/>
          <w:szCs w:val="24"/>
        </w:rPr>
        <w:t>That is no longer the case</w:t>
      </w:r>
      <w:r w:rsidR="00947997">
        <w:rPr>
          <w:rFonts w:ascii="Times New Roman" w:hAnsi="Times New Roman" w:cs="Times New Roman"/>
          <w:sz w:val="24"/>
          <w:szCs w:val="24"/>
        </w:rPr>
        <w:t>.</w:t>
      </w:r>
      <w:r w:rsidR="00034852" w:rsidRPr="00DC1FF0">
        <w:rPr>
          <w:rFonts w:ascii="Times New Roman" w:hAnsi="Times New Roman" w:cs="Times New Roman"/>
          <w:sz w:val="24"/>
          <w:szCs w:val="24"/>
        </w:rPr>
        <w:t xml:space="preserve"> A</w:t>
      </w:r>
      <w:r w:rsidRPr="00DC1FF0">
        <w:rPr>
          <w:rFonts w:ascii="Times New Roman" w:hAnsi="Times New Roman" w:cs="Times New Roman"/>
          <w:sz w:val="24"/>
          <w:szCs w:val="24"/>
        </w:rPr>
        <w:t>ny interruptible credit would now be simply a subsidy.</w:t>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OEG also argues that PJM pricing for demand response, particularly for incremental auctions, is not a sufficient incentive or stable enough for Duke’s large interruptible customers to participate and the “potential benefits of that interruptible load to all customers would be lost.”</w:t>
      </w:r>
      <w:r w:rsidRPr="00DC1FF0">
        <w:rPr>
          <w:rStyle w:val="FootnoteReference"/>
          <w:rFonts w:ascii="Times New Roman" w:hAnsi="Times New Roman" w:cs="Times New Roman"/>
          <w:sz w:val="24"/>
          <w:szCs w:val="24"/>
        </w:rPr>
        <w:footnoteReference w:id="229"/>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Further, OEG questions the legality of PJM’s demand response program.</w:t>
      </w:r>
      <w:r w:rsidRPr="00DC1FF0">
        <w:rPr>
          <w:rStyle w:val="FootnoteReference"/>
          <w:rFonts w:ascii="Times New Roman" w:hAnsi="Times New Roman" w:cs="Times New Roman"/>
          <w:sz w:val="24"/>
          <w:szCs w:val="24"/>
        </w:rPr>
        <w:footnoteReference w:id="230"/>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But the fact is that PJM’s demand response program provides a yet-to-be matched system of market-based v</w:t>
      </w:r>
      <w:r w:rsidR="00FD5C6C" w:rsidRPr="00DC1FF0">
        <w:rPr>
          <w:rFonts w:ascii="Times New Roman" w:hAnsi="Times New Roman" w:cs="Times New Roman"/>
          <w:sz w:val="24"/>
          <w:szCs w:val="24"/>
        </w:rPr>
        <w:t xml:space="preserve">aluation for demand reduction. </w:t>
      </w:r>
      <w:r w:rsidRPr="00DC1FF0">
        <w:rPr>
          <w:rFonts w:ascii="Times New Roman" w:hAnsi="Times New Roman" w:cs="Times New Roman"/>
          <w:sz w:val="24"/>
          <w:szCs w:val="24"/>
        </w:rPr>
        <w:t>Although there is some question over whether that market may be allowed to continue as currently designed by PJM, until those legal issues are resolved, the PUCO should recognize that PJM’s demand response market is the most appropriate mechanism for recogniz</w:t>
      </w:r>
      <w:r w:rsidR="00FD5C6C" w:rsidRPr="00DC1FF0">
        <w:rPr>
          <w:rFonts w:ascii="Times New Roman" w:hAnsi="Times New Roman" w:cs="Times New Roman"/>
          <w:sz w:val="24"/>
          <w:szCs w:val="24"/>
        </w:rPr>
        <w:t xml:space="preserve">ing the value of interruption. </w:t>
      </w:r>
      <w:r w:rsidRPr="00DC1FF0">
        <w:rPr>
          <w:rFonts w:ascii="Times New Roman" w:hAnsi="Times New Roman" w:cs="Times New Roman"/>
          <w:sz w:val="24"/>
          <w:szCs w:val="24"/>
        </w:rPr>
        <w:t>Even in the absence of that market, there is no basis to provide a subsidy to Duke’s large interruptible customers, when it cannot provide an offset to costs Duke incurs for supply requirements</w:t>
      </w:r>
      <w:r w:rsidR="00FD5C6C" w:rsidRPr="00DC1FF0">
        <w:rPr>
          <w:rFonts w:ascii="Times New Roman" w:hAnsi="Times New Roman" w:cs="Times New Roman"/>
          <w:sz w:val="24"/>
          <w:szCs w:val="24"/>
        </w:rPr>
        <w:t xml:space="preserve"> </w:t>
      </w:r>
      <w:r w:rsidRPr="00DC1FF0">
        <w:rPr>
          <w:rFonts w:ascii="Times New Roman" w:hAnsi="Times New Roman" w:cs="Times New Roman"/>
          <w:sz w:val="24"/>
          <w:szCs w:val="24"/>
        </w:rPr>
        <w:t>since no such requirement will exist any longer.</w:t>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OEG also argues that Duke’s interruptible program is little different than its PowerShare program that compensates other customers for demand response, a program slated to continue through December 31, 2016.</w:t>
      </w:r>
      <w:r w:rsidRPr="00DC1FF0">
        <w:rPr>
          <w:rStyle w:val="FootnoteReference"/>
          <w:rFonts w:ascii="Times New Roman" w:hAnsi="Times New Roman" w:cs="Times New Roman"/>
          <w:sz w:val="24"/>
          <w:szCs w:val="24"/>
        </w:rPr>
        <w:footnoteReference w:id="231"/>
      </w:r>
      <w:r w:rsidR="00040792" w:rsidRPr="00DC1FF0">
        <w:rPr>
          <w:rFonts w:ascii="Times New Roman" w:hAnsi="Times New Roman" w:cs="Times New Roman"/>
          <w:sz w:val="24"/>
          <w:szCs w:val="24"/>
        </w:rPr>
        <w:t xml:space="preserve"> </w:t>
      </w:r>
      <w:r w:rsidRPr="00DC1FF0">
        <w:rPr>
          <w:rFonts w:ascii="Times New Roman" w:hAnsi="Times New Roman" w:cs="Times New Roman"/>
          <w:sz w:val="24"/>
          <w:szCs w:val="24"/>
        </w:rPr>
        <w:t>OEG argues that the large customer interruptible program provides a slightly higher value ($4.88/kW v. $3.00/kW) to large customers, but that the large customer program provides firm emergency curtailments throughout the year and not just in the summer.</w:t>
      </w:r>
      <w:r w:rsidRPr="00DC1FF0">
        <w:rPr>
          <w:rStyle w:val="FootnoteReference"/>
          <w:rFonts w:ascii="Times New Roman" w:hAnsi="Times New Roman" w:cs="Times New Roman"/>
          <w:sz w:val="24"/>
          <w:szCs w:val="24"/>
        </w:rPr>
        <w:footnoteReference w:id="232"/>
      </w:r>
      <w:r w:rsidR="00040792" w:rsidRPr="00DC1FF0">
        <w:rPr>
          <w:rFonts w:ascii="Times New Roman" w:hAnsi="Times New Roman" w:cs="Times New Roman"/>
          <w:sz w:val="24"/>
          <w:szCs w:val="24"/>
        </w:rPr>
        <w:t xml:space="preserve"> </w:t>
      </w:r>
      <w:r w:rsidRPr="00DC1FF0">
        <w:rPr>
          <w:rFonts w:ascii="Times New Roman" w:hAnsi="Times New Roman" w:cs="Times New Roman"/>
          <w:sz w:val="24"/>
          <w:szCs w:val="24"/>
        </w:rPr>
        <w:t>OEG also argues that because the PowerShare program is approved only through December 31, 2016, it will not provide benefits through the ESP period.</w:t>
      </w:r>
      <w:r w:rsidRPr="00DC1FF0">
        <w:rPr>
          <w:rStyle w:val="FootnoteReference"/>
          <w:rFonts w:ascii="Times New Roman" w:hAnsi="Times New Roman" w:cs="Times New Roman"/>
          <w:sz w:val="24"/>
          <w:szCs w:val="24"/>
        </w:rPr>
        <w:footnoteReference w:id="233"/>
      </w:r>
    </w:p>
    <w:p w:rsidR="0090530A" w:rsidRPr="00DC1FF0" w:rsidRDefault="0090530A" w:rsidP="0090530A">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But neither of these programs will be beneficial to other customers after May 31, 2015 when Du</w:t>
      </w:r>
      <w:r w:rsidR="00040792" w:rsidRPr="00DC1FF0">
        <w:rPr>
          <w:rFonts w:ascii="Times New Roman" w:hAnsi="Times New Roman" w:cs="Times New Roman"/>
          <w:sz w:val="24"/>
          <w:szCs w:val="24"/>
        </w:rPr>
        <w:t xml:space="preserve">ke is no longer an FRR entity. </w:t>
      </w:r>
      <w:r w:rsidRPr="00DC1FF0">
        <w:rPr>
          <w:rFonts w:ascii="Times New Roman" w:hAnsi="Times New Roman" w:cs="Times New Roman"/>
          <w:sz w:val="24"/>
          <w:szCs w:val="24"/>
        </w:rPr>
        <w:t>If Duke’s large interruptible customers choose to take advantage of the PowerShare program until December 31, 2016, they will continue to receive a subsidy on the backs of other customers without providing any real ben</w:t>
      </w:r>
      <w:r w:rsidR="00040792" w:rsidRPr="00DC1FF0">
        <w:rPr>
          <w:rFonts w:ascii="Times New Roman" w:hAnsi="Times New Roman" w:cs="Times New Roman"/>
          <w:sz w:val="24"/>
          <w:szCs w:val="24"/>
        </w:rPr>
        <w:t xml:space="preserve">efit to Duke or its customers. </w:t>
      </w:r>
      <w:r w:rsidRPr="00DC1FF0">
        <w:rPr>
          <w:rFonts w:ascii="Times New Roman" w:hAnsi="Times New Roman" w:cs="Times New Roman"/>
          <w:sz w:val="24"/>
          <w:szCs w:val="24"/>
        </w:rPr>
        <w:t xml:space="preserve">But neither program should continue and other customers should be held </w:t>
      </w:r>
      <w:r w:rsidR="00040792" w:rsidRPr="00DC1FF0">
        <w:rPr>
          <w:rFonts w:ascii="Times New Roman" w:hAnsi="Times New Roman" w:cs="Times New Roman"/>
          <w:sz w:val="24"/>
          <w:szCs w:val="24"/>
        </w:rPr>
        <w:t xml:space="preserve">harmless from these subsidies. </w:t>
      </w:r>
      <w:r w:rsidRPr="00DC1FF0">
        <w:rPr>
          <w:rFonts w:ascii="Times New Roman" w:hAnsi="Times New Roman" w:cs="Times New Roman"/>
          <w:sz w:val="24"/>
          <w:szCs w:val="24"/>
        </w:rPr>
        <w:t>The interruptible credit should be terminated as Duke has proposed.</w:t>
      </w:r>
    </w:p>
    <w:p w:rsidR="0090530A" w:rsidRPr="00DC1FF0" w:rsidRDefault="0090530A" w:rsidP="0090530A">
      <w:pPr>
        <w:spacing w:after="0" w:line="480" w:lineRule="auto"/>
        <w:ind w:firstLine="720"/>
        <w:rPr>
          <w:rFonts w:ascii="Times New Roman" w:hAnsi="Times New Roman" w:cs="Times New Roman"/>
          <w:sz w:val="24"/>
          <w:szCs w:val="24"/>
        </w:rPr>
      </w:pPr>
      <w:r w:rsidRPr="00DC1FF0">
        <w:rPr>
          <w:rFonts w:ascii="Times New Roman" w:hAnsi="Times New Roman" w:cs="Times New Roman"/>
          <w:sz w:val="24"/>
          <w:szCs w:val="24"/>
        </w:rPr>
        <w:t xml:space="preserve">In summation, OEG proposes to continue a cost reduction benefit to four large customers, </w:t>
      </w:r>
      <w:r w:rsidR="00164AB1" w:rsidRPr="00DC1FF0">
        <w:rPr>
          <w:rFonts w:ascii="Times New Roman" w:hAnsi="Times New Roman" w:cs="Times New Roman"/>
          <w:sz w:val="24"/>
          <w:szCs w:val="24"/>
        </w:rPr>
        <w:t>subsidized by other customers. The PUCO should reject it.</w:t>
      </w:r>
    </w:p>
    <w:p w:rsidR="00ED5BD9" w:rsidRPr="00DC1FF0" w:rsidRDefault="00ED5BD9" w:rsidP="006857BB">
      <w:pPr>
        <w:spacing w:after="0" w:line="240" w:lineRule="auto"/>
        <w:rPr>
          <w:rFonts w:ascii="Times New Roman" w:eastAsia="Times New Roman" w:hAnsi="Times New Roman" w:cs="Times New Roman"/>
          <w:sz w:val="24"/>
          <w:szCs w:val="24"/>
          <w:highlight w:val="lightGray"/>
        </w:rPr>
      </w:pPr>
    </w:p>
    <w:p w:rsidR="00ED5BD9" w:rsidRPr="00DC1FF0" w:rsidRDefault="00ED5BD9" w:rsidP="00A40A7F">
      <w:pPr>
        <w:pStyle w:val="Heading1"/>
        <w:rPr>
          <w:rFonts w:ascii="Times New Roman" w:hAnsi="Times New Roman" w:cs="Times New Roman"/>
          <w:szCs w:val="24"/>
        </w:rPr>
      </w:pPr>
      <w:bookmarkStart w:id="30" w:name="_Toc407632223"/>
      <w:r w:rsidRPr="00DC1FF0">
        <w:rPr>
          <w:rFonts w:ascii="Times New Roman" w:hAnsi="Times New Roman" w:cs="Times New Roman"/>
          <w:szCs w:val="24"/>
        </w:rPr>
        <w:t>EARLY TERMINATION</w:t>
      </w:r>
      <w:bookmarkEnd w:id="30"/>
    </w:p>
    <w:p w:rsidR="00DC1FF0" w:rsidRPr="00DC1FF0" w:rsidRDefault="00DC1FF0" w:rsidP="00DC1FF0">
      <w:pPr>
        <w:pStyle w:val="Heading2"/>
        <w:rPr>
          <w:rFonts w:ascii="Times New Roman" w:eastAsia="Times New Roman" w:hAnsi="Times New Roman" w:cs="Times New Roman"/>
          <w:szCs w:val="24"/>
        </w:rPr>
      </w:pPr>
      <w:bookmarkStart w:id="31" w:name="_Toc407632224"/>
      <w:r w:rsidRPr="00DC1FF0">
        <w:rPr>
          <w:rFonts w:ascii="Times New Roman" w:eastAsia="Times New Roman" w:hAnsi="Times New Roman" w:cs="Times New Roman"/>
          <w:szCs w:val="24"/>
        </w:rPr>
        <w:t>A.</w:t>
      </w:r>
      <w:r w:rsidRPr="00DC1FF0">
        <w:rPr>
          <w:rFonts w:ascii="Times New Roman" w:eastAsia="Times New Roman" w:hAnsi="Times New Roman" w:cs="Times New Roman"/>
          <w:szCs w:val="24"/>
        </w:rPr>
        <w:tab/>
        <w:t xml:space="preserve">Duke’s </w:t>
      </w:r>
      <w:r w:rsidR="00D77C8B" w:rsidRPr="00DC1FF0">
        <w:rPr>
          <w:rFonts w:ascii="Times New Roman" w:eastAsia="Times New Roman" w:hAnsi="Times New Roman" w:cs="Times New Roman"/>
          <w:szCs w:val="24"/>
        </w:rPr>
        <w:t xml:space="preserve">Proposal To Unilaterally Terminate Its </w:t>
      </w:r>
      <w:r w:rsidRPr="00DC1FF0">
        <w:rPr>
          <w:rFonts w:ascii="Times New Roman" w:eastAsia="Times New Roman" w:hAnsi="Times New Roman" w:cs="Times New Roman"/>
          <w:szCs w:val="24"/>
        </w:rPr>
        <w:t xml:space="preserve">ESP </w:t>
      </w:r>
      <w:r w:rsidR="00D77C8B" w:rsidRPr="00DC1FF0">
        <w:rPr>
          <w:rFonts w:ascii="Times New Roman" w:eastAsia="Times New Roman" w:hAnsi="Times New Roman" w:cs="Times New Roman"/>
          <w:szCs w:val="24"/>
        </w:rPr>
        <w:t>A Year Early Should Not Be Allowed</w:t>
      </w:r>
      <w:r w:rsidRPr="00DC1FF0">
        <w:rPr>
          <w:rFonts w:ascii="Times New Roman" w:eastAsia="Times New Roman" w:hAnsi="Times New Roman" w:cs="Times New Roman"/>
          <w:szCs w:val="24"/>
        </w:rPr>
        <w:t>.</w:t>
      </w:r>
      <w:bookmarkEnd w:id="31"/>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 proposes a 3-year ESP from June 1, 2015 through May 31, 2018.</w:t>
      </w:r>
      <w:r w:rsidRPr="00DC1FF0">
        <w:rPr>
          <w:rFonts w:ascii="Times New Roman" w:eastAsia="Times New Roman" w:hAnsi="Times New Roman" w:cs="Times New Roman"/>
          <w:sz w:val="24"/>
          <w:szCs w:val="24"/>
          <w:vertAlign w:val="superscript"/>
        </w:rPr>
        <w:footnoteReference w:id="234"/>
      </w:r>
      <w:r w:rsidRPr="00DC1FF0">
        <w:rPr>
          <w:rFonts w:ascii="Times New Roman" w:eastAsia="Times New Roman" w:hAnsi="Times New Roman" w:cs="Times New Roman"/>
          <w:sz w:val="24"/>
          <w:szCs w:val="24"/>
        </w:rPr>
        <w:t xml:space="preserve"> However, it seeks the authority to terminate its ESP one year early “in the event there has been a substantive change in Ohio or federal law that affects SSOs or rate plans concerning SSOs.”</w:t>
      </w:r>
      <w:r w:rsidRPr="00DC1FF0">
        <w:rPr>
          <w:rFonts w:ascii="Times New Roman" w:eastAsia="Times New Roman" w:hAnsi="Times New Roman" w:cs="Times New Roman"/>
          <w:sz w:val="24"/>
          <w:szCs w:val="24"/>
          <w:vertAlign w:val="superscript"/>
        </w:rPr>
        <w:footnoteReference w:id="235"/>
      </w:r>
      <w:r w:rsidRPr="00DC1FF0">
        <w:rPr>
          <w:rFonts w:ascii="Times New Roman" w:eastAsia="Times New Roman" w:hAnsi="Times New Roman" w:cs="Times New Roman"/>
          <w:sz w:val="24"/>
          <w:szCs w:val="24"/>
        </w:rPr>
        <w:t xml:space="preserve"> In its Initial Brief, Duke argues that the ability to terminate its ESP early is “a reasonable risk-mitigation measure” in the “rapidly changing market environment that utilities face . . . .”</w:t>
      </w:r>
      <w:r w:rsidRPr="00DC1FF0">
        <w:rPr>
          <w:rFonts w:ascii="Times New Roman" w:eastAsia="Times New Roman" w:hAnsi="Times New Roman" w:cs="Times New Roman"/>
          <w:sz w:val="24"/>
          <w:szCs w:val="24"/>
          <w:vertAlign w:val="superscript"/>
        </w:rPr>
        <w:footnoteReference w:id="236"/>
      </w:r>
      <w:r w:rsidRPr="00DC1FF0">
        <w:rPr>
          <w:rFonts w:ascii="Times New Roman" w:eastAsia="Times New Roman" w:hAnsi="Times New Roman" w:cs="Times New Roman"/>
          <w:sz w:val="24"/>
          <w:szCs w:val="24"/>
        </w:rPr>
        <w:t xml:space="preserve"> However, in its Initial Brief Duke does not attempt to refute intervenors’ testimony that its proposal could result in higher costs for customers, nor does Duke provide any statutory basis for its proposal.</w:t>
      </w:r>
    </w:p>
    <w:p w:rsidR="00DC1FF0" w:rsidRPr="00DC1FF0" w:rsidRDefault="00DC1FF0" w:rsidP="00DC1FF0">
      <w:pPr>
        <w:pStyle w:val="Heading2"/>
        <w:rPr>
          <w:rFonts w:ascii="Times New Roman" w:eastAsia="Times New Roman" w:hAnsi="Times New Roman" w:cs="Times New Roman"/>
          <w:szCs w:val="24"/>
        </w:rPr>
      </w:pPr>
      <w:bookmarkStart w:id="32" w:name="_Toc407632225"/>
      <w:r w:rsidRPr="00DC1FF0">
        <w:rPr>
          <w:rFonts w:ascii="Times New Roman" w:eastAsia="Times New Roman" w:hAnsi="Times New Roman" w:cs="Times New Roman"/>
          <w:szCs w:val="24"/>
        </w:rPr>
        <w:t>B.</w:t>
      </w:r>
      <w:r w:rsidRPr="00DC1FF0">
        <w:rPr>
          <w:rFonts w:ascii="Times New Roman" w:eastAsia="Times New Roman" w:hAnsi="Times New Roman" w:cs="Times New Roman"/>
          <w:szCs w:val="24"/>
        </w:rPr>
        <w:tab/>
        <w:t xml:space="preserve">Duke’s </w:t>
      </w:r>
      <w:r w:rsidR="00D77C8B" w:rsidRPr="00DC1FF0">
        <w:rPr>
          <w:rFonts w:ascii="Times New Roman" w:eastAsia="Times New Roman" w:hAnsi="Times New Roman" w:cs="Times New Roman"/>
          <w:szCs w:val="24"/>
        </w:rPr>
        <w:t>Proposal Unreasonably Shifts Market Risk To Wholesale Suppliers And Consumers And Could Translate Into Higher Prices For Customers</w:t>
      </w:r>
      <w:r w:rsidRPr="00DC1FF0">
        <w:rPr>
          <w:rFonts w:ascii="Times New Roman" w:eastAsia="Times New Roman" w:hAnsi="Times New Roman" w:cs="Times New Roman"/>
          <w:szCs w:val="24"/>
        </w:rPr>
        <w:t>.</w:t>
      </w:r>
      <w:bookmarkEnd w:id="32"/>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To secure electric supply for the SSO, Duke proposes a competitive bid process under which prospective suppliers will participate in a series of auctions.</w:t>
      </w:r>
      <w:r w:rsidRPr="00DC1FF0">
        <w:rPr>
          <w:rFonts w:ascii="Times New Roman" w:eastAsia="Times New Roman" w:hAnsi="Times New Roman" w:cs="Times New Roman"/>
          <w:sz w:val="24"/>
          <w:szCs w:val="24"/>
          <w:vertAlign w:val="superscript"/>
        </w:rPr>
        <w:footnoteReference w:id="237"/>
      </w:r>
      <w:r w:rsidRPr="00DC1FF0">
        <w:rPr>
          <w:rFonts w:ascii="Times New Roman" w:eastAsia="Times New Roman" w:hAnsi="Times New Roman" w:cs="Times New Roman"/>
          <w:sz w:val="24"/>
          <w:szCs w:val="24"/>
        </w:rPr>
        <w:t xml:space="preserve"> Duke would require the successful bidders to enter into the Master Supply SSO Agreement (“MSSA”), which would bind successful suppliers to provide electric supplies for the ESP’s third delivery year.</w:t>
      </w:r>
      <w:r w:rsidRPr="00DC1FF0">
        <w:rPr>
          <w:rFonts w:ascii="Times New Roman" w:eastAsia="Times New Roman" w:hAnsi="Times New Roman" w:cs="Times New Roman"/>
          <w:sz w:val="24"/>
          <w:szCs w:val="24"/>
          <w:vertAlign w:val="superscript"/>
        </w:rPr>
        <w:footnoteReference w:id="238"/>
      </w:r>
      <w:r w:rsidRPr="00DC1FF0">
        <w:rPr>
          <w:rFonts w:ascii="Times New Roman" w:eastAsia="Times New Roman" w:hAnsi="Times New Roman" w:cs="Times New Roman"/>
          <w:sz w:val="24"/>
          <w:szCs w:val="24"/>
        </w:rPr>
        <w:t xml:space="preserve"> Nevertheless, the MSSA would unreasonably permit Duke to terminate the agreement for the third delivery year -- without recourse by the selected suppliers.</w:t>
      </w:r>
      <w:r w:rsidRPr="00DC1FF0">
        <w:rPr>
          <w:rFonts w:ascii="Times New Roman" w:eastAsia="Times New Roman" w:hAnsi="Times New Roman" w:cs="Times New Roman"/>
          <w:sz w:val="24"/>
          <w:szCs w:val="24"/>
          <w:vertAlign w:val="superscript"/>
        </w:rPr>
        <w:footnoteReference w:id="239"/>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its Initial Brief, OCC explained that multiple parties -- including suppliers,</w:t>
      </w:r>
      <w:r w:rsidRPr="00DC1FF0">
        <w:rPr>
          <w:rFonts w:ascii="Times New Roman" w:eastAsia="Times New Roman" w:hAnsi="Times New Roman" w:cs="Times New Roman"/>
          <w:sz w:val="24"/>
          <w:szCs w:val="24"/>
          <w:vertAlign w:val="superscript"/>
        </w:rPr>
        <w:footnoteReference w:id="240"/>
      </w:r>
      <w:r w:rsidR="0049158E">
        <w:rPr>
          <w:rFonts w:ascii="Times New Roman" w:eastAsia="Times New Roman" w:hAnsi="Times New Roman" w:cs="Times New Roman"/>
          <w:sz w:val="24"/>
          <w:szCs w:val="24"/>
        </w:rPr>
        <w:t xml:space="preserve"> the PUCO</w:t>
      </w:r>
      <w:r w:rsidRPr="00DC1FF0">
        <w:rPr>
          <w:rFonts w:ascii="Times New Roman" w:eastAsia="Times New Roman" w:hAnsi="Times New Roman" w:cs="Times New Roman"/>
          <w:sz w:val="24"/>
          <w:szCs w:val="24"/>
        </w:rPr>
        <w:t xml:space="preserve"> Staff,</w:t>
      </w:r>
      <w:r w:rsidRPr="00DC1FF0">
        <w:rPr>
          <w:rFonts w:ascii="Times New Roman" w:eastAsia="Times New Roman" w:hAnsi="Times New Roman" w:cs="Times New Roman"/>
          <w:sz w:val="24"/>
          <w:szCs w:val="24"/>
          <w:vertAlign w:val="superscript"/>
        </w:rPr>
        <w:footnoteReference w:id="241"/>
      </w:r>
      <w:r w:rsidRPr="00DC1FF0">
        <w:rPr>
          <w:rFonts w:ascii="Times New Roman" w:eastAsia="Times New Roman" w:hAnsi="Times New Roman" w:cs="Times New Roman"/>
          <w:sz w:val="24"/>
          <w:szCs w:val="24"/>
        </w:rPr>
        <w:t xml:space="preserve"> and even Duke witness Lee -- acknowledge that the uncertainty and instability due to the early termination provisions of the MSSA would subject wholesale suppliers to increased risks. In turn, these risks could stifle competition and result in higher SSO prices.</w:t>
      </w:r>
      <w:r w:rsidRPr="00DC1FF0">
        <w:rPr>
          <w:rFonts w:ascii="Times New Roman" w:eastAsia="Times New Roman" w:hAnsi="Times New Roman" w:cs="Times New Roman"/>
          <w:sz w:val="24"/>
          <w:szCs w:val="24"/>
          <w:vertAlign w:val="superscript"/>
        </w:rPr>
        <w:footnoteReference w:id="242"/>
      </w:r>
      <w:r w:rsidRPr="00DC1FF0">
        <w:rPr>
          <w:rFonts w:ascii="Times New Roman" w:eastAsia="Times New Roman" w:hAnsi="Times New Roman" w:cs="Times New Roman"/>
          <w:sz w:val="24"/>
          <w:szCs w:val="24"/>
        </w:rPr>
        <w:t xml:space="preserve"> These parties reiterate these concerns in their initial briefs. Staff maintains that, “Duke’s proposal will introduce unnecessary risk and uncertainty into the SSO supply procurement process, perhaps leading to chilled participation levels and less than robust winning bid prices in the auction.”</w:t>
      </w:r>
      <w:r w:rsidRPr="00DC1FF0">
        <w:rPr>
          <w:rFonts w:ascii="Times New Roman" w:eastAsia="Times New Roman" w:hAnsi="Times New Roman" w:cs="Times New Roman"/>
          <w:sz w:val="24"/>
          <w:szCs w:val="24"/>
          <w:vertAlign w:val="superscript"/>
        </w:rPr>
        <w:footnoteReference w:id="243"/>
      </w:r>
      <w:r w:rsidRPr="00DC1FF0">
        <w:rPr>
          <w:rFonts w:ascii="Times New Roman" w:eastAsia="Times New Roman" w:hAnsi="Times New Roman" w:cs="Times New Roman"/>
          <w:sz w:val="24"/>
          <w:szCs w:val="24"/>
        </w:rPr>
        <w:t xml:space="preserve"> Constellation/Exelon explains that, “Giving Duke discretion to decide on a moment’s notice to end the ESP a year earlier than scheduled creates tremendous uncertainty within the market, adds risk (and cost), all of which could chill competition.”</w:t>
      </w:r>
      <w:r w:rsidRPr="00DC1FF0">
        <w:rPr>
          <w:rFonts w:ascii="Times New Roman" w:eastAsia="Times New Roman" w:hAnsi="Times New Roman" w:cs="Times New Roman"/>
          <w:sz w:val="24"/>
          <w:szCs w:val="24"/>
          <w:vertAlign w:val="superscript"/>
        </w:rPr>
        <w:footnoteReference w:id="244"/>
      </w:r>
      <w:r w:rsidRPr="00DC1FF0">
        <w:rPr>
          <w:rFonts w:ascii="Times New Roman" w:eastAsia="Times New Roman" w:hAnsi="Times New Roman" w:cs="Times New Roman"/>
          <w:sz w:val="24"/>
          <w:szCs w:val="24"/>
        </w:rPr>
        <w:t xml:space="preserve"> RESA notes that, “[T]he early termination provision will impose on customers, CRES providers, SSO suppliers, and both competitive retail and wholesale markets a high degree of uncertainty and instability.”</w:t>
      </w:r>
      <w:r w:rsidRPr="00DC1FF0">
        <w:rPr>
          <w:rFonts w:ascii="Times New Roman" w:eastAsia="Times New Roman" w:hAnsi="Times New Roman" w:cs="Times New Roman"/>
          <w:sz w:val="24"/>
          <w:szCs w:val="24"/>
          <w:vertAlign w:val="superscript"/>
        </w:rPr>
        <w:footnoteReference w:id="245"/>
      </w:r>
      <w:r w:rsidRPr="00DC1FF0">
        <w:rPr>
          <w:rFonts w:ascii="Times New Roman" w:eastAsia="Times New Roman" w:hAnsi="Times New Roman" w:cs="Times New Roman"/>
          <w:sz w:val="24"/>
          <w:szCs w:val="24"/>
        </w:rPr>
        <w:t xml:space="preserve"> </w:t>
      </w:r>
    </w:p>
    <w:p w:rsidR="00DC1FF0" w:rsidRPr="00DC1FF0" w:rsidRDefault="00DC1FF0" w:rsidP="00DC1FF0">
      <w:pPr>
        <w:pStyle w:val="Heading2"/>
        <w:rPr>
          <w:rFonts w:ascii="Times New Roman" w:eastAsia="Times New Roman" w:hAnsi="Times New Roman" w:cs="Times New Roman"/>
          <w:szCs w:val="24"/>
        </w:rPr>
      </w:pPr>
      <w:bookmarkStart w:id="33" w:name="_Toc407632226"/>
      <w:r w:rsidRPr="00DC1FF0">
        <w:rPr>
          <w:rFonts w:ascii="Times New Roman" w:eastAsia="Times New Roman" w:hAnsi="Times New Roman" w:cs="Times New Roman"/>
          <w:szCs w:val="24"/>
        </w:rPr>
        <w:t>C.</w:t>
      </w:r>
      <w:r w:rsidRPr="00DC1FF0">
        <w:rPr>
          <w:rFonts w:ascii="Times New Roman" w:eastAsia="Times New Roman" w:hAnsi="Times New Roman" w:cs="Times New Roman"/>
          <w:szCs w:val="24"/>
        </w:rPr>
        <w:tab/>
        <w:t xml:space="preserve">Duke’s </w:t>
      </w:r>
      <w:r w:rsidR="00D77C8B" w:rsidRPr="00DC1FF0">
        <w:rPr>
          <w:rFonts w:ascii="Times New Roman" w:eastAsia="Times New Roman" w:hAnsi="Times New Roman" w:cs="Times New Roman"/>
          <w:szCs w:val="24"/>
        </w:rPr>
        <w:t xml:space="preserve">Early Termination Proposal Is Overly Vague And Neither </w:t>
      </w:r>
      <w:r w:rsidRPr="00DC1FF0">
        <w:rPr>
          <w:rFonts w:ascii="Times New Roman" w:eastAsia="Times New Roman" w:hAnsi="Times New Roman" w:cs="Times New Roman"/>
          <w:szCs w:val="24"/>
        </w:rPr>
        <w:t xml:space="preserve">Duke’s Application </w:t>
      </w:r>
      <w:r w:rsidR="00D77C8B" w:rsidRPr="00DC1FF0">
        <w:rPr>
          <w:rFonts w:ascii="Times New Roman" w:eastAsia="Times New Roman" w:hAnsi="Times New Roman" w:cs="Times New Roman"/>
          <w:szCs w:val="24"/>
        </w:rPr>
        <w:t>Nor Its Initial Brief Provide Any Statutory Authority In Support</w:t>
      </w:r>
      <w:r w:rsidRPr="00DC1FF0">
        <w:rPr>
          <w:rFonts w:ascii="Times New Roman" w:eastAsia="Times New Roman" w:hAnsi="Times New Roman" w:cs="Times New Roman"/>
          <w:szCs w:val="24"/>
        </w:rPr>
        <w:t>.</w:t>
      </w:r>
      <w:bookmarkEnd w:id="33"/>
      <w:r w:rsidRPr="00DC1FF0">
        <w:rPr>
          <w:rFonts w:ascii="Times New Roman" w:eastAsia="Times New Roman" w:hAnsi="Times New Roman" w:cs="Times New Roman"/>
          <w:szCs w:val="24"/>
        </w:rPr>
        <w:t xml:space="preserve">  </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No party to this proceeding supports Duke’s early termination proposal. Rather OCC, Staff, RESA, Constellation/Exelon, Direct Energy, and the Kroger all recommend that it be rejected.</w:t>
      </w:r>
      <w:r w:rsidRPr="00DC1FF0">
        <w:rPr>
          <w:rFonts w:ascii="Times New Roman" w:eastAsia="Times New Roman" w:hAnsi="Times New Roman" w:cs="Times New Roman"/>
          <w:sz w:val="24"/>
          <w:szCs w:val="24"/>
          <w:vertAlign w:val="superscript"/>
        </w:rPr>
        <w:footnoteReference w:id="246"/>
      </w:r>
      <w:r w:rsidRPr="00DC1FF0">
        <w:rPr>
          <w:rFonts w:ascii="Times New Roman" w:eastAsia="Times New Roman" w:hAnsi="Times New Roman" w:cs="Times New Roman"/>
          <w:sz w:val="24"/>
          <w:szCs w:val="24"/>
        </w:rPr>
        <w:t xml:space="preserve"> OCC agrees with Direct Energy’s concern that the proposed language of Duke’s early termination proposal is vague and ambiguous.</w:t>
      </w:r>
      <w:r w:rsidRPr="00DC1FF0">
        <w:rPr>
          <w:rFonts w:ascii="Times New Roman" w:eastAsia="Times New Roman" w:hAnsi="Times New Roman" w:cs="Times New Roman"/>
          <w:sz w:val="24"/>
          <w:szCs w:val="24"/>
          <w:vertAlign w:val="superscript"/>
        </w:rPr>
        <w:footnoteReference w:id="247"/>
      </w:r>
      <w:r w:rsidRPr="00DC1FF0">
        <w:rPr>
          <w:rFonts w:ascii="Times New Roman" w:eastAsia="Times New Roman" w:hAnsi="Times New Roman" w:cs="Times New Roman"/>
          <w:sz w:val="24"/>
          <w:szCs w:val="24"/>
        </w:rPr>
        <w:t xml:space="preserve"> Under the language, Duke could argue that virtually any change in Ohio or federal law or any subsequent PUCO decision that remotely relates to the ESP could be grounds to terminate.</w:t>
      </w:r>
      <w:r w:rsidRPr="00DC1FF0">
        <w:rPr>
          <w:rFonts w:ascii="Times New Roman" w:eastAsia="Times New Roman" w:hAnsi="Times New Roman" w:cs="Times New Roman"/>
          <w:sz w:val="24"/>
          <w:szCs w:val="24"/>
          <w:vertAlign w:val="superscript"/>
        </w:rPr>
        <w:footnoteReference w:id="248"/>
      </w:r>
      <w:r w:rsidRPr="00DC1FF0">
        <w:rPr>
          <w:rFonts w:ascii="Times New Roman" w:eastAsia="Times New Roman" w:hAnsi="Times New Roman" w:cs="Times New Roman"/>
          <w:sz w:val="24"/>
          <w:szCs w:val="24"/>
        </w:rPr>
        <w:t xml:space="preserve"> Exelon also shares this concern, noting that “there is no objective criterion by which Duke may avail itself of the provision, or by which the Commission would evaluate whether Duke’s election of the termination provision is proper.”</w:t>
      </w:r>
      <w:r w:rsidRPr="00DC1FF0">
        <w:rPr>
          <w:rFonts w:ascii="Times New Roman" w:eastAsia="Times New Roman" w:hAnsi="Times New Roman" w:cs="Times New Roman"/>
          <w:sz w:val="24"/>
          <w:szCs w:val="24"/>
          <w:vertAlign w:val="superscript"/>
        </w:rPr>
        <w:footnoteReference w:id="249"/>
      </w:r>
      <w:r w:rsidRPr="00DC1FF0">
        <w:rPr>
          <w:rFonts w:ascii="Times New Roman" w:eastAsia="Times New Roman" w:hAnsi="Times New Roman" w:cs="Times New Roman"/>
          <w:sz w:val="24"/>
          <w:szCs w:val="24"/>
        </w:rPr>
        <w:t xml:space="preserve"> For this reason alone, Duke’s proposal should be rejected.</w:t>
      </w:r>
    </w:p>
    <w:p w:rsidR="00DC1FF0" w:rsidRPr="00DC1FF0" w:rsidRDefault="00DC1FF0" w:rsidP="00DC1FF0">
      <w:pPr>
        <w:spacing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OCC also notes that the Kroger Company, RESA, and Exelon agree with OCC’s analysis that early termination is not authorized by statute.</w:t>
      </w:r>
      <w:r w:rsidRPr="00DC1FF0">
        <w:rPr>
          <w:rFonts w:ascii="Times New Roman" w:eastAsia="Times New Roman" w:hAnsi="Times New Roman" w:cs="Times New Roman"/>
          <w:sz w:val="24"/>
          <w:szCs w:val="24"/>
          <w:vertAlign w:val="superscript"/>
        </w:rPr>
        <w:footnoteReference w:id="250"/>
      </w:r>
      <w:r w:rsidRPr="00DC1FF0">
        <w:rPr>
          <w:rFonts w:ascii="Times New Roman" w:eastAsia="Times New Roman" w:hAnsi="Times New Roman" w:cs="Times New Roman"/>
          <w:sz w:val="24"/>
          <w:szCs w:val="24"/>
        </w:rPr>
        <w:t xml:space="preserve"> Duke cites no statutory support in its Application or Initial Brief. Accordingly, Duke’s early </w:t>
      </w:r>
      <w:r w:rsidR="003B740D" w:rsidRPr="00DC1FF0">
        <w:rPr>
          <w:rFonts w:ascii="Times New Roman" w:eastAsia="Times New Roman" w:hAnsi="Times New Roman" w:cs="Times New Roman"/>
          <w:sz w:val="24"/>
          <w:szCs w:val="24"/>
        </w:rPr>
        <w:t>termination</w:t>
      </w:r>
      <w:r w:rsidRPr="00DC1FF0">
        <w:rPr>
          <w:rFonts w:ascii="Times New Roman" w:eastAsia="Times New Roman" w:hAnsi="Times New Roman" w:cs="Times New Roman"/>
          <w:sz w:val="24"/>
          <w:szCs w:val="24"/>
        </w:rPr>
        <w:t xml:space="preserve"> proposal should be rejected for the reasons stated in OCC’s Initial Brief.</w:t>
      </w:r>
      <w:r w:rsidRPr="00DC1FF0">
        <w:rPr>
          <w:rStyle w:val="FootnoteReference"/>
          <w:rFonts w:ascii="Times New Roman" w:eastAsia="Times New Roman" w:hAnsi="Times New Roman" w:cs="Times New Roman"/>
          <w:sz w:val="24"/>
          <w:szCs w:val="24"/>
        </w:rPr>
        <w:footnoteReference w:id="251"/>
      </w:r>
    </w:p>
    <w:p w:rsidR="00DC1FF0" w:rsidRPr="00DC1FF0" w:rsidRDefault="00DC1FF0" w:rsidP="00DC1FF0">
      <w:pPr>
        <w:pStyle w:val="Heading1"/>
        <w:rPr>
          <w:rFonts w:ascii="Times New Roman" w:hAnsi="Times New Roman" w:cs="Times New Roman"/>
          <w:szCs w:val="24"/>
        </w:rPr>
      </w:pPr>
      <w:bookmarkStart w:id="34" w:name="_Toc407632227"/>
      <w:r w:rsidRPr="00DC1FF0">
        <w:rPr>
          <w:rFonts w:ascii="Times New Roman" w:hAnsi="Times New Roman" w:cs="Times New Roman"/>
          <w:szCs w:val="24"/>
        </w:rPr>
        <w:t>SEET ROE THRESHOLD</w:t>
      </w:r>
      <w:bookmarkEnd w:id="34"/>
    </w:p>
    <w:p w:rsidR="00DC1FF0" w:rsidRPr="00DC1FF0" w:rsidRDefault="00DC1FF0" w:rsidP="00DC1FF0">
      <w:pPr>
        <w:pStyle w:val="Heading2"/>
        <w:rPr>
          <w:rFonts w:ascii="Times New Roman" w:eastAsia="Times New Roman" w:hAnsi="Times New Roman" w:cs="Times New Roman"/>
          <w:szCs w:val="24"/>
        </w:rPr>
      </w:pPr>
      <w:bookmarkStart w:id="35" w:name="_Toc407632228"/>
      <w:r w:rsidRPr="00DC1FF0">
        <w:rPr>
          <w:rFonts w:ascii="Times New Roman" w:eastAsia="Times New Roman" w:hAnsi="Times New Roman" w:cs="Times New Roman"/>
          <w:szCs w:val="24"/>
        </w:rPr>
        <w:t>A.</w:t>
      </w:r>
      <w:r w:rsidRPr="00DC1FF0">
        <w:rPr>
          <w:rFonts w:ascii="Times New Roman" w:eastAsia="Times New Roman" w:hAnsi="Times New Roman" w:cs="Times New Roman"/>
          <w:szCs w:val="24"/>
        </w:rPr>
        <w:tab/>
        <w:t xml:space="preserve">Duke </w:t>
      </w:r>
      <w:r w:rsidR="00D77C8B" w:rsidRPr="00DC1FF0">
        <w:rPr>
          <w:rFonts w:ascii="Times New Roman" w:eastAsia="Times New Roman" w:hAnsi="Times New Roman" w:cs="Times New Roman"/>
          <w:szCs w:val="24"/>
        </w:rPr>
        <w:t xml:space="preserve">Fails To Provide Evidence Justifying A </w:t>
      </w:r>
      <w:r w:rsidRPr="00DC1FF0">
        <w:rPr>
          <w:rFonts w:ascii="Times New Roman" w:eastAsia="Times New Roman" w:hAnsi="Times New Roman" w:cs="Times New Roman"/>
          <w:szCs w:val="24"/>
        </w:rPr>
        <w:t xml:space="preserve">SEET ROE Threshold </w:t>
      </w:r>
      <w:r w:rsidR="00D77C8B" w:rsidRPr="00DC1FF0">
        <w:rPr>
          <w:rFonts w:ascii="Times New Roman" w:eastAsia="Times New Roman" w:hAnsi="Times New Roman" w:cs="Times New Roman"/>
          <w:szCs w:val="24"/>
        </w:rPr>
        <w:t>Of 15 Percent</w:t>
      </w:r>
      <w:r w:rsidRPr="00DC1FF0">
        <w:rPr>
          <w:rFonts w:ascii="Times New Roman" w:eastAsia="Times New Roman" w:hAnsi="Times New Roman" w:cs="Times New Roman"/>
          <w:szCs w:val="24"/>
        </w:rPr>
        <w:t>.</w:t>
      </w:r>
      <w:bookmarkEnd w:id="35"/>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Duke proposes a SEET that incorporates a 15 percent return on equity (“ROE”) threshold. Duke’s sole basis for proposing a 15 percent ROE is that it was established in a settlement of Duke’s current ESP, which specifically provided that it shall not be binding, or be offered in or relied on, in any other proceeding.</w:t>
      </w:r>
      <w:r w:rsidRPr="00DC1FF0">
        <w:rPr>
          <w:rFonts w:ascii="Times New Roman" w:eastAsia="Times New Roman" w:hAnsi="Times New Roman" w:cs="Times New Roman"/>
          <w:sz w:val="24"/>
          <w:szCs w:val="24"/>
          <w:vertAlign w:val="superscript"/>
        </w:rPr>
        <w:footnoteReference w:id="252"/>
      </w:r>
      <w:r w:rsidR="00947997">
        <w:rPr>
          <w:rFonts w:ascii="Times New Roman" w:eastAsia="Times New Roman" w:hAnsi="Times New Roman" w:cs="Times New Roman"/>
          <w:sz w:val="24"/>
          <w:szCs w:val="24"/>
        </w:rPr>
        <w:t xml:space="preserve"> </w:t>
      </w:r>
      <w:r w:rsidRPr="00DC1FF0">
        <w:rPr>
          <w:rFonts w:ascii="Times New Roman" w:eastAsia="Times New Roman" w:hAnsi="Times New Roman" w:cs="Times New Roman"/>
          <w:sz w:val="24"/>
          <w:szCs w:val="24"/>
        </w:rPr>
        <w:t>Duke offers no further justification or analysis for the 15 percent SEET ROE Threshold in its Initial Brief.</w:t>
      </w:r>
    </w:p>
    <w:p w:rsidR="00DC1FF0" w:rsidRPr="00DC1FF0" w:rsidRDefault="00DC1FF0" w:rsidP="00D77C8B">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In contrast, OCC witness Kahal established that important changes have taken place since Duke’s last ESP proceeding that support a significant reduction in the SEET ROE Threshold.</w:t>
      </w:r>
      <w:r w:rsidRPr="00DC1FF0">
        <w:rPr>
          <w:rFonts w:ascii="Times New Roman" w:eastAsia="Times New Roman" w:hAnsi="Times New Roman" w:cs="Times New Roman"/>
          <w:sz w:val="24"/>
          <w:szCs w:val="24"/>
          <w:vertAlign w:val="superscript"/>
        </w:rPr>
        <w:footnoteReference w:id="253"/>
      </w:r>
      <w:r w:rsidRPr="00DC1FF0">
        <w:rPr>
          <w:rFonts w:ascii="Times New Roman" w:eastAsia="Times New Roman" w:hAnsi="Times New Roman" w:cs="Times New Roman"/>
          <w:sz w:val="24"/>
          <w:szCs w:val="24"/>
        </w:rPr>
        <w:t xml:space="preserve"> Such changes include: the decline of the market cost of capital; Duke’s divestiture of substantially all of its generation; and proposed rate rider arrangements.</w:t>
      </w:r>
      <w:r w:rsidRPr="00DC1FF0">
        <w:rPr>
          <w:rFonts w:ascii="Times New Roman" w:eastAsia="Times New Roman" w:hAnsi="Times New Roman" w:cs="Times New Roman"/>
          <w:sz w:val="24"/>
          <w:szCs w:val="24"/>
          <w:vertAlign w:val="superscript"/>
        </w:rPr>
        <w:footnoteReference w:id="254"/>
      </w:r>
      <w:r w:rsidRPr="00DC1FF0">
        <w:rPr>
          <w:rFonts w:ascii="Times New Roman" w:eastAsia="Times New Roman" w:hAnsi="Times New Roman" w:cs="Times New Roman"/>
          <w:sz w:val="24"/>
          <w:szCs w:val="24"/>
        </w:rPr>
        <w:t xml:space="preserve"> Testimony also demonstrated that in th</w:t>
      </w:r>
      <w:r w:rsidR="00D77C8B">
        <w:rPr>
          <w:rFonts w:ascii="Times New Roman" w:eastAsia="Times New Roman" w:hAnsi="Times New Roman" w:cs="Times New Roman"/>
          <w:sz w:val="24"/>
          <w:szCs w:val="24"/>
        </w:rPr>
        <w:t xml:space="preserve">e recent Ohio Power and Dayton </w:t>
      </w:r>
      <w:r w:rsidRPr="00DC1FF0">
        <w:rPr>
          <w:rFonts w:ascii="Times New Roman" w:eastAsia="Times New Roman" w:hAnsi="Times New Roman" w:cs="Times New Roman"/>
          <w:sz w:val="24"/>
          <w:szCs w:val="24"/>
        </w:rPr>
        <w:t>Power &amp; Light (DP&amp;L”) ESP proceedings, the PUCO established a SEET ROE Threshold of 12 percent for each utility.</w:t>
      </w:r>
      <w:r w:rsidRPr="00DC1FF0">
        <w:rPr>
          <w:rFonts w:ascii="Times New Roman" w:eastAsia="Times New Roman" w:hAnsi="Times New Roman" w:cs="Times New Roman"/>
          <w:sz w:val="24"/>
          <w:szCs w:val="24"/>
          <w:vertAlign w:val="superscript"/>
        </w:rPr>
        <w:footnoteReference w:id="255"/>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OCC’s position is that the SEET ROE threshold should be determined in the annual, stand-alone SEET proceedings or, alternatively, if the threshold is set in this proceeding, it should be set at 12 percent.</w:t>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OPAE supports OCC’s position that it is not necessary for the PUCO to approve the SEET threshold at this time and instead notes that the SEET ROE Threshold can be set in annual proceedings.</w:t>
      </w:r>
      <w:r w:rsidRPr="00DC1FF0">
        <w:rPr>
          <w:rFonts w:ascii="Times New Roman" w:eastAsia="Times New Roman" w:hAnsi="Times New Roman" w:cs="Times New Roman"/>
          <w:sz w:val="24"/>
          <w:szCs w:val="24"/>
          <w:vertAlign w:val="superscript"/>
        </w:rPr>
        <w:footnoteReference w:id="256"/>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OPAE also concurs with OCC’s position on brief that Duke’s proposed SEET threshold of 15 percent is too high.</w:t>
      </w:r>
      <w:r w:rsidRPr="00DC1FF0">
        <w:rPr>
          <w:rFonts w:ascii="Times New Roman" w:eastAsia="Times New Roman" w:hAnsi="Times New Roman" w:cs="Times New Roman"/>
          <w:sz w:val="24"/>
          <w:szCs w:val="24"/>
          <w:vertAlign w:val="superscript"/>
        </w:rPr>
        <w:footnoteReference w:id="257"/>
      </w:r>
      <w:r w:rsidRPr="00DC1FF0">
        <w:rPr>
          <w:rFonts w:ascii="Times New Roman" w:eastAsia="Times New Roman" w:hAnsi="Times New Roman" w:cs="Times New Roman"/>
          <w:sz w:val="24"/>
          <w:szCs w:val="24"/>
        </w:rPr>
        <w:t xml:space="preserve"> OPAE supports OCC’s recommendation that, if the PUCO determines that the SEET ROE Threshold can be determined in this ESP proceeding, the PUCO should set Duke’s ROE Threshold at 12 percent, a level that is consistent with the PUCO’s Orders in the Ohio Power and the DP&amp;L ESP proceedings.</w:t>
      </w:r>
      <w:r w:rsidRPr="00DC1FF0">
        <w:rPr>
          <w:rFonts w:ascii="Times New Roman" w:eastAsia="Times New Roman" w:hAnsi="Times New Roman" w:cs="Times New Roman"/>
          <w:sz w:val="24"/>
          <w:szCs w:val="24"/>
          <w:vertAlign w:val="superscript"/>
        </w:rPr>
        <w:footnoteReference w:id="258"/>
      </w:r>
    </w:p>
    <w:p w:rsidR="00DC1FF0" w:rsidRPr="00DC1FF0" w:rsidRDefault="00DC1FF0" w:rsidP="00DC1FF0">
      <w:pPr>
        <w:spacing w:after="0" w:line="480" w:lineRule="auto"/>
        <w:ind w:firstLine="720"/>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Accordingly, OCC renews its request, supported by OPAE, to set the SEET ROE Threshold in the annua</w:t>
      </w:r>
      <w:r w:rsidR="00947997">
        <w:rPr>
          <w:rFonts w:ascii="Times New Roman" w:eastAsia="Times New Roman" w:hAnsi="Times New Roman" w:cs="Times New Roman"/>
          <w:sz w:val="24"/>
          <w:szCs w:val="24"/>
        </w:rPr>
        <w:t>l stand-alone SEET proceedings.</w:t>
      </w:r>
      <w:r w:rsidRPr="00DC1FF0">
        <w:rPr>
          <w:rFonts w:ascii="Times New Roman" w:eastAsia="Times New Roman" w:hAnsi="Times New Roman" w:cs="Times New Roman"/>
          <w:sz w:val="24"/>
          <w:szCs w:val="24"/>
        </w:rPr>
        <w:t xml:space="preserve"> If the PUCO decides that the SEET ROE Threshold can be determined prospectively in the current ESP proceeding, then Duke’s SEET ROE Threshold should be set at 12 percent.</w:t>
      </w:r>
      <w:r w:rsidRPr="00DC1FF0">
        <w:rPr>
          <w:rFonts w:ascii="Times New Roman" w:eastAsia="Times New Roman" w:hAnsi="Times New Roman" w:cs="Times New Roman"/>
          <w:sz w:val="24"/>
          <w:szCs w:val="24"/>
          <w:vertAlign w:val="superscript"/>
        </w:rPr>
        <w:t xml:space="preserve"> </w:t>
      </w:r>
      <w:r w:rsidRPr="00DC1FF0">
        <w:rPr>
          <w:rFonts w:ascii="Times New Roman" w:eastAsia="Times New Roman" w:hAnsi="Times New Roman" w:cs="Times New Roman"/>
          <w:sz w:val="24"/>
          <w:szCs w:val="24"/>
          <w:vertAlign w:val="superscript"/>
        </w:rPr>
        <w:footnoteReference w:id="259"/>
      </w:r>
    </w:p>
    <w:p w:rsidR="00DC1FF0" w:rsidRPr="00DC1FF0" w:rsidRDefault="00DC1FF0" w:rsidP="00D77C8B">
      <w:pPr>
        <w:spacing w:after="0" w:line="240" w:lineRule="auto"/>
        <w:rPr>
          <w:rFonts w:ascii="Times New Roman" w:hAnsi="Times New Roman" w:cs="Times New Roman"/>
          <w:sz w:val="24"/>
          <w:szCs w:val="24"/>
        </w:rPr>
      </w:pPr>
    </w:p>
    <w:p w:rsidR="00243869" w:rsidRPr="00DC1FF0" w:rsidRDefault="00926C46" w:rsidP="00926C46">
      <w:pPr>
        <w:pStyle w:val="Heading1"/>
        <w:rPr>
          <w:rFonts w:ascii="Times New Roman" w:hAnsi="Times New Roman" w:cs="Times New Roman"/>
          <w:szCs w:val="24"/>
        </w:rPr>
      </w:pPr>
      <w:bookmarkStart w:id="36" w:name="_Toc407632229"/>
      <w:r w:rsidRPr="00DC1FF0">
        <w:rPr>
          <w:rFonts w:ascii="Times New Roman" w:hAnsi="Times New Roman" w:cs="Times New Roman"/>
          <w:szCs w:val="24"/>
        </w:rPr>
        <w:t>ENROLL FROM YOUR WALLET</w:t>
      </w:r>
      <w:r w:rsidR="002F4634" w:rsidRPr="00DC1FF0">
        <w:rPr>
          <w:rFonts w:ascii="Times New Roman" w:hAnsi="Times New Roman" w:cs="Times New Roman"/>
          <w:szCs w:val="24"/>
        </w:rPr>
        <w:t xml:space="preserve"> Should not be approved</w:t>
      </w:r>
      <w:bookmarkEnd w:id="36"/>
    </w:p>
    <w:p w:rsidR="00DC1FF0" w:rsidRPr="00DC1FF0" w:rsidRDefault="00DC1FF0" w:rsidP="00DC1FF0">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RESA, not Duke proposed a change to the fundamental enrollment process that governs how residential customers may sign up to take competitive electric service from a</w:t>
      </w:r>
      <w:r w:rsidR="00947997">
        <w:rPr>
          <w:rFonts w:ascii="Times New Roman" w:hAnsi="Times New Roman" w:cs="Times New Roman"/>
          <w:sz w:val="24"/>
          <w:szCs w:val="24"/>
        </w:rPr>
        <w:t xml:space="preserve"> CRES supplier.</w:t>
      </w:r>
      <w:r w:rsidRPr="00DC1FF0">
        <w:rPr>
          <w:rFonts w:ascii="Times New Roman" w:hAnsi="Times New Roman" w:cs="Times New Roman"/>
          <w:sz w:val="24"/>
          <w:szCs w:val="24"/>
        </w:rPr>
        <w:t xml:space="preserve"> Under the PUCO’s current rules, a customer must provide their account number to the CRES suppl</w:t>
      </w:r>
      <w:r w:rsidR="00947997">
        <w:rPr>
          <w:rFonts w:ascii="Times New Roman" w:hAnsi="Times New Roman" w:cs="Times New Roman"/>
          <w:sz w:val="24"/>
          <w:szCs w:val="24"/>
        </w:rPr>
        <w:t xml:space="preserve">ier at the time of enrollment. </w:t>
      </w:r>
      <w:r w:rsidRPr="00DC1FF0">
        <w:rPr>
          <w:rFonts w:ascii="Times New Roman" w:hAnsi="Times New Roman" w:cs="Times New Roman"/>
          <w:sz w:val="24"/>
          <w:szCs w:val="24"/>
        </w:rPr>
        <w:t>This requirement serves as a safeguard to protect customers from unauthorized slamming. RESA’s proposal would significantly reduce this protection for customers. RESA’s goal is ostensibly to reduce errors in translation that might occur because customers might not have access to their account number when shopping at the mall or a store.  RESA claims that this change would overcome a “long</w:t>
      </w:r>
      <w:r w:rsidR="00947997">
        <w:rPr>
          <w:rFonts w:ascii="Times New Roman" w:hAnsi="Times New Roman" w:cs="Times New Roman"/>
          <w:sz w:val="24"/>
          <w:szCs w:val="24"/>
        </w:rPr>
        <w:t>-standing barrier to shopping.”</w:t>
      </w:r>
    </w:p>
    <w:p w:rsidR="00DC1FF0" w:rsidRPr="00DC1FF0" w:rsidRDefault="00DC1FF0" w:rsidP="00DC1FF0">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RESA raises this allegation, yet RESA failed to document any actual cases where this “long-standing barrier to shopping” prevented customers from si</w:t>
      </w:r>
      <w:r w:rsidR="0049158E">
        <w:rPr>
          <w:rFonts w:ascii="Times New Roman" w:hAnsi="Times New Roman" w:cs="Times New Roman"/>
          <w:sz w:val="24"/>
          <w:szCs w:val="24"/>
        </w:rPr>
        <w:t>gning up for service, or caused</w:t>
      </w:r>
      <w:r w:rsidRPr="00DC1FF0">
        <w:rPr>
          <w:rFonts w:ascii="Times New Roman" w:hAnsi="Times New Roman" w:cs="Times New Roman"/>
          <w:sz w:val="24"/>
          <w:szCs w:val="24"/>
        </w:rPr>
        <w:t xml:space="preserve"> customers any actual harm. Moreover, RESA provided no documentation in the form of customer surveys or even letters from customers complaining about this “long</w:t>
      </w:r>
      <w:r w:rsidR="00947997">
        <w:rPr>
          <w:rFonts w:ascii="Times New Roman" w:hAnsi="Times New Roman" w:cs="Times New Roman"/>
          <w:sz w:val="24"/>
          <w:szCs w:val="24"/>
        </w:rPr>
        <w:t>-standing barrier to shopping.”</w:t>
      </w:r>
      <w:r w:rsidRPr="00DC1FF0">
        <w:rPr>
          <w:rFonts w:ascii="Times New Roman" w:hAnsi="Times New Roman" w:cs="Times New Roman"/>
          <w:sz w:val="24"/>
          <w:szCs w:val="24"/>
        </w:rPr>
        <w:t xml:space="preserve"> Thus RESA failed to establish that the “long-standing barrier to shopping” actually exists or is a problem.</w:t>
      </w:r>
    </w:p>
    <w:p w:rsidR="00DC1FF0" w:rsidRPr="00DC1FF0" w:rsidRDefault="00DC1FF0" w:rsidP="00DC1FF0">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RESA calls its propo</w:t>
      </w:r>
      <w:r w:rsidR="00947997">
        <w:rPr>
          <w:rFonts w:ascii="Times New Roman" w:hAnsi="Times New Roman" w:cs="Times New Roman"/>
          <w:sz w:val="24"/>
          <w:szCs w:val="24"/>
        </w:rPr>
        <w:t>sal enrolling from your wallet.</w:t>
      </w:r>
      <w:r w:rsidRPr="00DC1FF0">
        <w:rPr>
          <w:rFonts w:ascii="Times New Roman" w:hAnsi="Times New Roman" w:cs="Times New Roman"/>
          <w:sz w:val="24"/>
          <w:szCs w:val="24"/>
        </w:rPr>
        <w:t xml:space="preserve"> Yet the fact is that today a customer can enroll from their wallet, if the customer simply carries their account number with them. The RESA proposal is a solution in search of a problem that does not exist. The PUCO should reject the RESA proposal.</w:t>
      </w:r>
    </w:p>
    <w:p w:rsidR="00DC1FF0" w:rsidRPr="00DC1FF0" w:rsidRDefault="00DC1FF0" w:rsidP="00D77C8B">
      <w:pPr>
        <w:spacing w:after="0" w:line="240" w:lineRule="auto"/>
        <w:rPr>
          <w:rFonts w:ascii="Times New Roman" w:hAnsi="Times New Roman" w:cs="Times New Roman"/>
          <w:sz w:val="24"/>
          <w:szCs w:val="24"/>
        </w:rPr>
      </w:pPr>
    </w:p>
    <w:p w:rsidR="00243869" w:rsidRPr="00DC1FF0" w:rsidRDefault="002F4634" w:rsidP="00926C46">
      <w:pPr>
        <w:pStyle w:val="Heading1"/>
        <w:rPr>
          <w:rFonts w:ascii="Times New Roman" w:hAnsi="Times New Roman" w:cs="Times New Roman"/>
          <w:szCs w:val="24"/>
        </w:rPr>
      </w:pPr>
      <w:bookmarkStart w:id="37" w:name="_Toc407632230"/>
      <w:r w:rsidRPr="00DC1FF0">
        <w:rPr>
          <w:rFonts w:ascii="Times New Roman" w:hAnsi="Times New Roman" w:cs="Times New Roman"/>
          <w:szCs w:val="24"/>
        </w:rPr>
        <w:t xml:space="preserve">The </w:t>
      </w:r>
      <w:r w:rsidR="00926C46" w:rsidRPr="00DC1FF0">
        <w:rPr>
          <w:rFonts w:ascii="Times New Roman" w:hAnsi="Times New Roman" w:cs="Times New Roman"/>
          <w:szCs w:val="24"/>
        </w:rPr>
        <w:t>MARKET ENERGY PLAN</w:t>
      </w:r>
      <w:r w:rsidRPr="00DC1FF0">
        <w:rPr>
          <w:rFonts w:ascii="Times New Roman" w:hAnsi="Times New Roman" w:cs="Times New Roman"/>
          <w:szCs w:val="24"/>
        </w:rPr>
        <w:t xml:space="preserve"> should not be adopted</w:t>
      </w:r>
      <w:bookmarkEnd w:id="37"/>
    </w:p>
    <w:p w:rsidR="00DC1FF0" w:rsidRPr="00DC1FF0"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 xml:space="preserve">RESA also proposed a Market Energy Plan (“MEP”) as a way of reaching out </w:t>
      </w:r>
      <w:r w:rsidR="0049158E">
        <w:rPr>
          <w:rFonts w:ascii="Times New Roman" w:eastAsia="Times New Roman" w:hAnsi="Times New Roman" w:cs="Times New Roman"/>
          <w:sz w:val="24"/>
          <w:szCs w:val="24"/>
        </w:rPr>
        <w:t>and marketing to shopping-</w:t>
      </w:r>
      <w:r w:rsidRPr="00DC1FF0">
        <w:rPr>
          <w:rFonts w:ascii="Times New Roman" w:eastAsia="Times New Roman" w:hAnsi="Times New Roman" w:cs="Times New Roman"/>
          <w:sz w:val="24"/>
          <w:szCs w:val="24"/>
        </w:rPr>
        <w:t>eligible customers in Duke’s service territory.  The key to the MEP is that it would require Duke and not the CRES supplier to market the service to customers. Duke would be required to market electric choice to customers that called except f</w:t>
      </w:r>
      <w:r w:rsidR="00947997">
        <w:rPr>
          <w:rFonts w:ascii="Times New Roman" w:eastAsia="Times New Roman" w:hAnsi="Times New Roman" w:cs="Times New Roman"/>
          <w:sz w:val="24"/>
          <w:szCs w:val="24"/>
        </w:rPr>
        <w:t xml:space="preserve">or termination or emergencies. </w:t>
      </w:r>
      <w:r w:rsidRPr="00DC1FF0">
        <w:rPr>
          <w:rFonts w:ascii="Times New Roman" w:eastAsia="Times New Roman" w:hAnsi="Times New Roman" w:cs="Times New Roman"/>
          <w:sz w:val="24"/>
          <w:szCs w:val="24"/>
        </w:rPr>
        <w:t>That is the Utility would do the work, but the CRES supplier would get the benefit of signing up another customer. The MEP is not a good deal for customers and the PUCO should reject it.</w:t>
      </w:r>
    </w:p>
    <w:p w:rsidR="00ED5BD9" w:rsidRDefault="00DC1FF0" w:rsidP="00DC1FF0">
      <w:pPr>
        <w:spacing w:after="0" w:line="480" w:lineRule="auto"/>
        <w:rPr>
          <w:rFonts w:ascii="Times New Roman" w:eastAsia="Times New Roman" w:hAnsi="Times New Roman" w:cs="Times New Roman"/>
          <w:sz w:val="24"/>
          <w:szCs w:val="24"/>
        </w:rPr>
      </w:pPr>
      <w:r w:rsidRPr="00DC1FF0">
        <w:rPr>
          <w:rFonts w:ascii="Times New Roman" w:eastAsia="Times New Roman" w:hAnsi="Times New Roman" w:cs="Times New Roman"/>
          <w:sz w:val="24"/>
          <w:szCs w:val="24"/>
        </w:rPr>
        <w:tab/>
        <w:t xml:space="preserve">There is nothing to preclude CRES suppliers from offering the same competitive product they propose as part of the MEP -- including a three percent discount from the standard service offer, a six month enrollment period, and no termination fee -- today. The one thing that CRES suppliers do not have today and the one thing that they hope to get from the MEP is </w:t>
      </w:r>
      <w:r w:rsidR="0049158E">
        <w:rPr>
          <w:rFonts w:ascii="Times New Roman" w:eastAsia="Times New Roman" w:hAnsi="Times New Roman" w:cs="Times New Roman"/>
          <w:sz w:val="24"/>
          <w:szCs w:val="24"/>
        </w:rPr>
        <w:t>to have the Utility market</w:t>
      </w:r>
      <w:r w:rsidRPr="00DC1FF0">
        <w:rPr>
          <w:rFonts w:ascii="Times New Roman" w:eastAsia="Times New Roman" w:hAnsi="Times New Roman" w:cs="Times New Roman"/>
          <w:sz w:val="24"/>
          <w:szCs w:val="24"/>
        </w:rPr>
        <w:t xml:space="preserve"> their services. Such a program is not reasonable because it would blur the line between the Utility that offers distribution service and a default option at a regulated price, a</w:t>
      </w:r>
      <w:r w:rsidR="0049158E">
        <w:rPr>
          <w:rFonts w:ascii="Times New Roman" w:eastAsia="Times New Roman" w:hAnsi="Times New Roman" w:cs="Times New Roman"/>
          <w:sz w:val="24"/>
          <w:szCs w:val="24"/>
        </w:rPr>
        <w:t xml:space="preserve">nd the CRES supplier that offers </w:t>
      </w:r>
      <w:r w:rsidRPr="00DC1FF0">
        <w:rPr>
          <w:rFonts w:ascii="Times New Roman" w:eastAsia="Times New Roman" w:hAnsi="Times New Roman" w:cs="Times New Roman"/>
          <w:sz w:val="24"/>
          <w:szCs w:val="24"/>
        </w:rPr>
        <w:t>competitive commodity services at a for profit price. Today, some customers still struggle to differentiate between the service provided by the utility and CRES suppliers. Injecting the Utility into the marketing of the commodity service would only add to any confusion that exists today. The PUCO should reject the RESA MEP proposal.</w:t>
      </w:r>
    </w:p>
    <w:p w:rsidR="00DC1FF0" w:rsidRPr="00DC1FF0" w:rsidRDefault="00DC1FF0" w:rsidP="00DC1FF0">
      <w:pPr>
        <w:spacing w:after="0" w:line="240" w:lineRule="auto"/>
        <w:rPr>
          <w:rFonts w:ascii="Times New Roman" w:eastAsia="Times New Roman" w:hAnsi="Times New Roman" w:cs="Times New Roman"/>
          <w:sz w:val="24"/>
          <w:szCs w:val="24"/>
        </w:rPr>
      </w:pPr>
    </w:p>
    <w:p w:rsidR="006857BB" w:rsidRPr="00DC1FF0" w:rsidRDefault="006857BB" w:rsidP="00A40A7F">
      <w:pPr>
        <w:pStyle w:val="Heading1"/>
        <w:rPr>
          <w:rFonts w:ascii="Times New Roman" w:hAnsi="Times New Roman" w:cs="Times New Roman"/>
          <w:szCs w:val="24"/>
        </w:rPr>
      </w:pPr>
      <w:bookmarkStart w:id="38" w:name="_Toc407632231"/>
      <w:r w:rsidRPr="00DC1FF0">
        <w:rPr>
          <w:rFonts w:ascii="Times New Roman" w:hAnsi="Times New Roman" w:cs="Times New Roman"/>
          <w:szCs w:val="24"/>
        </w:rPr>
        <w:t>CONCLUSION</w:t>
      </w:r>
      <w:bookmarkEnd w:id="38"/>
    </w:p>
    <w:p w:rsidR="008A4B54" w:rsidRPr="008A4B54" w:rsidRDefault="008A4B54" w:rsidP="008A4B54">
      <w:pPr>
        <w:tabs>
          <w:tab w:val="left" w:pos="3521"/>
        </w:tabs>
        <w:spacing w:after="0" w:line="480" w:lineRule="auto"/>
        <w:ind w:firstLine="720"/>
        <w:rPr>
          <w:rFonts w:ascii="Times New Roman" w:hAnsi="Times New Roman" w:cs="Times New Roman"/>
          <w:sz w:val="24"/>
          <w:szCs w:val="24"/>
        </w:rPr>
      </w:pPr>
      <w:r w:rsidRPr="008A4B54">
        <w:rPr>
          <w:rFonts w:ascii="Times New Roman" w:hAnsi="Times New Roman" w:cs="Times New Roman"/>
          <w:sz w:val="24"/>
          <w:szCs w:val="24"/>
        </w:rPr>
        <w:t>Duke has proposed an electric security plan that harms both customers and the competitive market. Duke’s proposed PSR would cost customers at least $22 million during the term of the ESP and potentially millions more in the future. It would require customers to subsidize Duke’s ownership interest in OVEC, violating numerous laws. Duke is supposed to be on its own in the competitive market. This means that shareholders, not customers, should bear the risk of the Duke’s OVEC interest. Additionally, the PSR is not a permissible provision under R.C. 4928.143.  It does not stabilize or provide certainty for retail electric service. It is not related to bypassability or default service</w:t>
      </w:r>
      <w:r>
        <w:rPr>
          <w:rFonts w:ascii="Times New Roman" w:hAnsi="Times New Roman" w:cs="Times New Roman"/>
          <w:sz w:val="24"/>
          <w:szCs w:val="24"/>
        </w:rPr>
        <w:t>.</w:t>
      </w:r>
      <w:r w:rsidRPr="008A4B54">
        <w:rPr>
          <w:rFonts w:ascii="Times New Roman" w:hAnsi="Times New Roman" w:cs="Times New Roman"/>
          <w:sz w:val="24"/>
          <w:szCs w:val="24"/>
        </w:rPr>
        <w:t xml:space="preserve"> The PSR is a bad deal for customers. It must be rejected.  </w:t>
      </w:r>
    </w:p>
    <w:p w:rsidR="008A4B54" w:rsidRPr="008A4B54" w:rsidRDefault="008A4B54" w:rsidP="008A4B54">
      <w:pPr>
        <w:tabs>
          <w:tab w:val="left" w:pos="3521"/>
        </w:tabs>
        <w:spacing w:after="0" w:line="480" w:lineRule="auto"/>
        <w:ind w:firstLine="720"/>
        <w:rPr>
          <w:rFonts w:ascii="Times New Roman" w:hAnsi="Times New Roman" w:cs="Times New Roman"/>
          <w:sz w:val="24"/>
          <w:szCs w:val="24"/>
        </w:rPr>
      </w:pPr>
      <w:r w:rsidRPr="008A4B54">
        <w:rPr>
          <w:rFonts w:ascii="Times New Roman" w:hAnsi="Times New Roman" w:cs="Times New Roman"/>
          <w:sz w:val="24"/>
          <w:szCs w:val="24"/>
        </w:rPr>
        <w:t>Duke also proposed a $104 million DCI Rider as part of its electric security plan. The DCI Rider would benefit the Utility by allowing it to expeditiously collect capital investment expenditures from customers. But Duke failed to demonstrate any need for the DC</w:t>
      </w:r>
      <w:r w:rsidR="00BD1A07">
        <w:rPr>
          <w:rFonts w:ascii="Times New Roman" w:hAnsi="Times New Roman" w:cs="Times New Roman"/>
          <w:sz w:val="24"/>
          <w:szCs w:val="24"/>
        </w:rPr>
        <w:t>I Rider. Most importantly, Duke’</w:t>
      </w:r>
      <w:r w:rsidRPr="008A4B54">
        <w:rPr>
          <w:rFonts w:ascii="Times New Roman" w:hAnsi="Times New Roman" w:cs="Times New Roman"/>
          <w:sz w:val="24"/>
          <w:szCs w:val="24"/>
        </w:rPr>
        <w:t>s proposal does not satisfy the law. That law (R.C. 4928.143(h) requires Duke’ expenditures to be infrastructure modernization expenditures and requires Duke’s interests and those of its customers to be aligned with respect to service reliability. They are not because Duke has ignored customers concerns about the cost of service reliability. If the PUCO, however, were to approve the DCI Rider (over OCC and others’ objections), the PUCO should significantly modify the rider. These modifications would have to include establishing annual spending caps, relying on actual spending and not projected spending, eliminating common general plant in the DCI, and accelerated crediting of O&amp;M cost savings.</w:t>
      </w:r>
    </w:p>
    <w:p w:rsidR="008A4B54" w:rsidRPr="008A4B54" w:rsidRDefault="008A4B54" w:rsidP="008A4B54">
      <w:pPr>
        <w:tabs>
          <w:tab w:val="left" w:pos="3521"/>
        </w:tabs>
        <w:spacing w:after="0" w:line="480" w:lineRule="auto"/>
        <w:ind w:firstLine="720"/>
        <w:rPr>
          <w:rFonts w:ascii="Times New Roman" w:hAnsi="Times New Roman" w:cs="Times New Roman"/>
          <w:sz w:val="24"/>
          <w:szCs w:val="24"/>
        </w:rPr>
      </w:pPr>
      <w:r w:rsidRPr="008A4B54">
        <w:rPr>
          <w:rFonts w:ascii="Times New Roman" w:hAnsi="Times New Roman" w:cs="Times New Roman"/>
          <w:sz w:val="24"/>
          <w:szCs w:val="24"/>
        </w:rPr>
        <w:t>The PUCO should also reject the OEG proposal for a longer term PSR. While OEG touts the long term PSR for other customers, it wants its members to be excluded from the PSR charge. OEG’s opt out approach speaks volumes. And the Utility has expressed no interest in such.</w:t>
      </w:r>
    </w:p>
    <w:p w:rsidR="008A4B54" w:rsidRPr="008A4B54" w:rsidRDefault="008A4B54" w:rsidP="008A4B54">
      <w:pPr>
        <w:tabs>
          <w:tab w:val="left" w:pos="3521"/>
        </w:tabs>
        <w:spacing w:after="0" w:line="480" w:lineRule="auto"/>
        <w:ind w:firstLine="720"/>
        <w:rPr>
          <w:rFonts w:ascii="Times New Roman" w:hAnsi="Times New Roman" w:cs="Times New Roman"/>
          <w:sz w:val="24"/>
          <w:szCs w:val="24"/>
        </w:rPr>
      </w:pPr>
      <w:r w:rsidRPr="008A4B54">
        <w:rPr>
          <w:rFonts w:ascii="Times New Roman" w:hAnsi="Times New Roman" w:cs="Times New Roman"/>
          <w:sz w:val="24"/>
          <w:szCs w:val="24"/>
        </w:rPr>
        <w:t xml:space="preserve">The PUCO should also reject the RESA proposals for the “Enroll from your Wallet” and “Market Energy Plan.” There is no record to support these proposals. Additionally, the proposals would undermine customers’ efforts to make thoughtful decisions about their energy needs. The proposals would also force the regulated Utility to market unregulated services to customers. These proposals will harm, not benefit customers. </w:t>
      </w:r>
    </w:p>
    <w:p w:rsidR="008A4B54" w:rsidRPr="008A4B54" w:rsidRDefault="008A4B54" w:rsidP="008A4B54">
      <w:pPr>
        <w:tabs>
          <w:tab w:val="left" w:pos="3521"/>
        </w:tabs>
        <w:spacing w:after="0" w:line="480" w:lineRule="auto"/>
        <w:ind w:firstLine="720"/>
        <w:rPr>
          <w:rFonts w:ascii="Times New Roman" w:hAnsi="Times New Roman" w:cs="Times New Roman"/>
          <w:sz w:val="24"/>
          <w:szCs w:val="24"/>
        </w:rPr>
      </w:pPr>
      <w:r w:rsidRPr="008A4B54">
        <w:rPr>
          <w:rFonts w:ascii="Times New Roman" w:hAnsi="Times New Roman" w:cs="Times New Roman"/>
          <w:sz w:val="24"/>
          <w:szCs w:val="24"/>
        </w:rPr>
        <w:t>Finally, the PUCO should reject Duke’s proposed 15% SEET threshold. The PUCO should adopt a more reasonable level of 12%. Alternatively, the PUCO should address this issue in Duke’s annual SEET proceeding.</w:t>
      </w:r>
    </w:p>
    <w:p w:rsidR="00035356" w:rsidRDefault="00035356">
      <w:pPr>
        <w:rPr>
          <w:rFonts w:ascii="Times New Roman" w:eastAsia="Times New Roman" w:hAnsi="Times New Roman" w:cs="Times New Roman"/>
          <w:sz w:val="24"/>
          <w:szCs w:val="24"/>
        </w:rPr>
      </w:pPr>
    </w:p>
    <w:p w:rsidR="00650D00" w:rsidRPr="00DC1FF0" w:rsidRDefault="00650D00" w:rsidP="00650D00">
      <w:pPr>
        <w:pStyle w:val="BodyTextIndent3"/>
        <w:widowControl w:val="0"/>
        <w:spacing w:line="240" w:lineRule="auto"/>
        <w:ind w:left="3960" w:right="-672" w:firstLine="360"/>
        <w:rPr>
          <w:szCs w:val="24"/>
        </w:rPr>
      </w:pPr>
      <w:r w:rsidRPr="00DC1FF0">
        <w:rPr>
          <w:szCs w:val="24"/>
        </w:rPr>
        <w:t>Respectfully submitted,</w:t>
      </w:r>
    </w:p>
    <w:p w:rsidR="00650D00" w:rsidRPr="00DC1FF0" w:rsidRDefault="00650D00" w:rsidP="00650D00">
      <w:pPr>
        <w:pStyle w:val="BodyTextIndent3"/>
        <w:widowControl w:val="0"/>
        <w:spacing w:line="240" w:lineRule="auto"/>
        <w:ind w:left="3960" w:right="-672" w:firstLine="360"/>
        <w:rPr>
          <w:szCs w:val="24"/>
        </w:rPr>
      </w:pPr>
    </w:p>
    <w:p w:rsidR="00650D00" w:rsidRPr="00DC1FF0" w:rsidRDefault="00650D00" w:rsidP="00650D00">
      <w:pPr>
        <w:pStyle w:val="Footer"/>
        <w:tabs>
          <w:tab w:val="clear" w:pos="8640"/>
          <w:tab w:val="left" w:pos="4320"/>
        </w:tabs>
        <w:spacing w:line="240" w:lineRule="auto"/>
      </w:pPr>
      <w:r w:rsidRPr="00DC1FF0">
        <w:tab/>
      </w:r>
      <w:r w:rsidRPr="00DC1FF0">
        <w:tab/>
        <w:t>BRUCE J. WESTON</w:t>
      </w:r>
    </w:p>
    <w:p w:rsidR="00650D00" w:rsidRPr="00DC1FF0" w:rsidRDefault="00650D00" w:rsidP="00650D00">
      <w:pPr>
        <w:tabs>
          <w:tab w:val="left" w:pos="4320"/>
        </w:tabs>
        <w:spacing w:after="0" w:line="240" w:lineRule="auto"/>
        <w:rPr>
          <w:rFonts w:ascii="Times New Roman" w:hAnsi="Times New Roman" w:cs="Times New Roman"/>
          <w:sz w:val="24"/>
          <w:szCs w:val="24"/>
        </w:rPr>
      </w:pPr>
      <w:r w:rsidRPr="00DC1FF0">
        <w:rPr>
          <w:rFonts w:ascii="Times New Roman" w:hAnsi="Times New Roman" w:cs="Times New Roman"/>
          <w:sz w:val="24"/>
          <w:szCs w:val="24"/>
        </w:rPr>
        <w:tab/>
        <w:t>OHIO CONSUMERS’ COUNSEL</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i/>
          <w:color w:val="000000"/>
          <w:sz w:val="24"/>
          <w:szCs w:val="24"/>
          <w:u w:val="single"/>
        </w:rPr>
        <w:t>/s/ Maureen R. Grady</w:t>
      </w:r>
      <w:r w:rsidRPr="00DC1FF0">
        <w:rPr>
          <w:rFonts w:ascii="Times New Roman" w:hAnsi="Times New Roman" w:cs="Times New Roman"/>
          <w:color w:val="000000"/>
          <w:sz w:val="24"/>
          <w:szCs w:val="24"/>
        </w:rPr>
        <w:t>__________</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Maureen R. Grady, Counsel of Record</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(0020847)</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Joseph P. Serio (0036959)</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Edmund “Tad” Berger (0090307)</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Assistant Consumers’ Counsel</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p>
    <w:p w:rsidR="00650D00" w:rsidRPr="00DC1FF0" w:rsidRDefault="00650D00" w:rsidP="00650D00">
      <w:pPr>
        <w:autoSpaceDE w:val="0"/>
        <w:autoSpaceDN w:val="0"/>
        <w:adjustRightInd w:val="0"/>
        <w:spacing w:after="0" w:line="240" w:lineRule="auto"/>
        <w:ind w:left="4320"/>
        <w:rPr>
          <w:rFonts w:ascii="Times New Roman" w:hAnsi="Times New Roman" w:cs="Times New Roman"/>
          <w:b/>
          <w:bCs/>
          <w:color w:val="000000"/>
          <w:sz w:val="24"/>
          <w:szCs w:val="24"/>
        </w:rPr>
      </w:pPr>
      <w:r w:rsidRPr="00DC1FF0">
        <w:rPr>
          <w:rFonts w:ascii="Times New Roman" w:hAnsi="Times New Roman" w:cs="Times New Roman"/>
          <w:b/>
          <w:bCs/>
          <w:color w:val="000000"/>
          <w:sz w:val="24"/>
          <w:szCs w:val="24"/>
        </w:rPr>
        <w:t>Office of the Ohio Consumers’ Counsel</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10 West Broad Street, Suite 1800</w:t>
      </w:r>
    </w:p>
    <w:p w:rsidR="00650D00" w:rsidRPr="00DC1FF0" w:rsidRDefault="00650D00" w:rsidP="00650D00">
      <w:pPr>
        <w:autoSpaceDE w:val="0"/>
        <w:autoSpaceDN w:val="0"/>
        <w:adjustRightInd w:val="0"/>
        <w:spacing w:after="0" w:line="240" w:lineRule="auto"/>
        <w:ind w:left="4320"/>
        <w:rPr>
          <w:rFonts w:ascii="Times New Roman" w:hAnsi="Times New Roman" w:cs="Times New Roman"/>
          <w:color w:val="000000"/>
          <w:sz w:val="24"/>
          <w:szCs w:val="24"/>
        </w:rPr>
      </w:pPr>
      <w:r w:rsidRPr="00DC1FF0">
        <w:rPr>
          <w:rFonts w:ascii="Times New Roman" w:hAnsi="Times New Roman" w:cs="Times New Roman"/>
          <w:color w:val="000000"/>
          <w:sz w:val="24"/>
          <w:szCs w:val="24"/>
        </w:rPr>
        <w:t>Columbus, Ohio 43215-3485</w:t>
      </w:r>
    </w:p>
    <w:p w:rsidR="00650D00" w:rsidRPr="00DC1FF0" w:rsidRDefault="00650D00" w:rsidP="00650D00">
      <w:pPr>
        <w:autoSpaceDE w:val="0"/>
        <w:autoSpaceDN w:val="0"/>
        <w:adjustRightInd w:val="0"/>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(Grady) (614) 466-9567</w:t>
      </w:r>
    </w:p>
    <w:p w:rsidR="00650D00" w:rsidRPr="00DC1FF0" w:rsidRDefault="00650D00" w:rsidP="00650D00">
      <w:pPr>
        <w:autoSpaceDE w:val="0"/>
        <w:autoSpaceDN w:val="0"/>
        <w:adjustRightInd w:val="0"/>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(Serio) (614) 466-9565</w:t>
      </w:r>
    </w:p>
    <w:p w:rsidR="00650D00" w:rsidRPr="00DC1FF0" w:rsidRDefault="00650D00" w:rsidP="00650D00">
      <w:pPr>
        <w:autoSpaceDE w:val="0"/>
        <w:autoSpaceDN w:val="0"/>
        <w:adjustRightInd w:val="0"/>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(Berger) (614) 466-1292</w:t>
      </w:r>
    </w:p>
    <w:p w:rsidR="00650D00" w:rsidRPr="00DC1FF0" w:rsidRDefault="001D5E02" w:rsidP="00650D00">
      <w:pPr>
        <w:autoSpaceDE w:val="0"/>
        <w:autoSpaceDN w:val="0"/>
        <w:adjustRightInd w:val="0"/>
        <w:spacing w:after="0" w:line="240" w:lineRule="auto"/>
        <w:ind w:left="4320"/>
        <w:rPr>
          <w:rFonts w:ascii="Times New Roman" w:hAnsi="Times New Roman" w:cs="Times New Roman"/>
          <w:sz w:val="24"/>
          <w:szCs w:val="24"/>
        </w:rPr>
      </w:pPr>
      <w:hyperlink r:id="rId23" w:history="1">
        <w:r w:rsidR="00650D00" w:rsidRPr="00DC1FF0">
          <w:rPr>
            <w:rStyle w:val="Hyperlink"/>
            <w:rFonts w:ascii="Times New Roman" w:hAnsi="Times New Roman"/>
            <w:sz w:val="24"/>
            <w:szCs w:val="24"/>
          </w:rPr>
          <w:t>Maureen.grady@occ.ohio.gov</w:t>
        </w:r>
      </w:hyperlink>
    </w:p>
    <w:p w:rsidR="00650D00" w:rsidRPr="00DC1FF0" w:rsidRDefault="001D5E02" w:rsidP="00650D00">
      <w:pPr>
        <w:autoSpaceDE w:val="0"/>
        <w:autoSpaceDN w:val="0"/>
        <w:adjustRightInd w:val="0"/>
        <w:spacing w:after="0" w:line="240" w:lineRule="auto"/>
        <w:ind w:left="4320"/>
        <w:rPr>
          <w:rFonts w:ascii="Times New Roman" w:hAnsi="Times New Roman" w:cs="Times New Roman"/>
          <w:sz w:val="24"/>
          <w:szCs w:val="24"/>
        </w:rPr>
      </w:pPr>
      <w:hyperlink r:id="rId24" w:history="1">
        <w:r w:rsidR="00650D00" w:rsidRPr="00DC1FF0">
          <w:rPr>
            <w:rStyle w:val="Hyperlink"/>
            <w:rFonts w:ascii="Times New Roman" w:hAnsi="Times New Roman"/>
            <w:sz w:val="24"/>
            <w:szCs w:val="24"/>
          </w:rPr>
          <w:t>Joseph.serio@occ.ohio.gov</w:t>
        </w:r>
      </w:hyperlink>
    </w:p>
    <w:p w:rsidR="00BB584D" w:rsidRPr="00DC1FF0" w:rsidRDefault="001D5E02" w:rsidP="00BB584D">
      <w:pPr>
        <w:autoSpaceDE w:val="0"/>
        <w:autoSpaceDN w:val="0"/>
        <w:adjustRightInd w:val="0"/>
        <w:spacing w:after="0" w:line="240" w:lineRule="auto"/>
        <w:ind w:left="4320"/>
        <w:rPr>
          <w:rStyle w:val="Hyperlink"/>
          <w:rFonts w:ascii="Times New Roman" w:hAnsi="Times New Roman"/>
          <w:sz w:val="24"/>
          <w:szCs w:val="24"/>
        </w:rPr>
      </w:pPr>
      <w:hyperlink r:id="rId25" w:history="1">
        <w:r w:rsidR="00650D00" w:rsidRPr="00DC1FF0">
          <w:rPr>
            <w:rStyle w:val="Hyperlink"/>
            <w:rFonts w:ascii="Times New Roman" w:hAnsi="Times New Roman"/>
            <w:sz w:val="24"/>
            <w:szCs w:val="24"/>
          </w:rPr>
          <w:t>Edmund.berger@occ.ohio.gov</w:t>
        </w:r>
      </w:hyperlink>
    </w:p>
    <w:p w:rsidR="00BB584D" w:rsidRPr="00DC1FF0" w:rsidRDefault="00BB584D" w:rsidP="00BB584D">
      <w:pPr>
        <w:autoSpaceDE w:val="0"/>
        <w:autoSpaceDN w:val="0"/>
        <w:adjustRightInd w:val="0"/>
        <w:spacing w:after="0" w:line="240" w:lineRule="auto"/>
        <w:ind w:left="4320"/>
        <w:rPr>
          <w:rStyle w:val="Hyperlink"/>
          <w:rFonts w:ascii="Times New Roman" w:hAnsi="Times New Roman"/>
          <w:sz w:val="24"/>
          <w:szCs w:val="24"/>
        </w:rPr>
      </w:pPr>
    </w:p>
    <w:p w:rsidR="00BB584D" w:rsidRPr="00DC1FF0" w:rsidRDefault="00BB584D" w:rsidP="00BB584D">
      <w:pPr>
        <w:autoSpaceDE w:val="0"/>
        <w:autoSpaceDN w:val="0"/>
        <w:adjustRightInd w:val="0"/>
        <w:spacing w:after="0" w:line="240" w:lineRule="auto"/>
        <w:ind w:left="4320"/>
        <w:rPr>
          <w:rStyle w:val="Hyperlink"/>
          <w:rFonts w:ascii="Times New Roman" w:hAnsi="Times New Roman"/>
          <w:sz w:val="24"/>
          <w:szCs w:val="24"/>
        </w:rPr>
      </w:pPr>
    </w:p>
    <w:p w:rsidR="00BB584D" w:rsidRPr="00DC1FF0" w:rsidRDefault="00BB584D" w:rsidP="00BB584D">
      <w:pPr>
        <w:autoSpaceDE w:val="0"/>
        <w:autoSpaceDN w:val="0"/>
        <w:adjustRightInd w:val="0"/>
        <w:spacing w:after="0" w:line="240" w:lineRule="auto"/>
        <w:ind w:left="4320"/>
        <w:rPr>
          <w:rStyle w:val="Hyperlink"/>
          <w:rFonts w:ascii="Times New Roman" w:hAnsi="Times New Roman"/>
          <w:sz w:val="24"/>
          <w:szCs w:val="24"/>
        </w:rPr>
      </w:pPr>
    </w:p>
    <w:p w:rsidR="00650D00" w:rsidRPr="00DC1FF0" w:rsidRDefault="00650D00" w:rsidP="00BB584D">
      <w:pPr>
        <w:autoSpaceDE w:val="0"/>
        <w:autoSpaceDN w:val="0"/>
        <w:adjustRightInd w:val="0"/>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Dane Stinson (Reg. No. 0019101)</w:t>
      </w:r>
    </w:p>
    <w:p w:rsidR="00650D00" w:rsidRPr="00DC1FF0" w:rsidRDefault="00650D00" w:rsidP="00650D00">
      <w:pPr>
        <w:keepNext/>
        <w:tabs>
          <w:tab w:val="right" w:pos="8265"/>
          <w:tab w:val="right" w:pos="9360"/>
        </w:tabs>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Dylan Borchers (Reg. No. 0090690)</w:t>
      </w:r>
    </w:p>
    <w:p w:rsidR="00650D00" w:rsidRPr="00DC1FF0" w:rsidRDefault="00650D00" w:rsidP="00650D00">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Bricker &amp; Eckler LLP</w:t>
      </w:r>
    </w:p>
    <w:p w:rsidR="00650D00" w:rsidRPr="00DC1FF0" w:rsidRDefault="00650D00" w:rsidP="00650D00">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100 South Third Street</w:t>
      </w:r>
    </w:p>
    <w:p w:rsidR="00650D00" w:rsidRPr="00DC1FF0" w:rsidRDefault="00650D00" w:rsidP="00650D00">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Columbus, OH  43215-4291</w:t>
      </w:r>
    </w:p>
    <w:p w:rsidR="00650D00" w:rsidRPr="00DC1FF0" w:rsidRDefault="00650D00" w:rsidP="00650D00">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Telephone:  (614) 227-2300</w:t>
      </w:r>
    </w:p>
    <w:p w:rsidR="00650D00" w:rsidRPr="00DC1FF0" w:rsidRDefault="00650D00" w:rsidP="00650D00">
      <w:pPr>
        <w:spacing w:after="0" w:line="240" w:lineRule="auto"/>
        <w:ind w:left="4320"/>
        <w:rPr>
          <w:rFonts w:ascii="Times New Roman" w:hAnsi="Times New Roman" w:cs="Times New Roman"/>
          <w:sz w:val="24"/>
          <w:szCs w:val="24"/>
        </w:rPr>
      </w:pPr>
      <w:r w:rsidRPr="00DC1FF0">
        <w:rPr>
          <w:rFonts w:ascii="Times New Roman" w:hAnsi="Times New Roman" w:cs="Times New Roman"/>
          <w:sz w:val="24"/>
          <w:szCs w:val="24"/>
        </w:rPr>
        <w:t>Facsimile:  (614) 227-2390</w:t>
      </w:r>
    </w:p>
    <w:p w:rsidR="00650D00" w:rsidRPr="00DC1FF0" w:rsidRDefault="001D5E02" w:rsidP="00650D00">
      <w:pPr>
        <w:spacing w:after="0" w:line="240" w:lineRule="auto"/>
        <w:ind w:left="4320"/>
        <w:rPr>
          <w:rFonts w:ascii="Times New Roman" w:hAnsi="Times New Roman" w:cs="Times New Roman"/>
          <w:sz w:val="24"/>
          <w:szCs w:val="24"/>
        </w:rPr>
      </w:pPr>
      <w:hyperlink r:id="rId26" w:history="1">
        <w:r w:rsidR="00650D00" w:rsidRPr="00DC1FF0">
          <w:rPr>
            <w:rFonts w:ascii="Times New Roman" w:hAnsi="Times New Roman" w:cs="Times New Roman"/>
            <w:color w:val="0000FF"/>
            <w:sz w:val="24"/>
            <w:szCs w:val="24"/>
            <w:u w:val="single"/>
          </w:rPr>
          <w:t>dstinson@bricker.com</w:t>
        </w:r>
      </w:hyperlink>
    </w:p>
    <w:p w:rsidR="00650D00" w:rsidRPr="00DC1FF0" w:rsidRDefault="001D5E02" w:rsidP="00650D00">
      <w:pPr>
        <w:spacing w:after="0" w:line="240" w:lineRule="auto"/>
        <w:ind w:left="4320"/>
        <w:rPr>
          <w:rFonts w:ascii="Times New Roman" w:hAnsi="Times New Roman" w:cs="Times New Roman"/>
          <w:sz w:val="24"/>
          <w:szCs w:val="24"/>
        </w:rPr>
      </w:pPr>
      <w:hyperlink r:id="rId27" w:history="1">
        <w:r w:rsidR="00650D00" w:rsidRPr="00DC1FF0">
          <w:rPr>
            <w:rFonts w:ascii="Times New Roman" w:hAnsi="Times New Roman" w:cs="Times New Roman"/>
            <w:color w:val="0000FF"/>
            <w:sz w:val="24"/>
            <w:szCs w:val="24"/>
            <w:u w:val="single"/>
          </w:rPr>
          <w:t>dborchers@bricker.com</w:t>
        </w:r>
      </w:hyperlink>
    </w:p>
    <w:p w:rsidR="00650D00" w:rsidRPr="00DC1FF0" w:rsidRDefault="00650D00" w:rsidP="00650D00">
      <w:pPr>
        <w:spacing w:after="0" w:line="240" w:lineRule="auto"/>
        <w:ind w:left="4320"/>
        <w:rPr>
          <w:rFonts w:ascii="Times New Roman" w:hAnsi="Times New Roman" w:cs="Times New Roman"/>
          <w:sz w:val="24"/>
          <w:szCs w:val="24"/>
        </w:rPr>
      </w:pPr>
    </w:p>
    <w:p w:rsidR="00650D00" w:rsidRPr="00DC1FF0" w:rsidRDefault="00650D00" w:rsidP="00650D00">
      <w:pPr>
        <w:pStyle w:val="Footer"/>
        <w:tabs>
          <w:tab w:val="clear" w:pos="4320"/>
          <w:tab w:val="clear" w:pos="8640"/>
        </w:tabs>
        <w:spacing w:line="240" w:lineRule="auto"/>
        <w:ind w:left="4320"/>
      </w:pPr>
      <w:r w:rsidRPr="00DC1FF0">
        <w:t xml:space="preserve">Outside Counsel for the </w:t>
      </w:r>
    </w:p>
    <w:p w:rsidR="00650D00" w:rsidRPr="00DC1FF0" w:rsidRDefault="00650D00" w:rsidP="00650D00">
      <w:pPr>
        <w:pStyle w:val="Footer"/>
        <w:tabs>
          <w:tab w:val="clear" w:pos="4320"/>
          <w:tab w:val="clear" w:pos="8640"/>
        </w:tabs>
        <w:spacing w:line="240" w:lineRule="auto"/>
        <w:ind w:left="4320"/>
        <w:rPr>
          <w:b/>
          <w:u w:val="single"/>
        </w:rPr>
      </w:pPr>
      <w:r w:rsidRPr="00DC1FF0">
        <w:t>Office of the Ohio Consumers’ Counsel</w:t>
      </w:r>
    </w:p>
    <w:p w:rsidR="00650D00" w:rsidRPr="00DC1FF0" w:rsidRDefault="00650D00" w:rsidP="00650D00">
      <w:pPr>
        <w:spacing w:after="0" w:line="240" w:lineRule="auto"/>
        <w:ind w:left="4320"/>
        <w:rPr>
          <w:rFonts w:ascii="Times New Roman" w:hAnsi="Times New Roman" w:cs="Times New Roman"/>
          <w:b/>
          <w:sz w:val="24"/>
          <w:szCs w:val="24"/>
        </w:rPr>
      </w:pPr>
    </w:p>
    <w:p w:rsidR="00650D00" w:rsidRPr="00DC1FF0" w:rsidRDefault="00650D00" w:rsidP="00650D00">
      <w:pPr>
        <w:autoSpaceDE w:val="0"/>
        <w:autoSpaceDN w:val="0"/>
        <w:adjustRightInd w:val="0"/>
        <w:spacing w:after="0" w:line="240" w:lineRule="auto"/>
        <w:rPr>
          <w:rStyle w:val="Hyperlink"/>
          <w:rFonts w:ascii="Times New Roman" w:hAnsi="Times New Roman"/>
          <w:sz w:val="24"/>
          <w:szCs w:val="24"/>
        </w:rPr>
        <w:sectPr w:rsidR="00650D00" w:rsidRPr="00DC1FF0" w:rsidSect="003B740D">
          <w:headerReference w:type="even" r:id="rId28"/>
          <w:headerReference w:type="default" r:id="rId29"/>
          <w:headerReference w:type="first" r:id="rId30"/>
          <w:footerReference w:type="first" r:id="rId31"/>
          <w:pgSz w:w="12240" w:h="15840"/>
          <w:pgMar w:top="1440" w:right="1800" w:bottom="1440" w:left="1800" w:header="720" w:footer="720" w:gutter="0"/>
          <w:pgNumType w:start="1"/>
          <w:cols w:space="720"/>
          <w:titlePg/>
          <w:docGrid w:linePitch="360"/>
        </w:sectPr>
      </w:pPr>
    </w:p>
    <w:p w:rsidR="00650D00" w:rsidRPr="00DC1FF0" w:rsidRDefault="00650D00" w:rsidP="00650D00">
      <w:pPr>
        <w:spacing w:after="0" w:line="480" w:lineRule="auto"/>
        <w:ind w:left="720" w:hanging="720"/>
        <w:jc w:val="center"/>
        <w:rPr>
          <w:rFonts w:ascii="Times New Roman" w:hAnsi="Times New Roman" w:cs="Times New Roman"/>
          <w:b/>
          <w:sz w:val="24"/>
          <w:szCs w:val="24"/>
          <w:u w:val="single"/>
        </w:rPr>
      </w:pPr>
      <w:r w:rsidRPr="00DC1FF0">
        <w:rPr>
          <w:rFonts w:ascii="Times New Roman" w:hAnsi="Times New Roman" w:cs="Times New Roman"/>
          <w:b/>
          <w:sz w:val="24"/>
          <w:szCs w:val="24"/>
          <w:u w:val="single"/>
        </w:rPr>
        <w:t>CERTIFICATE OF SERVICE</w:t>
      </w:r>
    </w:p>
    <w:p w:rsidR="00650D00" w:rsidRPr="00DC1FF0" w:rsidRDefault="00650D00" w:rsidP="00650D00">
      <w:pPr>
        <w:spacing w:after="0" w:line="480" w:lineRule="auto"/>
        <w:rPr>
          <w:rFonts w:ascii="Times New Roman" w:hAnsi="Times New Roman" w:cs="Times New Roman"/>
          <w:sz w:val="24"/>
          <w:szCs w:val="24"/>
        </w:rPr>
      </w:pPr>
      <w:r w:rsidRPr="00DC1FF0">
        <w:rPr>
          <w:rFonts w:ascii="Times New Roman" w:hAnsi="Times New Roman" w:cs="Times New Roman"/>
          <w:sz w:val="24"/>
          <w:szCs w:val="24"/>
        </w:rPr>
        <w:tab/>
        <w:t xml:space="preserve">I hereby certify that a copy of the foregoing Reply </w:t>
      </w:r>
      <w:r w:rsidR="00035356">
        <w:rPr>
          <w:rFonts w:ascii="Times New Roman" w:hAnsi="Times New Roman" w:cs="Times New Roman"/>
          <w:sz w:val="24"/>
          <w:szCs w:val="24"/>
        </w:rPr>
        <w:t>Brief</w:t>
      </w:r>
      <w:r w:rsidRPr="00DC1FF0">
        <w:rPr>
          <w:rFonts w:ascii="Times New Roman" w:hAnsi="Times New Roman" w:cs="Times New Roman"/>
          <w:sz w:val="24"/>
          <w:szCs w:val="24"/>
        </w:rPr>
        <w:t xml:space="preserve"> by the Office of the Ohio Consumers’ Counsel has been served electronically upon those persons listed below this 29</w:t>
      </w:r>
      <w:r w:rsidRPr="00DC1FF0">
        <w:rPr>
          <w:rFonts w:ascii="Times New Roman" w:hAnsi="Times New Roman" w:cs="Times New Roman"/>
          <w:sz w:val="24"/>
          <w:szCs w:val="24"/>
          <w:vertAlign w:val="superscript"/>
        </w:rPr>
        <w:t>th</w:t>
      </w:r>
      <w:r w:rsidRPr="00DC1FF0">
        <w:rPr>
          <w:rFonts w:ascii="Times New Roman" w:hAnsi="Times New Roman" w:cs="Times New Roman"/>
          <w:sz w:val="24"/>
          <w:szCs w:val="24"/>
        </w:rPr>
        <w:t xml:space="preserve"> day of December, 2014.</w:t>
      </w:r>
    </w:p>
    <w:p w:rsidR="00650D00" w:rsidRPr="00DC1FF0" w:rsidRDefault="00650D00" w:rsidP="00650D00">
      <w:pPr>
        <w:tabs>
          <w:tab w:val="left" w:pos="4320"/>
        </w:tabs>
        <w:spacing w:after="0" w:line="240" w:lineRule="auto"/>
        <w:rPr>
          <w:rFonts w:ascii="Times New Roman" w:hAnsi="Times New Roman" w:cs="Times New Roman"/>
          <w:sz w:val="24"/>
          <w:szCs w:val="24"/>
        </w:rPr>
      </w:pPr>
      <w:r w:rsidRPr="00DC1FF0">
        <w:rPr>
          <w:rFonts w:ascii="Times New Roman" w:hAnsi="Times New Roman" w:cs="Times New Roman"/>
          <w:sz w:val="24"/>
          <w:szCs w:val="24"/>
        </w:rPr>
        <w:tab/>
      </w:r>
      <w:r w:rsidRPr="00DC1FF0">
        <w:rPr>
          <w:rFonts w:ascii="Times New Roman" w:hAnsi="Times New Roman" w:cs="Times New Roman"/>
          <w:i/>
          <w:sz w:val="24"/>
          <w:szCs w:val="24"/>
          <w:u w:val="single"/>
        </w:rPr>
        <w:t>/s/ Mauren R. Grady</w:t>
      </w:r>
      <w:r w:rsidRPr="00DC1FF0">
        <w:rPr>
          <w:rFonts w:ascii="Times New Roman" w:hAnsi="Times New Roman" w:cs="Times New Roman"/>
          <w:sz w:val="24"/>
          <w:szCs w:val="24"/>
        </w:rPr>
        <w:t>__________</w:t>
      </w:r>
    </w:p>
    <w:p w:rsidR="00650D00" w:rsidRPr="00DC1FF0" w:rsidRDefault="00650D00" w:rsidP="00650D00">
      <w:pPr>
        <w:tabs>
          <w:tab w:val="left" w:pos="4320"/>
        </w:tabs>
        <w:spacing w:after="0" w:line="240" w:lineRule="auto"/>
        <w:rPr>
          <w:rFonts w:ascii="Times New Roman" w:hAnsi="Times New Roman" w:cs="Times New Roman"/>
          <w:sz w:val="24"/>
          <w:szCs w:val="24"/>
        </w:rPr>
      </w:pPr>
      <w:r w:rsidRPr="00DC1FF0">
        <w:rPr>
          <w:rFonts w:ascii="Times New Roman" w:hAnsi="Times New Roman" w:cs="Times New Roman"/>
          <w:sz w:val="24"/>
          <w:szCs w:val="24"/>
        </w:rPr>
        <w:tab/>
        <w:t>Maureen R. Grady</w:t>
      </w:r>
    </w:p>
    <w:p w:rsidR="00650D00" w:rsidRPr="00DC1FF0" w:rsidRDefault="00650D00" w:rsidP="00650D00">
      <w:pPr>
        <w:tabs>
          <w:tab w:val="left" w:pos="4320"/>
        </w:tabs>
        <w:spacing w:after="0" w:line="240" w:lineRule="auto"/>
        <w:rPr>
          <w:rFonts w:ascii="Times New Roman" w:hAnsi="Times New Roman" w:cs="Times New Roman"/>
          <w:sz w:val="24"/>
          <w:szCs w:val="24"/>
        </w:rPr>
      </w:pPr>
      <w:r w:rsidRPr="00DC1FF0">
        <w:rPr>
          <w:rFonts w:ascii="Times New Roman" w:hAnsi="Times New Roman" w:cs="Times New Roman"/>
          <w:sz w:val="24"/>
          <w:szCs w:val="24"/>
        </w:rPr>
        <w:tab/>
        <w:t>Assistant Consumers’ Counsel</w:t>
      </w:r>
    </w:p>
    <w:p w:rsidR="00650D00" w:rsidRPr="00DC1FF0" w:rsidRDefault="00650D00" w:rsidP="00650D00">
      <w:pPr>
        <w:spacing w:after="0" w:line="240" w:lineRule="auto"/>
        <w:rPr>
          <w:rFonts w:ascii="Times New Roman" w:hAnsi="Times New Roman" w:cs="Times New Roman"/>
          <w:sz w:val="24"/>
          <w:szCs w:val="24"/>
        </w:rPr>
      </w:pPr>
    </w:p>
    <w:p w:rsidR="00650D00" w:rsidRDefault="00650D00" w:rsidP="00650D00">
      <w:pPr>
        <w:spacing w:after="0" w:line="240" w:lineRule="auto"/>
        <w:jc w:val="center"/>
        <w:rPr>
          <w:rFonts w:ascii="Times New Roman" w:hAnsi="Times New Roman" w:cs="Times New Roman"/>
          <w:b/>
          <w:sz w:val="24"/>
          <w:szCs w:val="24"/>
          <w:u w:val="single"/>
        </w:rPr>
      </w:pPr>
      <w:r w:rsidRPr="00DC1FF0">
        <w:rPr>
          <w:rFonts w:ascii="Times New Roman" w:hAnsi="Times New Roman" w:cs="Times New Roman"/>
          <w:b/>
          <w:sz w:val="24"/>
          <w:szCs w:val="24"/>
          <w:u w:val="single"/>
        </w:rPr>
        <w:t>SERVICE LIST</w:t>
      </w:r>
    </w:p>
    <w:p w:rsidR="00035356" w:rsidRPr="00DC1FF0" w:rsidRDefault="00035356" w:rsidP="00650D00">
      <w:pPr>
        <w:spacing w:after="0" w:line="240" w:lineRule="auto"/>
        <w:jc w:val="center"/>
        <w:rPr>
          <w:rFonts w:ascii="Times New Roman" w:hAnsi="Times New Roman" w:cs="Times New Roman"/>
          <w:b/>
          <w:sz w:val="24"/>
          <w:szCs w:val="24"/>
          <w:u w:val="single"/>
        </w:rPr>
      </w:pPr>
    </w:p>
    <w:tbl>
      <w:tblPr>
        <w:tblW w:w="0" w:type="auto"/>
        <w:tblInd w:w="2" w:type="dxa"/>
        <w:tblLook w:val="01E0" w:firstRow="1" w:lastRow="1" w:firstColumn="1" w:lastColumn="1" w:noHBand="0" w:noVBand="0"/>
      </w:tblPr>
      <w:tblGrid>
        <w:gridCol w:w="4427"/>
        <w:gridCol w:w="4427"/>
      </w:tblGrid>
      <w:tr w:rsidR="00650D00" w:rsidRPr="00DC1FF0" w:rsidTr="00650D00">
        <w:tc>
          <w:tcPr>
            <w:tcW w:w="4427" w:type="dxa"/>
          </w:tcPr>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32" w:history="1">
              <w:r w:rsidR="00650D00" w:rsidRPr="00DC1FF0">
                <w:rPr>
                  <w:rFonts w:ascii="Times New Roman" w:hAnsi="Times New Roman" w:cs="Times New Roman"/>
                  <w:color w:val="0000FF"/>
                  <w:sz w:val="24"/>
                  <w:szCs w:val="24"/>
                  <w:u w:val="single"/>
                </w:rPr>
                <w:t>Steven.beeler@puc.state.oh.us</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33" w:history="1">
              <w:r w:rsidR="00650D00" w:rsidRPr="00DC1FF0">
                <w:rPr>
                  <w:rFonts w:ascii="Times New Roman" w:hAnsi="Times New Roman" w:cs="Times New Roman"/>
                  <w:color w:val="0000FF"/>
                  <w:sz w:val="24"/>
                  <w:szCs w:val="24"/>
                  <w:u w:val="single"/>
                </w:rPr>
                <w:t>Thomas.lindgren@puc.state.oh.us</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34" w:history="1">
              <w:r w:rsidR="00650D00" w:rsidRPr="00DC1FF0">
                <w:rPr>
                  <w:rFonts w:ascii="Times New Roman" w:hAnsi="Times New Roman" w:cs="Times New Roman"/>
                  <w:color w:val="0000FF"/>
                  <w:sz w:val="24"/>
                  <w:szCs w:val="24"/>
                  <w:u w:val="single"/>
                </w:rPr>
                <w:t>Ryan.orourke@puc.state.oh.us</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35" w:history="1">
              <w:r w:rsidR="00650D00" w:rsidRPr="00DC1FF0">
                <w:rPr>
                  <w:rFonts w:ascii="Times New Roman" w:hAnsi="Times New Roman" w:cs="Times New Roman"/>
                  <w:color w:val="0000FF"/>
                  <w:sz w:val="24"/>
                  <w:szCs w:val="24"/>
                  <w:u w:val="single"/>
                </w:rPr>
                <w:t>dboehm@BKLlawfirm.com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36" w:history="1">
              <w:r w:rsidR="00650D00" w:rsidRPr="00DC1FF0">
                <w:rPr>
                  <w:rFonts w:ascii="Times New Roman" w:hAnsi="Times New Roman" w:cs="Times New Roman"/>
                  <w:color w:val="0000FF"/>
                  <w:sz w:val="24"/>
                  <w:szCs w:val="24"/>
                  <w:u w:val="single"/>
                </w:rPr>
                <w:t>mkurtz@BKLlawfirm.com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37" w:history="1">
              <w:r w:rsidR="00650D00" w:rsidRPr="00DC1FF0">
                <w:rPr>
                  <w:rFonts w:ascii="Times New Roman" w:hAnsi="Times New Roman" w:cs="Times New Roman"/>
                  <w:color w:val="0000FF"/>
                  <w:sz w:val="24"/>
                  <w:szCs w:val="24"/>
                  <w:u w:val="single"/>
                </w:rPr>
                <w:t>jkylercohn@BKLlawfirm.com</w:t>
              </w:r>
            </w:hyperlink>
          </w:p>
          <w:p w:rsidR="00650D00" w:rsidRPr="00DC1FF0" w:rsidRDefault="001D5E02" w:rsidP="00084CB8">
            <w:pPr>
              <w:autoSpaceDE w:val="0"/>
              <w:autoSpaceDN w:val="0"/>
              <w:adjustRightInd w:val="0"/>
              <w:spacing w:after="0" w:line="240" w:lineRule="auto"/>
              <w:rPr>
                <w:rFonts w:ascii="Times New Roman" w:hAnsi="Times New Roman" w:cs="Times New Roman"/>
                <w:color w:val="0000FF"/>
                <w:sz w:val="24"/>
                <w:szCs w:val="24"/>
                <w:u w:val="single"/>
              </w:rPr>
            </w:pPr>
            <w:hyperlink r:id="rId38" w:history="1">
              <w:r w:rsidR="00650D00" w:rsidRPr="00DC1FF0">
                <w:rPr>
                  <w:rFonts w:ascii="Times New Roman" w:hAnsi="Times New Roman" w:cs="Times New Roman"/>
                  <w:color w:val="0000FF"/>
                  <w:sz w:val="24"/>
                  <w:szCs w:val="24"/>
                  <w:u w:val="single"/>
                </w:rPr>
                <w:t>Schmidt@sppgrp.com</w:t>
              </w:r>
            </w:hyperlink>
          </w:p>
          <w:p w:rsidR="00650D00" w:rsidRPr="00DC1FF0" w:rsidRDefault="001D5E02" w:rsidP="00084CB8">
            <w:pPr>
              <w:autoSpaceDE w:val="0"/>
              <w:autoSpaceDN w:val="0"/>
              <w:adjustRightInd w:val="0"/>
              <w:spacing w:after="0" w:line="240" w:lineRule="auto"/>
              <w:rPr>
                <w:rFonts w:ascii="Times New Roman" w:hAnsi="Times New Roman" w:cs="Times New Roman"/>
                <w:color w:val="0000FF"/>
                <w:sz w:val="24"/>
                <w:szCs w:val="24"/>
                <w:u w:val="single"/>
              </w:rPr>
            </w:pPr>
            <w:hyperlink r:id="rId39" w:history="1">
              <w:r w:rsidR="00650D00" w:rsidRPr="00DC1FF0">
                <w:rPr>
                  <w:rFonts w:ascii="Times New Roman" w:hAnsi="Times New Roman" w:cs="Times New Roman"/>
                  <w:color w:val="0000FF"/>
                  <w:sz w:val="24"/>
                  <w:szCs w:val="24"/>
                  <w:u w:val="single"/>
                </w:rPr>
                <w:t>Judi.sobecki@aes.com</w:t>
              </w:r>
            </w:hyperlink>
          </w:p>
          <w:p w:rsidR="00650D00" w:rsidRPr="00DC1FF0" w:rsidRDefault="001D5E02" w:rsidP="00084CB8">
            <w:pPr>
              <w:autoSpaceDE w:val="0"/>
              <w:autoSpaceDN w:val="0"/>
              <w:adjustRightInd w:val="0"/>
              <w:spacing w:after="0" w:line="240" w:lineRule="auto"/>
              <w:rPr>
                <w:rFonts w:ascii="Times New Roman" w:hAnsi="Times New Roman" w:cs="Times New Roman"/>
                <w:color w:val="0000FF"/>
                <w:sz w:val="24"/>
                <w:szCs w:val="24"/>
                <w:u w:val="single"/>
              </w:rPr>
            </w:pPr>
            <w:hyperlink r:id="rId40" w:history="1">
              <w:r w:rsidR="00650D00" w:rsidRPr="00DC1FF0">
                <w:rPr>
                  <w:rFonts w:ascii="Times New Roman" w:hAnsi="Times New Roman" w:cs="Times New Roman"/>
                  <w:color w:val="0000FF"/>
                  <w:sz w:val="24"/>
                  <w:szCs w:val="24"/>
                  <w:u w:val="single"/>
                </w:rPr>
                <w:t>Bojko@carpenterlipps.com</w:t>
              </w:r>
            </w:hyperlink>
          </w:p>
          <w:p w:rsidR="00650D00" w:rsidRPr="00DC1FF0" w:rsidRDefault="001D5E02" w:rsidP="00084CB8">
            <w:pPr>
              <w:autoSpaceDE w:val="0"/>
              <w:autoSpaceDN w:val="0"/>
              <w:adjustRightInd w:val="0"/>
              <w:spacing w:after="0" w:line="240" w:lineRule="auto"/>
              <w:rPr>
                <w:rFonts w:ascii="Times New Roman" w:hAnsi="Times New Roman" w:cs="Times New Roman"/>
                <w:color w:val="0000FF"/>
                <w:sz w:val="24"/>
                <w:szCs w:val="24"/>
                <w:u w:val="single"/>
              </w:rPr>
            </w:pPr>
            <w:hyperlink r:id="rId41" w:history="1">
              <w:r w:rsidR="00650D00" w:rsidRPr="00DC1FF0">
                <w:rPr>
                  <w:rFonts w:ascii="Times New Roman" w:hAnsi="Times New Roman" w:cs="Times New Roman"/>
                  <w:color w:val="0000FF"/>
                  <w:sz w:val="24"/>
                  <w:szCs w:val="24"/>
                  <w:u w:val="single"/>
                </w:rPr>
                <w:t>Allison@carpenterlipps.com</w:t>
              </w:r>
            </w:hyperlink>
          </w:p>
          <w:p w:rsidR="00650D00" w:rsidRPr="00DC1FF0" w:rsidRDefault="001D5E02" w:rsidP="00084CB8">
            <w:pPr>
              <w:autoSpaceDE w:val="0"/>
              <w:autoSpaceDN w:val="0"/>
              <w:adjustRightInd w:val="0"/>
              <w:spacing w:after="0" w:line="240" w:lineRule="auto"/>
              <w:rPr>
                <w:rFonts w:ascii="Times New Roman" w:hAnsi="Times New Roman" w:cs="Times New Roman"/>
                <w:color w:val="0000FF"/>
                <w:sz w:val="24"/>
                <w:szCs w:val="24"/>
              </w:rPr>
            </w:pPr>
            <w:hyperlink r:id="rId42" w:history="1">
              <w:r w:rsidR="00650D00" w:rsidRPr="00DC1FF0">
                <w:rPr>
                  <w:rFonts w:ascii="Times New Roman" w:hAnsi="Times New Roman" w:cs="Times New Roman"/>
                  <w:color w:val="0000FF"/>
                  <w:sz w:val="24"/>
                  <w:szCs w:val="24"/>
                  <w:u w:val="single"/>
                </w:rPr>
                <w:t>cmooney@ohiopartners.org</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43" w:history="1">
              <w:r w:rsidR="00650D00" w:rsidRPr="00DC1FF0">
                <w:rPr>
                  <w:rFonts w:ascii="Times New Roman" w:hAnsi="Times New Roman" w:cs="Times New Roman"/>
                  <w:color w:val="0000FF"/>
                  <w:sz w:val="24"/>
                  <w:szCs w:val="24"/>
                  <w:u w:val="single"/>
                </w:rPr>
                <w:t>stnourse@aep.com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44" w:history="1">
              <w:r w:rsidR="00650D00" w:rsidRPr="00DC1FF0">
                <w:rPr>
                  <w:rFonts w:ascii="Times New Roman" w:hAnsi="Times New Roman" w:cs="Times New Roman"/>
                  <w:color w:val="0000FF"/>
                  <w:sz w:val="24"/>
                  <w:szCs w:val="24"/>
                  <w:u w:val="single"/>
                </w:rPr>
                <w:t>mjsatterwhite@aep.com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45" w:history="1">
              <w:r w:rsidR="00650D00" w:rsidRPr="00DC1FF0">
                <w:rPr>
                  <w:rFonts w:ascii="Times New Roman" w:hAnsi="Times New Roman" w:cs="Times New Roman"/>
                  <w:color w:val="0000FF"/>
                  <w:sz w:val="24"/>
                  <w:szCs w:val="24"/>
                  <w:u w:val="single"/>
                </w:rPr>
                <w:t>yalami@aep.com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46" w:history="1">
              <w:r w:rsidR="00650D00" w:rsidRPr="00DC1FF0">
                <w:rPr>
                  <w:rFonts w:ascii="Times New Roman" w:hAnsi="Times New Roman" w:cs="Times New Roman"/>
                  <w:color w:val="0000FF"/>
                  <w:sz w:val="24"/>
                  <w:szCs w:val="24"/>
                  <w:u w:val="single"/>
                </w:rPr>
                <w:t>asonderman@keglerbrown.com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47" w:history="1">
              <w:r w:rsidR="00650D00" w:rsidRPr="00DC1FF0">
                <w:rPr>
                  <w:rFonts w:ascii="Times New Roman" w:hAnsi="Times New Roman" w:cs="Times New Roman"/>
                  <w:color w:val="0000FF"/>
                  <w:sz w:val="24"/>
                  <w:szCs w:val="24"/>
                  <w:u w:val="single"/>
                </w:rPr>
                <w:t>mkimbrough@keglerbrown.com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48" w:history="1">
              <w:r w:rsidR="00650D00" w:rsidRPr="00DC1FF0">
                <w:rPr>
                  <w:rFonts w:ascii="Times New Roman" w:hAnsi="Times New Roman" w:cs="Times New Roman"/>
                  <w:color w:val="0000FF"/>
                  <w:sz w:val="24"/>
                  <w:szCs w:val="24"/>
                  <w:u w:val="single"/>
                </w:rPr>
                <w:t>hussey@carpenterlipps.com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49" w:history="1">
              <w:r w:rsidR="00650D00" w:rsidRPr="00DC1FF0">
                <w:rPr>
                  <w:rFonts w:ascii="Times New Roman" w:hAnsi="Times New Roman" w:cs="Times New Roman"/>
                  <w:color w:val="0000FF"/>
                  <w:sz w:val="24"/>
                  <w:szCs w:val="24"/>
                  <w:u w:val="single"/>
                </w:rPr>
                <w:t>mhpetricoff@vorys.com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50" w:history="1">
              <w:r w:rsidR="00650D00" w:rsidRPr="00DC1FF0">
                <w:rPr>
                  <w:rFonts w:ascii="Times New Roman" w:hAnsi="Times New Roman" w:cs="Times New Roman"/>
                  <w:color w:val="0000FF"/>
                  <w:sz w:val="24"/>
                  <w:szCs w:val="24"/>
                  <w:u w:val="single"/>
                </w:rPr>
                <w:t>mjsettineri@vorys.com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51" w:history="1">
              <w:r w:rsidR="00650D00" w:rsidRPr="00DC1FF0">
                <w:rPr>
                  <w:rFonts w:ascii="Times New Roman" w:hAnsi="Times New Roman" w:cs="Times New Roman"/>
                  <w:color w:val="0000FF"/>
                  <w:sz w:val="24"/>
                  <w:szCs w:val="24"/>
                  <w:u w:val="single"/>
                </w:rPr>
                <w:t>glpetrucci@vorys.com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52" w:history="1">
              <w:r w:rsidR="00650D00" w:rsidRPr="00DC1FF0">
                <w:rPr>
                  <w:rFonts w:ascii="Times New Roman" w:hAnsi="Times New Roman" w:cs="Times New Roman"/>
                  <w:color w:val="0000FF"/>
                  <w:sz w:val="24"/>
                  <w:szCs w:val="24"/>
                  <w:u w:val="single"/>
                </w:rPr>
                <w:t>dmason@ralaw.com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53" w:history="1">
              <w:r w:rsidR="00650D00" w:rsidRPr="00DC1FF0">
                <w:rPr>
                  <w:rFonts w:ascii="Times New Roman" w:hAnsi="Times New Roman" w:cs="Times New Roman"/>
                  <w:color w:val="0000FF"/>
                  <w:sz w:val="24"/>
                  <w:szCs w:val="24"/>
                  <w:u w:val="single"/>
                </w:rPr>
                <w:t>mtraven@ralaw.com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54" w:history="1">
              <w:r w:rsidR="00650D00" w:rsidRPr="00DC1FF0">
                <w:rPr>
                  <w:rFonts w:ascii="Times New Roman" w:hAnsi="Times New Roman" w:cs="Times New Roman"/>
                  <w:color w:val="0000FF"/>
                  <w:sz w:val="24"/>
                  <w:szCs w:val="24"/>
                  <w:u w:val="single"/>
                </w:rPr>
                <w:t>rchamberlain@okenergylaw.com</w:t>
              </w:r>
            </w:hyperlink>
          </w:p>
          <w:p w:rsidR="00650D00" w:rsidRPr="00DC1FF0" w:rsidRDefault="00650D00" w:rsidP="00084CB8">
            <w:pPr>
              <w:autoSpaceDE w:val="0"/>
              <w:autoSpaceDN w:val="0"/>
              <w:adjustRightInd w:val="0"/>
              <w:spacing w:after="0" w:line="240" w:lineRule="auto"/>
              <w:rPr>
                <w:rFonts w:ascii="Times New Roman" w:hAnsi="Times New Roman" w:cs="Times New Roman"/>
                <w:sz w:val="24"/>
                <w:szCs w:val="24"/>
              </w:rPr>
            </w:pPr>
          </w:p>
          <w:p w:rsidR="00650D00" w:rsidRPr="00DC1FF0" w:rsidRDefault="00650D00" w:rsidP="00084CB8">
            <w:pPr>
              <w:spacing w:after="0" w:line="240" w:lineRule="auto"/>
              <w:rPr>
                <w:rFonts w:ascii="Times New Roman" w:eastAsia="Arial Unicode MS" w:hAnsi="Times New Roman" w:cs="Times New Roman"/>
                <w:bCs/>
                <w:sz w:val="24"/>
                <w:szCs w:val="24"/>
              </w:rPr>
            </w:pPr>
            <w:r w:rsidRPr="00DC1FF0">
              <w:rPr>
                <w:rFonts w:ascii="Times New Roman" w:eastAsia="Arial Unicode MS" w:hAnsi="Times New Roman" w:cs="Times New Roman"/>
                <w:bCs/>
                <w:sz w:val="24"/>
                <w:szCs w:val="24"/>
              </w:rPr>
              <w:t>Attorney Examiner:</w:t>
            </w:r>
          </w:p>
          <w:p w:rsidR="00650D00" w:rsidRPr="00DC1FF0" w:rsidRDefault="00650D00" w:rsidP="00084CB8">
            <w:pPr>
              <w:spacing w:after="0" w:line="240" w:lineRule="auto"/>
              <w:rPr>
                <w:rFonts w:ascii="Times New Roman" w:eastAsia="Arial Unicode MS" w:hAnsi="Times New Roman" w:cs="Times New Roman"/>
                <w:bCs/>
                <w:sz w:val="24"/>
                <w:szCs w:val="24"/>
              </w:rPr>
            </w:pPr>
          </w:p>
          <w:p w:rsidR="00650D00" w:rsidRPr="00DC1FF0" w:rsidRDefault="001D5E02" w:rsidP="00084CB8">
            <w:pPr>
              <w:spacing w:after="0" w:line="240" w:lineRule="auto"/>
              <w:rPr>
                <w:rFonts w:ascii="Times New Roman" w:eastAsia="Arial Unicode MS" w:hAnsi="Times New Roman" w:cs="Times New Roman"/>
                <w:bCs/>
                <w:color w:val="0000FF"/>
                <w:sz w:val="24"/>
                <w:szCs w:val="24"/>
                <w:u w:val="single"/>
              </w:rPr>
            </w:pPr>
            <w:hyperlink r:id="rId55" w:history="1">
              <w:r w:rsidR="00650D00" w:rsidRPr="00DC1FF0">
                <w:rPr>
                  <w:rFonts w:ascii="Times New Roman" w:eastAsia="Arial Unicode MS" w:hAnsi="Times New Roman" w:cs="Times New Roman"/>
                  <w:bCs/>
                  <w:color w:val="0000FF"/>
                  <w:sz w:val="24"/>
                  <w:szCs w:val="24"/>
                  <w:u w:val="single"/>
                </w:rPr>
                <w:t>Christine.pirik@puc.state.oh.us</w:t>
              </w:r>
            </w:hyperlink>
          </w:p>
          <w:p w:rsidR="00650D00" w:rsidRPr="00DC1FF0" w:rsidRDefault="001D5E02" w:rsidP="00084CB8">
            <w:pPr>
              <w:spacing w:after="0" w:line="240" w:lineRule="auto"/>
              <w:rPr>
                <w:rFonts w:ascii="Times New Roman" w:hAnsi="Times New Roman" w:cs="Times New Roman"/>
                <w:bCs/>
                <w:sz w:val="24"/>
                <w:szCs w:val="24"/>
              </w:rPr>
            </w:pPr>
            <w:hyperlink r:id="rId56" w:history="1">
              <w:r w:rsidR="00650D00" w:rsidRPr="00DC1FF0">
                <w:rPr>
                  <w:rFonts w:ascii="Times New Roman" w:eastAsia="Arial Unicode MS" w:hAnsi="Times New Roman" w:cs="Times New Roman"/>
                  <w:bCs/>
                  <w:color w:val="0000FF"/>
                  <w:sz w:val="24"/>
                  <w:szCs w:val="24"/>
                  <w:u w:val="single"/>
                </w:rPr>
                <w:t>Nicholas.walstra@puc.state.oh.us</w:t>
              </w:r>
            </w:hyperlink>
          </w:p>
        </w:tc>
        <w:tc>
          <w:tcPr>
            <w:tcW w:w="4427" w:type="dxa"/>
          </w:tcPr>
          <w:p w:rsidR="00650D00" w:rsidRPr="00DC1FF0" w:rsidRDefault="001D5E02" w:rsidP="00084CB8">
            <w:pPr>
              <w:spacing w:after="0" w:line="240" w:lineRule="auto"/>
              <w:jc w:val="both"/>
              <w:rPr>
                <w:rFonts w:ascii="Times New Roman" w:hAnsi="Times New Roman" w:cs="Times New Roman"/>
                <w:sz w:val="24"/>
                <w:szCs w:val="24"/>
              </w:rPr>
            </w:pPr>
            <w:hyperlink r:id="rId57" w:history="1">
              <w:r w:rsidR="00650D00" w:rsidRPr="00DC1FF0">
                <w:rPr>
                  <w:rFonts w:ascii="Times New Roman" w:hAnsi="Times New Roman" w:cs="Times New Roman"/>
                  <w:color w:val="0000FF"/>
                  <w:sz w:val="24"/>
                  <w:szCs w:val="24"/>
                  <w:u w:val="single"/>
                </w:rPr>
                <w:t>Amy.Spiller@duke-energy.com</w:t>
              </w:r>
            </w:hyperlink>
          </w:p>
          <w:p w:rsidR="00650D00" w:rsidRPr="00DC1FF0" w:rsidRDefault="001D5E02" w:rsidP="00084CB8">
            <w:pPr>
              <w:spacing w:after="0" w:line="240" w:lineRule="auto"/>
              <w:jc w:val="both"/>
              <w:rPr>
                <w:rFonts w:ascii="Times New Roman" w:hAnsi="Times New Roman" w:cs="Times New Roman"/>
                <w:sz w:val="24"/>
                <w:szCs w:val="24"/>
              </w:rPr>
            </w:pPr>
            <w:hyperlink r:id="rId58" w:history="1">
              <w:r w:rsidR="00650D00" w:rsidRPr="00DC1FF0">
                <w:rPr>
                  <w:rFonts w:ascii="Times New Roman" w:hAnsi="Times New Roman" w:cs="Times New Roman"/>
                  <w:color w:val="0000FF"/>
                  <w:sz w:val="24"/>
                  <w:szCs w:val="24"/>
                  <w:u w:val="single"/>
                </w:rPr>
                <w:t>Elizabeth.watts@duke-energy.com</w:t>
              </w:r>
            </w:hyperlink>
          </w:p>
          <w:p w:rsidR="00650D00" w:rsidRPr="00DC1FF0" w:rsidRDefault="001D5E02" w:rsidP="00084CB8">
            <w:pPr>
              <w:spacing w:after="0" w:line="240" w:lineRule="auto"/>
              <w:jc w:val="both"/>
              <w:rPr>
                <w:rFonts w:ascii="Times New Roman" w:hAnsi="Times New Roman" w:cs="Times New Roman"/>
                <w:color w:val="0000FF"/>
                <w:sz w:val="24"/>
                <w:szCs w:val="24"/>
                <w:u w:val="single"/>
              </w:rPr>
            </w:pPr>
            <w:hyperlink r:id="rId59" w:history="1">
              <w:r w:rsidR="00650D00" w:rsidRPr="00DC1FF0">
                <w:rPr>
                  <w:rFonts w:ascii="Times New Roman" w:hAnsi="Times New Roman" w:cs="Times New Roman"/>
                  <w:color w:val="0000FF"/>
                  <w:sz w:val="24"/>
                  <w:szCs w:val="24"/>
                  <w:u w:val="single"/>
                </w:rPr>
                <w:t>Rocco.dascenzo@duke-energy.com</w:t>
              </w:r>
            </w:hyperlink>
          </w:p>
          <w:p w:rsidR="00650D00" w:rsidRPr="00DC1FF0" w:rsidRDefault="001D5E02" w:rsidP="00084CB8">
            <w:pPr>
              <w:spacing w:after="0" w:line="240" w:lineRule="auto"/>
              <w:jc w:val="both"/>
              <w:rPr>
                <w:rFonts w:ascii="Times New Roman" w:hAnsi="Times New Roman" w:cs="Times New Roman"/>
                <w:sz w:val="24"/>
                <w:szCs w:val="24"/>
              </w:rPr>
            </w:pPr>
            <w:hyperlink r:id="rId60" w:history="1">
              <w:r w:rsidR="00650D00" w:rsidRPr="00DC1FF0">
                <w:rPr>
                  <w:rFonts w:ascii="Times New Roman" w:hAnsi="Times New Roman" w:cs="Times New Roman"/>
                  <w:color w:val="0000FF"/>
                  <w:sz w:val="24"/>
                  <w:szCs w:val="24"/>
                  <w:u w:val="single"/>
                </w:rPr>
                <w:t>Jeanne.Kingery@duke-energy.com</w:t>
              </w:r>
            </w:hyperlink>
          </w:p>
          <w:p w:rsidR="00650D00" w:rsidRPr="00DC1FF0" w:rsidRDefault="001D5E02" w:rsidP="00084CB8">
            <w:pPr>
              <w:spacing w:after="0" w:line="240" w:lineRule="auto"/>
              <w:rPr>
                <w:rFonts w:ascii="Times New Roman" w:hAnsi="Times New Roman" w:cs="Times New Roman"/>
                <w:bCs/>
                <w:sz w:val="24"/>
                <w:szCs w:val="24"/>
              </w:rPr>
            </w:pPr>
            <w:hyperlink r:id="rId61" w:history="1">
              <w:r w:rsidR="00650D00" w:rsidRPr="00DC1FF0">
                <w:rPr>
                  <w:rFonts w:ascii="Times New Roman" w:hAnsi="Times New Roman" w:cs="Times New Roman"/>
                  <w:bCs/>
                  <w:color w:val="0000FF"/>
                  <w:sz w:val="24"/>
                  <w:szCs w:val="24"/>
                  <w:u w:val="single"/>
                </w:rPr>
                <w:t>haydenm@firstenergycorp.com</w:t>
              </w:r>
            </w:hyperlink>
          </w:p>
          <w:p w:rsidR="00650D00" w:rsidRPr="00DC1FF0" w:rsidRDefault="001D5E02" w:rsidP="00084CB8">
            <w:pPr>
              <w:spacing w:after="0" w:line="240" w:lineRule="auto"/>
              <w:rPr>
                <w:rFonts w:ascii="Times New Roman" w:hAnsi="Times New Roman" w:cs="Times New Roman"/>
                <w:bCs/>
                <w:sz w:val="24"/>
                <w:szCs w:val="24"/>
              </w:rPr>
            </w:pPr>
            <w:hyperlink r:id="rId62" w:history="1">
              <w:r w:rsidR="00650D00" w:rsidRPr="00DC1FF0">
                <w:rPr>
                  <w:rFonts w:ascii="Times New Roman" w:hAnsi="Times New Roman" w:cs="Times New Roman"/>
                  <w:bCs/>
                  <w:color w:val="0000FF"/>
                  <w:sz w:val="24"/>
                  <w:szCs w:val="24"/>
                  <w:u w:val="single"/>
                </w:rPr>
                <w:t>jmcdermott@firstenergycorp.com</w:t>
              </w:r>
            </w:hyperlink>
          </w:p>
          <w:p w:rsidR="00650D00" w:rsidRPr="00DC1FF0" w:rsidRDefault="001D5E02" w:rsidP="00084CB8">
            <w:pPr>
              <w:spacing w:after="0" w:line="240" w:lineRule="auto"/>
              <w:rPr>
                <w:rFonts w:ascii="Times New Roman" w:hAnsi="Times New Roman" w:cs="Times New Roman"/>
                <w:bCs/>
                <w:sz w:val="24"/>
                <w:szCs w:val="24"/>
              </w:rPr>
            </w:pPr>
            <w:hyperlink r:id="rId63" w:history="1">
              <w:r w:rsidR="00650D00" w:rsidRPr="00DC1FF0">
                <w:rPr>
                  <w:rFonts w:ascii="Times New Roman" w:hAnsi="Times New Roman" w:cs="Times New Roman"/>
                  <w:bCs/>
                  <w:color w:val="0000FF"/>
                  <w:sz w:val="24"/>
                  <w:szCs w:val="24"/>
                  <w:u w:val="single"/>
                </w:rPr>
                <w:t>scasto@firstenergycorp.com</w:t>
              </w:r>
            </w:hyperlink>
          </w:p>
          <w:p w:rsidR="00650D00" w:rsidRPr="00DC1FF0" w:rsidRDefault="001D5E02" w:rsidP="00084CB8">
            <w:pPr>
              <w:spacing w:after="0" w:line="240" w:lineRule="auto"/>
              <w:rPr>
                <w:rFonts w:ascii="Times New Roman" w:hAnsi="Times New Roman" w:cs="Times New Roman"/>
                <w:sz w:val="24"/>
                <w:szCs w:val="24"/>
              </w:rPr>
            </w:pPr>
            <w:hyperlink r:id="rId64" w:history="1">
              <w:r w:rsidR="00650D00" w:rsidRPr="00DC1FF0">
                <w:rPr>
                  <w:rFonts w:ascii="Times New Roman" w:hAnsi="Times New Roman" w:cs="Times New Roman"/>
                  <w:color w:val="0000FF"/>
                  <w:sz w:val="24"/>
                  <w:szCs w:val="24"/>
                  <w:u w:val="single"/>
                </w:rPr>
                <w:t>joliker@igsenergy.com</w:t>
              </w:r>
            </w:hyperlink>
          </w:p>
          <w:p w:rsidR="00650D00" w:rsidRPr="00DC1FF0" w:rsidRDefault="001D5E02" w:rsidP="00084CB8">
            <w:pPr>
              <w:spacing w:after="0" w:line="240" w:lineRule="auto"/>
              <w:rPr>
                <w:rFonts w:ascii="Times New Roman" w:hAnsi="Times New Roman" w:cs="Times New Roman"/>
                <w:sz w:val="24"/>
                <w:szCs w:val="24"/>
              </w:rPr>
            </w:pPr>
            <w:hyperlink r:id="rId65" w:history="1">
              <w:r w:rsidR="00650D00" w:rsidRPr="00DC1FF0">
                <w:rPr>
                  <w:rFonts w:ascii="Times New Roman" w:hAnsi="Times New Roman" w:cs="Times New Roman"/>
                  <w:color w:val="0000FF"/>
                  <w:sz w:val="24"/>
                  <w:szCs w:val="24"/>
                  <w:u w:val="single"/>
                </w:rPr>
                <w:t>mswhite@igsenergy.com</w:t>
              </w:r>
            </w:hyperlink>
          </w:p>
          <w:p w:rsidR="00650D00" w:rsidRPr="00DC1FF0" w:rsidRDefault="001D5E02" w:rsidP="00084CB8">
            <w:pPr>
              <w:spacing w:after="0" w:line="240" w:lineRule="auto"/>
              <w:rPr>
                <w:rFonts w:ascii="Times New Roman" w:hAnsi="Times New Roman" w:cs="Times New Roman"/>
                <w:color w:val="0000FF"/>
                <w:sz w:val="24"/>
                <w:szCs w:val="24"/>
              </w:rPr>
            </w:pPr>
            <w:hyperlink r:id="rId66" w:history="1">
              <w:r w:rsidR="00650D00" w:rsidRPr="00DC1FF0">
                <w:rPr>
                  <w:rFonts w:ascii="Times New Roman" w:hAnsi="Times New Roman" w:cs="Times New Roman"/>
                  <w:color w:val="0000FF"/>
                  <w:sz w:val="24"/>
                  <w:szCs w:val="24"/>
                  <w:u w:val="single"/>
                </w:rPr>
                <w:t>joseph.clark@directenergy.com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67" w:history="1">
              <w:r w:rsidR="00650D00" w:rsidRPr="00DC1FF0">
                <w:rPr>
                  <w:rFonts w:ascii="Times New Roman" w:hAnsi="Times New Roman" w:cs="Times New Roman"/>
                  <w:color w:val="0000FF"/>
                  <w:sz w:val="24"/>
                  <w:szCs w:val="24"/>
                  <w:u w:val="single"/>
                </w:rPr>
                <w:t>sam@mwncmh.com</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68" w:history="1">
              <w:r w:rsidR="00650D00" w:rsidRPr="00DC1FF0">
                <w:rPr>
                  <w:rFonts w:ascii="Times New Roman" w:hAnsi="Times New Roman" w:cs="Times New Roman"/>
                  <w:color w:val="0000FF"/>
                  <w:sz w:val="24"/>
                  <w:szCs w:val="24"/>
                  <w:u w:val="single"/>
                </w:rPr>
                <w:t>fdarr@mwncmh.com</w:t>
              </w:r>
            </w:hyperlink>
          </w:p>
          <w:p w:rsidR="00650D00" w:rsidRPr="00DC1FF0" w:rsidRDefault="001D5E02" w:rsidP="00084CB8">
            <w:pPr>
              <w:spacing w:after="0" w:line="240" w:lineRule="auto"/>
              <w:jc w:val="both"/>
              <w:rPr>
                <w:rFonts w:ascii="Times New Roman" w:hAnsi="Times New Roman" w:cs="Times New Roman"/>
                <w:sz w:val="24"/>
                <w:szCs w:val="24"/>
              </w:rPr>
            </w:pPr>
            <w:hyperlink r:id="rId69" w:history="1">
              <w:r w:rsidR="00650D00" w:rsidRPr="00DC1FF0">
                <w:rPr>
                  <w:rFonts w:ascii="Times New Roman" w:hAnsi="Times New Roman" w:cs="Times New Roman"/>
                  <w:color w:val="0000FF"/>
                  <w:sz w:val="24"/>
                  <w:szCs w:val="24"/>
                  <w:u w:val="single"/>
                </w:rPr>
                <w:t>mpritchard@mwncmh.com</w:t>
              </w:r>
            </w:hyperlink>
          </w:p>
          <w:p w:rsidR="00650D00" w:rsidRPr="00DC1FF0" w:rsidRDefault="001D5E02" w:rsidP="00084CB8">
            <w:pPr>
              <w:spacing w:after="0" w:line="240" w:lineRule="auto"/>
              <w:jc w:val="both"/>
              <w:rPr>
                <w:rFonts w:ascii="Times New Roman" w:hAnsi="Times New Roman" w:cs="Times New Roman"/>
                <w:color w:val="0000FF"/>
                <w:sz w:val="24"/>
                <w:szCs w:val="24"/>
                <w:u w:val="single"/>
              </w:rPr>
            </w:pPr>
            <w:hyperlink r:id="rId70" w:history="1">
              <w:r w:rsidR="00650D00" w:rsidRPr="00DC1FF0">
                <w:rPr>
                  <w:rFonts w:ascii="Times New Roman" w:hAnsi="Times New Roman" w:cs="Times New Roman"/>
                  <w:color w:val="0000FF"/>
                  <w:sz w:val="24"/>
                  <w:szCs w:val="24"/>
                  <w:u w:val="single"/>
                </w:rPr>
                <w:t>callwein@wamenergylaw.com</w:t>
              </w:r>
            </w:hyperlink>
          </w:p>
          <w:p w:rsidR="00650D00" w:rsidRPr="00DC1FF0" w:rsidRDefault="001D5E02" w:rsidP="00084CB8">
            <w:pPr>
              <w:spacing w:after="0" w:line="240" w:lineRule="auto"/>
              <w:jc w:val="both"/>
              <w:rPr>
                <w:rFonts w:ascii="Times New Roman" w:hAnsi="Times New Roman" w:cs="Times New Roman"/>
                <w:color w:val="0000FF"/>
                <w:sz w:val="24"/>
                <w:szCs w:val="24"/>
              </w:rPr>
            </w:pPr>
            <w:hyperlink r:id="rId71" w:history="1">
              <w:r w:rsidR="00650D00" w:rsidRPr="00DC1FF0">
                <w:rPr>
                  <w:rFonts w:ascii="Times New Roman" w:hAnsi="Times New Roman" w:cs="Times New Roman"/>
                  <w:color w:val="0000FF"/>
                  <w:sz w:val="24"/>
                  <w:szCs w:val="24"/>
                  <w:u w:val="single"/>
                </w:rPr>
                <w:t>tdougherty@theOEC.org</w:t>
              </w:r>
            </w:hyperlink>
          </w:p>
          <w:p w:rsidR="00650D00" w:rsidRPr="00DC1FF0" w:rsidRDefault="001D5E02" w:rsidP="00084CB8">
            <w:pPr>
              <w:spacing w:after="0" w:line="240" w:lineRule="auto"/>
              <w:jc w:val="both"/>
              <w:rPr>
                <w:rFonts w:ascii="Times New Roman" w:hAnsi="Times New Roman" w:cs="Times New Roman"/>
                <w:color w:val="0000FF"/>
                <w:sz w:val="24"/>
                <w:szCs w:val="24"/>
              </w:rPr>
            </w:pPr>
            <w:hyperlink r:id="rId72" w:history="1">
              <w:r w:rsidR="00650D00" w:rsidRPr="00DC1FF0">
                <w:rPr>
                  <w:rFonts w:ascii="Times New Roman" w:hAnsi="Times New Roman" w:cs="Times New Roman"/>
                  <w:color w:val="0000FF"/>
                  <w:sz w:val="24"/>
                  <w:szCs w:val="24"/>
                  <w:u w:val="single"/>
                </w:rPr>
                <w:t>dhart@douglasehart.com</w:t>
              </w:r>
            </w:hyperlink>
          </w:p>
          <w:p w:rsidR="00650D00" w:rsidRPr="00DC1FF0" w:rsidRDefault="001D5E02" w:rsidP="00084CB8">
            <w:pPr>
              <w:spacing w:after="0" w:line="240" w:lineRule="auto"/>
              <w:jc w:val="both"/>
              <w:rPr>
                <w:rFonts w:ascii="Times New Roman" w:hAnsi="Times New Roman" w:cs="Times New Roman"/>
                <w:color w:val="0000FF"/>
                <w:sz w:val="24"/>
                <w:szCs w:val="24"/>
                <w:u w:val="single"/>
              </w:rPr>
            </w:pPr>
            <w:hyperlink r:id="rId73" w:history="1">
              <w:r w:rsidR="00650D00" w:rsidRPr="00DC1FF0">
                <w:rPr>
                  <w:rFonts w:ascii="Times New Roman" w:hAnsi="Times New Roman" w:cs="Times New Roman"/>
                  <w:color w:val="0000FF"/>
                  <w:sz w:val="24"/>
                  <w:szCs w:val="24"/>
                  <w:u w:val="single"/>
                </w:rPr>
                <w:t>cloucas@ohiopartners.org</w:t>
              </w:r>
            </w:hyperlink>
          </w:p>
          <w:p w:rsidR="00650D00" w:rsidRPr="00DC1FF0" w:rsidRDefault="001D5E02" w:rsidP="00084CB8">
            <w:pPr>
              <w:spacing w:after="0" w:line="240" w:lineRule="auto"/>
              <w:jc w:val="both"/>
              <w:rPr>
                <w:rFonts w:ascii="Times New Roman" w:hAnsi="Times New Roman" w:cs="Times New Roman"/>
                <w:color w:val="0000FF"/>
                <w:sz w:val="24"/>
                <w:szCs w:val="24"/>
                <w:u w:val="single"/>
              </w:rPr>
            </w:pPr>
            <w:hyperlink r:id="rId74" w:history="1">
              <w:r w:rsidR="00650D00" w:rsidRPr="00DC1FF0">
                <w:rPr>
                  <w:rFonts w:ascii="Times New Roman" w:hAnsi="Times New Roman" w:cs="Times New Roman"/>
                  <w:color w:val="0000FF"/>
                  <w:sz w:val="24"/>
                  <w:szCs w:val="24"/>
                  <w:u w:val="single"/>
                </w:rPr>
                <w:t>schler@carpenterlipps.com</w:t>
              </w:r>
            </w:hyperlink>
          </w:p>
          <w:p w:rsidR="00650D00" w:rsidRPr="00DC1FF0" w:rsidRDefault="001D5E02" w:rsidP="00084CB8">
            <w:pPr>
              <w:tabs>
                <w:tab w:val="left" w:pos="2616"/>
              </w:tabs>
              <w:spacing w:after="0" w:line="240" w:lineRule="auto"/>
              <w:jc w:val="both"/>
              <w:rPr>
                <w:rFonts w:ascii="Times New Roman" w:hAnsi="Times New Roman" w:cs="Times New Roman"/>
                <w:color w:val="0000FF"/>
                <w:sz w:val="24"/>
                <w:szCs w:val="24"/>
              </w:rPr>
            </w:pPr>
            <w:hyperlink r:id="rId75" w:history="1">
              <w:r w:rsidR="00650D00" w:rsidRPr="00DC1FF0">
                <w:rPr>
                  <w:rFonts w:ascii="Times New Roman" w:hAnsi="Times New Roman" w:cs="Times New Roman"/>
                  <w:color w:val="0000FF"/>
                  <w:sz w:val="24"/>
                  <w:szCs w:val="24"/>
                  <w:u w:val="single"/>
                </w:rPr>
                <w:t>gpoulos@enernoc.com</w:t>
              </w:r>
            </w:hyperlink>
          </w:p>
          <w:p w:rsidR="00650D00" w:rsidRPr="00DC1FF0" w:rsidRDefault="001D5E02" w:rsidP="00084CB8">
            <w:pPr>
              <w:spacing w:after="0" w:line="240" w:lineRule="auto"/>
              <w:jc w:val="both"/>
              <w:rPr>
                <w:rFonts w:ascii="Times New Roman" w:hAnsi="Times New Roman" w:cs="Times New Roman"/>
                <w:color w:val="0000FF"/>
                <w:sz w:val="24"/>
                <w:szCs w:val="24"/>
              </w:rPr>
            </w:pPr>
            <w:hyperlink r:id="rId76" w:history="1">
              <w:r w:rsidR="00650D00" w:rsidRPr="00DC1FF0">
                <w:rPr>
                  <w:rFonts w:ascii="Times New Roman" w:hAnsi="Times New Roman" w:cs="Times New Roman"/>
                  <w:color w:val="0000FF"/>
                  <w:sz w:val="24"/>
                  <w:szCs w:val="24"/>
                  <w:u w:val="single"/>
                </w:rPr>
                <w:t>swilliams@nrdc.org</w:t>
              </w:r>
            </w:hyperlink>
          </w:p>
          <w:p w:rsidR="00650D00" w:rsidRPr="00DC1FF0" w:rsidRDefault="001D5E02" w:rsidP="00084CB8">
            <w:pPr>
              <w:spacing w:after="0" w:line="240" w:lineRule="auto"/>
              <w:jc w:val="both"/>
              <w:rPr>
                <w:rFonts w:ascii="Times New Roman" w:hAnsi="Times New Roman" w:cs="Times New Roman"/>
                <w:sz w:val="24"/>
                <w:szCs w:val="24"/>
              </w:rPr>
            </w:pPr>
            <w:hyperlink r:id="rId77" w:history="1">
              <w:r w:rsidR="00650D00" w:rsidRPr="00DC1FF0">
                <w:rPr>
                  <w:rFonts w:ascii="Times New Roman" w:hAnsi="Times New Roman" w:cs="Times New Roman"/>
                  <w:color w:val="0000FF"/>
                  <w:sz w:val="24"/>
                  <w:szCs w:val="24"/>
                  <w:u w:val="single"/>
                </w:rPr>
                <w:t>tobrien@bricker.com</w:t>
              </w:r>
            </w:hyperlink>
          </w:p>
          <w:p w:rsidR="00650D00" w:rsidRPr="00DC1FF0" w:rsidRDefault="001D5E02" w:rsidP="00084CB8">
            <w:pPr>
              <w:spacing w:after="0" w:line="240" w:lineRule="auto"/>
              <w:jc w:val="both"/>
              <w:rPr>
                <w:rFonts w:ascii="Times New Roman" w:hAnsi="Times New Roman" w:cs="Times New Roman"/>
                <w:sz w:val="24"/>
                <w:szCs w:val="24"/>
              </w:rPr>
            </w:pPr>
            <w:hyperlink r:id="rId78" w:history="1">
              <w:r w:rsidR="00650D00" w:rsidRPr="00DC1FF0">
                <w:rPr>
                  <w:rFonts w:ascii="Times New Roman" w:hAnsi="Times New Roman" w:cs="Times New Roman"/>
                  <w:color w:val="0000FF"/>
                  <w:sz w:val="24"/>
                  <w:szCs w:val="24"/>
                  <w:u w:val="single"/>
                </w:rPr>
                <w:t>ghull@eckertseamans.com</w:t>
              </w:r>
            </w:hyperlink>
          </w:p>
          <w:p w:rsidR="00650D00" w:rsidRPr="00DC1FF0" w:rsidRDefault="001D5E02" w:rsidP="00084CB8">
            <w:pPr>
              <w:tabs>
                <w:tab w:val="left" w:pos="2268"/>
              </w:tabs>
              <w:spacing w:after="0" w:line="240" w:lineRule="auto"/>
              <w:rPr>
                <w:rFonts w:ascii="Times New Roman" w:hAnsi="Times New Roman" w:cs="Times New Roman"/>
                <w:sz w:val="24"/>
                <w:szCs w:val="24"/>
              </w:rPr>
            </w:pPr>
            <w:hyperlink r:id="rId79" w:history="1">
              <w:r w:rsidR="00650D00" w:rsidRPr="00DC1FF0">
                <w:rPr>
                  <w:rFonts w:ascii="Times New Roman" w:hAnsi="Times New Roman" w:cs="Times New Roman"/>
                  <w:color w:val="0000FF"/>
                  <w:sz w:val="24"/>
                  <w:szCs w:val="24"/>
                  <w:u w:val="single"/>
                </w:rPr>
                <w:t>jvickers@elpc.org</w:t>
              </w:r>
            </w:hyperlink>
          </w:p>
          <w:p w:rsidR="00650D00" w:rsidRPr="00DC1FF0" w:rsidRDefault="001D5E02" w:rsidP="00084CB8">
            <w:pPr>
              <w:spacing w:after="0" w:line="240" w:lineRule="auto"/>
              <w:rPr>
                <w:rFonts w:ascii="Times New Roman" w:hAnsi="Times New Roman" w:cs="Times New Roman"/>
                <w:sz w:val="24"/>
                <w:szCs w:val="24"/>
              </w:rPr>
            </w:pPr>
            <w:hyperlink r:id="rId80" w:history="1">
              <w:r w:rsidR="00650D00" w:rsidRPr="00DC1FF0">
                <w:rPr>
                  <w:rFonts w:ascii="Times New Roman" w:hAnsi="Times New Roman" w:cs="Times New Roman"/>
                  <w:color w:val="0000FF"/>
                  <w:sz w:val="24"/>
                  <w:szCs w:val="24"/>
                  <w:u w:val="single"/>
                </w:rPr>
                <w:t>tony.mendoza@sierraclub.org</w:t>
              </w:r>
            </w:hyperlink>
          </w:p>
          <w:p w:rsidR="00650D00" w:rsidRPr="00DC1FF0" w:rsidRDefault="001D5E02" w:rsidP="00084CB8">
            <w:pPr>
              <w:autoSpaceDE w:val="0"/>
              <w:autoSpaceDN w:val="0"/>
              <w:adjustRightInd w:val="0"/>
              <w:spacing w:after="0" w:line="240" w:lineRule="auto"/>
              <w:rPr>
                <w:rFonts w:ascii="Times New Roman" w:hAnsi="Times New Roman" w:cs="Times New Roman"/>
                <w:sz w:val="24"/>
                <w:szCs w:val="24"/>
              </w:rPr>
            </w:pPr>
            <w:hyperlink r:id="rId81" w:history="1">
              <w:r w:rsidR="00650D00" w:rsidRPr="00DC1FF0">
                <w:rPr>
                  <w:rFonts w:ascii="Times New Roman" w:hAnsi="Times New Roman" w:cs="Times New Roman"/>
                  <w:color w:val="0000FF"/>
                  <w:sz w:val="24"/>
                  <w:szCs w:val="24"/>
                  <w:u w:val="single"/>
                </w:rPr>
                <w:t>dstinson@bricker.com</w:t>
              </w:r>
            </w:hyperlink>
          </w:p>
          <w:p w:rsidR="00650D00" w:rsidRPr="00DC1FF0" w:rsidRDefault="001D5E02" w:rsidP="00084CB8">
            <w:pPr>
              <w:spacing w:after="0" w:line="240" w:lineRule="auto"/>
              <w:rPr>
                <w:rFonts w:ascii="Times New Roman" w:hAnsi="Times New Roman" w:cs="Times New Roman"/>
                <w:sz w:val="24"/>
                <w:szCs w:val="24"/>
              </w:rPr>
            </w:pPr>
            <w:hyperlink r:id="rId82" w:history="1">
              <w:r w:rsidR="00650D00" w:rsidRPr="00DC1FF0">
                <w:rPr>
                  <w:rFonts w:ascii="Times New Roman" w:hAnsi="Times New Roman" w:cs="Times New Roman"/>
                  <w:color w:val="0000FF"/>
                  <w:sz w:val="24"/>
                  <w:szCs w:val="24"/>
                  <w:u w:val="single"/>
                </w:rPr>
                <w:t>dborchers@bricker.com</w:t>
              </w:r>
            </w:hyperlink>
          </w:p>
          <w:p w:rsidR="00650D00" w:rsidRPr="00DC1FF0" w:rsidRDefault="001D5E02" w:rsidP="00084CB8">
            <w:pPr>
              <w:spacing w:after="0" w:line="240" w:lineRule="auto"/>
              <w:rPr>
                <w:rFonts w:ascii="Times New Roman" w:hAnsi="Times New Roman" w:cs="Times New Roman"/>
                <w:sz w:val="24"/>
                <w:szCs w:val="24"/>
              </w:rPr>
            </w:pPr>
            <w:hyperlink r:id="rId83" w:history="1">
              <w:r w:rsidR="00650D00" w:rsidRPr="00DC1FF0">
                <w:rPr>
                  <w:rFonts w:ascii="Times New Roman" w:hAnsi="Times New Roman" w:cs="Times New Roman"/>
                  <w:color w:val="0000FF"/>
                  <w:sz w:val="24"/>
                  <w:szCs w:val="24"/>
                  <w:u w:val="single"/>
                </w:rPr>
                <w:t>mcastiglione@stblaw.com</w:t>
              </w:r>
            </w:hyperlink>
          </w:p>
          <w:p w:rsidR="00650D00" w:rsidRPr="00DC1FF0" w:rsidRDefault="001D5E02" w:rsidP="00084CB8">
            <w:pPr>
              <w:spacing w:after="0" w:line="240" w:lineRule="auto"/>
              <w:jc w:val="both"/>
              <w:rPr>
                <w:rFonts w:ascii="Times New Roman" w:hAnsi="Times New Roman" w:cs="Times New Roman"/>
                <w:bCs/>
                <w:sz w:val="24"/>
                <w:szCs w:val="24"/>
              </w:rPr>
            </w:pPr>
            <w:hyperlink r:id="rId84" w:history="1">
              <w:r w:rsidR="00650D00" w:rsidRPr="00DC1FF0">
                <w:rPr>
                  <w:rFonts w:ascii="Times New Roman" w:hAnsi="Times New Roman" w:cs="Times New Roman"/>
                  <w:color w:val="0000FF"/>
                  <w:sz w:val="24"/>
                  <w:szCs w:val="24"/>
                  <w:u w:val="single"/>
                </w:rPr>
                <w:t>bchisling@stblaw.com</w:t>
              </w:r>
            </w:hyperlink>
          </w:p>
        </w:tc>
      </w:tr>
    </w:tbl>
    <w:p w:rsidR="00ED5BD9" w:rsidRPr="00DC1FF0" w:rsidRDefault="00ED5BD9" w:rsidP="00ED5BD9">
      <w:pPr>
        <w:rPr>
          <w:rFonts w:ascii="Times New Roman" w:hAnsi="Times New Roman" w:cs="Times New Roman"/>
          <w:sz w:val="24"/>
          <w:szCs w:val="24"/>
        </w:rPr>
      </w:pPr>
    </w:p>
    <w:sectPr w:rsidR="00ED5BD9" w:rsidRPr="00DC1FF0" w:rsidSect="0067615D">
      <w:headerReference w:type="even" r:id="rId85"/>
      <w:headerReference w:type="default" r:id="rId86"/>
      <w:footerReference w:type="default" r:id="rId87"/>
      <w:headerReference w:type="first" r:id="rId88"/>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D9" w:rsidRDefault="00A26BD9" w:rsidP="00ED5BD9">
      <w:pPr>
        <w:spacing w:after="0" w:line="240" w:lineRule="auto"/>
      </w:pPr>
      <w:r>
        <w:separator/>
      </w:r>
    </w:p>
  </w:endnote>
  <w:endnote w:type="continuationSeparator" w:id="0">
    <w:p w:rsidR="00A26BD9" w:rsidRDefault="00A26BD9" w:rsidP="00ED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02" w:rsidRDefault="00410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A26BD9">
    <w:pPr>
      <w:pStyle w:val="Footer"/>
      <w:jc w:val="center"/>
    </w:pPr>
  </w:p>
  <w:p w:rsidR="00A26BD9" w:rsidRDefault="00A26B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02" w:rsidRDefault="004100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787192"/>
      <w:docPartObj>
        <w:docPartGallery w:val="Page Numbers (Bottom of Page)"/>
        <w:docPartUnique/>
      </w:docPartObj>
    </w:sdtPr>
    <w:sdtEndPr>
      <w:rPr>
        <w:noProof/>
      </w:rPr>
    </w:sdtEndPr>
    <w:sdtContent>
      <w:p w:rsidR="00A26BD9" w:rsidRDefault="00A26BD9">
        <w:pPr>
          <w:pStyle w:val="Footer"/>
          <w:jc w:val="center"/>
        </w:pPr>
        <w:r>
          <w:fldChar w:fldCharType="begin"/>
        </w:r>
        <w:r>
          <w:instrText xml:space="preserve"> PAGE   \* MERGEFORMAT </w:instrText>
        </w:r>
        <w:r>
          <w:fldChar w:fldCharType="separate"/>
        </w:r>
        <w:r w:rsidR="001D5E02">
          <w:rPr>
            <w:noProof/>
          </w:rPr>
          <w:t>i</w:t>
        </w:r>
        <w:r>
          <w:rPr>
            <w:noProof/>
          </w:rPr>
          <w:fldChar w:fldCharType="end"/>
        </w:r>
      </w:p>
    </w:sdtContent>
  </w:sdt>
  <w:p w:rsidR="00A26BD9" w:rsidRDefault="00A26B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181131"/>
      <w:docPartObj>
        <w:docPartGallery w:val="Page Numbers (Bottom of Page)"/>
        <w:docPartUnique/>
      </w:docPartObj>
    </w:sdtPr>
    <w:sdtEndPr>
      <w:rPr>
        <w:noProof/>
      </w:rPr>
    </w:sdtEndPr>
    <w:sdtContent>
      <w:p w:rsidR="00A26BD9" w:rsidRDefault="00A26BD9">
        <w:pPr>
          <w:pStyle w:val="Footer"/>
          <w:jc w:val="center"/>
        </w:pPr>
        <w:r>
          <w:fldChar w:fldCharType="begin"/>
        </w:r>
        <w:r>
          <w:instrText xml:space="preserve"> PAGE   \* MERGEFORMAT </w:instrText>
        </w:r>
        <w:r>
          <w:fldChar w:fldCharType="separate"/>
        </w:r>
        <w:r w:rsidR="00410002">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A26BD9">
    <w:pPr>
      <w:pStyle w:val="Footer"/>
      <w:jc w:val="center"/>
    </w:pPr>
  </w:p>
  <w:p w:rsidR="00A26BD9" w:rsidRDefault="00A26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D9" w:rsidRDefault="00A26BD9" w:rsidP="00ED5BD9">
      <w:pPr>
        <w:spacing w:after="0" w:line="240" w:lineRule="auto"/>
      </w:pPr>
      <w:r>
        <w:separator/>
      </w:r>
    </w:p>
  </w:footnote>
  <w:footnote w:type="continuationSeparator" w:id="0">
    <w:p w:rsidR="00A26BD9" w:rsidRDefault="00A26BD9" w:rsidP="00ED5BD9">
      <w:pPr>
        <w:spacing w:after="0" w:line="240" w:lineRule="auto"/>
      </w:pPr>
      <w:r>
        <w:continuationSeparator/>
      </w:r>
    </w:p>
  </w:footnote>
  <w:footnote w:id="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5-42</w:t>
      </w:r>
      <w:r>
        <w:rPr>
          <w:rFonts w:ascii="Times New Roman" w:hAnsi="Times New Roman" w:cs="Times New Roman"/>
        </w:rPr>
        <w:t>.</w:t>
      </w:r>
    </w:p>
  </w:footnote>
  <w:footnote w:id="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w:t>
      </w:r>
      <w:r>
        <w:rPr>
          <w:rFonts w:ascii="Times New Roman" w:hAnsi="Times New Roman" w:cs="Times New Roman"/>
        </w:rPr>
        <w:t xml:space="preserve"> Initial</w:t>
      </w:r>
      <w:r w:rsidRPr="00926C46">
        <w:rPr>
          <w:rFonts w:ascii="Times New Roman" w:hAnsi="Times New Roman" w:cs="Times New Roman"/>
        </w:rPr>
        <w:t xml:space="preserve"> Brief at 19.</w:t>
      </w:r>
    </w:p>
  </w:footnote>
  <w:footnote w:id="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w:t>
      </w:r>
      <w:r>
        <w:rPr>
          <w:rFonts w:ascii="Times New Roman" w:hAnsi="Times New Roman" w:cs="Times New Roman"/>
        </w:rPr>
        <w:t xml:space="preserve"> Initial</w:t>
      </w:r>
      <w:r w:rsidRPr="00926C46">
        <w:rPr>
          <w:rFonts w:ascii="Times New Roman" w:hAnsi="Times New Roman" w:cs="Times New Roman"/>
        </w:rPr>
        <w:t xml:space="preserve"> Brief at 20.</w:t>
      </w:r>
    </w:p>
  </w:footnote>
  <w:footnote w:id="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21.</w:t>
      </w:r>
    </w:p>
  </w:footnote>
  <w:footnote w:id="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w:t>
      </w:r>
      <w:r w:rsidRPr="00164AB1">
        <w:rPr>
          <w:rFonts w:ascii="Times New Roman" w:hAnsi="Times New Roman" w:cs="Times New Roman"/>
        </w:rPr>
        <w:t xml:space="preserve"> 29-42.</w:t>
      </w:r>
    </w:p>
  </w:footnote>
  <w:footnote w:id="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Pr>
          <w:rFonts w:ascii="Times New Roman" w:hAnsi="Times New Roman" w:cs="Times New Roman"/>
        </w:rPr>
        <w:t xml:space="preserve"> Tr. VI at 1694- 1695</w:t>
      </w:r>
      <w:r w:rsidRPr="00926C46">
        <w:rPr>
          <w:rFonts w:ascii="Times New Roman" w:hAnsi="Times New Roman" w:cs="Times New Roman"/>
        </w:rPr>
        <w:t>.</w:t>
      </w:r>
    </w:p>
  </w:footnote>
  <w:footnote w:id="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22.</w:t>
      </w:r>
    </w:p>
  </w:footnote>
  <w:footnote w:id="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21.</w:t>
      </w:r>
    </w:p>
  </w:footnote>
  <w:footnote w:id="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11-17.</w:t>
      </w:r>
    </w:p>
  </w:footnote>
  <w:footnote w:id="1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22.</w:t>
      </w:r>
    </w:p>
  </w:footnote>
  <w:footnote w:id="1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11-17.</w:t>
      </w:r>
    </w:p>
  </w:footnote>
  <w:footnote w:id="12">
    <w:p w:rsidR="00A26BD9" w:rsidRDefault="00A26BD9" w:rsidP="00084CB8">
      <w:pPr>
        <w:pStyle w:val="FootnoteText"/>
        <w:spacing w:after="120"/>
      </w:pPr>
      <w:r>
        <w:rPr>
          <w:rStyle w:val="FootnoteReference"/>
        </w:rPr>
        <w:footnoteRef/>
      </w:r>
      <w:r>
        <w:t xml:space="preserve"> </w:t>
      </w:r>
      <w:r w:rsidRPr="00926C46">
        <w:rPr>
          <w:rFonts w:ascii="Times New Roman" w:hAnsi="Times New Roman" w:cs="Times New Roman"/>
        </w:rPr>
        <w:t xml:space="preserve">PUCO Staff </w:t>
      </w:r>
      <w:r>
        <w:rPr>
          <w:rFonts w:ascii="Times New Roman" w:hAnsi="Times New Roman" w:cs="Times New Roman"/>
        </w:rPr>
        <w:t xml:space="preserve">Initial </w:t>
      </w:r>
      <w:r w:rsidRPr="00926C46">
        <w:rPr>
          <w:rFonts w:ascii="Times New Roman" w:hAnsi="Times New Roman" w:cs="Times New Roman"/>
        </w:rPr>
        <w:t>Brief at 21</w:t>
      </w:r>
      <w:r>
        <w:rPr>
          <w:rFonts w:ascii="Times New Roman" w:hAnsi="Times New Roman" w:cs="Times New Roman"/>
        </w:rPr>
        <w:t>-24; Constellation/Exelon Initial Brief at 7-12; Direct Energy Initial Brief at 12; ELPC Initial Brief at 7-10; GCHC Brief at 5-7; IEU-Ohio Initial Brief at 26-29; IGS Initial Brief at 26-28; Kroger Initial Brief at 9-10; OCC Initial Brief at 11-17; OEC Initial Brief at 12-14; OMA Initial Brief at 22-23; OPAE Initial Brief at 10-11; RESA Initial Brief at 7-11; Sierra Club Initial Brief at 18-20; Universities Initial Brief at 6-7.</w:t>
      </w:r>
    </w:p>
  </w:footnote>
  <w:footnote w:id="13">
    <w:p w:rsidR="00A26BD9" w:rsidRPr="00926C46" w:rsidRDefault="00A26BD9" w:rsidP="00084CB8">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24.</w:t>
      </w:r>
    </w:p>
  </w:footnote>
  <w:footnote w:id="1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2-5; OPAE Brief at 8.</w:t>
      </w:r>
    </w:p>
  </w:footnote>
  <w:footnote w:id="1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 xml:space="preserve">Brief at 18-21; City of Cincinnati </w:t>
      </w:r>
      <w:r>
        <w:rPr>
          <w:rFonts w:ascii="Times New Roman" w:hAnsi="Times New Roman" w:cs="Times New Roman"/>
        </w:rPr>
        <w:t xml:space="preserve">Initial </w:t>
      </w:r>
      <w:r w:rsidRPr="00926C46">
        <w:rPr>
          <w:rFonts w:ascii="Times New Roman" w:hAnsi="Times New Roman" w:cs="Times New Roman"/>
        </w:rPr>
        <w:t xml:space="preserve">Brief at 4-8; Constellation/Exelon </w:t>
      </w:r>
      <w:r>
        <w:rPr>
          <w:rFonts w:ascii="Times New Roman" w:hAnsi="Times New Roman" w:cs="Times New Roman"/>
        </w:rPr>
        <w:t xml:space="preserve">Initial </w:t>
      </w:r>
      <w:r w:rsidRPr="00926C46">
        <w:rPr>
          <w:rFonts w:ascii="Times New Roman" w:hAnsi="Times New Roman" w:cs="Times New Roman"/>
        </w:rPr>
        <w:t xml:space="preserve">Brief at 6-7; IEU-Ohio </w:t>
      </w:r>
      <w:r>
        <w:rPr>
          <w:rFonts w:ascii="Times New Roman" w:hAnsi="Times New Roman" w:cs="Times New Roman"/>
        </w:rPr>
        <w:t xml:space="preserve">Initial </w:t>
      </w:r>
      <w:r w:rsidRPr="00926C46">
        <w:rPr>
          <w:rFonts w:ascii="Times New Roman" w:hAnsi="Times New Roman" w:cs="Times New Roman"/>
        </w:rPr>
        <w:t xml:space="preserve">Brief at 19-26; IGS </w:t>
      </w:r>
      <w:r>
        <w:rPr>
          <w:rFonts w:ascii="Times New Roman" w:hAnsi="Times New Roman" w:cs="Times New Roman"/>
        </w:rPr>
        <w:t xml:space="preserve">Initial </w:t>
      </w:r>
      <w:r w:rsidRPr="00926C46">
        <w:rPr>
          <w:rFonts w:ascii="Times New Roman" w:hAnsi="Times New Roman" w:cs="Times New Roman"/>
        </w:rPr>
        <w:t>Brief at 21-24.</w:t>
      </w:r>
    </w:p>
  </w:footnote>
  <w:footnote w:id="1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 xml:space="preserve">Brief at 7-8; IGS </w:t>
      </w:r>
      <w:r>
        <w:rPr>
          <w:rFonts w:ascii="Times New Roman" w:hAnsi="Times New Roman" w:cs="Times New Roman"/>
        </w:rPr>
        <w:t xml:space="preserve">Initial </w:t>
      </w:r>
      <w:r w:rsidRPr="00926C46">
        <w:rPr>
          <w:rFonts w:ascii="Times New Roman" w:hAnsi="Times New Roman" w:cs="Times New Roman"/>
        </w:rPr>
        <w:t>Brief at 31-32.</w:t>
      </w:r>
    </w:p>
  </w:footnote>
  <w:footnote w:id="1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7-8.</w:t>
      </w:r>
    </w:p>
  </w:footnote>
  <w:footnote w:id="1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8.</w:t>
      </w:r>
    </w:p>
  </w:footnote>
  <w:footnote w:id="1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9-10</w:t>
      </w:r>
      <w:r>
        <w:rPr>
          <w:rFonts w:ascii="Times New Roman" w:hAnsi="Times New Roman" w:cs="Times New Roman"/>
        </w:rPr>
        <w:t>.</w:t>
      </w:r>
    </w:p>
  </w:footnote>
  <w:footnote w:id="2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10.</w:t>
      </w:r>
    </w:p>
  </w:footnote>
  <w:footnote w:id="2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15.</w:t>
      </w:r>
    </w:p>
  </w:footnote>
  <w:footnote w:id="2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 xml:space="preserve">Brief at 15; City of Cincinnati </w:t>
      </w:r>
      <w:r>
        <w:rPr>
          <w:rFonts w:ascii="Times New Roman" w:hAnsi="Times New Roman" w:cs="Times New Roman"/>
        </w:rPr>
        <w:t xml:space="preserve">Initial </w:t>
      </w:r>
      <w:r w:rsidRPr="00926C46">
        <w:rPr>
          <w:rFonts w:ascii="Times New Roman" w:hAnsi="Times New Roman" w:cs="Times New Roman"/>
        </w:rPr>
        <w:t>Brief at 7.</w:t>
      </w:r>
    </w:p>
  </w:footnote>
  <w:footnote w:id="2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City of Cincinnati </w:t>
      </w:r>
      <w:r>
        <w:rPr>
          <w:rFonts w:ascii="Times New Roman" w:hAnsi="Times New Roman" w:cs="Times New Roman"/>
        </w:rPr>
        <w:t xml:space="preserve">Initial </w:t>
      </w:r>
      <w:r w:rsidRPr="00926C46">
        <w:rPr>
          <w:rFonts w:ascii="Times New Roman" w:hAnsi="Times New Roman" w:cs="Times New Roman"/>
        </w:rPr>
        <w:t xml:space="preserve">Brief at 7; IEU </w:t>
      </w:r>
      <w:r>
        <w:rPr>
          <w:rFonts w:ascii="Times New Roman" w:hAnsi="Times New Roman" w:cs="Times New Roman"/>
        </w:rPr>
        <w:t xml:space="preserve">Initial </w:t>
      </w:r>
      <w:r w:rsidRPr="00926C46">
        <w:rPr>
          <w:rFonts w:ascii="Times New Roman" w:hAnsi="Times New Roman" w:cs="Times New Roman"/>
        </w:rPr>
        <w:t xml:space="preserve">Brief at 6-8; OEC </w:t>
      </w:r>
      <w:r>
        <w:rPr>
          <w:rFonts w:ascii="Times New Roman" w:hAnsi="Times New Roman" w:cs="Times New Roman"/>
        </w:rPr>
        <w:t>Initial Brief at 4.</w:t>
      </w:r>
    </w:p>
  </w:footnote>
  <w:footnote w:id="2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City of Cincinnati </w:t>
      </w:r>
      <w:r>
        <w:rPr>
          <w:rFonts w:ascii="Times New Roman" w:hAnsi="Times New Roman" w:cs="Times New Roman"/>
        </w:rPr>
        <w:t xml:space="preserve">Initial </w:t>
      </w:r>
      <w:r w:rsidRPr="00926C46">
        <w:rPr>
          <w:rFonts w:ascii="Times New Roman" w:hAnsi="Times New Roman" w:cs="Times New Roman"/>
        </w:rPr>
        <w:t xml:space="preserve">Brief at 7; ELPC </w:t>
      </w:r>
      <w:r>
        <w:rPr>
          <w:rFonts w:ascii="Times New Roman" w:hAnsi="Times New Roman" w:cs="Times New Roman"/>
        </w:rPr>
        <w:t xml:space="preserve">Initial </w:t>
      </w:r>
      <w:r w:rsidRPr="00926C46">
        <w:rPr>
          <w:rFonts w:ascii="Times New Roman" w:hAnsi="Times New Roman" w:cs="Times New Roman"/>
        </w:rPr>
        <w:t xml:space="preserve">Brief at 10-13; IEU </w:t>
      </w:r>
      <w:r>
        <w:rPr>
          <w:rFonts w:ascii="Times New Roman" w:hAnsi="Times New Roman" w:cs="Times New Roman"/>
        </w:rPr>
        <w:t xml:space="preserve">Initial </w:t>
      </w:r>
      <w:r w:rsidRPr="00926C46">
        <w:rPr>
          <w:rFonts w:ascii="Times New Roman" w:hAnsi="Times New Roman" w:cs="Times New Roman"/>
        </w:rPr>
        <w:t xml:space="preserve">Brief at 8-12; IGS </w:t>
      </w:r>
      <w:r>
        <w:rPr>
          <w:rFonts w:ascii="Times New Roman" w:hAnsi="Times New Roman" w:cs="Times New Roman"/>
        </w:rPr>
        <w:t xml:space="preserve">Initial </w:t>
      </w:r>
      <w:r w:rsidRPr="00926C46">
        <w:rPr>
          <w:rFonts w:ascii="Times New Roman" w:hAnsi="Times New Roman" w:cs="Times New Roman"/>
        </w:rPr>
        <w:t xml:space="preserve">Brief at 19-20; Wal-Mart </w:t>
      </w:r>
      <w:r>
        <w:rPr>
          <w:rFonts w:ascii="Times New Roman" w:hAnsi="Times New Roman" w:cs="Times New Roman"/>
        </w:rPr>
        <w:t xml:space="preserve">Initial </w:t>
      </w:r>
      <w:r w:rsidRPr="00926C46">
        <w:rPr>
          <w:rFonts w:ascii="Times New Roman" w:hAnsi="Times New Roman" w:cs="Times New Roman"/>
        </w:rPr>
        <w:t>Brief at 9.</w:t>
      </w:r>
    </w:p>
  </w:footnote>
  <w:footnote w:id="2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 xml:space="preserve">Brief at 15-18; Constellation/Exelon </w:t>
      </w:r>
      <w:r>
        <w:rPr>
          <w:rFonts w:ascii="Times New Roman" w:hAnsi="Times New Roman" w:cs="Times New Roman"/>
        </w:rPr>
        <w:t xml:space="preserve">Initial </w:t>
      </w:r>
      <w:r w:rsidRPr="00926C46">
        <w:rPr>
          <w:rFonts w:ascii="Times New Roman" w:hAnsi="Times New Roman" w:cs="Times New Roman"/>
        </w:rPr>
        <w:t>Brief at 5; ELPC</w:t>
      </w:r>
      <w:r w:rsidRPr="00BB584D">
        <w:rPr>
          <w:rFonts w:ascii="Times New Roman" w:hAnsi="Times New Roman" w:cs="Times New Roman"/>
        </w:rPr>
        <w:t xml:space="preserve"> </w:t>
      </w:r>
      <w:r>
        <w:rPr>
          <w:rFonts w:ascii="Times New Roman" w:hAnsi="Times New Roman" w:cs="Times New Roman"/>
        </w:rPr>
        <w:t xml:space="preserve">Initial </w:t>
      </w:r>
      <w:r w:rsidRPr="00926C46">
        <w:rPr>
          <w:rFonts w:ascii="Times New Roman" w:hAnsi="Times New Roman" w:cs="Times New Roman"/>
        </w:rPr>
        <w:t xml:space="preserve">Brief at 14-16; GCHC </w:t>
      </w:r>
      <w:r>
        <w:rPr>
          <w:rFonts w:ascii="Times New Roman" w:hAnsi="Times New Roman" w:cs="Times New Roman"/>
        </w:rPr>
        <w:t xml:space="preserve">Initial </w:t>
      </w:r>
      <w:r w:rsidRPr="00926C46">
        <w:rPr>
          <w:rFonts w:ascii="Times New Roman" w:hAnsi="Times New Roman" w:cs="Times New Roman"/>
        </w:rPr>
        <w:t xml:space="preserve">Brief at 10-11; IEU </w:t>
      </w:r>
      <w:r>
        <w:rPr>
          <w:rFonts w:ascii="Times New Roman" w:hAnsi="Times New Roman" w:cs="Times New Roman"/>
        </w:rPr>
        <w:t xml:space="preserve">Initial </w:t>
      </w:r>
      <w:r w:rsidRPr="00926C46">
        <w:rPr>
          <w:rFonts w:ascii="Times New Roman" w:hAnsi="Times New Roman" w:cs="Times New Roman"/>
        </w:rPr>
        <w:t xml:space="preserve">Brief at 12-15; Kroger </w:t>
      </w:r>
      <w:r>
        <w:rPr>
          <w:rFonts w:ascii="Times New Roman" w:hAnsi="Times New Roman" w:cs="Times New Roman"/>
        </w:rPr>
        <w:t xml:space="preserve">Initial </w:t>
      </w:r>
      <w:r w:rsidRPr="00926C46">
        <w:rPr>
          <w:rFonts w:ascii="Times New Roman" w:hAnsi="Times New Roman" w:cs="Times New Roman"/>
        </w:rPr>
        <w:t xml:space="preserve">Brief at 12-13; OPAE </w:t>
      </w:r>
      <w:r>
        <w:rPr>
          <w:rFonts w:ascii="Times New Roman" w:hAnsi="Times New Roman" w:cs="Times New Roman"/>
        </w:rPr>
        <w:t xml:space="preserve">Initial </w:t>
      </w:r>
      <w:r w:rsidRPr="00926C46">
        <w:rPr>
          <w:rFonts w:ascii="Times New Roman" w:hAnsi="Times New Roman" w:cs="Times New Roman"/>
        </w:rPr>
        <w:t xml:space="preserve">Brief at 9; IGS </w:t>
      </w:r>
      <w:r>
        <w:rPr>
          <w:rFonts w:ascii="Times New Roman" w:hAnsi="Times New Roman" w:cs="Times New Roman"/>
        </w:rPr>
        <w:t xml:space="preserve">Initial </w:t>
      </w:r>
      <w:r w:rsidRPr="00926C46">
        <w:rPr>
          <w:rFonts w:ascii="Times New Roman" w:hAnsi="Times New Roman" w:cs="Times New Roman"/>
        </w:rPr>
        <w:t xml:space="preserve">Brief at 20-21; OEC </w:t>
      </w:r>
      <w:r>
        <w:rPr>
          <w:rFonts w:ascii="Times New Roman" w:hAnsi="Times New Roman" w:cs="Times New Roman"/>
        </w:rPr>
        <w:t xml:space="preserve">Initial </w:t>
      </w:r>
      <w:r w:rsidRPr="00926C46">
        <w:rPr>
          <w:rFonts w:ascii="Times New Roman" w:hAnsi="Times New Roman" w:cs="Times New Roman"/>
        </w:rPr>
        <w:t>Brief at 10-11.</w:t>
      </w:r>
    </w:p>
  </w:footnote>
  <w:footnote w:id="2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OPAE </w:t>
      </w:r>
      <w:r>
        <w:rPr>
          <w:rFonts w:ascii="Times New Roman" w:hAnsi="Times New Roman" w:cs="Times New Roman"/>
        </w:rPr>
        <w:t xml:space="preserve">Initial </w:t>
      </w:r>
      <w:r w:rsidRPr="00926C46">
        <w:rPr>
          <w:rFonts w:ascii="Times New Roman" w:hAnsi="Times New Roman" w:cs="Times New Roman"/>
        </w:rPr>
        <w:t>Brief at 9</w:t>
      </w:r>
      <w:r>
        <w:rPr>
          <w:rFonts w:ascii="Times New Roman" w:hAnsi="Times New Roman" w:cs="Times New Roman"/>
        </w:rPr>
        <w:t>.</w:t>
      </w:r>
    </w:p>
  </w:footnote>
  <w:footnote w:id="2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Wal-Mart </w:t>
      </w:r>
      <w:r>
        <w:rPr>
          <w:rFonts w:ascii="Times New Roman" w:hAnsi="Times New Roman" w:cs="Times New Roman"/>
        </w:rPr>
        <w:t xml:space="preserve">Initial </w:t>
      </w:r>
      <w:r w:rsidRPr="00926C46">
        <w:rPr>
          <w:rFonts w:ascii="Times New Roman" w:hAnsi="Times New Roman" w:cs="Times New Roman"/>
        </w:rPr>
        <w:t>Brief at 8.</w:t>
      </w:r>
    </w:p>
  </w:footnote>
  <w:footnote w:id="2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Pr>
          <w:rFonts w:ascii="Times New Roman" w:hAnsi="Times New Roman" w:cs="Times New Roman"/>
        </w:rPr>
        <w:t>IEU-Ohio Initial Brief at 15-19; OCC Initial Brief at 17-19; OMA Initial Brief at 19-20; OPAE Initial Brief at 10.</w:t>
      </w:r>
    </w:p>
  </w:footnote>
  <w:footnote w:id="2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IEU </w:t>
      </w:r>
      <w:r>
        <w:rPr>
          <w:rFonts w:ascii="Times New Roman" w:hAnsi="Times New Roman" w:cs="Times New Roman"/>
        </w:rPr>
        <w:t xml:space="preserve">Initial </w:t>
      </w:r>
      <w:r w:rsidRPr="00926C46">
        <w:rPr>
          <w:rFonts w:ascii="Times New Roman" w:hAnsi="Times New Roman" w:cs="Times New Roman"/>
        </w:rPr>
        <w:t xml:space="preserve">Brief at 15-19; Kroger </w:t>
      </w:r>
      <w:r>
        <w:rPr>
          <w:rFonts w:ascii="Times New Roman" w:hAnsi="Times New Roman" w:cs="Times New Roman"/>
        </w:rPr>
        <w:t xml:space="preserve">Initial </w:t>
      </w:r>
      <w:r w:rsidRPr="00926C46">
        <w:rPr>
          <w:rFonts w:ascii="Times New Roman" w:hAnsi="Times New Roman" w:cs="Times New Roman"/>
        </w:rPr>
        <w:t xml:space="preserve">Brief at 13-14; OPAE </w:t>
      </w:r>
      <w:r>
        <w:rPr>
          <w:rFonts w:ascii="Times New Roman" w:hAnsi="Times New Roman" w:cs="Times New Roman"/>
        </w:rPr>
        <w:t xml:space="preserve">Initial </w:t>
      </w:r>
      <w:r w:rsidRPr="00926C46">
        <w:rPr>
          <w:rFonts w:ascii="Times New Roman" w:hAnsi="Times New Roman" w:cs="Times New Roman"/>
        </w:rPr>
        <w:t>Brief at 10.</w:t>
      </w:r>
    </w:p>
  </w:footnote>
  <w:footnote w:id="3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 xml:space="preserve">Brief at 11-14; City of Cincinnati </w:t>
      </w:r>
      <w:r>
        <w:rPr>
          <w:rFonts w:ascii="Times New Roman" w:hAnsi="Times New Roman" w:cs="Times New Roman"/>
        </w:rPr>
        <w:t xml:space="preserve">Initial </w:t>
      </w:r>
      <w:r w:rsidRPr="00926C46">
        <w:rPr>
          <w:rFonts w:ascii="Times New Roman" w:hAnsi="Times New Roman" w:cs="Times New Roman"/>
        </w:rPr>
        <w:t xml:space="preserve">Brief at 8-9; IGS </w:t>
      </w:r>
      <w:r>
        <w:rPr>
          <w:rFonts w:ascii="Times New Roman" w:hAnsi="Times New Roman" w:cs="Times New Roman"/>
        </w:rPr>
        <w:t xml:space="preserve">Initial </w:t>
      </w:r>
      <w:r w:rsidRPr="00926C46">
        <w:rPr>
          <w:rFonts w:ascii="Times New Roman" w:hAnsi="Times New Roman" w:cs="Times New Roman"/>
        </w:rPr>
        <w:t>Brief at 24-26.</w:t>
      </w:r>
    </w:p>
  </w:footnote>
  <w:footnote w:id="3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City of Cincinnati </w:t>
      </w:r>
      <w:r>
        <w:rPr>
          <w:rFonts w:ascii="Times New Roman" w:hAnsi="Times New Roman" w:cs="Times New Roman"/>
        </w:rPr>
        <w:t xml:space="preserve">Initial </w:t>
      </w:r>
      <w:r w:rsidRPr="00926C46">
        <w:rPr>
          <w:rFonts w:ascii="Times New Roman" w:hAnsi="Times New Roman" w:cs="Times New Roman"/>
        </w:rPr>
        <w:t xml:space="preserve">Brief at 8; GCHC </w:t>
      </w:r>
      <w:r>
        <w:rPr>
          <w:rFonts w:ascii="Times New Roman" w:hAnsi="Times New Roman" w:cs="Times New Roman"/>
        </w:rPr>
        <w:t xml:space="preserve">Initial </w:t>
      </w:r>
      <w:r w:rsidRPr="00926C46">
        <w:rPr>
          <w:rFonts w:ascii="Times New Roman" w:hAnsi="Times New Roman" w:cs="Times New Roman"/>
        </w:rPr>
        <w:t xml:space="preserve">Brief at 7-8; RESA </w:t>
      </w:r>
      <w:r>
        <w:rPr>
          <w:rFonts w:ascii="Times New Roman" w:hAnsi="Times New Roman" w:cs="Times New Roman"/>
        </w:rPr>
        <w:t xml:space="preserve">Initial </w:t>
      </w:r>
      <w:r w:rsidRPr="00926C46">
        <w:rPr>
          <w:rFonts w:ascii="Times New Roman" w:hAnsi="Times New Roman" w:cs="Times New Roman"/>
        </w:rPr>
        <w:t>Brief at 14.</w:t>
      </w:r>
    </w:p>
  </w:footnote>
  <w:footnote w:id="3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Constellation/Exelon </w:t>
      </w:r>
      <w:r>
        <w:rPr>
          <w:rFonts w:ascii="Times New Roman" w:hAnsi="Times New Roman" w:cs="Times New Roman"/>
        </w:rPr>
        <w:t xml:space="preserve">Initial </w:t>
      </w:r>
      <w:r w:rsidRPr="00926C46">
        <w:rPr>
          <w:rFonts w:ascii="Times New Roman" w:hAnsi="Times New Roman" w:cs="Times New Roman"/>
        </w:rPr>
        <w:t xml:space="preserve">Brief at 3; GCHC </w:t>
      </w:r>
      <w:r>
        <w:rPr>
          <w:rFonts w:ascii="Times New Roman" w:hAnsi="Times New Roman" w:cs="Times New Roman"/>
        </w:rPr>
        <w:t xml:space="preserve">Initial </w:t>
      </w:r>
      <w:r w:rsidRPr="00926C46">
        <w:rPr>
          <w:rFonts w:ascii="Times New Roman" w:hAnsi="Times New Roman" w:cs="Times New Roman"/>
        </w:rPr>
        <w:t>Brief at 6; IEU-Ohio</w:t>
      </w:r>
      <w:r w:rsidRPr="00BB584D">
        <w:rPr>
          <w:rFonts w:ascii="Times New Roman" w:hAnsi="Times New Roman" w:cs="Times New Roman"/>
        </w:rPr>
        <w:t xml:space="preserve"> </w:t>
      </w:r>
      <w:r>
        <w:rPr>
          <w:rFonts w:ascii="Times New Roman" w:hAnsi="Times New Roman" w:cs="Times New Roman"/>
        </w:rPr>
        <w:t>Initial</w:t>
      </w:r>
      <w:r w:rsidRPr="00926C46">
        <w:rPr>
          <w:rFonts w:ascii="Times New Roman" w:hAnsi="Times New Roman" w:cs="Times New Roman"/>
        </w:rPr>
        <w:t xml:space="preserve"> Brief at 26-29.</w:t>
      </w:r>
    </w:p>
  </w:footnote>
  <w:footnote w:id="3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w:t>
      </w:r>
      <w:r w:rsidRPr="00BB584D">
        <w:rPr>
          <w:rFonts w:ascii="Times New Roman" w:hAnsi="Times New Roman" w:cs="Times New Roman"/>
        </w:rPr>
        <w:t xml:space="preserve"> </w:t>
      </w:r>
      <w:r>
        <w:rPr>
          <w:rFonts w:ascii="Times New Roman" w:hAnsi="Times New Roman" w:cs="Times New Roman"/>
        </w:rPr>
        <w:t>Initial</w:t>
      </w:r>
      <w:r w:rsidRPr="00926C46">
        <w:rPr>
          <w:rFonts w:ascii="Times New Roman" w:hAnsi="Times New Roman" w:cs="Times New Roman"/>
        </w:rPr>
        <w:t xml:space="preserve"> Brief at 21-22</w:t>
      </w:r>
      <w:r>
        <w:rPr>
          <w:rFonts w:ascii="Times New Roman" w:hAnsi="Times New Roman" w:cs="Times New Roman"/>
        </w:rPr>
        <w:t>.</w:t>
      </w:r>
    </w:p>
  </w:footnote>
  <w:footnote w:id="3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21.</w:t>
      </w:r>
    </w:p>
  </w:footnote>
  <w:footnote w:id="3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 xml:space="preserve">Brief at 21-22; IGS </w:t>
      </w:r>
      <w:r>
        <w:rPr>
          <w:rFonts w:ascii="Times New Roman" w:hAnsi="Times New Roman" w:cs="Times New Roman"/>
        </w:rPr>
        <w:t xml:space="preserve">Initial </w:t>
      </w:r>
      <w:r w:rsidRPr="00926C46">
        <w:rPr>
          <w:rFonts w:ascii="Times New Roman" w:hAnsi="Times New Roman" w:cs="Times New Roman"/>
        </w:rPr>
        <w:t>Brief at 27-28.</w:t>
      </w:r>
    </w:p>
  </w:footnote>
  <w:footnote w:id="3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IGS </w:t>
      </w:r>
      <w:r>
        <w:rPr>
          <w:rFonts w:ascii="Times New Roman" w:hAnsi="Times New Roman" w:cs="Times New Roman"/>
        </w:rPr>
        <w:t xml:space="preserve">Initial </w:t>
      </w:r>
      <w:r w:rsidRPr="00926C46">
        <w:rPr>
          <w:rFonts w:ascii="Times New Roman" w:hAnsi="Times New Roman" w:cs="Times New Roman"/>
        </w:rPr>
        <w:t>Brief at 28-31.</w:t>
      </w:r>
    </w:p>
  </w:footnote>
  <w:footnote w:id="3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IEU-Ohio </w:t>
      </w:r>
      <w:r>
        <w:rPr>
          <w:rFonts w:ascii="Times New Roman" w:hAnsi="Times New Roman" w:cs="Times New Roman"/>
        </w:rPr>
        <w:t xml:space="preserve">Initial </w:t>
      </w:r>
      <w:r w:rsidRPr="00926C46">
        <w:rPr>
          <w:rFonts w:ascii="Times New Roman" w:hAnsi="Times New Roman" w:cs="Times New Roman"/>
        </w:rPr>
        <w:t>Brief at 27.</w:t>
      </w:r>
    </w:p>
  </w:footnote>
  <w:footnote w:id="3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Brief at 22-23.</w:t>
      </w:r>
    </w:p>
  </w:footnote>
  <w:footnote w:id="3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OEC </w:t>
      </w:r>
      <w:r>
        <w:rPr>
          <w:rFonts w:ascii="Times New Roman" w:hAnsi="Times New Roman" w:cs="Times New Roman"/>
        </w:rPr>
        <w:t xml:space="preserve">Initial </w:t>
      </w:r>
      <w:r w:rsidRPr="00926C46">
        <w:rPr>
          <w:rFonts w:ascii="Times New Roman" w:hAnsi="Times New Roman" w:cs="Times New Roman"/>
        </w:rPr>
        <w:t xml:space="preserve">Brief at 13; RESA </w:t>
      </w:r>
      <w:r>
        <w:rPr>
          <w:rFonts w:ascii="Times New Roman" w:hAnsi="Times New Roman" w:cs="Times New Roman"/>
        </w:rPr>
        <w:t xml:space="preserve">Initial </w:t>
      </w:r>
      <w:r w:rsidRPr="00926C46">
        <w:rPr>
          <w:rFonts w:ascii="Times New Roman" w:hAnsi="Times New Roman" w:cs="Times New Roman"/>
        </w:rPr>
        <w:t>Brief at 10-11.</w:t>
      </w:r>
    </w:p>
  </w:footnote>
  <w:footnote w:id="4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Constellation/Exelon </w:t>
      </w:r>
      <w:r>
        <w:rPr>
          <w:rFonts w:ascii="Times New Roman" w:hAnsi="Times New Roman" w:cs="Times New Roman"/>
        </w:rPr>
        <w:t xml:space="preserve">Initial </w:t>
      </w:r>
      <w:r w:rsidRPr="00926C46">
        <w:rPr>
          <w:rFonts w:ascii="Times New Roman" w:hAnsi="Times New Roman" w:cs="Times New Roman"/>
        </w:rPr>
        <w:t>Brief at 7-8; Direct</w:t>
      </w:r>
      <w:r>
        <w:rPr>
          <w:rFonts w:ascii="Times New Roman" w:hAnsi="Times New Roman" w:cs="Times New Roman"/>
        </w:rPr>
        <w:t xml:space="preserve"> </w:t>
      </w:r>
      <w:r w:rsidRPr="00926C46">
        <w:rPr>
          <w:rFonts w:ascii="Times New Roman" w:hAnsi="Times New Roman" w:cs="Times New Roman"/>
        </w:rPr>
        <w:t xml:space="preserve">Energy </w:t>
      </w:r>
      <w:r>
        <w:rPr>
          <w:rFonts w:ascii="Times New Roman" w:hAnsi="Times New Roman" w:cs="Times New Roman"/>
        </w:rPr>
        <w:t xml:space="preserve">Initial </w:t>
      </w:r>
      <w:r w:rsidRPr="00926C46">
        <w:rPr>
          <w:rFonts w:ascii="Times New Roman" w:hAnsi="Times New Roman" w:cs="Times New Roman"/>
        </w:rPr>
        <w:t>Brief at 12-13;</w:t>
      </w:r>
      <w:r>
        <w:rPr>
          <w:rFonts w:ascii="Times New Roman" w:hAnsi="Times New Roman" w:cs="Times New Roman"/>
        </w:rPr>
        <w:t xml:space="preserve"> </w:t>
      </w:r>
      <w:r w:rsidRPr="00926C46">
        <w:rPr>
          <w:rFonts w:ascii="Times New Roman" w:hAnsi="Times New Roman" w:cs="Times New Roman"/>
        </w:rPr>
        <w:t xml:space="preserve">RESA </w:t>
      </w:r>
      <w:r>
        <w:rPr>
          <w:rFonts w:ascii="Times New Roman" w:hAnsi="Times New Roman" w:cs="Times New Roman"/>
        </w:rPr>
        <w:t xml:space="preserve">Initial </w:t>
      </w:r>
      <w:r w:rsidRPr="00926C46">
        <w:rPr>
          <w:rFonts w:ascii="Times New Roman" w:hAnsi="Times New Roman" w:cs="Times New Roman"/>
        </w:rPr>
        <w:t>Brief at 8.</w:t>
      </w:r>
    </w:p>
  </w:footnote>
  <w:footnote w:id="4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Constellation/Exelon </w:t>
      </w:r>
      <w:r>
        <w:rPr>
          <w:rFonts w:ascii="Times New Roman" w:hAnsi="Times New Roman" w:cs="Times New Roman"/>
        </w:rPr>
        <w:t xml:space="preserve">Initial </w:t>
      </w:r>
      <w:r w:rsidRPr="00926C46">
        <w:rPr>
          <w:rFonts w:ascii="Times New Roman" w:hAnsi="Times New Roman" w:cs="Times New Roman"/>
        </w:rPr>
        <w:t xml:space="preserve">Brief at 8-9; RESA </w:t>
      </w:r>
      <w:r>
        <w:rPr>
          <w:rFonts w:ascii="Times New Roman" w:hAnsi="Times New Roman" w:cs="Times New Roman"/>
        </w:rPr>
        <w:t xml:space="preserve">Initial </w:t>
      </w:r>
      <w:r w:rsidRPr="00926C46">
        <w:rPr>
          <w:rFonts w:ascii="Times New Roman" w:hAnsi="Times New Roman" w:cs="Times New Roman"/>
        </w:rPr>
        <w:t>Brief at 8.</w:t>
      </w:r>
    </w:p>
  </w:footnote>
  <w:footnote w:id="4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Direct</w:t>
      </w:r>
      <w:r>
        <w:rPr>
          <w:rFonts w:ascii="Times New Roman" w:hAnsi="Times New Roman" w:cs="Times New Roman"/>
        </w:rPr>
        <w:t xml:space="preserve"> </w:t>
      </w:r>
      <w:r w:rsidRPr="00926C46">
        <w:rPr>
          <w:rFonts w:ascii="Times New Roman" w:hAnsi="Times New Roman" w:cs="Times New Roman"/>
        </w:rPr>
        <w:t xml:space="preserve">Energy </w:t>
      </w:r>
      <w:r>
        <w:rPr>
          <w:rFonts w:ascii="Times New Roman" w:hAnsi="Times New Roman" w:cs="Times New Roman"/>
        </w:rPr>
        <w:t xml:space="preserve">Initial </w:t>
      </w:r>
      <w:r w:rsidRPr="00926C46">
        <w:rPr>
          <w:rFonts w:ascii="Times New Roman" w:hAnsi="Times New Roman" w:cs="Times New Roman"/>
        </w:rPr>
        <w:t>Brief at 12-13.</w:t>
      </w:r>
    </w:p>
  </w:footnote>
  <w:footnote w:id="4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University of Cincinnati and Miami University (“Universities”) </w:t>
      </w:r>
      <w:r>
        <w:rPr>
          <w:rFonts w:ascii="Times New Roman" w:hAnsi="Times New Roman" w:cs="Times New Roman"/>
        </w:rPr>
        <w:t xml:space="preserve">Initial </w:t>
      </w:r>
      <w:r w:rsidRPr="00926C46">
        <w:rPr>
          <w:rFonts w:ascii="Times New Roman" w:hAnsi="Times New Roman" w:cs="Times New Roman"/>
        </w:rPr>
        <w:t>Brief at 6-7.</w:t>
      </w:r>
    </w:p>
  </w:footnote>
  <w:footnote w:id="4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GCHC </w:t>
      </w:r>
      <w:r>
        <w:rPr>
          <w:rFonts w:ascii="Times New Roman" w:hAnsi="Times New Roman" w:cs="Times New Roman"/>
        </w:rPr>
        <w:t xml:space="preserve">Initial </w:t>
      </w:r>
      <w:r w:rsidRPr="00926C46">
        <w:rPr>
          <w:rFonts w:ascii="Times New Roman" w:hAnsi="Times New Roman" w:cs="Times New Roman"/>
        </w:rPr>
        <w:t>Brief at 5.</w:t>
      </w:r>
    </w:p>
  </w:footnote>
  <w:footnote w:id="4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w:t>
      </w:r>
      <w:r>
        <w:rPr>
          <w:rFonts w:ascii="Times New Roman" w:hAnsi="Times New Roman" w:cs="Times New Roman"/>
        </w:rPr>
        <w:t xml:space="preserve">Initial </w:t>
      </w:r>
      <w:r w:rsidRPr="00926C46">
        <w:rPr>
          <w:rFonts w:ascii="Times New Roman" w:hAnsi="Times New Roman" w:cs="Times New Roman"/>
        </w:rPr>
        <w:t xml:space="preserve">Brief at 23; GCHC </w:t>
      </w:r>
      <w:r>
        <w:rPr>
          <w:rFonts w:ascii="Times New Roman" w:hAnsi="Times New Roman" w:cs="Times New Roman"/>
        </w:rPr>
        <w:t xml:space="preserve">Initial </w:t>
      </w:r>
      <w:r w:rsidRPr="00926C46">
        <w:rPr>
          <w:rFonts w:ascii="Times New Roman" w:hAnsi="Times New Roman" w:cs="Times New Roman"/>
        </w:rPr>
        <w:t>Brief at 7.</w:t>
      </w:r>
    </w:p>
  </w:footnote>
  <w:footnote w:id="4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City of Cincinnati </w:t>
      </w:r>
      <w:r>
        <w:rPr>
          <w:rFonts w:ascii="Times New Roman" w:hAnsi="Times New Roman" w:cs="Times New Roman"/>
        </w:rPr>
        <w:t xml:space="preserve">initial </w:t>
      </w:r>
      <w:r w:rsidRPr="00926C46">
        <w:rPr>
          <w:rFonts w:ascii="Times New Roman" w:hAnsi="Times New Roman" w:cs="Times New Roman"/>
        </w:rPr>
        <w:t>Brief</w:t>
      </w:r>
      <w:r>
        <w:rPr>
          <w:rFonts w:ascii="Times New Roman" w:hAnsi="Times New Roman" w:cs="Times New Roman"/>
        </w:rPr>
        <w:t xml:space="preserve"> at 8; ELPC Initial Brief at 15; RESA Initial B</w:t>
      </w:r>
      <w:r w:rsidRPr="00926C46">
        <w:rPr>
          <w:rFonts w:ascii="Times New Roman" w:hAnsi="Times New Roman" w:cs="Times New Roman"/>
        </w:rPr>
        <w:t>r</w:t>
      </w:r>
      <w:r>
        <w:rPr>
          <w:rFonts w:ascii="Times New Roman" w:hAnsi="Times New Roman" w:cs="Times New Roman"/>
        </w:rPr>
        <w:t>i</w:t>
      </w:r>
      <w:r w:rsidRPr="00926C46">
        <w:rPr>
          <w:rFonts w:ascii="Times New Roman" w:hAnsi="Times New Roman" w:cs="Times New Roman"/>
        </w:rPr>
        <w:t>ef at 10.</w:t>
      </w:r>
    </w:p>
  </w:footnote>
  <w:footnote w:id="4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ELPC </w:t>
      </w:r>
      <w:r>
        <w:rPr>
          <w:rFonts w:ascii="Times New Roman" w:hAnsi="Times New Roman" w:cs="Times New Roman"/>
        </w:rPr>
        <w:t xml:space="preserve">Initial </w:t>
      </w:r>
      <w:r w:rsidRPr="00926C46">
        <w:rPr>
          <w:rFonts w:ascii="Times New Roman" w:hAnsi="Times New Roman" w:cs="Times New Roman"/>
        </w:rPr>
        <w:t xml:space="preserve">Brief at 5; RESA </w:t>
      </w:r>
      <w:r>
        <w:rPr>
          <w:rFonts w:ascii="Times New Roman" w:hAnsi="Times New Roman" w:cs="Times New Roman"/>
        </w:rPr>
        <w:t xml:space="preserve">Initial </w:t>
      </w:r>
      <w:r w:rsidRPr="00926C46">
        <w:rPr>
          <w:rFonts w:ascii="Times New Roman" w:hAnsi="Times New Roman" w:cs="Times New Roman"/>
        </w:rPr>
        <w:t>Brief at 15-16.</w:t>
      </w:r>
    </w:p>
  </w:footnote>
  <w:footnote w:id="4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ELPC </w:t>
      </w:r>
      <w:r>
        <w:rPr>
          <w:rFonts w:ascii="Times New Roman" w:hAnsi="Times New Roman" w:cs="Times New Roman"/>
        </w:rPr>
        <w:t xml:space="preserve">Initial </w:t>
      </w:r>
      <w:r w:rsidRPr="00926C46">
        <w:rPr>
          <w:rFonts w:ascii="Times New Roman" w:hAnsi="Times New Roman" w:cs="Times New Roman"/>
        </w:rPr>
        <w:t>Brief at 5-6.</w:t>
      </w:r>
    </w:p>
  </w:footnote>
  <w:footnote w:id="4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ELPC </w:t>
      </w:r>
      <w:r>
        <w:rPr>
          <w:rFonts w:ascii="Times New Roman" w:hAnsi="Times New Roman" w:cs="Times New Roman"/>
        </w:rPr>
        <w:t xml:space="preserve">Initial </w:t>
      </w:r>
      <w:r w:rsidRPr="00926C46">
        <w:rPr>
          <w:rFonts w:ascii="Times New Roman" w:hAnsi="Times New Roman" w:cs="Times New Roman"/>
        </w:rPr>
        <w:t>Brief at 6; Kroger</w:t>
      </w:r>
      <w:r>
        <w:rPr>
          <w:rFonts w:ascii="Times New Roman" w:hAnsi="Times New Roman" w:cs="Times New Roman"/>
        </w:rPr>
        <w:t xml:space="preserve"> Initial</w:t>
      </w:r>
      <w:r w:rsidRPr="00926C46">
        <w:rPr>
          <w:rFonts w:ascii="Times New Roman" w:hAnsi="Times New Roman" w:cs="Times New Roman"/>
        </w:rPr>
        <w:t xml:space="preserve"> Brief at 11-12</w:t>
      </w:r>
      <w:r>
        <w:rPr>
          <w:rFonts w:ascii="Times New Roman" w:hAnsi="Times New Roman" w:cs="Times New Roman"/>
        </w:rPr>
        <w:t>.</w:t>
      </w:r>
    </w:p>
  </w:footnote>
  <w:footnote w:id="5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Constellation/Exelon </w:t>
      </w:r>
      <w:r>
        <w:rPr>
          <w:rFonts w:ascii="Times New Roman" w:hAnsi="Times New Roman" w:cs="Times New Roman"/>
        </w:rPr>
        <w:t xml:space="preserve">Initial </w:t>
      </w:r>
      <w:r w:rsidRPr="00926C46">
        <w:rPr>
          <w:rFonts w:ascii="Times New Roman" w:hAnsi="Times New Roman" w:cs="Times New Roman"/>
        </w:rPr>
        <w:t xml:space="preserve">Brief at 10; OEC </w:t>
      </w:r>
      <w:r>
        <w:rPr>
          <w:rFonts w:ascii="Times New Roman" w:hAnsi="Times New Roman" w:cs="Times New Roman"/>
        </w:rPr>
        <w:t xml:space="preserve">Initial </w:t>
      </w:r>
      <w:r w:rsidRPr="00926C46">
        <w:rPr>
          <w:rFonts w:ascii="Times New Roman" w:hAnsi="Times New Roman" w:cs="Times New Roman"/>
        </w:rPr>
        <w:t>Brief at 14-15; Wal-Mart</w:t>
      </w:r>
      <w:r>
        <w:rPr>
          <w:rFonts w:ascii="Times New Roman" w:hAnsi="Times New Roman" w:cs="Times New Roman"/>
        </w:rPr>
        <w:t xml:space="preserve"> Initial</w:t>
      </w:r>
      <w:r w:rsidRPr="00926C46">
        <w:rPr>
          <w:rFonts w:ascii="Times New Roman" w:hAnsi="Times New Roman" w:cs="Times New Roman"/>
        </w:rPr>
        <w:t xml:space="preserve"> Brief at 9-10.</w:t>
      </w:r>
    </w:p>
  </w:footnote>
  <w:footnote w:id="5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ELPC </w:t>
      </w:r>
      <w:r>
        <w:rPr>
          <w:rFonts w:ascii="Times New Roman" w:hAnsi="Times New Roman" w:cs="Times New Roman"/>
        </w:rPr>
        <w:t xml:space="preserve">Initial </w:t>
      </w:r>
      <w:r w:rsidRPr="00926C46">
        <w:rPr>
          <w:rFonts w:ascii="Times New Roman" w:hAnsi="Times New Roman" w:cs="Times New Roman"/>
        </w:rPr>
        <w:t>Brief at 6.</w:t>
      </w:r>
    </w:p>
  </w:footnote>
  <w:footnote w:id="5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Wal-Mart </w:t>
      </w:r>
      <w:r>
        <w:rPr>
          <w:rFonts w:ascii="Times New Roman" w:hAnsi="Times New Roman" w:cs="Times New Roman"/>
        </w:rPr>
        <w:t xml:space="preserve">Initial </w:t>
      </w:r>
      <w:r w:rsidRPr="00926C46">
        <w:rPr>
          <w:rFonts w:ascii="Times New Roman" w:hAnsi="Times New Roman" w:cs="Times New Roman"/>
        </w:rPr>
        <w:t>Brief at 9.</w:t>
      </w:r>
    </w:p>
  </w:footnote>
  <w:footnote w:id="5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Constellation/Exelon </w:t>
      </w:r>
      <w:r>
        <w:rPr>
          <w:rFonts w:ascii="Times New Roman" w:hAnsi="Times New Roman" w:cs="Times New Roman"/>
        </w:rPr>
        <w:t xml:space="preserve">Initial </w:t>
      </w:r>
      <w:r w:rsidRPr="00926C46">
        <w:rPr>
          <w:rFonts w:ascii="Times New Roman" w:hAnsi="Times New Roman" w:cs="Times New Roman"/>
        </w:rPr>
        <w:t>Brief at 6.</w:t>
      </w:r>
    </w:p>
  </w:footnote>
  <w:footnote w:id="5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IGS </w:t>
      </w:r>
      <w:r>
        <w:rPr>
          <w:rFonts w:ascii="Times New Roman" w:hAnsi="Times New Roman" w:cs="Times New Roman"/>
        </w:rPr>
        <w:t xml:space="preserve">Initial </w:t>
      </w:r>
      <w:r w:rsidRPr="00926C46">
        <w:rPr>
          <w:rFonts w:ascii="Times New Roman" w:hAnsi="Times New Roman" w:cs="Times New Roman"/>
        </w:rPr>
        <w:t>Brief at 24.</w:t>
      </w:r>
    </w:p>
  </w:footnote>
  <w:footnote w:id="5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Kroger </w:t>
      </w:r>
      <w:r>
        <w:rPr>
          <w:rFonts w:ascii="Times New Roman" w:hAnsi="Times New Roman" w:cs="Times New Roman"/>
        </w:rPr>
        <w:t xml:space="preserve">Initial </w:t>
      </w:r>
      <w:r w:rsidRPr="00926C46">
        <w:rPr>
          <w:rFonts w:ascii="Times New Roman" w:hAnsi="Times New Roman" w:cs="Times New Roman"/>
        </w:rPr>
        <w:t>Brief at 10-11.</w:t>
      </w:r>
    </w:p>
  </w:footnote>
  <w:footnote w:id="5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2.</w:t>
      </w:r>
    </w:p>
  </w:footnote>
  <w:footnote w:id="5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This intent is clearly shown under R.C. 4928.143 that requires the PUCO to test an ESP that is longer than three years in the fourth year of the ESP and every fourth year thereafter, to determine whether it remains more favorable</w:t>
      </w:r>
      <w:r>
        <w:rPr>
          <w:rFonts w:ascii="Times New Roman" w:hAnsi="Times New Roman" w:cs="Times New Roman"/>
        </w:rPr>
        <w:t xml:space="preserve"> in the aggregate than an MRO. </w:t>
      </w:r>
      <w:r w:rsidRPr="00926C46">
        <w:rPr>
          <w:rFonts w:ascii="Times New Roman" w:hAnsi="Times New Roman" w:cs="Times New Roman"/>
        </w:rPr>
        <w:t>If only one provision of Duke’s ESP were to remain in effect beyond the 3-year proposed term of the ESP, this would prevent testing of that provision in conjunction with the other terms of the ESP.</w:t>
      </w:r>
    </w:p>
  </w:footnote>
  <w:footnote w:id="5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Ex. 1 at 15 (Taylor Direct).</w:t>
      </w:r>
    </w:p>
  </w:footnote>
  <w:footnote w:id="5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 at 1943 (Taylor Direct).</w:t>
      </w:r>
    </w:p>
  </w:footnote>
  <w:footnote w:id="6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 at 1943 (Taylor Direct).</w:t>
      </w:r>
    </w:p>
  </w:footnote>
  <w:footnote w:id="6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 at 1943 (Taylor Direct).</w:t>
      </w:r>
    </w:p>
  </w:footnote>
  <w:footnote w:id="6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 at 1946.</w:t>
      </w:r>
    </w:p>
  </w:footnote>
  <w:footnote w:id="6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 at 1946-1948 (Taylor Direct).</w:t>
      </w:r>
    </w:p>
  </w:footnote>
  <w:footnote w:id="64">
    <w:p w:rsidR="00A26BD9" w:rsidRPr="00515B21" w:rsidRDefault="00A26BD9" w:rsidP="00515B2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Tr. VII at 1910-1911, 10915 (Taylor).</w:t>
      </w:r>
    </w:p>
  </w:footnote>
  <w:footnote w:id="65">
    <w:p w:rsidR="00A26BD9" w:rsidRPr="00926C46" w:rsidRDefault="00A26BD9" w:rsidP="00515B21">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 at 1959, 1962 (Taylor).</w:t>
      </w:r>
    </w:p>
  </w:footnote>
  <w:footnote w:id="6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 at 1959 (Taylor).</w:t>
      </w:r>
    </w:p>
  </w:footnote>
  <w:footnote w:id="6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Initial Brief at 55; OMA Initial Brief at 27; IEU Initial Brief at 32; Staff Initial Brief at 57; Kroger Initial Brief at 15.</w:t>
      </w:r>
    </w:p>
  </w:footnote>
  <w:footnote w:id="6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R.C. 4928.143(C)(1).</w:t>
      </w:r>
    </w:p>
  </w:footnote>
  <w:footnote w:id="6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See OCC Ex. 48 at 3-4 (Hixon Direct); OCC Initial Brief at 55. Note, however, that although OCC al</w:t>
      </w:r>
      <w:r>
        <w:rPr>
          <w:rFonts w:ascii="Times New Roman" w:hAnsi="Times New Roman" w:cs="Times New Roman"/>
        </w:rPr>
        <w:t>so applies the PUCO</w:t>
      </w:r>
      <w:r w:rsidRPr="00926C46">
        <w:rPr>
          <w:rFonts w:ascii="Times New Roman" w:hAnsi="Times New Roman" w:cs="Times New Roman"/>
        </w:rPr>
        <w:t xml:space="preserve">’s traditional analysis in this proceeding, it recognizes that the question whether it is lawful to include qualitative provisions in the test currently is pending before the Ohio Supreme Court. See </w:t>
      </w:r>
      <w:r w:rsidRPr="00926C46">
        <w:rPr>
          <w:rFonts w:ascii="Times New Roman" w:hAnsi="Times New Roman" w:cs="Times New Roman"/>
          <w:i/>
        </w:rPr>
        <w:t>In the Matter of Northeast Ohio Public Energy Council</w:t>
      </w:r>
      <w:r w:rsidRPr="00926C46">
        <w:rPr>
          <w:rFonts w:ascii="Times New Roman" w:hAnsi="Times New Roman" w:cs="Times New Roman"/>
        </w:rPr>
        <w:t xml:space="preserve">, Appeal No. 2013-0513. </w:t>
      </w:r>
    </w:p>
  </w:footnote>
  <w:footnote w:id="7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Pr>
          <w:rFonts w:ascii="Times New Roman" w:hAnsi="Times New Roman" w:cs="Times New Roman"/>
        </w:rPr>
        <w:t>Duke Initial Brief at 27, Duke Ex. 6 at 25 (Wathen Direct).</w:t>
      </w:r>
    </w:p>
  </w:footnote>
  <w:footnote w:id="7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48 at 4 (Hixon Direct); OCC Ex. 43 at 7, 17 (Wilson Direct).</w:t>
      </w:r>
    </w:p>
  </w:footnote>
  <w:footnote w:id="7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sidRPr="00926C46">
        <w:rPr>
          <w:rFonts w:ascii="Times New Roman" w:hAnsi="Times New Roman" w:cs="Times New Roman"/>
          <w:i/>
        </w:rPr>
        <w:t>In the Matter of the Application of Ohio Edison Company, The Cleveland Electric Illuminating Company, The Toledo Edison Company, for Authority to Establish a Standard Service Offer Pursuant to Section 4928.143, Revised Code, in the Form of an Electric Security Plan</w:t>
      </w:r>
      <w:r w:rsidRPr="00926C46">
        <w:rPr>
          <w:rFonts w:ascii="Times New Roman" w:hAnsi="Times New Roman" w:cs="Times New Roman"/>
        </w:rPr>
        <w:t>, Case No. 12-1230-EL-SSO Opinion and Order (July 18, 2012) (“</w:t>
      </w:r>
      <w:r w:rsidRPr="00926C46">
        <w:rPr>
          <w:rFonts w:ascii="Times New Roman" w:hAnsi="Times New Roman" w:cs="Times New Roman"/>
          <w:i/>
        </w:rPr>
        <w:t>FirstEnergy</w:t>
      </w:r>
      <w:r w:rsidRPr="00926C46">
        <w:rPr>
          <w:rFonts w:ascii="Times New Roman" w:hAnsi="Times New Roman" w:cs="Times New Roman"/>
        </w:rPr>
        <w:t xml:space="preserve"> </w:t>
      </w:r>
      <w:r w:rsidRPr="00926C46">
        <w:rPr>
          <w:rFonts w:ascii="Times New Roman" w:hAnsi="Times New Roman" w:cs="Times New Roman"/>
          <w:i/>
        </w:rPr>
        <w:t>ESP III</w:t>
      </w:r>
      <w:r w:rsidRPr="00926C46">
        <w:rPr>
          <w:rFonts w:ascii="Times New Roman" w:hAnsi="Times New Roman" w:cs="Times New Roman"/>
        </w:rPr>
        <w:t>”)</w:t>
      </w:r>
      <w:r>
        <w:rPr>
          <w:rFonts w:ascii="Times New Roman" w:hAnsi="Times New Roman" w:cs="Times New Roman"/>
        </w:rPr>
        <w:t>.</w:t>
      </w:r>
    </w:p>
  </w:footnote>
  <w:footnote w:id="73">
    <w:p w:rsidR="00A26BD9" w:rsidRDefault="00A26BD9" w:rsidP="00DC1FF0">
      <w:pPr>
        <w:pStyle w:val="FootnoteText"/>
      </w:pPr>
      <w:r>
        <w:rPr>
          <w:rStyle w:val="FootnoteReference"/>
        </w:rPr>
        <w:footnoteRef/>
      </w:r>
      <w:r>
        <w:t xml:space="preserve"> </w:t>
      </w:r>
      <w:r w:rsidRPr="00060875">
        <w:rPr>
          <w:rFonts w:ascii="Times New Roman" w:hAnsi="Times New Roman" w:cs="Times New Roman"/>
        </w:rPr>
        <w:t>Duke Initial Brief at 27;</w:t>
      </w:r>
      <w:r w:rsidRPr="000F5E53">
        <w:rPr>
          <w:rFonts w:ascii="Times New Roman" w:hAnsi="Times New Roman" w:cs="Times New Roman"/>
        </w:rPr>
        <w:t xml:space="preserve"> </w:t>
      </w:r>
      <w:r>
        <w:rPr>
          <w:rFonts w:ascii="Times New Roman" w:hAnsi="Times New Roman" w:cs="Times New Roman"/>
        </w:rPr>
        <w:t>Duke Ex. 6 at 25 (Wathen Direct).</w:t>
      </w:r>
    </w:p>
  </w:footnote>
  <w:footnote w:id="7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sidRPr="00926C46">
        <w:rPr>
          <w:rFonts w:ascii="Times New Roman" w:hAnsi="Times New Roman" w:cs="Times New Roman"/>
          <w:i/>
        </w:rPr>
        <w:t>In Re Application of Columbus Southern Power Co., et al</w:t>
      </w:r>
      <w:r w:rsidRPr="00926C46">
        <w:rPr>
          <w:rFonts w:ascii="Times New Roman" w:hAnsi="Times New Roman" w:cs="Times New Roman"/>
        </w:rPr>
        <w:t>., 128 Ohio St. 3d 512, 2011-Ohio-1788 [¶ 31], 945 N.E.2d 655 (“</w:t>
      </w:r>
      <w:r w:rsidRPr="00926C46">
        <w:rPr>
          <w:rFonts w:ascii="Times New Roman" w:hAnsi="Times New Roman" w:cs="Times New Roman"/>
          <w:i/>
        </w:rPr>
        <w:t>Columbus Southern II</w:t>
      </w:r>
      <w:r w:rsidRPr="00926C46">
        <w:rPr>
          <w:rFonts w:ascii="Times New Roman" w:hAnsi="Times New Roman" w:cs="Times New Roman"/>
        </w:rPr>
        <w:t>”).</w:t>
      </w:r>
    </w:p>
  </w:footnote>
  <w:footnote w:id="7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Ex. 6 at 12 (Wathen Direct).</w:t>
      </w:r>
    </w:p>
  </w:footnote>
  <w:footnote w:id="7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Pr>
          <w:rFonts w:ascii="Times New Roman" w:hAnsi="Times New Roman" w:cs="Times New Roman"/>
        </w:rPr>
        <w:t xml:space="preserve"> OEG</w:t>
      </w:r>
      <w:r w:rsidRPr="00926C46">
        <w:rPr>
          <w:rFonts w:ascii="Times New Roman" w:hAnsi="Times New Roman" w:cs="Times New Roman"/>
        </w:rPr>
        <w:t xml:space="preserve"> claims that Rider PSR is authorized under the R.C. 4928.143(B)(2)(d) because it is a charge that relates to a “limitation on customer shopping.” OEG Initial Brief at 8. OEG reasons that by basing the PSR on OVEC’s cost, customers will be shielded more from price volatility than if they were exposed 100% to wholesale market pricing. Thus, it reasons that the PSR limits the</w:t>
      </w:r>
      <w:r>
        <w:rPr>
          <w:rFonts w:ascii="Times New Roman" w:hAnsi="Times New Roman" w:cs="Times New Roman"/>
        </w:rPr>
        <w:t xml:space="preserve"> effect of shopping is limited.</w:t>
      </w:r>
      <w:r w:rsidRPr="00926C46">
        <w:rPr>
          <w:rFonts w:ascii="Times New Roman" w:hAnsi="Times New Roman" w:cs="Times New Roman"/>
        </w:rPr>
        <w:t xml:space="preserve"> OEG’s analysis (on which Duke does </w:t>
      </w:r>
      <w:r w:rsidRPr="00926C46">
        <w:rPr>
          <w:rFonts w:ascii="Times New Roman" w:hAnsi="Times New Roman" w:cs="Times New Roman"/>
          <w:b/>
        </w:rPr>
        <w:t xml:space="preserve">not </w:t>
      </w:r>
      <w:r w:rsidRPr="00926C46">
        <w:rPr>
          <w:rFonts w:ascii="Times New Roman" w:hAnsi="Times New Roman" w:cs="Times New Roman"/>
        </w:rPr>
        <w:t>rely) tortures the statute’s plain language, which refers to a limitat</w:t>
      </w:r>
      <w:r>
        <w:rPr>
          <w:rFonts w:ascii="Times New Roman" w:hAnsi="Times New Roman" w:cs="Times New Roman"/>
        </w:rPr>
        <w:t xml:space="preserve">ion on the number of shoppers. </w:t>
      </w:r>
      <w:r w:rsidRPr="00926C46">
        <w:rPr>
          <w:rFonts w:ascii="Times New Roman" w:hAnsi="Times New Roman" w:cs="Times New Roman"/>
        </w:rPr>
        <w:t xml:space="preserve">Indeed, Duke believes that the PSR is competitively neutral. </w:t>
      </w:r>
    </w:p>
  </w:footnote>
  <w:footnote w:id="7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18.</w:t>
      </w:r>
    </w:p>
  </w:footnote>
  <w:footnote w:id="7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Pr>
          <w:rFonts w:ascii="Times New Roman" w:hAnsi="Times New Roman" w:cs="Times New Roman"/>
        </w:rPr>
        <w:t>Id.</w:t>
      </w:r>
    </w:p>
  </w:footnote>
  <w:footnote w:id="7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18-24. </w:t>
      </w:r>
    </w:p>
  </w:footnote>
  <w:footnote w:id="80">
    <w:p w:rsidR="00A26BD9" w:rsidRDefault="00A26BD9" w:rsidP="00DC1FF0">
      <w:pPr>
        <w:pStyle w:val="FootnoteText"/>
        <w:spacing w:after="120"/>
      </w:pPr>
      <w:r>
        <w:rPr>
          <w:rStyle w:val="FootnoteReference"/>
        </w:rPr>
        <w:footnoteRef/>
      </w:r>
      <w:r>
        <w:t xml:space="preserve"> </w:t>
      </w:r>
      <w:r>
        <w:rPr>
          <w:rFonts w:ascii="Times New Roman" w:hAnsi="Times New Roman" w:cs="Times New Roman"/>
        </w:rPr>
        <w:t>See pages 2-13 above.</w:t>
      </w:r>
    </w:p>
  </w:footnote>
  <w:footnote w:id="8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43 at 12, 28-29 (Wilson Direct).</w:t>
      </w:r>
    </w:p>
  </w:footnote>
  <w:footnote w:id="8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at 12, 30-31 (Wilson Direct).</w:t>
      </w:r>
    </w:p>
  </w:footnote>
  <w:footnote w:id="8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(Wilson Direct).</w:t>
      </w:r>
    </w:p>
  </w:footnote>
  <w:footnote w:id="8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sidRPr="00926C46">
        <w:rPr>
          <w:rFonts w:ascii="Times New Roman" w:hAnsi="Times New Roman" w:cs="Times New Roman"/>
          <w:i/>
        </w:rPr>
        <w:t>FirstEnergy ESP III.</w:t>
      </w:r>
    </w:p>
  </w:footnote>
  <w:footnote w:id="8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18.</w:t>
      </w:r>
    </w:p>
  </w:footnote>
  <w:footnote w:id="8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27.</w:t>
      </w:r>
    </w:p>
  </w:footnote>
  <w:footnote w:id="87">
    <w:p w:rsidR="00A26BD9" w:rsidRPr="00926C46" w:rsidRDefault="00A26BD9" w:rsidP="00DC1FF0">
      <w:pPr>
        <w:spacing w:after="120" w:line="240" w:lineRule="auto"/>
        <w:rPr>
          <w:rFonts w:ascii="Times New Roman" w:hAnsi="Times New Roman" w:cs="Times New Roman"/>
          <w:sz w:val="20"/>
          <w:szCs w:val="20"/>
        </w:rPr>
      </w:pPr>
      <w:r w:rsidRPr="00926C46">
        <w:rPr>
          <w:rStyle w:val="FootnoteReference"/>
          <w:rFonts w:ascii="Times New Roman" w:hAnsi="Times New Roman" w:cs="Times New Roman"/>
          <w:sz w:val="20"/>
          <w:szCs w:val="20"/>
        </w:rPr>
        <w:footnoteRef/>
      </w:r>
      <w:r w:rsidRPr="00926C46">
        <w:rPr>
          <w:rFonts w:ascii="Times New Roman" w:hAnsi="Times New Roman" w:cs="Times New Roman"/>
          <w:sz w:val="20"/>
          <w:szCs w:val="20"/>
        </w:rPr>
        <w:t xml:space="preserve"> Accord: </w:t>
      </w:r>
      <w:r w:rsidRPr="00926C46">
        <w:rPr>
          <w:rFonts w:ascii="Times New Roman" w:hAnsi="Times New Roman" w:cs="Times New Roman"/>
          <w:i/>
          <w:sz w:val="20"/>
          <w:szCs w:val="20"/>
        </w:rPr>
        <w:t>Elyria Foundry v. Pub. Util. Comm.</w:t>
      </w:r>
      <w:r w:rsidRPr="00926C46">
        <w:rPr>
          <w:rFonts w:ascii="Times New Roman" w:hAnsi="Times New Roman" w:cs="Times New Roman"/>
          <w:sz w:val="20"/>
          <w:szCs w:val="20"/>
        </w:rPr>
        <w:t>114 Ohio St.3d 305, 2007-Ohio-4146, in which the Court found that the PUCO may not approve an application that violates the state policies contained in R.C. 4928.02.</w:t>
      </w:r>
    </w:p>
  </w:footnote>
  <w:footnote w:id="8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The General Assembly protects the EDU by permitting it to withdraw its application in the event of any PUCO modification. </w:t>
      </w:r>
    </w:p>
  </w:footnote>
  <w:footnote w:id="8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Initial Brief at 34; OMA Initial Brief at 30; Sierra Club Initial Brief at 15.</w:t>
      </w:r>
    </w:p>
  </w:footnote>
  <w:footnote w:id="9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Initial Brief at 19; Staff Initial Brief at 2; IEU Initial Brief at 14; OEC Initial Brief at 8.</w:t>
      </w:r>
    </w:p>
  </w:footnote>
  <w:footnote w:id="9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29.</w:t>
      </w:r>
    </w:p>
  </w:footnote>
  <w:footnote w:id="9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OCC Initial Brief at 17-19; Staff Initial Brief at 15; OMA Initial Brief at 20, 31; Environmental Law and Policy Center Initial Brief at 14; Ohio Environmental Council Initial Brief at 10; Retail Energy Supply Association Initial Brief at 17; Constellation NewEnergy/Exelon Generation Company Initial Brief at 4-6; Sierra Club Initial Brief at 15; Kroger Company Initial Brief at 12; Industrial Energy Users Initial Brief at 12; Interstate Gas Supply Initial Brief at 20.</w:t>
      </w:r>
    </w:p>
  </w:footnote>
  <w:footnote w:id="9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Initial Brief at 74.</w:t>
      </w:r>
    </w:p>
  </w:footnote>
  <w:footnote w:id="9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sidRPr="00926C46">
        <w:rPr>
          <w:rFonts w:ascii="Times New Roman" w:hAnsi="Times New Roman" w:cs="Times New Roman"/>
          <w:i/>
        </w:rPr>
        <w:t>FirstEnergy</w:t>
      </w:r>
      <w:r w:rsidRPr="00926C46">
        <w:rPr>
          <w:rFonts w:ascii="Times New Roman" w:hAnsi="Times New Roman" w:cs="Times New Roman"/>
        </w:rPr>
        <w:t xml:space="preserve"> </w:t>
      </w:r>
      <w:r w:rsidRPr="00926C46">
        <w:rPr>
          <w:rFonts w:ascii="Times New Roman" w:hAnsi="Times New Roman" w:cs="Times New Roman"/>
          <w:i/>
        </w:rPr>
        <w:t>ESP III,</w:t>
      </w:r>
      <w:r w:rsidRPr="00926C46">
        <w:rPr>
          <w:rFonts w:ascii="Times New Roman" w:hAnsi="Times New Roman" w:cs="Times New Roman"/>
        </w:rPr>
        <w:t xml:space="preserve"> Opinion and Ord</w:t>
      </w:r>
      <w:r>
        <w:rPr>
          <w:rFonts w:ascii="Times New Roman" w:hAnsi="Times New Roman" w:cs="Times New Roman"/>
        </w:rPr>
        <w:t>er at 10-11, 57 (July 18, 2012)</w:t>
      </w:r>
      <w:r w:rsidRPr="00926C46">
        <w:rPr>
          <w:rFonts w:ascii="Times New Roman" w:hAnsi="Times New Roman" w:cs="Times New Roman"/>
        </w:rPr>
        <w:t>.</w:t>
      </w:r>
    </w:p>
  </w:footnote>
  <w:footnote w:id="9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This issue currently under appeal to the Ohio Supreme Court, </w:t>
      </w:r>
      <w:r w:rsidRPr="00926C46">
        <w:rPr>
          <w:rFonts w:ascii="Times New Roman" w:hAnsi="Times New Roman" w:cs="Times New Roman"/>
          <w:i/>
        </w:rPr>
        <w:t>In Re Northeast Ohio Public Energy Council</w:t>
      </w:r>
      <w:r w:rsidRPr="00926C46">
        <w:rPr>
          <w:rFonts w:ascii="Times New Roman" w:hAnsi="Times New Roman" w:cs="Times New Roman"/>
        </w:rPr>
        <w:t>, Appeal No. 2013-0513.</w:t>
      </w:r>
    </w:p>
  </w:footnote>
  <w:footnote w:id="9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Duke Initial Brief at 31; Staff Initial Brief at 57.</w:t>
      </w:r>
    </w:p>
  </w:footnote>
  <w:footnote w:id="9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Staff Ex. 2 at 4-5 (Turkenton Direct).</w:t>
      </w:r>
    </w:p>
  </w:footnote>
  <w:footnote w:id="9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Initial Brief at 64.</w:t>
      </w:r>
    </w:p>
  </w:footnote>
  <w:footnote w:id="9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XIII at 37</w:t>
      </w:r>
      <w:r>
        <w:rPr>
          <w:rFonts w:ascii="Times New Roman" w:hAnsi="Times New Roman" w:cs="Times New Roman"/>
        </w:rPr>
        <w:t>64 (Turkenton</w:t>
      </w:r>
      <w:r w:rsidRPr="00926C46">
        <w:rPr>
          <w:rFonts w:ascii="Times New Roman" w:hAnsi="Times New Roman" w:cs="Times New Roman"/>
        </w:rPr>
        <w:t>).</w:t>
      </w:r>
    </w:p>
  </w:footnote>
  <w:footnote w:id="10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Staff Initial Br. at 57.</w:t>
      </w:r>
    </w:p>
  </w:footnote>
  <w:footnote w:id="10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Pr>
          <w:rFonts w:ascii="Times New Roman" w:hAnsi="Times New Roman" w:cs="Times New Roman"/>
        </w:rPr>
        <w:t xml:space="preserve"> </w:t>
      </w:r>
      <w:r w:rsidRPr="00926C46">
        <w:rPr>
          <w:rFonts w:ascii="Times New Roman" w:hAnsi="Times New Roman" w:cs="Times New Roman"/>
        </w:rPr>
        <w:t>Tr. XIII at 3773-3774 (Turkenton).</w:t>
      </w:r>
    </w:p>
  </w:footnote>
  <w:footnote w:id="10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Staff witness Turkenton suggests that more expense is associated with approving the DCI in an ESP versus a base rate proceeding, but doesn’t bother to quantify the expense. </w:t>
      </w:r>
      <w:r>
        <w:rPr>
          <w:rFonts w:ascii="Times New Roman" w:hAnsi="Times New Roman" w:cs="Times New Roman"/>
        </w:rPr>
        <w:t>Staff Ex. 2 at 5 (Turkenton Direct).</w:t>
      </w:r>
      <w:r w:rsidRPr="00926C46">
        <w:rPr>
          <w:rFonts w:ascii="Times New Roman" w:hAnsi="Times New Roman" w:cs="Times New Roman"/>
        </w:rPr>
        <w:t xml:space="preserve"> On cross examination she admitted that the prosecution of an ESP proceeding also requires considerable time and expense of the parties. Avoiding expenses is not a q</w:t>
      </w:r>
      <w:r>
        <w:rPr>
          <w:rFonts w:ascii="Times New Roman" w:hAnsi="Times New Roman" w:cs="Times New Roman"/>
        </w:rPr>
        <w:t xml:space="preserve">ualitative benefit of the ESP. </w:t>
      </w:r>
      <w:r w:rsidRPr="00926C46">
        <w:rPr>
          <w:rFonts w:ascii="Times New Roman" w:hAnsi="Times New Roman" w:cs="Times New Roman"/>
        </w:rPr>
        <w:t>Tr. XIII at 3765-3767 (Tur</w:t>
      </w:r>
      <w:r>
        <w:rPr>
          <w:rFonts w:ascii="Times New Roman" w:hAnsi="Times New Roman" w:cs="Times New Roman"/>
        </w:rPr>
        <w:t>kenton</w:t>
      </w:r>
      <w:r w:rsidRPr="00926C46">
        <w:rPr>
          <w:rFonts w:ascii="Times New Roman" w:hAnsi="Times New Roman" w:cs="Times New Roman"/>
        </w:rPr>
        <w:t>).</w:t>
      </w:r>
    </w:p>
  </w:footnote>
  <w:footnote w:id="10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Pr>
          <w:rFonts w:ascii="Times New Roman" w:hAnsi="Times New Roman" w:cs="Times New Roman"/>
        </w:rPr>
        <w:t>Duke Initial Brief at 10.</w:t>
      </w:r>
    </w:p>
  </w:footnote>
  <w:footnote w:id="10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27-31.</w:t>
      </w:r>
    </w:p>
  </w:footnote>
  <w:footnote w:id="10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28.</w:t>
      </w:r>
    </w:p>
  </w:footnote>
  <w:footnote w:id="10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28.</w:t>
      </w:r>
    </w:p>
  </w:footnote>
  <w:footnote w:id="10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29.</w:t>
      </w:r>
    </w:p>
  </w:footnote>
  <w:footnote w:id="10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29.</w:t>
      </w:r>
    </w:p>
  </w:footnote>
  <w:footnote w:id="10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29-30.</w:t>
      </w:r>
    </w:p>
  </w:footnote>
  <w:footnote w:id="11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30.</w:t>
      </w:r>
    </w:p>
  </w:footnote>
  <w:footnote w:id="11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30.</w:t>
      </w:r>
    </w:p>
  </w:footnote>
  <w:footnote w:id="11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18.</w:t>
      </w:r>
    </w:p>
  </w:footnote>
  <w:footnote w:id="11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Ohio Adm. Code 4901:1-35-03(B)(2)(a), (B)(2)(c), and (B)(2)(i).</w:t>
      </w:r>
    </w:p>
  </w:footnote>
  <w:footnote w:id="11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sidRPr="00926C46">
        <w:rPr>
          <w:rFonts w:ascii="Times New Roman" w:hAnsi="Times New Roman" w:cs="Times New Roman"/>
          <w:i/>
        </w:rPr>
        <w:t>In re Duke Energy Ohio</w:t>
      </w:r>
      <w:r w:rsidRPr="00926C46">
        <w:rPr>
          <w:rFonts w:ascii="Times New Roman" w:hAnsi="Times New Roman" w:cs="Times New Roman"/>
        </w:rPr>
        <w:t>, PUCO Case No. 10-2586-EL-SSO, Opinion and Order at 52-56 (February 23, 2011).</w:t>
      </w:r>
    </w:p>
  </w:footnote>
  <w:footnote w:id="11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XIII at 3775-3779 (Turkenton Cross Examination).</w:t>
      </w:r>
    </w:p>
  </w:footnote>
  <w:footnote w:id="11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See </w:t>
      </w:r>
      <w:r w:rsidRPr="00926C46">
        <w:rPr>
          <w:rFonts w:ascii="Times New Roman" w:hAnsi="Times New Roman" w:cs="Times New Roman"/>
          <w:i/>
        </w:rPr>
        <w:t>FirstEnergy ESP III</w:t>
      </w:r>
      <w:r w:rsidRPr="00926C46">
        <w:rPr>
          <w:rFonts w:ascii="Times New Roman" w:hAnsi="Times New Roman" w:cs="Times New Roman"/>
        </w:rPr>
        <w:t xml:space="preserve"> and the Commission’s rejection of RTEP benefits previously offered. </w:t>
      </w:r>
    </w:p>
  </w:footnote>
  <w:footnote w:id="11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11.</w:t>
      </w:r>
    </w:p>
  </w:footnote>
  <w:footnote w:id="11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R.C. 4928.143(B)(2)(h).</w:t>
      </w:r>
    </w:p>
  </w:footnote>
  <w:footnote w:id="11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11.</w:t>
      </w:r>
    </w:p>
  </w:footnote>
  <w:footnote w:id="12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OMA Initial Brief at 9, OPAE Initial Brief at 20, Greater Cin</w:t>
      </w:r>
      <w:r>
        <w:rPr>
          <w:rFonts w:ascii="Times New Roman" w:hAnsi="Times New Roman" w:cs="Times New Roman"/>
        </w:rPr>
        <w:t>cinnati Health Council Initial B</w:t>
      </w:r>
      <w:r w:rsidRPr="00926C46">
        <w:rPr>
          <w:rFonts w:ascii="Times New Roman" w:hAnsi="Times New Roman" w:cs="Times New Roman"/>
        </w:rPr>
        <w:t xml:space="preserve">rief at 13. </w:t>
      </w:r>
    </w:p>
  </w:footnote>
  <w:footnote w:id="12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12. </w:t>
      </w:r>
    </w:p>
  </w:footnote>
  <w:footnote w:id="12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12. </w:t>
      </w:r>
    </w:p>
  </w:footnote>
  <w:footnote w:id="12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VIII at 2175. </w:t>
      </w:r>
    </w:p>
  </w:footnote>
  <w:footnote w:id="12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Tr. VIII at 2175-2176. </w:t>
      </w:r>
    </w:p>
  </w:footnote>
  <w:footnote w:id="12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Pr>
          <w:rFonts w:ascii="Times New Roman" w:hAnsi="Times New Roman" w:cs="Times New Roman"/>
        </w:rPr>
        <w:t>OCC Ex. 45 at 8 (Mierzwa Direct).</w:t>
      </w:r>
    </w:p>
  </w:footnote>
  <w:footnote w:id="12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35 at Attachment </w:t>
      </w:r>
      <w:r>
        <w:rPr>
          <w:rFonts w:ascii="Times New Roman" w:hAnsi="Times New Roman" w:cs="Times New Roman"/>
        </w:rPr>
        <w:t xml:space="preserve">JDW-15 </w:t>
      </w:r>
      <w:r w:rsidRPr="00926C46">
        <w:rPr>
          <w:rFonts w:ascii="Times New Roman" w:hAnsi="Times New Roman" w:cs="Times New Roman"/>
        </w:rPr>
        <w:t>(Williams Direct).</w:t>
      </w:r>
    </w:p>
  </w:footnote>
  <w:footnote w:id="12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Ex. 21 at Attachment 2 (Arnold Direct). </w:t>
      </w:r>
    </w:p>
  </w:footnote>
  <w:footnote w:id="12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45 at 16 (Mierzwa </w:t>
      </w:r>
      <w:r>
        <w:rPr>
          <w:rFonts w:ascii="Times New Roman" w:hAnsi="Times New Roman" w:cs="Times New Roman"/>
        </w:rPr>
        <w:t xml:space="preserve">Direct) See also: </w:t>
      </w:r>
      <w:r w:rsidRPr="00926C46">
        <w:rPr>
          <w:rFonts w:ascii="Times New Roman" w:hAnsi="Times New Roman" w:cs="Times New Roman"/>
        </w:rPr>
        <w:t xml:space="preserve"> Duke Ex. 21 at Attachment 2 at 13 of 47, and Attachment 4 at 2 0f 4 (Arnold Direct), OCC Ex. 35 at </w:t>
      </w:r>
      <w:r>
        <w:rPr>
          <w:rFonts w:ascii="Times New Roman" w:hAnsi="Times New Roman" w:cs="Times New Roman"/>
        </w:rPr>
        <w:t>15</w:t>
      </w:r>
      <w:r w:rsidRPr="00926C46">
        <w:rPr>
          <w:rFonts w:ascii="Times New Roman" w:hAnsi="Times New Roman" w:cs="Times New Roman"/>
        </w:rPr>
        <w:t xml:space="preserve"> (Williams Direct). </w:t>
      </w:r>
    </w:p>
  </w:footnote>
  <w:footnote w:id="12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Pr>
          <w:rFonts w:ascii="Times New Roman" w:hAnsi="Times New Roman" w:cs="Times New Roman"/>
        </w:rPr>
        <w:t xml:space="preserve"> Duke Initial Brief at 13.</w:t>
      </w:r>
    </w:p>
  </w:footnote>
  <w:footnote w:id="13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w:t>
      </w:r>
      <w:r>
        <w:rPr>
          <w:rFonts w:ascii="Times New Roman" w:hAnsi="Times New Roman" w:cs="Times New Roman"/>
        </w:rPr>
        <w:t>rief at 13.</w:t>
      </w:r>
    </w:p>
  </w:footnote>
  <w:footnote w:id="13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Pr>
          <w:rFonts w:ascii="Times New Roman" w:hAnsi="Times New Roman" w:cs="Times New Roman"/>
        </w:rPr>
        <w:t xml:space="preserve"> Duke Initial Brief at 13.</w:t>
      </w:r>
    </w:p>
  </w:footnote>
  <w:footnote w:id="13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w:t>
      </w:r>
      <w:r>
        <w:rPr>
          <w:rFonts w:ascii="Times New Roman" w:hAnsi="Times New Roman" w:cs="Times New Roman"/>
        </w:rPr>
        <w:t>35 at 15</w:t>
      </w:r>
      <w:r w:rsidRPr="00926C46">
        <w:rPr>
          <w:rFonts w:ascii="Times New Roman" w:hAnsi="Times New Roman" w:cs="Times New Roman"/>
        </w:rPr>
        <w:t xml:space="preserve"> (Williams Direct).</w:t>
      </w:r>
    </w:p>
  </w:footnote>
  <w:footnote w:id="13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Initial Brief at 13.</w:t>
      </w:r>
    </w:p>
  </w:footnote>
  <w:footnote w:id="13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45 at 4 (Mierzwa Direct).</w:t>
      </w:r>
    </w:p>
  </w:footnote>
  <w:footnote w:id="135">
    <w:p w:rsidR="00A26BD9" w:rsidRPr="008745C8" w:rsidRDefault="00A26BD9" w:rsidP="00DC1FF0">
      <w:pPr>
        <w:pStyle w:val="FootnoteText"/>
        <w:spacing w:after="120"/>
        <w:rPr>
          <w:rFonts w:ascii="Times New Roman" w:hAnsi="Times New Roman" w:cs="Times New Roman"/>
        </w:rPr>
      </w:pPr>
      <w:r w:rsidRPr="008745C8">
        <w:rPr>
          <w:rStyle w:val="FootnoteReference"/>
          <w:rFonts w:ascii="Times New Roman" w:hAnsi="Times New Roman" w:cs="Times New Roman"/>
        </w:rPr>
        <w:footnoteRef/>
      </w:r>
      <w:r w:rsidRPr="008745C8">
        <w:rPr>
          <w:rFonts w:ascii="Times New Roman" w:hAnsi="Times New Roman" w:cs="Times New Roman"/>
        </w:rPr>
        <w:t xml:space="preserve"> Ohio Admin. Code 4901:1-10-10(B)(4).</w:t>
      </w:r>
    </w:p>
  </w:footnote>
  <w:footnote w:id="136">
    <w:p w:rsidR="00A26BD9" w:rsidRPr="008745C8" w:rsidRDefault="00A26BD9" w:rsidP="00DC1FF0">
      <w:pPr>
        <w:pStyle w:val="FootnoteText"/>
        <w:spacing w:after="120"/>
        <w:rPr>
          <w:rFonts w:ascii="Times New Roman" w:hAnsi="Times New Roman" w:cs="Times New Roman"/>
        </w:rPr>
      </w:pPr>
      <w:r w:rsidRPr="008745C8">
        <w:rPr>
          <w:rStyle w:val="FootnoteReference"/>
          <w:rFonts w:ascii="Times New Roman" w:hAnsi="Times New Roman" w:cs="Times New Roman"/>
        </w:rPr>
        <w:footnoteRef/>
      </w:r>
      <w:r w:rsidRPr="008745C8">
        <w:rPr>
          <w:rFonts w:ascii="Times New Roman" w:hAnsi="Times New Roman" w:cs="Times New Roman"/>
        </w:rPr>
        <w:t xml:space="preserve"> Tr. I at 126. </w:t>
      </w:r>
    </w:p>
  </w:footnote>
  <w:footnote w:id="137">
    <w:p w:rsidR="00A26BD9" w:rsidRPr="008745C8" w:rsidRDefault="00A26BD9" w:rsidP="00DC1FF0">
      <w:pPr>
        <w:pStyle w:val="FootnoteText"/>
        <w:spacing w:after="120"/>
        <w:rPr>
          <w:rFonts w:ascii="Times New Roman" w:hAnsi="Times New Roman" w:cs="Times New Roman"/>
        </w:rPr>
      </w:pPr>
      <w:r w:rsidRPr="008745C8">
        <w:rPr>
          <w:rStyle w:val="FootnoteReference"/>
          <w:rFonts w:ascii="Times New Roman" w:hAnsi="Times New Roman" w:cs="Times New Roman"/>
        </w:rPr>
        <w:footnoteRef/>
      </w:r>
      <w:r w:rsidRPr="008745C8">
        <w:rPr>
          <w:rFonts w:ascii="Times New Roman" w:hAnsi="Times New Roman" w:cs="Times New Roman"/>
        </w:rPr>
        <w:t xml:space="preserve"> Duke Initial Brief at 13.</w:t>
      </w:r>
    </w:p>
  </w:footnote>
  <w:footnote w:id="13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Pr>
          <w:rFonts w:ascii="Times New Roman" w:hAnsi="Times New Roman" w:cs="Times New Roman"/>
        </w:rPr>
        <w:t>Tr. IV at 3950.</w:t>
      </w:r>
    </w:p>
  </w:footnote>
  <w:footnote w:id="13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45 at 4 (Mierzwa Direct). </w:t>
      </w:r>
    </w:p>
  </w:footnote>
  <w:footnote w:id="14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45 at 11 (Mierzwa Direct).</w:t>
      </w:r>
    </w:p>
  </w:footnote>
  <w:footnote w:id="14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Staff Initial Brief at 27. </w:t>
      </w:r>
    </w:p>
  </w:footnote>
  <w:footnote w:id="14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3909.</w:t>
      </w:r>
    </w:p>
  </w:footnote>
  <w:footnote w:id="14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3962. </w:t>
      </w:r>
    </w:p>
  </w:footnote>
  <w:footnote w:id="14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3913.</w:t>
      </w:r>
    </w:p>
  </w:footnote>
  <w:footnote w:id="14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3913-3914.</w:t>
      </w:r>
    </w:p>
  </w:footnote>
  <w:footnote w:id="14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Duke Initial Brief at 13.</w:t>
      </w:r>
    </w:p>
  </w:footnote>
  <w:footnote w:id="14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V at 1340.</w:t>
      </w:r>
    </w:p>
  </w:footnote>
  <w:footnote w:id="14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3948. </w:t>
      </w:r>
    </w:p>
  </w:footnote>
  <w:footnote w:id="14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w:t>
      </w:r>
      <w:r>
        <w:rPr>
          <w:rFonts w:ascii="Times New Roman" w:hAnsi="Times New Roman" w:cs="Times New Roman"/>
        </w:rPr>
        <w:t>50.</w:t>
      </w:r>
    </w:p>
  </w:footnote>
  <w:footnote w:id="15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Pr>
          <w:rFonts w:ascii="Times New Roman" w:hAnsi="Times New Roman" w:cs="Times New Roman"/>
        </w:rPr>
        <w:t xml:space="preserve"> Tr. XIV at 3964.</w:t>
      </w:r>
    </w:p>
  </w:footnote>
  <w:footnote w:id="15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Pr>
          <w:rFonts w:ascii="Times New Roman" w:hAnsi="Times New Roman" w:cs="Times New Roman"/>
        </w:rPr>
        <w:t xml:space="preserve"> Tr. XIV at 3965.</w:t>
      </w:r>
    </w:p>
  </w:footnote>
  <w:footnote w:id="15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w:t>
      </w:r>
      <w:r>
        <w:rPr>
          <w:rFonts w:ascii="Times New Roman" w:hAnsi="Times New Roman" w:cs="Times New Roman"/>
        </w:rPr>
        <w:t xml:space="preserve">I </w:t>
      </w:r>
      <w:r w:rsidRPr="00926C46">
        <w:rPr>
          <w:rFonts w:ascii="Times New Roman" w:hAnsi="Times New Roman" w:cs="Times New Roman"/>
        </w:rPr>
        <w:t xml:space="preserve">at </w:t>
      </w:r>
      <w:r>
        <w:rPr>
          <w:rFonts w:ascii="Times New Roman" w:hAnsi="Times New Roman" w:cs="Times New Roman"/>
        </w:rPr>
        <w:t>126.</w:t>
      </w:r>
    </w:p>
  </w:footnote>
  <w:footnote w:id="15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Pr>
          <w:rFonts w:ascii="Times New Roman" w:hAnsi="Times New Roman" w:cs="Times New Roman"/>
        </w:rPr>
        <w:t xml:space="preserve"> Tr. XIV at 3965.</w:t>
      </w:r>
    </w:p>
  </w:footnote>
  <w:footnote w:id="15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Pr>
          <w:rFonts w:ascii="Times New Roman" w:hAnsi="Times New Roman" w:cs="Times New Roman"/>
        </w:rPr>
        <w:t xml:space="preserve"> Duke Initial Brief at 15-16.</w:t>
      </w:r>
    </w:p>
  </w:footnote>
  <w:footnote w:id="15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w:t>
      </w:r>
      <w:r>
        <w:rPr>
          <w:rFonts w:ascii="Times New Roman" w:hAnsi="Times New Roman" w:cs="Times New Roman"/>
        </w:rPr>
        <w:t>Tr. II at 392-394, 517-518 (Wathan), Tr. III at 784-787, 827-832 (Laub), Tr. VI at 1549-1551, Tr. XIII at 3768-3775, and Tr. XIV at 3914-3916.</w:t>
      </w:r>
    </w:p>
  </w:footnote>
  <w:footnote w:id="15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w:t>
      </w:r>
      <w:r>
        <w:rPr>
          <w:rFonts w:ascii="Times New Roman" w:hAnsi="Times New Roman" w:cs="Times New Roman"/>
        </w:rPr>
        <w:t>32 at 10 (Kahal Direct).</w:t>
      </w:r>
    </w:p>
  </w:footnote>
  <w:footnote w:id="15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w:t>
      </w:r>
      <w:r>
        <w:rPr>
          <w:rFonts w:ascii="Times New Roman" w:hAnsi="Times New Roman" w:cs="Times New Roman"/>
        </w:rPr>
        <w:t>32</w:t>
      </w:r>
      <w:r w:rsidRPr="00926C46">
        <w:rPr>
          <w:rFonts w:ascii="Times New Roman" w:hAnsi="Times New Roman" w:cs="Times New Roman"/>
        </w:rPr>
        <w:t xml:space="preserve"> at 10 (Kahal Direct).</w:t>
      </w:r>
    </w:p>
  </w:footnote>
  <w:footnote w:id="15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Pr>
          <w:rFonts w:ascii="Times New Roman" w:hAnsi="Times New Roman" w:cs="Times New Roman"/>
        </w:rPr>
        <w:t xml:space="preserve"> </w:t>
      </w:r>
      <w:r w:rsidRPr="00926C46">
        <w:rPr>
          <w:rFonts w:ascii="Times New Roman" w:hAnsi="Times New Roman" w:cs="Times New Roman"/>
        </w:rPr>
        <w:t xml:space="preserve">OCC Ex. </w:t>
      </w:r>
      <w:r>
        <w:rPr>
          <w:rFonts w:ascii="Times New Roman" w:hAnsi="Times New Roman" w:cs="Times New Roman"/>
        </w:rPr>
        <w:t>32</w:t>
      </w:r>
      <w:r w:rsidRPr="00926C46">
        <w:rPr>
          <w:rFonts w:ascii="Times New Roman" w:hAnsi="Times New Roman" w:cs="Times New Roman"/>
        </w:rPr>
        <w:t xml:space="preserve"> at 10 (Kahal Direct).</w:t>
      </w:r>
    </w:p>
  </w:footnote>
  <w:footnote w:id="15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3915.</w:t>
      </w:r>
    </w:p>
  </w:footnote>
  <w:footnote w:id="16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XIII at 3772-3773. </w:t>
      </w:r>
    </w:p>
  </w:footnote>
  <w:footnote w:id="16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XIII at 3774-3775. </w:t>
      </w:r>
    </w:p>
  </w:footnote>
  <w:footnote w:id="16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II at 393. </w:t>
      </w:r>
    </w:p>
  </w:footnote>
  <w:footnote w:id="16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III at 785. </w:t>
      </w:r>
    </w:p>
  </w:footnote>
  <w:footnote w:id="16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VI at 1551.</w:t>
      </w:r>
    </w:p>
  </w:footnote>
  <w:footnote w:id="16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VI at 1547.</w:t>
      </w:r>
    </w:p>
  </w:footnote>
  <w:footnote w:id="16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See discussion supra.</w:t>
      </w:r>
    </w:p>
  </w:footnote>
  <w:footnote w:id="167">
    <w:p w:rsidR="00A26BD9" w:rsidRPr="00926C46" w:rsidRDefault="00A26BD9" w:rsidP="00DC1FF0">
      <w:pPr>
        <w:pStyle w:val="ListParagraph"/>
        <w:spacing w:after="120" w:line="240" w:lineRule="auto"/>
        <w:ind w:left="0"/>
        <w:rPr>
          <w:rFonts w:ascii="Times New Roman" w:hAnsi="Times New Roman" w:cs="Times New Roman"/>
          <w:sz w:val="20"/>
          <w:szCs w:val="20"/>
        </w:rPr>
      </w:pPr>
      <w:r w:rsidRPr="00926C46">
        <w:rPr>
          <w:rStyle w:val="FootnoteReference"/>
          <w:rFonts w:ascii="Times New Roman" w:eastAsiaTheme="majorEastAsia" w:hAnsi="Times New Roman" w:cs="Times New Roman"/>
          <w:sz w:val="20"/>
          <w:szCs w:val="20"/>
        </w:rPr>
        <w:footnoteRef/>
      </w:r>
      <w:r w:rsidRPr="00926C46">
        <w:rPr>
          <w:rFonts w:ascii="Times New Roman" w:hAnsi="Times New Roman" w:cs="Times New Roman"/>
          <w:sz w:val="20"/>
          <w:szCs w:val="20"/>
        </w:rPr>
        <w:t xml:space="preserve"> Tr. XIV at 3901.</w:t>
      </w:r>
    </w:p>
  </w:footnote>
  <w:footnote w:id="16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45 at 18 (Mierzwa Direct).</w:t>
      </w:r>
    </w:p>
  </w:footnote>
  <w:footnote w:id="169">
    <w:p w:rsidR="00A26BD9" w:rsidRPr="00926C46" w:rsidRDefault="00A26BD9" w:rsidP="00DC1FF0">
      <w:pPr>
        <w:pStyle w:val="ListParagraph"/>
        <w:spacing w:after="120" w:line="240" w:lineRule="auto"/>
        <w:ind w:left="0"/>
        <w:rPr>
          <w:rFonts w:ascii="Times New Roman" w:hAnsi="Times New Roman" w:cs="Times New Roman"/>
          <w:sz w:val="20"/>
          <w:szCs w:val="20"/>
        </w:rPr>
      </w:pPr>
      <w:r w:rsidRPr="00926C46">
        <w:rPr>
          <w:rStyle w:val="FootnoteReference"/>
          <w:rFonts w:ascii="Times New Roman" w:eastAsiaTheme="majorEastAsia" w:hAnsi="Times New Roman" w:cs="Times New Roman"/>
          <w:sz w:val="20"/>
          <w:szCs w:val="20"/>
        </w:rPr>
        <w:footnoteRef/>
      </w:r>
      <w:r w:rsidRPr="00926C46">
        <w:rPr>
          <w:rFonts w:ascii="Times New Roman" w:hAnsi="Times New Roman" w:cs="Times New Roman"/>
          <w:sz w:val="20"/>
          <w:szCs w:val="20"/>
        </w:rPr>
        <w:t xml:space="preserve"> Staff Initial Brief ay 30, Staff Ex. 6 at 3 (McCarter Direct).</w:t>
      </w:r>
    </w:p>
  </w:footnote>
  <w:footnote w:id="17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18-19 (Mierzwa Direct).</w:t>
      </w:r>
    </w:p>
  </w:footnote>
  <w:footnote w:id="17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19 (Mierzwa Direct), See also </w:t>
      </w:r>
      <w:r>
        <w:rPr>
          <w:rFonts w:ascii="Times New Roman" w:hAnsi="Times New Roman" w:cs="Times New Roman"/>
        </w:rPr>
        <w:t>Tr. XIV at 3921-3922.</w:t>
      </w:r>
    </w:p>
  </w:footnote>
  <w:footnote w:id="17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3922.</w:t>
      </w:r>
    </w:p>
  </w:footnote>
  <w:footnote w:id="17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8745C8">
        <w:rPr>
          <w:rFonts w:ascii="Times New Roman" w:hAnsi="Times New Roman" w:cs="Times New Roman"/>
        </w:rPr>
        <w:t xml:space="preserve"> </w:t>
      </w:r>
      <w:r w:rsidRPr="00926C46">
        <w:rPr>
          <w:rFonts w:ascii="Times New Roman" w:hAnsi="Times New Roman" w:cs="Times New Roman"/>
        </w:rPr>
        <w:t>Staff Initial Brief at 32, Sta</w:t>
      </w:r>
      <w:r>
        <w:rPr>
          <w:rFonts w:ascii="Times New Roman" w:hAnsi="Times New Roman" w:cs="Times New Roman"/>
        </w:rPr>
        <w:t>ff Ex. 6 at 5 (McCarter Direct).</w:t>
      </w:r>
    </w:p>
  </w:footnote>
  <w:footnote w:id="17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Staff Initial Brief at 32, Staff Ex. 6 at 5 (McCarter Direct).</w:t>
      </w:r>
    </w:p>
  </w:footnote>
  <w:footnote w:id="17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3905.</w:t>
      </w:r>
    </w:p>
  </w:footnote>
  <w:footnote w:id="17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3905.</w:t>
      </w:r>
    </w:p>
  </w:footnote>
  <w:footnote w:id="17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XIV at 3907-3908.</w:t>
      </w:r>
    </w:p>
  </w:footnote>
  <w:footnote w:id="17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Tr. XIII at 3770. </w:t>
      </w:r>
    </w:p>
  </w:footnote>
  <w:footnote w:id="17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20 (Mierzwa Direct).</w:t>
      </w:r>
    </w:p>
  </w:footnote>
  <w:footnote w:id="18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20 (Mierzwa Direct).</w:t>
      </w:r>
    </w:p>
  </w:footnote>
  <w:footnote w:id="18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20 (Mierzwa Direct).</w:t>
      </w:r>
    </w:p>
  </w:footnote>
  <w:footnote w:id="18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20 (Mierzwa Direct).</w:t>
      </w:r>
    </w:p>
  </w:footnote>
  <w:footnote w:id="18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20 (Mierzwa Direct).</w:t>
      </w:r>
    </w:p>
  </w:footnote>
  <w:footnote w:id="18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20 (Mierzwa Direct).</w:t>
      </w:r>
    </w:p>
  </w:footnote>
  <w:footnote w:id="18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eastAsiaTheme="majorEastAsia" w:hAnsi="Times New Roman" w:cs="Times New Roman"/>
        </w:rPr>
        <w:footnoteRef/>
      </w:r>
      <w:r w:rsidRPr="00926C46">
        <w:rPr>
          <w:rFonts w:ascii="Times New Roman" w:hAnsi="Times New Roman" w:cs="Times New Roman"/>
        </w:rPr>
        <w:t xml:space="preserve"> OCC Ex. 45 at 20 (Mierzwa Direct).</w:t>
      </w:r>
    </w:p>
  </w:footnote>
  <w:footnote w:id="186">
    <w:p w:rsidR="00A26BD9" w:rsidRPr="00361E40" w:rsidRDefault="00A26BD9" w:rsidP="00DC1FF0">
      <w:pPr>
        <w:pStyle w:val="FootnoteText"/>
        <w:spacing w:after="120"/>
        <w:rPr>
          <w:rFonts w:ascii="Times New Roman" w:hAnsi="Times New Roman" w:cs="Times New Roman"/>
        </w:rPr>
      </w:pPr>
      <w:r w:rsidRPr="00361E40">
        <w:rPr>
          <w:rStyle w:val="FootnoteReference"/>
          <w:rFonts w:ascii="Times New Roman" w:hAnsi="Times New Roman" w:cs="Times New Roman"/>
        </w:rPr>
        <w:footnoteRef/>
      </w:r>
      <w:r w:rsidRPr="00361E40">
        <w:rPr>
          <w:rFonts w:ascii="Times New Roman" w:hAnsi="Times New Roman" w:cs="Times New Roman"/>
        </w:rPr>
        <w:t xml:space="preserve"> </w:t>
      </w:r>
      <w:r>
        <w:rPr>
          <w:rFonts w:ascii="Times New Roman" w:hAnsi="Times New Roman" w:cs="Times New Roman"/>
        </w:rPr>
        <w:t>Duke Initial Brief at 16, Duke Ex. 9 at 27 (Laub Direct).</w:t>
      </w:r>
    </w:p>
  </w:footnote>
  <w:footnote w:id="187">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Initial Brief at 86, </w:t>
      </w:r>
      <w:r>
        <w:rPr>
          <w:rFonts w:ascii="Times New Roman" w:hAnsi="Times New Roman" w:cs="Times New Roman"/>
          <w:i/>
        </w:rPr>
        <w:t>citing</w:t>
      </w:r>
      <w:r>
        <w:rPr>
          <w:rFonts w:ascii="Times New Roman" w:hAnsi="Times New Roman" w:cs="Times New Roman"/>
        </w:rPr>
        <w:t xml:space="preserve"> OCC Ex. 45 at 22-23 (Mierzwa Direct); Tr. XI at 3509.</w:t>
      </w:r>
    </w:p>
  </w:footnote>
  <w:footnote w:id="188">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 </w:t>
      </w:r>
      <w:r>
        <w:rPr>
          <w:rFonts w:ascii="Times New Roman" w:hAnsi="Times New Roman" w:cs="Times New Roman"/>
          <w:i/>
        </w:rPr>
        <w:t xml:space="preserve">citing </w:t>
      </w:r>
      <w:r>
        <w:rPr>
          <w:rFonts w:ascii="Times New Roman" w:hAnsi="Times New Roman" w:cs="Times New Roman"/>
        </w:rPr>
        <w:t>Tr. II at 539 (Wathen); Tr. III at 776 (Laub).</w:t>
      </w:r>
    </w:p>
  </w:footnote>
  <w:footnote w:id="189">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 at 87, </w:t>
      </w:r>
      <w:r>
        <w:rPr>
          <w:rFonts w:ascii="Times New Roman" w:hAnsi="Times New Roman" w:cs="Times New Roman"/>
          <w:i/>
        </w:rPr>
        <w:t>citing</w:t>
      </w:r>
      <w:r>
        <w:rPr>
          <w:rFonts w:ascii="Times New Roman" w:hAnsi="Times New Roman" w:cs="Times New Roman"/>
        </w:rPr>
        <w:t xml:space="preserve"> Staff Ex. 4 at 4 (Hecker Direct).</w:t>
      </w:r>
    </w:p>
  </w:footnote>
  <w:footnote w:id="190">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Ex. 45 at 25 (Mierzwa Direct).</w:t>
      </w:r>
    </w:p>
  </w:footnote>
  <w:footnote w:id="191">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r>
        <w:rPr>
          <w:rFonts w:ascii="Times New Roman" w:hAnsi="Times New Roman" w:cs="Times New Roman"/>
          <w:i/>
        </w:rPr>
        <w:t>In re Application of Duke Energy Ohio, Inc</w:t>
      </w:r>
      <w:r>
        <w:rPr>
          <w:rFonts w:ascii="Times New Roman" w:hAnsi="Times New Roman" w:cs="Times New Roman"/>
        </w:rPr>
        <w:t xml:space="preserve">., Case No. 09-1946-EL-ATA, Application (December 11, 2009) at 4, citing Case No. 08-709-EL-AIR; </w:t>
      </w:r>
      <w:r>
        <w:rPr>
          <w:rFonts w:ascii="Times New Roman" w:hAnsi="Times New Roman" w:cs="Times New Roman"/>
          <w:i/>
        </w:rPr>
        <w:t xml:space="preserve">In re Application of Columbus Southern Power Company and Ohio Power Company, </w:t>
      </w:r>
      <w:r>
        <w:rPr>
          <w:rFonts w:ascii="Times New Roman" w:hAnsi="Times New Roman" w:cs="Times New Roman"/>
        </w:rPr>
        <w:t>Case No. 11-346-EL-SSO, Opinion and Order at 68-69 (August 8, 2012).</w:t>
      </w:r>
    </w:p>
  </w:footnote>
  <w:footnote w:id="192">
    <w:p w:rsidR="00A26BD9" w:rsidRPr="004E0BCA" w:rsidRDefault="00A26BD9" w:rsidP="00DC1FF0">
      <w:pPr>
        <w:pStyle w:val="FootnoteText"/>
        <w:rPr>
          <w:rFonts w:ascii="Times New Roman" w:hAnsi="Times New Roman" w:cs="Times New Roman"/>
        </w:rPr>
      </w:pPr>
      <w:r w:rsidRPr="004E0BCA">
        <w:rPr>
          <w:rStyle w:val="FootnoteReference"/>
          <w:rFonts w:ascii="Times New Roman" w:hAnsi="Times New Roman" w:cs="Times New Roman"/>
        </w:rPr>
        <w:footnoteRef/>
      </w:r>
      <w:r w:rsidRPr="004E0BCA">
        <w:rPr>
          <w:rFonts w:ascii="Times New Roman" w:hAnsi="Times New Roman" w:cs="Times New Roman"/>
        </w:rPr>
        <w:t xml:space="preserve"> Staff Initial Brief at 36-38.</w:t>
      </w:r>
    </w:p>
  </w:footnote>
  <w:footnote w:id="193">
    <w:p w:rsidR="00A26BD9" w:rsidRPr="004E0BCA" w:rsidRDefault="00A26BD9" w:rsidP="00DC1FF0">
      <w:pPr>
        <w:pStyle w:val="FootnoteText"/>
        <w:spacing w:before="120" w:after="120"/>
        <w:rPr>
          <w:rFonts w:ascii="Times New Roman" w:hAnsi="Times New Roman" w:cs="Times New Roman"/>
        </w:rPr>
      </w:pPr>
      <w:r w:rsidRPr="004E0BCA">
        <w:rPr>
          <w:rStyle w:val="FootnoteReference"/>
          <w:rFonts w:ascii="Times New Roman" w:hAnsi="Times New Roman" w:cs="Times New Roman"/>
        </w:rPr>
        <w:footnoteRef/>
      </w:r>
      <w:r w:rsidRPr="004E0BCA">
        <w:rPr>
          <w:rFonts w:ascii="Times New Roman" w:hAnsi="Times New Roman" w:cs="Times New Roman"/>
        </w:rPr>
        <w:t xml:space="preserve"> Staff Initial Brief at 37.</w:t>
      </w:r>
    </w:p>
  </w:footnote>
  <w:footnote w:id="194">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Staff Initial Brief at 36.</w:t>
      </w:r>
    </w:p>
  </w:footnote>
  <w:footnote w:id="195">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Staff Initial Brief at 38.</w:t>
      </w:r>
    </w:p>
  </w:footnote>
  <w:footnote w:id="196">
    <w:p w:rsidR="00A26BD9" w:rsidRDefault="00A26BD9" w:rsidP="00DC1FF0">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Staff Initial Brief at 38-46.</w:t>
      </w:r>
    </w:p>
  </w:footnote>
  <w:footnote w:id="19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89-94, 115-119.</w:t>
      </w:r>
    </w:p>
  </w:footnote>
  <w:footnote w:id="19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16 &amp; fn. 16.</w:t>
      </w:r>
    </w:p>
  </w:footnote>
  <w:footnote w:id="19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w:t>
      </w:r>
    </w:p>
  </w:footnote>
  <w:footnote w:id="20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5-8.</w:t>
      </w:r>
    </w:p>
  </w:footnote>
  <w:footnote w:id="20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w:t>
      </w:r>
      <w:r>
        <w:rPr>
          <w:rFonts w:ascii="Times New Roman" w:hAnsi="Times New Roman" w:cs="Times New Roman"/>
        </w:rPr>
        <w:t xml:space="preserve">Initial </w:t>
      </w:r>
      <w:r w:rsidRPr="00926C46">
        <w:rPr>
          <w:rFonts w:ascii="Times New Roman" w:hAnsi="Times New Roman" w:cs="Times New Roman"/>
        </w:rPr>
        <w:t>Brief at 5-6.</w:t>
      </w:r>
    </w:p>
  </w:footnote>
  <w:footnote w:id="20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w:t>
      </w:r>
    </w:p>
  </w:footnote>
  <w:footnote w:id="20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89.</w:t>
      </w:r>
    </w:p>
  </w:footnote>
  <w:footnote w:id="204">
    <w:p w:rsidR="00A26BD9" w:rsidRPr="00926C46" w:rsidRDefault="00A26BD9" w:rsidP="00164AB1">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90-91.</w:t>
      </w:r>
    </w:p>
  </w:footnote>
  <w:footnote w:id="205">
    <w:p w:rsidR="00A26BD9" w:rsidRPr="00164AB1" w:rsidRDefault="00A26BD9" w:rsidP="00164AB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GCHC Initial Brief at 14-15; Kroger Initial Brief at 1-3.</w:t>
      </w:r>
    </w:p>
  </w:footnote>
  <w:footnote w:id="206">
    <w:p w:rsidR="00A26BD9" w:rsidRPr="00164AB1" w:rsidRDefault="00A26BD9" w:rsidP="00164AB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GCHC Initial Brief at 14-15; Kroger Initial Brief at 1-3.</w:t>
      </w:r>
    </w:p>
  </w:footnote>
  <w:footnote w:id="207">
    <w:p w:rsidR="00A26BD9" w:rsidRPr="00926C46" w:rsidRDefault="00A26BD9" w:rsidP="00164AB1">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Kroger Ex. 1 at 10-11 (Higgins Direct)</w:t>
      </w:r>
      <w:r>
        <w:rPr>
          <w:rFonts w:ascii="Times New Roman" w:hAnsi="Times New Roman" w:cs="Times New Roman"/>
        </w:rPr>
        <w:t>.</w:t>
      </w:r>
    </w:p>
  </w:footnote>
  <w:footnote w:id="208">
    <w:p w:rsidR="00A26BD9" w:rsidRPr="00926C46" w:rsidRDefault="00A26BD9" w:rsidP="00164AB1">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GCHC </w:t>
      </w:r>
      <w:r>
        <w:rPr>
          <w:rFonts w:ascii="Times New Roman" w:hAnsi="Times New Roman" w:cs="Times New Roman"/>
        </w:rPr>
        <w:t xml:space="preserve">Initial </w:t>
      </w:r>
      <w:r w:rsidRPr="00926C46">
        <w:rPr>
          <w:rFonts w:ascii="Times New Roman" w:hAnsi="Times New Roman" w:cs="Times New Roman"/>
        </w:rPr>
        <w:t xml:space="preserve">Brief at 14-15; Kroger </w:t>
      </w:r>
      <w:r>
        <w:rPr>
          <w:rFonts w:ascii="Times New Roman" w:hAnsi="Times New Roman" w:cs="Times New Roman"/>
        </w:rPr>
        <w:t xml:space="preserve">Initial </w:t>
      </w:r>
      <w:r w:rsidRPr="00926C46">
        <w:rPr>
          <w:rFonts w:ascii="Times New Roman" w:hAnsi="Times New Roman" w:cs="Times New Roman"/>
        </w:rPr>
        <w:t>Brief at 1-3.</w:t>
      </w:r>
    </w:p>
  </w:footnote>
  <w:footnote w:id="20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GCHC </w:t>
      </w:r>
      <w:r>
        <w:rPr>
          <w:rFonts w:ascii="Times New Roman" w:hAnsi="Times New Roman" w:cs="Times New Roman"/>
        </w:rPr>
        <w:t xml:space="preserve">Initial </w:t>
      </w:r>
      <w:r w:rsidRPr="00926C46">
        <w:rPr>
          <w:rFonts w:ascii="Times New Roman" w:hAnsi="Times New Roman" w:cs="Times New Roman"/>
        </w:rPr>
        <w:t>Brief at 15.</w:t>
      </w:r>
    </w:p>
  </w:footnote>
  <w:footnote w:id="21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GCHC </w:t>
      </w:r>
      <w:r>
        <w:rPr>
          <w:rFonts w:ascii="Times New Roman" w:hAnsi="Times New Roman" w:cs="Times New Roman"/>
        </w:rPr>
        <w:t xml:space="preserve">Initial </w:t>
      </w:r>
      <w:r w:rsidRPr="00926C46">
        <w:rPr>
          <w:rFonts w:ascii="Times New Roman" w:hAnsi="Times New Roman" w:cs="Times New Roman"/>
        </w:rPr>
        <w:t>Brief at 15</w:t>
      </w:r>
    </w:p>
  </w:footnote>
  <w:footnote w:id="21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94-97.</w:t>
      </w:r>
    </w:p>
  </w:footnote>
  <w:footnote w:id="21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w:t>
      </w:r>
      <w:r>
        <w:rPr>
          <w:rFonts w:ascii="Times New Roman" w:hAnsi="Times New Roman" w:cs="Times New Roman"/>
          <w:i/>
        </w:rPr>
        <w:t>In the Matter of the A</w:t>
      </w:r>
      <w:r w:rsidRPr="00926C46">
        <w:rPr>
          <w:rFonts w:ascii="Times New Roman" w:hAnsi="Times New Roman" w:cs="Times New Roman"/>
          <w:i/>
        </w:rPr>
        <w:t>pplication of</w:t>
      </w:r>
      <w:r>
        <w:rPr>
          <w:rFonts w:ascii="Times New Roman" w:hAnsi="Times New Roman" w:cs="Times New Roman"/>
          <w:i/>
        </w:rPr>
        <w:t xml:space="preserve"> Duke Energy Ohio, Inc. for an Increase in Electric Distribution R</w:t>
      </w:r>
      <w:r w:rsidRPr="00926C46">
        <w:rPr>
          <w:rFonts w:ascii="Times New Roman" w:hAnsi="Times New Roman" w:cs="Times New Roman"/>
          <w:i/>
        </w:rPr>
        <w:t>ates</w:t>
      </w:r>
      <w:r w:rsidRPr="00926C46">
        <w:rPr>
          <w:rFonts w:ascii="Times New Roman" w:hAnsi="Times New Roman" w:cs="Times New Roman"/>
        </w:rPr>
        <w:t>, Case No. 12-1682-EL-AIR, Stipulation at 2-3 (April 2, 2013).</w:t>
      </w:r>
    </w:p>
  </w:footnote>
  <w:footnote w:id="21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IGS </w:t>
      </w:r>
      <w:r>
        <w:rPr>
          <w:rFonts w:ascii="Times New Roman" w:hAnsi="Times New Roman" w:cs="Times New Roman"/>
        </w:rPr>
        <w:t xml:space="preserve">Initial </w:t>
      </w:r>
      <w:r w:rsidRPr="00926C46">
        <w:rPr>
          <w:rFonts w:ascii="Times New Roman" w:hAnsi="Times New Roman" w:cs="Times New Roman"/>
        </w:rPr>
        <w:t>Brief at 32.</w:t>
      </w:r>
    </w:p>
  </w:footnote>
  <w:footnote w:id="21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99-100.</w:t>
      </w:r>
    </w:p>
  </w:footnote>
  <w:footnote w:id="21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w:t>
      </w:r>
      <w:r>
        <w:rPr>
          <w:rFonts w:ascii="Times New Roman" w:hAnsi="Times New Roman" w:cs="Times New Roman"/>
        </w:rPr>
        <w:t xml:space="preserve"> Initial</w:t>
      </w:r>
      <w:r w:rsidRPr="00926C46">
        <w:rPr>
          <w:rFonts w:ascii="Times New Roman" w:hAnsi="Times New Roman" w:cs="Times New Roman"/>
        </w:rPr>
        <w:t xml:space="preserve"> Brief at 99-100.</w:t>
      </w:r>
    </w:p>
  </w:footnote>
  <w:footnote w:id="21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IGS </w:t>
      </w:r>
      <w:r>
        <w:rPr>
          <w:rFonts w:ascii="Times New Roman" w:hAnsi="Times New Roman" w:cs="Times New Roman"/>
        </w:rPr>
        <w:t xml:space="preserve">Initial </w:t>
      </w:r>
      <w:r w:rsidRPr="00926C46">
        <w:rPr>
          <w:rFonts w:ascii="Times New Roman" w:hAnsi="Times New Roman" w:cs="Times New Roman"/>
        </w:rPr>
        <w:t>Brief at 32.</w:t>
      </w:r>
    </w:p>
  </w:footnote>
  <w:footnote w:id="21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IGS </w:t>
      </w:r>
      <w:r>
        <w:rPr>
          <w:rFonts w:ascii="Times New Roman" w:hAnsi="Times New Roman" w:cs="Times New Roman"/>
        </w:rPr>
        <w:t xml:space="preserve">Initial </w:t>
      </w:r>
      <w:r w:rsidRPr="00926C46">
        <w:rPr>
          <w:rFonts w:ascii="Times New Roman" w:hAnsi="Times New Roman" w:cs="Times New Roman"/>
        </w:rPr>
        <w:t>Brief at 32.</w:t>
      </w:r>
    </w:p>
  </w:footnote>
  <w:footnote w:id="21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16-26.</w:t>
      </w:r>
    </w:p>
  </w:footnote>
  <w:footnote w:id="21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25-26.</w:t>
      </w:r>
    </w:p>
  </w:footnote>
  <w:footnote w:id="22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97-99</w:t>
      </w:r>
    </w:p>
  </w:footnote>
  <w:footnote w:id="22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97-98.</w:t>
      </w:r>
    </w:p>
  </w:footnote>
  <w:footnote w:id="22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w:t>
      </w:r>
      <w:r>
        <w:rPr>
          <w:rFonts w:ascii="Times New Roman" w:hAnsi="Times New Roman" w:cs="Times New Roman"/>
        </w:rPr>
        <w:t xml:space="preserve">Initial </w:t>
      </w:r>
      <w:r w:rsidRPr="00926C46">
        <w:rPr>
          <w:rFonts w:ascii="Times New Roman" w:hAnsi="Times New Roman" w:cs="Times New Roman"/>
        </w:rPr>
        <w:t>Brief at 98.</w:t>
      </w:r>
    </w:p>
  </w:footnote>
  <w:footnote w:id="22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17.</w:t>
      </w:r>
    </w:p>
  </w:footnote>
  <w:footnote w:id="224">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17.</w:t>
      </w:r>
    </w:p>
  </w:footnote>
  <w:footnote w:id="225">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Ex. 46 at 30 (Yankel Direct).</w:t>
      </w:r>
    </w:p>
  </w:footnote>
  <w:footnote w:id="226">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17-18.</w:t>
      </w:r>
    </w:p>
  </w:footnote>
  <w:footnote w:id="227">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17.</w:t>
      </w:r>
    </w:p>
  </w:footnote>
  <w:footnote w:id="228">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 xml:space="preserve">Brief at 17-18, citing </w:t>
      </w:r>
      <w:r>
        <w:rPr>
          <w:rFonts w:ascii="Times New Roman" w:hAnsi="Times New Roman" w:cs="Times New Roman"/>
        </w:rPr>
        <w:t xml:space="preserve">Case No. 11-346-EL-SSO, </w:t>
      </w:r>
      <w:r w:rsidRPr="00926C46">
        <w:rPr>
          <w:rFonts w:ascii="Times New Roman" w:hAnsi="Times New Roman" w:cs="Times New Roman"/>
        </w:rPr>
        <w:t>Opinion an</w:t>
      </w:r>
      <w:r>
        <w:rPr>
          <w:rFonts w:ascii="Times New Roman" w:hAnsi="Times New Roman" w:cs="Times New Roman"/>
        </w:rPr>
        <w:t>d Order, at 26 (August 8, 2012)</w:t>
      </w:r>
      <w:r w:rsidRPr="00926C46">
        <w:rPr>
          <w:rFonts w:ascii="Times New Roman" w:hAnsi="Times New Roman" w:cs="Times New Roman"/>
        </w:rPr>
        <w:t>.</w:t>
      </w:r>
    </w:p>
  </w:footnote>
  <w:footnote w:id="229">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19-20.</w:t>
      </w:r>
    </w:p>
  </w:footnote>
  <w:footnote w:id="230">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23-24.</w:t>
      </w:r>
    </w:p>
  </w:footnote>
  <w:footnote w:id="231">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w:t>
      </w:r>
      <w:r>
        <w:rPr>
          <w:rFonts w:ascii="Times New Roman" w:hAnsi="Times New Roman" w:cs="Times New Roman"/>
        </w:rPr>
        <w:t xml:space="preserve">Initial </w:t>
      </w:r>
      <w:r w:rsidRPr="00926C46">
        <w:rPr>
          <w:rFonts w:ascii="Times New Roman" w:hAnsi="Times New Roman" w:cs="Times New Roman"/>
        </w:rPr>
        <w:t>Brief at 20-23.</w:t>
      </w:r>
    </w:p>
  </w:footnote>
  <w:footnote w:id="232">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Brief at 21-23.</w:t>
      </w:r>
    </w:p>
  </w:footnote>
  <w:footnote w:id="233">
    <w:p w:rsidR="00A26BD9" w:rsidRPr="00926C46" w:rsidRDefault="00A26BD9" w:rsidP="00926C46">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OEG Brief at 21-22.</w:t>
      </w:r>
    </w:p>
  </w:footnote>
  <w:footnote w:id="23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Energy Ohio Initial Brief at 35.</w:t>
      </w:r>
    </w:p>
  </w:footnote>
  <w:footnote w:id="23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w:t>
      </w:r>
    </w:p>
  </w:footnote>
  <w:footnote w:id="23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w:t>
      </w:r>
    </w:p>
  </w:footnote>
  <w:footnote w:id="23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OCC Initial Brief at 108-109, </w:t>
      </w:r>
      <w:r w:rsidRPr="00926C46">
        <w:rPr>
          <w:rFonts w:ascii="Times New Roman" w:hAnsi="Times New Roman" w:cs="Times New Roman"/>
          <w:i/>
        </w:rPr>
        <w:t>citing</w:t>
      </w:r>
      <w:r w:rsidRPr="00926C46">
        <w:rPr>
          <w:rFonts w:ascii="Times New Roman" w:hAnsi="Times New Roman" w:cs="Times New Roman"/>
        </w:rPr>
        <w:t xml:space="preserve"> Duke Ex. 1 at 16 (Application).</w:t>
      </w:r>
    </w:p>
  </w:footnote>
  <w:footnote w:id="23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t>
      </w:r>
      <w:r w:rsidRPr="00926C46">
        <w:rPr>
          <w:rFonts w:ascii="Times New Roman" w:hAnsi="Times New Roman" w:cs="Times New Roman"/>
          <w:i/>
        </w:rPr>
        <w:t>citing</w:t>
      </w:r>
      <w:r w:rsidRPr="00926C46">
        <w:rPr>
          <w:rFonts w:ascii="Times New Roman" w:hAnsi="Times New Roman" w:cs="Times New Roman"/>
        </w:rPr>
        <w:t xml:space="preserve"> Duke Ex. 4 at 12; Tr. II at 3</w:t>
      </w:r>
      <w:r>
        <w:rPr>
          <w:rFonts w:ascii="Times New Roman" w:hAnsi="Times New Roman" w:cs="Times New Roman"/>
        </w:rPr>
        <w:t>28-329 (Lee Cross Examination).</w:t>
      </w:r>
    </w:p>
  </w:footnote>
  <w:footnote w:id="23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t>
      </w:r>
      <w:r w:rsidRPr="00926C46">
        <w:rPr>
          <w:rFonts w:ascii="Times New Roman" w:hAnsi="Times New Roman" w:cs="Times New Roman"/>
          <w:i/>
        </w:rPr>
        <w:t>citing</w:t>
      </w:r>
      <w:r w:rsidRPr="00926C46">
        <w:rPr>
          <w:rFonts w:ascii="Times New Roman" w:hAnsi="Times New Roman" w:cs="Times New Roman"/>
        </w:rPr>
        <w:t xml:space="preserve"> Duke Ex. 1 at Attachment F, at 13, ¶ 2.4 (Application).</w:t>
      </w:r>
    </w:p>
  </w:footnote>
  <w:footnote w:id="24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t>
      </w:r>
      <w:r w:rsidRPr="00926C46">
        <w:rPr>
          <w:rFonts w:ascii="Times New Roman" w:hAnsi="Times New Roman" w:cs="Times New Roman"/>
          <w:i/>
        </w:rPr>
        <w:t xml:space="preserve">citing </w:t>
      </w:r>
      <w:r w:rsidRPr="00926C46">
        <w:rPr>
          <w:rFonts w:ascii="Times New Roman" w:hAnsi="Times New Roman" w:cs="Times New Roman"/>
        </w:rPr>
        <w:t>RESA Ex. 3 at 20 (Campbell Direct).</w:t>
      </w:r>
    </w:p>
  </w:footnote>
  <w:footnote w:id="241">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t>
      </w:r>
      <w:r w:rsidRPr="00926C46">
        <w:rPr>
          <w:rFonts w:ascii="Times New Roman" w:hAnsi="Times New Roman" w:cs="Times New Roman"/>
          <w:i/>
        </w:rPr>
        <w:t>citing</w:t>
      </w:r>
      <w:r w:rsidRPr="00926C46">
        <w:rPr>
          <w:rFonts w:ascii="Times New Roman" w:hAnsi="Times New Roman" w:cs="Times New Roman"/>
        </w:rPr>
        <w:t xml:space="preserve"> Staff Ex. 3 at 3-4 (Strom Direct).</w:t>
      </w:r>
    </w:p>
  </w:footnote>
  <w:footnote w:id="242">
    <w:p w:rsidR="00A26BD9" w:rsidRPr="00926C46" w:rsidRDefault="00A26BD9" w:rsidP="00DC1FF0">
      <w:pPr>
        <w:pStyle w:val="FootnoteText"/>
        <w:spacing w:after="120"/>
        <w:rPr>
          <w:rFonts w:ascii="Times New Roman" w:hAnsi="Times New Roman" w:cs="Times New Roman"/>
          <w:i/>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t>
      </w:r>
      <w:r w:rsidRPr="00926C46">
        <w:rPr>
          <w:rFonts w:ascii="Times New Roman" w:hAnsi="Times New Roman" w:cs="Times New Roman"/>
          <w:i/>
        </w:rPr>
        <w:t>citing</w:t>
      </w:r>
      <w:r w:rsidRPr="00926C46">
        <w:rPr>
          <w:rFonts w:ascii="Times New Roman" w:hAnsi="Times New Roman" w:cs="Times New Roman"/>
        </w:rPr>
        <w:t xml:space="preserve"> RESA Ex. 3 (Campbell Direct); Staff Ex. 3 at 3-4 (Strom Direct); Tr. XIII at 3831.</w:t>
      </w:r>
    </w:p>
  </w:footnote>
  <w:footnote w:id="243">
    <w:p w:rsidR="00A26BD9" w:rsidRPr="00926C46" w:rsidRDefault="00A26BD9" w:rsidP="00DC1FF0">
      <w:pPr>
        <w:pStyle w:val="FootnoteText"/>
        <w:spacing w:after="120"/>
        <w:jc w:val="both"/>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See, Staff Initial Brief at 49.</w:t>
      </w:r>
    </w:p>
  </w:footnote>
  <w:footnote w:id="24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Constellation/Exelon Initial Brief at 14.</w:t>
      </w:r>
    </w:p>
  </w:footnote>
  <w:footnote w:id="24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RESA Initial Brief at 27.</w:t>
      </w:r>
    </w:p>
  </w:footnote>
  <w:footnote w:id="24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PUCO Staff Initial Brief at 49; RESA Initial Brief at 26; Exelon Initial Brief at 13; Direct Energy Brief at 16; Kroger Company Brief at 7.</w:t>
      </w:r>
    </w:p>
  </w:footnote>
  <w:footnote w:id="24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Direct Energy Initial Brief at </w:t>
      </w:r>
      <w:r>
        <w:rPr>
          <w:rFonts w:ascii="Times New Roman" w:hAnsi="Times New Roman" w:cs="Times New Roman"/>
        </w:rPr>
        <w:t>16.</w:t>
      </w:r>
    </w:p>
  </w:footnote>
  <w:footnote w:id="24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Direct Energy Initial Brief at 16. </w:t>
      </w:r>
    </w:p>
  </w:footnote>
  <w:footnote w:id="24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Exelon Initial Brief at 14.</w:t>
      </w:r>
    </w:p>
  </w:footnote>
  <w:footnote w:id="250">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Kroger Company Initial Brief at 7; Exelon Initial Brief at 13; RESA Initial Brief at 26.</w:t>
      </w:r>
    </w:p>
  </w:footnote>
  <w:footnote w:id="251">
    <w:p w:rsidR="00A26BD9" w:rsidRPr="004E0BCA" w:rsidRDefault="00A26BD9" w:rsidP="00DC1FF0">
      <w:pPr>
        <w:pStyle w:val="FootnoteText"/>
        <w:spacing w:after="120"/>
        <w:rPr>
          <w:rFonts w:ascii="Times New Roman" w:hAnsi="Times New Roman" w:cs="Times New Roman"/>
        </w:rPr>
      </w:pPr>
      <w:r w:rsidRPr="004E0BCA">
        <w:rPr>
          <w:rStyle w:val="FootnoteReference"/>
          <w:rFonts w:ascii="Times New Roman" w:hAnsi="Times New Roman" w:cs="Times New Roman"/>
        </w:rPr>
        <w:footnoteRef/>
      </w:r>
      <w:r w:rsidRPr="004E0BCA">
        <w:rPr>
          <w:rFonts w:ascii="Times New Roman" w:hAnsi="Times New Roman" w:cs="Times New Roman"/>
        </w:rPr>
        <w:t xml:space="preserve"> OCC Initial Brief at 105-109.</w:t>
      </w:r>
    </w:p>
  </w:footnote>
  <w:footnote w:id="252">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Duke Ex. 9 at 8 (Laub Direct); OCC Initial Brief at 112,</w:t>
      </w:r>
      <w:r w:rsidRPr="00926C46">
        <w:rPr>
          <w:rFonts w:ascii="Times New Roman" w:hAnsi="Times New Roman" w:cs="Times New Roman"/>
          <w:i/>
        </w:rPr>
        <w:t xml:space="preserve"> citing </w:t>
      </w:r>
      <w:r w:rsidRPr="00926C46">
        <w:rPr>
          <w:rFonts w:ascii="Times New Roman" w:hAnsi="Times New Roman" w:cs="Times New Roman"/>
        </w:rPr>
        <w:t xml:space="preserve">OMA Ex. 2, Tr. III at 784; </w:t>
      </w:r>
      <w:r w:rsidRPr="00926C46">
        <w:rPr>
          <w:rFonts w:ascii="Times New Roman" w:hAnsi="Times New Roman" w:cs="Times New Roman"/>
          <w:i/>
        </w:rPr>
        <w:t>Duke ESP II</w:t>
      </w:r>
      <w:r w:rsidRPr="00926C46">
        <w:rPr>
          <w:rFonts w:ascii="Times New Roman" w:hAnsi="Times New Roman" w:cs="Times New Roman"/>
        </w:rPr>
        <w:t>, Stipulation and Recommendation at 2 (October 24, 2011).</w:t>
      </w:r>
    </w:p>
  </w:footnote>
  <w:footnote w:id="253">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t>
      </w:r>
      <w:r w:rsidRPr="00926C46">
        <w:rPr>
          <w:rFonts w:ascii="Times New Roman" w:hAnsi="Times New Roman" w:cs="Times New Roman"/>
          <w:i/>
        </w:rPr>
        <w:t>citing</w:t>
      </w:r>
      <w:r w:rsidRPr="00926C46">
        <w:rPr>
          <w:rFonts w:ascii="Times New Roman" w:hAnsi="Times New Roman" w:cs="Times New Roman"/>
        </w:rPr>
        <w:t xml:space="preserve"> OCC Ex. 32 at 31 (Kahal Direct).</w:t>
      </w:r>
    </w:p>
  </w:footnote>
  <w:footnote w:id="254">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w:t>
      </w:r>
    </w:p>
  </w:footnote>
  <w:footnote w:id="255">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 </w:t>
      </w:r>
      <w:r w:rsidRPr="00926C46">
        <w:rPr>
          <w:rFonts w:ascii="Times New Roman" w:hAnsi="Times New Roman" w:cs="Times New Roman"/>
          <w:i/>
        </w:rPr>
        <w:t>citing</w:t>
      </w:r>
      <w:r w:rsidRPr="00926C46">
        <w:rPr>
          <w:rFonts w:ascii="Times New Roman" w:hAnsi="Times New Roman" w:cs="Times New Roman"/>
        </w:rPr>
        <w:t xml:space="preserve"> </w:t>
      </w:r>
      <w:r w:rsidRPr="00926C46">
        <w:rPr>
          <w:rFonts w:ascii="Times New Roman" w:hAnsi="Times New Roman" w:cs="Times New Roman"/>
          <w:i/>
        </w:rPr>
        <w:t>In the Matter of the Application of Columbus Southern Power Company for Authority to Establish a Standard Service Offer Pursuant to Section 4928.143, Revised Code, in the form of an Electric Security Plan</w:t>
      </w:r>
      <w:r w:rsidRPr="00926C46">
        <w:rPr>
          <w:rFonts w:ascii="Times New Roman" w:hAnsi="Times New Roman" w:cs="Times New Roman"/>
        </w:rPr>
        <w:t xml:space="preserve">, Case No. 11-346-EL-SSO, Opinion and Order at 37 (August 8, 2012); </w:t>
      </w:r>
      <w:r w:rsidRPr="00926C46">
        <w:rPr>
          <w:rFonts w:ascii="Times New Roman" w:hAnsi="Times New Roman" w:cs="Times New Roman"/>
          <w:i/>
        </w:rPr>
        <w:t>In the Matter of the Application of the Dayton Power and Light Company for Approval of Its Electric Security Plan</w:t>
      </w:r>
      <w:r w:rsidRPr="00926C46">
        <w:rPr>
          <w:rFonts w:ascii="Times New Roman" w:hAnsi="Times New Roman" w:cs="Times New Roman"/>
        </w:rPr>
        <w:t xml:space="preserve">, Case No. 12-426-EL-SSO, </w:t>
      </w:r>
      <w:r w:rsidRPr="00926C46">
        <w:rPr>
          <w:rFonts w:ascii="Times New Roman" w:hAnsi="Times New Roman" w:cs="Times New Roman"/>
          <w:i/>
        </w:rPr>
        <w:t>et al</w:t>
      </w:r>
      <w:r w:rsidRPr="00926C46">
        <w:rPr>
          <w:rFonts w:ascii="Times New Roman" w:hAnsi="Times New Roman" w:cs="Times New Roman"/>
        </w:rPr>
        <w:t>., Opinion and Order at 26 (September 4, 2013).</w:t>
      </w:r>
    </w:p>
  </w:footnote>
  <w:footnote w:id="256">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Id.</w:t>
      </w:r>
    </w:p>
  </w:footnote>
  <w:footnote w:id="257">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OPAE Initial Brief at 25.</w:t>
      </w:r>
    </w:p>
  </w:footnote>
  <w:footnote w:id="258">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OPAE Initial Brief at 25.</w:t>
      </w:r>
    </w:p>
  </w:footnote>
  <w:footnote w:id="259">
    <w:p w:rsidR="00A26BD9" w:rsidRPr="00926C46" w:rsidRDefault="00A26BD9" w:rsidP="00DC1FF0">
      <w:pPr>
        <w:pStyle w:val="FootnoteText"/>
        <w:spacing w:after="120"/>
        <w:rPr>
          <w:rFonts w:ascii="Times New Roman" w:hAnsi="Times New Roman" w:cs="Times New Roman"/>
        </w:rPr>
      </w:pPr>
      <w:r w:rsidRPr="00926C46">
        <w:rPr>
          <w:rStyle w:val="FootnoteReference"/>
          <w:rFonts w:ascii="Times New Roman" w:hAnsi="Times New Roman" w:cs="Times New Roman"/>
        </w:rPr>
        <w:footnoteRef/>
      </w:r>
      <w:r w:rsidRPr="00926C46">
        <w:rPr>
          <w:rFonts w:ascii="Times New Roman" w:hAnsi="Times New Roman" w:cs="Times New Roman"/>
        </w:rPr>
        <w:t xml:space="preserve"> See, OCC Initial Brief at 11</w:t>
      </w:r>
      <w:r>
        <w:rPr>
          <w:rFonts w:ascii="Times New Roman" w:hAnsi="Times New Roman" w:cs="Times New Roman"/>
        </w:rPr>
        <w:t>0-115</w:t>
      </w:r>
      <w:r w:rsidRPr="00926C4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1D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1943" o:spid="_x0000_s2050" type="#_x0000_t136" style="position:absolute;margin-left:0;margin-top:0;width:517.75pt;height:91.35pt;rotation:315;z-index:-251655168;mso-position-horizontal:center;mso-position-horizontal-relative:margin;mso-position-vertical:center;mso-position-vertical-relative:margin" o:allowincell="f" fillcolor="#7f7f7f [1612]" stroked="f">
          <v:fill opacity=".5"/>
          <v:textpath style="font-family:&quot;Calibri&quot;;font-size:1pt" string="CONFIDENTI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1D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1952" o:spid="_x0000_s2059" type="#_x0000_t136" style="position:absolute;margin-left:0;margin-top:0;width:517.75pt;height:91.35pt;rotation:315;z-index:-251636736;mso-position-horizontal:center;mso-position-horizontal-relative:margin;mso-position-vertical:center;mso-position-vertical-relative:margin" o:allowincell="f" fillcolor="#7f7f7f [1612]" stroked="f">
          <v:fill opacity=".5"/>
          <v:textpath style="font-family:&quot;Calibri&quot;;font-size:1pt" string="CONFIDENTIAL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A26B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1D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1951" o:spid="_x0000_s2058" type="#_x0000_t136" style="position:absolute;margin-left:0;margin-top:0;width:517.75pt;height:91.35pt;rotation:315;z-index:-251638784;mso-position-horizontal:center;mso-position-horizontal-relative:margin;mso-position-vertical:center;mso-position-vertical-relative:margin" o:allowincell="f" fillcolor="#7f7f7f [1612]" stroked="f">
          <v:fill opacity=".5"/>
          <v:textpath style="font-family:&quot;Calibri&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02" w:rsidRDefault="00410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1D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1942" o:spid="_x0000_s2049" type="#_x0000_t136" style="position:absolute;margin-left:0;margin-top:0;width:517.75pt;height:91.35pt;rotation:315;z-index:-251657216;mso-position-horizontal:center;mso-position-horizontal-relative:margin;mso-position-vertical:center;mso-position-vertical-relative:margin" o:allowincell="f" fillcolor="#7f7f7f [1612]" stroked="f">
          <v:fill opacity=".5"/>
          <v:textpath style="font-family:&quot;Calibri&quot;;font-size:1pt" string="CONFIDENTI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1D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1946" o:spid="_x0000_s2053" type="#_x0000_t136" style="position:absolute;margin-left:0;margin-top:0;width:517.75pt;height:91.35pt;rotation:315;z-index:-251649024;mso-position-horizontal:center;mso-position-horizontal-relative:margin;mso-position-vertical:center;mso-position-vertical-relative:margin" o:allowincell="f" fillcolor="#7f7f7f [1612]" stroked="f">
          <v:fill opacity=".5"/>
          <v:textpath style="font-family:&quot;Calibri&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A26B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1D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1945" o:spid="_x0000_s2052" type="#_x0000_t136" style="position:absolute;margin-left:0;margin-top:0;width:517.75pt;height:91.35pt;rotation:315;z-index:-251651072;mso-position-horizontal:center;mso-position-horizontal-relative:margin;mso-position-vertical:center;mso-position-vertical-relative:margin" o:allowincell="f" fillcolor="#7f7f7f [1612]" stroked="f">
          <v:fill opacity=".5"/>
          <v:textpath style="font-family:&quot;Calibri&quot;;font-size:1pt" string="CONFIDENTIAL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1D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1949" o:spid="_x0000_s2056" type="#_x0000_t136" style="position:absolute;margin-left:0;margin-top:0;width:517.75pt;height:91.35pt;rotation:315;z-index:-251642880;mso-position-horizontal:center;mso-position-horizontal-relative:margin;mso-position-vertical:center;mso-position-vertical-relative:margin" o:allowincell="f" fillcolor="#7f7f7f [1612]" stroked="f">
          <v:fill opacity=".5"/>
          <v:textpath style="font-family:&quot;Calibri&quot;;font-size:1pt" string="CONFIDENTIAL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A26BD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D9" w:rsidRDefault="00A26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B82E1C4"/>
    <w:lvl w:ilvl="0">
      <w:start w:val="1"/>
      <w:numFmt w:val="decimal"/>
      <w:lvlText w:val="%1."/>
      <w:lvlJc w:val="left"/>
      <w:pPr>
        <w:tabs>
          <w:tab w:val="num" w:pos="1080"/>
        </w:tabs>
        <w:ind w:left="1080" w:hanging="360"/>
      </w:pPr>
    </w:lvl>
  </w:abstractNum>
  <w:abstractNum w:abstractNumId="1">
    <w:nsid w:val="FFFFFF7F"/>
    <w:multiLevelType w:val="singleLevel"/>
    <w:tmpl w:val="7FF2F8E6"/>
    <w:lvl w:ilvl="0">
      <w:start w:val="1"/>
      <w:numFmt w:val="decimal"/>
      <w:lvlText w:val="%1."/>
      <w:lvlJc w:val="left"/>
      <w:pPr>
        <w:tabs>
          <w:tab w:val="num" w:pos="720"/>
        </w:tabs>
        <w:ind w:left="720" w:hanging="360"/>
      </w:pPr>
    </w:lvl>
  </w:abstractNum>
  <w:abstractNum w:abstractNumId="2">
    <w:nsid w:val="FFFFFF80"/>
    <w:multiLevelType w:val="singleLevel"/>
    <w:tmpl w:val="61A2F918"/>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837CD4A6"/>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E716E630"/>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30C8C3B8"/>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D6F6490A"/>
    <w:lvl w:ilvl="0">
      <w:start w:val="1"/>
      <w:numFmt w:val="decimal"/>
      <w:lvlText w:val="%1."/>
      <w:lvlJc w:val="left"/>
      <w:pPr>
        <w:tabs>
          <w:tab w:val="num" w:pos="360"/>
        </w:tabs>
        <w:ind w:left="360" w:hanging="360"/>
      </w:pPr>
    </w:lvl>
  </w:abstractNum>
  <w:abstractNum w:abstractNumId="7">
    <w:nsid w:val="FFFFFF89"/>
    <w:multiLevelType w:val="singleLevel"/>
    <w:tmpl w:val="96A48D10"/>
    <w:lvl w:ilvl="0">
      <w:start w:val="1"/>
      <w:numFmt w:val="bullet"/>
      <w:lvlText w:val=""/>
      <w:lvlJc w:val="left"/>
      <w:pPr>
        <w:tabs>
          <w:tab w:val="num" w:pos="360"/>
        </w:tabs>
        <w:ind w:left="360" w:hanging="360"/>
      </w:pPr>
      <w:rPr>
        <w:rFonts w:ascii="Symbol" w:hAnsi="Symbol" w:hint="default"/>
      </w:rPr>
    </w:lvl>
  </w:abstractNum>
  <w:abstractNum w:abstractNumId="8">
    <w:nsid w:val="007941FF"/>
    <w:multiLevelType w:val="hybridMultilevel"/>
    <w:tmpl w:val="13D08274"/>
    <w:lvl w:ilvl="0" w:tplc="662E4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3EB6E1C"/>
    <w:multiLevelType w:val="hybridMultilevel"/>
    <w:tmpl w:val="EFCC1632"/>
    <w:lvl w:ilvl="0" w:tplc="97A2C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763FA"/>
    <w:multiLevelType w:val="hybridMultilevel"/>
    <w:tmpl w:val="623AC2E8"/>
    <w:lvl w:ilvl="0" w:tplc="B00C653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85B96"/>
    <w:multiLevelType w:val="hybridMultilevel"/>
    <w:tmpl w:val="0C98A5EC"/>
    <w:lvl w:ilvl="0" w:tplc="29CE129A">
      <w:start w:val="8"/>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393BC4"/>
    <w:multiLevelType w:val="hybridMultilevel"/>
    <w:tmpl w:val="87589D22"/>
    <w:lvl w:ilvl="0" w:tplc="CBB8E882">
      <w:start w:val="1"/>
      <w:numFmt w:val="upperRoman"/>
      <w:lvlText w:val="%1."/>
      <w:lvlJc w:val="left"/>
      <w:pPr>
        <w:ind w:left="4500" w:hanging="72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3">
    <w:nsid w:val="448C69CE"/>
    <w:multiLevelType w:val="hybridMultilevel"/>
    <w:tmpl w:val="4E66F43A"/>
    <w:lvl w:ilvl="0" w:tplc="75D637C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FB4EEA"/>
    <w:multiLevelType w:val="hybridMultilevel"/>
    <w:tmpl w:val="5A002E58"/>
    <w:lvl w:ilvl="0" w:tplc="029696C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969BD"/>
    <w:multiLevelType w:val="hybridMultilevel"/>
    <w:tmpl w:val="CC3A58BE"/>
    <w:lvl w:ilvl="0" w:tplc="30B2A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C96B8A"/>
    <w:multiLevelType w:val="hybridMultilevel"/>
    <w:tmpl w:val="57C23840"/>
    <w:lvl w:ilvl="0" w:tplc="12047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1E39ED"/>
    <w:multiLevelType w:val="hybridMultilevel"/>
    <w:tmpl w:val="60E0E17A"/>
    <w:lvl w:ilvl="0" w:tplc="14B27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12"/>
  </w:num>
  <w:num w:numId="11">
    <w:abstractNumId w:val="15"/>
  </w:num>
  <w:num w:numId="12">
    <w:abstractNumId w:val="14"/>
  </w:num>
  <w:num w:numId="13">
    <w:abstractNumId w:val="16"/>
  </w:num>
  <w:num w:numId="14">
    <w:abstractNumId w:val="13"/>
  </w:num>
  <w:num w:numId="15">
    <w:abstractNumId w:val="11"/>
  </w:num>
  <w:num w:numId="16">
    <w:abstractNumId w:val="8"/>
  </w:num>
  <w:num w:numId="17">
    <w:abstractNumId w:val="17"/>
  </w:num>
  <w:num w:numId="18">
    <w:abstractNumId w:val="10"/>
  </w:num>
  <w:num w:numId="1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D9"/>
    <w:rsid w:val="0000161C"/>
    <w:rsid w:val="00034852"/>
    <w:rsid w:val="00035356"/>
    <w:rsid w:val="00040792"/>
    <w:rsid w:val="00060875"/>
    <w:rsid w:val="000614ED"/>
    <w:rsid w:val="00067A8B"/>
    <w:rsid w:val="0007504C"/>
    <w:rsid w:val="00084CB8"/>
    <w:rsid w:val="00086603"/>
    <w:rsid w:val="000A1561"/>
    <w:rsid w:val="001007DE"/>
    <w:rsid w:val="001065DB"/>
    <w:rsid w:val="00117ADB"/>
    <w:rsid w:val="001443E5"/>
    <w:rsid w:val="00164AB1"/>
    <w:rsid w:val="001B0E52"/>
    <w:rsid w:val="001D5E02"/>
    <w:rsid w:val="001E116B"/>
    <w:rsid w:val="001E1778"/>
    <w:rsid w:val="00214CF3"/>
    <w:rsid w:val="00225244"/>
    <w:rsid w:val="00243869"/>
    <w:rsid w:val="00256DCD"/>
    <w:rsid w:val="002579FA"/>
    <w:rsid w:val="002624A6"/>
    <w:rsid w:val="00273E63"/>
    <w:rsid w:val="002C4F0A"/>
    <w:rsid w:val="002F4634"/>
    <w:rsid w:val="003064FB"/>
    <w:rsid w:val="00361E40"/>
    <w:rsid w:val="00384CA0"/>
    <w:rsid w:val="00384D03"/>
    <w:rsid w:val="003B342F"/>
    <w:rsid w:val="003B740D"/>
    <w:rsid w:val="003D42FE"/>
    <w:rsid w:val="00402996"/>
    <w:rsid w:val="00410002"/>
    <w:rsid w:val="00474C5E"/>
    <w:rsid w:val="00482A7D"/>
    <w:rsid w:val="0049158E"/>
    <w:rsid w:val="004C59E8"/>
    <w:rsid w:val="0050518F"/>
    <w:rsid w:val="00515B21"/>
    <w:rsid w:val="005547B9"/>
    <w:rsid w:val="00601700"/>
    <w:rsid w:val="00633BA3"/>
    <w:rsid w:val="00650D00"/>
    <w:rsid w:val="00653F83"/>
    <w:rsid w:val="00664E15"/>
    <w:rsid w:val="0067615D"/>
    <w:rsid w:val="00682FB4"/>
    <w:rsid w:val="006857BB"/>
    <w:rsid w:val="006A7D71"/>
    <w:rsid w:val="006B11B8"/>
    <w:rsid w:val="006B48F4"/>
    <w:rsid w:val="00705B1E"/>
    <w:rsid w:val="00717429"/>
    <w:rsid w:val="00766F2A"/>
    <w:rsid w:val="00785981"/>
    <w:rsid w:val="007A097E"/>
    <w:rsid w:val="0080461A"/>
    <w:rsid w:val="00853BB0"/>
    <w:rsid w:val="00896261"/>
    <w:rsid w:val="008A4B54"/>
    <w:rsid w:val="0090530A"/>
    <w:rsid w:val="00926C46"/>
    <w:rsid w:val="00947997"/>
    <w:rsid w:val="00953079"/>
    <w:rsid w:val="00954C4D"/>
    <w:rsid w:val="0099658F"/>
    <w:rsid w:val="009C24D2"/>
    <w:rsid w:val="009D3925"/>
    <w:rsid w:val="009F0AF3"/>
    <w:rsid w:val="00A14605"/>
    <w:rsid w:val="00A26BD9"/>
    <w:rsid w:val="00A30547"/>
    <w:rsid w:val="00A40A7F"/>
    <w:rsid w:val="00A52138"/>
    <w:rsid w:val="00A80E22"/>
    <w:rsid w:val="00AA2E25"/>
    <w:rsid w:val="00AB1AF5"/>
    <w:rsid w:val="00AB5652"/>
    <w:rsid w:val="00AB7768"/>
    <w:rsid w:val="00AC1A5A"/>
    <w:rsid w:val="00AF1AEF"/>
    <w:rsid w:val="00B35BD8"/>
    <w:rsid w:val="00B57847"/>
    <w:rsid w:val="00BA1C18"/>
    <w:rsid w:val="00BB584D"/>
    <w:rsid w:val="00BD1A07"/>
    <w:rsid w:val="00BD24C7"/>
    <w:rsid w:val="00C128B9"/>
    <w:rsid w:val="00C2517E"/>
    <w:rsid w:val="00C33A39"/>
    <w:rsid w:val="00C343CA"/>
    <w:rsid w:val="00C347FE"/>
    <w:rsid w:val="00C44476"/>
    <w:rsid w:val="00C5274B"/>
    <w:rsid w:val="00C67C33"/>
    <w:rsid w:val="00C70C82"/>
    <w:rsid w:val="00C8279A"/>
    <w:rsid w:val="00CA1E1B"/>
    <w:rsid w:val="00CD71FF"/>
    <w:rsid w:val="00CE1366"/>
    <w:rsid w:val="00D77C8B"/>
    <w:rsid w:val="00D8362A"/>
    <w:rsid w:val="00DB31F3"/>
    <w:rsid w:val="00DC1FF0"/>
    <w:rsid w:val="00E21CDB"/>
    <w:rsid w:val="00EA4141"/>
    <w:rsid w:val="00ED5BD9"/>
    <w:rsid w:val="00F4193C"/>
    <w:rsid w:val="00F5770C"/>
    <w:rsid w:val="00F603B9"/>
    <w:rsid w:val="00FD396B"/>
    <w:rsid w:val="00FD3BDE"/>
    <w:rsid w:val="00FD5C6C"/>
    <w:rsid w:val="00FE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D9"/>
  </w:style>
  <w:style w:type="paragraph" w:styleId="Heading1">
    <w:name w:val="heading 1"/>
    <w:basedOn w:val="Normal"/>
    <w:next w:val="Normal"/>
    <w:link w:val="Heading1Char"/>
    <w:autoRedefine/>
    <w:uiPriority w:val="9"/>
    <w:qFormat/>
    <w:rsid w:val="00A40A7F"/>
    <w:pPr>
      <w:keepNext/>
      <w:keepLines/>
      <w:numPr>
        <w:numId w:val="18"/>
      </w:numPr>
      <w:spacing w:after="240" w:line="240" w:lineRule="auto"/>
      <w:ind w:left="720"/>
      <w:outlineLvl w:val="0"/>
    </w:pPr>
    <w:rPr>
      <w:rFonts w:ascii="Times New Roman Bold" w:eastAsia="Times New Roman"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ED5BD9"/>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unhideWhenUsed/>
    <w:qFormat/>
    <w:rsid w:val="006857BB"/>
    <w:pPr>
      <w:keepNext/>
      <w:keepLines/>
      <w:spacing w:after="240" w:line="240" w:lineRule="auto"/>
      <w:ind w:left="2160" w:right="720" w:hanging="720"/>
      <w:outlineLvl w:val="2"/>
    </w:pPr>
    <w:rPr>
      <w:rFonts w:ascii="Times New Roman Bold" w:eastAsiaTheme="majorEastAsia" w:hAnsi="Times New Roman Bold" w:cstheme="majorBidi"/>
      <w:b/>
      <w:bCs/>
      <w:sz w:val="24"/>
    </w:rPr>
  </w:style>
  <w:style w:type="paragraph" w:styleId="Heading4">
    <w:name w:val="heading 4"/>
    <w:basedOn w:val="Normal"/>
    <w:next w:val="Normal"/>
    <w:link w:val="Heading4Char"/>
    <w:autoRedefine/>
    <w:uiPriority w:val="9"/>
    <w:unhideWhenUsed/>
    <w:qFormat/>
    <w:rsid w:val="006857BB"/>
    <w:pPr>
      <w:keepNext/>
      <w:keepLines/>
      <w:spacing w:after="240" w:line="240" w:lineRule="auto"/>
      <w:ind w:left="2880" w:right="720" w:hanging="720"/>
      <w:outlineLvl w:val="3"/>
    </w:pPr>
    <w:rPr>
      <w:rFonts w:ascii="Times New Roman Bold" w:eastAsiaTheme="majorEastAsia" w:hAnsi="Times New Roman Bold" w:cstheme="majorBidi"/>
      <w:b/>
      <w:bCs/>
      <w:iCs/>
      <w:sz w:val="24"/>
    </w:rPr>
  </w:style>
  <w:style w:type="paragraph" w:styleId="Heading5">
    <w:name w:val="heading 5"/>
    <w:basedOn w:val="Normal"/>
    <w:next w:val="Normal"/>
    <w:link w:val="Heading5Char"/>
    <w:autoRedefine/>
    <w:uiPriority w:val="9"/>
    <w:unhideWhenUsed/>
    <w:qFormat/>
    <w:rsid w:val="006857BB"/>
    <w:pPr>
      <w:keepNext/>
      <w:keepLines/>
      <w:spacing w:after="240" w:line="240" w:lineRule="auto"/>
      <w:ind w:left="3600" w:right="720" w:hanging="720"/>
      <w:outlineLvl w:val="4"/>
    </w:pPr>
    <w:rPr>
      <w:rFonts w:ascii="Times New Roman Bold" w:eastAsiaTheme="majorEastAsia" w:hAnsi="Times New Roman Bold" w:cstheme="majorBidi"/>
      <w:b/>
      <w:sz w:val="24"/>
    </w:rPr>
  </w:style>
  <w:style w:type="paragraph" w:styleId="Heading6">
    <w:name w:val="heading 6"/>
    <w:basedOn w:val="Normal"/>
    <w:next w:val="Normal"/>
    <w:link w:val="Heading6Char"/>
    <w:autoRedefine/>
    <w:uiPriority w:val="9"/>
    <w:semiHidden/>
    <w:unhideWhenUsed/>
    <w:qFormat/>
    <w:rsid w:val="00ED5BD9"/>
    <w:pPr>
      <w:keepNext/>
      <w:keepLines/>
      <w:spacing w:after="240" w:line="240" w:lineRule="auto"/>
      <w:ind w:left="4320" w:hanging="720"/>
      <w:outlineLvl w:val="5"/>
    </w:pPr>
    <w:rPr>
      <w:rFonts w:ascii="Times New Roman Bold" w:eastAsiaTheme="majorEastAsia" w:hAnsi="Times New Roman Bold"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D9"/>
    <w:pPr>
      <w:ind w:left="720"/>
      <w:contextualSpacing/>
    </w:pPr>
  </w:style>
  <w:style w:type="character" w:customStyle="1" w:styleId="Heading1Char">
    <w:name w:val="Heading 1 Char"/>
    <w:basedOn w:val="DefaultParagraphFont"/>
    <w:link w:val="Heading1"/>
    <w:uiPriority w:val="9"/>
    <w:rsid w:val="00A40A7F"/>
    <w:rPr>
      <w:rFonts w:ascii="Times New Roman Bold" w:eastAsia="Times New Roman" w:hAnsi="Times New Roman Bold" w:cstheme="majorBidi"/>
      <w:b/>
      <w:bCs/>
      <w:caps/>
      <w:sz w:val="24"/>
      <w:szCs w:val="28"/>
    </w:rPr>
  </w:style>
  <w:style w:type="character" w:customStyle="1" w:styleId="Heading2Char">
    <w:name w:val="Heading 2 Char"/>
    <w:basedOn w:val="DefaultParagraphFont"/>
    <w:link w:val="Heading2"/>
    <w:uiPriority w:val="9"/>
    <w:rsid w:val="00ED5BD9"/>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6857BB"/>
    <w:rPr>
      <w:rFonts w:ascii="Times New Roman Bold" w:eastAsiaTheme="majorEastAsia" w:hAnsi="Times New Roman Bold" w:cstheme="majorBidi"/>
      <w:b/>
      <w:bCs/>
      <w:sz w:val="24"/>
    </w:rPr>
  </w:style>
  <w:style w:type="character" w:customStyle="1" w:styleId="Heading4Char">
    <w:name w:val="Heading 4 Char"/>
    <w:basedOn w:val="DefaultParagraphFont"/>
    <w:link w:val="Heading4"/>
    <w:uiPriority w:val="9"/>
    <w:rsid w:val="006857BB"/>
    <w:rPr>
      <w:rFonts w:ascii="Times New Roman Bold" w:eastAsiaTheme="majorEastAsia" w:hAnsi="Times New Roman Bold" w:cstheme="majorBidi"/>
      <w:b/>
      <w:bCs/>
      <w:iCs/>
      <w:sz w:val="24"/>
    </w:rPr>
  </w:style>
  <w:style w:type="character" w:customStyle="1" w:styleId="Heading5Char">
    <w:name w:val="Heading 5 Char"/>
    <w:basedOn w:val="DefaultParagraphFont"/>
    <w:link w:val="Heading5"/>
    <w:uiPriority w:val="9"/>
    <w:rsid w:val="006857BB"/>
    <w:rPr>
      <w:rFonts w:ascii="Times New Roman Bold" w:eastAsiaTheme="majorEastAsia" w:hAnsi="Times New Roman Bold" w:cstheme="majorBidi"/>
      <w:b/>
      <w:sz w:val="24"/>
    </w:rPr>
  </w:style>
  <w:style w:type="character" w:customStyle="1" w:styleId="Heading6Char">
    <w:name w:val="Heading 6 Char"/>
    <w:basedOn w:val="DefaultParagraphFont"/>
    <w:link w:val="Heading6"/>
    <w:uiPriority w:val="9"/>
    <w:semiHidden/>
    <w:rsid w:val="00ED5BD9"/>
    <w:rPr>
      <w:rFonts w:ascii="Times New Roman Bold" w:eastAsiaTheme="majorEastAsia" w:hAnsi="Times New Roman Bold" w:cstheme="majorBidi"/>
      <w:b/>
      <w:iCs/>
      <w:sz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1 Char1"/>
    <w:basedOn w:val="Normal"/>
    <w:link w:val="FootnoteTextChar"/>
    <w:uiPriority w:val="99"/>
    <w:unhideWhenUsed/>
    <w:rsid w:val="00ED5BD9"/>
    <w:pPr>
      <w:spacing w:after="0" w:line="240" w:lineRule="auto"/>
    </w:pPr>
    <w:rPr>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uiPriority w:val="99"/>
    <w:rsid w:val="00ED5BD9"/>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basedOn w:val="DefaultParagraphFont"/>
    <w:uiPriority w:val="99"/>
    <w:rsid w:val="00ED5BD9"/>
    <w:rPr>
      <w:vertAlign w:val="superscript"/>
    </w:rPr>
  </w:style>
  <w:style w:type="character" w:styleId="CommentReference">
    <w:name w:val="annotation reference"/>
    <w:basedOn w:val="DefaultParagraphFont"/>
    <w:uiPriority w:val="99"/>
    <w:semiHidden/>
    <w:unhideWhenUsed/>
    <w:rsid w:val="00ED5BD9"/>
    <w:rPr>
      <w:sz w:val="16"/>
      <w:szCs w:val="16"/>
    </w:rPr>
  </w:style>
  <w:style w:type="paragraph" w:styleId="CommentText">
    <w:name w:val="annotation text"/>
    <w:basedOn w:val="Normal"/>
    <w:link w:val="CommentTextChar"/>
    <w:uiPriority w:val="99"/>
    <w:unhideWhenUsed/>
    <w:rsid w:val="00ED5B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D5B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D9"/>
    <w:rPr>
      <w:rFonts w:ascii="Tahoma" w:hAnsi="Tahoma" w:cs="Tahoma"/>
      <w:sz w:val="16"/>
      <w:szCs w:val="16"/>
    </w:rPr>
  </w:style>
  <w:style w:type="paragraph" w:styleId="Footer">
    <w:name w:val="footer"/>
    <w:aliases w:val="Char1"/>
    <w:basedOn w:val="Normal"/>
    <w:link w:val="FooterChar"/>
    <w:uiPriority w:val="99"/>
    <w:rsid w:val="00896261"/>
    <w:pPr>
      <w:tabs>
        <w:tab w:val="left" w:pos="0"/>
        <w:tab w:val="left" w:pos="720"/>
        <w:tab w:val="center" w:pos="4320"/>
        <w:tab w:val="right" w:pos="8640"/>
      </w:tabs>
      <w:spacing w:after="0" w:line="480" w:lineRule="auto"/>
    </w:pPr>
    <w:rPr>
      <w:rFonts w:ascii="Times New Roman" w:eastAsia="Times New Roman" w:hAnsi="Times New Roman" w:cs="Times New Roman"/>
      <w:sz w:val="24"/>
      <w:szCs w:val="24"/>
    </w:rPr>
  </w:style>
  <w:style w:type="character" w:customStyle="1" w:styleId="FooterChar">
    <w:name w:val="Footer Char"/>
    <w:aliases w:val="Char1 Char"/>
    <w:basedOn w:val="DefaultParagraphFont"/>
    <w:link w:val="Footer"/>
    <w:uiPriority w:val="99"/>
    <w:rsid w:val="00896261"/>
    <w:rPr>
      <w:rFonts w:ascii="Times New Roman" w:eastAsia="Times New Roman" w:hAnsi="Times New Roman" w:cs="Times New Roman"/>
      <w:sz w:val="24"/>
      <w:szCs w:val="24"/>
    </w:rPr>
  </w:style>
  <w:style w:type="character" w:styleId="Hyperlink">
    <w:name w:val="Hyperlink"/>
    <w:uiPriority w:val="99"/>
    <w:rsid w:val="00896261"/>
    <w:rPr>
      <w:rFonts w:cs="Times New Roman"/>
      <w:color w:val="0000FF"/>
      <w:u w:val="single"/>
    </w:rPr>
  </w:style>
  <w:style w:type="paragraph" w:styleId="TOC1">
    <w:name w:val="toc 1"/>
    <w:basedOn w:val="Normal"/>
    <w:next w:val="Normal"/>
    <w:autoRedefine/>
    <w:uiPriority w:val="39"/>
    <w:unhideWhenUsed/>
    <w:qFormat/>
    <w:rsid w:val="00896261"/>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896261"/>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qFormat/>
    <w:rsid w:val="00896261"/>
    <w:pPr>
      <w:tabs>
        <w:tab w:val="decimal" w:leader="dot" w:pos="864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qFormat/>
    <w:rsid w:val="00896261"/>
    <w:pPr>
      <w:spacing w:after="240" w:line="240" w:lineRule="auto"/>
      <w:ind w:left="2880" w:hanging="720"/>
    </w:pPr>
    <w:rPr>
      <w:rFonts w:ascii="Times New Roman" w:hAnsi="Times New Roman"/>
      <w:sz w:val="24"/>
    </w:rPr>
  </w:style>
  <w:style w:type="paragraph" w:styleId="TOC5">
    <w:name w:val="toc 5"/>
    <w:basedOn w:val="Normal"/>
    <w:next w:val="Normal"/>
    <w:autoRedefine/>
    <w:uiPriority w:val="39"/>
    <w:unhideWhenUsed/>
    <w:qFormat/>
    <w:rsid w:val="00896261"/>
    <w:pPr>
      <w:spacing w:after="240" w:line="240" w:lineRule="auto"/>
      <w:ind w:left="3600" w:hanging="720"/>
    </w:pPr>
    <w:rPr>
      <w:rFonts w:ascii="Times New Roman" w:hAnsi="Times New Roman"/>
      <w:sz w:val="24"/>
    </w:rPr>
  </w:style>
  <w:style w:type="paragraph" w:styleId="Header">
    <w:name w:val="header"/>
    <w:basedOn w:val="Normal"/>
    <w:link w:val="HeaderChar"/>
    <w:uiPriority w:val="99"/>
    <w:unhideWhenUsed/>
    <w:rsid w:val="0067615D"/>
    <w:pPr>
      <w:tabs>
        <w:tab w:val="center" w:pos="4680"/>
        <w:tab w:val="right" w:pos="9360"/>
      </w:tabs>
      <w:spacing w:after="0" w:line="240" w:lineRule="auto"/>
    </w:pPr>
  </w:style>
  <w:style w:type="paragraph" w:styleId="TOC6">
    <w:name w:val="toc 6"/>
    <w:basedOn w:val="Normal"/>
    <w:next w:val="Normal"/>
    <w:autoRedefine/>
    <w:uiPriority w:val="39"/>
    <w:semiHidden/>
    <w:unhideWhenUsed/>
    <w:qFormat/>
    <w:rsid w:val="00896261"/>
    <w:pPr>
      <w:spacing w:after="240" w:line="240" w:lineRule="auto"/>
      <w:ind w:left="3600" w:hanging="720"/>
    </w:pPr>
    <w:rPr>
      <w:rFonts w:ascii="Times New Roman" w:hAnsi="Times New Roman"/>
      <w:sz w:val="24"/>
    </w:rPr>
  </w:style>
  <w:style w:type="character" w:customStyle="1" w:styleId="HeaderChar">
    <w:name w:val="Header Char"/>
    <w:basedOn w:val="DefaultParagraphFont"/>
    <w:link w:val="Header"/>
    <w:uiPriority w:val="99"/>
    <w:rsid w:val="0067615D"/>
  </w:style>
  <w:style w:type="character" w:styleId="PageNumber">
    <w:name w:val="page number"/>
    <w:uiPriority w:val="99"/>
    <w:rsid w:val="00650D00"/>
    <w:rPr>
      <w:rFonts w:cs="Times New Roman"/>
    </w:rPr>
  </w:style>
  <w:style w:type="paragraph" w:styleId="BodyTextIndent3">
    <w:name w:val="Body Text Indent 3"/>
    <w:basedOn w:val="Normal"/>
    <w:link w:val="BodyTextIndent3Char"/>
    <w:uiPriority w:val="99"/>
    <w:rsid w:val="00650D00"/>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uiPriority w:val="99"/>
    <w:rsid w:val="00650D0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0170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170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D9"/>
  </w:style>
  <w:style w:type="paragraph" w:styleId="Heading1">
    <w:name w:val="heading 1"/>
    <w:basedOn w:val="Normal"/>
    <w:next w:val="Normal"/>
    <w:link w:val="Heading1Char"/>
    <w:autoRedefine/>
    <w:uiPriority w:val="9"/>
    <w:qFormat/>
    <w:rsid w:val="00A40A7F"/>
    <w:pPr>
      <w:keepNext/>
      <w:keepLines/>
      <w:numPr>
        <w:numId w:val="18"/>
      </w:numPr>
      <w:spacing w:after="240" w:line="240" w:lineRule="auto"/>
      <w:ind w:left="720"/>
      <w:outlineLvl w:val="0"/>
    </w:pPr>
    <w:rPr>
      <w:rFonts w:ascii="Times New Roman Bold" w:eastAsia="Times New Roman"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ED5BD9"/>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unhideWhenUsed/>
    <w:qFormat/>
    <w:rsid w:val="006857BB"/>
    <w:pPr>
      <w:keepNext/>
      <w:keepLines/>
      <w:spacing w:after="240" w:line="240" w:lineRule="auto"/>
      <w:ind w:left="2160" w:right="720" w:hanging="720"/>
      <w:outlineLvl w:val="2"/>
    </w:pPr>
    <w:rPr>
      <w:rFonts w:ascii="Times New Roman Bold" w:eastAsiaTheme="majorEastAsia" w:hAnsi="Times New Roman Bold" w:cstheme="majorBidi"/>
      <w:b/>
      <w:bCs/>
      <w:sz w:val="24"/>
    </w:rPr>
  </w:style>
  <w:style w:type="paragraph" w:styleId="Heading4">
    <w:name w:val="heading 4"/>
    <w:basedOn w:val="Normal"/>
    <w:next w:val="Normal"/>
    <w:link w:val="Heading4Char"/>
    <w:autoRedefine/>
    <w:uiPriority w:val="9"/>
    <w:unhideWhenUsed/>
    <w:qFormat/>
    <w:rsid w:val="006857BB"/>
    <w:pPr>
      <w:keepNext/>
      <w:keepLines/>
      <w:spacing w:after="240" w:line="240" w:lineRule="auto"/>
      <w:ind w:left="2880" w:right="720" w:hanging="720"/>
      <w:outlineLvl w:val="3"/>
    </w:pPr>
    <w:rPr>
      <w:rFonts w:ascii="Times New Roman Bold" w:eastAsiaTheme="majorEastAsia" w:hAnsi="Times New Roman Bold" w:cstheme="majorBidi"/>
      <w:b/>
      <w:bCs/>
      <w:iCs/>
      <w:sz w:val="24"/>
    </w:rPr>
  </w:style>
  <w:style w:type="paragraph" w:styleId="Heading5">
    <w:name w:val="heading 5"/>
    <w:basedOn w:val="Normal"/>
    <w:next w:val="Normal"/>
    <w:link w:val="Heading5Char"/>
    <w:autoRedefine/>
    <w:uiPriority w:val="9"/>
    <w:unhideWhenUsed/>
    <w:qFormat/>
    <w:rsid w:val="006857BB"/>
    <w:pPr>
      <w:keepNext/>
      <w:keepLines/>
      <w:spacing w:after="240" w:line="240" w:lineRule="auto"/>
      <w:ind w:left="3600" w:right="720" w:hanging="720"/>
      <w:outlineLvl w:val="4"/>
    </w:pPr>
    <w:rPr>
      <w:rFonts w:ascii="Times New Roman Bold" w:eastAsiaTheme="majorEastAsia" w:hAnsi="Times New Roman Bold" w:cstheme="majorBidi"/>
      <w:b/>
      <w:sz w:val="24"/>
    </w:rPr>
  </w:style>
  <w:style w:type="paragraph" w:styleId="Heading6">
    <w:name w:val="heading 6"/>
    <w:basedOn w:val="Normal"/>
    <w:next w:val="Normal"/>
    <w:link w:val="Heading6Char"/>
    <w:autoRedefine/>
    <w:uiPriority w:val="9"/>
    <w:semiHidden/>
    <w:unhideWhenUsed/>
    <w:qFormat/>
    <w:rsid w:val="00ED5BD9"/>
    <w:pPr>
      <w:keepNext/>
      <w:keepLines/>
      <w:spacing w:after="240" w:line="240" w:lineRule="auto"/>
      <w:ind w:left="4320" w:hanging="720"/>
      <w:outlineLvl w:val="5"/>
    </w:pPr>
    <w:rPr>
      <w:rFonts w:ascii="Times New Roman Bold" w:eastAsiaTheme="majorEastAsia" w:hAnsi="Times New Roman Bold"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D9"/>
    <w:pPr>
      <w:ind w:left="720"/>
      <w:contextualSpacing/>
    </w:pPr>
  </w:style>
  <w:style w:type="character" w:customStyle="1" w:styleId="Heading1Char">
    <w:name w:val="Heading 1 Char"/>
    <w:basedOn w:val="DefaultParagraphFont"/>
    <w:link w:val="Heading1"/>
    <w:uiPriority w:val="9"/>
    <w:rsid w:val="00A40A7F"/>
    <w:rPr>
      <w:rFonts w:ascii="Times New Roman Bold" w:eastAsia="Times New Roman" w:hAnsi="Times New Roman Bold" w:cstheme="majorBidi"/>
      <w:b/>
      <w:bCs/>
      <w:caps/>
      <w:sz w:val="24"/>
      <w:szCs w:val="28"/>
    </w:rPr>
  </w:style>
  <w:style w:type="character" w:customStyle="1" w:styleId="Heading2Char">
    <w:name w:val="Heading 2 Char"/>
    <w:basedOn w:val="DefaultParagraphFont"/>
    <w:link w:val="Heading2"/>
    <w:uiPriority w:val="9"/>
    <w:rsid w:val="00ED5BD9"/>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6857BB"/>
    <w:rPr>
      <w:rFonts w:ascii="Times New Roman Bold" w:eastAsiaTheme="majorEastAsia" w:hAnsi="Times New Roman Bold" w:cstheme="majorBidi"/>
      <w:b/>
      <w:bCs/>
      <w:sz w:val="24"/>
    </w:rPr>
  </w:style>
  <w:style w:type="character" w:customStyle="1" w:styleId="Heading4Char">
    <w:name w:val="Heading 4 Char"/>
    <w:basedOn w:val="DefaultParagraphFont"/>
    <w:link w:val="Heading4"/>
    <w:uiPriority w:val="9"/>
    <w:rsid w:val="006857BB"/>
    <w:rPr>
      <w:rFonts w:ascii="Times New Roman Bold" w:eastAsiaTheme="majorEastAsia" w:hAnsi="Times New Roman Bold" w:cstheme="majorBidi"/>
      <w:b/>
      <w:bCs/>
      <w:iCs/>
      <w:sz w:val="24"/>
    </w:rPr>
  </w:style>
  <w:style w:type="character" w:customStyle="1" w:styleId="Heading5Char">
    <w:name w:val="Heading 5 Char"/>
    <w:basedOn w:val="DefaultParagraphFont"/>
    <w:link w:val="Heading5"/>
    <w:uiPriority w:val="9"/>
    <w:rsid w:val="006857BB"/>
    <w:rPr>
      <w:rFonts w:ascii="Times New Roman Bold" w:eastAsiaTheme="majorEastAsia" w:hAnsi="Times New Roman Bold" w:cstheme="majorBidi"/>
      <w:b/>
      <w:sz w:val="24"/>
    </w:rPr>
  </w:style>
  <w:style w:type="character" w:customStyle="1" w:styleId="Heading6Char">
    <w:name w:val="Heading 6 Char"/>
    <w:basedOn w:val="DefaultParagraphFont"/>
    <w:link w:val="Heading6"/>
    <w:uiPriority w:val="9"/>
    <w:semiHidden/>
    <w:rsid w:val="00ED5BD9"/>
    <w:rPr>
      <w:rFonts w:ascii="Times New Roman Bold" w:eastAsiaTheme="majorEastAsia" w:hAnsi="Times New Roman Bold" w:cstheme="majorBidi"/>
      <w:b/>
      <w:iCs/>
      <w:sz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1 Char1"/>
    <w:basedOn w:val="Normal"/>
    <w:link w:val="FootnoteTextChar"/>
    <w:uiPriority w:val="99"/>
    <w:unhideWhenUsed/>
    <w:rsid w:val="00ED5BD9"/>
    <w:pPr>
      <w:spacing w:after="0" w:line="240" w:lineRule="auto"/>
    </w:pPr>
    <w:rPr>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uiPriority w:val="99"/>
    <w:rsid w:val="00ED5BD9"/>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basedOn w:val="DefaultParagraphFont"/>
    <w:uiPriority w:val="99"/>
    <w:rsid w:val="00ED5BD9"/>
    <w:rPr>
      <w:vertAlign w:val="superscript"/>
    </w:rPr>
  </w:style>
  <w:style w:type="character" w:styleId="CommentReference">
    <w:name w:val="annotation reference"/>
    <w:basedOn w:val="DefaultParagraphFont"/>
    <w:uiPriority w:val="99"/>
    <w:semiHidden/>
    <w:unhideWhenUsed/>
    <w:rsid w:val="00ED5BD9"/>
    <w:rPr>
      <w:sz w:val="16"/>
      <w:szCs w:val="16"/>
    </w:rPr>
  </w:style>
  <w:style w:type="paragraph" w:styleId="CommentText">
    <w:name w:val="annotation text"/>
    <w:basedOn w:val="Normal"/>
    <w:link w:val="CommentTextChar"/>
    <w:uiPriority w:val="99"/>
    <w:unhideWhenUsed/>
    <w:rsid w:val="00ED5B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D5B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D9"/>
    <w:rPr>
      <w:rFonts w:ascii="Tahoma" w:hAnsi="Tahoma" w:cs="Tahoma"/>
      <w:sz w:val="16"/>
      <w:szCs w:val="16"/>
    </w:rPr>
  </w:style>
  <w:style w:type="paragraph" w:styleId="Footer">
    <w:name w:val="footer"/>
    <w:aliases w:val="Char1"/>
    <w:basedOn w:val="Normal"/>
    <w:link w:val="FooterChar"/>
    <w:uiPriority w:val="99"/>
    <w:rsid w:val="00896261"/>
    <w:pPr>
      <w:tabs>
        <w:tab w:val="left" w:pos="0"/>
        <w:tab w:val="left" w:pos="720"/>
        <w:tab w:val="center" w:pos="4320"/>
        <w:tab w:val="right" w:pos="8640"/>
      </w:tabs>
      <w:spacing w:after="0" w:line="480" w:lineRule="auto"/>
    </w:pPr>
    <w:rPr>
      <w:rFonts w:ascii="Times New Roman" w:eastAsia="Times New Roman" w:hAnsi="Times New Roman" w:cs="Times New Roman"/>
      <w:sz w:val="24"/>
      <w:szCs w:val="24"/>
    </w:rPr>
  </w:style>
  <w:style w:type="character" w:customStyle="1" w:styleId="FooterChar">
    <w:name w:val="Footer Char"/>
    <w:aliases w:val="Char1 Char"/>
    <w:basedOn w:val="DefaultParagraphFont"/>
    <w:link w:val="Footer"/>
    <w:uiPriority w:val="99"/>
    <w:rsid w:val="00896261"/>
    <w:rPr>
      <w:rFonts w:ascii="Times New Roman" w:eastAsia="Times New Roman" w:hAnsi="Times New Roman" w:cs="Times New Roman"/>
      <w:sz w:val="24"/>
      <w:szCs w:val="24"/>
    </w:rPr>
  </w:style>
  <w:style w:type="character" w:styleId="Hyperlink">
    <w:name w:val="Hyperlink"/>
    <w:uiPriority w:val="99"/>
    <w:rsid w:val="00896261"/>
    <w:rPr>
      <w:rFonts w:cs="Times New Roman"/>
      <w:color w:val="0000FF"/>
      <w:u w:val="single"/>
    </w:rPr>
  </w:style>
  <w:style w:type="paragraph" w:styleId="TOC1">
    <w:name w:val="toc 1"/>
    <w:basedOn w:val="Normal"/>
    <w:next w:val="Normal"/>
    <w:autoRedefine/>
    <w:uiPriority w:val="39"/>
    <w:unhideWhenUsed/>
    <w:qFormat/>
    <w:rsid w:val="00896261"/>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896261"/>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qFormat/>
    <w:rsid w:val="00896261"/>
    <w:pPr>
      <w:tabs>
        <w:tab w:val="decimal" w:leader="dot" w:pos="864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qFormat/>
    <w:rsid w:val="00896261"/>
    <w:pPr>
      <w:spacing w:after="240" w:line="240" w:lineRule="auto"/>
      <w:ind w:left="2880" w:hanging="720"/>
    </w:pPr>
    <w:rPr>
      <w:rFonts w:ascii="Times New Roman" w:hAnsi="Times New Roman"/>
      <w:sz w:val="24"/>
    </w:rPr>
  </w:style>
  <w:style w:type="paragraph" w:styleId="TOC5">
    <w:name w:val="toc 5"/>
    <w:basedOn w:val="Normal"/>
    <w:next w:val="Normal"/>
    <w:autoRedefine/>
    <w:uiPriority w:val="39"/>
    <w:unhideWhenUsed/>
    <w:qFormat/>
    <w:rsid w:val="00896261"/>
    <w:pPr>
      <w:spacing w:after="240" w:line="240" w:lineRule="auto"/>
      <w:ind w:left="3600" w:hanging="720"/>
    </w:pPr>
    <w:rPr>
      <w:rFonts w:ascii="Times New Roman" w:hAnsi="Times New Roman"/>
      <w:sz w:val="24"/>
    </w:rPr>
  </w:style>
  <w:style w:type="paragraph" w:styleId="Header">
    <w:name w:val="header"/>
    <w:basedOn w:val="Normal"/>
    <w:link w:val="HeaderChar"/>
    <w:uiPriority w:val="99"/>
    <w:unhideWhenUsed/>
    <w:rsid w:val="0067615D"/>
    <w:pPr>
      <w:tabs>
        <w:tab w:val="center" w:pos="4680"/>
        <w:tab w:val="right" w:pos="9360"/>
      </w:tabs>
      <w:spacing w:after="0" w:line="240" w:lineRule="auto"/>
    </w:pPr>
  </w:style>
  <w:style w:type="paragraph" w:styleId="TOC6">
    <w:name w:val="toc 6"/>
    <w:basedOn w:val="Normal"/>
    <w:next w:val="Normal"/>
    <w:autoRedefine/>
    <w:uiPriority w:val="39"/>
    <w:semiHidden/>
    <w:unhideWhenUsed/>
    <w:qFormat/>
    <w:rsid w:val="00896261"/>
    <w:pPr>
      <w:spacing w:after="240" w:line="240" w:lineRule="auto"/>
      <w:ind w:left="3600" w:hanging="720"/>
    </w:pPr>
    <w:rPr>
      <w:rFonts w:ascii="Times New Roman" w:hAnsi="Times New Roman"/>
      <w:sz w:val="24"/>
    </w:rPr>
  </w:style>
  <w:style w:type="character" w:customStyle="1" w:styleId="HeaderChar">
    <w:name w:val="Header Char"/>
    <w:basedOn w:val="DefaultParagraphFont"/>
    <w:link w:val="Header"/>
    <w:uiPriority w:val="99"/>
    <w:rsid w:val="0067615D"/>
  </w:style>
  <w:style w:type="character" w:styleId="PageNumber">
    <w:name w:val="page number"/>
    <w:uiPriority w:val="99"/>
    <w:rsid w:val="00650D00"/>
    <w:rPr>
      <w:rFonts w:cs="Times New Roman"/>
    </w:rPr>
  </w:style>
  <w:style w:type="paragraph" w:styleId="BodyTextIndent3">
    <w:name w:val="Body Text Indent 3"/>
    <w:basedOn w:val="Normal"/>
    <w:link w:val="BodyTextIndent3Char"/>
    <w:uiPriority w:val="99"/>
    <w:rsid w:val="00650D00"/>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uiPriority w:val="99"/>
    <w:rsid w:val="00650D0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0170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17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7327">
      <w:bodyDiv w:val="1"/>
      <w:marLeft w:val="0"/>
      <w:marRight w:val="0"/>
      <w:marTop w:val="0"/>
      <w:marBottom w:val="0"/>
      <w:divBdr>
        <w:top w:val="none" w:sz="0" w:space="0" w:color="auto"/>
        <w:left w:val="none" w:sz="0" w:space="0" w:color="auto"/>
        <w:bottom w:val="none" w:sz="0" w:space="0" w:color="auto"/>
        <w:right w:val="none" w:sz="0" w:space="0" w:color="auto"/>
      </w:divBdr>
    </w:div>
    <w:div w:id="981277256">
      <w:bodyDiv w:val="1"/>
      <w:marLeft w:val="0"/>
      <w:marRight w:val="0"/>
      <w:marTop w:val="0"/>
      <w:marBottom w:val="0"/>
      <w:divBdr>
        <w:top w:val="none" w:sz="0" w:space="0" w:color="auto"/>
        <w:left w:val="none" w:sz="0" w:space="0" w:color="auto"/>
        <w:bottom w:val="none" w:sz="0" w:space="0" w:color="auto"/>
        <w:right w:val="none" w:sz="0" w:space="0" w:color="auto"/>
      </w:divBdr>
    </w:div>
    <w:div w:id="17896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borchers@bricker.com" TargetMode="External"/><Relationship Id="rId26" Type="http://schemas.openxmlformats.org/officeDocument/2006/relationships/hyperlink" Target="mailto:dstinson@bricker.com" TargetMode="External"/><Relationship Id="rId39" Type="http://schemas.openxmlformats.org/officeDocument/2006/relationships/hyperlink" Target="mailto:Judi.sobecki@aes.com" TargetMode="External"/><Relationship Id="rId21" Type="http://schemas.openxmlformats.org/officeDocument/2006/relationships/footer" Target="footer4.xml"/><Relationship Id="rId34" Type="http://schemas.openxmlformats.org/officeDocument/2006/relationships/hyperlink" Target="mailto:Ryan.orourke@puc.state.oh.us" TargetMode="External"/><Relationship Id="rId42" Type="http://schemas.openxmlformats.org/officeDocument/2006/relationships/hyperlink" Target="mailto:cmooney@ohiopartners.org" TargetMode="External"/><Relationship Id="rId47" Type="http://schemas.openxmlformats.org/officeDocument/2006/relationships/hyperlink" Target="mailto:mkimbrough@keglerbrown.com" TargetMode="External"/><Relationship Id="rId50" Type="http://schemas.openxmlformats.org/officeDocument/2006/relationships/hyperlink" Target="mailto:mjsettineri@vorys.com" TargetMode="External"/><Relationship Id="rId55" Type="http://schemas.openxmlformats.org/officeDocument/2006/relationships/hyperlink" Target="mailto:Christine.pirik@puc.state.oh.us" TargetMode="External"/><Relationship Id="rId63" Type="http://schemas.openxmlformats.org/officeDocument/2006/relationships/hyperlink" Target="mailto:scasto@firstenergycorp.com" TargetMode="External"/><Relationship Id="rId68" Type="http://schemas.openxmlformats.org/officeDocument/2006/relationships/hyperlink" Target="mailto:fdarr@mwncmh.com" TargetMode="External"/><Relationship Id="rId76" Type="http://schemas.openxmlformats.org/officeDocument/2006/relationships/hyperlink" Target="mailto:swilliams@nrdc.org" TargetMode="External"/><Relationship Id="rId84" Type="http://schemas.openxmlformats.org/officeDocument/2006/relationships/hyperlink" Target="mailto:bchisling@stblaw.com"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tdougherty@theOEC.org"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yperlink" Target="mailto:Joseph.serio@occ.ohio.gov" TargetMode="External"/><Relationship Id="rId32" Type="http://schemas.openxmlformats.org/officeDocument/2006/relationships/hyperlink" Target="mailto:Steven.beeler@puc.state.oh.us" TargetMode="External"/><Relationship Id="rId37" Type="http://schemas.openxmlformats.org/officeDocument/2006/relationships/hyperlink" Target="mailto:jkylercohn@BKLlawfirm.com" TargetMode="External"/><Relationship Id="rId40" Type="http://schemas.openxmlformats.org/officeDocument/2006/relationships/hyperlink" Target="mailto:Bojko@carpenterlipps.com" TargetMode="External"/><Relationship Id="rId45" Type="http://schemas.openxmlformats.org/officeDocument/2006/relationships/hyperlink" Target="mailto:yalami@aep.com" TargetMode="External"/><Relationship Id="rId53" Type="http://schemas.openxmlformats.org/officeDocument/2006/relationships/hyperlink" Target="mailto:mtraven@ralaw.com" TargetMode="External"/><Relationship Id="rId58" Type="http://schemas.openxmlformats.org/officeDocument/2006/relationships/hyperlink" Target="mailto:Elizabeth.watts@duke-energy.com" TargetMode="External"/><Relationship Id="rId66" Type="http://schemas.openxmlformats.org/officeDocument/2006/relationships/hyperlink" Target="mailto:joseph.clark@directenergy.com" TargetMode="External"/><Relationship Id="rId74" Type="http://schemas.openxmlformats.org/officeDocument/2006/relationships/hyperlink" Target="mailto:schler@carpenterlipps.com" TargetMode="External"/><Relationship Id="rId79" Type="http://schemas.openxmlformats.org/officeDocument/2006/relationships/hyperlink" Target="mailto:jvickers@elpc.org" TargetMode="External"/><Relationship Id="rId87"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mailto:haydenm@firstenergycorp.com" TargetMode="External"/><Relationship Id="rId82" Type="http://schemas.openxmlformats.org/officeDocument/2006/relationships/hyperlink" Target="mailto:dborchers@bricker.com" TargetMode="External"/><Relationship Id="rId90" Type="http://schemas.openxmlformats.org/officeDocument/2006/relationships/theme" Target="theme/theme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Joseph.serio@occ.ohio.gov"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dborchers@bricker.com" TargetMode="External"/><Relationship Id="rId30" Type="http://schemas.openxmlformats.org/officeDocument/2006/relationships/header" Target="header9.xml"/><Relationship Id="rId35" Type="http://schemas.openxmlformats.org/officeDocument/2006/relationships/hyperlink" Target="mailto:dboehm@BKLlawfirm.com" TargetMode="External"/><Relationship Id="rId43" Type="http://schemas.openxmlformats.org/officeDocument/2006/relationships/hyperlink" Target="mailto:stnourse@aep.com" TargetMode="External"/><Relationship Id="rId48" Type="http://schemas.openxmlformats.org/officeDocument/2006/relationships/hyperlink" Target="mailto:hussey@carpenterlipps.com" TargetMode="External"/><Relationship Id="rId56" Type="http://schemas.openxmlformats.org/officeDocument/2006/relationships/hyperlink" Target="mailto:Nicholas.walstra@puc.state.oh.us" TargetMode="External"/><Relationship Id="rId64" Type="http://schemas.openxmlformats.org/officeDocument/2006/relationships/hyperlink" Target="mailto:joliker@igsenergy.com" TargetMode="External"/><Relationship Id="rId69" Type="http://schemas.openxmlformats.org/officeDocument/2006/relationships/hyperlink" Target="mailto:mpritchard@mwncmh.com" TargetMode="External"/><Relationship Id="rId77" Type="http://schemas.openxmlformats.org/officeDocument/2006/relationships/hyperlink" Target="mailto:tobrien@bricker.com" TargetMode="External"/><Relationship Id="rId8" Type="http://schemas.openxmlformats.org/officeDocument/2006/relationships/hyperlink" Target="mailto:Maureen.grady@occ.ohio.gov" TargetMode="External"/><Relationship Id="rId51" Type="http://schemas.openxmlformats.org/officeDocument/2006/relationships/hyperlink" Target="mailto:glpetrucci@vorys.com" TargetMode="External"/><Relationship Id="rId72" Type="http://schemas.openxmlformats.org/officeDocument/2006/relationships/hyperlink" Target="mailto:dhart@douglasehart.com" TargetMode="External"/><Relationship Id="rId80" Type="http://schemas.openxmlformats.org/officeDocument/2006/relationships/hyperlink" Target="mailto:tony.mendoza@sierraclub.org" TargetMode="External"/><Relationship Id="rId85" Type="http://schemas.openxmlformats.org/officeDocument/2006/relationships/header" Target="header10.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mailto:dstinson@bricker.com" TargetMode="External"/><Relationship Id="rId25" Type="http://schemas.openxmlformats.org/officeDocument/2006/relationships/hyperlink" Target="mailto:Edmund.berger@occ.ohio.gov" TargetMode="External"/><Relationship Id="rId33" Type="http://schemas.openxmlformats.org/officeDocument/2006/relationships/hyperlink" Target="mailto:Thomas.lindgren@puc.state.oh.us" TargetMode="External"/><Relationship Id="rId38" Type="http://schemas.openxmlformats.org/officeDocument/2006/relationships/hyperlink" Target="mailto:Schmidt@sppgrp.com" TargetMode="External"/><Relationship Id="rId46" Type="http://schemas.openxmlformats.org/officeDocument/2006/relationships/hyperlink" Target="mailto:asonderman@keglerbrown.com" TargetMode="External"/><Relationship Id="rId59" Type="http://schemas.openxmlformats.org/officeDocument/2006/relationships/hyperlink" Target="mailto:Rocco.dascenzo@duke-energy.com" TargetMode="External"/><Relationship Id="rId67" Type="http://schemas.openxmlformats.org/officeDocument/2006/relationships/hyperlink" Target="mailto:sam@mwncmh.com" TargetMode="External"/><Relationship Id="rId20" Type="http://schemas.openxmlformats.org/officeDocument/2006/relationships/header" Target="header5.xml"/><Relationship Id="rId41" Type="http://schemas.openxmlformats.org/officeDocument/2006/relationships/hyperlink" Target="mailto:Allison@carpenterlipps.com" TargetMode="External"/><Relationship Id="rId54" Type="http://schemas.openxmlformats.org/officeDocument/2006/relationships/hyperlink" Target="mailto:rchamberlain@okenergylaw.com" TargetMode="External"/><Relationship Id="rId62" Type="http://schemas.openxmlformats.org/officeDocument/2006/relationships/hyperlink" Target="mailto:jmcdermott@firstenergycorp.com" TargetMode="External"/><Relationship Id="rId70" Type="http://schemas.openxmlformats.org/officeDocument/2006/relationships/hyperlink" Target="mailto:callwein@wamenergylaw.com" TargetMode="External"/><Relationship Id="rId75" Type="http://schemas.openxmlformats.org/officeDocument/2006/relationships/hyperlink" Target="mailto:gpoulos@enernoc.com" TargetMode="External"/><Relationship Id="rId83" Type="http://schemas.openxmlformats.org/officeDocument/2006/relationships/hyperlink" Target="mailto:mcastiglione@stblaw.com" TargetMode="External"/><Relationship Id="rId88"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Maureen.grady@occ.ohio.gov" TargetMode="External"/><Relationship Id="rId28" Type="http://schemas.openxmlformats.org/officeDocument/2006/relationships/header" Target="header7.xml"/><Relationship Id="rId36" Type="http://schemas.openxmlformats.org/officeDocument/2006/relationships/hyperlink" Target="mailto:mkurtz@BKLlawfirm.com" TargetMode="External"/><Relationship Id="rId49" Type="http://schemas.openxmlformats.org/officeDocument/2006/relationships/hyperlink" Target="mailto:mhpetricoff@vorys.com" TargetMode="External"/><Relationship Id="rId57" Type="http://schemas.openxmlformats.org/officeDocument/2006/relationships/hyperlink" Target="mailto:Amy.Spiller@duke-energy.com" TargetMode="External"/><Relationship Id="rId10" Type="http://schemas.openxmlformats.org/officeDocument/2006/relationships/hyperlink" Target="mailto:Edmund.berger@occ.ohio.gov" TargetMode="External"/><Relationship Id="rId31" Type="http://schemas.openxmlformats.org/officeDocument/2006/relationships/footer" Target="footer5.xml"/><Relationship Id="rId44" Type="http://schemas.openxmlformats.org/officeDocument/2006/relationships/hyperlink" Target="mailto:mjsatterwhite@aep.com" TargetMode="External"/><Relationship Id="rId52" Type="http://schemas.openxmlformats.org/officeDocument/2006/relationships/hyperlink" Target="mailto:dmason@ralaw.com" TargetMode="External"/><Relationship Id="rId60" Type="http://schemas.openxmlformats.org/officeDocument/2006/relationships/hyperlink" Target="mailto:Jeanne.Kingery@duke-energy.com" TargetMode="External"/><Relationship Id="rId65" Type="http://schemas.openxmlformats.org/officeDocument/2006/relationships/hyperlink" Target="mailto:mswhite@igsenergy.com" TargetMode="External"/><Relationship Id="rId73" Type="http://schemas.openxmlformats.org/officeDocument/2006/relationships/hyperlink" Target="mailto:cloucas@ohiopartners.org" TargetMode="External"/><Relationship Id="rId78" Type="http://schemas.openxmlformats.org/officeDocument/2006/relationships/hyperlink" Target="mailto:ghull@eckertseamans.com" TargetMode="External"/><Relationship Id="rId81" Type="http://schemas.openxmlformats.org/officeDocument/2006/relationships/hyperlink" Target="mailto:dstinson@bricker.com" TargetMode="External"/><Relationship Id="rId86"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14205</Words>
  <Characters>75219</Characters>
  <Application>Microsoft Office Word</Application>
  <DocSecurity>0</DocSecurity>
  <Lines>1469</Lines>
  <Paragraphs>411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89148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2014-12-29T19:14:00Z</cp:lastPrinted>
  <dcterms:created xsi:type="dcterms:W3CDTF">2014-12-29T21:42:00Z</dcterms:created>
  <dcterms:modified xsi:type="dcterms:W3CDTF">2014-12-29T21:42:00Z</dcterms:modified>
  <cp:category> </cp:category>
  <cp:contentStatus> </cp:contentStatus>
</cp:coreProperties>
</file>