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118C3" w:rsidP="001118C3" w14:paraId="1006B723"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1118C3" w:rsidP="001118C3" w14:paraId="6CAC6BFD"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1118C3" w:rsidP="001118C3" w14:paraId="2DB7C48B" w14:textId="77777777">
      <w:pPr>
        <w:pStyle w:val="HTMLPreformatted"/>
        <w:rPr>
          <w:rFonts w:ascii="Times New Roman" w:hAnsi="Times New Roman"/>
          <w:sz w:val="24"/>
        </w:rPr>
      </w:pPr>
    </w:p>
    <w:tbl>
      <w:tblPr>
        <w:tblW w:w="8640" w:type="dxa"/>
        <w:tblLook w:val="01E0"/>
      </w:tblPr>
      <w:tblGrid>
        <w:gridCol w:w="4230"/>
        <w:gridCol w:w="450"/>
        <w:gridCol w:w="3960"/>
      </w:tblGrid>
      <w:tr w14:paraId="28B512D2" w14:textId="77777777" w:rsidTr="00CE52CB">
        <w:tblPrEx>
          <w:tblW w:w="8640" w:type="dxa"/>
          <w:tblLook w:val="01E0"/>
        </w:tblPrEx>
        <w:trPr>
          <w:trHeight w:val="807"/>
        </w:trPr>
        <w:tc>
          <w:tcPr>
            <w:tcW w:w="4230" w:type="dxa"/>
            <w:shd w:val="clear" w:color="auto" w:fill="auto"/>
          </w:tcPr>
          <w:p w:rsidR="001118C3" w:rsidRPr="00A044B5" w:rsidP="0075676B" w14:paraId="7DFBD73E" w14:textId="20EA7BE9">
            <w:pPr>
              <w:pStyle w:val="HTMLPreformatted"/>
              <w:rPr>
                <w:rFonts w:ascii="Times New Roman" w:hAnsi="Times New Roman"/>
                <w:sz w:val="24"/>
                <w:szCs w:val="24"/>
              </w:rPr>
            </w:pPr>
            <w:r>
              <w:rPr>
                <w:rFonts w:ascii="Times New Roman" w:hAnsi="Times New Roman" w:cs="Times New Roman"/>
                <w:sz w:val="24"/>
                <w:szCs w:val="24"/>
              </w:rPr>
              <w:t xml:space="preserve">In the Matter of the Application of Duke Energy Ohio, Inc., for </w:t>
            </w:r>
            <w:r w:rsidR="00FE3C75">
              <w:rPr>
                <w:rFonts w:ascii="Times New Roman" w:hAnsi="Times New Roman" w:cs="Times New Roman"/>
                <w:sz w:val="24"/>
                <w:szCs w:val="24"/>
              </w:rPr>
              <w:t>Authority to Change Accounting Methods</w:t>
            </w:r>
            <w:r>
              <w:rPr>
                <w:rFonts w:ascii="Times New Roman" w:hAnsi="Times New Roman" w:cs="Times New Roman"/>
                <w:sz w:val="24"/>
                <w:szCs w:val="24"/>
              </w:rPr>
              <w:t xml:space="preserve">. </w:t>
            </w:r>
          </w:p>
        </w:tc>
        <w:tc>
          <w:tcPr>
            <w:tcW w:w="450" w:type="dxa"/>
            <w:shd w:val="clear" w:color="auto" w:fill="auto"/>
          </w:tcPr>
          <w:p w:rsidR="001118C3" w:rsidRPr="00A044B5" w:rsidP="0075676B" w14:paraId="417D620E" w14:textId="77777777">
            <w:pPr>
              <w:pStyle w:val="HTMLPreformatted"/>
              <w:rPr>
                <w:rFonts w:ascii="Times New Roman" w:hAnsi="Times New Roman"/>
                <w:sz w:val="24"/>
              </w:rPr>
            </w:pPr>
            <w:r w:rsidRPr="00A044B5">
              <w:rPr>
                <w:rFonts w:ascii="Times New Roman" w:hAnsi="Times New Roman"/>
                <w:sz w:val="24"/>
              </w:rPr>
              <w:t>)</w:t>
            </w:r>
          </w:p>
          <w:p w:rsidR="001118C3" w:rsidP="0074034A" w14:paraId="022788BC" w14:textId="77777777">
            <w:pPr>
              <w:pStyle w:val="HTMLPreformatted"/>
              <w:rPr>
                <w:rFonts w:ascii="Times New Roman" w:hAnsi="Times New Roman"/>
                <w:sz w:val="24"/>
              </w:rPr>
            </w:pPr>
            <w:r w:rsidRPr="00A044B5">
              <w:rPr>
                <w:rFonts w:ascii="Times New Roman" w:hAnsi="Times New Roman"/>
                <w:sz w:val="24"/>
              </w:rPr>
              <w:t>)</w:t>
            </w:r>
          </w:p>
          <w:p w:rsidR="00E66BA7" w:rsidRPr="00A044B5" w:rsidP="0074034A" w14:paraId="41B53903" w14:textId="77777777">
            <w:pPr>
              <w:pStyle w:val="HTMLPreformatted"/>
              <w:rPr>
                <w:rFonts w:ascii="Times New Roman" w:hAnsi="Times New Roman"/>
                <w:sz w:val="24"/>
              </w:rPr>
            </w:pPr>
            <w:r>
              <w:rPr>
                <w:rFonts w:ascii="Times New Roman" w:hAnsi="Times New Roman"/>
                <w:sz w:val="24"/>
              </w:rPr>
              <w:t>)</w:t>
            </w:r>
          </w:p>
        </w:tc>
        <w:tc>
          <w:tcPr>
            <w:tcW w:w="3960" w:type="dxa"/>
            <w:shd w:val="clear" w:color="auto" w:fill="auto"/>
          </w:tcPr>
          <w:p w:rsidR="00FE3C75" w:rsidP="0075676B" w14:paraId="49844FDC" w14:textId="77777777">
            <w:pPr>
              <w:pStyle w:val="HTMLPreformatted"/>
              <w:rPr>
                <w:rFonts w:ascii="Times New Roman" w:hAnsi="Times New Roman"/>
                <w:sz w:val="24"/>
              </w:rPr>
            </w:pPr>
          </w:p>
          <w:p w:rsidR="001118C3" w:rsidRPr="00A044B5" w:rsidP="0075676B" w14:paraId="60590214" w14:textId="5EA05FB3">
            <w:pPr>
              <w:pStyle w:val="HTMLPreformatted"/>
              <w:rPr>
                <w:rFonts w:ascii="Times New Roman" w:hAnsi="Times New Roman"/>
                <w:sz w:val="24"/>
              </w:rPr>
            </w:pPr>
            <w:r w:rsidRPr="00A044B5">
              <w:rPr>
                <w:rFonts w:ascii="Times New Roman" w:hAnsi="Times New Roman"/>
                <w:sz w:val="24"/>
              </w:rPr>
              <w:t>Case No.</w:t>
            </w:r>
            <w:r>
              <w:rPr>
                <w:rFonts w:ascii="Times New Roman" w:hAnsi="Times New Roman"/>
                <w:sz w:val="24"/>
              </w:rPr>
              <w:t xml:space="preserve"> 19-18</w:t>
            </w:r>
            <w:r w:rsidR="00FE3C75">
              <w:rPr>
                <w:rFonts w:ascii="Times New Roman" w:hAnsi="Times New Roman"/>
                <w:sz w:val="24"/>
              </w:rPr>
              <w:t>7</w:t>
            </w:r>
            <w:r>
              <w:rPr>
                <w:rFonts w:ascii="Times New Roman" w:hAnsi="Times New Roman"/>
                <w:sz w:val="24"/>
              </w:rPr>
              <w:t>3-</w:t>
            </w:r>
            <w:r w:rsidR="00FE3C75">
              <w:rPr>
                <w:rFonts w:ascii="Times New Roman" w:hAnsi="Times New Roman"/>
                <w:sz w:val="24"/>
              </w:rPr>
              <w:t>GE</w:t>
            </w:r>
            <w:r>
              <w:rPr>
                <w:rFonts w:ascii="Times New Roman" w:hAnsi="Times New Roman"/>
                <w:sz w:val="24"/>
              </w:rPr>
              <w:t>-</w:t>
            </w:r>
            <w:r w:rsidR="00FE3C75">
              <w:rPr>
                <w:rFonts w:ascii="Times New Roman" w:hAnsi="Times New Roman"/>
                <w:sz w:val="24"/>
              </w:rPr>
              <w:t>AAM</w:t>
            </w:r>
            <w:r w:rsidRPr="00A044B5">
              <w:rPr>
                <w:rFonts w:ascii="Times New Roman" w:hAnsi="Times New Roman"/>
                <w:sz w:val="24"/>
              </w:rPr>
              <w:t xml:space="preserve"> </w:t>
            </w:r>
          </w:p>
          <w:p w:rsidR="001118C3" w:rsidRPr="00A044B5" w:rsidP="0075676B" w14:paraId="51B1AFE0" w14:textId="77777777">
            <w:pPr>
              <w:pStyle w:val="HTMLPreformatted"/>
              <w:rPr>
                <w:rFonts w:ascii="Times New Roman" w:hAnsi="Times New Roman"/>
                <w:sz w:val="24"/>
              </w:rPr>
            </w:pPr>
          </w:p>
        </w:tc>
      </w:tr>
    </w:tbl>
    <w:p w:rsidR="00A044B5" w14:paraId="459FD216" w14:textId="77777777">
      <w:pPr>
        <w:pStyle w:val="HTMLPreformatted"/>
        <w:rPr>
          <w:rFonts w:ascii="Times New Roman" w:hAnsi="Times New Roman"/>
          <w:sz w:val="24"/>
        </w:rPr>
      </w:pPr>
    </w:p>
    <w:p w:rsidR="00A044B5" w14:paraId="1F4B80FE" w14:textId="77777777">
      <w:pPr>
        <w:pStyle w:val="HTMLPreformatted"/>
        <w:pBdr>
          <w:top w:val="single" w:sz="12" w:space="1" w:color="auto"/>
        </w:pBdr>
        <w:rPr>
          <w:rFonts w:ascii="Times New Roman" w:hAnsi="Times New Roman"/>
          <w:sz w:val="24"/>
        </w:rPr>
      </w:pPr>
    </w:p>
    <w:p w:rsidR="00A044B5" w14:paraId="2EA05270" w14:textId="77777777">
      <w:pPr>
        <w:jc w:val="center"/>
        <w:rPr>
          <w:b/>
          <w:bCs/>
        </w:rPr>
      </w:pPr>
      <w:r>
        <w:rPr>
          <w:b/>
          <w:bCs/>
        </w:rPr>
        <w:t>MOTION TO INTERVENE</w:t>
      </w:r>
    </w:p>
    <w:p w:rsidR="00A044B5" w14:paraId="57875513" w14:textId="77777777">
      <w:pPr>
        <w:jc w:val="center"/>
        <w:rPr>
          <w:b/>
          <w:bCs/>
        </w:rPr>
      </w:pPr>
      <w:r>
        <w:rPr>
          <w:b/>
          <w:bCs/>
        </w:rPr>
        <w:t>BY</w:t>
      </w:r>
    </w:p>
    <w:p w:rsidR="00A044B5" w14:paraId="7DD79131" w14:textId="77777777">
      <w:pPr>
        <w:jc w:val="center"/>
        <w:rPr>
          <w:b/>
          <w:bCs/>
        </w:rPr>
      </w:pPr>
      <w:r>
        <w:rPr>
          <w:b/>
          <w:bCs/>
        </w:rPr>
        <w:t>THE OFFICE OF THE OHIO CONSUMERS’ COUNSEL</w:t>
      </w:r>
    </w:p>
    <w:p w:rsidR="00A044B5" w14:paraId="51E9F617" w14:textId="77777777">
      <w:pPr>
        <w:pBdr>
          <w:bottom w:val="single" w:sz="12" w:space="1" w:color="auto"/>
        </w:pBdr>
        <w:tabs>
          <w:tab w:val="left" w:pos="4320"/>
        </w:tabs>
      </w:pPr>
    </w:p>
    <w:p w:rsidR="00A044B5" w14:paraId="1792C2C6" w14:textId="77777777">
      <w:pPr>
        <w:tabs>
          <w:tab w:val="left" w:pos="4320"/>
        </w:tabs>
      </w:pPr>
    </w:p>
    <w:p w:rsidR="009E56A1" w:rsidP="00FB7B91" w14:paraId="514CA84A" w14:textId="111FE8DA">
      <w:pPr>
        <w:pStyle w:val="BodyTextIndent3"/>
        <w:widowControl w:val="0"/>
        <w:spacing w:line="480" w:lineRule="auto"/>
      </w:pPr>
      <w:r>
        <w:t>The Office of the Ohio Consumers’ Counsel (“OCC”) moves to intervene where Duke Energy Ohio is setting the stage to collect more money from customers, this time for certain pension expenses. In this regard, Duke is seeking to defer</w:t>
      </w:r>
      <w:r w:rsidR="002221BC">
        <w:t>,</w:t>
      </w:r>
      <w:r>
        <w:t xml:space="preserve"> for an unknown period of time</w:t>
      </w:r>
      <w:r w:rsidR="002221BC">
        <w:t>,</w:t>
      </w:r>
      <w:r>
        <w:t xml:space="preserve"> the potentially significant gains and losses to its pension accounts that it will ultimately seek to collect from customers through base rates established in its next rate case.</w:t>
      </w:r>
      <w:r w:rsidR="00FE3C75">
        <w:t xml:space="preserve"> </w:t>
      </w:r>
    </w:p>
    <w:p w:rsidR="00CE52CB" w:rsidP="00FB7B91" w14:paraId="27EBB74F" w14:textId="424673EE">
      <w:pPr>
        <w:pStyle w:val="BodyTextIndent3"/>
        <w:widowControl w:val="0"/>
        <w:spacing w:line="480" w:lineRule="auto"/>
        <w:sectPr w:rsidSect="00E66BA7">
          <w:headerReference w:type="default" r:id="rId6"/>
          <w:footerReference w:type="even" r:id="rId7"/>
          <w:footerReference w:type="default" r:id="rId8"/>
          <w:pgSz w:w="12240" w:h="15840"/>
          <w:pgMar w:top="1440" w:right="1800" w:bottom="1440" w:left="1800" w:header="720" w:footer="720" w:gutter="0"/>
          <w:cols w:space="720"/>
          <w:titlePg/>
          <w:docGrid w:linePitch="326"/>
        </w:sectPr>
      </w:pPr>
      <w:r>
        <w:t xml:space="preserve">OCC is filing on behalf of the </w:t>
      </w:r>
      <w:r w:rsidR="009D24C5">
        <w:t xml:space="preserve">640,000 residential electric and 394,000 residential gas utility customers </w:t>
      </w:r>
      <w:r>
        <w:t>of</w:t>
      </w:r>
      <w:r>
        <w:rPr>
          <w:szCs w:val="24"/>
        </w:rPr>
        <w:t xml:space="preserve"> Duke Energy to protect consumers. </w:t>
      </w:r>
      <w:r>
        <w:t>The reasons the Public Utilities Commission of Ohio (“PUCO”) should grant OCC’s motion are further set forth in the attached memorandum in support.</w:t>
      </w:r>
    </w:p>
    <w:p w:rsidR="00F46EC7" w:rsidP="00F46EC7" w14:paraId="7668607E" w14:textId="0AC4DD57">
      <w:pPr>
        <w:ind w:left="3600" w:firstLine="720"/>
        <w:rPr>
          <w:szCs w:val="24"/>
        </w:rPr>
      </w:pPr>
      <w:r w:rsidRPr="0010475C">
        <w:rPr>
          <w:szCs w:val="24"/>
        </w:rPr>
        <w:t>Respectfully submitted,</w:t>
      </w:r>
    </w:p>
    <w:p w:rsidR="00F46EC7" w:rsidRPr="0010475C" w:rsidP="00F46EC7" w14:paraId="1D4ACA12" w14:textId="77777777">
      <w:pPr>
        <w:ind w:left="3600" w:firstLine="720"/>
        <w:rPr>
          <w:szCs w:val="24"/>
        </w:rPr>
      </w:pPr>
    </w:p>
    <w:p w:rsidR="00F46EC7" w:rsidRPr="0010475C" w:rsidP="00F46EC7" w14:paraId="5936D799" w14:textId="77777777">
      <w:pPr>
        <w:ind w:left="3600" w:firstLine="720"/>
        <w:rPr>
          <w:szCs w:val="24"/>
        </w:rPr>
      </w:pPr>
      <w:r w:rsidRPr="0010475C">
        <w:rPr>
          <w:szCs w:val="24"/>
        </w:rPr>
        <w:t>Bruce Weston (0016973)</w:t>
      </w:r>
    </w:p>
    <w:p w:rsidR="00F46EC7" w:rsidRPr="0010475C" w:rsidP="00F46EC7" w14:paraId="27F9F83A" w14:textId="77777777">
      <w:pPr>
        <w:ind w:firstLine="4320"/>
        <w:rPr>
          <w:szCs w:val="24"/>
        </w:rPr>
      </w:pPr>
      <w:r w:rsidRPr="0010475C">
        <w:rPr>
          <w:szCs w:val="24"/>
        </w:rPr>
        <w:t>Ohio Consumers’ Counsel</w:t>
      </w:r>
    </w:p>
    <w:p w:rsidR="00F46EC7" w:rsidRPr="0010475C" w:rsidP="00F46EC7" w14:paraId="3BB49546" w14:textId="77777777">
      <w:pPr>
        <w:ind w:firstLine="4320"/>
        <w:rPr>
          <w:szCs w:val="24"/>
        </w:rPr>
      </w:pPr>
    </w:p>
    <w:p w:rsidR="00C160EF" w:rsidRPr="00844B55" w:rsidP="00C160EF" w14:paraId="19CF6DDB" w14:textId="30C19CB0">
      <w:pPr>
        <w:tabs>
          <w:tab w:val="left" w:pos="4320"/>
        </w:tabs>
        <w:ind w:left="3960"/>
        <w:rPr>
          <w:szCs w:val="24"/>
        </w:rPr>
      </w:pPr>
      <w:r>
        <w:rPr>
          <w:i/>
          <w:szCs w:val="24"/>
        </w:rPr>
        <w:tab/>
      </w:r>
      <w:r w:rsidRPr="00844B55">
        <w:rPr>
          <w:i/>
          <w:szCs w:val="24"/>
          <w:u w:val="single"/>
        </w:rPr>
        <w:t>/s/ Ambrosia E. Logsdon</w:t>
      </w:r>
      <w:r w:rsidRPr="00844B55">
        <w:rPr>
          <w:i/>
          <w:szCs w:val="24"/>
          <w:u w:val="single"/>
        </w:rPr>
        <w:tab/>
      </w:r>
      <w:r w:rsidRPr="00844B55">
        <w:rPr>
          <w:i/>
          <w:szCs w:val="24"/>
          <w:u w:val="single"/>
        </w:rPr>
        <w:tab/>
      </w:r>
    </w:p>
    <w:p w:rsidR="00C160EF" w:rsidRPr="00844B55" w:rsidP="00C160EF" w14:paraId="45B632B7" w14:textId="77777777">
      <w:pPr>
        <w:tabs>
          <w:tab w:val="left" w:pos="4320"/>
        </w:tabs>
        <w:ind w:left="3960"/>
        <w:rPr>
          <w:szCs w:val="24"/>
        </w:rPr>
      </w:pPr>
      <w:r>
        <w:rPr>
          <w:szCs w:val="24"/>
        </w:rPr>
        <w:tab/>
      </w:r>
      <w:r w:rsidRPr="00844B55">
        <w:rPr>
          <w:szCs w:val="24"/>
        </w:rPr>
        <w:t>Ambrosia E. Logsdon (0096598)</w:t>
      </w:r>
    </w:p>
    <w:p w:rsidR="00C160EF" w:rsidRPr="00844B55" w:rsidP="00C160EF" w14:paraId="79C46D3F" w14:textId="77777777">
      <w:pPr>
        <w:tabs>
          <w:tab w:val="left" w:pos="4320"/>
        </w:tabs>
        <w:ind w:left="3960"/>
        <w:rPr>
          <w:szCs w:val="24"/>
        </w:rPr>
      </w:pPr>
      <w:r>
        <w:rPr>
          <w:szCs w:val="24"/>
        </w:rPr>
        <w:tab/>
      </w:r>
      <w:r w:rsidRPr="00844B55">
        <w:rPr>
          <w:szCs w:val="24"/>
        </w:rPr>
        <w:t>Counsel of Record</w:t>
      </w:r>
    </w:p>
    <w:p w:rsidR="00C160EF" w:rsidP="00C160EF" w14:paraId="7F9FF0C2" w14:textId="77777777">
      <w:pPr>
        <w:tabs>
          <w:tab w:val="left" w:pos="4320"/>
        </w:tabs>
        <w:ind w:left="3960"/>
        <w:rPr>
          <w:szCs w:val="24"/>
        </w:rPr>
      </w:pPr>
      <w:r>
        <w:rPr>
          <w:szCs w:val="24"/>
        </w:rPr>
        <w:tab/>
      </w:r>
      <w:r w:rsidRPr="00844B55">
        <w:rPr>
          <w:szCs w:val="24"/>
        </w:rPr>
        <w:t>Assistant Consumers’ Counsel</w:t>
      </w:r>
    </w:p>
    <w:p w:rsidR="00C160EF" w:rsidRPr="00844B55" w:rsidP="00C160EF" w14:paraId="35E451D1" w14:textId="77777777">
      <w:pPr>
        <w:tabs>
          <w:tab w:val="left" w:pos="4320"/>
        </w:tabs>
        <w:ind w:left="3960"/>
        <w:rPr>
          <w:szCs w:val="24"/>
        </w:rPr>
      </w:pPr>
    </w:p>
    <w:p w:rsidR="00C160EF" w:rsidRPr="00844B55" w:rsidP="00C160EF" w14:paraId="132384D6" w14:textId="77777777">
      <w:pPr>
        <w:ind w:left="3960" w:firstLine="360"/>
        <w:rPr>
          <w:b/>
          <w:szCs w:val="24"/>
        </w:rPr>
      </w:pPr>
      <w:r w:rsidRPr="00844B55">
        <w:rPr>
          <w:b/>
          <w:szCs w:val="24"/>
        </w:rPr>
        <w:t>Office of the Ohio Consumers’ Counsel</w:t>
      </w:r>
    </w:p>
    <w:p w:rsidR="00C160EF" w:rsidRPr="00844B55" w:rsidP="00C160EF" w14:paraId="54ABCB46" w14:textId="77777777">
      <w:pPr>
        <w:ind w:left="3960" w:firstLine="360"/>
        <w:rPr>
          <w:szCs w:val="24"/>
        </w:rPr>
      </w:pPr>
      <w:r w:rsidRPr="00844B55">
        <w:rPr>
          <w:szCs w:val="24"/>
        </w:rPr>
        <w:t>65 E. State Street, 7th Floor</w:t>
      </w:r>
    </w:p>
    <w:p w:rsidR="00C160EF" w:rsidRPr="00844B55" w:rsidP="00C160EF" w14:paraId="5DA22BD9" w14:textId="77777777">
      <w:pPr>
        <w:ind w:left="3960" w:firstLine="360"/>
        <w:rPr>
          <w:szCs w:val="24"/>
        </w:rPr>
      </w:pPr>
      <w:r w:rsidRPr="00844B55">
        <w:rPr>
          <w:szCs w:val="24"/>
        </w:rPr>
        <w:t>Columbus, Ohio 43215-3485</w:t>
      </w:r>
    </w:p>
    <w:p w:rsidR="00C160EF" w:rsidRPr="00844B55" w:rsidP="00C160EF" w14:paraId="3179017E" w14:textId="77777777">
      <w:pPr>
        <w:ind w:left="3960" w:firstLine="360"/>
        <w:rPr>
          <w:szCs w:val="24"/>
        </w:rPr>
      </w:pPr>
      <w:r w:rsidRPr="00844B55">
        <w:rPr>
          <w:szCs w:val="24"/>
        </w:rPr>
        <w:t>Telephone: 614-466-1292</w:t>
      </w:r>
      <w:r>
        <w:rPr>
          <w:szCs w:val="24"/>
        </w:rPr>
        <w:t xml:space="preserve"> [Direct]</w:t>
      </w:r>
    </w:p>
    <w:p w:rsidR="00C160EF" w:rsidRPr="00844B55" w:rsidP="00C160EF" w14:paraId="0A3B1A90" w14:textId="77777777">
      <w:pPr>
        <w:ind w:left="3960" w:firstLine="360"/>
        <w:rPr>
          <w:szCs w:val="24"/>
        </w:rPr>
      </w:pPr>
      <w:hyperlink r:id="rId9" w:history="1">
        <w:r w:rsidRPr="00996F95" w:rsidR="00191C8B">
          <w:rPr>
            <w:rStyle w:val="Hyperlink"/>
            <w:szCs w:val="24"/>
          </w:rPr>
          <w:t>Ambrosia.Logsdon@occ.ohio.gov</w:t>
        </w:r>
      </w:hyperlink>
    </w:p>
    <w:p w:rsidR="00C160EF" w:rsidRPr="00844B55" w:rsidP="00C160EF" w14:paraId="1876CD59" w14:textId="77777777">
      <w:pPr>
        <w:autoSpaceDE w:val="0"/>
        <w:autoSpaceDN w:val="0"/>
        <w:adjustRightInd w:val="0"/>
        <w:ind w:left="3960" w:firstLine="360"/>
        <w:rPr>
          <w:szCs w:val="24"/>
        </w:rPr>
      </w:pPr>
      <w:r w:rsidRPr="00844B55">
        <w:rPr>
          <w:szCs w:val="24"/>
        </w:rPr>
        <w:t>(willing to accept service by e-mail)</w:t>
      </w:r>
    </w:p>
    <w:p w:rsidR="00F46EC7" w:rsidP="00F46EC7" w14:paraId="20B08A4E" w14:textId="77777777">
      <w:pPr>
        <w:ind w:left="3600" w:firstLine="720"/>
        <w:rPr>
          <w:szCs w:val="24"/>
        </w:rPr>
      </w:pPr>
      <w:r>
        <w:rPr>
          <w:szCs w:val="24"/>
        </w:rPr>
        <w:tab/>
      </w:r>
    </w:p>
    <w:p w:rsidR="00A044B5" w:rsidRPr="001118C3" w:rsidP="001118C3" w14:paraId="2FB683F1" w14:textId="77777777">
      <w:pPr>
        <w:ind w:firstLine="4320"/>
        <w:rPr>
          <w:szCs w:val="24"/>
          <w:u w:val="single"/>
        </w:rPr>
      </w:pPr>
      <w:r>
        <w:rPr>
          <w:szCs w:val="24"/>
        </w:rPr>
        <w:tab/>
      </w:r>
      <w:r>
        <w:rPr>
          <w:szCs w:val="24"/>
        </w:rPr>
        <w:tab/>
      </w:r>
      <w:r>
        <w:rPr>
          <w:szCs w:val="24"/>
        </w:rPr>
        <w:tab/>
      </w:r>
      <w:r>
        <w:rPr>
          <w:szCs w:val="24"/>
        </w:rPr>
        <w:tab/>
      </w:r>
      <w:r>
        <w:rPr>
          <w:szCs w:val="24"/>
        </w:rPr>
        <w:tab/>
      </w:r>
      <w:r w:rsidRPr="001118C3">
        <w:rPr>
          <w:szCs w:val="24"/>
        </w:rPr>
        <w:tab/>
      </w:r>
    </w:p>
    <w:p w:rsidR="00A044B5" w14:paraId="07F07179" w14:textId="77777777">
      <w:pPr>
        <w:rPr>
          <w:szCs w:val="24"/>
        </w:rPr>
      </w:pPr>
    </w:p>
    <w:p w:rsidR="00A044B5" w14:paraId="2E3DD5EC" w14:textId="77777777"/>
    <w:p w:rsidR="00A044B5" w14:paraId="15448399" w14:textId="77777777"/>
    <w:p w:rsidR="00A044B5" w14:paraId="0079354A" w14:textId="77777777">
      <w:pPr>
        <w:ind w:left="4320" w:firstLine="720"/>
        <w:jc w:val="both"/>
      </w:pPr>
    </w:p>
    <w:p w:rsidR="00A044B5" w14:paraId="44FE0DE8" w14:textId="77777777">
      <w:pPr>
        <w:pStyle w:val="HTMLPreformatted"/>
        <w:jc w:val="center"/>
        <w:rPr>
          <w:rFonts w:ascii="Times New Roman" w:hAnsi="Times New Roman"/>
          <w:b/>
          <w:bCs/>
          <w:sz w:val="24"/>
        </w:rPr>
        <w:sectPr w:rsidSect="00CE52CB">
          <w:footerReference w:type="first" r:id="rId10"/>
          <w:pgSz w:w="12240" w:h="15840"/>
          <w:pgMar w:top="1440" w:right="1800" w:bottom="1440" w:left="1800" w:header="720" w:footer="720" w:gutter="0"/>
          <w:pgNumType w:start="2"/>
          <w:cols w:space="720"/>
          <w:titlePg/>
          <w:docGrid w:linePitch="326"/>
        </w:sectPr>
      </w:pPr>
    </w:p>
    <w:p w:rsidR="0010529C" w:rsidP="0010529C" w14:paraId="616855B2" w14:textId="77777777">
      <w:pPr>
        <w:pStyle w:val="HTMLPreformatted"/>
        <w:jc w:val="center"/>
        <w:rPr>
          <w:rFonts w:ascii="Times New Roman" w:hAnsi="Times New Roman"/>
          <w:b/>
          <w:bCs/>
          <w:sz w:val="24"/>
        </w:rPr>
      </w:pPr>
      <w:r>
        <w:rPr>
          <w:rFonts w:ascii="Times New Roman" w:hAnsi="Times New Roman"/>
          <w:b/>
          <w:bCs/>
          <w:sz w:val="24"/>
        </w:rPr>
        <w:t>BEFORE</w:t>
      </w:r>
    </w:p>
    <w:p w:rsidR="0010529C" w:rsidP="0010529C" w14:paraId="7AAC7FDA"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10529C" w:rsidP="0010529C" w14:paraId="46B1C781" w14:textId="77777777">
      <w:pPr>
        <w:pStyle w:val="HTMLPreformatted"/>
        <w:rPr>
          <w:rFonts w:ascii="Times New Roman" w:hAnsi="Times New Roman"/>
          <w:sz w:val="24"/>
        </w:rPr>
      </w:pPr>
    </w:p>
    <w:tbl>
      <w:tblPr>
        <w:tblW w:w="8640" w:type="dxa"/>
        <w:tblLook w:val="01E0"/>
      </w:tblPr>
      <w:tblGrid>
        <w:gridCol w:w="4230"/>
        <w:gridCol w:w="450"/>
        <w:gridCol w:w="3960"/>
      </w:tblGrid>
      <w:tr w14:paraId="15C79178" w14:textId="77777777" w:rsidTr="00CE52CB">
        <w:tblPrEx>
          <w:tblW w:w="8640" w:type="dxa"/>
          <w:tblLook w:val="01E0"/>
        </w:tblPrEx>
        <w:trPr>
          <w:trHeight w:val="807"/>
        </w:trPr>
        <w:tc>
          <w:tcPr>
            <w:tcW w:w="4230" w:type="dxa"/>
            <w:shd w:val="clear" w:color="auto" w:fill="auto"/>
          </w:tcPr>
          <w:p w:rsidR="0010529C" w:rsidRPr="00A044B5" w:rsidP="001A5914" w14:paraId="2D3F7CB3" w14:textId="091B2773">
            <w:pPr>
              <w:pStyle w:val="HTMLPreformatted"/>
              <w:rPr>
                <w:rFonts w:ascii="Times New Roman" w:hAnsi="Times New Roman"/>
                <w:sz w:val="24"/>
                <w:szCs w:val="24"/>
              </w:rPr>
            </w:pPr>
            <w:r>
              <w:rPr>
                <w:rFonts w:ascii="Times New Roman" w:hAnsi="Times New Roman" w:cs="Times New Roman"/>
                <w:sz w:val="24"/>
                <w:szCs w:val="24"/>
              </w:rPr>
              <w:t>In the Matter of the Application of Duke Energy Ohio, Inc., for Authority to Change Accounting Methods.</w:t>
            </w:r>
          </w:p>
        </w:tc>
        <w:tc>
          <w:tcPr>
            <w:tcW w:w="450" w:type="dxa"/>
            <w:shd w:val="clear" w:color="auto" w:fill="auto"/>
          </w:tcPr>
          <w:p w:rsidR="0010529C" w:rsidRPr="00A044B5" w:rsidP="001A5914" w14:paraId="779FBAE3" w14:textId="77777777">
            <w:pPr>
              <w:pStyle w:val="HTMLPreformatted"/>
              <w:rPr>
                <w:rFonts w:ascii="Times New Roman" w:hAnsi="Times New Roman"/>
                <w:sz w:val="24"/>
              </w:rPr>
            </w:pPr>
            <w:r w:rsidRPr="00A044B5">
              <w:rPr>
                <w:rFonts w:ascii="Times New Roman" w:hAnsi="Times New Roman"/>
                <w:sz w:val="24"/>
              </w:rPr>
              <w:t>)</w:t>
            </w:r>
          </w:p>
          <w:p w:rsidR="0010529C" w:rsidP="001A5914" w14:paraId="45D18AD4" w14:textId="77777777">
            <w:pPr>
              <w:pStyle w:val="HTMLPreformatted"/>
              <w:rPr>
                <w:rFonts w:ascii="Times New Roman" w:hAnsi="Times New Roman"/>
                <w:sz w:val="24"/>
              </w:rPr>
            </w:pPr>
            <w:r w:rsidRPr="00A044B5">
              <w:rPr>
                <w:rFonts w:ascii="Times New Roman" w:hAnsi="Times New Roman"/>
                <w:sz w:val="24"/>
              </w:rPr>
              <w:t>)</w:t>
            </w:r>
          </w:p>
          <w:p w:rsidR="00516876" w:rsidRPr="00A044B5" w:rsidP="001A5914" w14:paraId="12C7C44E" w14:textId="77777777">
            <w:pPr>
              <w:pStyle w:val="HTMLPreformatted"/>
              <w:rPr>
                <w:rFonts w:ascii="Times New Roman" w:hAnsi="Times New Roman"/>
                <w:sz w:val="24"/>
              </w:rPr>
            </w:pPr>
            <w:r>
              <w:rPr>
                <w:rFonts w:ascii="Times New Roman" w:hAnsi="Times New Roman"/>
                <w:sz w:val="24"/>
              </w:rPr>
              <w:t>)</w:t>
            </w:r>
          </w:p>
        </w:tc>
        <w:tc>
          <w:tcPr>
            <w:tcW w:w="3960" w:type="dxa"/>
            <w:shd w:val="clear" w:color="auto" w:fill="auto"/>
          </w:tcPr>
          <w:p w:rsidR="00516876" w:rsidP="001A5914" w14:paraId="14C29D49" w14:textId="77777777">
            <w:pPr>
              <w:pStyle w:val="HTMLPreformatted"/>
              <w:rPr>
                <w:rFonts w:ascii="Times New Roman" w:hAnsi="Times New Roman"/>
                <w:sz w:val="24"/>
              </w:rPr>
            </w:pPr>
          </w:p>
          <w:p w:rsidR="0010529C" w:rsidRPr="00A044B5" w:rsidP="001A5914" w14:paraId="0918AECC" w14:textId="35901A35">
            <w:pPr>
              <w:pStyle w:val="HTMLPreformatted"/>
              <w:rPr>
                <w:rFonts w:ascii="Times New Roman" w:hAnsi="Times New Roman"/>
                <w:sz w:val="24"/>
              </w:rPr>
            </w:pPr>
            <w:r w:rsidRPr="00A044B5">
              <w:rPr>
                <w:rFonts w:ascii="Times New Roman" w:hAnsi="Times New Roman"/>
                <w:sz w:val="24"/>
              </w:rPr>
              <w:t>Case No.</w:t>
            </w:r>
            <w:r>
              <w:rPr>
                <w:rFonts w:ascii="Times New Roman" w:hAnsi="Times New Roman"/>
                <w:sz w:val="24"/>
              </w:rPr>
              <w:t xml:space="preserve"> 19-18</w:t>
            </w:r>
            <w:r w:rsidR="00FE3C75">
              <w:rPr>
                <w:rFonts w:ascii="Times New Roman" w:hAnsi="Times New Roman"/>
                <w:sz w:val="24"/>
              </w:rPr>
              <w:t>7</w:t>
            </w:r>
            <w:r>
              <w:rPr>
                <w:rFonts w:ascii="Times New Roman" w:hAnsi="Times New Roman"/>
                <w:sz w:val="24"/>
              </w:rPr>
              <w:t>3-</w:t>
            </w:r>
            <w:r w:rsidR="00FE3C75">
              <w:rPr>
                <w:rFonts w:ascii="Times New Roman" w:hAnsi="Times New Roman"/>
                <w:sz w:val="24"/>
              </w:rPr>
              <w:t>GE</w:t>
            </w:r>
            <w:r>
              <w:rPr>
                <w:rFonts w:ascii="Times New Roman" w:hAnsi="Times New Roman"/>
                <w:sz w:val="24"/>
              </w:rPr>
              <w:t>-</w:t>
            </w:r>
            <w:r w:rsidR="00FE3C75">
              <w:rPr>
                <w:rFonts w:ascii="Times New Roman" w:hAnsi="Times New Roman"/>
                <w:sz w:val="24"/>
              </w:rPr>
              <w:t>AAM</w:t>
            </w:r>
            <w:r w:rsidRPr="00A044B5">
              <w:rPr>
                <w:rFonts w:ascii="Times New Roman" w:hAnsi="Times New Roman"/>
                <w:sz w:val="24"/>
              </w:rPr>
              <w:t xml:space="preserve"> </w:t>
            </w:r>
          </w:p>
          <w:p w:rsidR="0010529C" w:rsidRPr="00A044B5" w:rsidP="001A5914" w14:paraId="12F68135" w14:textId="77777777">
            <w:pPr>
              <w:pStyle w:val="HTMLPreformatted"/>
              <w:rPr>
                <w:rFonts w:ascii="Times New Roman" w:hAnsi="Times New Roman"/>
                <w:sz w:val="24"/>
              </w:rPr>
            </w:pPr>
          </w:p>
        </w:tc>
      </w:tr>
    </w:tbl>
    <w:p w:rsidR="00A044B5" w14:paraId="24245973" w14:textId="77777777">
      <w:pPr>
        <w:pStyle w:val="Heading2"/>
        <w:pBdr>
          <w:bottom w:val="single" w:sz="12" w:space="1" w:color="auto"/>
        </w:pBdr>
        <w:jc w:val="left"/>
        <w:rPr>
          <w:b w:val="0"/>
        </w:rPr>
      </w:pPr>
    </w:p>
    <w:p w:rsidR="00A044B5" w14:paraId="218854BD" w14:textId="77777777">
      <w:pPr>
        <w:pStyle w:val="Heading2"/>
      </w:pPr>
    </w:p>
    <w:p w:rsidR="00A044B5" w14:paraId="0627A6D6" w14:textId="77777777">
      <w:pPr>
        <w:pStyle w:val="Heading2"/>
        <w:pBdr>
          <w:bottom w:val="single" w:sz="12" w:space="1" w:color="auto"/>
        </w:pBdr>
      </w:pPr>
      <w:r>
        <w:t>MEMORANDUM IN SUPPORT</w:t>
      </w:r>
      <w:r>
        <w:br/>
      </w:r>
    </w:p>
    <w:p w:rsidR="00A044B5" w14:paraId="3A3820DB" w14:textId="77777777">
      <w:pPr>
        <w:pStyle w:val="BodyTextIndent"/>
        <w:spacing w:line="240" w:lineRule="auto"/>
        <w:ind w:firstLine="0"/>
        <w:rPr>
          <w:b/>
          <w:bCs/>
        </w:rPr>
      </w:pPr>
    </w:p>
    <w:p w:rsidR="00F77A5F" w:rsidP="00F77A5F" w14:paraId="09F7DC29" w14:textId="2CF03F9E">
      <w:pPr>
        <w:spacing w:line="480" w:lineRule="auto"/>
        <w:ind w:firstLine="720"/>
        <w:rPr>
          <w:sz w:val="22"/>
        </w:rPr>
      </w:pPr>
      <w:r>
        <w:t xml:space="preserve">Duke </w:t>
      </w:r>
      <w:r w:rsidR="006D035E">
        <w:t xml:space="preserve">Energy Ohio, Inc. (“Duke”) </w:t>
      </w:r>
      <w:r>
        <w:t xml:space="preserve">is seeking PUCO authority to establish a </w:t>
      </w:r>
      <w:r w:rsidR="005A1FD1">
        <w:t xml:space="preserve">new </w:t>
      </w:r>
      <w:r>
        <w:t xml:space="preserve">regulatory asset or liability </w:t>
      </w:r>
      <w:r w:rsidR="00EA1E02">
        <w:t xml:space="preserve">account </w:t>
      </w:r>
      <w:r>
        <w:t xml:space="preserve">for the impacts arising from </w:t>
      </w:r>
      <w:r w:rsidR="005A1FD1">
        <w:t xml:space="preserve">its </w:t>
      </w:r>
      <w:r>
        <w:t>Pension Settlement Accounting.</w:t>
      </w:r>
      <w:r w:rsidR="00837FF3">
        <w:t xml:space="preserve"> </w:t>
      </w:r>
    </w:p>
    <w:p w:rsidR="00F77A5F" w:rsidP="00F77A5F" w14:paraId="02E6966C" w14:textId="653D0E41">
      <w:pPr>
        <w:spacing w:line="480" w:lineRule="auto"/>
        <w:ind w:firstLine="720"/>
      </w:pPr>
      <w:r>
        <w:t xml:space="preserve">In 2018, </w:t>
      </w:r>
      <w:r w:rsidR="006D035E">
        <w:t xml:space="preserve">parent company </w:t>
      </w:r>
      <w:r>
        <w:t xml:space="preserve">Duke </w:t>
      </w:r>
      <w:r w:rsidR="006D035E">
        <w:t xml:space="preserve">Energy Corporation </w:t>
      </w:r>
      <w:r>
        <w:t>and its subsidiaries, including Duke Energy Ohio</w:t>
      </w:r>
      <w:r w:rsidR="002221BC">
        <w:t>,</w:t>
      </w:r>
      <w:r>
        <w:t xml:space="preserve"> reduced </w:t>
      </w:r>
      <w:r w:rsidR="005D3675">
        <w:t>its</w:t>
      </w:r>
      <w:r w:rsidR="006D035E">
        <w:t xml:space="preserve"> </w:t>
      </w:r>
      <w:r>
        <w:t>workforce by a significant number.</w:t>
      </w:r>
      <w:r>
        <w:rPr>
          <w:rStyle w:val="FootnoteReference"/>
        </w:rPr>
        <w:footnoteReference w:id="2"/>
      </w:r>
      <w:r>
        <w:t xml:space="preserve"> Many of those employees have chosen to take lump sum payments from the pension plan in 2019.</w:t>
      </w:r>
      <w:r>
        <w:rPr>
          <w:rStyle w:val="FootnoteReference"/>
        </w:rPr>
        <w:footnoteReference w:id="3"/>
      </w:r>
      <w:r>
        <w:t xml:space="preserve"> As a result, </w:t>
      </w:r>
      <w:r w:rsidR="00D72E3F">
        <w:t xml:space="preserve">Duke </w:t>
      </w:r>
      <w:r>
        <w:t xml:space="preserve">determined </w:t>
      </w:r>
      <w:r w:rsidR="00D72E3F">
        <w:t>it</w:t>
      </w:r>
      <w:r w:rsidR="00EA1E02">
        <w:t xml:space="preserve"> is</w:t>
      </w:r>
      <w:r w:rsidR="00D72E3F">
        <w:t xml:space="preserve"> </w:t>
      </w:r>
      <w:r>
        <w:t>probable</w:t>
      </w:r>
      <w:r w:rsidR="003733CD">
        <w:t xml:space="preserve"> that</w:t>
      </w:r>
      <w:r>
        <w:t xml:space="preserve">, in the second quarter of 2019, the lump sum payments </w:t>
      </w:r>
      <w:r w:rsidR="009E56A1">
        <w:t xml:space="preserve">to employees </w:t>
      </w:r>
      <w:r>
        <w:t xml:space="preserve">would exceed </w:t>
      </w:r>
      <w:r w:rsidR="00627174">
        <w:t xml:space="preserve">what </w:t>
      </w:r>
      <w:r w:rsidR="009E56A1">
        <w:t>Duke had planned for</w:t>
      </w:r>
      <w:r w:rsidR="00627174">
        <w:t>.</w:t>
      </w:r>
      <w:r>
        <w:rPr>
          <w:rStyle w:val="FootnoteReference"/>
        </w:rPr>
        <w:footnoteReference w:id="4"/>
      </w:r>
      <w:r>
        <w:t> </w:t>
      </w:r>
      <w:r w:rsidR="002221BC">
        <w:t xml:space="preserve">As a result, </w:t>
      </w:r>
      <w:r>
        <w:t xml:space="preserve">Duke </w:t>
      </w:r>
      <w:r w:rsidR="00741CF1">
        <w:t xml:space="preserve">was required to </w:t>
      </w:r>
      <w:r w:rsidR="00627174">
        <w:t>use</w:t>
      </w:r>
      <w:r>
        <w:t xml:space="preserve"> Pension Settlement Accounting for the first time.</w:t>
      </w:r>
      <w:r>
        <w:rPr>
          <w:rStyle w:val="FootnoteReference"/>
        </w:rPr>
        <w:footnoteReference w:id="5"/>
      </w:r>
      <w:r>
        <w:t> </w:t>
      </w:r>
      <w:r w:rsidR="0073754C">
        <w:t>S</w:t>
      </w:r>
      <w:r>
        <w:t xml:space="preserve">ettlement charges for 2019 are </w:t>
      </w:r>
      <w:r w:rsidRPr="00403F63">
        <w:rPr>
          <w:i/>
          <w:iCs/>
        </w:rPr>
        <w:t>estimated</w:t>
      </w:r>
      <w:r>
        <w:t xml:space="preserve"> at $1.3 million for electric and $539,000 for gas.</w:t>
      </w:r>
      <w:r>
        <w:rPr>
          <w:rStyle w:val="FootnoteReference"/>
        </w:rPr>
        <w:footnoteReference w:id="6"/>
      </w:r>
      <w:r w:rsidR="00837FF3">
        <w:t xml:space="preserve"> </w:t>
      </w:r>
      <w:r w:rsidR="00780FF5">
        <w:t>Absent PUCO</w:t>
      </w:r>
      <w:r w:rsidR="00837FF3">
        <w:t xml:space="preserve"> </w:t>
      </w:r>
      <w:r w:rsidR="00780FF5">
        <w:t xml:space="preserve">authority to defer these costs, Duke would have to write off the expenses. </w:t>
      </w:r>
    </w:p>
    <w:p w:rsidR="005A1FD1" w:rsidP="00F77A5F" w14:paraId="1FB9EC69" w14:textId="525418C7">
      <w:pPr>
        <w:spacing w:line="480" w:lineRule="auto"/>
        <w:ind w:firstLine="720"/>
      </w:pPr>
      <w:bookmarkStart w:id="1" w:name="_Hlk24987523"/>
      <w:r>
        <w:t xml:space="preserve">And while these charges may seem relatively modest, Duke also anticipates </w:t>
      </w:r>
      <w:r w:rsidR="0073754C">
        <w:t>treating</w:t>
      </w:r>
      <w:r>
        <w:t xml:space="preserve"> </w:t>
      </w:r>
      <w:r w:rsidRPr="00403F63">
        <w:rPr>
          <w:i/>
          <w:iCs/>
        </w:rPr>
        <w:t>future</w:t>
      </w:r>
      <w:r>
        <w:t xml:space="preserve"> settlement </w:t>
      </w:r>
      <w:r w:rsidR="0073754C">
        <w:t>shortfalls</w:t>
      </w:r>
      <w:r w:rsidR="0014784A">
        <w:t xml:space="preserve"> in </w:t>
      </w:r>
      <w:r w:rsidR="0073754C">
        <w:t xml:space="preserve">the same way </w:t>
      </w:r>
      <w:r>
        <w:t>in subsequent years</w:t>
      </w:r>
      <w:r w:rsidR="0073754C">
        <w:t>.</w:t>
      </w:r>
      <w:r>
        <w:rPr>
          <w:rStyle w:val="FootnoteReference"/>
        </w:rPr>
        <w:footnoteReference w:id="7"/>
      </w:r>
      <w:r>
        <w:t xml:space="preserve"> </w:t>
      </w:r>
      <w:r w:rsidR="00EA1E02">
        <w:t>And Duke expects that c</w:t>
      </w:r>
      <w:r>
        <w:t xml:space="preserve">harges </w:t>
      </w:r>
      <w:r w:rsidR="0073754C">
        <w:t xml:space="preserve">to the pension account </w:t>
      </w:r>
      <w:r>
        <w:t>could well exceed the</w:t>
      </w:r>
      <w:r w:rsidR="00D72E3F">
        <w:t xml:space="preserve"> </w:t>
      </w:r>
      <w:r>
        <w:t>levels</w:t>
      </w:r>
      <w:r w:rsidR="00D72E3F">
        <w:t xml:space="preserve"> </w:t>
      </w:r>
      <w:r w:rsidR="00EA1E02">
        <w:t>it</w:t>
      </w:r>
      <w:r w:rsidR="00D72E3F">
        <w:t xml:space="preserve"> </w:t>
      </w:r>
      <w:r w:rsidR="00157BAB">
        <w:t>planned for.</w:t>
      </w:r>
      <w:r>
        <w:rPr>
          <w:rStyle w:val="FootnoteReference"/>
        </w:rPr>
        <w:footnoteReference w:id="8"/>
      </w:r>
    </w:p>
    <w:p w:rsidR="005A1FD1" w:rsidP="00F77A5F" w14:paraId="121A4311" w14:textId="53447BCC">
      <w:pPr>
        <w:spacing w:line="480" w:lineRule="auto"/>
        <w:ind w:firstLine="720"/>
        <w:rPr>
          <w:szCs w:val="24"/>
        </w:rPr>
      </w:pPr>
      <w:r>
        <w:t xml:space="preserve">Duke is now requesting approval to charge consumers </w:t>
      </w:r>
      <w:r w:rsidR="00684980">
        <w:t xml:space="preserve">in a future rate case </w:t>
      </w:r>
      <w:r>
        <w:t>for th</w:t>
      </w:r>
      <w:r w:rsidR="00C612C8">
        <w:t>e</w:t>
      </w:r>
      <w:r>
        <w:t>s</w:t>
      </w:r>
      <w:r w:rsidR="00C90496">
        <w:t>e</w:t>
      </w:r>
      <w:r>
        <w:t xml:space="preserve"> </w:t>
      </w:r>
      <w:r w:rsidRPr="00403F63">
        <w:rPr>
          <w:i/>
          <w:iCs/>
        </w:rPr>
        <w:t>unknown</w:t>
      </w:r>
      <w:r w:rsidR="00741CF1">
        <w:rPr>
          <w:i/>
          <w:iCs/>
        </w:rPr>
        <w:t xml:space="preserve"> </w:t>
      </w:r>
      <w:r w:rsidRPr="00837FF3" w:rsidR="00741CF1">
        <w:t xml:space="preserve">pension </w:t>
      </w:r>
      <w:r w:rsidR="00A71DFE">
        <w:t>charges</w:t>
      </w:r>
      <w:r>
        <w:t xml:space="preserve"> </w:t>
      </w:r>
      <w:r w:rsidR="00741CF1">
        <w:t xml:space="preserve">to be incurred over </w:t>
      </w:r>
      <w:r w:rsidRPr="00403F63">
        <w:rPr>
          <w:i/>
          <w:iCs/>
        </w:rPr>
        <w:t>unknown</w:t>
      </w:r>
      <w:r>
        <w:t xml:space="preserve"> </w:t>
      </w:r>
      <w:r w:rsidR="004072AF">
        <w:t>timeframes</w:t>
      </w:r>
      <w:r>
        <w:t xml:space="preserve">. </w:t>
      </w:r>
      <w:bookmarkEnd w:id="1"/>
      <w:r w:rsidR="00627174">
        <w:t xml:space="preserve">Under Duke’s proposal </w:t>
      </w:r>
      <w:r w:rsidR="00741CF1">
        <w:t xml:space="preserve">in this proceeding </w:t>
      </w:r>
      <w:r>
        <w:t xml:space="preserve">the losses or gains </w:t>
      </w:r>
      <w:r w:rsidR="00627174">
        <w:t xml:space="preserve">would </w:t>
      </w:r>
      <w:r>
        <w:t xml:space="preserve">be </w:t>
      </w:r>
      <w:r w:rsidR="00780FF5">
        <w:t xml:space="preserve">moved </w:t>
      </w:r>
      <w:r w:rsidR="002221BC">
        <w:t>from</w:t>
      </w:r>
      <w:r w:rsidR="00780FF5">
        <w:t xml:space="preserve"> the </w:t>
      </w:r>
      <w:r w:rsidR="00741CF1">
        <w:t xml:space="preserve">balance sheet </w:t>
      </w:r>
      <w:r>
        <w:t xml:space="preserve">to a </w:t>
      </w:r>
      <w:r w:rsidR="003D7CFF">
        <w:t>deferral</w:t>
      </w:r>
      <w:r>
        <w:t xml:space="preserve"> account and </w:t>
      </w:r>
      <w:r w:rsidR="00157BAB">
        <w:t>would</w:t>
      </w:r>
      <w:r>
        <w:t xml:space="preserve"> be amortized over the average remaining service period of the pension plan participants.</w:t>
      </w:r>
      <w:r>
        <w:rPr>
          <w:rStyle w:val="FootnoteReference"/>
        </w:rPr>
        <w:footnoteReference w:id="9"/>
      </w:r>
      <w:r w:rsidR="00837FF3">
        <w:t xml:space="preserve"> </w:t>
      </w:r>
      <w:bookmarkStart w:id="2" w:name="_Hlk24987608"/>
      <w:r>
        <w:t xml:space="preserve">Duke is requesting </w:t>
      </w:r>
      <w:r w:rsidR="00403F63">
        <w:t>PUCO</w:t>
      </w:r>
      <w:r>
        <w:t xml:space="preserve"> approval of this </w:t>
      </w:r>
      <w:r w:rsidR="003942E8">
        <w:t xml:space="preserve">deferral </w:t>
      </w:r>
      <w:r>
        <w:t xml:space="preserve">treatment for both the Pension Settlement Accounting in 2019 and </w:t>
      </w:r>
      <w:r w:rsidRPr="004072AF">
        <w:rPr>
          <w:i/>
          <w:iCs/>
        </w:rPr>
        <w:t>any future</w:t>
      </w:r>
      <w:r>
        <w:t xml:space="preserve"> Pension Settlement Accounting that </w:t>
      </w:r>
      <w:r w:rsidR="0014784A">
        <w:t>it undertakes.</w:t>
      </w:r>
      <w:r>
        <w:rPr>
          <w:rStyle w:val="FootnoteReference"/>
        </w:rPr>
        <w:footnoteReference w:id="10"/>
      </w:r>
      <w:r w:rsidRPr="003942E8" w:rsidR="003942E8">
        <w:t xml:space="preserve"> </w:t>
      </w:r>
      <w:r w:rsidR="003942E8">
        <w:t>The PUCO should deny Duke’s request. The PUCO has standards</w:t>
      </w:r>
      <w:r>
        <w:rPr>
          <w:rStyle w:val="FootnoteReference"/>
        </w:rPr>
        <w:footnoteReference w:id="11"/>
      </w:r>
      <w:r w:rsidR="003942E8">
        <w:t xml:space="preserve"> for deferral accounting and Duke’s request in this application does not appear to meet those standards. </w:t>
      </w:r>
    </w:p>
    <w:bookmarkEnd w:id="2"/>
    <w:p w:rsidR="00A044B5" w:rsidP="00FB7B91" w14:paraId="46E343F1" w14:textId="5B4C0F7A">
      <w:pPr>
        <w:pStyle w:val="BodyTextIndent3"/>
        <w:spacing w:line="480" w:lineRule="auto"/>
      </w:pPr>
      <w:r>
        <w:rPr>
          <w:szCs w:val="24"/>
        </w:rPr>
        <w:t xml:space="preserve">OCC has authority under law to represent </w:t>
      </w:r>
      <w:r>
        <w:t xml:space="preserve">the interests of all the 640,000 residential </w:t>
      </w:r>
      <w:r w:rsidR="00F77A5F">
        <w:t xml:space="preserve">electric and 394,000 residential gas </w:t>
      </w:r>
      <w:r>
        <w:t xml:space="preserve">utility customers of Duke under R.C. Chapter 4911. R.C. 4903.221 provides, in part, that any person “who may be adversely affected” by a PUCO proceeding is entitled to seek intervention in that proceeding. </w:t>
      </w:r>
      <w:bookmarkStart w:id="3" w:name="_Hlk24987637"/>
      <w:r>
        <w:t xml:space="preserve">The interests of Ohio’s residential customers may be “adversely affected” by this case, especially if the customers were unrepresented in a proceeding </w:t>
      </w:r>
      <w:r w:rsidR="00FD066B">
        <w:t>which will serve as the prelude to seeking increased rates for customers in the future.</w:t>
      </w:r>
      <w:r>
        <w:t xml:space="preserve"> Thus, this element of the intervention standard in R.C. 4903.221 is satisfied. </w:t>
      </w:r>
    </w:p>
    <w:bookmarkEnd w:id="3"/>
    <w:p w:rsidR="00B15A4E" w:rsidP="00837FF3" w14:paraId="447BEAC6" w14:textId="054E2598">
      <w:pPr>
        <w:spacing w:line="480" w:lineRule="auto"/>
        <w:ind w:firstLine="720"/>
        <w:rPr>
          <w:szCs w:val="24"/>
        </w:rPr>
      </w:pPr>
      <w:r>
        <w:rPr>
          <w:szCs w:val="24"/>
        </w:rPr>
        <w:t>R.C. 4903.221(B) requires the PUCO to consider the following criteria in ruling on motions to intervene:</w:t>
      </w:r>
    </w:p>
    <w:p w:rsidR="00A044B5" w:rsidP="00FB7B91" w14:paraId="3130A493" w14:textId="77777777">
      <w:pPr>
        <w:ind w:left="2160" w:hanging="720"/>
        <w:rPr>
          <w:szCs w:val="24"/>
        </w:rPr>
      </w:pPr>
      <w:r>
        <w:rPr>
          <w:szCs w:val="24"/>
        </w:rPr>
        <w:t>(1)</w:t>
      </w:r>
      <w:r>
        <w:rPr>
          <w:szCs w:val="24"/>
        </w:rPr>
        <w:tab/>
        <w:t>The nature and extent of the prospective intervenor’s interest;</w:t>
      </w:r>
    </w:p>
    <w:p w:rsidR="00A044B5" w:rsidP="00FB7B91" w14:paraId="322670D2" w14:textId="77777777">
      <w:pPr>
        <w:spacing w:before="240"/>
        <w:ind w:left="2160" w:hanging="720"/>
        <w:rPr>
          <w:szCs w:val="24"/>
        </w:rPr>
      </w:pPr>
      <w:r>
        <w:rPr>
          <w:szCs w:val="24"/>
        </w:rPr>
        <w:t>(2)</w:t>
      </w:r>
      <w:r>
        <w:rPr>
          <w:szCs w:val="24"/>
        </w:rPr>
        <w:tab/>
        <w:t>The legal position advanced by the prospective intervenor and its probable relation to the merits of the case;</w:t>
      </w:r>
    </w:p>
    <w:p w:rsidR="00A044B5" w:rsidP="00FB7B91" w14:paraId="07C304D4" w14:textId="77777777">
      <w:pPr>
        <w:spacing w:before="240"/>
        <w:ind w:left="2160" w:hanging="720"/>
        <w:rPr>
          <w:szCs w:val="24"/>
        </w:rPr>
      </w:pPr>
      <w:r>
        <w:rPr>
          <w:szCs w:val="24"/>
        </w:rPr>
        <w:t>(3)</w:t>
      </w:r>
      <w:r>
        <w:rPr>
          <w:szCs w:val="24"/>
        </w:rPr>
        <w:tab/>
        <w:t xml:space="preserve">Whether the intervention by the prospective intervenor will unduly prolong or delay the proceedings; </w:t>
      </w:r>
    </w:p>
    <w:p w:rsidR="00A044B5" w:rsidP="00FB7B91" w14:paraId="5F9CF901" w14:textId="77777777">
      <w:pPr>
        <w:pStyle w:val="BodyTextIndent2"/>
        <w:tabs>
          <w:tab w:val="clear" w:pos="720"/>
        </w:tabs>
        <w:ind w:left="2160" w:hanging="720"/>
        <w:rPr>
          <w:szCs w:val="24"/>
        </w:rPr>
      </w:pPr>
      <w:r>
        <w:rPr>
          <w:szCs w:val="24"/>
        </w:rPr>
        <w:t>(4)</w:t>
      </w:r>
      <w:r>
        <w:rPr>
          <w:szCs w:val="24"/>
        </w:rPr>
        <w:tab/>
        <w:t>Whether the prospective intervenor will significantly contribute to full development and equitable resolution of the factual issues.</w:t>
      </w:r>
    </w:p>
    <w:p w:rsidR="00A044B5" w:rsidP="00FB7B91" w14:paraId="240979DA" w14:textId="2B5925C4">
      <w:pPr>
        <w:pStyle w:val="BodyTextIndent3"/>
        <w:spacing w:line="480" w:lineRule="auto"/>
        <w:rPr>
          <w:szCs w:val="24"/>
        </w:rPr>
      </w:pPr>
      <w:r>
        <w:t>First, the nature and extent of OCC’s interest is representing the residential customers o</w:t>
      </w:r>
      <w:r>
        <w:rPr>
          <w:szCs w:val="24"/>
        </w:rPr>
        <w:t xml:space="preserve">f Duke in this case </w:t>
      </w:r>
      <w:r w:rsidR="00EA1E02">
        <w:rPr>
          <w:szCs w:val="24"/>
        </w:rPr>
        <w:t xml:space="preserve">where consumers will </w:t>
      </w:r>
      <w:r w:rsidR="00117C82">
        <w:rPr>
          <w:szCs w:val="24"/>
        </w:rPr>
        <w:t xml:space="preserve">be asked to pay for increased pension expenses in future proceedings. </w:t>
      </w:r>
      <w:r>
        <w:rPr>
          <w:szCs w:val="24"/>
        </w:rPr>
        <w:t>This interest is different than that of any other party and especially different than that of the utility whose advocacy includes the financial interest of stockholders.</w:t>
      </w:r>
    </w:p>
    <w:p w:rsidR="00A044B5" w:rsidP="00FB7B91" w14:paraId="1A94558C" w14:textId="114D36AD">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among other things, advancing the </w:t>
      </w:r>
      <w:r w:rsidRPr="000564AE">
        <w:rPr>
          <w:sz w:val="24"/>
          <w:szCs w:val="24"/>
        </w:rPr>
        <w:t xml:space="preserve">position that </w:t>
      </w:r>
      <w:r w:rsidR="00EA1E02">
        <w:rPr>
          <w:sz w:val="24"/>
          <w:szCs w:val="24"/>
        </w:rPr>
        <w:t>consumers are entitled to rates that are just and reasonable under the law</w:t>
      </w:r>
      <w:r w:rsidR="00A0645A">
        <w:rPr>
          <w:sz w:val="24"/>
          <w:szCs w:val="24"/>
        </w:rPr>
        <w:t>.</w:t>
      </w:r>
      <w:r w:rsidR="00EA1E02">
        <w:rPr>
          <w:sz w:val="24"/>
          <w:szCs w:val="24"/>
        </w:rPr>
        <w:t xml:space="preserve"> </w:t>
      </w:r>
      <w:r w:rsidR="00A0645A">
        <w:rPr>
          <w:sz w:val="24"/>
          <w:szCs w:val="24"/>
        </w:rPr>
        <w:t>And Duke has already admitted that the charges it wants to pass to consumers are “</w:t>
      </w:r>
      <w:r w:rsidRPr="00A0645A" w:rsidR="00A0645A">
        <w:rPr>
          <w:sz w:val="24"/>
          <w:szCs w:val="24"/>
        </w:rPr>
        <w:t>uneven, volatile, and misaligned with current rates.</w:t>
      </w:r>
      <w:r w:rsidR="00A0645A">
        <w:rPr>
          <w:sz w:val="24"/>
          <w:szCs w:val="24"/>
        </w:rPr>
        <w:t>”</w:t>
      </w:r>
      <w:r>
        <w:rPr>
          <w:rStyle w:val="FootnoteReference"/>
          <w:sz w:val="24"/>
          <w:szCs w:val="24"/>
        </w:rPr>
        <w:footnoteReference w:id="12"/>
      </w:r>
      <w:r w:rsidR="00A0645A">
        <w:rPr>
          <w:sz w:val="24"/>
          <w:szCs w:val="24"/>
        </w:rPr>
        <w:t xml:space="preserve"> Duke’s customers should not be required to shoulder this risk and pay higher than necessary rates. </w:t>
      </w:r>
      <w:r w:rsidRPr="000564AE">
        <w:rPr>
          <w:sz w:val="24"/>
          <w:szCs w:val="24"/>
        </w:rPr>
        <w:t>OCC’s</w:t>
      </w:r>
      <w:r>
        <w:rPr>
          <w:sz w:val="24"/>
          <w:szCs w:val="24"/>
        </w:rPr>
        <w:t xml:space="preserve"> position is therefore directly related to the merits of this case, which is pending before the PUCO, the authority with regulatory control of public utilities’ rates and service quality in Ohio. </w:t>
      </w:r>
    </w:p>
    <w:p w:rsidR="00A044B5" w:rsidP="00FB7B91" w14:paraId="47A29BEC" w14:textId="5C839E14">
      <w:pPr>
        <w:pStyle w:val="BodyTextIndent3"/>
        <w:spacing w:line="480" w:lineRule="auto"/>
        <w:rPr>
          <w:szCs w:val="24"/>
        </w:rPr>
      </w:pPr>
      <w:r>
        <w:t xml:space="preserve">Third, </w:t>
      </w:r>
      <w:r>
        <w:rPr>
          <w:szCs w:val="24"/>
        </w:rPr>
        <w:t>OCC’s intervention will not unduly prolong or delay the proceedings.</w:t>
      </w:r>
      <w:r w:rsidR="004B7DFD">
        <w:rPr>
          <w:szCs w:val="24"/>
        </w:rPr>
        <w:t xml:space="preserve"> </w:t>
      </w:r>
      <w:r>
        <w:rPr>
          <w:szCs w:val="24"/>
        </w:rPr>
        <w:t>OCC, with its longstanding expertise and experience in PUCO proceedings, will duly allow for the efficient processing of the case with consideration of the public interest.</w:t>
      </w:r>
    </w:p>
    <w:p w:rsidR="00A044B5" w:rsidP="00FB7B91" w14:paraId="44449230"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A044B5" w:rsidP="00FB7B91" w14:paraId="15A91308" w14:textId="145DB884">
      <w:pPr>
        <w:pStyle w:val="WW-BodyTextIndent3"/>
        <w:spacing w:line="480" w:lineRule="auto"/>
        <w:rPr>
          <w:szCs w:val="24"/>
        </w:rPr>
      </w:pPr>
      <w:r>
        <w:rPr>
          <w:szCs w:val="24"/>
        </w:rPr>
        <w:t xml:space="preserve">OCC also satisfies the intervention criteria in </w:t>
      </w:r>
      <w:r w:rsidR="002B3F0E">
        <w:rPr>
          <w:szCs w:val="24"/>
        </w:rPr>
        <w:t xml:space="preserve">PUCO’s rules in </w:t>
      </w:r>
      <w:r>
        <w:rPr>
          <w:szCs w:val="24"/>
        </w:rPr>
        <w:t xml:space="preserve">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 xml:space="preserve">Duke is seeking </w:t>
      </w:r>
      <w:r w:rsidR="00A0645A">
        <w:t xml:space="preserve">to increase the </w:t>
      </w:r>
      <w:r w:rsidR="00A71DFE">
        <w:t>rates</w:t>
      </w:r>
      <w:r w:rsidR="00A0645A">
        <w:t xml:space="preserve"> that its customers pay by an unknown amount and for an unknown time. </w:t>
      </w:r>
    </w:p>
    <w:p w:rsidR="00A044B5" w:rsidP="00FB7B91" w14:paraId="124BDA59" w14:textId="543F283E">
      <w:pPr>
        <w:pStyle w:val="BodyTextIndent3"/>
        <w:widowControl w:val="0"/>
        <w:spacing w:line="480" w:lineRule="auto"/>
        <w:rPr>
          <w:szCs w:val="24"/>
        </w:rPr>
      </w:pPr>
      <w:r>
        <w:rPr>
          <w:szCs w:val="24"/>
        </w:rPr>
        <w:t xml:space="preserve">In addition, OCC meets the criteria of Ohio Adm. Code 4901-1-11(B)(1)-(4). These criteria mirror the statutory criteria in R.C. 4903.221(B), which OCC already has </w:t>
      </w:r>
      <w:r w:rsidR="004B7DFD">
        <w:rPr>
          <w:szCs w:val="24"/>
        </w:rPr>
        <w:t>addressed,</w:t>
      </w:r>
      <w:r>
        <w:rPr>
          <w:szCs w:val="24"/>
        </w:rPr>
        <w:t xml:space="preserve"> and which OCC satisfies.</w:t>
      </w:r>
    </w:p>
    <w:p w:rsidR="00A044B5" w:rsidP="00FB7B91" w14:paraId="030443E7" w14:textId="77777777">
      <w:pPr>
        <w:pStyle w:val="BodyTextIndent3"/>
        <w:widowControl w:val="0"/>
        <w:spacing w:line="480" w:lineRule="auto"/>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044B5" w:rsidP="00FB7B91" w14:paraId="55ADB7E7" w14:textId="709C2275">
      <w:pPr>
        <w:pStyle w:val="WW-BodyTextIndent3"/>
        <w:widowControl w:val="0"/>
        <w:spacing w:line="480" w:lineRule="auto"/>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13"/>
      </w:r>
      <w:r w:rsidR="004B7DFD">
        <w:rPr>
          <w:szCs w:val="24"/>
        </w:rPr>
        <w:t xml:space="preserve"> </w:t>
      </w:r>
    </w:p>
    <w:p w:rsidR="000564AE" w14:paraId="04750199" w14:textId="77777777">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A0645A" w:rsidP="000564AE" w14:paraId="45753678" w14:textId="77777777">
      <w:pPr>
        <w:ind w:left="3600" w:firstLine="720"/>
        <w:rPr>
          <w:szCs w:val="24"/>
        </w:rPr>
      </w:pPr>
    </w:p>
    <w:p w:rsidR="00A0645A" w:rsidP="000564AE" w14:paraId="62C91288" w14:textId="77777777">
      <w:pPr>
        <w:ind w:left="3600" w:firstLine="720"/>
        <w:rPr>
          <w:szCs w:val="24"/>
        </w:rPr>
      </w:pPr>
    </w:p>
    <w:p w:rsidR="00A0645A" w:rsidP="000564AE" w14:paraId="582D2FDD" w14:textId="77777777">
      <w:pPr>
        <w:ind w:left="3600" w:firstLine="720"/>
        <w:rPr>
          <w:szCs w:val="24"/>
        </w:rPr>
      </w:pPr>
    </w:p>
    <w:p w:rsidR="000564AE" w:rsidP="000564AE" w14:paraId="17CB0B8C" w14:textId="35B20093">
      <w:pPr>
        <w:ind w:left="3600" w:firstLine="720"/>
        <w:rPr>
          <w:szCs w:val="24"/>
        </w:rPr>
      </w:pPr>
      <w:r w:rsidRPr="0010475C">
        <w:rPr>
          <w:szCs w:val="24"/>
        </w:rPr>
        <w:t>Respectfully submitted,</w:t>
      </w:r>
    </w:p>
    <w:p w:rsidR="000564AE" w:rsidRPr="0010475C" w:rsidP="000564AE" w14:paraId="6386BFD7" w14:textId="77777777">
      <w:pPr>
        <w:ind w:left="3600" w:firstLine="720"/>
        <w:rPr>
          <w:szCs w:val="24"/>
        </w:rPr>
      </w:pPr>
    </w:p>
    <w:p w:rsidR="000564AE" w:rsidRPr="0010475C" w:rsidP="000564AE" w14:paraId="437A8DF8" w14:textId="77777777">
      <w:pPr>
        <w:ind w:left="3600" w:firstLine="720"/>
        <w:rPr>
          <w:szCs w:val="24"/>
        </w:rPr>
      </w:pPr>
      <w:r w:rsidRPr="0010475C">
        <w:rPr>
          <w:szCs w:val="24"/>
        </w:rPr>
        <w:t>Bruce Weston (0016973)</w:t>
      </w:r>
    </w:p>
    <w:p w:rsidR="000564AE" w:rsidRPr="0010475C" w:rsidP="000564AE" w14:paraId="4FA54E64" w14:textId="77777777">
      <w:pPr>
        <w:ind w:firstLine="4320"/>
        <w:rPr>
          <w:szCs w:val="24"/>
        </w:rPr>
      </w:pPr>
      <w:r w:rsidRPr="0010475C">
        <w:rPr>
          <w:szCs w:val="24"/>
        </w:rPr>
        <w:t>Ohio Consumers’ Counsel</w:t>
      </w:r>
    </w:p>
    <w:p w:rsidR="000564AE" w:rsidRPr="0010475C" w:rsidP="000564AE" w14:paraId="13BD305E" w14:textId="77777777">
      <w:pPr>
        <w:ind w:firstLine="4320"/>
        <w:rPr>
          <w:szCs w:val="24"/>
        </w:rPr>
      </w:pPr>
    </w:p>
    <w:p w:rsidR="000564AE" w:rsidRPr="00844B55" w:rsidP="000564AE" w14:paraId="5BF5380D" w14:textId="60EA7C87">
      <w:pPr>
        <w:tabs>
          <w:tab w:val="left" w:pos="4320"/>
        </w:tabs>
        <w:ind w:left="3960"/>
        <w:rPr>
          <w:szCs w:val="24"/>
        </w:rPr>
      </w:pPr>
      <w:r>
        <w:rPr>
          <w:i/>
          <w:szCs w:val="24"/>
        </w:rPr>
        <w:tab/>
      </w:r>
      <w:r w:rsidRPr="00844B55">
        <w:rPr>
          <w:i/>
          <w:szCs w:val="24"/>
          <w:u w:val="single"/>
        </w:rPr>
        <w:t>/s/ Ambrosia E. Logsdon</w:t>
      </w:r>
      <w:r w:rsidRPr="00844B55">
        <w:rPr>
          <w:i/>
          <w:szCs w:val="24"/>
          <w:u w:val="single"/>
        </w:rPr>
        <w:tab/>
      </w:r>
      <w:r w:rsidRPr="00844B55">
        <w:rPr>
          <w:i/>
          <w:szCs w:val="24"/>
          <w:u w:val="single"/>
        </w:rPr>
        <w:tab/>
      </w:r>
    </w:p>
    <w:p w:rsidR="000564AE" w:rsidRPr="00844B55" w:rsidP="000564AE" w14:paraId="69742383" w14:textId="77777777">
      <w:pPr>
        <w:tabs>
          <w:tab w:val="left" w:pos="4320"/>
        </w:tabs>
        <w:ind w:left="3960"/>
        <w:rPr>
          <w:szCs w:val="24"/>
        </w:rPr>
      </w:pPr>
      <w:r>
        <w:rPr>
          <w:szCs w:val="24"/>
        </w:rPr>
        <w:tab/>
      </w:r>
      <w:r w:rsidRPr="00844B55">
        <w:rPr>
          <w:szCs w:val="24"/>
        </w:rPr>
        <w:t>Ambrosia E. Logsdon (0096598)</w:t>
      </w:r>
    </w:p>
    <w:p w:rsidR="000564AE" w:rsidRPr="00844B55" w:rsidP="000564AE" w14:paraId="27833BCC" w14:textId="77777777">
      <w:pPr>
        <w:tabs>
          <w:tab w:val="left" w:pos="4320"/>
        </w:tabs>
        <w:ind w:left="3960"/>
        <w:rPr>
          <w:szCs w:val="24"/>
        </w:rPr>
      </w:pPr>
      <w:r>
        <w:rPr>
          <w:szCs w:val="24"/>
        </w:rPr>
        <w:tab/>
      </w:r>
      <w:r w:rsidRPr="00844B55">
        <w:rPr>
          <w:szCs w:val="24"/>
        </w:rPr>
        <w:t>Counsel of Record</w:t>
      </w:r>
    </w:p>
    <w:p w:rsidR="000564AE" w:rsidP="000564AE" w14:paraId="7099C777" w14:textId="77777777">
      <w:pPr>
        <w:tabs>
          <w:tab w:val="left" w:pos="4320"/>
        </w:tabs>
        <w:ind w:left="3960"/>
        <w:rPr>
          <w:szCs w:val="24"/>
        </w:rPr>
      </w:pPr>
      <w:r>
        <w:rPr>
          <w:szCs w:val="24"/>
        </w:rPr>
        <w:tab/>
      </w:r>
      <w:r w:rsidRPr="00844B55">
        <w:rPr>
          <w:szCs w:val="24"/>
        </w:rPr>
        <w:t>Assistant Consumers’ Counsel</w:t>
      </w:r>
    </w:p>
    <w:p w:rsidR="000564AE" w:rsidRPr="00844B55" w:rsidP="000564AE" w14:paraId="56860F93" w14:textId="77777777">
      <w:pPr>
        <w:tabs>
          <w:tab w:val="left" w:pos="4320"/>
        </w:tabs>
        <w:ind w:left="3960"/>
        <w:rPr>
          <w:szCs w:val="24"/>
        </w:rPr>
      </w:pPr>
    </w:p>
    <w:p w:rsidR="000564AE" w:rsidRPr="00844B55" w:rsidP="000564AE" w14:paraId="7010513E" w14:textId="77777777">
      <w:pPr>
        <w:ind w:left="3960" w:firstLine="360"/>
        <w:rPr>
          <w:b/>
          <w:szCs w:val="24"/>
        </w:rPr>
      </w:pPr>
      <w:r w:rsidRPr="00844B55">
        <w:rPr>
          <w:b/>
          <w:szCs w:val="24"/>
        </w:rPr>
        <w:t>Office of the Ohio Consumers’ Counsel</w:t>
      </w:r>
    </w:p>
    <w:p w:rsidR="000564AE" w:rsidRPr="00844B55" w:rsidP="000564AE" w14:paraId="3D09A55E" w14:textId="77777777">
      <w:pPr>
        <w:ind w:left="3960" w:firstLine="360"/>
        <w:rPr>
          <w:szCs w:val="24"/>
        </w:rPr>
      </w:pPr>
      <w:r w:rsidRPr="00844B55">
        <w:rPr>
          <w:szCs w:val="24"/>
        </w:rPr>
        <w:t>65 E. State Street, 7th Floor</w:t>
      </w:r>
    </w:p>
    <w:p w:rsidR="000564AE" w:rsidRPr="00844B55" w:rsidP="000564AE" w14:paraId="3619EC14" w14:textId="77777777">
      <w:pPr>
        <w:ind w:left="3960" w:firstLine="360"/>
        <w:rPr>
          <w:szCs w:val="24"/>
        </w:rPr>
      </w:pPr>
      <w:r w:rsidRPr="00844B55">
        <w:rPr>
          <w:szCs w:val="24"/>
        </w:rPr>
        <w:t>Columbus, Ohio 43215-3485</w:t>
      </w:r>
    </w:p>
    <w:p w:rsidR="000564AE" w:rsidRPr="00844B55" w:rsidP="000564AE" w14:paraId="1B828872" w14:textId="77777777">
      <w:pPr>
        <w:ind w:left="3960" w:firstLine="360"/>
        <w:rPr>
          <w:szCs w:val="24"/>
        </w:rPr>
      </w:pPr>
      <w:r w:rsidRPr="00844B55">
        <w:rPr>
          <w:szCs w:val="24"/>
        </w:rPr>
        <w:t>Telephone: 614-466-1292</w:t>
      </w:r>
      <w:r>
        <w:rPr>
          <w:szCs w:val="24"/>
        </w:rPr>
        <w:t xml:space="preserve"> [Direct]</w:t>
      </w:r>
    </w:p>
    <w:p w:rsidR="000564AE" w:rsidRPr="00844B55" w:rsidP="000564AE" w14:paraId="79B93455" w14:textId="77777777">
      <w:pPr>
        <w:ind w:left="3960" w:firstLine="360"/>
        <w:rPr>
          <w:szCs w:val="24"/>
        </w:rPr>
      </w:pPr>
      <w:hyperlink r:id="rId9" w:history="1">
        <w:r w:rsidRPr="00996F95" w:rsidR="00191C8B">
          <w:rPr>
            <w:rStyle w:val="Hyperlink"/>
            <w:szCs w:val="24"/>
          </w:rPr>
          <w:t>Ambrosia.Logsdon@occ.ohio.gov</w:t>
        </w:r>
      </w:hyperlink>
    </w:p>
    <w:p w:rsidR="000564AE" w:rsidRPr="00844B55" w:rsidP="000564AE" w14:paraId="5119A68D" w14:textId="77777777">
      <w:pPr>
        <w:autoSpaceDE w:val="0"/>
        <w:autoSpaceDN w:val="0"/>
        <w:adjustRightInd w:val="0"/>
        <w:ind w:left="3960" w:firstLine="360"/>
        <w:rPr>
          <w:szCs w:val="24"/>
        </w:rPr>
      </w:pPr>
      <w:r w:rsidRPr="00844B55">
        <w:rPr>
          <w:szCs w:val="24"/>
        </w:rPr>
        <w:t>(willing to accept service by e-mail)</w:t>
      </w:r>
    </w:p>
    <w:p w:rsidR="00A044B5" w14:paraId="60174ADC" w14:textId="77777777">
      <w:pPr>
        <w:rPr>
          <w:szCs w:val="24"/>
        </w:rPr>
      </w:pPr>
    </w:p>
    <w:p w:rsidR="00A044B5" w14:paraId="789FB961" w14:textId="77777777">
      <w:pPr>
        <w:rPr>
          <w:szCs w:val="24"/>
        </w:rPr>
      </w:pPr>
    </w:p>
    <w:p w:rsidR="00A044B5" w14:paraId="2297A7D0" w14:textId="77777777">
      <w:pPr>
        <w:rPr>
          <w:szCs w:val="24"/>
        </w:rPr>
      </w:pPr>
      <w:r>
        <w:rPr>
          <w:szCs w:val="24"/>
        </w:rPr>
        <w:tab/>
      </w:r>
      <w:r>
        <w:rPr>
          <w:szCs w:val="24"/>
        </w:rPr>
        <w:tab/>
      </w:r>
      <w:r>
        <w:rPr>
          <w:szCs w:val="24"/>
        </w:rPr>
        <w:tab/>
      </w:r>
      <w:r>
        <w:rPr>
          <w:szCs w:val="24"/>
        </w:rPr>
        <w:tab/>
      </w:r>
      <w:r>
        <w:rPr>
          <w:szCs w:val="24"/>
        </w:rPr>
        <w:tab/>
      </w:r>
      <w:r>
        <w:rPr>
          <w:szCs w:val="24"/>
        </w:rPr>
        <w:tab/>
      </w:r>
    </w:p>
    <w:p w:rsidR="00A044B5" w14:paraId="2F0DADDB" w14:textId="77777777">
      <w:pPr>
        <w:jc w:val="center"/>
        <w:rPr>
          <w:b/>
          <w:bCs/>
          <w:u w:val="single"/>
        </w:rPr>
      </w:pPr>
      <w:r>
        <w:br w:type="page"/>
      </w:r>
      <w:r>
        <w:rPr>
          <w:b/>
          <w:bCs/>
          <w:u w:val="single"/>
        </w:rPr>
        <w:t>CERTIFICATE OF SERVICE</w:t>
      </w:r>
    </w:p>
    <w:p w:rsidR="00F46EC7" w:rsidP="00F46EC7" w14:paraId="3AD3757D" w14:textId="77777777">
      <w:pPr>
        <w:jc w:val="center"/>
        <w:rPr>
          <w:b/>
          <w:bCs/>
          <w:u w:val="single"/>
        </w:rPr>
      </w:pPr>
    </w:p>
    <w:p w:rsidR="00A044B5" w14:paraId="5D4F0876" w14:textId="4089F4AB">
      <w:pPr>
        <w:spacing w:line="480" w:lineRule="atLeast"/>
      </w:pPr>
      <w:r>
        <w:tab/>
        <w:t xml:space="preserve">I hereby certify that a copy of this </w:t>
      </w:r>
      <w:r w:rsidRPr="00F46EC7">
        <w:rPr>
          <w:iCs/>
        </w:rPr>
        <w:t>Motion to Intervene</w:t>
      </w:r>
      <w:r>
        <w:t xml:space="preserve"> was served on the persons stated below </w:t>
      </w:r>
      <w:r w:rsidRPr="00F46EC7">
        <w:rPr>
          <w:iCs/>
        </w:rPr>
        <w:t>via</w:t>
      </w:r>
      <w:r>
        <w:t xml:space="preserve"> electronic transmission, this </w:t>
      </w:r>
      <w:r w:rsidR="002221BC">
        <w:t>2</w:t>
      </w:r>
      <w:r w:rsidR="00837FF3">
        <w:t>nd</w:t>
      </w:r>
      <w:r w:rsidR="002221BC">
        <w:t xml:space="preserve"> </w:t>
      </w:r>
      <w:r>
        <w:t xml:space="preserve">day of </w:t>
      </w:r>
      <w:r w:rsidR="00837FF3">
        <w:t>December</w:t>
      </w:r>
      <w:r>
        <w:t xml:space="preserve"> 2019.</w:t>
      </w:r>
    </w:p>
    <w:p w:rsidR="00A044B5" w14:paraId="3C047EB8" w14:textId="77777777">
      <w:pPr>
        <w:spacing w:line="480" w:lineRule="atLeast"/>
      </w:pPr>
    </w:p>
    <w:p w:rsidR="00A044B5" w:rsidRPr="00152E24" w14:paraId="137E293F" w14:textId="77777777">
      <w:pPr>
        <w:tabs>
          <w:tab w:val="left" w:pos="4320"/>
        </w:tabs>
        <w:rPr>
          <w:i/>
          <w:iCs/>
          <w:u w:val="single"/>
        </w:rPr>
      </w:pPr>
      <w:r>
        <w:tab/>
      </w:r>
      <w:r>
        <w:rPr>
          <w:i/>
          <w:iCs/>
          <w:u w:val="single"/>
        </w:rPr>
        <w:t>/s/ Ambrosia E. Logsdon</w:t>
      </w:r>
      <w:r>
        <w:rPr>
          <w:i/>
          <w:iCs/>
          <w:u w:val="single"/>
        </w:rPr>
        <w:tab/>
      </w:r>
      <w:r>
        <w:rPr>
          <w:i/>
          <w:iCs/>
          <w:u w:val="single"/>
        </w:rPr>
        <w:tab/>
      </w:r>
    </w:p>
    <w:p w:rsidR="00A044B5" w14:paraId="6A01058A" w14:textId="77777777">
      <w:pPr>
        <w:tabs>
          <w:tab w:val="left" w:pos="4320"/>
        </w:tabs>
      </w:pPr>
      <w:r>
        <w:tab/>
        <w:t>Assistant Consumers’ Counsel</w:t>
      </w:r>
    </w:p>
    <w:p w:rsidR="00A044B5" w14:paraId="443E6D0D" w14:textId="11B80EEE">
      <w:pPr>
        <w:pStyle w:val="CommentSubject"/>
      </w:pPr>
    </w:p>
    <w:p w:rsidR="002644AC" w:rsidP="002644AC" w14:paraId="65A64429" w14:textId="77777777">
      <w:r>
        <w:t>The PUCO’s e-filing system will electronically serve notice of the filing of this document on the following parties:</w:t>
      </w:r>
    </w:p>
    <w:p w:rsidR="002644AC" w:rsidRPr="002644AC" w:rsidP="002644AC" w14:paraId="5D21682C" w14:textId="77777777">
      <w:pPr>
        <w:pStyle w:val="CommentText"/>
      </w:pPr>
    </w:p>
    <w:p w:rsidR="00A044B5" w14:paraId="29EA7779" w14:textId="77777777">
      <w:pPr>
        <w:pStyle w:val="CommentText"/>
      </w:pPr>
    </w:p>
    <w:p w:rsidR="00A044B5" w14:paraId="22F61814" w14:textId="77777777">
      <w:pPr>
        <w:pStyle w:val="CommentText"/>
        <w:jc w:val="center"/>
        <w:rPr>
          <w:b/>
          <w:u w:val="single"/>
        </w:rPr>
      </w:pPr>
      <w:r>
        <w:rPr>
          <w:b/>
          <w:u w:val="single"/>
        </w:rPr>
        <w:t>SERVICE LIST</w:t>
      </w:r>
    </w:p>
    <w:p w:rsidR="00F46EC7" w14:paraId="560676CE" w14:textId="77777777">
      <w:pPr>
        <w:pStyle w:val="CommentText"/>
        <w:jc w:val="center"/>
        <w:rPr>
          <w:b/>
          <w:u w:val="single"/>
        </w:rPr>
      </w:pPr>
    </w:p>
    <w:p w:rsidR="00A044B5" w14:paraId="510897E0" w14:textId="7777777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1"/>
        <w:gridCol w:w="4269"/>
      </w:tblGrid>
      <w:tr w14:paraId="16B266C2" w14:textId="77777777" w:rsidTr="00F46EC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7" w:type="dxa"/>
          </w:tcPr>
          <w:p w:rsidR="008F5DA2" w:rsidRPr="002644AC" w:rsidP="00A044B5" w14:paraId="3677EAE9" w14:textId="77777777">
            <w:pPr>
              <w:autoSpaceDE w:val="0"/>
              <w:autoSpaceDN w:val="0"/>
              <w:adjustRightInd w:val="0"/>
              <w:rPr>
                <w:bCs/>
                <w:color w:val="0000FF"/>
                <w:u w:val="single"/>
              </w:rPr>
            </w:pPr>
            <w:r w:rsidRPr="002644AC">
              <w:rPr>
                <w:bCs/>
                <w:color w:val="0000FF"/>
                <w:u w:val="single"/>
              </w:rPr>
              <w:t>John.jones@ohioattorneygeneral.gov</w:t>
            </w:r>
          </w:p>
          <w:p w:rsidR="002644AC" w:rsidP="00A044B5" w14:paraId="744C56C9" w14:textId="77777777">
            <w:pPr>
              <w:autoSpaceDE w:val="0"/>
              <w:autoSpaceDN w:val="0"/>
              <w:adjustRightInd w:val="0"/>
              <w:rPr>
                <w:bCs/>
              </w:rPr>
            </w:pPr>
          </w:p>
          <w:p w:rsidR="002644AC" w:rsidP="00A044B5" w14:paraId="5691EA81" w14:textId="77777777">
            <w:pPr>
              <w:autoSpaceDE w:val="0"/>
              <w:autoSpaceDN w:val="0"/>
              <w:adjustRightInd w:val="0"/>
              <w:rPr>
                <w:bCs/>
              </w:rPr>
            </w:pPr>
            <w:r>
              <w:rPr>
                <w:bCs/>
              </w:rPr>
              <w:t>Attorney Examiner:</w:t>
            </w:r>
          </w:p>
          <w:p w:rsidR="002644AC" w:rsidP="00A044B5" w14:paraId="0663AB08" w14:textId="77777777">
            <w:pPr>
              <w:autoSpaceDE w:val="0"/>
              <w:autoSpaceDN w:val="0"/>
              <w:adjustRightInd w:val="0"/>
              <w:rPr>
                <w:bCs/>
              </w:rPr>
            </w:pPr>
          </w:p>
          <w:p w:rsidR="002644AC" w:rsidRPr="002644AC" w:rsidP="00A044B5" w14:paraId="1A48D570" w14:textId="77777777">
            <w:pPr>
              <w:autoSpaceDE w:val="0"/>
              <w:autoSpaceDN w:val="0"/>
              <w:adjustRightInd w:val="0"/>
              <w:rPr>
                <w:bCs/>
                <w:color w:val="0000FF"/>
                <w:u w:val="single"/>
              </w:rPr>
            </w:pPr>
            <w:r w:rsidRPr="002644AC">
              <w:rPr>
                <w:bCs/>
                <w:color w:val="0000FF"/>
                <w:u w:val="single"/>
              </w:rPr>
              <w:t>Lauren.augostini@puc.state.oh.us</w:t>
            </w:r>
          </w:p>
          <w:p w:rsidR="002644AC" w:rsidRPr="00A044B5" w:rsidP="00A044B5" w14:paraId="0DF0ADAC" w14:textId="6530C029">
            <w:pPr>
              <w:autoSpaceDE w:val="0"/>
              <w:autoSpaceDN w:val="0"/>
              <w:adjustRightInd w:val="0"/>
              <w:rPr>
                <w:bCs/>
              </w:rPr>
            </w:pPr>
          </w:p>
        </w:tc>
        <w:tc>
          <w:tcPr>
            <w:tcW w:w="4425" w:type="dxa"/>
          </w:tcPr>
          <w:p w:rsidR="00F46EC7" w:rsidRPr="002644AC" w:rsidP="002644AC" w14:paraId="3D655B43" w14:textId="77777777">
            <w:pPr>
              <w:pStyle w:val="BodyText"/>
              <w:ind w:left="118"/>
              <w:rPr>
                <w:bCs/>
                <w:color w:val="0000FF"/>
                <w:u w:val="single"/>
              </w:rPr>
            </w:pPr>
            <w:r w:rsidRPr="002644AC">
              <w:rPr>
                <w:bCs/>
                <w:color w:val="0000FF"/>
                <w:u w:val="single"/>
              </w:rPr>
              <w:t>Rocco.dascenzo@duke-energy.com</w:t>
            </w:r>
          </w:p>
          <w:p w:rsidR="002644AC" w:rsidRPr="002644AC" w:rsidP="002644AC" w14:paraId="2002C21B" w14:textId="361D3820">
            <w:pPr>
              <w:pStyle w:val="BodyText"/>
              <w:ind w:left="118" w:hanging="1"/>
              <w:rPr>
                <w:bCs/>
                <w:color w:val="0000FF"/>
                <w:u w:val="single"/>
              </w:rPr>
            </w:pPr>
            <w:r w:rsidRPr="002644AC">
              <w:rPr>
                <w:bCs/>
                <w:color w:val="0000FF"/>
                <w:u w:val="single"/>
              </w:rPr>
              <w:t>Jeanne.kingery@duke-energy.com</w:t>
            </w:r>
          </w:p>
          <w:p w:rsidR="002644AC" w:rsidRPr="00A044B5" w:rsidP="002644AC" w14:paraId="7E86DBFD" w14:textId="0E29097B">
            <w:pPr>
              <w:pStyle w:val="BodyText"/>
              <w:ind w:left="118" w:hanging="1"/>
              <w:rPr>
                <w:bCs/>
              </w:rPr>
            </w:pPr>
            <w:r w:rsidRPr="002644AC">
              <w:rPr>
                <w:bCs/>
                <w:color w:val="0000FF"/>
                <w:u w:val="single"/>
              </w:rPr>
              <w:t>Larisa.vaysman@duke-energy.com</w:t>
            </w:r>
          </w:p>
        </w:tc>
      </w:tr>
    </w:tbl>
    <w:p w:rsidR="00A044B5" w14:paraId="551CDF0A" w14:textId="77777777">
      <w:pPr>
        <w:pStyle w:val="BodyText"/>
        <w:rPr>
          <w:b/>
          <w:bCs/>
        </w:rPr>
      </w:pPr>
    </w:p>
    <w:sectPr w:rsidSect="00E66BA7">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1792F8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01215C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77642C8"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98705792"/>
      <w:docPartObj>
        <w:docPartGallery w:val="Page Numbers (Bottom of Page)"/>
        <w:docPartUnique/>
      </w:docPartObj>
    </w:sdtPr>
    <w:sdtEndPr>
      <w:rPr>
        <w:noProof/>
      </w:rPr>
    </w:sdtEndPr>
    <w:sdtContent>
      <w:p w:rsidR="00CE52CB" w14:paraId="2141C1FD" w14:textId="2BB2C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CE52CB" w:rsidP="00CE52CB" w14:paraId="6FC672C1" w14:textId="7A67F0BE">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4</w:t>
    </w:r>
    <w:r>
      <w:rPr>
        <w:rStyle w:val="PageNumber"/>
        <w:sz w:val="24"/>
        <w:szCs w:val="24"/>
      </w:rPr>
      <w:fldChar w:fldCharType="end"/>
    </w:r>
  </w:p>
  <w:p w:rsidR="00A044B5" w:rsidP="00CE52CB" w14:paraId="2B2D3FEA" w14:textId="41BFE9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775840"/>
      <w:docPartObj>
        <w:docPartGallery w:val="Page Numbers (Bottom of Page)"/>
        <w:docPartUnique/>
      </w:docPartObj>
    </w:sdtPr>
    <w:sdtEndPr>
      <w:rPr>
        <w:noProof/>
      </w:rPr>
    </w:sdtEndPr>
    <w:sdtContent>
      <w:p w:rsidR="00CE52CB" w14:paraId="0F263CCA" w14:textId="3E6698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19F7" w14:paraId="19B35346" w14:textId="77777777">
      <w:r>
        <w:separator/>
      </w:r>
    </w:p>
  </w:footnote>
  <w:footnote w:type="continuationSeparator" w:id="1">
    <w:p w:rsidR="005A19F7" w14:paraId="63A10783" w14:textId="77777777">
      <w:r>
        <w:continuationSeparator/>
      </w:r>
    </w:p>
  </w:footnote>
  <w:footnote w:id="2">
    <w:p w:rsidR="00D72E3F" w:rsidRPr="00D72E3F" w:rsidP="004B7DFD" w14:paraId="59E26988" w14:textId="44A7828E">
      <w:pPr>
        <w:pStyle w:val="FootnoteText"/>
        <w:spacing w:after="120"/>
        <w:rPr>
          <w:i/>
          <w:iCs/>
        </w:rPr>
      </w:pPr>
      <w:r>
        <w:rPr>
          <w:rStyle w:val="FootnoteReference"/>
        </w:rPr>
        <w:footnoteRef/>
      </w:r>
      <w:r>
        <w:t xml:space="preserve"> Application at 4</w:t>
      </w:r>
      <w:r>
        <w:rPr>
          <w:i/>
          <w:iCs/>
        </w:rPr>
        <w:t>.</w:t>
      </w:r>
    </w:p>
  </w:footnote>
  <w:footnote w:id="3">
    <w:p w:rsidR="00D72E3F" w:rsidRPr="00D72E3F" w:rsidP="004B7DFD" w14:paraId="51912F29" w14:textId="165E76A5">
      <w:pPr>
        <w:pStyle w:val="FootnoteText"/>
        <w:spacing w:after="120"/>
        <w:rPr>
          <w:i/>
          <w:iCs/>
        </w:rPr>
      </w:pPr>
      <w:r>
        <w:rPr>
          <w:rStyle w:val="FootnoteReference"/>
        </w:rPr>
        <w:footnoteRef/>
      </w:r>
      <w:r>
        <w:t xml:space="preserve"> </w:t>
      </w:r>
      <w:r>
        <w:rPr>
          <w:i/>
          <w:iCs/>
        </w:rPr>
        <w:t>Id.</w:t>
      </w:r>
    </w:p>
  </w:footnote>
  <w:footnote w:id="4">
    <w:p w:rsidR="00D72E3F" w:rsidRPr="00D72E3F" w:rsidP="004B7DFD" w14:paraId="11E8C715" w14:textId="643A53FC">
      <w:pPr>
        <w:pStyle w:val="FootnoteText"/>
        <w:spacing w:after="120"/>
        <w:rPr>
          <w:i/>
          <w:iCs/>
        </w:rPr>
      </w:pPr>
      <w:r>
        <w:rPr>
          <w:rStyle w:val="FootnoteReference"/>
        </w:rPr>
        <w:footnoteRef/>
      </w:r>
      <w:r>
        <w:t xml:space="preserve"> </w:t>
      </w:r>
      <w:r>
        <w:rPr>
          <w:i/>
          <w:iCs/>
        </w:rPr>
        <w:t>Id.</w:t>
      </w:r>
    </w:p>
  </w:footnote>
  <w:footnote w:id="5">
    <w:p w:rsidR="005A1FD1" w:rsidP="004B7DFD" w14:paraId="16389660" w14:textId="611126D4">
      <w:pPr>
        <w:pStyle w:val="FootnoteText"/>
        <w:spacing w:after="120"/>
      </w:pPr>
      <w:r>
        <w:rPr>
          <w:rStyle w:val="FootnoteReference"/>
        </w:rPr>
        <w:footnoteRef/>
      </w:r>
      <w:r>
        <w:t xml:space="preserve"> </w:t>
      </w:r>
      <w:r w:rsidR="00403F63">
        <w:rPr>
          <w:i/>
          <w:iCs/>
        </w:rPr>
        <w:t>Id.</w:t>
      </w:r>
      <w:r w:rsidR="00D72E3F">
        <w:t xml:space="preserve"> at 4-5.</w:t>
      </w:r>
    </w:p>
  </w:footnote>
  <w:footnote w:id="6">
    <w:p w:rsidR="005A1FD1" w:rsidP="004B7DFD" w14:paraId="2B461607" w14:textId="56CF921F">
      <w:pPr>
        <w:pStyle w:val="FootnoteText"/>
        <w:spacing w:after="120"/>
      </w:pPr>
      <w:r>
        <w:rPr>
          <w:rStyle w:val="FootnoteReference"/>
        </w:rPr>
        <w:footnoteRef/>
      </w:r>
      <w:r>
        <w:t xml:space="preserve"> </w:t>
      </w:r>
      <w:r w:rsidR="00D72E3F">
        <w:rPr>
          <w:i/>
          <w:iCs/>
        </w:rPr>
        <w:t>Id.</w:t>
      </w:r>
      <w:r w:rsidR="00D72E3F">
        <w:t xml:space="preserve"> at 5.</w:t>
      </w:r>
    </w:p>
  </w:footnote>
  <w:footnote w:id="7">
    <w:p w:rsidR="00EA1E02" w:rsidRPr="00EA1E02" w:rsidP="004B7DFD" w14:paraId="74C56788" w14:textId="0B5C7196">
      <w:pPr>
        <w:pStyle w:val="FootnoteText"/>
        <w:spacing w:after="120"/>
        <w:rPr>
          <w:i/>
          <w:iCs/>
        </w:rPr>
      </w:pPr>
      <w:r>
        <w:rPr>
          <w:rStyle w:val="FootnoteReference"/>
        </w:rPr>
        <w:footnoteRef/>
      </w:r>
      <w:r>
        <w:t xml:space="preserve"> </w:t>
      </w:r>
      <w:r>
        <w:rPr>
          <w:i/>
          <w:iCs/>
        </w:rPr>
        <w:t>Id.</w:t>
      </w:r>
    </w:p>
  </w:footnote>
  <w:footnote w:id="8">
    <w:p w:rsidR="005A1FD1" w:rsidP="004B7DFD" w14:paraId="408B0EB0" w14:textId="3447CDEF">
      <w:pPr>
        <w:pStyle w:val="FootnoteText"/>
        <w:spacing w:after="120"/>
      </w:pPr>
      <w:r>
        <w:rPr>
          <w:rStyle w:val="FootnoteReference"/>
        </w:rPr>
        <w:footnoteRef/>
      </w:r>
      <w:r>
        <w:t xml:space="preserve"> </w:t>
      </w:r>
      <w:r w:rsidR="00D72E3F">
        <w:rPr>
          <w:i/>
          <w:iCs/>
        </w:rPr>
        <w:t>Id.</w:t>
      </w:r>
    </w:p>
  </w:footnote>
  <w:footnote w:id="9">
    <w:p w:rsidR="005A1FD1" w:rsidP="004B7DFD" w14:paraId="59744CDC" w14:textId="506710EA">
      <w:pPr>
        <w:pStyle w:val="FootnoteText"/>
        <w:spacing w:after="120"/>
      </w:pPr>
      <w:r>
        <w:rPr>
          <w:rStyle w:val="FootnoteReference"/>
        </w:rPr>
        <w:footnoteRef/>
      </w:r>
      <w:r>
        <w:t xml:space="preserve"> </w:t>
      </w:r>
      <w:r w:rsidR="00D72E3F">
        <w:rPr>
          <w:i/>
          <w:iCs/>
        </w:rPr>
        <w:t>Id.</w:t>
      </w:r>
      <w:r>
        <w:t xml:space="preserve"> at 5-6.</w:t>
      </w:r>
    </w:p>
  </w:footnote>
  <w:footnote w:id="10">
    <w:p w:rsidR="005A1FD1" w:rsidP="004B7DFD" w14:paraId="49BC26DC" w14:textId="06343D4D">
      <w:pPr>
        <w:pStyle w:val="FootnoteText"/>
        <w:spacing w:after="120"/>
      </w:pPr>
      <w:r>
        <w:rPr>
          <w:rStyle w:val="FootnoteReference"/>
        </w:rPr>
        <w:footnoteRef/>
      </w:r>
      <w:r>
        <w:t xml:space="preserve"> </w:t>
      </w:r>
      <w:r w:rsidR="00D72E3F">
        <w:rPr>
          <w:i/>
          <w:iCs/>
        </w:rPr>
        <w:t>Id.</w:t>
      </w:r>
      <w:r>
        <w:t xml:space="preserve"> at 6.</w:t>
      </w:r>
    </w:p>
  </w:footnote>
  <w:footnote w:id="11">
    <w:p w:rsidR="0022034C" w14:paraId="04E4308D" w14:textId="6B2A5F3C">
      <w:pPr>
        <w:pStyle w:val="FootnoteText"/>
      </w:pPr>
      <w:r>
        <w:rPr>
          <w:rStyle w:val="FootnoteReference"/>
        </w:rPr>
        <w:footnoteRef/>
      </w:r>
      <w:r>
        <w:t xml:space="preserve"> </w:t>
      </w:r>
      <w:r w:rsidRPr="00837FF3">
        <w:rPr>
          <w:i/>
          <w:iCs/>
        </w:rPr>
        <w:t>See, e.g., In the Matter of the Application of Duke Energy Ohio, Inc. for Approval of a Grid Modernization Opt-Out Tariff and for a Change in Accounting Procedures Including a Cost Recovery Mechanism</w:t>
      </w:r>
      <w:r>
        <w:t>, Case No. 14-1160-ELUNC, et al., Pre-filed Testimony of David M. Lipthratt, pp. 5-6 (October 2, 2015).</w:t>
      </w:r>
    </w:p>
  </w:footnote>
  <w:footnote w:id="12">
    <w:p w:rsidR="00A0645A" w:rsidP="004B7DFD" w14:paraId="7D6BD326" w14:textId="241B19D6">
      <w:pPr>
        <w:pStyle w:val="FootnoteText"/>
        <w:spacing w:after="120"/>
      </w:pPr>
      <w:r>
        <w:rPr>
          <w:rStyle w:val="FootnoteReference"/>
        </w:rPr>
        <w:footnoteRef/>
      </w:r>
      <w:r>
        <w:t xml:space="preserve"> </w:t>
      </w:r>
      <w:r w:rsidR="004E1B60">
        <w:rPr>
          <w:i/>
          <w:iCs/>
        </w:rPr>
        <w:t>Id.</w:t>
      </w:r>
      <w:r>
        <w:t xml:space="preserve"> at 5.</w:t>
      </w:r>
    </w:p>
  </w:footnote>
  <w:footnote w:id="13">
    <w:p w:rsidR="00A044B5" w:rsidP="004B7DFD" w14:paraId="2D2D8268"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1364AD4"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23C3E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4D388D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45872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C0"/>
    <w:rsid w:val="000564AE"/>
    <w:rsid w:val="00080A36"/>
    <w:rsid w:val="0010138D"/>
    <w:rsid w:val="0010475C"/>
    <w:rsid w:val="0010529C"/>
    <w:rsid w:val="001118C3"/>
    <w:rsid w:val="00117C82"/>
    <w:rsid w:val="00124174"/>
    <w:rsid w:val="00133F5D"/>
    <w:rsid w:val="0014784A"/>
    <w:rsid w:val="00152E24"/>
    <w:rsid w:val="00157BAB"/>
    <w:rsid w:val="00157E53"/>
    <w:rsid w:val="00180CF7"/>
    <w:rsid w:val="00191C8B"/>
    <w:rsid w:val="001A3F0C"/>
    <w:rsid w:val="001A5914"/>
    <w:rsid w:val="001C11B2"/>
    <w:rsid w:val="0022034C"/>
    <w:rsid w:val="002221BC"/>
    <w:rsid w:val="002644AC"/>
    <w:rsid w:val="002B3F0E"/>
    <w:rsid w:val="002F180C"/>
    <w:rsid w:val="003179C0"/>
    <w:rsid w:val="00347CB5"/>
    <w:rsid w:val="003733CD"/>
    <w:rsid w:val="003942E8"/>
    <w:rsid w:val="003D7CFF"/>
    <w:rsid w:val="003F0B0F"/>
    <w:rsid w:val="00403F63"/>
    <w:rsid w:val="004072AF"/>
    <w:rsid w:val="004152E8"/>
    <w:rsid w:val="00487459"/>
    <w:rsid w:val="004B7DFD"/>
    <w:rsid w:val="004E1B60"/>
    <w:rsid w:val="00501ADE"/>
    <w:rsid w:val="0051476A"/>
    <w:rsid w:val="00516876"/>
    <w:rsid w:val="00555046"/>
    <w:rsid w:val="00572C19"/>
    <w:rsid w:val="005A1FD1"/>
    <w:rsid w:val="005A24FF"/>
    <w:rsid w:val="005D3675"/>
    <w:rsid w:val="005E457D"/>
    <w:rsid w:val="00627174"/>
    <w:rsid w:val="00637143"/>
    <w:rsid w:val="0065613D"/>
    <w:rsid w:val="006643A8"/>
    <w:rsid w:val="00684980"/>
    <w:rsid w:val="006A68EB"/>
    <w:rsid w:val="006D035E"/>
    <w:rsid w:val="0073754C"/>
    <w:rsid w:val="0074034A"/>
    <w:rsid w:val="00741CF1"/>
    <w:rsid w:val="0075676B"/>
    <w:rsid w:val="00780FF5"/>
    <w:rsid w:val="00837FF3"/>
    <w:rsid w:val="00844B55"/>
    <w:rsid w:val="008536E2"/>
    <w:rsid w:val="00864741"/>
    <w:rsid w:val="008B3BDC"/>
    <w:rsid w:val="008F5DA2"/>
    <w:rsid w:val="0092338D"/>
    <w:rsid w:val="00996F95"/>
    <w:rsid w:val="009D24C5"/>
    <w:rsid w:val="009E56A1"/>
    <w:rsid w:val="00A044B5"/>
    <w:rsid w:val="00A0645A"/>
    <w:rsid w:val="00A476FD"/>
    <w:rsid w:val="00A71DFE"/>
    <w:rsid w:val="00B15A4E"/>
    <w:rsid w:val="00B83C81"/>
    <w:rsid w:val="00C160EF"/>
    <w:rsid w:val="00C23BF3"/>
    <w:rsid w:val="00C612C8"/>
    <w:rsid w:val="00C769FC"/>
    <w:rsid w:val="00C90496"/>
    <w:rsid w:val="00CE52CB"/>
    <w:rsid w:val="00CF070D"/>
    <w:rsid w:val="00D72E3F"/>
    <w:rsid w:val="00E020A2"/>
    <w:rsid w:val="00E42E6B"/>
    <w:rsid w:val="00E4385A"/>
    <w:rsid w:val="00E66BA7"/>
    <w:rsid w:val="00E979A3"/>
    <w:rsid w:val="00EA1E02"/>
    <w:rsid w:val="00F41412"/>
    <w:rsid w:val="00F46EC7"/>
    <w:rsid w:val="00F77A5F"/>
    <w:rsid w:val="00F964BF"/>
    <w:rsid w:val="00FB7B91"/>
    <w:rsid w:val="00FD066B"/>
    <w:rsid w:val="00FE3C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46EC7"/>
    <w:rPr>
      <w:color w:val="605E5C"/>
      <w:shd w:val="clear" w:color="auto" w:fill="E1DFDD"/>
    </w:rPr>
  </w:style>
  <w:style w:type="character" w:customStyle="1" w:styleId="UnresolvedMention2">
    <w:name w:val="Unresolved Mention2"/>
    <w:basedOn w:val="DefaultParagraphFont"/>
    <w:rsid w:val="00C160EF"/>
    <w:rPr>
      <w:color w:val="605E5C"/>
      <w:shd w:val="clear" w:color="auto" w:fill="E1DFDD"/>
    </w:rPr>
  </w:style>
  <w:style w:type="character" w:customStyle="1" w:styleId="FooterChar">
    <w:name w:val="Footer Char"/>
    <w:basedOn w:val="DefaultParagraphFont"/>
    <w:link w:val="Footer"/>
    <w:uiPriority w:val="99"/>
    <w:rsid w:val="00CE52CB"/>
  </w:style>
  <w:style w:type="paragraph" w:styleId="Revision">
    <w:name w:val="Revision"/>
    <w:hidden/>
    <w:uiPriority w:val="99"/>
    <w:semiHidden/>
    <w:rsid w:val="006271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yperlink" Target="mailto:Ambrosia.Logsd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9DAB6-AD34-45B9-9906-95F8169E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19-1873-GE-AAM - Duke Pension Acctg - MTI w-db.dfs.docx ls.-ka.mrw.wrw.ael.mrw.ael.docx</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2019-12-02T18:16:52Z</dcterms:created>
  <dcterms:modified xsi:type="dcterms:W3CDTF">2019-12-02T18:16:52Z</dcterms:modified>
</cp:coreProperties>
</file>