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B176E" w:rsidRPr="00C5582B" w:rsidP="00AB17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C5582B">
        <w:rPr>
          <w:rFonts w:ascii="Times New Roman" w:hAnsi="Times New Roman" w:cs="Times New Roman"/>
          <w:b/>
          <w:bCs/>
          <w:sz w:val="24"/>
          <w:szCs w:val="24"/>
        </w:rPr>
        <w:t>BEFORE</w:t>
      </w:r>
    </w:p>
    <w:p w:rsidR="00AB176E" w:rsidRPr="00C5582B" w:rsidP="00AB176E">
      <w:pPr>
        <w:pStyle w:val="HTMLPreformatted"/>
        <w:jc w:val="center"/>
        <w:rPr>
          <w:rFonts w:ascii="Times New Roman" w:hAnsi="Times New Roman" w:cs="Times New Roman"/>
          <w:b/>
          <w:bCs/>
          <w:sz w:val="24"/>
          <w:szCs w:val="24"/>
        </w:rPr>
      </w:pPr>
      <w:r w:rsidRPr="00C5582B">
        <w:rPr>
          <w:rFonts w:ascii="Times New Roman" w:hAnsi="Times New Roman" w:cs="Times New Roman"/>
          <w:b/>
          <w:bCs/>
          <w:sz w:val="24"/>
          <w:szCs w:val="24"/>
        </w:rPr>
        <w:t>THE PUBLIC UTILITIES COMMISSION OF OHIO</w:t>
      </w:r>
    </w:p>
    <w:p w:rsidR="00E52C50" w:rsidRPr="00C5582B" w:rsidP="00AB176E">
      <w:pPr>
        <w:pStyle w:val="HTMLPreformatted"/>
        <w:jc w:val="center"/>
        <w:rPr>
          <w:rFonts w:ascii="Times New Roman" w:hAnsi="Times New Roman" w:cs="Times New Roman"/>
          <w:b/>
          <w:bCs/>
          <w:sz w:val="24"/>
          <w:szCs w:val="24"/>
        </w:rPr>
      </w:pPr>
    </w:p>
    <w:tbl>
      <w:tblPr>
        <w:tblW w:w="9468" w:type="dxa"/>
        <w:tblLook w:val="01E0"/>
      </w:tblPr>
      <w:tblGrid>
        <w:gridCol w:w="4518"/>
        <w:gridCol w:w="480"/>
        <w:gridCol w:w="4470"/>
      </w:tblGrid>
      <w:tr w:rsidTr="002F1813">
        <w:tblPrEx>
          <w:tblW w:w="9468" w:type="dxa"/>
          <w:tblLook w:val="01E0"/>
        </w:tblPrEx>
        <w:trPr>
          <w:trHeight w:val="807"/>
        </w:trPr>
        <w:tc>
          <w:tcPr>
            <w:tcW w:w="4518" w:type="dxa"/>
          </w:tcPr>
          <w:p w:rsidR="00E52C50" w:rsidRPr="00C5582B">
            <w:pPr>
              <w:autoSpaceDE w:val="0"/>
              <w:autoSpaceDN w:val="0"/>
              <w:adjustRightInd w:val="0"/>
              <w:rPr>
                <w:szCs w:val="24"/>
              </w:rPr>
            </w:pPr>
            <w:r w:rsidRPr="00C5582B">
              <w:rPr>
                <w:szCs w:val="24"/>
              </w:rPr>
              <w:t>In the Matter of the Procurement of Standard Service Offer Generation as Part of the Fourth Electric Security Plan for Customers of Ohio Edison Company, the Cleveland Electric Illuminating Company, and The Toledo Edison Company.</w:t>
            </w:r>
          </w:p>
          <w:p w:rsidR="00E52C50" w:rsidRPr="00C5582B">
            <w:pPr>
              <w:autoSpaceDE w:val="0"/>
              <w:autoSpaceDN w:val="0"/>
              <w:adjustRightInd w:val="0"/>
              <w:rPr>
                <w:szCs w:val="24"/>
              </w:rPr>
            </w:pPr>
          </w:p>
          <w:p w:rsidR="00E52C50" w:rsidRPr="00C5582B">
            <w:pPr>
              <w:autoSpaceDE w:val="0"/>
              <w:autoSpaceDN w:val="0"/>
              <w:adjustRightInd w:val="0"/>
              <w:rPr>
                <w:szCs w:val="24"/>
              </w:rPr>
            </w:pPr>
            <w:r w:rsidRPr="00C5582B">
              <w:rPr>
                <w:szCs w:val="24"/>
              </w:rPr>
              <w:t>In the Matter of the Procurement of Standard Service Offer Generation for Customers of the Dayton Power and Light Company.</w:t>
            </w:r>
          </w:p>
          <w:p w:rsidR="00E52C50" w:rsidRPr="00C5582B">
            <w:pPr>
              <w:autoSpaceDE w:val="0"/>
              <w:autoSpaceDN w:val="0"/>
              <w:adjustRightInd w:val="0"/>
              <w:rPr>
                <w:szCs w:val="24"/>
              </w:rPr>
            </w:pPr>
          </w:p>
          <w:p w:rsidR="00E52C50" w:rsidRPr="00C5582B" w:rsidP="00E52C50">
            <w:pPr>
              <w:autoSpaceDE w:val="0"/>
              <w:autoSpaceDN w:val="0"/>
              <w:adjustRightInd w:val="0"/>
              <w:rPr>
                <w:szCs w:val="24"/>
              </w:rPr>
            </w:pPr>
            <w:r w:rsidRPr="00C5582B">
              <w:rPr>
                <w:szCs w:val="24"/>
              </w:rPr>
              <w:t>In the Matter of the Procurement of Standard Service Offer Generation for Customers of Ohio Power Company.</w:t>
            </w:r>
          </w:p>
          <w:p w:rsidR="00E52C50" w:rsidRPr="00C5582B">
            <w:pPr>
              <w:autoSpaceDE w:val="0"/>
              <w:autoSpaceDN w:val="0"/>
              <w:adjustRightInd w:val="0"/>
              <w:rPr>
                <w:szCs w:val="24"/>
              </w:rPr>
            </w:pPr>
          </w:p>
        </w:tc>
        <w:tc>
          <w:tcPr>
            <w:tcW w:w="480" w:type="dxa"/>
          </w:tcPr>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470" w:type="dxa"/>
          </w:tcPr>
          <w:p w:rsidR="00E52C50" w:rsidRPr="00C5582B">
            <w:pPr>
              <w:autoSpaceDE w:val="0"/>
              <w:autoSpaceDN w:val="0"/>
              <w:adjustRightInd w:val="0"/>
              <w:rPr>
                <w:szCs w:val="24"/>
                <w:lang w:val="es-MX"/>
              </w:rPr>
            </w:pPr>
          </w:p>
          <w:p w:rsidR="002F1813" w:rsidRPr="00C5582B">
            <w:pPr>
              <w:autoSpaceDE w:val="0"/>
              <w:autoSpaceDN w:val="0"/>
              <w:adjustRightInd w:val="0"/>
              <w:rPr>
                <w:szCs w:val="24"/>
                <w:lang w:val="es-MX"/>
              </w:rPr>
            </w:pPr>
          </w:p>
          <w:p w:rsidR="00E52C50" w:rsidRPr="00C5582B">
            <w:pPr>
              <w:autoSpaceDE w:val="0"/>
              <w:autoSpaceDN w:val="0"/>
              <w:adjustRightInd w:val="0"/>
              <w:rPr>
                <w:szCs w:val="24"/>
                <w:lang w:val="es-MX"/>
              </w:rPr>
            </w:pPr>
            <w:r w:rsidRPr="00C5582B">
              <w:rPr>
                <w:szCs w:val="24"/>
                <w:lang w:val="es-MX"/>
              </w:rPr>
              <w:t>Case No. 16-776-EL-UNC</w:t>
            </w: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autoSpaceDE w:val="0"/>
              <w:autoSpaceDN w:val="0"/>
              <w:adjustRightInd w:val="0"/>
              <w:rPr>
                <w:szCs w:val="24"/>
                <w:lang w:val="es-MX"/>
              </w:rPr>
            </w:pPr>
          </w:p>
          <w:p w:rsidR="00E52C50" w:rsidRPr="00C5582B">
            <w:pPr>
              <w:rPr>
                <w:szCs w:val="24"/>
                <w:lang w:val="es-MX"/>
              </w:rPr>
            </w:pPr>
          </w:p>
          <w:p w:rsidR="00E52C50" w:rsidRPr="00C5582B">
            <w:pPr>
              <w:rPr>
                <w:szCs w:val="24"/>
                <w:lang w:val="es-MX"/>
              </w:rPr>
            </w:pPr>
            <w:r w:rsidRPr="00C5582B">
              <w:rPr>
                <w:szCs w:val="24"/>
                <w:lang w:val="es-MX"/>
              </w:rPr>
              <w:t>Case No. 17-957-EL-UNC</w:t>
            </w:r>
          </w:p>
          <w:p w:rsidR="00E52C50" w:rsidRPr="00C5582B" w:rsidP="00E52C50">
            <w:pPr>
              <w:rPr>
                <w:szCs w:val="24"/>
                <w:lang w:val="es-MX"/>
              </w:rPr>
            </w:pPr>
          </w:p>
          <w:p w:rsidR="00E52C50" w:rsidRPr="00C5582B" w:rsidP="00E52C50">
            <w:pPr>
              <w:rPr>
                <w:szCs w:val="24"/>
                <w:lang w:val="es-MX"/>
              </w:rPr>
            </w:pPr>
          </w:p>
          <w:p w:rsidR="00E52C50" w:rsidRPr="00C5582B" w:rsidP="00E52C50">
            <w:pPr>
              <w:rPr>
                <w:szCs w:val="24"/>
                <w:lang w:val="es-MX"/>
              </w:rPr>
            </w:pPr>
          </w:p>
          <w:p w:rsidR="00E52C50" w:rsidRPr="00C5582B" w:rsidP="00E52C50">
            <w:pPr>
              <w:rPr>
                <w:szCs w:val="24"/>
                <w:lang w:val="es-MX"/>
              </w:rPr>
            </w:pPr>
          </w:p>
          <w:p w:rsidR="00E52C50" w:rsidRPr="00C5582B" w:rsidP="00E52C50">
            <w:pPr>
              <w:autoSpaceDE w:val="0"/>
              <w:autoSpaceDN w:val="0"/>
              <w:adjustRightInd w:val="0"/>
              <w:rPr>
                <w:szCs w:val="24"/>
              </w:rPr>
            </w:pPr>
            <w:r w:rsidRPr="00C5582B">
              <w:rPr>
                <w:szCs w:val="24"/>
              </w:rPr>
              <w:t>Case No. 17-2391-EL-UNC</w:t>
            </w:r>
          </w:p>
          <w:p w:rsidR="00E52C50" w:rsidRPr="00C5582B" w:rsidP="00E52C50">
            <w:pPr>
              <w:rPr>
                <w:szCs w:val="24"/>
              </w:rPr>
            </w:pPr>
          </w:p>
        </w:tc>
      </w:tr>
      <w:tr w:rsidTr="002F1813">
        <w:tblPrEx>
          <w:tblW w:w="9468" w:type="dxa"/>
          <w:tblLook w:val="01E0"/>
        </w:tblPrEx>
        <w:trPr>
          <w:trHeight w:val="807"/>
        </w:trPr>
        <w:tc>
          <w:tcPr>
            <w:tcW w:w="4518" w:type="dxa"/>
          </w:tcPr>
          <w:p w:rsidR="00E52C50" w:rsidRPr="00C5582B" w:rsidP="009B1AE8">
            <w:pPr>
              <w:autoSpaceDE w:val="0"/>
              <w:autoSpaceDN w:val="0"/>
              <w:adjustRightInd w:val="0"/>
              <w:rPr>
                <w:szCs w:val="24"/>
              </w:rPr>
            </w:pPr>
            <w:r w:rsidRPr="00C5582B">
              <w:rPr>
                <w:szCs w:val="24"/>
              </w:rPr>
              <w:t xml:space="preserve">In the Matter of the Procurement of Standard Service Offer Generation for Customers of </w:t>
            </w:r>
            <w:r w:rsidRPr="00C5582B" w:rsidR="009B1AE8">
              <w:rPr>
                <w:szCs w:val="24"/>
              </w:rPr>
              <w:t>Duke Energy Ohio, Inc.</w:t>
            </w:r>
          </w:p>
        </w:tc>
        <w:tc>
          <w:tcPr>
            <w:tcW w:w="480" w:type="dxa"/>
          </w:tcPr>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E52C50" w:rsidRPr="00C5582B" w:rsidP="009B1AE8">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494019" w:rsidRPr="00C5582B" w:rsidP="009B1AE8">
            <w:pPr>
              <w:pStyle w:val="HTMLPreformatted"/>
              <w:rPr>
                <w:rFonts w:ascii="Times New Roman" w:hAnsi="Times New Roman" w:cs="Times New Roman"/>
                <w:sz w:val="24"/>
                <w:szCs w:val="24"/>
              </w:rPr>
            </w:pPr>
          </w:p>
        </w:tc>
        <w:tc>
          <w:tcPr>
            <w:tcW w:w="4470" w:type="dxa"/>
          </w:tcPr>
          <w:p w:rsidR="00E52C50" w:rsidRPr="00C5582B">
            <w:pPr>
              <w:autoSpaceDE w:val="0"/>
              <w:autoSpaceDN w:val="0"/>
              <w:adjustRightInd w:val="0"/>
              <w:rPr>
                <w:szCs w:val="24"/>
              </w:rPr>
            </w:pPr>
          </w:p>
          <w:p w:rsidR="00E52C50" w:rsidRPr="00C5582B" w:rsidP="009B1AE8">
            <w:pPr>
              <w:rPr>
                <w:szCs w:val="24"/>
              </w:rPr>
            </w:pPr>
            <w:r w:rsidRPr="00C5582B">
              <w:rPr>
                <w:szCs w:val="24"/>
              </w:rPr>
              <w:t>Case No. 18-6000-EL-UNC</w:t>
            </w:r>
          </w:p>
        </w:tc>
      </w:tr>
    </w:tbl>
    <w:p w:rsidR="00AB176E" w:rsidRPr="00C5582B" w:rsidP="00AB176E">
      <w:pPr>
        <w:pStyle w:val="HTMLPreformatted"/>
        <w:pBdr>
          <w:top w:val="single" w:sz="12" w:space="1" w:color="auto"/>
        </w:pBdr>
        <w:rPr>
          <w:rFonts w:ascii="Times New Roman" w:hAnsi="Times New Roman" w:cs="Times New Roman"/>
          <w:sz w:val="24"/>
          <w:szCs w:val="24"/>
        </w:rPr>
      </w:pPr>
    </w:p>
    <w:p w:rsidR="00AB176E" w:rsidRPr="00C5582B" w:rsidP="00AB176E">
      <w:pPr>
        <w:jc w:val="center"/>
        <w:rPr>
          <w:b/>
          <w:bCs/>
          <w:szCs w:val="24"/>
        </w:rPr>
      </w:pPr>
      <w:r w:rsidRPr="00C5582B">
        <w:rPr>
          <w:b/>
          <w:bCs/>
          <w:szCs w:val="24"/>
        </w:rPr>
        <w:t xml:space="preserve">REPLY </w:t>
      </w:r>
      <w:r w:rsidRPr="00C5582B" w:rsidR="00A05FF9">
        <w:rPr>
          <w:b/>
          <w:bCs/>
          <w:szCs w:val="24"/>
        </w:rPr>
        <w:t xml:space="preserve">COMMENTS </w:t>
      </w:r>
    </w:p>
    <w:p w:rsidR="00AB176E" w:rsidRPr="00C5582B" w:rsidP="00AB176E">
      <w:pPr>
        <w:jc w:val="center"/>
        <w:rPr>
          <w:b/>
          <w:bCs/>
          <w:szCs w:val="24"/>
        </w:rPr>
      </w:pPr>
      <w:r w:rsidRPr="00C5582B">
        <w:rPr>
          <w:b/>
          <w:bCs/>
          <w:szCs w:val="24"/>
        </w:rPr>
        <w:t>BY</w:t>
      </w:r>
    </w:p>
    <w:p w:rsidR="00AB176E" w:rsidRPr="00C5582B" w:rsidP="00AB176E">
      <w:pPr>
        <w:jc w:val="center"/>
        <w:rPr>
          <w:b/>
          <w:bCs/>
          <w:szCs w:val="24"/>
        </w:rPr>
      </w:pPr>
      <w:r w:rsidRPr="00C5582B">
        <w:rPr>
          <w:b/>
          <w:bCs/>
          <w:szCs w:val="24"/>
        </w:rPr>
        <w:t>THE OFFICE OF THE OHIO CONSUMERS’ COUNSEL</w:t>
      </w:r>
    </w:p>
    <w:p w:rsidR="00AB176E" w:rsidRPr="00C5582B" w:rsidP="00AB176E">
      <w:pPr>
        <w:pBdr>
          <w:bottom w:val="single" w:sz="12" w:space="1" w:color="auto"/>
        </w:pBdr>
        <w:tabs>
          <w:tab w:val="left" w:pos="4320"/>
        </w:tabs>
        <w:rPr>
          <w:szCs w:val="24"/>
        </w:rPr>
      </w:pPr>
    </w:p>
    <w:p w:rsidR="00C512E8" w:rsidRPr="00C5582B" w:rsidP="00AB176E">
      <w:pPr>
        <w:pStyle w:val="BodyTextIndent3"/>
        <w:spacing w:line="240" w:lineRule="auto"/>
        <w:ind w:left="4320" w:firstLine="0"/>
        <w:rPr>
          <w:szCs w:val="24"/>
        </w:rPr>
      </w:pPr>
    </w:p>
    <w:p w:rsidR="002F1813" w:rsidRPr="00C5582B" w:rsidP="00AB176E">
      <w:pPr>
        <w:pStyle w:val="Footer"/>
        <w:tabs>
          <w:tab w:val="left" w:pos="4320"/>
          <w:tab w:val="clear" w:pos="8640"/>
        </w:tabs>
        <w:ind w:left="4320"/>
        <w:rPr>
          <w:sz w:val="24"/>
          <w:szCs w:val="24"/>
        </w:rPr>
      </w:pPr>
    </w:p>
    <w:p w:rsidR="002F1813" w:rsidRPr="00C5582B" w:rsidP="00AB176E">
      <w:pPr>
        <w:pStyle w:val="Footer"/>
        <w:tabs>
          <w:tab w:val="left" w:pos="4320"/>
          <w:tab w:val="clear" w:pos="8640"/>
        </w:tabs>
        <w:ind w:left="4320"/>
        <w:rPr>
          <w:sz w:val="24"/>
          <w:szCs w:val="24"/>
        </w:rPr>
      </w:pPr>
    </w:p>
    <w:p w:rsidR="00AB176E" w:rsidRPr="00C5582B" w:rsidP="00AB176E">
      <w:pPr>
        <w:pStyle w:val="Footer"/>
        <w:tabs>
          <w:tab w:val="left" w:pos="4320"/>
          <w:tab w:val="clear" w:pos="8640"/>
        </w:tabs>
        <w:ind w:left="4320"/>
        <w:rPr>
          <w:sz w:val="24"/>
          <w:szCs w:val="24"/>
        </w:rPr>
      </w:pPr>
      <w:r w:rsidRPr="00C5582B">
        <w:rPr>
          <w:sz w:val="24"/>
          <w:szCs w:val="24"/>
        </w:rPr>
        <w:t>Bruce Weston (0016973)</w:t>
      </w:r>
    </w:p>
    <w:p w:rsidR="00AB176E" w:rsidRPr="00C5582B" w:rsidP="00AB176E">
      <w:pPr>
        <w:tabs>
          <w:tab w:val="left" w:pos="4320"/>
        </w:tabs>
        <w:ind w:left="4320"/>
        <w:rPr>
          <w:szCs w:val="24"/>
        </w:rPr>
      </w:pPr>
      <w:r w:rsidRPr="00C5582B">
        <w:rPr>
          <w:szCs w:val="24"/>
        </w:rPr>
        <w:t>Ohio Consumers’ Counsel</w:t>
      </w:r>
    </w:p>
    <w:p w:rsidR="00AB176E" w:rsidRPr="00C5582B" w:rsidP="00AB176E">
      <w:pPr>
        <w:tabs>
          <w:tab w:val="left" w:pos="4320"/>
        </w:tabs>
        <w:ind w:left="4320"/>
        <w:rPr>
          <w:szCs w:val="24"/>
        </w:rPr>
      </w:pPr>
    </w:p>
    <w:p w:rsidR="00AB176E" w:rsidRPr="00C5582B" w:rsidP="00AB176E">
      <w:pPr>
        <w:tabs>
          <w:tab w:val="left" w:pos="4320"/>
        </w:tabs>
        <w:rPr>
          <w:szCs w:val="24"/>
        </w:rPr>
      </w:pPr>
      <w:r w:rsidRPr="00C5582B">
        <w:rPr>
          <w:szCs w:val="24"/>
        </w:rPr>
        <w:tab/>
      </w:r>
      <w:r w:rsidRPr="00C5582B" w:rsidR="00494019">
        <w:rPr>
          <w:szCs w:val="24"/>
        </w:rPr>
        <w:t>Christopher Healey (0086027)</w:t>
      </w:r>
    </w:p>
    <w:p w:rsidR="00AB176E" w:rsidRPr="00C5582B" w:rsidP="00AB176E">
      <w:pPr>
        <w:tabs>
          <w:tab w:val="left" w:pos="4320"/>
        </w:tabs>
        <w:rPr>
          <w:szCs w:val="24"/>
        </w:rPr>
      </w:pPr>
      <w:r w:rsidRPr="00C5582B">
        <w:rPr>
          <w:szCs w:val="24"/>
        </w:rPr>
        <w:tab/>
        <w:t>Counsel of Record</w:t>
      </w:r>
    </w:p>
    <w:p w:rsidR="00494019" w:rsidRPr="00C5582B" w:rsidP="00AB176E">
      <w:pPr>
        <w:tabs>
          <w:tab w:val="left" w:pos="4320"/>
        </w:tabs>
        <w:rPr>
          <w:szCs w:val="24"/>
        </w:rPr>
      </w:pPr>
      <w:r w:rsidRPr="00C5582B">
        <w:rPr>
          <w:szCs w:val="24"/>
        </w:rPr>
        <w:tab/>
        <w:t>William Michael (0070921)</w:t>
      </w:r>
    </w:p>
    <w:p w:rsidR="00AB176E" w:rsidRPr="00C5582B" w:rsidP="00AB176E">
      <w:pPr>
        <w:tabs>
          <w:tab w:val="left" w:pos="4320"/>
        </w:tabs>
        <w:ind w:left="4320"/>
        <w:rPr>
          <w:szCs w:val="24"/>
        </w:rPr>
      </w:pPr>
      <w:r w:rsidRPr="00C5582B">
        <w:rPr>
          <w:szCs w:val="24"/>
        </w:rPr>
        <w:t>Assistant Consumers’ Counsel</w:t>
      </w:r>
    </w:p>
    <w:p w:rsidR="00AB176E" w:rsidRPr="00C5582B" w:rsidP="00AB176E">
      <w:pPr>
        <w:spacing w:before="120"/>
        <w:ind w:left="4320"/>
        <w:rPr>
          <w:b/>
          <w:szCs w:val="24"/>
        </w:rPr>
      </w:pPr>
      <w:r w:rsidRPr="00C5582B">
        <w:rPr>
          <w:b/>
          <w:szCs w:val="24"/>
        </w:rPr>
        <w:t>Office of the Ohio Consumers’ Counsel</w:t>
      </w:r>
    </w:p>
    <w:p w:rsidR="00AB176E" w:rsidRPr="00C5582B" w:rsidP="00AB176E">
      <w:pPr>
        <w:ind w:left="4320"/>
        <w:rPr>
          <w:szCs w:val="24"/>
        </w:rPr>
      </w:pPr>
      <w:r w:rsidRPr="00C5582B">
        <w:rPr>
          <w:szCs w:val="24"/>
        </w:rPr>
        <w:t>65 East State Street, 7th Floor</w:t>
      </w:r>
    </w:p>
    <w:p w:rsidR="00AB176E" w:rsidRPr="00C5582B" w:rsidP="00AB176E">
      <w:pPr>
        <w:ind w:left="4320"/>
        <w:rPr>
          <w:b/>
          <w:szCs w:val="24"/>
        </w:rPr>
      </w:pPr>
      <w:r w:rsidRPr="00C5582B">
        <w:rPr>
          <w:szCs w:val="24"/>
        </w:rPr>
        <w:t>Columbus, Ohio 43215</w:t>
      </w:r>
    </w:p>
    <w:p w:rsidR="00AB176E" w:rsidRPr="00C5582B" w:rsidP="00AB176E">
      <w:pPr>
        <w:autoSpaceDE w:val="0"/>
        <w:autoSpaceDN w:val="0"/>
        <w:adjustRightInd w:val="0"/>
        <w:ind w:left="4320"/>
        <w:rPr>
          <w:szCs w:val="24"/>
        </w:rPr>
      </w:pPr>
      <w:r w:rsidRPr="00C5582B">
        <w:rPr>
          <w:szCs w:val="24"/>
        </w:rPr>
        <w:t>Telephone</w:t>
      </w:r>
      <w:r w:rsidRPr="00C5582B" w:rsidR="00B70D23">
        <w:rPr>
          <w:szCs w:val="24"/>
        </w:rPr>
        <w:t xml:space="preserve"> [</w:t>
      </w:r>
      <w:r w:rsidRPr="00C5582B" w:rsidR="00494019">
        <w:rPr>
          <w:szCs w:val="24"/>
        </w:rPr>
        <w:t>Healey</w:t>
      </w:r>
      <w:r w:rsidRPr="00C5582B" w:rsidR="00B70D23">
        <w:rPr>
          <w:szCs w:val="24"/>
        </w:rPr>
        <w:t>]</w:t>
      </w:r>
      <w:r w:rsidRPr="00C5582B">
        <w:rPr>
          <w:szCs w:val="24"/>
        </w:rPr>
        <w:t xml:space="preserve">: (614) </w:t>
      </w:r>
      <w:r w:rsidRPr="00C5582B" w:rsidR="00494019">
        <w:rPr>
          <w:szCs w:val="24"/>
        </w:rPr>
        <w:t>466-9571</w:t>
      </w:r>
    </w:p>
    <w:p w:rsidR="00494019" w:rsidRPr="00C5582B" w:rsidP="00AB176E">
      <w:pPr>
        <w:autoSpaceDE w:val="0"/>
        <w:autoSpaceDN w:val="0"/>
        <w:adjustRightInd w:val="0"/>
        <w:ind w:left="4320"/>
        <w:rPr>
          <w:szCs w:val="24"/>
        </w:rPr>
      </w:pPr>
      <w:r w:rsidRPr="00C5582B">
        <w:rPr>
          <w:szCs w:val="24"/>
        </w:rPr>
        <w:t>Telephone [Michael]: (614) 466-1291</w:t>
      </w:r>
    </w:p>
    <w:p w:rsidR="00B70D23" w:rsidRPr="00C5582B" w:rsidP="00AB176E">
      <w:pPr>
        <w:autoSpaceDE w:val="0"/>
        <w:autoSpaceDN w:val="0"/>
        <w:adjustRightInd w:val="0"/>
        <w:ind w:left="4320"/>
        <w:rPr>
          <w:rStyle w:val="Hyperlink"/>
          <w:szCs w:val="24"/>
        </w:rPr>
      </w:pPr>
      <w:hyperlink r:id="rId6" w:history="1">
        <w:r w:rsidRPr="00C5582B" w:rsidR="00494019">
          <w:rPr>
            <w:rStyle w:val="Hyperlink"/>
            <w:szCs w:val="24"/>
          </w:rPr>
          <w:t>Christopher.healey@occ.ohio.gov</w:t>
        </w:r>
      </w:hyperlink>
    </w:p>
    <w:p w:rsidR="00494019" w:rsidRPr="00C5582B" w:rsidP="00AB176E">
      <w:pPr>
        <w:autoSpaceDE w:val="0"/>
        <w:autoSpaceDN w:val="0"/>
        <w:adjustRightInd w:val="0"/>
        <w:ind w:left="4320"/>
        <w:rPr>
          <w:rStyle w:val="Hyperlink"/>
          <w:szCs w:val="24"/>
        </w:rPr>
      </w:pPr>
      <w:hyperlink r:id="rId7" w:history="1">
        <w:r w:rsidRPr="00C5582B" w:rsidR="00FE04E5">
          <w:rPr>
            <w:rStyle w:val="Hyperlink"/>
            <w:szCs w:val="24"/>
          </w:rPr>
          <w:t>William.michael@occ.ohio.gov</w:t>
        </w:r>
      </w:hyperlink>
    </w:p>
    <w:p w:rsidR="00D50E23" w:rsidRPr="00C5582B" w:rsidP="00C512E8">
      <w:pPr>
        <w:rPr>
          <w:szCs w:val="24"/>
        </w:rPr>
        <w:sectPr w:rsidSect="002F1813">
          <w:footerReference w:type="default" r:id="rId8"/>
          <w:footerReference w:type="first" r:id="rId9"/>
          <w:pgSz w:w="12240" w:h="15840"/>
          <w:pgMar w:top="1440" w:right="1440" w:bottom="1440" w:left="1440" w:header="720" w:footer="720" w:gutter="0"/>
          <w:pgNumType w:start="1"/>
          <w:cols w:space="720"/>
          <w:titlePg/>
          <w:docGrid w:linePitch="65"/>
        </w:sectPr>
      </w:pPr>
      <w:r w:rsidRPr="00C5582B">
        <w:rPr>
          <w:szCs w:val="24"/>
        </w:rPr>
        <w:t xml:space="preserve">May 29, </w:t>
      </w:r>
      <w:r w:rsidRPr="00C5582B" w:rsidR="00C512E8">
        <w:rPr>
          <w:szCs w:val="24"/>
        </w:rPr>
        <w:t>2020</w:t>
      </w:r>
      <w:r w:rsidRPr="00C5582B" w:rsidR="00C512E8">
        <w:rPr>
          <w:szCs w:val="24"/>
        </w:rPr>
        <w:tab/>
      </w:r>
      <w:r w:rsidRPr="00C5582B" w:rsidR="00C512E8">
        <w:rPr>
          <w:szCs w:val="24"/>
        </w:rPr>
        <w:tab/>
      </w:r>
      <w:r w:rsidRPr="00C5582B" w:rsidR="00C512E8">
        <w:rPr>
          <w:szCs w:val="24"/>
        </w:rPr>
        <w:tab/>
      </w:r>
      <w:r w:rsidRPr="00C5582B" w:rsidR="00C512E8">
        <w:rPr>
          <w:szCs w:val="24"/>
        </w:rPr>
        <w:tab/>
      </w:r>
      <w:r w:rsidRPr="00C5582B" w:rsidR="003C1FA6">
        <w:rPr>
          <w:szCs w:val="24"/>
        </w:rPr>
        <w:tab/>
      </w:r>
      <w:r w:rsidRPr="00C5582B" w:rsidR="00A05FF9">
        <w:rPr>
          <w:szCs w:val="24"/>
        </w:rPr>
        <w:t>(</w:t>
      </w:r>
      <w:r w:rsidRPr="00C5582B" w:rsidR="00B70D23">
        <w:rPr>
          <w:szCs w:val="24"/>
        </w:rPr>
        <w:t>W</w:t>
      </w:r>
      <w:r w:rsidRPr="00C5582B" w:rsidR="00A05FF9">
        <w:rPr>
          <w:szCs w:val="24"/>
        </w:rPr>
        <w:t>illing to accept service by e-mail)</w:t>
      </w:r>
      <w:r w:rsidRPr="00C5582B" w:rsidR="00A05FF9">
        <w:rPr>
          <w:szCs w:val="24"/>
        </w:rPr>
        <w:tab/>
      </w:r>
    </w:p>
    <w:p w:rsidR="00C512E8" w:rsidRPr="00C5582B" w:rsidP="00D50E23">
      <w:pPr>
        <w:jc w:val="center"/>
        <w:rPr>
          <w:b/>
          <w:bCs/>
          <w:szCs w:val="24"/>
          <w:u w:val="single"/>
        </w:rPr>
      </w:pPr>
      <w:r w:rsidRPr="00C5582B">
        <w:rPr>
          <w:b/>
          <w:bCs/>
          <w:szCs w:val="24"/>
          <w:u w:val="single"/>
        </w:rPr>
        <w:t>TABLE OF CONTENTS</w:t>
      </w:r>
    </w:p>
    <w:p w:rsidR="00D50E23" w:rsidRPr="00C5582B" w:rsidP="00D50E23">
      <w:pPr>
        <w:jc w:val="center"/>
        <w:rPr>
          <w:szCs w:val="24"/>
        </w:rPr>
      </w:pPr>
    </w:p>
    <w:p w:rsidR="00D50E23" w:rsidP="00D50E23">
      <w:pPr>
        <w:jc w:val="center"/>
        <w:rPr>
          <w:b/>
          <w:bCs/>
          <w:szCs w:val="24"/>
        </w:rPr>
      </w:pP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r>
      <w:r w:rsidR="00C5582B">
        <w:rPr>
          <w:szCs w:val="24"/>
        </w:rPr>
        <w:tab/>
      </w:r>
      <w:r w:rsidRPr="00C5582B">
        <w:rPr>
          <w:b/>
          <w:bCs/>
          <w:szCs w:val="24"/>
        </w:rPr>
        <w:t>PAGE</w:t>
      </w:r>
    </w:p>
    <w:p w:rsidR="00C5582B" w:rsidRPr="00C5582B" w:rsidP="00D50E23">
      <w:pPr>
        <w:jc w:val="center"/>
        <w:rPr>
          <w:b/>
          <w:bCs/>
          <w:szCs w:val="24"/>
        </w:rPr>
      </w:pPr>
    </w:p>
    <w:p w:rsidR="00C5582B">
      <w:pPr>
        <w:pStyle w:val="TOC1"/>
        <w:rPr>
          <w:rFonts w:asciiTheme="minorHAnsi" w:eastAsiaTheme="minorEastAsia" w:hAnsiTheme="minorHAnsi" w:cstheme="minorBidi"/>
          <w:caps w:val="0"/>
          <w:noProof/>
          <w:sz w:val="22"/>
          <w:szCs w:val="22"/>
        </w:rPr>
      </w:pPr>
      <w:r>
        <w:rPr>
          <w:szCs w:val="24"/>
        </w:rPr>
        <w:fldChar w:fldCharType="begin"/>
      </w:r>
      <w:r>
        <w:rPr>
          <w:szCs w:val="24"/>
        </w:rPr>
        <w:instrText xml:space="preserve"> TOC \o "1-2" \h \z \u </w:instrText>
      </w:r>
      <w:r>
        <w:rPr>
          <w:szCs w:val="24"/>
        </w:rPr>
        <w:fldChar w:fldCharType="separate"/>
      </w:r>
      <w:hyperlink w:anchor="_Toc41654516" w:history="1">
        <w:r w:rsidRPr="00AD4DA3">
          <w:rPr>
            <w:rStyle w:val="Hyperlink"/>
            <w:noProof/>
          </w:rPr>
          <w:t>i.</w:t>
        </w:r>
        <w:r>
          <w:rPr>
            <w:rFonts w:asciiTheme="minorHAnsi" w:eastAsiaTheme="minorEastAsia" w:hAnsiTheme="minorHAnsi" w:cstheme="minorBidi"/>
            <w:caps w:val="0"/>
            <w:noProof/>
            <w:sz w:val="22"/>
            <w:szCs w:val="22"/>
          </w:rPr>
          <w:tab/>
        </w:r>
        <w:r w:rsidRPr="00AD4DA3">
          <w:rPr>
            <w:rStyle w:val="Hyperlink"/>
            <w:noProof/>
          </w:rPr>
          <w:t>INTRODUCTION</w:t>
        </w:r>
        <w:r>
          <w:rPr>
            <w:noProof/>
            <w:webHidden/>
          </w:rPr>
          <w:tab/>
        </w:r>
        <w:r>
          <w:rPr>
            <w:noProof/>
            <w:webHidden/>
          </w:rPr>
          <w:fldChar w:fldCharType="begin"/>
        </w:r>
        <w:r>
          <w:rPr>
            <w:noProof/>
            <w:webHidden/>
          </w:rPr>
          <w:instrText xml:space="preserve"> PAGEREF _Toc41654516 \h </w:instrText>
        </w:r>
        <w:r>
          <w:rPr>
            <w:noProof/>
            <w:webHidden/>
          </w:rPr>
          <w:fldChar w:fldCharType="separate"/>
        </w:r>
        <w:r>
          <w:rPr>
            <w:noProof/>
            <w:webHidden/>
          </w:rPr>
          <w:t>1</w:t>
        </w:r>
        <w:r>
          <w:rPr>
            <w:noProof/>
            <w:webHidden/>
          </w:rPr>
          <w:fldChar w:fldCharType="end"/>
        </w:r>
      </w:hyperlink>
    </w:p>
    <w:p w:rsidR="00C5582B">
      <w:pPr>
        <w:pStyle w:val="TOC1"/>
        <w:rPr>
          <w:rFonts w:asciiTheme="minorHAnsi" w:eastAsiaTheme="minorEastAsia" w:hAnsiTheme="minorHAnsi" w:cstheme="minorBidi"/>
          <w:caps w:val="0"/>
          <w:noProof/>
          <w:sz w:val="22"/>
          <w:szCs w:val="22"/>
        </w:rPr>
      </w:pPr>
      <w:hyperlink w:anchor="_Toc41654517" w:history="1">
        <w:r w:rsidRPr="00AD4DA3" w:rsidR="00FE04E5">
          <w:rPr>
            <w:rStyle w:val="Hyperlink"/>
            <w:noProof/>
          </w:rPr>
          <w:t>ii.</w:t>
        </w:r>
        <w:r w:rsidR="00FE04E5">
          <w:rPr>
            <w:rFonts w:asciiTheme="minorHAnsi" w:eastAsiaTheme="minorEastAsia" w:hAnsiTheme="minorHAnsi" w:cstheme="minorBidi"/>
            <w:caps w:val="0"/>
            <w:noProof/>
            <w:sz w:val="22"/>
            <w:szCs w:val="22"/>
          </w:rPr>
          <w:tab/>
        </w:r>
        <w:r w:rsidRPr="00AD4DA3" w:rsidR="00FE04E5">
          <w:rPr>
            <w:rStyle w:val="Hyperlink"/>
            <w:noProof/>
          </w:rPr>
          <w:t>COMMENTS</w:t>
        </w:r>
        <w:r w:rsidR="00FE04E5">
          <w:rPr>
            <w:noProof/>
            <w:webHidden/>
          </w:rPr>
          <w:tab/>
        </w:r>
        <w:r w:rsidR="00FE04E5">
          <w:rPr>
            <w:noProof/>
            <w:webHidden/>
          </w:rPr>
          <w:fldChar w:fldCharType="begin"/>
        </w:r>
        <w:r w:rsidR="00FE04E5">
          <w:rPr>
            <w:noProof/>
            <w:webHidden/>
          </w:rPr>
          <w:instrText xml:space="preserve"> PAGEREF _Toc41654517 \h </w:instrText>
        </w:r>
        <w:r w:rsidR="00FE04E5">
          <w:rPr>
            <w:noProof/>
            <w:webHidden/>
          </w:rPr>
          <w:fldChar w:fldCharType="separate"/>
        </w:r>
        <w:r w:rsidR="00FE04E5">
          <w:rPr>
            <w:noProof/>
            <w:webHidden/>
          </w:rPr>
          <w:t>2</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18" w:history="1">
        <w:r w:rsidRPr="00AD4DA3" w:rsidR="00FE04E5">
          <w:rPr>
            <w:rStyle w:val="Hyperlink"/>
            <w:noProof/>
          </w:rPr>
          <w:t>A.</w:t>
        </w:r>
        <w:r w:rsidR="00FE04E5">
          <w:rPr>
            <w:rFonts w:asciiTheme="minorHAnsi" w:eastAsiaTheme="minorEastAsia" w:hAnsiTheme="minorHAnsi" w:cstheme="minorBidi"/>
            <w:noProof/>
            <w:sz w:val="22"/>
            <w:szCs w:val="22"/>
          </w:rPr>
          <w:tab/>
        </w:r>
        <w:r w:rsidRPr="00AD4DA3" w:rsidR="00FE04E5">
          <w:rPr>
            <w:rStyle w:val="Hyperlink"/>
            <w:noProof/>
          </w:rPr>
          <w:t>To protect consumers, the PUCO should adopt a limited and focused approach in remedying the temporary unavailability of PJM capacity costs in forthcoming SSO supply auctions.</w:t>
        </w:r>
        <w:r w:rsidR="00FE04E5">
          <w:rPr>
            <w:noProof/>
            <w:webHidden/>
          </w:rPr>
          <w:tab/>
        </w:r>
        <w:r w:rsidR="00FE04E5">
          <w:rPr>
            <w:noProof/>
            <w:webHidden/>
          </w:rPr>
          <w:fldChar w:fldCharType="begin"/>
        </w:r>
        <w:r w:rsidR="00FE04E5">
          <w:rPr>
            <w:noProof/>
            <w:webHidden/>
          </w:rPr>
          <w:instrText xml:space="preserve"> PAGEREF _Toc41654518 \h </w:instrText>
        </w:r>
        <w:r w:rsidR="00FE04E5">
          <w:rPr>
            <w:noProof/>
            <w:webHidden/>
          </w:rPr>
          <w:fldChar w:fldCharType="separate"/>
        </w:r>
        <w:r w:rsidR="00FE04E5">
          <w:rPr>
            <w:noProof/>
            <w:webHidden/>
          </w:rPr>
          <w:t>2</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19" w:history="1">
        <w:r w:rsidRPr="00AD4DA3" w:rsidR="00FE04E5">
          <w:rPr>
            <w:rStyle w:val="Hyperlink"/>
            <w:noProof/>
          </w:rPr>
          <w:t>B.</w:t>
        </w:r>
        <w:r w:rsidR="00FE04E5">
          <w:rPr>
            <w:rFonts w:asciiTheme="minorHAnsi" w:eastAsiaTheme="minorEastAsia" w:hAnsiTheme="minorHAnsi" w:cstheme="minorBidi"/>
            <w:noProof/>
            <w:sz w:val="22"/>
            <w:szCs w:val="22"/>
          </w:rPr>
          <w:tab/>
        </w:r>
        <w:r w:rsidRPr="00AD4DA3" w:rsidR="00FE04E5">
          <w:rPr>
            <w:rStyle w:val="Hyperlink"/>
            <w:noProof/>
          </w:rPr>
          <w:t>The Staff’s Proposal is consistent with the PUCO’s policy objectives of reducing uncertainty, encouraging bidder participation, and not altering bidding strategies.</w:t>
        </w:r>
        <w:r w:rsidR="00FE04E5">
          <w:rPr>
            <w:noProof/>
            <w:webHidden/>
          </w:rPr>
          <w:tab/>
        </w:r>
        <w:r w:rsidR="00FE04E5">
          <w:rPr>
            <w:noProof/>
            <w:webHidden/>
          </w:rPr>
          <w:fldChar w:fldCharType="begin"/>
        </w:r>
        <w:r w:rsidR="00FE04E5">
          <w:rPr>
            <w:noProof/>
            <w:webHidden/>
          </w:rPr>
          <w:instrText xml:space="preserve"> PAGEREF _Toc41654519 \h </w:instrText>
        </w:r>
        <w:r w:rsidR="00FE04E5">
          <w:rPr>
            <w:noProof/>
            <w:webHidden/>
          </w:rPr>
          <w:fldChar w:fldCharType="separate"/>
        </w:r>
        <w:r w:rsidR="00FE04E5">
          <w:rPr>
            <w:noProof/>
            <w:webHidden/>
          </w:rPr>
          <w:t>4</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20" w:history="1">
        <w:r w:rsidRPr="00AD4DA3" w:rsidR="00FE04E5">
          <w:rPr>
            <w:rStyle w:val="Hyperlink"/>
            <w:noProof/>
          </w:rPr>
          <w:t>C.</w:t>
        </w:r>
        <w:r w:rsidR="00FE04E5">
          <w:rPr>
            <w:rFonts w:asciiTheme="minorHAnsi" w:eastAsiaTheme="minorEastAsia" w:hAnsiTheme="minorHAnsi" w:cstheme="minorBidi"/>
            <w:noProof/>
            <w:sz w:val="22"/>
            <w:szCs w:val="22"/>
          </w:rPr>
          <w:tab/>
        </w:r>
        <w:r w:rsidRPr="00AD4DA3" w:rsidR="00FE04E5">
          <w:rPr>
            <w:rStyle w:val="Hyperlink"/>
            <w:noProof/>
          </w:rPr>
          <w:t>Each utility should be required to submit, within sixty days of the PUCO order in this proceeding, a modified auction timeline and all SSO auction related modifications for comments by the stakeholders and approval by the PUCO.</w:t>
        </w:r>
        <w:r w:rsidR="00FE04E5">
          <w:rPr>
            <w:noProof/>
            <w:webHidden/>
          </w:rPr>
          <w:tab/>
        </w:r>
        <w:r w:rsidR="00FE04E5">
          <w:rPr>
            <w:noProof/>
            <w:webHidden/>
          </w:rPr>
          <w:fldChar w:fldCharType="begin"/>
        </w:r>
        <w:r w:rsidR="00FE04E5">
          <w:rPr>
            <w:noProof/>
            <w:webHidden/>
          </w:rPr>
          <w:instrText xml:space="preserve"> PAGEREF _Toc41654520 \h </w:instrText>
        </w:r>
        <w:r w:rsidR="00FE04E5">
          <w:rPr>
            <w:noProof/>
            <w:webHidden/>
          </w:rPr>
          <w:fldChar w:fldCharType="separate"/>
        </w:r>
        <w:r w:rsidR="00FE04E5">
          <w:rPr>
            <w:noProof/>
            <w:webHidden/>
          </w:rPr>
          <w:t>5</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21" w:history="1">
        <w:r w:rsidRPr="00AD4DA3" w:rsidR="00FE04E5">
          <w:rPr>
            <w:rStyle w:val="Hyperlink"/>
            <w:noProof/>
          </w:rPr>
          <w:t>D.</w:t>
        </w:r>
        <w:r w:rsidR="00FE04E5">
          <w:rPr>
            <w:rFonts w:asciiTheme="minorHAnsi" w:eastAsiaTheme="minorEastAsia" w:hAnsiTheme="minorHAnsi" w:cstheme="minorBidi"/>
            <w:noProof/>
            <w:sz w:val="22"/>
            <w:szCs w:val="22"/>
          </w:rPr>
          <w:tab/>
        </w:r>
        <w:r w:rsidRPr="00AD4DA3" w:rsidR="00FE04E5">
          <w:rPr>
            <w:rStyle w:val="Hyperlink"/>
            <w:noProof/>
          </w:rPr>
          <w:t>Energy Harbor’s Proposal of including a long-term fixed-price capacity product for SSO auction is self-serving and costly to customers.</w:t>
        </w:r>
        <w:r w:rsidR="00FE04E5">
          <w:rPr>
            <w:noProof/>
            <w:webHidden/>
          </w:rPr>
          <w:tab/>
        </w:r>
        <w:r w:rsidR="00FE04E5">
          <w:rPr>
            <w:noProof/>
            <w:webHidden/>
          </w:rPr>
          <w:fldChar w:fldCharType="begin"/>
        </w:r>
        <w:r w:rsidR="00FE04E5">
          <w:rPr>
            <w:noProof/>
            <w:webHidden/>
          </w:rPr>
          <w:instrText xml:space="preserve"> PAGEREF _Toc41654521 \h </w:instrText>
        </w:r>
        <w:r w:rsidR="00FE04E5">
          <w:rPr>
            <w:noProof/>
            <w:webHidden/>
          </w:rPr>
          <w:fldChar w:fldCharType="separate"/>
        </w:r>
        <w:r w:rsidR="00FE04E5">
          <w:rPr>
            <w:noProof/>
            <w:webHidden/>
          </w:rPr>
          <w:t>6</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22" w:history="1">
        <w:r w:rsidRPr="00AD4DA3" w:rsidR="00FE04E5">
          <w:rPr>
            <w:rStyle w:val="Hyperlink"/>
            <w:noProof/>
          </w:rPr>
          <w:t>E.</w:t>
        </w:r>
        <w:r w:rsidR="00FE04E5">
          <w:rPr>
            <w:rFonts w:asciiTheme="minorHAnsi" w:eastAsiaTheme="minorEastAsia" w:hAnsiTheme="minorHAnsi" w:cstheme="minorBidi"/>
            <w:noProof/>
            <w:sz w:val="22"/>
            <w:szCs w:val="22"/>
          </w:rPr>
          <w:tab/>
        </w:r>
        <w:r w:rsidRPr="00AD4DA3" w:rsidR="00FE04E5">
          <w:rPr>
            <w:rStyle w:val="Hyperlink"/>
            <w:noProof/>
          </w:rPr>
          <w:t>IGS/Direct’s proposal of not modifying the current SSO auctions or compressing the SSO product to the timeframe of known capacity costs is unproven and does not benefit customers.</w:t>
        </w:r>
        <w:r w:rsidR="00FE04E5">
          <w:rPr>
            <w:noProof/>
            <w:webHidden/>
          </w:rPr>
          <w:tab/>
        </w:r>
        <w:r w:rsidR="00FE04E5">
          <w:rPr>
            <w:noProof/>
            <w:webHidden/>
          </w:rPr>
          <w:fldChar w:fldCharType="begin"/>
        </w:r>
        <w:r w:rsidR="00FE04E5">
          <w:rPr>
            <w:noProof/>
            <w:webHidden/>
          </w:rPr>
          <w:instrText xml:space="preserve"> PAGEREF _Toc41654522 \h </w:instrText>
        </w:r>
        <w:r w:rsidR="00FE04E5">
          <w:rPr>
            <w:noProof/>
            <w:webHidden/>
          </w:rPr>
          <w:fldChar w:fldCharType="separate"/>
        </w:r>
        <w:r w:rsidR="00FE04E5">
          <w:rPr>
            <w:noProof/>
            <w:webHidden/>
          </w:rPr>
          <w:t>8</w:t>
        </w:r>
        <w:r w:rsidR="00FE04E5">
          <w:rPr>
            <w:noProof/>
            <w:webHidden/>
          </w:rPr>
          <w:fldChar w:fldCharType="end"/>
        </w:r>
      </w:hyperlink>
    </w:p>
    <w:p w:rsidR="00C5582B">
      <w:pPr>
        <w:pStyle w:val="TOC2"/>
        <w:tabs>
          <w:tab w:val="left" w:pos="1440"/>
        </w:tabs>
        <w:rPr>
          <w:rFonts w:asciiTheme="minorHAnsi" w:eastAsiaTheme="minorEastAsia" w:hAnsiTheme="minorHAnsi" w:cstheme="minorBidi"/>
          <w:noProof/>
          <w:sz w:val="22"/>
          <w:szCs w:val="22"/>
        </w:rPr>
      </w:pPr>
      <w:hyperlink w:anchor="_Toc41654523" w:history="1">
        <w:r w:rsidRPr="00AD4DA3" w:rsidR="00FE04E5">
          <w:rPr>
            <w:rStyle w:val="Hyperlink"/>
            <w:noProof/>
          </w:rPr>
          <w:t>F.</w:t>
        </w:r>
        <w:r w:rsidR="00FE04E5">
          <w:rPr>
            <w:rFonts w:asciiTheme="minorHAnsi" w:eastAsiaTheme="minorEastAsia" w:hAnsiTheme="minorHAnsi" w:cstheme="minorBidi"/>
            <w:noProof/>
            <w:sz w:val="22"/>
            <w:szCs w:val="22"/>
          </w:rPr>
          <w:tab/>
        </w:r>
        <w:r w:rsidRPr="00AD4DA3" w:rsidR="00FE04E5">
          <w:rPr>
            <w:rStyle w:val="Hyperlink"/>
            <w:noProof/>
          </w:rPr>
          <w:t>FirstEnergy’s proposal of using a non-zero “proxy price” provides no benefits to customers.</w:t>
        </w:r>
        <w:r w:rsidR="00FE04E5">
          <w:rPr>
            <w:noProof/>
            <w:webHidden/>
          </w:rPr>
          <w:tab/>
        </w:r>
        <w:r w:rsidR="00FE04E5">
          <w:rPr>
            <w:noProof/>
            <w:webHidden/>
          </w:rPr>
          <w:fldChar w:fldCharType="begin"/>
        </w:r>
        <w:r w:rsidR="00FE04E5">
          <w:rPr>
            <w:noProof/>
            <w:webHidden/>
          </w:rPr>
          <w:instrText xml:space="preserve"> PAGEREF _Toc41654523 \h </w:instrText>
        </w:r>
        <w:r w:rsidR="00FE04E5">
          <w:rPr>
            <w:noProof/>
            <w:webHidden/>
          </w:rPr>
          <w:fldChar w:fldCharType="separate"/>
        </w:r>
        <w:r w:rsidR="00FE04E5">
          <w:rPr>
            <w:noProof/>
            <w:webHidden/>
          </w:rPr>
          <w:t>9</w:t>
        </w:r>
        <w:r w:rsidR="00FE04E5">
          <w:rPr>
            <w:noProof/>
            <w:webHidden/>
          </w:rPr>
          <w:fldChar w:fldCharType="end"/>
        </w:r>
      </w:hyperlink>
    </w:p>
    <w:p w:rsidR="00C5582B">
      <w:pPr>
        <w:pStyle w:val="TOC1"/>
        <w:rPr>
          <w:rFonts w:asciiTheme="minorHAnsi" w:eastAsiaTheme="minorEastAsia" w:hAnsiTheme="minorHAnsi" w:cstheme="minorBidi"/>
          <w:caps w:val="0"/>
          <w:noProof/>
          <w:sz w:val="22"/>
          <w:szCs w:val="22"/>
        </w:rPr>
      </w:pPr>
      <w:hyperlink w:anchor="_Toc41654524" w:history="1">
        <w:r w:rsidRPr="00AD4DA3" w:rsidR="00FE04E5">
          <w:rPr>
            <w:rStyle w:val="Hyperlink"/>
            <w:noProof/>
          </w:rPr>
          <w:t>III.</w:t>
        </w:r>
        <w:r w:rsidR="00FE04E5">
          <w:rPr>
            <w:rFonts w:asciiTheme="minorHAnsi" w:eastAsiaTheme="minorEastAsia" w:hAnsiTheme="minorHAnsi" w:cstheme="minorBidi"/>
            <w:caps w:val="0"/>
            <w:noProof/>
            <w:sz w:val="22"/>
            <w:szCs w:val="22"/>
          </w:rPr>
          <w:tab/>
        </w:r>
        <w:r w:rsidRPr="00AD4DA3" w:rsidR="00FE04E5">
          <w:rPr>
            <w:rStyle w:val="Hyperlink"/>
            <w:noProof/>
          </w:rPr>
          <w:t>CONCLUSION</w:t>
        </w:r>
        <w:r w:rsidR="00FE04E5">
          <w:rPr>
            <w:noProof/>
            <w:webHidden/>
          </w:rPr>
          <w:tab/>
        </w:r>
        <w:r w:rsidR="00FE04E5">
          <w:rPr>
            <w:noProof/>
            <w:webHidden/>
          </w:rPr>
          <w:fldChar w:fldCharType="begin"/>
        </w:r>
        <w:r w:rsidR="00FE04E5">
          <w:rPr>
            <w:noProof/>
            <w:webHidden/>
          </w:rPr>
          <w:instrText xml:space="preserve"> PAGEREF _Toc41654524 \h </w:instrText>
        </w:r>
        <w:r w:rsidR="00FE04E5">
          <w:rPr>
            <w:noProof/>
            <w:webHidden/>
          </w:rPr>
          <w:fldChar w:fldCharType="separate"/>
        </w:r>
        <w:r w:rsidR="00FE04E5">
          <w:rPr>
            <w:noProof/>
            <w:webHidden/>
          </w:rPr>
          <w:t>10</w:t>
        </w:r>
        <w:r w:rsidR="00FE04E5">
          <w:rPr>
            <w:noProof/>
            <w:webHidden/>
          </w:rPr>
          <w:fldChar w:fldCharType="end"/>
        </w:r>
      </w:hyperlink>
    </w:p>
    <w:p w:rsidR="00D50E23" w:rsidRPr="00C5582B" w:rsidP="00D50E23">
      <w:pPr>
        <w:jc w:val="center"/>
        <w:rPr>
          <w:szCs w:val="24"/>
        </w:rPr>
      </w:pPr>
      <w:r>
        <w:rPr>
          <w:szCs w:val="24"/>
        </w:rPr>
        <w:fldChar w:fldCharType="end"/>
      </w:r>
    </w:p>
    <w:p w:rsidR="00C512E8" w:rsidRPr="00C5582B" w:rsidP="00C512E8">
      <w:pPr>
        <w:rPr>
          <w:szCs w:val="24"/>
        </w:rPr>
      </w:pPr>
    </w:p>
    <w:p w:rsidR="00285929" w:rsidRPr="00C5582B" w:rsidP="00FF7A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285929" w:rsidRPr="00C5582B" w:rsidP="00FF7A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285929" w:rsidRPr="00C5582B" w:rsidP="00FF7A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D50E23" w:rsidRPr="00C5582B" w:rsidP="00FF7A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sectPr w:rsidSect="002F1813">
          <w:headerReference w:type="first" r:id="rId10"/>
          <w:footerReference w:type="first" r:id="rId11"/>
          <w:pgSz w:w="12240" w:h="15840"/>
          <w:pgMar w:top="1440" w:right="1440" w:bottom="1440" w:left="1440" w:header="720" w:footer="720" w:gutter="0"/>
          <w:pgNumType w:fmt="lowerRoman" w:start="1"/>
          <w:cols w:space="720"/>
          <w:titlePg/>
          <w:docGrid w:linePitch="65"/>
        </w:sectPr>
      </w:pPr>
    </w:p>
    <w:p w:rsidR="00FF7A8A" w:rsidRPr="00C5582B" w:rsidP="00FF7A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C5582B">
        <w:rPr>
          <w:rFonts w:ascii="Times New Roman" w:hAnsi="Times New Roman" w:cs="Times New Roman"/>
          <w:b/>
          <w:bCs/>
          <w:sz w:val="24"/>
          <w:szCs w:val="24"/>
        </w:rPr>
        <w:t>BEFORE</w:t>
      </w:r>
    </w:p>
    <w:p w:rsidR="00FF7A8A" w:rsidRPr="00C5582B">
      <w:pPr>
        <w:pStyle w:val="HTMLPreformatted"/>
        <w:jc w:val="center"/>
        <w:rPr>
          <w:rFonts w:ascii="Times New Roman" w:hAnsi="Times New Roman" w:cs="Times New Roman"/>
          <w:sz w:val="24"/>
          <w:szCs w:val="24"/>
        </w:rPr>
      </w:pPr>
      <w:r w:rsidRPr="00C5582B">
        <w:rPr>
          <w:rFonts w:ascii="Times New Roman" w:hAnsi="Times New Roman" w:cs="Times New Roman"/>
          <w:b/>
          <w:bCs/>
          <w:sz w:val="24"/>
          <w:szCs w:val="24"/>
        </w:rPr>
        <w:t>THE PUBLIC UTILITIES COMMISSION OF OHIO</w:t>
      </w:r>
    </w:p>
    <w:p w:rsidR="009B1AE8" w:rsidRPr="00C5582B" w:rsidP="009B1AE8">
      <w:pPr>
        <w:pStyle w:val="HTMLPreformatted"/>
        <w:jc w:val="center"/>
        <w:rPr>
          <w:rFonts w:ascii="Times New Roman" w:hAnsi="Times New Roman" w:cs="Times New Roman"/>
          <w:b/>
          <w:bCs/>
          <w:sz w:val="24"/>
          <w:szCs w:val="24"/>
        </w:rPr>
      </w:pPr>
      <w:r w:rsidRPr="00C5582B">
        <w:rPr>
          <w:rFonts w:ascii="Times New Roman" w:hAnsi="Times New Roman" w:cs="Times New Roman"/>
          <w:b/>
          <w:bCs/>
          <w:sz w:val="24"/>
          <w:szCs w:val="24"/>
        </w:rPr>
        <w:t xml:space="preserve"> </w:t>
      </w:r>
    </w:p>
    <w:tbl>
      <w:tblPr>
        <w:tblW w:w="9092" w:type="dxa"/>
        <w:tblLook w:val="01E0"/>
      </w:tblPr>
      <w:tblGrid>
        <w:gridCol w:w="3972"/>
        <w:gridCol w:w="480"/>
        <w:gridCol w:w="4640"/>
      </w:tblGrid>
      <w:tr w:rsidTr="00FC12BB">
        <w:tblPrEx>
          <w:tblW w:w="9092" w:type="dxa"/>
          <w:tblLook w:val="01E0"/>
        </w:tblPrEx>
        <w:trPr>
          <w:trHeight w:val="807"/>
        </w:trPr>
        <w:tc>
          <w:tcPr>
            <w:tcW w:w="3972" w:type="dxa"/>
          </w:tcPr>
          <w:p w:rsidR="009B1AE8" w:rsidRPr="00C5582B" w:rsidP="00FC12BB">
            <w:pPr>
              <w:autoSpaceDE w:val="0"/>
              <w:autoSpaceDN w:val="0"/>
              <w:adjustRightInd w:val="0"/>
              <w:rPr>
                <w:szCs w:val="24"/>
              </w:rPr>
            </w:pPr>
            <w:r w:rsidRPr="00C5582B">
              <w:rPr>
                <w:szCs w:val="24"/>
              </w:rPr>
              <w:t>In the Matter of the Procurement of Standard Service Offer Generation as Part of the Fourth Electric Security Plan for Customers of Ohio Edison Company, the Cleveland Electric Illuminating Company, and The Toledo Edison Company.</w:t>
            </w:r>
          </w:p>
          <w:p w:rsidR="009B1AE8" w:rsidRPr="00C5582B" w:rsidP="00FC12BB">
            <w:pPr>
              <w:autoSpaceDE w:val="0"/>
              <w:autoSpaceDN w:val="0"/>
              <w:adjustRightInd w:val="0"/>
              <w:rPr>
                <w:szCs w:val="24"/>
              </w:rPr>
            </w:pPr>
          </w:p>
          <w:p w:rsidR="009B1AE8" w:rsidRPr="00C5582B" w:rsidP="00FC12BB">
            <w:pPr>
              <w:autoSpaceDE w:val="0"/>
              <w:autoSpaceDN w:val="0"/>
              <w:adjustRightInd w:val="0"/>
              <w:rPr>
                <w:szCs w:val="24"/>
              </w:rPr>
            </w:pPr>
            <w:r w:rsidRPr="00C5582B">
              <w:rPr>
                <w:szCs w:val="24"/>
              </w:rPr>
              <w:t>In the Matter of the Procurement of Standard Service Offer Generation for Customers of the Dayton Power and Light Company.</w:t>
            </w:r>
          </w:p>
          <w:p w:rsidR="009B1AE8" w:rsidRPr="00C5582B" w:rsidP="00FC12BB">
            <w:pPr>
              <w:autoSpaceDE w:val="0"/>
              <w:autoSpaceDN w:val="0"/>
              <w:adjustRightInd w:val="0"/>
              <w:rPr>
                <w:szCs w:val="24"/>
              </w:rPr>
            </w:pPr>
          </w:p>
          <w:p w:rsidR="009B1AE8" w:rsidRPr="00C5582B" w:rsidP="00FC12BB">
            <w:pPr>
              <w:autoSpaceDE w:val="0"/>
              <w:autoSpaceDN w:val="0"/>
              <w:adjustRightInd w:val="0"/>
              <w:rPr>
                <w:szCs w:val="24"/>
              </w:rPr>
            </w:pPr>
            <w:r w:rsidRPr="00C5582B">
              <w:rPr>
                <w:szCs w:val="24"/>
              </w:rPr>
              <w:t>In the Matter of the Procurement of Standard Service Offer Generation for Customers of Ohio Power Company.</w:t>
            </w:r>
          </w:p>
          <w:p w:rsidR="009B1AE8" w:rsidRPr="00C5582B" w:rsidP="00FC12BB">
            <w:pPr>
              <w:autoSpaceDE w:val="0"/>
              <w:autoSpaceDN w:val="0"/>
              <w:adjustRightInd w:val="0"/>
              <w:rPr>
                <w:szCs w:val="24"/>
              </w:rPr>
            </w:pPr>
          </w:p>
        </w:tc>
        <w:tc>
          <w:tcPr>
            <w:tcW w:w="480" w:type="dxa"/>
          </w:tcPr>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640" w:type="dxa"/>
          </w:tcPr>
          <w:p w:rsidR="009B1AE8" w:rsidRPr="00C5582B" w:rsidP="00FC12BB">
            <w:pPr>
              <w:autoSpaceDE w:val="0"/>
              <w:autoSpaceDN w:val="0"/>
              <w:adjustRightInd w:val="0"/>
              <w:rPr>
                <w:szCs w:val="24"/>
                <w:lang w:val="es-MX"/>
              </w:rPr>
            </w:pPr>
          </w:p>
          <w:p w:rsidR="009B1AE8" w:rsidRPr="00C5582B" w:rsidP="00FC12BB">
            <w:pPr>
              <w:autoSpaceDE w:val="0"/>
              <w:autoSpaceDN w:val="0"/>
              <w:adjustRightInd w:val="0"/>
              <w:rPr>
                <w:szCs w:val="24"/>
                <w:lang w:val="es-MX"/>
              </w:rPr>
            </w:pPr>
            <w:r w:rsidRPr="00C5582B">
              <w:rPr>
                <w:szCs w:val="24"/>
                <w:lang w:val="es-MX"/>
              </w:rPr>
              <w:t>Case No. 16-776-EL-UNC</w:t>
            </w:r>
          </w:p>
          <w:p w:rsidR="009B1AE8" w:rsidRPr="00C5582B" w:rsidP="00FC12BB">
            <w:pPr>
              <w:autoSpaceDE w:val="0"/>
              <w:autoSpaceDN w:val="0"/>
              <w:adjustRightInd w:val="0"/>
              <w:rPr>
                <w:szCs w:val="24"/>
                <w:lang w:val="es-MX"/>
              </w:rPr>
            </w:pPr>
          </w:p>
          <w:p w:rsidR="009B1AE8" w:rsidRPr="00C5582B" w:rsidP="00FC12BB">
            <w:pPr>
              <w:autoSpaceDE w:val="0"/>
              <w:autoSpaceDN w:val="0"/>
              <w:adjustRightInd w:val="0"/>
              <w:rPr>
                <w:szCs w:val="24"/>
                <w:lang w:val="es-MX"/>
              </w:rPr>
            </w:pPr>
          </w:p>
          <w:p w:rsidR="009B1AE8" w:rsidRPr="00C5582B" w:rsidP="00FC12BB">
            <w:pPr>
              <w:autoSpaceDE w:val="0"/>
              <w:autoSpaceDN w:val="0"/>
              <w:adjustRightInd w:val="0"/>
              <w:rPr>
                <w:szCs w:val="24"/>
                <w:lang w:val="es-MX"/>
              </w:rPr>
            </w:pPr>
          </w:p>
          <w:p w:rsidR="009B1AE8" w:rsidRPr="00C5582B" w:rsidP="00FC12BB">
            <w:pPr>
              <w:autoSpaceDE w:val="0"/>
              <w:autoSpaceDN w:val="0"/>
              <w:adjustRightInd w:val="0"/>
              <w:rPr>
                <w:szCs w:val="24"/>
                <w:lang w:val="es-MX"/>
              </w:rPr>
            </w:pPr>
          </w:p>
          <w:p w:rsidR="009B1AE8" w:rsidRPr="00C5582B" w:rsidP="00FC12BB">
            <w:pPr>
              <w:rPr>
                <w:szCs w:val="24"/>
                <w:lang w:val="es-MX"/>
              </w:rPr>
            </w:pPr>
          </w:p>
          <w:p w:rsidR="009B1AE8" w:rsidRPr="00C5582B" w:rsidP="00FC12BB">
            <w:pPr>
              <w:rPr>
                <w:szCs w:val="24"/>
                <w:lang w:val="es-MX"/>
              </w:rPr>
            </w:pPr>
          </w:p>
          <w:p w:rsidR="009B1AE8" w:rsidRPr="00C5582B" w:rsidP="00FC12BB">
            <w:pPr>
              <w:rPr>
                <w:szCs w:val="24"/>
                <w:lang w:val="es-MX"/>
              </w:rPr>
            </w:pPr>
          </w:p>
          <w:p w:rsidR="009B1AE8" w:rsidRPr="00C5582B" w:rsidP="00FC12BB">
            <w:pPr>
              <w:rPr>
                <w:szCs w:val="24"/>
                <w:lang w:val="es-MX"/>
              </w:rPr>
            </w:pPr>
            <w:r w:rsidRPr="00C5582B">
              <w:rPr>
                <w:szCs w:val="24"/>
                <w:lang w:val="es-MX"/>
              </w:rPr>
              <w:t>Case No. 17-957-EL-UNC</w:t>
            </w:r>
          </w:p>
          <w:p w:rsidR="009B1AE8" w:rsidRPr="00C5582B" w:rsidP="00FC12BB">
            <w:pPr>
              <w:rPr>
                <w:szCs w:val="24"/>
                <w:lang w:val="es-MX"/>
              </w:rPr>
            </w:pPr>
          </w:p>
          <w:p w:rsidR="009B1AE8" w:rsidRPr="00C5582B" w:rsidP="00FC12BB">
            <w:pPr>
              <w:rPr>
                <w:szCs w:val="24"/>
                <w:lang w:val="es-MX"/>
              </w:rPr>
            </w:pPr>
          </w:p>
          <w:p w:rsidR="009B1AE8" w:rsidRPr="00C5582B" w:rsidP="00FC12BB">
            <w:pPr>
              <w:rPr>
                <w:szCs w:val="24"/>
                <w:lang w:val="es-MX"/>
              </w:rPr>
            </w:pPr>
          </w:p>
          <w:p w:rsidR="009B1AE8" w:rsidRPr="00C5582B" w:rsidP="00FC12BB">
            <w:pPr>
              <w:rPr>
                <w:szCs w:val="24"/>
                <w:lang w:val="es-MX"/>
              </w:rPr>
            </w:pPr>
          </w:p>
          <w:p w:rsidR="009B1AE8" w:rsidRPr="00C5582B" w:rsidP="00FC12BB">
            <w:pPr>
              <w:autoSpaceDE w:val="0"/>
              <w:autoSpaceDN w:val="0"/>
              <w:adjustRightInd w:val="0"/>
              <w:rPr>
                <w:szCs w:val="24"/>
              </w:rPr>
            </w:pPr>
            <w:r w:rsidRPr="00C5582B">
              <w:rPr>
                <w:szCs w:val="24"/>
              </w:rPr>
              <w:t>Case No. 17-2391-EL-UNC</w:t>
            </w:r>
          </w:p>
          <w:p w:rsidR="009B1AE8" w:rsidRPr="00C5582B" w:rsidP="00FC12BB">
            <w:pPr>
              <w:rPr>
                <w:szCs w:val="24"/>
              </w:rPr>
            </w:pPr>
          </w:p>
        </w:tc>
      </w:tr>
      <w:tr w:rsidTr="00FC12BB">
        <w:tblPrEx>
          <w:tblW w:w="9092" w:type="dxa"/>
          <w:tblLook w:val="01E0"/>
        </w:tblPrEx>
        <w:trPr>
          <w:trHeight w:val="807"/>
        </w:trPr>
        <w:tc>
          <w:tcPr>
            <w:tcW w:w="3972" w:type="dxa"/>
          </w:tcPr>
          <w:p w:rsidR="009B1AE8" w:rsidRPr="00C5582B" w:rsidP="00FC12BB">
            <w:pPr>
              <w:autoSpaceDE w:val="0"/>
              <w:autoSpaceDN w:val="0"/>
              <w:adjustRightInd w:val="0"/>
              <w:rPr>
                <w:szCs w:val="24"/>
              </w:rPr>
            </w:pPr>
            <w:r w:rsidRPr="00C5582B">
              <w:rPr>
                <w:szCs w:val="24"/>
              </w:rPr>
              <w:t>In the Matter of the Procurement of Standard Service Offer Generation for Customers of Duke Energy Ohio, Inc.</w:t>
            </w:r>
          </w:p>
        </w:tc>
        <w:tc>
          <w:tcPr>
            <w:tcW w:w="480" w:type="dxa"/>
          </w:tcPr>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p w:rsidR="009B1AE8" w:rsidRPr="00C5582B" w:rsidP="00FC12BB">
            <w:pPr>
              <w:pStyle w:val="HTMLPreformatted"/>
              <w:rPr>
                <w:rFonts w:ascii="Times New Roman" w:hAnsi="Times New Roman" w:cs="Times New Roman"/>
                <w:sz w:val="24"/>
                <w:szCs w:val="24"/>
              </w:rPr>
            </w:pPr>
            <w:r w:rsidRPr="00C5582B">
              <w:rPr>
                <w:rFonts w:ascii="Times New Roman" w:hAnsi="Times New Roman" w:cs="Times New Roman"/>
                <w:sz w:val="24"/>
                <w:szCs w:val="24"/>
              </w:rPr>
              <w:t>)</w:t>
            </w:r>
          </w:p>
        </w:tc>
        <w:tc>
          <w:tcPr>
            <w:tcW w:w="4640" w:type="dxa"/>
          </w:tcPr>
          <w:p w:rsidR="009B1AE8" w:rsidRPr="00C5582B" w:rsidP="00FC12BB">
            <w:pPr>
              <w:autoSpaceDE w:val="0"/>
              <w:autoSpaceDN w:val="0"/>
              <w:adjustRightInd w:val="0"/>
              <w:rPr>
                <w:szCs w:val="24"/>
              </w:rPr>
            </w:pPr>
          </w:p>
          <w:p w:rsidR="009B1AE8" w:rsidRPr="00C5582B" w:rsidP="00FC12BB">
            <w:pPr>
              <w:rPr>
                <w:szCs w:val="24"/>
              </w:rPr>
            </w:pPr>
            <w:r w:rsidRPr="00C5582B">
              <w:rPr>
                <w:szCs w:val="24"/>
              </w:rPr>
              <w:t>Case No. 18-6000-EL-UNC</w:t>
            </w:r>
          </w:p>
        </w:tc>
      </w:tr>
    </w:tbl>
    <w:p w:rsidR="00FF7A8A" w:rsidRPr="00C5582B">
      <w:pPr>
        <w:pStyle w:val="HTMLPreformatted"/>
        <w:rPr>
          <w:rFonts w:ascii="Times New Roman" w:hAnsi="Times New Roman" w:cs="Times New Roman"/>
          <w:sz w:val="24"/>
          <w:szCs w:val="24"/>
        </w:rPr>
      </w:pPr>
    </w:p>
    <w:p w:rsidR="00FF7A8A" w:rsidRPr="00C5582B">
      <w:pPr>
        <w:pStyle w:val="HTMLPreformatted"/>
        <w:pBdr>
          <w:top w:val="single" w:sz="12" w:space="1" w:color="auto"/>
        </w:pBdr>
        <w:rPr>
          <w:rFonts w:ascii="Times New Roman" w:hAnsi="Times New Roman" w:cs="Times New Roman"/>
          <w:sz w:val="24"/>
          <w:szCs w:val="24"/>
        </w:rPr>
      </w:pPr>
    </w:p>
    <w:p w:rsidR="00FF7A8A" w:rsidRPr="00C5582B">
      <w:pPr>
        <w:jc w:val="center"/>
        <w:rPr>
          <w:b/>
          <w:bCs/>
          <w:szCs w:val="24"/>
        </w:rPr>
      </w:pPr>
      <w:r w:rsidRPr="00C5582B">
        <w:rPr>
          <w:b/>
          <w:bCs/>
          <w:szCs w:val="24"/>
        </w:rPr>
        <w:t xml:space="preserve">REPLY </w:t>
      </w:r>
      <w:r w:rsidRPr="00C5582B" w:rsidR="00A05FF9">
        <w:rPr>
          <w:b/>
          <w:bCs/>
          <w:szCs w:val="24"/>
        </w:rPr>
        <w:t>COMMENTS</w:t>
      </w:r>
      <w:r w:rsidRPr="00C5582B" w:rsidR="00977E8C">
        <w:rPr>
          <w:b/>
          <w:bCs/>
          <w:szCs w:val="24"/>
        </w:rPr>
        <w:t xml:space="preserve"> </w:t>
      </w:r>
    </w:p>
    <w:p w:rsidR="00FF7A8A" w:rsidRPr="00C5582B">
      <w:pPr>
        <w:jc w:val="center"/>
        <w:rPr>
          <w:b/>
          <w:bCs/>
          <w:szCs w:val="24"/>
        </w:rPr>
      </w:pPr>
      <w:r w:rsidRPr="00C5582B">
        <w:rPr>
          <w:b/>
          <w:bCs/>
          <w:szCs w:val="24"/>
        </w:rPr>
        <w:t>BY</w:t>
      </w:r>
    </w:p>
    <w:p w:rsidR="00FF7A8A" w:rsidRPr="00C5582B">
      <w:pPr>
        <w:jc w:val="center"/>
        <w:rPr>
          <w:b/>
          <w:bCs/>
          <w:szCs w:val="24"/>
        </w:rPr>
      </w:pPr>
      <w:r w:rsidRPr="00C5582B">
        <w:rPr>
          <w:b/>
          <w:bCs/>
          <w:szCs w:val="24"/>
        </w:rPr>
        <w:t>THE OFFICE OF THE OHIO CONSUMERS</w:t>
      </w:r>
      <w:r w:rsidRPr="00C5582B" w:rsidR="00AB176E">
        <w:rPr>
          <w:b/>
          <w:bCs/>
          <w:szCs w:val="24"/>
        </w:rPr>
        <w:t>’</w:t>
      </w:r>
      <w:r w:rsidRPr="00C5582B">
        <w:rPr>
          <w:b/>
          <w:bCs/>
          <w:szCs w:val="24"/>
        </w:rPr>
        <w:t xml:space="preserve"> COUNSEL</w:t>
      </w:r>
    </w:p>
    <w:p w:rsidR="00FF7A8A" w:rsidRPr="00C5582B">
      <w:pPr>
        <w:pBdr>
          <w:bottom w:val="single" w:sz="12" w:space="1" w:color="auto"/>
        </w:pBdr>
        <w:tabs>
          <w:tab w:val="left" w:pos="4320"/>
        </w:tabs>
        <w:rPr>
          <w:szCs w:val="24"/>
        </w:rPr>
      </w:pPr>
    </w:p>
    <w:p w:rsidR="00FF7A8A" w:rsidRPr="00C5582B">
      <w:pPr>
        <w:tabs>
          <w:tab w:val="left" w:pos="4320"/>
        </w:tabs>
        <w:rPr>
          <w:szCs w:val="24"/>
        </w:rPr>
      </w:pPr>
    </w:p>
    <w:p w:rsidR="004967CD" w:rsidRPr="00C5582B" w:rsidP="002F1813">
      <w:pPr>
        <w:pStyle w:val="Heading1"/>
      </w:pPr>
      <w:bookmarkStart w:id="1" w:name="_Toc41654436"/>
      <w:bookmarkStart w:id="2" w:name="_Toc41654516"/>
      <w:bookmarkStart w:id="3" w:name="_Toc36475797"/>
      <w:r w:rsidRPr="00C5582B">
        <w:t>i.</w:t>
      </w:r>
      <w:r w:rsidRPr="00C5582B">
        <w:tab/>
        <w:t>INTRODUCTION</w:t>
      </w:r>
      <w:bookmarkEnd w:id="1"/>
      <w:bookmarkEnd w:id="2"/>
    </w:p>
    <w:p w:rsidR="00A97BC6" w:rsidRPr="00C5582B" w:rsidP="00541AB6">
      <w:pPr>
        <w:pStyle w:val="FootnoteText"/>
        <w:spacing w:after="0" w:line="480" w:lineRule="auto"/>
        <w:ind w:firstLine="720"/>
        <w:rPr>
          <w:sz w:val="24"/>
          <w:szCs w:val="24"/>
        </w:rPr>
      </w:pPr>
      <w:r w:rsidRPr="00C5582B">
        <w:rPr>
          <w:sz w:val="24"/>
          <w:szCs w:val="24"/>
        </w:rPr>
        <w:t xml:space="preserve">The use of competitive bidding to obtain electricity </w:t>
      </w:r>
      <w:r w:rsidRPr="00C5582B" w:rsidR="004D6DD7">
        <w:rPr>
          <w:sz w:val="24"/>
          <w:szCs w:val="24"/>
        </w:rPr>
        <w:t xml:space="preserve">from suppliers </w:t>
      </w:r>
      <w:r w:rsidRPr="00C5582B">
        <w:rPr>
          <w:sz w:val="24"/>
          <w:szCs w:val="24"/>
        </w:rPr>
        <w:t>by utilities for its standard service offer (“SSO”) customers has been one of the few bright spot</w:t>
      </w:r>
      <w:r w:rsidRPr="00C5582B" w:rsidR="004D6DD7">
        <w:rPr>
          <w:sz w:val="24"/>
          <w:szCs w:val="24"/>
        </w:rPr>
        <w:t>s</w:t>
      </w:r>
      <w:r w:rsidRPr="00C5582B">
        <w:rPr>
          <w:sz w:val="24"/>
          <w:szCs w:val="24"/>
        </w:rPr>
        <w:t xml:space="preserve"> of </w:t>
      </w:r>
      <w:r w:rsidRPr="00C5582B" w:rsidR="00E41B11">
        <w:rPr>
          <w:sz w:val="24"/>
          <w:szCs w:val="24"/>
        </w:rPr>
        <w:t xml:space="preserve">the SSO </w:t>
      </w:r>
      <w:r w:rsidRPr="00C5582B" w:rsidR="00E53D99">
        <w:rPr>
          <w:sz w:val="24"/>
          <w:szCs w:val="24"/>
        </w:rPr>
        <w:t xml:space="preserve">regulatory framework </w:t>
      </w:r>
      <w:r w:rsidRPr="00C5582B">
        <w:rPr>
          <w:sz w:val="24"/>
          <w:szCs w:val="24"/>
        </w:rPr>
        <w:t>in Ohio.</w:t>
      </w:r>
      <w:r>
        <w:rPr>
          <w:rStyle w:val="FootnoteReference"/>
          <w:sz w:val="24"/>
          <w:szCs w:val="24"/>
        </w:rPr>
        <w:footnoteReference w:id="2"/>
      </w:r>
      <w:r w:rsidRPr="00C5582B">
        <w:rPr>
          <w:sz w:val="24"/>
          <w:szCs w:val="24"/>
        </w:rPr>
        <w:t xml:space="preserve"> </w:t>
      </w:r>
      <w:r w:rsidRPr="00C5582B" w:rsidR="002F1813">
        <w:rPr>
          <w:sz w:val="24"/>
          <w:szCs w:val="24"/>
        </w:rPr>
        <w:t>T</w:t>
      </w:r>
      <w:r w:rsidRPr="00C5582B" w:rsidR="002612A4">
        <w:rPr>
          <w:sz w:val="24"/>
          <w:szCs w:val="24"/>
        </w:rPr>
        <w:t xml:space="preserve">he </w:t>
      </w:r>
      <w:r w:rsidRPr="00C5582B" w:rsidR="00E53D99">
        <w:rPr>
          <w:sz w:val="24"/>
          <w:szCs w:val="24"/>
        </w:rPr>
        <w:t xml:space="preserve">competitive auction for </w:t>
      </w:r>
      <w:r w:rsidRPr="00C5582B" w:rsidR="002612A4">
        <w:rPr>
          <w:sz w:val="24"/>
          <w:szCs w:val="24"/>
        </w:rPr>
        <w:t>SSO supply ha</w:t>
      </w:r>
      <w:r w:rsidRPr="00C5582B" w:rsidR="00E41B11">
        <w:rPr>
          <w:sz w:val="24"/>
          <w:szCs w:val="24"/>
        </w:rPr>
        <w:t>s</w:t>
      </w:r>
      <w:r w:rsidRPr="00C5582B" w:rsidR="002612A4">
        <w:rPr>
          <w:sz w:val="24"/>
          <w:szCs w:val="24"/>
        </w:rPr>
        <w:t xml:space="preserve"> worked well as </w:t>
      </w:r>
      <w:r w:rsidRPr="00C5582B" w:rsidR="00E53D99">
        <w:rPr>
          <w:sz w:val="24"/>
          <w:szCs w:val="24"/>
        </w:rPr>
        <w:t xml:space="preserve">demonstrated </w:t>
      </w:r>
      <w:r w:rsidRPr="00C5582B" w:rsidR="002612A4">
        <w:rPr>
          <w:sz w:val="24"/>
          <w:szCs w:val="24"/>
        </w:rPr>
        <w:t xml:space="preserve">by the record low electricity prices </w:t>
      </w:r>
      <w:r w:rsidRPr="00C5582B" w:rsidR="00E53D99">
        <w:rPr>
          <w:sz w:val="24"/>
          <w:szCs w:val="24"/>
        </w:rPr>
        <w:t xml:space="preserve">in </w:t>
      </w:r>
      <w:r w:rsidRPr="00C5582B" w:rsidR="002612A4">
        <w:rPr>
          <w:sz w:val="24"/>
          <w:szCs w:val="24"/>
        </w:rPr>
        <w:t>recent auctions</w:t>
      </w:r>
      <w:r w:rsidRPr="00C5582B" w:rsidR="004D6DD7">
        <w:rPr>
          <w:sz w:val="24"/>
          <w:szCs w:val="24"/>
        </w:rPr>
        <w:t xml:space="preserve"> and the steady decline in generation costs </w:t>
      </w:r>
      <w:r w:rsidRPr="00C5582B" w:rsidR="00E53D99">
        <w:rPr>
          <w:sz w:val="24"/>
          <w:szCs w:val="24"/>
        </w:rPr>
        <w:t xml:space="preserve">paid by </w:t>
      </w:r>
      <w:r w:rsidRPr="00C5582B" w:rsidR="00933135">
        <w:rPr>
          <w:sz w:val="24"/>
          <w:szCs w:val="24"/>
        </w:rPr>
        <w:t xml:space="preserve">SSO </w:t>
      </w:r>
      <w:r w:rsidRPr="00C5582B" w:rsidR="004D6DD7">
        <w:rPr>
          <w:sz w:val="24"/>
          <w:szCs w:val="24"/>
        </w:rPr>
        <w:t>customers</w:t>
      </w:r>
      <w:r w:rsidRPr="00C5582B" w:rsidR="002612A4">
        <w:rPr>
          <w:sz w:val="24"/>
          <w:szCs w:val="24"/>
        </w:rPr>
        <w:t xml:space="preserve">. </w:t>
      </w:r>
      <w:r w:rsidRPr="00C5582B">
        <w:rPr>
          <w:sz w:val="24"/>
          <w:szCs w:val="24"/>
        </w:rPr>
        <w:t>Now</w:t>
      </w:r>
      <w:r w:rsidRPr="00C5582B" w:rsidR="00541AB6">
        <w:rPr>
          <w:sz w:val="24"/>
          <w:szCs w:val="24"/>
        </w:rPr>
        <w:t>, however,</w:t>
      </w:r>
      <w:r w:rsidRPr="00C5582B">
        <w:rPr>
          <w:sz w:val="24"/>
          <w:szCs w:val="24"/>
        </w:rPr>
        <w:t xml:space="preserve"> Energy Harbor LLC (“Energy Harbor”)</w:t>
      </w:r>
      <w:r w:rsidRPr="00C5582B" w:rsidR="00933135">
        <w:rPr>
          <w:sz w:val="24"/>
          <w:szCs w:val="24"/>
        </w:rPr>
        <w:t xml:space="preserve"> </w:t>
      </w:r>
      <w:r w:rsidRPr="00C5582B" w:rsidR="00541AB6">
        <w:rPr>
          <w:sz w:val="24"/>
          <w:szCs w:val="24"/>
        </w:rPr>
        <w:t>wants</w:t>
      </w:r>
      <w:r w:rsidRPr="00C5582B">
        <w:rPr>
          <w:sz w:val="24"/>
          <w:szCs w:val="24"/>
        </w:rPr>
        <w:t xml:space="preserve"> to use </w:t>
      </w:r>
      <w:r w:rsidRPr="00C5582B" w:rsidR="0044408E">
        <w:rPr>
          <w:sz w:val="24"/>
          <w:szCs w:val="24"/>
        </w:rPr>
        <w:t xml:space="preserve">the delay of the </w:t>
      </w:r>
      <w:r w:rsidRPr="00C5582B">
        <w:rPr>
          <w:sz w:val="24"/>
          <w:szCs w:val="24"/>
        </w:rPr>
        <w:t>B</w:t>
      </w:r>
      <w:r w:rsidRPr="00C5582B" w:rsidR="0044408E">
        <w:rPr>
          <w:sz w:val="24"/>
          <w:szCs w:val="24"/>
        </w:rPr>
        <w:t xml:space="preserve">ase Residual Auctions (“BRA”) by PJM Interconnection, LLC </w:t>
      </w:r>
      <w:r w:rsidRPr="00C5582B" w:rsidR="0044408E">
        <w:rPr>
          <w:sz w:val="24"/>
          <w:szCs w:val="24"/>
        </w:rPr>
        <w:t>(“PJM”)</w:t>
      </w:r>
      <w:r w:rsidRPr="00C5582B">
        <w:rPr>
          <w:sz w:val="24"/>
          <w:szCs w:val="24"/>
        </w:rPr>
        <w:t xml:space="preserve"> for delivery year 2022-2023 to </w:t>
      </w:r>
      <w:r w:rsidRPr="00C5582B" w:rsidR="00E53D99">
        <w:rPr>
          <w:sz w:val="24"/>
          <w:szCs w:val="24"/>
        </w:rPr>
        <w:t xml:space="preserve">significantly </w:t>
      </w:r>
      <w:r w:rsidRPr="00C5582B">
        <w:rPr>
          <w:sz w:val="24"/>
          <w:szCs w:val="24"/>
        </w:rPr>
        <w:t>alter</w:t>
      </w:r>
      <w:r w:rsidRPr="00C5582B" w:rsidR="00541AB6">
        <w:rPr>
          <w:sz w:val="24"/>
          <w:szCs w:val="24"/>
        </w:rPr>
        <w:t xml:space="preserve"> </w:t>
      </w:r>
      <w:r w:rsidRPr="00C5582B">
        <w:rPr>
          <w:sz w:val="24"/>
          <w:szCs w:val="24"/>
        </w:rPr>
        <w:t>Ohio’s SSO supply auction process</w:t>
      </w:r>
      <w:r w:rsidRPr="00C5582B" w:rsidR="00E53D99">
        <w:rPr>
          <w:sz w:val="24"/>
          <w:szCs w:val="24"/>
        </w:rPr>
        <w:t xml:space="preserve"> </w:t>
      </w:r>
      <w:r w:rsidRPr="00C5582B">
        <w:rPr>
          <w:sz w:val="24"/>
          <w:szCs w:val="24"/>
        </w:rPr>
        <w:t xml:space="preserve">for </w:t>
      </w:r>
      <w:r w:rsidRPr="00C5582B" w:rsidR="003959A5">
        <w:rPr>
          <w:sz w:val="24"/>
          <w:szCs w:val="24"/>
        </w:rPr>
        <w:t xml:space="preserve">its </w:t>
      </w:r>
      <w:r w:rsidRPr="00C5582B">
        <w:rPr>
          <w:sz w:val="24"/>
          <w:szCs w:val="24"/>
        </w:rPr>
        <w:t xml:space="preserve">own benefits. </w:t>
      </w:r>
      <w:r w:rsidRPr="00C5582B" w:rsidR="00F51B27">
        <w:rPr>
          <w:sz w:val="24"/>
          <w:szCs w:val="24"/>
        </w:rPr>
        <w:t>The Office of the Ohio Consumers’ Counsel (“</w:t>
      </w:r>
      <w:r w:rsidRPr="00C5582B" w:rsidR="00E53D99">
        <w:rPr>
          <w:sz w:val="24"/>
          <w:szCs w:val="24"/>
        </w:rPr>
        <w:t>OCC</w:t>
      </w:r>
      <w:r w:rsidRPr="00C5582B" w:rsidR="00F51B27">
        <w:rPr>
          <w:sz w:val="24"/>
          <w:szCs w:val="24"/>
        </w:rPr>
        <w:t>”)</w:t>
      </w:r>
      <w:r w:rsidRPr="00C5582B" w:rsidR="00E53D99">
        <w:rPr>
          <w:sz w:val="24"/>
          <w:szCs w:val="24"/>
        </w:rPr>
        <w:t xml:space="preserve"> opposes t</w:t>
      </w:r>
      <w:r w:rsidRPr="00C5582B">
        <w:rPr>
          <w:sz w:val="24"/>
          <w:szCs w:val="24"/>
        </w:rPr>
        <w:t>he proposals by Energy Harbor</w:t>
      </w:r>
      <w:r w:rsidRPr="00C5582B" w:rsidR="003959A5">
        <w:rPr>
          <w:sz w:val="24"/>
          <w:szCs w:val="24"/>
        </w:rPr>
        <w:t xml:space="preserve"> </w:t>
      </w:r>
      <w:r w:rsidRPr="00C5582B" w:rsidR="00E53D99">
        <w:rPr>
          <w:sz w:val="24"/>
          <w:szCs w:val="24"/>
        </w:rPr>
        <w:t xml:space="preserve">because </w:t>
      </w:r>
      <w:r w:rsidRPr="00C5582B" w:rsidR="003959A5">
        <w:rPr>
          <w:sz w:val="24"/>
          <w:szCs w:val="24"/>
        </w:rPr>
        <w:t xml:space="preserve">its </w:t>
      </w:r>
      <w:r w:rsidRPr="00C5582B" w:rsidR="00E53D99">
        <w:rPr>
          <w:sz w:val="24"/>
          <w:szCs w:val="24"/>
        </w:rPr>
        <w:t xml:space="preserve">proposals </w:t>
      </w:r>
      <w:r w:rsidRPr="00C5582B">
        <w:rPr>
          <w:sz w:val="24"/>
          <w:szCs w:val="24"/>
        </w:rPr>
        <w:t xml:space="preserve">are </w:t>
      </w:r>
      <w:r w:rsidRPr="00C5582B" w:rsidR="00541AB6">
        <w:rPr>
          <w:sz w:val="24"/>
          <w:szCs w:val="24"/>
        </w:rPr>
        <w:t>un</w:t>
      </w:r>
      <w:r w:rsidRPr="00C5582B">
        <w:rPr>
          <w:sz w:val="24"/>
          <w:szCs w:val="24"/>
        </w:rPr>
        <w:t>ne</w:t>
      </w:r>
      <w:r w:rsidRPr="00C5582B" w:rsidR="0029623A">
        <w:rPr>
          <w:sz w:val="24"/>
          <w:szCs w:val="24"/>
        </w:rPr>
        <w:t>cessary</w:t>
      </w:r>
      <w:r w:rsidRPr="00C5582B">
        <w:rPr>
          <w:sz w:val="24"/>
          <w:szCs w:val="24"/>
        </w:rPr>
        <w:t>, unproven, and w</w:t>
      </w:r>
      <w:r w:rsidRPr="00C5582B" w:rsidR="00541AB6">
        <w:rPr>
          <w:sz w:val="24"/>
          <w:szCs w:val="24"/>
        </w:rPr>
        <w:t xml:space="preserve">ould </w:t>
      </w:r>
      <w:r w:rsidRPr="00C5582B">
        <w:rPr>
          <w:sz w:val="24"/>
          <w:szCs w:val="24"/>
        </w:rPr>
        <w:t xml:space="preserve">increase the costs of electricity </w:t>
      </w:r>
      <w:r w:rsidRPr="00C5582B" w:rsidR="00B44A6A">
        <w:rPr>
          <w:sz w:val="24"/>
          <w:szCs w:val="24"/>
        </w:rPr>
        <w:t>for many Ohioans.</w:t>
      </w:r>
    </w:p>
    <w:p w:rsidR="003959A5" w:rsidP="00E74BD2">
      <w:pPr>
        <w:pStyle w:val="FootnoteText"/>
        <w:spacing w:after="0" w:line="480" w:lineRule="auto"/>
        <w:ind w:firstLine="720"/>
        <w:rPr>
          <w:sz w:val="24"/>
          <w:szCs w:val="24"/>
        </w:rPr>
      </w:pPr>
      <w:r w:rsidRPr="00C5582B">
        <w:rPr>
          <w:sz w:val="24"/>
          <w:szCs w:val="24"/>
        </w:rPr>
        <w:t>OCC recognizes the</w:t>
      </w:r>
      <w:r w:rsidRPr="00C5582B" w:rsidR="00F51B27">
        <w:rPr>
          <w:sz w:val="24"/>
          <w:szCs w:val="24"/>
        </w:rPr>
        <w:t xml:space="preserve"> </w:t>
      </w:r>
      <w:r w:rsidRPr="00C5582B">
        <w:rPr>
          <w:sz w:val="24"/>
          <w:szCs w:val="24"/>
        </w:rPr>
        <w:t xml:space="preserve">important role of a </w:t>
      </w:r>
      <w:r w:rsidRPr="00C5582B" w:rsidR="00E53D99">
        <w:rPr>
          <w:sz w:val="24"/>
          <w:szCs w:val="24"/>
        </w:rPr>
        <w:t xml:space="preserve">fully functioning </w:t>
      </w:r>
      <w:r w:rsidRPr="00C5582B">
        <w:rPr>
          <w:sz w:val="24"/>
          <w:szCs w:val="24"/>
        </w:rPr>
        <w:t xml:space="preserve">competitive market in lowering the cost of </w:t>
      </w:r>
      <w:r w:rsidRPr="00C5582B" w:rsidR="00EE36F1">
        <w:rPr>
          <w:sz w:val="24"/>
          <w:szCs w:val="24"/>
        </w:rPr>
        <w:t xml:space="preserve">standard offer </w:t>
      </w:r>
      <w:r w:rsidRPr="00C5582B">
        <w:rPr>
          <w:sz w:val="24"/>
          <w:szCs w:val="24"/>
        </w:rPr>
        <w:t xml:space="preserve">electricity service </w:t>
      </w:r>
      <w:r w:rsidRPr="00C5582B" w:rsidR="009271E0">
        <w:rPr>
          <w:sz w:val="24"/>
          <w:szCs w:val="24"/>
        </w:rPr>
        <w:t xml:space="preserve">and bringing innovations </w:t>
      </w:r>
      <w:r w:rsidRPr="00C5582B">
        <w:rPr>
          <w:sz w:val="24"/>
          <w:szCs w:val="24"/>
        </w:rPr>
        <w:t>to all Ohioans</w:t>
      </w:r>
      <w:r w:rsidRPr="00C5582B" w:rsidR="008C545A">
        <w:rPr>
          <w:sz w:val="24"/>
          <w:szCs w:val="24"/>
        </w:rPr>
        <w:t>.</w:t>
      </w:r>
      <w:r>
        <w:rPr>
          <w:rStyle w:val="FootnoteReference"/>
          <w:sz w:val="24"/>
          <w:szCs w:val="24"/>
        </w:rPr>
        <w:footnoteReference w:id="3"/>
      </w:r>
      <w:r w:rsidRPr="00C5582B" w:rsidR="008C545A">
        <w:rPr>
          <w:sz w:val="24"/>
          <w:szCs w:val="24"/>
        </w:rPr>
        <w:t xml:space="preserve"> </w:t>
      </w:r>
      <w:r w:rsidRPr="00C5582B">
        <w:rPr>
          <w:sz w:val="24"/>
          <w:szCs w:val="24"/>
        </w:rPr>
        <w:t xml:space="preserve">OCC supports the </w:t>
      </w:r>
      <w:r w:rsidRPr="00C5582B" w:rsidR="008C545A">
        <w:rPr>
          <w:sz w:val="24"/>
          <w:szCs w:val="24"/>
        </w:rPr>
        <w:t>directive</w:t>
      </w:r>
      <w:r w:rsidRPr="00C5582B" w:rsidR="00246CDA">
        <w:rPr>
          <w:sz w:val="24"/>
          <w:szCs w:val="24"/>
        </w:rPr>
        <w:t>s</w:t>
      </w:r>
      <w:r w:rsidRPr="00C5582B" w:rsidR="008C545A">
        <w:rPr>
          <w:sz w:val="24"/>
          <w:szCs w:val="24"/>
        </w:rPr>
        <w:t xml:space="preserve"> of the </w:t>
      </w:r>
      <w:r w:rsidRPr="00C5582B">
        <w:rPr>
          <w:sz w:val="24"/>
          <w:szCs w:val="24"/>
        </w:rPr>
        <w:t xml:space="preserve">Public Utilities Commission of Ohio (“PUCO”) in adopting a limited and focused </w:t>
      </w:r>
      <w:r w:rsidRPr="00C5582B" w:rsidR="008C545A">
        <w:rPr>
          <w:sz w:val="24"/>
          <w:szCs w:val="24"/>
        </w:rPr>
        <w:t xml:space="preserve">approach </w:t>
      </w:r>
      <w:r w:rsidRPr="00C5582B" w:rsidR="00A515CD">
        <w:rPr>
          <w:sz w:val="24"/>
          <w:szCs w:val="24"/>
        </w:rPr>
        <w:t xml:space="preserve">and </w:t>
      </w:r>
      <w:r w:rsidRPr="00C5582B" w:rsidR="008C545A">
        <w:rPr>
          <w:sz w:val="24"/>
          <w:szCs w:val="24"/>
        </w:rPr>
        <w:t xml:space="preserve">in </w:t>
      </w:r>
      <w:r w:rsidRPr="00C5582B" w:rsidR="00A97BC6">
        <w:rPr>
          <w:sz w:val="24"/>
          <w:szCs w:val="24"/>
        </w:rPr>
        <w:t>maintaining service reliability and competitively-priced electric service for all Ohioans</w:t>
      </w:r>
      <w:r w:rsidRPr="00C5582B" w:rsidR="009271E0">
        <w:rPr>
          <w:sz w:val="24"/>
          <w:szCs w:val="24"/>
        </w:rPr>
        <w:t>.</w:t>
      </w:r>
      <w:r w:rsidRPr="00C5582B" w:rsidR="00A97BC6">
        <w:rPr>
          <w:sz w:val="24"/>
          <w:szCs w:val="24"/>
        </w:rPr>
        <w:t xml:space="preserve"> </w:t>
      </w:r>
      <w:r>
        <w:rPr>
          <w:rStyle w:val="FootnoteReference"/>
          <w:sz w:val="24"/>
          <w:szCs w:val="24"/>
        </w:rPr>
        <w:footnoteReference w:id="4"/>
      </w:r>
      <w:r w:rsidRPr="00C5582B" w:rsidR="00F51B27">
        <w:rPr>
          <w:sz w:val="24"/>
          <w:szCs w:val="24"/>
        </w:rPr>
        <w:t xml:space="preserve"> </w:t>
      </w:r>
      <w:r w:rsidRPr="00C5582B" w:rsidR="00246CDA">
        <w:rPr>
          <w:sz w:val="24"/>
          <w:szCs w:val="24"/>
        </w:rPr>
        <w:t xml:space="preserve">OCC </w:t>
      </w:r>
      <w:r w:rsidRPr="00C5582B" w:rsidR="00A97BC6">
        <w:rPr>
          <w:sz w:val="24"/>
          <w:szCs w:val="24"/>
        </w:rPr>
        <w:t xml:space="preserve">also </w:t>
      </w:r>
      <w:r w:rsidRPr="00C5582B">
        <w:rPr>
          <w:sz w:val="24"/>
          <w:szCs w:val="24"/>
        </w:rPr>
        <w:t xml:space="preserve">recognizes </w:t>
      </w:r>
      <w:r w:rsidRPr="00C5582B" w:rsidR="00246CDA">
        <w:rPr>
          <w:sz w:val="24"/>
          <w:szCs w:val="24"/>
        </w:rPr>
        <w:t xml:space="preserve">the Staff’s Proposal and Recommendation filed on March 13, 2020 as </w:t>
      </w:r>
      <w:r w:rsidRPr="00C5582B" w:rsidR="00933135">
        <w:rPr>
          <w:sz w:val="24"/>
          <w:szCs w:val="24"/>
        </w:rPr>
        <w:t xml:space="preserve">the right </w:t>
      </w:r>
      <w:r w:rsidRPr="00C5582B" w:rsidR="00246CDA">
        <w:rPr>
          <w:sz w:val="24"/>
          <w:szCs w:val="24"/>
        </w:rPr>
        <w:t>step in effecting the PUCO’s directives.</w:t>
      </w:r>
      <w:r>
        <w:rPr>
          <w:rStyle w:val="FootnoteReference"/>
          <w:sz w:val="24"/>
          <w:szCs w:val="24"/>
        </w:rPr>
        <w:footnoteReference w:id="5"/>
      </w:r>
    </w:p>
    <w:p w:rsidR="00C5582B" w:rsidRPr="00C5582B" w:rsidP="00C5582B">
      <w:pPr>
        <w:pStyle w:val="FootnoteText"/>
        <w:spacing w:after="0"/>
        <w:ind w:firstLine="720"/>
        <w:rPr>
          <w:sz w:val="24"/>
          <w:szCs w:val="24"/>
        </w:rPr>
      </w:pPr>
    </w:p>
    <w:p w:rsidR="005E2783" w:rsidRPr="00C5582B" w:rsidP="002F1813">
      <w:pPr>
        <w:pStyle w:val="Heading1"/>
      </w:pPr>
      <w:bookmarkStart w:id="4" w:name="_Toc19287248"/>
      <w:bookmarkStart w:id="5" w:name="_Toc36475798"/>
      <w:bookmarkStart w:id="6" w:name="_Toc41654437"/>
      <w:bookmarkStart w:id="7" w:name="_Toc41654517"/>
      <w:bookmarkEnd w:id="3"/>
      <w:r w:rsidRPr="00C5582B">
        <w:t>ii.</w:t>
      </w:r>
      <w:r w:rsidRPr="00C5582B">
        <w:tab/>
      </w:r>
      <w:r w:rsidRPr="00C5582B" w:rsidR="00A05FF9">
        <w:t>COMMENTS</w:t>
      </w:r>
      <w:bookmarkEnd w:id="4"/>
      <w:bookmarkEnd w:id="5"/>
      <w:bookmarkEnd w:id="6"/>
      <w:bookmarkEnd w:id="7"/>
    </w:p>
    <w:p w:rsidR="002612A4" w:rsidRPr="00C5582B" w:rsidP="002F1813">
      <w:pPr>
        <w:pStyle w:val="Heading2"/>
      </w:pPr>
      <w:bookmarkStart w:id="8" w:name="_Toc41654438"/>
      <w:bookmarkStart w:id="9" w:name="_Toc41654518"/>
      <w:bookmarkStart w:id="10" w:name="_Toc36475799"/>
      <w:bookmarkStart w:id="11" w:name="_Toc19287249"/>
      <w:r w:rsidRPr="00C5582B">
        <w:t>A.</w:t>
      </w:r>
      <w:r w:rsidRPr="00C5582B">
        <w:tab/>
        <w:t>T</w:t>
      </w:r>
      <w:r w:rsidRPr="00C5582B" w:rsidR="00EE36F1">
        <w:t>o protect consumers, t</w:t>
      </w:r>
      <w:r w:rsidRPr="00C5582B">
        <w:t>he PUCO should adopt a limited and focu</w:t>
      </w:r>
      <w:r w:rsidRPr="00C5582B" w:rsidR="00495B85">
        <w:t>sed</w:t>
      </w:r>
      <w:r w:rsidRPr="00C5582B">
        <w:t xml:space="preserve"> approach in </w:t>
      </w:r>
      <w:r w:rsidRPr="00C5582B" w:rsidR="00B030CF">
        <w:t xml:space="preserve">remedying </w:t>
      </w:r>
      <w:r w:rsidRPr="00C5582B">
        <w:t xml:space="preserve">the temporary unavailability of PJM capacity </w:t>
      </w:r>
      <w:r w:rsidRPr="00C5582B" w:rsidR="00B030CF">
        <w:t>costs in forthcoming SSO supply auctions</w:t>
      </w:r>
      <w:r w:rsidRPr="00C5582B" w:rsidR="00AC4B9C">
        <w:t>.</w:t>
      </w:r>
      <w:bookmarkEnd w:id="8"/>
      <w:bookmarkEnd w:id="9"/>
      <w:r w:rsidRPr="00C5582B">
        <w:t xml:space="preserve"> </w:t>
      </w:r>
    </w:p>
    <w:p w:rsidR="00B030CF" w:rsidRPr="00C5582B" w:rsidP="00E74BD2">
      <w:pPr>
        <w:pStyle w:val="FootnoteText"/>
        <w:spacing w:after="0" w:line="480" w:lineRule="auto"/>
        <w:ind w:firstLine="720"/>
        <w:rPr>
          <w:sz w:val="24"/>
          <w:szCs w:val="24"/>
        </w:rPr>
      </w:pPr>
      <w:r w:rsidRPr="00C5582B">
        <w:rPr>
          <w:sz w:val="24"/>
          <w:szCs w:val="24"/>
        </w:rPr>
        <w:t>The PUCO amended the SSO supply auctions of Duke in July 2019 and February 2020.</w:t>
      </w:r>
      <w:r>
        <w:rPr>
          <w:rStyle w:val="FootnoteReference"/>
          <w:sz w:val="24"/>
          <w:szCs w:val="24"/>
        </w:rPr>
        <w:footnoteReference w:id="6"/>
      </w:r>
      <w:r w:rsidRPr="00C5582B">
        <w:rPr>
          <w:sz w:val="24"/>
          <w:szCs w:val="24"/>
        </w:rPr>
        <w:t xml:space="preserve"> In its February 13, 2020 Entry approving the modification of Duke’s </w:t>
      </w:r>
      <w:r w:rsidRPr="00C5582B" w:rsidR="000265F0">
        <w:rPr>
          <w:sz w:val="24"/>
          <w:szCs w:val="24"/>
        </w:rPr>
        <w:t xml:space="preserve">SSO </w:t>
      </w:r>
      <w:r w:rsidRPr="00C5582B">
        <w:rPr>
          <w:sz w:val="24"/>
          <w:szCs w:val="24"/>
        </w:rPr>
        <w:t xml:space="preserve">auction, the PUCO </w:t>
      </w:r>
      <w:r w:rsidRPr="00C5582B" w:rsidR="00246CDA">
        <w:rPr>
          <w:sz w:val="24"/>
          <w:szCs w:val="24"/>
        </w:rPr>
        <w:t xml:space="preserve">also </w:t>
      </w:r>
      <w:r w:rsidRPr="00C5582B">
        <w:rPr>
          <w:sz w:val="24"/>
          <w:szCs w:val="24"/>
        </w:rPr>
        <w:t>directed the Staff to “file a proposal for a modified product which contains capacity flow-through provisions.”</w:t>
      </w:r>
      <w:r>
        <w:rPr>
          <w:rStyle w:val="FootnoteReference"/>
          <w:sz w:val="24"/>
          <w:szCs w:val="24"/>
        </w:rPr>
        <w:footnoteReference w:id="7"/>
      </w:r>
      <w:r w:rsidRPr="00C5582B">
        <w:rPr>
          <w:sz w:val="24"/>
          <w:szCs w:val="24"/>
        </w:rPr>
        <w:t xml:space="preserve"> </w:t>
      </w:r>
      <w:r w:rsidRPr="00C5582B" w:rsidR="00246CDA">
        <w:rPr>
          <w:sz w:val="24"/>
          <w:szCs w:val="24"/>
        </w:rPr>
        <w:t>In that entry, t</w:t>
      </w:r>
      <w:r w:rsidRPr="00C5582B">
        <w:rPr>
          <w:sz w:val="24"/>
          <w:szCs w:val="24"/>
        </w:rPr>
        <w:t>he PUCO further affirmed that the uncertainty created by the lack of PJM B</w:t>
      </w:r>
      <w:r w:rsidRPr="00C5582B" w:rsidR="00B44A6A">
        <w:rPr>
          <w:sz w:val="24"/>
          <w:szCs w:val="24"/>
        </w:rPr>
        <w:t>RA</w:t>
      </w:r>
      <w:r w:rsidRPr="00C5582B">
        <w:rPr>
          <w:sz w:val="24"/>
          <w:szCs w:val="24"/>
        </w:rPr>
        <w:t xml:space="preserve"> capacity prices “could have significant effects on the auction process, including limiting participation and alter</w:t>
      </w:r>
      <w:r w:rsidRPr="00C5582B" w:rsidR="000A68B5">
        <w:rPr>
          <w:sz w:val="24"/>
          <w:szCs w:val="24"/>
        </w:rPr>
        <w:t>ing</w:t>
      </w:r>
      <w:r w:rsidRPr="00C5582B">
        <w:rPr>
          <w:sz w:val="24"/>
          <w:szCs w:val="24"/>
        </w:rPr>
        <w:t xml:space="preserve"> bidding strategies.”</w:t>
      </w:r>
      <w:r>
        <w:rPr>
          <w:rStyle w:val="FootnoteReference"/>
          <w:sz w:val="24"/>
          <w:szCs w:val="24"/>
        </w:rPr>
        <w:footnoteReference w:id="8"/>
      </w:r>
    </w:p>
    <w:p w:rsidR="00495B85" w:rsidRPr="00C5582B" w:rsidP="00E74BD2">
      <w:pPr>
        <w:pStyle w:val="FootnoteText"/>
        <w:spacing w:after="0" w:line="480" w:lineRule="auto"/>
        <w:ind w:firstLine="720"/>
        <w:rPr>
          <w:sz w:val="24"/>
          <w:szCs w:val="24"/>
        </w:rPr>
      </w:pPr>
      <w:r w:rsidRPr="00C5582B">
        <w:rPr>
          <w:sz w:val="24"/>
          <w:szCs w:val="24"/>
        </w:rPr>
        <w:t xml:space="preserve">This limited and focused approach </w:t>
      </w:r>
      <w:r w:rsidRPr="00C5582B" w:rsidR="000A68B5">
        <w:rPr>
          <w:sz w:val="24"/>
          <w:szCs w:val="24"/>
        </w:rPr>
        <w:t xml:space="preserve">of </w:t>
      </w:r>
      <w:r w:rsidRPr="00C5582B" w:rsidR="000265F0">
        <w:rPr>
          <w:sz w:val="24"/>
          <w:szCs w:val="24"/>
        </w:rPr>
        <w:t>relying on a capacity cost flow-through and true-up mechanism</w:t>
      </w:r>
      <w:r w:rsidRPr="00C5582B">
        <w:rPr>
          <w:sz w:val="24"/>
          <w:szCs w:val="24"/>
        </w:rPr>
        <w:t>, as exemplified in the PUCO entry,</w:t>
      </w:r>
      <w:r w:rsidRPr="00C5582B" w:rsidR="00C36328">
        <w:rPr>
          <w:sz w:val="24"/>
          <w:szCs w:val="24"/>
        </w:rPr>
        <w:t xml:space="preserve"> </w:t>
      </w:r>
      <w:r w:rsidRPr="00C5582B">
        <w:rPr>
          <w:sz w:val="24"/>
          <w:szCs w:val="24"/>
        </w:rPr>
        <w:t xml:space="preserve">is reasonable. There is no evidence presented in this proceeding that would suggest the PUCO should depart from </w:t>
      </w:r>
      <w:r w:rsidRPr="00C5582B" w:rsidR="000265F0">
        <w:rPr>
          <w:sz w:val="24"/>
          <w:szCs w:val="24"/>
        </w:rPr>
        <w:t xml:space="preserve">this </w:t>
      </w:r>
      <w:r w:rsidRPr="00C5582B" w:rsidR="00246CDA">
        <w:rPr>
          <w:sz w:val="24"/>
          <w:szCs w:val="24"/>
        </w:rPr>
        <w:t xml:space="preserve">policy </w:t>
      </w:r>
      <w:r w:rsidRPr="00C5582B" w:rsidR="008D325A">
        <w:rPr>
          <w:sz w:val="24"/>
          <w:szCs w:val="24"/>
        </w:rPr>
        <w:t xml:space="preserve">of </w:t>
      </w:r>
      <w:r w:rsidRPr="00C5582B" w:rsidR="000265F0">
        <w:rPr>
          <w:sz w:val="24"/>
          <w:szCs w:val="24"/>
        </w:rPr>
        <w:t xml:space="preserve">relying on </w:t>
      </w:r>
      <w:r w:rsidRPr="00C5582B">
        <w:rPr>
          <w:sz w:val="24"/>
          <w:szCs w:val="24"/>
        </w:rPr>
        <w:t>a capacity co</w:t>
      </w:r>
      <w:r w:rsidRPr="00C5582B" w:rsidR="00B44A6A">
        <w:rPr>
          <w:sz w:val="24"/>
          <w:szCs w:val="24"/>
        </w:rPr>
        <w:t>st flow-through rate mechanism.</w:t>
      </w:r>
    </w:p>
    <w:p w:rsidR="002426B0" w:rsidRPr="00C5582B" w:rsidP="00E74BD2">
      <w:pPr>
        <w:pStyle w:val="FootnoteText"/>
        <w:spacing w:after="0" w:line="480" w:lineRule="auto"/>
        <w:ind w:left="-90" w:firstLine="720"/>
        <w:rPr>
          <w:sz w:val="24"/>
          <w:szCs w:val="24"/>
        </w:rPr>
      </w:pPr>
      <w:r w:rsidRPr="00C5582B">
        <w:rPr>
          <w:sz w:val="24"/>
          <w:szCs w:val="24"/>
        </w:rPr>
        <w:t xml:space="preserve">As it stands now, </w:t>
      </w:r>
      <w:r w:rsidRPr="00C5582B" w:rsidR="00B030CF">
        <w:rPr>
          <w:sz w:val="24"/>
          <w:szCs w:val="24"/>
        </w:rPr>
        <w:t xml:space="preserve">PJM is likely to resume its Base Residual </w:t>
      </w:r>
      <w:r w:rsidRPr="00C5582B">
        <w:rPr>
          <w:sz w:val="24"/>
          <w:szCs w:val="24"/>
        </w:rPr>
        <w:t>A</w:t>
      </w:r>
      <w:r w:rsidRPr="00C5582B" w:rsidR="00B030CF">
        <w:rPr>
          <w:sz w:val="24"/>
          <w:szCs w:val="24"/>
        </w:rPr>
        <w:t>uction in early 2021</w:t>
      </w:r>
      <w:r w:rsidRPr="00C5582B" w:rsidR="000A68B5">
        <w:rPr>
          <w:sz w:val="24"/>
          <w:szCs w:val="24"/>
        </w:rPr>
        <w:t>,</w:t>
      </w:r>
      <w:r w:rsidRPr="00C5582B" w:rsidR="00B030CF">
        <w:rPr>
          <w:sz w:val="24"/>
          <w:szCs w:val="24"/>
        </w:rPr>
        <w:t xml:space="preserve"> and </w:t>
      </w:r>
      <w:r w:rsidRPr="00C5582B">
        <w:rPr>
          <w:sz w:val="24"/>
          <w:szCs w:val="24"/>
        </w:rPr>
        <w:t xml:space="preserve">the </w:t>
      </w:r>
      <w:r w:rsidRPr="00C5582B" w:rsidR="00B030CF">
        <w:rPr>
          <w:sz w:val="24"/>
          <w:szCs w:val="24"/>
        </w:rPr>
        <w:t xml:space="preserve">PJM capacity </w:t>
      </w:r>
      <w:r w:rsidRPr="00C5582B">
        <w:rPr>
          <w:sz w:val="24"/>
          <w:szCs w:val="24"/>
        </w:rPr>
        <w:t xml:space="preserve">costs to the suppliers </w:t>
      </w:r>
      <w:r w:rsidRPr="00C5582B" w:rsidR="00B030CF">
        <w:rPr>
          <w:sz w:val="24"/>
          <w:szCs w:val="24"/>
        </w:rPr>
        <w:t xml:space="preserve">for delivery year 2022/2023 and later </w:t>
      </w:r>
      <w:r w:rsidRPr="00C5582B" w:rsidR="00246CDA">
        <w:rPr>
          <w:sz w:val="24"/>
          <w:szCs w:val="24"/>
        </w:rPr>
        <w:t xml:space="preserve">years </w:t>
      </w:r>
      <w:r w:rsidRPr="00C5582B" w:rsidR="00B030CF">
        <w:rPr>
          <w:sz w:val="24"/>
          <w:szCs w:val="24"/>
        </w:rPr>
        <w:t xml:space="preserve">will be </w:t>
      </w:r>
      <w:r w:rsidRPr="00C5582B">
        <w:rPr>
          <w:sz w:val="24"/>
          <w:szCs w:val="24"/>
        </w:rPr>
        <w:t xml:space="preserve">established and </w:t>
      </w:r>
      <w:r w:rsidRPr="00C5582B" w:rsidR="00B030CF">
        <w:rPr>
          <w:sz w:val="24"/>
          <w:szCs w:val="24"/>
        </w:rPr>
        <w:t>available</w:t>
      </w:r>
      <w:r w:rsidRPr="00C5582B">
        <w:rPr>
          <w:sz w:val="24"/>
          <w:szCs w:val="24"/>
        </w:rPr>
        <w:t xml:space="preserve"> after the PJM auction</w:t>
      </w:r>
      <w:r w:rsidRPr="00C5582B" w:rsidR="000265F0">
        <w:rPr>
          <w:sz w:val="24"/>
          <w:szCs w:val="24"/>
        </w:rPr>
        <w:t>s</w:t>
      </w:r>
      <w:r w:rsidRPr="00C5582B" w:rsidR="00B030CF">
        <w:rPr>
          <w:sz w:val="24"/>
          <w:szCs w:val="24"/>
        </w:rPr>
        <w:t>. Specifically, PJM will be filing a revised compliance filing with the Federal Energy Regulatory Commission (“FERC”) on June 1, 2020</w:t>
      </w:r>
      <w:r w:rsidRPr="00C5582B" w:rsidR="000A68B5">
        <w:rPr>
          <w:sz w:val="24"/>
          <w:szCs w:val="24"/>
        </w:rPr>
        <w:t>,</w:t>
      </w:r>
      <w:r w:rsidRPr="00C5582B" w:rsidR="00B030CF">
        <w:rPr>
          <w:sz w:val="24"/>
          <w:szCs w:val="24"/>
        </w:rPr>
        <w:t xml:space="preserve"> and the first BRA is </w:t>
      </w:r>
      <w:r w:rsidRPr="00C5582B">
        <w:rPr>
          <w:sz w:val="24"/>
          <w:szCs w:val="24"/>
        </w:rPr>
        <w:t xml:space="preserve">currently scheduled </w:t>
      </w:r>
      <w:r w:rsidRPr="00C5582B" w:rsidR="00B030CF">
        <w:rPr>
          <w:sz w:val="24"/>
          <w:szCs w:val="24"/>
        </w:rPr>
        <w:t xml:space="preserve">to be held eight months after that date. At the same time, the next </w:t>
      </w:r>
      <w:r w:rsidRPr="00C5582B">
        <w:rPr>
          <w:sz w:val="24"/>
          <w:szCs w:val="24"/>
        </w:rPr>
        <w:t xml:space="preserve">two </w:t>
      </w:r>
      <w:r w:rsidRPr="00C5582B" w:rsidR="00B030CF">
        <w:rPr>
          <w:sz w:val="24"/>
          <w:szCs w:val="24"/>
        </w:rPr>
        <w:t xml:space="preserve">rounds of SSO auction for </w:t>
      </w:r>
      <w:r w:rsidRPr="00C5582B" w:rsidR="00B92DFC">
        <w:rPr>
          <w:sz w:val="24"/>
          <w:szCs w:val="24"/>
        </w:rPr>
        <w:t xml:space="preserve">Ohio </w:t>
      </w:r>
      <w:r w:rsidRPr="00C5582B" w:rsidR="00B030CF">
        <w:rPr>
          <w:sz w:val="24"/>
          <w:szCs w:val="24"/>
        </w:rPr>
        <w:t xml:space="preserve">utilities in Ohio are scheduled in </w:t>
      </w:r>
      <w:r w:rsidRPr="00C5582B" w:rsidR="000265F0">
        <w:rPr>
          <w:sz w:val="24"/>
          <w:szCs w:val="24"/>
        </w:rPr>
        <w:t>late 2020 and early 2021 (</w:t>
      </w:r>
      <w:r w:rsidRPr="00C5582B" w:rsidR="00B030CF">
        <w:rPr>
          <w:sz w:val="24"/>
          <w:szCs w:val="24"/>
        </w:rPr>
        <w:t>September 2020</w:t>
      </w:r>
      <w:r w:rsidRPr="00C5582B" w:rsidR="000265F0">
        <w:rPr>
          <w:sz w:val="24"/>
          <w:szCs w:val="24"/>
        </w:rPr>
        <w:t xml:space="preserve"> and February 2021 for </w:t>
      </w:r>
      <w:r w:rsidRPr="00C5582B" w:rsidR="00C36328">
        <w:rPr>
          <w:sz w:val="24"/>
          <w:szCs w:val="24"/>
        </w:rPr>
        <w:t>Duke</w:t>
      </w:r>
      <w:r w:rsidRPr="00C5582B" w:rsidR="000265F0">
        <w:rPr>
          <w:sz w:val="24"/>
          <w:szCs w:val="24"/>
        </w:rPr>
        <w:t xml:space="preserve">, </w:t>
      </w:r>
      <w:r w:rsidRPr="00C5582B" w:rsidR="00B92DFC">
        <w:rPr>
          <w:sz w:val="24"/>
          <w:szCs w:val="24"/>
        </w:rPr>
        <w:t>October 2020</w:t>
      </w:r>
      <w:r w:rsidRPr="00C5582B" w:rsidR="000265F0">
        <w:rPr>
          <w:sz w:val="24"/>
          <w:szCs w:val="24"/>
        </w:rPr>
        <w:t xml:space="preserve"> and January 2021 for </w:t>
      </w:r>
      <w:r w:rsidRPr="00C5582B" w:rsidR="00B92DFC">
        <w:rPr>
          <w:sz w:val="24"/>
          <w:szCs w:val="24"/>
        </w:rPr>
        <w:t xml:space="preserve">FirstEnergy, </w:t>
      </w:r>
      <w:r w:rsidRPr="00C5582B" w:rsidR="000265F0">
        <w:rPr>
          <w:sz w:val="24"/>
          <w:szCs w:val="24"/>
        </w:rPr>
        <w:t xml:space="preserve">and </w:t>
      </w:r>
      <w:r w:rsidRPr="00C5582B" w:rsidR="00B92DFC">
        <w:rPr>
          <w:sz w:val="24"/>
          <w:szCs w:val="24"/>
        </w:rPr>
        <w:t xml:space="preserve">November 2020 </w:t>
      </w:r>
      <w:r w:rsidRPr="00C5582B" w:rsidR="000265F0">
        <w:rPr>
          <w:sz w:val="24"/>
          <w:szCs w:val="24"/>
        </w:rPr>
        <w:t xml:space="preserve">and March 2021 for </w:t>
      </w:r>
      <w:r w:rsidRPr="00C5582B" w:rsidR="00B92DFC">
        <w:rPr>
          <w:sz w:val="24"/>
          <w:szCs w:val="24"/>
        </w:rPr>
        <w:t>Ohio Power)</w:t>
      </w:r>
      <w:r w:rsidRPr="00C5582B" w:rsidR="000265F0">
        <w:rPr>
          <w:sz w:val="24"/>
          <w:szCs w:val="24"/>
        </w:rPr>
        <w:t>.</w:t>
      </w:r>
      <w:r>
        <w:rPr>
          <w:rStyle w:val="FootnoteReference"/>
          <w:sz w:val="24"/>
          <w:szCs w:val="24"/>
        </w:rPr>
        <w:footnoteReference w:id="9"/>
      </w:r>
      <w:r w:rsidRPr="00C5582B" w:rsidR="00B030CF">
        <w:rPr>
          <w:sz w:val="24"/>
          <w:szCs w:val="24"/>
        </w:rPr>
        <w:t xml:space="preserve"> </w:t>
      </w:r>
      <w:r w:rsidRPr="00C5582B" w:rsidR="00C8568E">
        <w:rPr>
          <w:sz w:val="24"/>
          <w:szCs w:val="24"/>
        </w:rPr>
        <w:t xml:space="preserve">The BRA capacity clearing prices are currently known for the </w:t>
      </w:r>
      <w:r w:rsidRPr="00C5582B" w:rsidR="002F1813">
        <w:rPr>
          <w:sz w:val="24"/>
          <w:szCs w:val="24"/>
        </w:rPr>
        <w:t xml:space="preserve">2021/22 delivery year. </w:t>
      </w:r>
      <w:r w:rsidRPr="00C5582B" w:rsidR="00114DC6">
        <w:rPr>
          <w:sz w:val="24"/>
          <w:szCs w:val="24"/>
        </w:rPr>
        <w:t xml:space="preserve">And </w:t>
      </w:r>
      <w:r w:rsidRPr="00C5582B" w:rsidR="00B030CF">
        <w:rPr>
          <w:sz w:val="24"/>
          <w:szCs w:val="24"/>
        </w:rPr>
        <w:t xml:space="preserve">the unavailability of PJM capacity costs for the delivery year of 2022-2023 will likely affect one or two </w:t>
      </w:r>
      <w:r w:rsidRPr="00C5582B" w:rsidR="00B92DFC">
        <w:rPr>
          <w:sz w:val="24"/>
          <w:szCs w:val="24"/>
        </w:rPr>
        <w:t xml:space="preserve">rounds of </w:t>
      </w:r>
      <w:r w:rsidRPr="00C5582B" w:rsidR="00B030CF">
        <w:rPr>
          <w:sz w:val="24"/>
          <w:szCs w:val="24"/>
        </w:rPr>
        <w:t>forthcoming SSO supply auctions</w:t>
      </w:r>
      <w:r w:rsidRPr="00C5582B">
        <w:rPr>
          <w:sz w:val="24"/>
          <w:szCs w:val="24"/>
        </w:rPr>
        <w:t xml:space="preserve"> in Ohio</w:t>
      </w:r>
      <w:r w:rsidRPr="00C5582B" w:rsidR="00B030CF">
        <w:rPr>
          <w:sz w:val="24"/>
          <w:szCs w:val="24"/>
        </w:rPr>
        <w:t xml:space="preserve">. </w:t>
      </w:r>
      <w:r w:rsidRPr="00C5582B" w:rsidR="00C8568E">
        <w:rPr>
          <w:sz w:val="24"/>
          <w:szCs w:val="24"/>
        </w:rPr>
        <w:t xml:space="preserve">Moreover, under PJM’s proposed compressed Base </w:t>
      </w:r>
      <w:r w:rsidRPr="00C5582B" w:rsidR="00114DC6">
        <w:rPr>
          <w:sz w:val="24"/>
          <w:szCs w:val="24"/>
        </w:rPr>
        <w:t xml:space="preserve">Residual Auction schedule, </w:t>
      </w:r>
      <w:r w:rsidRPr="00C5582B" w:rsidR="00C8568E">
        <w:rPr>
          <w:sz w:val="24"/>
          <w:szCs w:val="24"/>
        </w:rPr>
        <w:t xml:space="preserve">those </w:t>
      </w:r>
      <w:r w:rsidRPr="00C5582B" w:rsidR="00114DC6">
        <w:rPr>
          <w:sz w:val="24"/>
          <w:szCs w:val="24"/>
        </w:rPr>
        <w:t xml:space="preserve">future </w:t>
      </w:r>
      <w:r w:rsidRPr="00C5582B" w:rsidR="00C8568E">
        <w:rPr>
          <w:sz w:val="24"/>
          <w:szCs w:val="24"/>
        </w:rPr>
        <w:t xml:space="preserve">clearing prices </w:t>
      </w:r>
      <w:r w:rsidRPr="00C5582B" w:rsidR="00114DC6">
        <w:rPr>
          <w:sz w:val="24"/>
          <w:szCs w:val="24"/>
        </w:rPr>
        <w:t>will be known before winning bidders are required to supply service to SSO customers.</w:t>
      </w:r>
    </w:p>
    <w:p w:rsidR="0092526E" w:rsidRPr="00C5582B">
      <w:pPr>
        <w:pStyle w:val="FootnoteText"/>
        <w:spacing w:after="0" w:line="480" w:lineRule="auto"/>
        <w:ind w:left="-90" w:firstLine="720"/>
        <w:rPr>
          <w:sz w:val="24"/>
          <w:szCs w:val="24"/>
        </w:rPr>
      </w:pPr>
      <w:r w:rsidRPr="00C5582B">
        <w:rPr>
          <w:sz w:val="24"/>
          <w:szCs w:val="24"/>
        </w:rPr>
        <w:t xml:space="preserve">In the second half of 2021, the PJM capacity </w:t>
      </w:r>
      <w:r w:rsidRPr="00C5582B" w:rsidR="008D325A">
        <w:rPr>
          <w:sz w:val="24"/>
          <w:szCs w:val="24"/>
        </w:rPr>
        <w:t xml:space="preserve">costs </w:t>
      </w:r>
      <w:r w:rsidRPr="00C5582B">
        <w:rPr>
          <w:sz w:val="24"/>
          <w:szCs w:val="24"/>
        </w:rPr>
        <w:t xml:space="preserve">for </w:t>
      </w:r>
      <w:r w:rsidRPr="00C5582B" w:rsidR="008D325A">
        <w:rPr>
          <w:sz w:val="24"/>
          <w:szCs w:val="24"/>
        </w:rPr>
        <w:t xml:space="preserve">the </w:t>
      </w:r>
      <w:r w:rsidRPr="00C5582B">
        <w:rPr>
          <w:sz w:val="24"/>
          <w:szCs w:val="24"/>
        </w:rPr>
        <w:t xml:space="preserve">2022-2023 and </w:t>
      </w:r>
      <w:r w:rsidRPr="00C5582B" w:rsidR="002426B0">
        <w:rPr>
          <w:sz w:val="24"/>
          <w:szCs w:val="24"/>
        </w:rPr>
        <w:t xml:space="preserve">later </w:t>
      </w:r>
      <w:r w:rsidRPr="00C5582B">
        <w:rPr>
          <w:sz w:val="24"/>
          <w:szCs w:val="24"/>
        </w:rPr>
        <w:t xml:space="preserve">delivery years would likely be available to all </w:t>
      </w:r>
      <w:r w:rsidRPr="00C5582B" w:rsidR="008D325A">
        <w:rPr>
          <w:sz w:val="24"/>
          <w:szCs w:val="24"/>
        </w:rPr>
        <w:t xml:space="preserve">suppliers </w:t>
      </w:r>
      <w:r w:rsidRPr="00C5582B">
        <w:rPr>
          <w:sz w:val="24"/>
          <w:szCs w:val="24"/>
        </w:rPr>
        <w:t xml:space="preserve">participating in future </w:t>
      </w:r>
      <w:r w:rsidRPr="00C5582B" w:rsidR="008D325A">
        <w:rPr>
          <w:sz w:val="24"/>
          <w:szCs w:val="24"/>
        </w:rPr>
        <w:t xml:space="preserve">Ohio </w:t>
      </w:r>
      <w:r w:rsidRPr="00C5582B">
        <w:rPr>
          <w:sz w:val="24"/>
          <w:szCs w:val="24"/>
        </w:rPr>
        <w:t xml:space="preserve">SSO supply auctions. </w:t>
      </w:r>
      <w:r w:rsidRPr="00C5582B" w:rsidR="00B92DFC">
        <w:rPr>
          <w:sz w:val="24"/>
          <w:szCs w:val="24"/>
        </w:rPr>
        <w:t xml:space="preserve">There </w:t>
      </w:r>
      <w:r w:rsidRPr="00C5582B">
        <w:rPr>
          <w:sz w:val="24"/>
          <w:szCs w:val="24"/>
        </w:rPr>
        <w:t xml:space="preserve">is no need to make </w:t>
      </w:r>
      <w:r w:rsidRPr="00C5582B" w:rsidR="008D325A">
        <w:rPr>
          <w:sz w:val="24"/>
          <w:szCs w:val="24"/>
        </w:rPr>
        <w:t xml:space="preserve">substantial or </w:t>
      </w:r>
      <w:r w:rsidRPr="00C5582B">
        <w:rPr>
          <w:sz w:val="24"/>
          <w:szCs w:val="24"/>
        </w:rPr>
        <w:t xml:space="preserve">permanent changes to </w:t>
      </w:r>
      <w:r w:rsidRPr="00C5582B" w:rsidR="000A68B5">
        <w:rPr>
          <w:sz w:val="24"/>
          <w:szCs w:val="24"/>
        </w:rPr>
        <w:t xml:space="preserve">previous-approved </w:t>
      </w:r>
      <w:r w:rsidRPr="00C5582B" w:rsidR="008D325A">
        <w:rPr>
          <w:sz w:val="24"/>
          <w:szCs w:val="24"/>
        </w:rPr>
        <w:t xml:space="preserve">SSO </w:t>
      </w:r>
      <w:r w:rsidRPr="00C5582B" w:rsidR="002426B0">
        <w:rPr>
          <w:sz w:val="24"/>
          <w:szCs w:val="24"/>
        </w:rPr>
        <w:t xml:space="preserve">supply auction </w:t>
      </w:r>
      <w:r w:rsidRPr="00C5582B">
        <w:rPr>
          <w:sz w:val="24"/>
          <w:szCs w:val="24"/>
        </w:rPr>
        <w:t>process</w:t>
      </w:r>
      <w:r w:rsidRPr="00C5582B" w:rsidR="000A68B5">
        <w:rPr>
          <w:sz w:val="24"/>
          <w:szCs w:val="24"/>
        </w:rPr>
        <w:t>es</w:t>
      </w:r>
      <w:r w:rsidRPr="00C5582B" w:rsidR="00495B85">
        <w:rPr>
          <w:sz w:val="24"/>
          <w:szCs w:val="24"/>
        </w:rPr>
        <w:t xml:space="preserve">. </w:t>
      </w:r>
      <w:r w:rsidRPr="00C5582B">
        <w:rPr>
          <w:color w:val="201F1E"/>
          <w:sz w:val="24"/>
          <w:szCs w:val="24"/>
        </w:rPr>
        <w:t>If the PUCO intends to permanent</w:t>
      </w:r>
      <w:r w:rsidRPr="00C5582B" w:rsidR="000A68B5">
        <w:rPr>
          <w:color w:val="201F1E"/>
          <w:sz w:val="24"/>
          <w:szCs w:val="24"/>
        </w:rPr>
        <w:t>ly</w:t>
      </w:r>
      <w:r w:rsidRPr="00C5582B">
        <w:rPr>
          <w:color w:val="201F1E"/>
          <w:sz w:val="24"/>
          <w:szCs w:val="24"/>
        </w:rPr>
        <w:t xml:space="preserve"> and </w:t>
      </w:r>
      <w:r w:rsidRPr="00C5582B" w:rsidR="008D325A">
        <w:rPr>
          <w:color w:val="201F1E"/>
          <w:sz w:val="24"/>
          <w:szCs w:val="24"/>
        </w:rPr>
        <w:t>substantial</w:t>
      </w:r>
      <w:r w:rsidRPr="00C5582B" w:rsidR="000A68B5">
        <w:rPr>
          <w:color w:val="201F1E"/>
          <w:sz w:val="24"/>
          <w:szCs w:val="24"/>
        </w:rPr>
        <w:t>ly</w:t>
      </w:r>
      <w:r w:rsidRPr="00C5582B" w:rsidR="008D325A">
        <w:rPr>
          <w:color w:val="201F1E"/>
          <w:sz w:val="24"/>
          <w:szCs w:val="24"/>
        </w:rPr>
        <w:t xml:space="preserve"> </w:t>
      </w:r>
      <w:r w:rsidRPr="00C5582B">
        <w:rPr>
          <w:color w:val="201F1E"/>
          <w:sz w:val="24"/>
          <w:szCs w:val="24"/>
        </w:rPr>
        <w:t>revis</w:t>
      </w:r>
      <w:r w:rsidRPr="00C5582B" w:rsidR="000A68B5">
        <w:rPr>
          <w:color w:val="201F1E"/>
          <w:sz w:val="24"/>
          <w:szCs w:val="24"/>
        </w:rPr>
        <w:t>e</w:t>
      </w:r>
      <w:r w:rsidRPr="00C5582B">
        <w:rPr>
          <w:color w:val="201F1E"/>
          <w:sz w:val="24"/>
          <w:szCs w:val="24"/>
        </w:rPr>
        <w:t xml:space="preserve"> the SSO supply auctions in Ohio, </w:t>
      </w:r>
      <w:r w:rsidRPr="00C5582B" w:rsidR="008D325A">
        <w:rPr>
          <w:color w:val="201F1E"/>
          <w:sz w:val="24"/>
          <w:szCs w:val="24"/>
        </w:rPr>
        <w:t xml:space="preserve">the PUCO </w:t>
      </w:r>
      <w:r w:rsidRPr="00C5582B">
        <w:rPr>
          <w:color w:val="201F1E"/>
          <w:sz w:val="24"/>
          <w:szCs w:val="24"/>
        </w:rPr>
        <w:t xml:space="preserve">should </w:t>
      </w:r>
      <w:r w:rsidRPr="00C5582B" w:rsidR="008D325A">
        <w:rPr>
          <w:color w:val="201F1E"/>
          <w:sz w:val="24"/>
          <w:szCs w:val="24"/>
        </w:rPr>
        <w:t xml:space="preserve">do </w:t>
      </w:r>
      <w:r w:rsidRPr="00C5582B" w:rsidR="000A68B5">
        <w:rPr>
          <w:color w:val="201F1E"/>
          <w:sz w:val="24"/>
          <w:szCs w:val="24"/>
        </w:rPr>
        <w:t xml:space="preserve">so </w:t>
      </w:r>
      <w:r w:rsidRPr="00C5582B">
        <w:rPr>
          <w:color w:val="201F1E"/>
          <w:sz w:val="24"/>
          <w:szCs w:val="24"/>
        </w:rPr>
        <w:t xml:space="preserve">in a separate proceeding with </w:t>
      </w:r>
      <w:r w:rsidRPr="00C5582B" w:rsidR="003C07EF">
        <w:rPr>
          <w:color w:val="201F1E"/>
          <w:sz w:val="24"/>
          <w:szCs w:val="24"/>
        </w:rPr>
        <w:t xml:space="preserve">a </w:t>
      </w:r>
      <w:r w:rsidRPr="00C5582B">
        <w:rPr>
          <w:color w:val="201F1E"/>
          <w:sz w:val="24"/>
          <w:szCs w:val="24"/>
        </w:rPr>
        <w:t xml:space="preserve">hearing and </w:t>
      </w:r>
      <w:r w:rsidRPr="00C5582B" w:rsidR="005F5AB5">
        <w:rPr>
          <w:color w:val="201F1E"/>
          <w:sz w:val="24"/>
          <w:szCs w:val="24"/>
        </w:rPr>
        <w:t>a comprehensive</w:t>
      </w:r>
      <w:r w:rsidRPr="00C5582B">
        <w:rPr>
          <w:color w:val="201F1E"/>
          <w:sz w:val="24"/>
          <w:szCs w:val="24"/>
        </w:rPr>
        <w:t xml:space="preserve"> </w:t>
      </w:r>
      <w:r w:rsidRPr="00C5582B" w:rsidR="003C07EF">
        <w:rPr>
          <w:color w:val="201F1E"/>
          <w:sz w:val="24"/>
          <w:szCs w:val="24"/>
        </w:rPr>
        <w:t>and complete record</w:t>
      </w:r>
      <w:r w:rsidRPr="00C5582B" w:rsidR="00495B85">
        <w:rPr>
          <w:color w:val="201F1E"/>
          <w:sz w:val="24"/>
          <w:szCs w:val="24"/>
        </w:rPr>
        <w:t xml:space="preserve"> </w:t>
      </w:r>
      <w:r w:rsidRPr="00C5582B" w:rsidR="000A68B5">
        <w:rPr>
          <w:color w:val="201F1E"/>
          <w:sz w:val="24"/>
          <w:szCs w:val="24"/>
        </w:rPr>
        <w:t>be</w:t>
      </w:r>
      <w:r w:rsidRPr="00C5582B" w:rsidR="00495B85">
        <w:rPr>
          <w:color w:val="201F1E"/>
          <w:sz w:val="24"/>
          <w:szCs w:val="24"/>
        </w:rPr>
        <w:t>for</w:t>
      </w:r>
      <w:r w:rsidRPr="00C5582B" w:rsidR="000A68B5">
        <w:rPr>
          <w:color w:val="201F1E"/>
          <w:sz w:val="24"/>
          <w:szCs w:val="24"/>
        </w:rPr>
        <w:t>e</w:t>
      </w:r>
      <w:r w:rsidRPr="00C5582B" w:rsidR="00495B85">
        <w:rPr>
          <w:color w:val="201F1E"/>
          <w:sz w:val="24"/>
          <w:szCs w:val="24"/>
        </w:rPr>
        <w:t xml:space="preserve"> initiating a</w:t>
      </w:r>
      <w:r w:rsidRPr="00C5582B" w:rsidR="00114DC6">
        <w:rPr>
          <w:color w:val="201F1E"/>
          <w:sz w:val="24"/>
          <w:szCs w:val="24"/>
        </w:rPr>
        <w:t xml:space="preserve">ny proposed </w:t>
      </w:r>
      <w:r w:rsidRPr="00C5582B" w:rsidR="00495B85">
        <w:rPr>
          <w:color w:val="201F1E"/>
          <w:sz w:val="24"/>
          <w:szCs w:val="24"/>
        </w:rPr>
        <w:t xml:space="preserve"> major policy change.</w:t>
      </w:r>
    </w:p>
    <w:p w:rsidR="0092526E" w:rsidRPr="00C5582B" w:rsidP="002F1813">
      <w:pPr>
        <w:pStyle w:val="Heading2"/>
      </w:pPr>
      <w:bookmarkStart w:id="12" w:name="_Toc41654439"/>
      <w:bookmarkStart w:id="13" w:name="_Toc41654519"/>
      <w:r w:rsidRPr="00C5582B">
        <w:t>B.</w:t>
      </w:r>
      <w:r w:rsidRPr="00C5582B">
        <w:tab/>
      </w:r>
      <w:r w:rsidRPr="00C5582B" w:rsidR="006D6FB4">
        <w:t xml:space="preserve">The Staff’s Proposal is consistent with the PUCO’s </w:t>
      </w:r>
      <w:r w:rsidRPr="00C5582B" w:rsidR="000265F0">
        <w:t xml:space="preserve">policy </w:t>
      </w:r>
      <w:r w:rsidRPr="00C5582B" w:rsidR="003C07EF">
        <w:t xml:space="preserve">objectives </w:t>
      </w:r>
      <w:r w:rsidRPr="00C5582B" w:rsidR="006D6FB4">
        <w:t xml:space="preserve">of </w:t>
      </w:r>
      <w:r w:rsidRPr="00C5582B" w:rsidR="00552FFC">
        <w:t xml:space="preserve">reducing </w:t>
      </w:r>
      <w:r w:rsidRPr="00C5582B" w:rsidR="006D6FB4">
        <w:t>uncertainty</w:t>
      </w:r>
      <w:r w:rsidRPr="00C5582B" w:rsidR="00B92DFC">
        <w:t>,</w:t>
      </w:r>
      <w:r w:rsidRPr="00C5582B" w:rsidR="003C07EF">
        <w:t xml:space="preserve"> </w:t>
      </w:r>
      <w:r w:rsidRPr="00C5582B" w:rsidR="006D6FB4">
        <w:t>encouraging bidder participation</w:t>
      </w:r>
      <w:r w:rsidRPr="00C5582B" w:rsidR="00B92DFC">
        <w:t>,</w:t>
      </w:r>
      <w:r w:rsidRPr="00C5582B" w:rsidR="00552FFC">
        <w:t xml:space="preserve"> </w:t>
      </w:r>
      <w:r w:rsidRPr="00C5582B" w:rsidR="006D6FB4">
        <w:t>and not altering bidding strategies</w:t>
      </w:r>
      <w:r w:rsidRPr="00C5582B" w:rsidR="00502CE2">
        <w:t>.</w:t>
      </w:r>
      <w:bookmarkEnd w:id="12"/>
      <w:bookmarkEnd w:id="13"/>
    </w:p>
    <w:p w:rsidR="00552FFC" w:rsidRPr="00C5582B" w:rsidP="00E74BD2">
      <w:pPr>
        <w:pStyle w:val="FootnoteText"/>
        <w:spacing w:after="0" w:line="480" w:lineRule="auto"/>
        <w:ind w:firstLine="720"/>
        <w:rPr>
          <w:sz w:val="24"/>
          <w:szCs w:val="24"/>
        </w:rPr>
      </w:pPr>
      <w:r w:rsidRPr="00C5582B">
        <w:rPr>
          <w:sz w:val="24"/>
          <w:szCs w:val="24"/>
        </w:rPr>
        <w:t>In response to the directive</w:t>
      </w:r>
      <w:r w:rsidRPr="00C5582B" w:rsidR="00B92DFC">
        <w:rPr>
          <w:sz w:val="24"/>
          <w:szCs w:val="24"/>
        </w:rPr>
        <w:t>s</w:t>
      </w:r>
      <w:r w:rsidRPr="00C5582B">
        <w:rPr>
          <w:sz w:val="24"/>
          <w:szCs w:val="24"/>
        </w:rPr>
        <w:t xml:space="preserve"> of the PUCO, the Staff</w:t>
      </w:r>
      <w:r w:rsidRPr="00C5582B" w:rsidR="002426B0">
        <w:rPr>
          <w:sz w:val="24"/>
          <w:szCs w:val="24"/>
        </w:rPr>
        <w:t xml:space="preserve">’s </w:t>
      </w:r>
      <w:r w:rsidRPr="00C5582B" w:rsidR="003C07EF">
        <w:rPr>
          <w:sz w:val="24"/>
          <w:szCs w:val="24"/>
        </w:rPr>
        <w:t>P</w:t>
      </w:r>
      <w:r w:rsidRPr="00C5582B">
        <w:rPr>
          <w:sz w:val="24"/>
          <w:szCs w:val="24"/>
        </w:rPr>
        <w:t xml:space="preserve">roposal </w:t>
      </w:r>
      <w:r w:rsidRPr="00C5582B" w:rsidR="002426B0">
        <w:rPr>
          <w:sz w:val="24"/>
          <w:szCs w:val="24"/>
        </w:rPr>
        <w:t xml:space="preserve">recommended </w:t>
      </w:r>
      <w:r w:rsidRPr="00C5582B">
        <w:rPr>
          <w:sz w:val="24"/>
          <w:szCs w:val="24"/>
        </w:rPr>
        <w:t xml:space="preserve">a modified </w:t>
      </w:r>
      <w:r w:rsidRPr="00C5582B" w:rsidR="002426B0">
        <w:rPr>
          <w:sz w:val="24"/>
          <w:szCs w:val="24"/>
        </w:rPr>
        <w:t xml:space="preserve">SSO </w:t>
      </w:r>
      <w:r w:rsidRPr="00C5582B">
        <w:rPr>
          <w:sz w:val="24"/>
          <w:szCs w:val="24"/>
        </w:rPr>
        <w:t>auction product that contains capacity cost flow-through provisions</w:t>
      </w:r>
      <w:r w:rsidRPr="00C5582B" w:rsidR="002426B0">
        <w:rPr>
          <w:sz w:val="24"/>
          <w:szCs w:val="24"/>
        </w:rPr>
        <w:t xml:space="preserve">. Specifically, </w:t>
      </w:r>
      <w:r w:rsidRPr="00C5582B">
        <w:rPr>
          <w:sz w:val="24"/>
          <w:szCs w:val="24"/>
        </w:rPr>
        <w:t>Staff recommend</w:t>
      </w:r>
      <w:r w:rsidRPr="00C5582B" w:rsidR="002426B0">
        <w:rPr>
          <w:sz w:val="24"/>
          <w:szCs w:val="24"/>
        </w:rPr>
        <w:t xml:space="preserve">s </w:t>
      </w:r>
      <w:r w:rsidRPr="00C5582B" w:rsidR="000A68B5">
        <w:rPr>
          <w:sz w:val="24"/>
          <w:szCs w:val="24"/>
        </w:rPr>
        <w:t xml:space="preserve">that </w:t>
      </w:r>
      <w:r w:rsidRPr="00C5582B">
        <w:rPr>
          <w:sz w:val="24"/>
          <w:szCs w:val="24"/>
        </w:rPr>
        <w:t xml:space="preserve">the PUCO direct the six major electric utilities and their auction administrators to modify the SSO auction products such that the supplier’s capacity obligation </w:t>
      </w:r>
      <w:r w:rsidRPr="00C5582B" w:rsidR="002426B0">
        <w:rPr>
          <w:sz w:val="24"/>
          <w:szCs w:val="24"/>
        </w:rPr>
        <w:t xml:space="preserve">is </w:t>
      </w:r>
      <w:r w:rsidRPr="00C5582B">
        <w:rPr>
          <w:sz w:val="24"/>
          <w:szCs w:val="24"/>
        </w:rPr>
        <w:t>priced at $0/MW-day</w:t>
      </w:r>
      <w:r w:rsidRPr="00C5582B" w:rsidR="000A68B5">
        <w:rPr>
          <w:sz w:val="24"/>
          <w:szCs w:val="24"/>
        </w:rPr>
        <w:t>,</w:t>
      </w:r>
      <w:r w:rsidRPr="00C5582B">
        <w:rPr>
          <w:sz w:val="24"/>
          <w:szCs w:val="24"/>
        </w:rPr>
        <w:t xml:space="preserve"> and they are made whole for all future PJM-determined capacity costs through a “pass-through” charge under each utility’s existing auction cost recovery mechanism for delivery year 2022/2023 through the end of each utility’s current ESP.</w:t>
      </w:r>
      <w:r>
        <w:rPr>
          <w:rStyle w:val="FootnoteReference"/>
          <w:sz w:val="24"/>
          <w:szCs w:val="24"/>
        </w:rPr>
        <w:footnoteReference w:id="10"/>
      </w:r>
      <w:r w:rsidRPr="00C5582B">
        <w:rPr>
          <w:sz w:val="24"/>
          <w:szCs w:val="24"/>
        </w:rPr>
        <w:t xml:space="preserve"> </w:t>
      </w:r>
    </w:p>
    <w:p w:rsidR="00502CE2" w:rsidRPr="00C5582B" w:rsidP="00E74BD2">
      <w:pPr>
        <w:pStyle w:val="FootnoteText"/>
        <w:spacing w:after="0" w:line="480" w:lineRule="auto"/>
        <w:ind w:firstLine="720"/>
        <w:rPr>
          <w:sz w:val="24"/>
          <w:szCs w:val="24"/>
        </w:rPr>
      </w:pPr>
      <w:r w:rsidRPr="00C5582B">
        <w:rPr>
          <w:color w:val="000000"/>
          <w:sz w:val="24"/>
          <w:szCs w:val="24"/>
          <w:bdr w:val="none" w:sz="0" w:space="0" w:color="auto" w:frame="1"/>
          <w:lang w:eastAsia="zh-CN"/>
        </w:rPr>
        <w:t xml:space="preserve">The </w:t>
      </w:r>
      <w:r w:rsidRPr="00C5582B" w:rsidR="00552FFC">
        <w:rPr>
          <w:color w:val="000000"/>
          <w:sz w:val="24"/>
          <w:szCs w:val="24"/>
          <w:bdr w:val="none" w:sz="0" w:space="0" w:color="auto" w:frame="1"/>
          <w:lang w:eastAsia="zh-CN"/>
        </w:rPr>
        <w:t>Staff’s recommend</w:t>
      </w:r>
      <w:r w:rsidRPr="00C5582B" w:rsidR="004D6DD7">
        <w:rPr>
          <w:color w:val="000000"/>
          <w:sz w:val="24"/>
          <w:szCs w:val="24"/>
          <w:bdr w:val="none" w:sz="0" w:space="0" w:color="auto" w:frame="1"/>
          <w:lang w:eastAsia="zh-CN"/>
        </w:rPr>
        <w:t>ation</w:t>
      </w:r>
      <w:r w:rsidRPr="00C5582B" w:rsidR="002426B0">
        <w:rPr>
          <w:color w:val="000000"/>
          <w:sz w:val="24"/>
          <w:szCs w:val="24"/>
          <w:bdr w:val="none" w:sz="0" w:space="0" w:color="auto" w:frame="1"/>
          <w:lang w:eastAsia="zh-CN"/>
        </w:rPr>
        <w:t xml:space="preserve"> </w:t>
      </w:r>
      <w:r w:rsidRPr="00C5582B" w:rsidR="004D6DD7">
        <w:rPr>
          <w:color w:val="000000"/>
          <w:sz w:val="24"/>
          <w:szCs w:val="24"/>
          <w:bdr w:val="none" w:sz="0" w:space="0" w:color="auto" w:frame="1"/>
          <w:lang w:eastAsia="zh-CN"/>
        </w:rPr>
        <w:t xml:space="preserve">can </w:t>
      </w:r>
      <w:r w:rsidRPr="00C5582B" w:rsidR="00552FFC">
        <w:rPr>
          <w:color w:val="000000"/>
          <w:sz w:val="24"/>
          <w:szCs w:val="24"/>
          <w:bdr w:val="none" w:sz="0" w:space="0" w:color="auto" w:frame="1"/>
          <w:lang w:eastAsia="zh-CN"/>
        </w:rPr>
        <w:t xml:space="preserve">reduce the risk </w:t>
      </w:r>
      <w:r w:rsidRPr="00C5582B" w:rsidR="003C07EF">
        <w:rPr>
          <w:color w:val="000000"/>
          <w:sz w:val="24"/>
          <w:szCs w:val="24"/>
          <w:bdr w:val="none" w:sz="0" w:space="0" w:color="auto" w:frame="1"/>
          <w:lang w:eastAsia="zh-CN"/>
        </w:rPr>
        <w:t xml:space="preserve">assumed by the suppliers </w:t>
      </w:r>
      <w:r w:rsidRPr="00C5582B" w:rsidR="00552FFC">
        <w:rPr>
          <w:color w:val="000000"/>
          <w:sz w:val="24"/>
          <w:szCs w:val="24"/>
          <w:bdr w:val="none" w:sz="0" w:space="0" w:color="auto" w:frame="1"/>
          <w:lang w:eastAsia="zh-CN"/>
        </w:rPr>
        <w:t xml:space="preserve">and the risk premium that could be included in </w:t>
      </w:r>
      <w:r w:rsidRPr="00C5582B" w:rsidR="003C07EF">
        <w:rPr>
          <w:color w:val="000000"/>
          <w:sz w:val="24"/>
          <w:szCs w:val="24"/>
          <w:bdr w:val="none" w:sz="0" w:space="0" w:color="auto" w:frame="1"/>
          <w:lang w:eastAsia="zh-CN"/>
        </w:rPr>
        <w:t xml:space="preserve">the </w:t>
      </w:r>
      <w:r w:rsidRPr="00C5582B" w:rsidR="00552FFC">
        <w:rPr>
          <w:color w:val="000000"/>
          <w:sz w:val="24"/>
          <w:szCs w:val="24"/>
          <w:bdr w:val="none" w:sz="0" w:space="0" w:color="auto" w:frame="1"/>
          <w:lang w:eastAsia="zh-CN"/>
        </w:rPr>
        <w:t xml:space="preserve">supplier offer prices for the uncertainty associated with not knowing the 2022/2023 delivery year PJM capacity cost. This capacity </w:t>
      </w:r>
      <w:r w:rsidRPr="00C5582B" w:rsidR="003C07EF">
        <w:rPr>
          <w:color w:val="000000"/>
          <w:sz w:val="24"/>
          <w:szCs w:val="24"/>
          <w:bdr w:val="none" w:sz="0" w:space="0" w:color="auto" w:frame="1"/>
          <w:lang w:eastAsia="zh-CN"/>
        </w:rPr>
        <w:t xml:space="preserve">cost </w:t>
      </w:r>
      <w:r w:rsidRPr="00C5582B" w:rsidR="00552FFC">
        <w:rPr>
          <w:color w:val="000000"/>
          <w:sz w:val="24"/>
          <w:szCs w:val="24"/>
          <w:bdr w:val="none" w:sz="0" w:space="0" w:color="auto" w:frame="1"/>
          <w:lang w:eastAsia="zh-CN"/>
        </w:rPr>
        <w:t xml:space="preserve">“pass-through” </w:t>
      </w:r>
      <w:r w:rsidRPr="00C5582B" w:rsidR="00CA17D4">
        <w:rPr>
          <w:color w:val="000000"/>
          <w:sz w:val="24"/>
          <w:szCs w:val="24"/>
          <w:bdr w:val="none" w:sz="0" w:space="0" w:color="auto" w:frame="1"/>
          <w:lang w:eastAsia="zh-CN"/>
        </w:rPr>
        <w:t xml:space="preserve">provision </w:t>
      </w:r>
      <w:r w:rsidRPr="00C5582B" w:rsidR="00552FFC">
        <w:rPr>
          <w:color w:val="000000"/>
          <w:sz w:val="24"/>
          <w:szCs w:val="24"/>
          <w:bdr w:val="none" w:sz="0" w:space="0" w:color="auto" w:frame="1"/>
          <w:lang w:eastAsia="zh-CN"/>
        </w:rPr>
        <w:t xml:space="preserve">will </w:t>
      </w:r>
      <w:r w:rsidRPr="00C5582B" w:rsidR="00CA17D4">
        <w:rPr>
          <w:color w:val="000000"/>
          <w:sz w:val="24"/>
          <w:szCs w:val="24"/>
          <w:bdr w:val="none" w:sz="0" w:space="0" w:color="auto" w:frame="1"/>
          <w:lang w:eastAsia="zh-CN"/>
        </w:rPr>
        <w:t xml:space="preserve">reduce uncertainty and </w:t>
      </w:r>
      <w:r w:rsidRPr="00C5582B" w:rsidR="004D6DD7">
        <w:rPr>
          <w:color w:val="000000"/>
          <w:sz w:val="24"/>
          <w:szCs w:val="24"/>
          <w:bdr w:val="none" w:sz="0" w:space="0" w:color="auto" w:frame="1"/>
          <w:lang w:eastAsia="zh-CN"/>
        </w:rPr>
        <w:t>l</w:t>
      </w:r>
      <w:r w:rsidRPr="00C5582B" w:rsidR="00552FFC">
        <w:rPr>
          <w:color w:val="000000"/>
          <w:sz w:val="24"/>
          <w:szCs w:val="24"/>
          <w:bdr w:val="none" w:sz="0" w:space="0" w:color="auto" w:frame="1"/>
          <w:lang w:eastAsia="zh-CN"/>
        </w:rPr>
        <w:t>ikely encourage more suppliers to participate in the SSO auctions and to bid more aggressively</w:t>
      </w:r>
      <w:r w:rsidRPr="00C5582B" w:rsidR="00CA17D4">
        <w:rPr>
          <w:color w:val="000000"/>
          <w:sz w:val="24"/>
          <w:szCs w:val="24"/>
          <w:bdr w:val="none" w:sz="0" w:space="0" w:color="auto" w:frame="1"/>
          <w:lang w:eastAsia="zh-CN"/>
        </w:rPr>
        <w:t>. Th</w:t>
      </w:r>
      <w:r w:rsidRPr="00C5582B">
        <w:rPr>
          <w:color w:val="000000"/>
          <w:sz w:val="24"/>
          <w:szCs w:val="24"/>
          <w:bdr w:val="none" w:sz="0" w:space="0" w:color="auto" w:frame="1"/>
          <w:lang w:eastAsia="zh-CN"/>
        </w:rPr>
        <w:t>is</w:t>
      </w:r>
      <w:r w:rsidRPr="00C5582B" w:rsidR="00B15757">
        <w:rPr>
          <w:color w:val="000000"/>
          <w:sz w:val="24"/>
          <w:szCs w:val="24"/>
          <w:bdr w:val="none" w:sz="0" w:space="0" w:color="auto" w:frame="1"/>
          <w:lang w:eastAsia="zh-CN"/>
        </w:rPr>
        <w:t xml:space="preserve"> </w:t>
      </w:r>
      <w:r w:rsidRPr="00C5582B" w:rsidR="00CA17D4">
        <w:rPr>
          <w:color w:val="000000"/>
          <w:sz w:val="24"/>
          <w:szCs w:val="24"/>
          <w:bdr w:val="none" w:sz="0" w:space="0" w:color="auto" w:frame="1"/>
          <w:lang w:eastAsia="zh-CN"/>
        </w:rPr>
        <w:t xml:space="preserve">would ultimately lead to </w:t>
      </w:r>
      <w:r w:rsidRPr="00C5582B" w:rsidR="00552FFC">
        <w:rPr>
          <w:color w:val="000000"/>
          <w:sz w:val="24"/>
          <w:szCs w:val="24"/>
          <w:bdr w:val="none" w:sz="0" w:space="0" w:color="auto" w:frame="1"/>
          <w:lang w:eastAsia="zh-CN"/>
        </w:rPr>
        <w:t xml:space="preserve">lower </w:t>
      </w:r>
      <w:r w:rsidRPr="00C5582B" w:rsidR="00B15757">
        <w:rPr>
          <w:color w:val="000000"/>
          <w:sz w:val="24"/>
          <w:szCs w:val="24"/>
          <w:bdr w:val="none" w:sz="0" w:space="0" w:color="auto" w:frame="1"/>
          <w:lang w:eastAsia="zh-CN"/>
        </w:rPr>
        <w:t xml:space="preserve">SSO bidding </w:t>
      </w:r>
      <w:r w:rsidRPr="00C5582B" w:rsidR="00552FFC">
        <w:rPr>
          <w:color w:val="000000"/>
          <w:sz w:val="24"/>
          <w:szCs w:val="24"/>
          <w:bdr w:val="none" w:sz="0" w:space="0" w:color="auto" w:frame="1"/>
          <w:lang w:eastAsia="zh-CN"/>
        </w:rPr>
        <w:t xml:space="preserve">price </w:t>
      </w:r>
      <w:r w:rsidRPr="00C5582B" w:rsidR="009271E0">
        <w:rPr>
          <w:color w:val="000000"/>
          <w:sz w:val="24"/>
          <w:szCs w:val="24"/>
          <w:bdr w:val="none" w:sz="0" w:space="0" w:color="auto" w:frame="1"/>
          <w:lang w:eastAsia="zh-CN"/>
        </w:rPr>
        <w:t xml:space="preserve">for Ohioans </w:t>
      </w:r>
      <w:r w:rsidRPr="00C5582B" w:rsidR="00552FFC">
        <w:rPr>
          <w:color w:val="000000"/>
          <w:sz w:val="24"/>
          <w:szCs w:val="24"/>
          <w:bdr w:val="none" w:sz="0" w:space="0" w:color="auto" w:frame="1"/>
          <w:lang w:eastAsia="zh-CN"/>
        </w:rPr>
        <w:t>than otherwise would</w:t>
      </w:r>
      <w:r w:rsidRPr="00C5582B" w:rsidR="004D6DD7">
        <w:rPr>
          <w:color w:val="000000"/>
          <w:sz w:val="24"/>
          <w:szCs w:val="24"/>
          <w:bdr w:val="none" w:sz="0" w:space="0" w:color="auto" w:frame="1"/>
          <w:lang w:eastAsia="zh-CN"/>
        </w:rPr>
        <w:t xml:space="preserve"> </w:t>
      </w:r>
      <w:r w:rsidRPr="00C5582B" w:rsidR="00A515CD">
        <w:rPr>
          <w:color w:val="000000"/>
          <w:sz w:val="24"/>
          <w:szCs w:val="24"/>
          <w:bdr w:val="none" w:sz="0" w:space="0" w:color="auto" w:frame="1"/>
          <w:lang w:eastAsia="zh-CN"/>
        </w:rPr>
        <w:t xml:space="preserve">exist </w:t>
      </w:r>
      <w:r w:rsidRPr="00C5582B">
        <w:rPr>
          <w:color w:val="000000"/>
          <w:sz w:val="24"/>
          <w:szCs w:val="24"/>
          <w:bdr w:val="none" w:sz="0" w:space="0" w:color="auto" w:frame="1"/>
          <w:lang w:eastAsia="zh-CN"/>
        </w:rPr>
        <w:t>if</w:t>
      </w:r>
      <w:r w:rsidRPr="00C5582B" w:rsidR="00CA17D4">
        <w:rPr>
          <w:color w:val="000000"/>
          <w:sz w:val="24"/>
          <w:szCs w:val="24"/>
          <w:bdr w:val="none" w:sz="0" w:space="0" w:color="auto" w:frame="1"/>
          <w:lang w:eastAsia="zh-CN"/>
        </w:rPr>
        <w:t xml:space="preserve"> bidders </w:t>
      </w:r>
      <w:r w:rsidRPr="00C5582B" w:rsidR="00B15757">
        <w:rPr>
          <w:color w:val="000000"/>
          <w:sz w:val="24"/>
          <w:szCs w:val="24"/>
          <w:bdr w:val="none" w:sz="0" w:space="0" w:color="auto" w:frame="1"/>
          <w:lang w:eastAsia="zh-CN"/>
        </w:rPr>
        <w:t>a</w:t>
      </w:r>
      <w:r w:rsidRPr="00C5582B" w:rsidR="00A515CD">
        <w:rPr>
          <w:color w:val="000000"/>
          <w:sz w:val="24"/>
          <w:szCs w:val="24"/>
          <w:bdr w:val="none" w:sz="0" w:space="0" w:color="auto" w:frame="1"/>
          <w:lang w:eastAsia="zh-CN"/>
        </w:rPr>
        <w:t>re</w:t>
      </w:r>
      <w:r w:rsidRPr="00C5582B" w:rsidR="00B15757">
        <w:rPr>
          <w:color w:val="000000"/>
          <w:sz w:val="24"/>
          <w:szCs w:val="24"/>
          <w:bdr w:val="none" w:sz="0" w:space="0" w:color="auto" w:frame="1"/>
          <w:lang w:eastAsia="zh-CN"/>
        </w:rPr>
        <w:t xml:space="preserve"> unsure about the collection of PJM-imposed capacity costs. </w:t>
      </w:r>
      <w:r w:rsidRPr="00C5582B" w:rsidR="00114DC6">
        <w:rPr>
          <w:sz w:val="24"/>
          <w:szCs w:val="24"/>
        </w:rPr>
        <w:t xml:space="preserve">Simply stated, uncertainty adds risk and that additional risk will result in greater than necessary offer prices. The Staff’s proposal will eliminate uncertainty regarding the capacity pricing component </w:t>
      </w:r>
      <w:r w:rsidRPr="00C5582B" w:rsidR="00E93C18">
        <w:rPr>
          <w:sz w:val="24"/>
          <w:szCs w:val="24"/>
        </w:rPr>
        <w:t>in SSO auction, which will result in more reasonable prices for consumers</w:t>
      </w:r>
      <w:r w:rsidRPr="00C5582B" w:rsidR="00B44A6A">
        <w:rPr>
          <w:sz w:val="24"/>
          <w:szCs w:val="24"/>
        </w:rPr>
        <w:t>.</w:t>
      </w:r>
    </w:p>
    <w:p w:rsidR="00711F1F" w:rsidRPr="00C5582B" w:rsidP="00E74BD2">
      <w:pPr>
        <w:pStyle w:val="FootnoteText"/>
        <w:spacing w:after="0" w:line="480" w:lineRule="auto"/>
        <w:ind w:firstLine="720"/>
        <w:rPr>
          <w:color w:val="000000"/>
          <w:sz w:val="24"/>
          <w:szCs w:val="24"/>
          <w:bdr w:val="none" w:sz="0" w:space="0" w:color="auto" w:frame="1"/>
          <w:lang w:eastAsia="zh-CN"/>
        </w:rPr>
      </w:pPr>
      <w:r w:rsidRPr="00C5582B">
        <w:rPr>
          <w:color w:val="000000"/>
          <w:sz w:val="24"/>
          <w:szCs w:val="24"/>
          <w:bdr w:val="none" w:sz="0" w:space="0" w:color="auto" w:frame="1"/>
          <w:lang w:eastAsia="zh-CN"/>
        </w:rPr>
        <w:t xml:space="preserve">OCC recommends </w:t>
      </w:r>
      <w:r w:rsidRPr="00C5582B" w:rsidR="000A68B5">
        <w:rPr>
          <w:color w:val="000000"/>
          <w:sz w:val="24"/>
          <w:szCs w:val="24"/>
          <w:bdr w:val="none" w:sz="0" w:space="0" w:color="auto" w:frame="1"/>
          <w:lang w:eastAsia="zh-CN"/>
        </w:rPr>
        <w:t xml:space="preserve">that </w:t>
      </w:r>
      <w:r w:rsidRPr="00C5582B">
        <w:rPr>
          <w:color w:val="000000"/>
          <w:sz w:val="24"/>
          <w:szCs w:val="24"/>
          <w:bdr w:val="none" w:sz="0" w:space="0" w:color="auto" w:frame="1"/>
          <w:lang w:eastAsia="zh-CN"/>
        </w:rPr>
        <w:t xml:space="preserve">the Staff </w:t>
      </w:r>
      <w:r w:rsidRPr="00C5582B" w:rsidR="00CA17D4">
        <w:rPr>
          <w:color w:val="000000"/>
          <w:sz w:val="24"/>
          <w:szCs w:val="24"/>
          <w:bdr w:val="none" w:sz="0" w:space="0" w:color="auto" w:frame="1"/>
          <w:lang w:eastAsia="zh-CN"/>
        </w:rPr>
        <w:t>P</w:t>
      </w:r>
      <w:r w:rsidRPr="00C5582B">
        <w:rPr>
          <w:color w:val="000000"/>
          <w:sz w:val="24"/>
          <w:szCs w:val="24"/>
          <w:bdr w:val="none" w:sz="0" w:space="0" w:color="auto" w:frame="1"/>
          <w:lang w:eastAsia="zh-CN"/>
        </w:rPr>
        <w:t>roposal be clarified regarding the timing of the application of the capacity cost pass-through rate mechanism. OCC is concerned that the Staff’s recommendation, in its current form, is overly broad for the application of a pass-through clause. Specifically, the language in the Staff Proposal that “all procurements for the 2022/2023 delivery year and beyond, for the duration of each utility’s ESP</w:t>
      </w:r>
      <w:r w:rsidRPr="00C5582B">
        <w:rPr>
          <w:b/>
          <w:color w:val="000000"/>
          <w:sz w:val="24"/>
          <w:szCs w:val="24"/>
          <w:bdr w:val="none" w:sz="0" w:space="0" w:color="auto" w:frame="1"/>
          <w:lang w:eastAsia="zh-CN"/>
        </w:rPr>
        <w:t xml:space="preserve"> </w:t>
      </w:r>
      <w:r w:rsidRPr="00C5582B">
        <w:rPr>
          <w:color w:val="000000"/>
          <w:sz w:val="24"/>
          <w:szCs w:val="24"/>
          <w:bdr w:val="none" w:sz="0" w:space="0" w:color="auto" w:frame="1"/>
          <w:lang w:eastAsia="zh-CN"/>
        </w:rPr>
        <w:t>be modified to include a pass-through clause for RPM capacity costs incurred by winning suppliers” should be modified.</w:t>
      </w:r>
      <w:r>
        <w:rPr>
          <w:rStyle w:val="FootnoteReference"/>
          <w:color w:val="000000"/>
          <w:sz w:val="24"/>
          <w:szCs w:val="24"/>
          <w:bdr w:val="none" w:sz="0" w:space="0" w:color="auto" w:frame="1"/>
          <w:lang w:eastAsia="zh-CN"/>
        </w:rPr>
        <w:footnoteReference w:id="11"/>
      </w:r>
      <w:r w:rsidRPr="00C5582B">
        <w:rPr>
          <w:color w:val="000000"/>
          <w:sz w:val="24"/>
          <w:szCs w:val="24"/>
          <w:bdr w:val="none" w:sz="0" w:space="0" w:color="auto" w:frame="1"/>
          <w:lang w:eastAsia="zh-CN"/>
        </w:rPr>
        <w:t xml:space="preserve"> OCC recommends this pass-through clause be limited to the delivery years of 2022/2023 and possibly extended to 2023/2024 </w:t>
      </w:r>
      <w:r w:rsidRPr="00C5582B" w:rsidR="000A68B5">
        <w:rPr>
          <w:color w:val="000000"/>
          <w:sz w:val="24"/>
          <w:szCs w:val="24"/>
          <w:bdr w:val="none" w:sz="0" w:space="0" w:color="auto" w:frame="1"/>
          <w:lang w:eastAsia="zh-CN"/>
        </w:rPr>
        <w:t xml:space="preserve">if </w:t>
      </w:r>
      <w:r w:rsidRPr="00C5582B">
        <w:rPr>
          <w:color w:val="000000"/>
          <w:sz w:val="24"/>
          <w:szCs w:val="24"/>
          <w:bdr w:val="none" w:sz="0" w:space="0" w:color="auto" w:frame="1"/>
          <w:lang w:eastAsia="zh-CN"/>
        </w:rPr>
        <w:t xml:space="preserve">PJM capacity cost information </w:t>
      </w:r>
      <w:r w:rsidRPr="00C5582B" w:rsidR="000A68B5">
        <w:rPr>
          <w:color w:val="000000"/>
          <w:sz w:val="24"/>
          <w:szCs w:val="24"/>
          <w:bdr w:val="none" w:sz="0" w:space="0" w:color="auto" w:frame="1"/>
          <w:lang w:eastAsia="zh-CN"/>
        </w:rPr>
        <w:t>is</w:t>
      </w:r>
      <w:r w:rsidRPr="00C5582B">
        <w:rPr>
          <w:color w:val="000000"/>
          <w:sz w:val="24"/>
          <w:szCs w:val="24"/>
          <w:bdr w:val="none" w:sz="0" w:space="0" w:color="auto" w:frame="1"/>
          <w:lang w:eastAsia="zh-CN"/>
        </w:rPr>
        <w:t xml:space="preserve"> not available before the SSO supplier auction. If the unavailability of PJM capacity cost information somehow continues beyond 2023/2024 and the need for a “pass-through” clause arises in the future, the PUCO can make a decision on extending the “pass-through” clause at that time.</w:t>
      </w:r>
      <w:r w:rsidRPr="00C5582B" w:rsidR="00E93C18">
        <w:rPr>
          <w:color w:val="000000"/>
          <w:sz w:val="24"/>
          <w:szCs w:val="24"/>
          <w:bdr w:val="none" w:sz="0" w:space="0" w:color="auto" w:frame="1"/>
          <w:lang w:eastAsia="zh-CN"/>
        </w:rPr>
        <w:t xml:space="preserve"> Moreover, as mentioned earlier, PJM’s proposed truncated capacity auction schedule should render moot any necessary extension beyond the 2022/23 delivery years.</w:t>
      </w:r>
    </w:p>
    <w:p w:rsidR="0092526E" w:rsidRPr="00C5582B" w:rsidP="002F1813">
      <w:pPr>
        <w:pStyle w:val="Heading2"/>
      </w:pPr>
      <w:bookmarkStart w:id="14" w:name="_Toc36475803"/>
      <w:bookmarkStart w:id="15" w:name="_Toc41654440"/>
      <w:bookmarkStart w:id="16" w:name="_Toc41654520"/>
      <w:r w:rsidRPr="00C5582B">
        <w:t>C.</w:t>
      </w:r>
      <w:r w:rsidRPr="00C5582B" w:rsidR="003C2478">
        <w:tab/>
      </w:r>
      <w:r w:rsidRPr="00C5582B" w:rsidR="001D051B">
        <w:t>Each utility should be required to submit, within sixty days of the PUCO order in this proceeding, a modified auction timeline and all SSO auction related modifications for comments by the stakeholders and approval by the PUCO.</w:t>
      </w:r>
      <w:bookmarkEnd w:id="14"/>
      <w:bookmarkEnd w:id="15"/>
      <w:bookmarkEnd w:id="16"/>
    </w:p>
    <w:p w:rsidR="001D051B" w:rsidRPr="00C5582B" w:rsidP="00E74BD2">
      <w:pPr>
        <w:spacing w:line="480" w:lineRule="auto"/>
        <w:ind w:firstLine="720"/>
        <w:rPr>
          <w:szCs w:val="24"/>
        </w:rPr>
      </w:pPr>
      <w:r w:rsidRPr="00C5582B">
        <w:rPr>
          <w:szCs w:val="24"/>
        </w:rPr>
        <w:t xml:space="preserve">OCC recommends that the stakeholders have the opportunity to review and to comment on the details of the revised SSO auctions before these revisions are approved by the PUCO and implemented in the next revised SSO auctions. The revisions </w:t>
      </w:r>
      <w:r w:rsidRPr="00C5582B" w:rsidR="000A68B5">
        <w:rPr>
          <w:szCs w:val="24"/>
        </w:rPr>
        <w:t xml:space="preserve">should </w:t>
      </w:r>
      <w:r w:rsidRPr="00C5582B">
        <w:rPr>
          <w:szCs w:val="24"/>
        </w:rPr>
        <w:t xml:space="preserve">include, but not </w:t>
      </w:r>
      <w:r w:rsidRPr="00C5582B" w:rsidR="000A68B5">
        <w:rPr>
          <w:szCs w:val="24"/>
        </w:rPr>
        <w:t xml:space="preserve">be </w:t>
      </w:r>
      <w:r w:rsidRPr="00C5582B">
        <w:rPr>
          <w:szCs w:val="24"/>
        </w:rPr>
        <w:t xml:space="preserve">limited to, a modified auction timeline, the modified SSO auction products, the revised Master Supply Agreements, and the specific “pass through” recovery mechanism for capacity costs. The customers of each utility should be allowed to fully participate in the SSO auction revision process. The comments of the stakeholders should be considered by the PUCO in approving any revision of the SSO auction. </w:t>
      </w:r>
      <w:r w:rsidRPr="00C5582B" w:rsidR="007B3475">
        <w:rPr>
          <w:szCs w:val="24"/>
        </w:rPr>
        <w:t xml:space="preserve">In its </w:t>
      </w:r>
      <w:r w:rsidRPr="00C5582B" w:rsidR="00B44A6A">
        <w:rPr>
          <w:szCs w:val="24"/>
        </w:rPr>
        <w:t>p</w:t>
      </w:r>
      <w:r w:rsidRPr="00C5582B" w:rsidR="007B3475">
        <w:rPr>
          <w:szCs w:val="24"/>
        </w:rPr>
        <w:t>roposal, t</w:t>
      </w:r>
      <w:r w:rsidRPr="00C5582B">
        <w:rPr>
          <w:szCs w:val="24"/>
        </w:rPr>
        <w:t>he Staff recognizes the importance of the participation by the suppliers regarding the modified SSO auction</w:t>
      </w:r>
      <w:r w:rsidRPr="00C5582B" w:rsidR="007B3475">
        <w:rPr>
          <w:szCs w:val="24"/>
        </w:rPr>
        <w:t xml:space="preserve">. It </w:t>
      </w:r>
      <w:r w:rsidRPr="00C5582B">
        <w:rPr>
          <w:szCs w:val="24"/>
        </w:rPr>
        <w:t>indicates that “Sufficient time must be given to auction administrators to implement the pass-through clause and to allow suppliers to understand and gain comfort with their rights and obligations under this proposal.”</w:t>
      </w:r>
      <w:r>
        <w:rPr>
          <w:rStyle w:val="FootnoteReference"/>
          <w:szCs w:val="24"/>
        </w:rPr>
        <w:footnoteReference w:id="12"/>
      </w:r>
      <w:r w:rsidRPr="00C5582B">
        <w:rPr>
          <w:szCs w:val="24"/>
        </w:rPr>
        <w:t xml:space="preserve"> The customers of the utilities should be afford</w:t>
      </w:r>
      <w:r w:rsidRPr="00C5582B" w:rsidR="00E93C18">
        <w:rPr>
          <w:szCs w:val="24"/>
        </w:rPr>
        <w:t>ed</w:t>
      </w:r>
      <w:r w:rsidRPr="00C5582B">
        <w:rPr>
          <w:szCs w:val="24"/>
        </w:rPr>
        <w:t xml:space="preserve"> the same consideration. </w:t>
      </w:r>
    </w:p>
    <w:p w:rsidR="0092526E" w:rsidRPr="00C5582B" w:rsidP="002F1813">
      <w:pPr>
        <w:pStyle w:val="Heading2"/>
      </w:pPr>
      <w:bookmarkStart w:id="17" w:name="_Toc41654441"/>
      <w:bookmarkStart w:id="18" w:name="_Toc41654521"/>
      <w:r w:rsidRPr="00C5582B">
        <w:t>D.</w:t>
      </w:r>
      <w:r w:rsidRPr="00C5582B">
        <w:tab/>
      </w:r>
      <w:r w:rsidRPr="00C5582B" w:rsidR="006F135D">
        <w:t xml:space="preserve">Energy Harbor’s Proposal of including a long-term </w:t>
      </w:r>
      <w:r w:rsidRPr="00C5582B" w:rsidR="001D23DE">
        <w:t xml:space="preserve">fixed-price </w:t>
      </w:r>
      <w:r w:rsidRPr="00C5582B" w:rsidR="006F135D">
        <w:t xml:space="preserve">capacity product </w:t>
      </w:r>
      <w:r w:rsidRPr="00C5582B" w:rsidR="00B15757">
        <w:t xml:space="preserve">for SSO auction </w:t>
      </w:r>
      <w:r w:rsidRPr="00C5582B" w:rsidR="001D23DE">
        <w:t>is self-serving</w:t>
      </w:r>
      <w:r w:rsidRPr="00C5582B" w:rsidR="00CA17D4">
        <w:t xml:space="preserve"> and </w:t>
      </w:r>
      <w:r w:rsidRPr="00C5582B" w:rsidR="001D23DE">
        <w:t>costly to customers</w:t>
      </w:r>
      <w:r w:rsidRPr="00C5582B" w:rsidR="00CA17D4">
        <w:t>.</w:t>
      </w:r>
      <w:bookmarkEnd w:id="17"/>
      <w:bookmarkEnd w:id="18"/>
    </w:p>
    <w:p w:rsidR="007B3475" w:rsidRPr="00C5582B" w:rsidP="00E74BD2">
      <w:pPr>
        <w:pStyle w:val="xmsonormal"/>
        <w:shd w:val="clear" w:color="auto" w:fill="FFFFFF"/>
        <w:spacing w:before="0" w:beforeAutospacing="0" w:after="0" w:afterAutospacing="0" w:line="480" w:lineRule="auto"/>
        <w:ind w:firstLine="720"/>
        <w:rPr>
          <w:color w:val="201F1E"/>
        </w:rPr>
      </w:pPr>
      <w:r w:rsidRPr="00C5582B">
        <w:rPr>
          <w:color w:val="201F1E"/>
        </w:rPr>
        <w:t xml:space="preserve">In its Comments, Energy Harbor recommended substituting a </w:t>
      </w:r>
      <w:r w:rsidRPr="00C5582B" w:rsidR="00711F1F">
        <w:rPr>
          <w:color w:val="201F1E"/>
        </w:rPr>
        <w:t xml:space="preserve">long-term (up to six years) fixed price </w:t>
      </w:r>
      <w:r w:rsidRPr="00C5582B">
        <w:rPr>
          <w:color w:val="201F1E"/>
        </w:rPr>
        <w:t xml:space="preserve">capacity-only hedge product </w:t>
      </w:r>
      <w:r w:rsidRPr="00C5582B" w:rsidR="00F80A42">
        <w:rPr>
          <w:color w:val="201F1E"/>
        </w:rPr>
        <w:t xml:space="preserve">in place of </w:t>
      </w:r>
      <w:r w:rsidRPr="00C5582B">
        <w:rPr>
          <w:color w:val="201F1E"/>
        </w:rPr>
        <w:t xml:space="preserve">the pass-through capacity charge rate mechanism proposed by the Staff. </w:t>
      </w:r>
      <w:r w:rsidRPr="00C5582B" w:rsidR="009879EF">
        <w:rPr>
          <w:color w:val="201F1E"/>
        </w:rPr>
        <w:t xml:space="preserve">More specifically, the utility would modify its SSO supply auctions to solicit </w:t>
      </w:r>
      <w:r w:rsidRPr="00C5582B" w:rsidR="00E93C18">
        <w:rPr>
          <w:color w:val="201F1E"/>
        </w:rPr>
        <w:t xml:space="preserve">offers </w:t>
      </w:r>
      <w:r w:rsidRPr="00C5582B" w:rsidR="009879EF">
        <w:rPr>
          <w:color w:val="201F1E"/>
        </w:rPr>
        <w:t>for capacity for delivery year 2022/2023 and the following four years, along with other tranches not previously procured due to the PJM capacity uncertainty, and suppliers would offer capacity at a fixed-price for the duration of the contract.</w:t>
      </w:r>
      <w:r>
        <w:rPr>
          <w:rStyle w:val="FootnoteReference"/>
          <w:color w:val="201F1E"/>
        </w:rPr>
        <w:footnoteReference w:id="13"/>
      </w:r>
      <w:r w:rsidRPr="00C5582B" w:rsidR="009879EF">
        <w:rPr>
          <w:color w:val="201F1E"/>
        </w:rPr>
        <w:t xml:space="preserve"> Energy Harbor further claimed that doing so would provide stability to customers by locking in low prices while </w:t>
      </w:r>
      <w:r w:rsidRPr="00C5582B" w:rsidR="00B44A6A">
        <w:rPr>
          <w:color w:val="201F1E"/>
        </w:rPr>
        <w:t>n</w:t>
      </w:r>
      <w:r w:rsidRPr="00C5582B" w:rsidR="009879EF">
        <w:rPr>
          <w:color w:val="201F1E"/>
        </w:rPr>
        <w:t>ot negatively affecting existing and future SSOs.</w:t>
      </w:r>
      <w:r>
        <w:rPr>
          <w:rStyle w:val="FootnoteReference"/>
          <w:color w:val="201F1E"/>
        </w:rPr>
        <w:footnoteReference w:id="14"/>
      </w:r>
      <w:r w:rsidRPr="00C5582B" w:rsidR="009879EF">
        <w:rPr>
          <w:color w:val="201F1E"/>
        </w:rPr>
        <w:t xml:space="preserve"> </w:t>
      </w:r>
      <w:r w:rsidRPr="00C5582B" w:rsidR="00307DB1">
        <w:rPr>
          <w:color w:val="201F1E"/>
        </w:rPr>
        <w:t>But t</w:t>
      </w:r>
      <w:r w:rsidRPr="00C5582B" w:rsidR="009879EF">
        <w:rPr>
          <w:color w:val="201F1E"/>
        </w:rPr>
        <w:t xml:space="preserve">his </w:t>
      </w:r>
      <w:r w:rsidRPr="00C5582B" w:rsidR="00083C3A">
        <w:rPr>
          <w:color w:val="201F1E"/>
        </w:rPr>
        <w:t xml:space="preserve">proposal </w:t>
      </w:r>
      <w:r w:rsidRPr="00C5582B" w:rsidR="009879EF">
        <w:rPr>
          <w:color w:val="201F1E"/>
        </w:rPr>
        <w:t xml:space="preserve">is </w:t>
      </w:r>
      <w:r w:rsidRPr="00C5582B" w:rsidR="00083C3A">
        <w:rPr>
          <w:color w:val="201F1E"/>
        </w:rPr>
        <w:t xml:space="preserve">incompatible with Ohio’s competitive electric marketplace and </w:t>
      </w:r>
      <w:r w:rsidRPr="00C5582B" w:rsidR="00802E08">
        <w:rPr>
          <w:color w:val="201F1E"/>
        </w:rPr>
        <w:t>would likely</w:t>
      </w:r>
      <w:r w:rsidRPr="00C5582B" w:rsidR="00083C3A">
        <w:rPr>
          <w:color w:val="201F1E"/>
        </w:rPr>
        <w:t xml:space="preserve"> increase electricity price</w:t>
      </w:r>
      <w:r w:rsidRPr="00C5582B" w:rsidR="00D53DBA">
        <w:rPr>
          <w:color w:val="201F1E"/>
        </w:rPr>
        <w:t>s</w:t>
      </w:r>
      <w:r w:rsidRPr="00C5582B" w:rsidR="00083C3A">
        <w:rPr>
          <w:color w:val="201F1E"/>
        </w:rPr>
        <w:t xml:space="preserve"> paid by Ohio’s customers over an extended period of time. </w:t>
      </w:r>
    </w:p>
    <w:p w:rsidR="007B3475" w:rsidRPr="00C5582B" w:rsidP="00E74BD2">
      <w:pPr>
        <w:pStyle w:val="xmsonormal"/>
        <w:shd w:val="clear" w:color="auto" w:fill="FFFFFF"/>
        <w:spacing w:before="0" w:beforeAutospacing="0" w:after="0" w:afterAutospacing="0" w:line="480" w:lineRule="auto"/>
        <w:ind w:firstLine="720"/>
        <w:rPr>
          <w:color w:val="201F1E"/>
        </w:rPr>
      </w:pPr>
      <w:r w:rsidRPr="00C5582B">
        <w:rPr>
          <w:color w:val="201F1E"/>
        </w:rPr>
        <w:t>First, as indicated by Energy Harbor, offering long-term fixed price contract</w:t>
      </w:r>
      <w:r w:rsidRPr="00C5582B" w:rsidR="00802E08">
        <w:rPr>
          <w:color w:val="201F1E"/>
        </w:rPr>
        <w:t>s</w:t>
      </w:r>
      <w:r w:rsidRPr="00C5582B">
        <w:rPr>
          <w:color w:val="201F1E"/>
        </w:rPr>
        <w:t xml:space="preserve"> </w:t>
      </w:r>
      <w:r w:rsidRPr="00C5582B" w:rsidR="00083C3A">
        <w:rPr>
          <w:color w:val="201F1E"/>
        </w:rPr>
        <w:t xml:space="preserve">would </w:t>
      </w:r>
      <w:r w:rsidRPr="00C5582B">
        <w:rPr>
          <w:color w:val="201F1E"/>
        </w:rPr>
        <w:t>shift some of the risk from consumers to the bidders.</w:t>
      </w:r>
      <w:r>
        <w:rPr>
          <w:rStyle w:val="FootnoteReference"/>
          <w:color w:val="201F1E"/>
        </w:rPr>
        <w:footnoteReference w:id="15"/>
      </w:r>
      <w:r w:rsidRPr="00C5582B">
        <w:rPr>
          <w:color w:val="201F1E"/>
        </w:rPr>
        <w:t xml:space="preserve"> </w:t>
      </w:r>
      <w:r w:rsidRPr="00C5582B" w:rsidR="00220AA7">
        <w:rPr>
          <w:color w:val="201F1E"/>
        </w:rPr>
        <w:t xml:space="preserve">But any such risk shifting, especially with a long-term contract, would invariably increase the costs of the supply offered in the auctions. More importantly, the increased risks associated with long-term contract would also discourage bidder participation </w:t>
      </w:r>
      <w:r w:rsidRPr="00C5582B" w:rsidR="00F80A42">
        <w:rPr>
          <w:color w:val="201F1E"/>
        </w:rPr>
        <w:t xml:space="preserve">or </w:t>
      </w:r>
      <w:r w:rsidRPr="00C5582B" w:rsidR="00B15757">
        <w:rPr>
          <w:color w:val="201F1E"/>
        </w:rPr>
        <w:t xml:space="preserve">a </w:t>
      </w:r>
      <w:r w:rsidRPr="00C5582B" w:rsidR="00F80A42">
        <w:rPr>
          <w:color w:val="201F1E"/>
        </w:rPr>
        <w:t xml:space="preserve">more aggressive bidding </w:t>
      </w:r>
      <w:r w:rsidRPr="00C5582B" w:rsidR="00B15757">
        <w:rPr>
          <w:color w:val="201F1E"/>
        </w:rPr>
        <w:t xml:space="preserve">strategy </w:t>
      </w:r>
      <w:r w:rsidRPr="00C5582B" w:rsidR="00220AA7">
        <w:rPr>
          <w:color w:val="201F1E"/>
        </w:rPr>
        <w:t>by bidders</w:t>
      </w:r>
      <w:r w:rsidRPr="00C5582B" w:rsidR="00307DB1">
        <w:rPr>
          <w:color w:val="201F1E"/>
        </w:rPr>
        <w:t xml:space="preserve"> (meaning lower prices for customers)</w:t>
      </w:r>
      <w:r w:rsidRPr="00C5582B" w:rsidR="00220AA7">
        <w:rPr>
          <w:color w:val="201F1E"/>
        </w:rPr>
        <w:t xml:space="preserve">. </w:t>
      </w:r>
      <w:r w:rsidRPr="00C5582B" w:rsidR="00F80A42">
        <w:rPr>
          <w:color w:val="201F1E"/>
        </w:rPr>
        <w:t xml:space="preserve">These </w:t>
      </w:r>
      <w:r w:rsidRPr="00C5582B" w:rsidR="00B15757">
        <w:rPr>
          <w:color w:val="201F1E"/>
        </w:rPr>
        <w:t xml:space="preserve">outcomes </w:t>
      </w:r>
      <w:r w:rsidRPr="00C5582B" w:rsidR="00F80A42">
        <w:rPr>
          <w:color w:val="201F1E"/>
        </w:rPr>
        <w:t>contradict the policy objectives of the PUCO. A</w:t>
      </w:r>
      <w:r w:rsidRPr="00C5582B" w:rsidR="00B15757">
        <w:rPr>
          <w:color w:val="201F1E"/>
        </w:rPr>
        <w:t xml:space="preserve"> higher risk premium, less bidder participation, and less aggressive bidding </w:t>
      </w:r>
      <w:r w:rsidRPr="00C5582B" w:rsidR="00220AA7">
        <w:rPr>
          <w:color w:val="201F1E"/>
        </w:rPr>
        <w:t>would increase the bidding prices</w:t>
      </w:r>
      <w:r w:rsidRPr="00C5582B" w:rsidR="00F80A42">
        <w:rPr>
          <w:color w:val="201F1E"/>
        </w:rPr>
        <w:t xml:space="preserve"> in the SSO supplier auctions</w:t>
      </w:r>
      <w:r w:rsidRPr="00C5582B" w:rsidR="00307DB1">
        <w:rPr>
          <w:color w:val="201F1E"/>
        </w:rPr>
        <w:t>, resulting in higher prices for customers</w:t>
      </w:r>
      <w:r w:rsidRPr="00C5582B" w:rsidR="00220AA7">
        <w:rPr>
          <w:color w:val="201F1E"/>
        </w:rPr>
        <w:t xml:space="preserve">. These effects </w:t>
      </w:r>
      <w:r w:rsidRPr="00C5582B" w:rsidR="00F80A42">
        <w:rPr>
          <w:color w:val="201F1E"/>
        </w:rPr>
        <w:t xml:space="preserve">on </w:t>
      </w:r>
      <w:r w:rsidRPr="00C5582B" w:rsidR="00B15757">
        <w:rPr>
          <w:color w:val="201F1E"/>
        </w:rPr>
        <w:t xml:space="preserve">bidder participation and </w:t>
      </w:r>
      <w:r w:rsidRPr="00C5582B" w:rsidR="00F80A42">
        <w:rPr>
          <w:color w:val="201F1E"/>
        </w:rPr>
        <w:t>bidding</w:t>
      </w:r>
      <w:r w:rsidRPr="00C5582B" w:rsidR="00B15757">
        <w:rPr>
          <w:color w:val="201F1E"/>
        </w:rPr>
        <w:t xml:space="preserve"> strategy</w:t>
      </w:r>
      <w:r w:rsidRPr="00C5582B" w:rsidR="00F80A42">
        <w:rPr>
          <w:color w:val="201F1E"/>
        </w:rPr>
        <w:t xml:space="preserve"> </w:t>
      </w:r>
      <w:r w:rsidRPr="00C5582B" w:rsidR="00220AA7">
        <w:rPr>
          <w:color w:val="201F1E"/>
        </w:rPr>
        <w:t xml:space="preserve">would be especially pronounced in a smaller market such as Ohio </w:t>
      </w:r>
      <w:r w:rsidRPr="00C5582B" w:rsidR="00F80A42">
        <w:rPr>
          <w:color w:val="201F1E"/>
        </w:rPr>
        <w:t xml:space="preserve">(in comparison to the full PJM footprint) or in the marketplace where </w:t>
      </w:r>
      <w:r w:rsidRPr="00C5582B" w:rsidR="00802E08">
        <w:rPr>
          <w:color w:val="201F1E"/>
        </w:rPr>
        <w:t xml:space="preserve">at least </w:t>
      </w:r>
      <w:r w:rsidRPr="00C5582B" w:rsidR="00220AA7">
        <w:rPr>
          <w:color w:val="201F1E"/>
        </w:rPr>
        <w:t>one of the market participants is heavily subsidized</w:t>
      </w:r>
      <w:r w:rsidRPr="00C5582B" w:rsidR="002F1813">
        <w:rPr>
          <w:color w:val="201F1E"/>
        </w:rPr>
        <w:t>.</w:t>
      </w:r>
    </w:p>
    <w:p w:rsidR="00B54179" w:rsidRPr="00C5582B" w:rsidP="00E74BD2">
      <w:pPr>
        <w:pStyle w:val="xmsonormal"/>
        <w:shd w:val="clear" w:color="auto" w:fill="FFFFFF"/>
        <w:spacing w:before="0" w:beforeAutospacing="0" w:after="0" w:afterAutospacing="0" w:line="480" w:lineRule="auto"/>
        <w:ind w:firstLine="720"/>
        <w:rPr>
          <w:color w:val="201F1E"/>
        </w:rPr>
      </w:pPr>
      <w:r w:rsidRPr="00C5582B">
        <w:rPr>
          <w:color w:val="201F1E"/>
        </w:rPr>
        <w:t xml:space="preserve">Second, there is no truth </w:t>
      </w:r>
      <w:r w:rsidRPr="00C5582B" w:rsidR="00541CD7">
        <w:rPr>
          <w:color w:val="201F1E"/>
        </w:rPr>
        <w:t xml:space="preserve">that a four year extension in delivery years </w:t>
      </w:r>
      <w:r w:rsidRPr="00C5582B" w:rsidR="00083C3A">
        <w:rPr>
          <w:color w:val="201F1E"/>
        </w:rPr>
        <w:t xml:space="preserve">for SSO supply auctions </w:t>
      </w:r>
      <w:r w:rsidRPr="00C5582B" w:rsidR="00541CD7">
        <w:rPr>
          <w:color w:val="201F1E"/>
        </w:rPr>
        <w:t xml:space="preserve">would provide </w:t>
      </w:r>
      <w:r w:rsidRPr="00C5582B" w:rsidR="00F80A42">
        <w:rPr>
          <w:color w:val="201F1E"/>
        </w:rPr>
        <w:t xml:space="preserve">economic </w:t>
      </w:r>
      <w:r w:rsidRPr="00C5582B" w:rsidR="00541CD7">
        <w:rPr>
          <w:color w:val="201F1E"/>
        </w:rPr>
        <w:t xml:space="preserve">benefits to customers. Energy Harbor has not </w:t>
      </w:r>
      <w:r w:rsidRPr="00C5582B" w:rsidR="00083C3A">
        <w:rPr>
          <w:color w:val="201F1E"/>
        </w:rPr>
        <w:t xml:space="preserve">offered </w:t>
      </w:r>
      <w:r w:rsidRPr="00C5582B" w:rsidR="00541CD7">
        <w:rPr>
          <w:color w:val="201F1E"/>
        </w:rPr>
        <w:t xml:space="preserve">any evidence that the current </w:t>
      </w:r>
      <w:r w:rsidRPr="00C5582B" w:rsidR="00083C3A">
        <w:rPr>
          <w:color w:val="201F1E"/>
        </w:rPr>
        <w:t xml:space="preserve">market </w:t>
      </w:r>
      <w:r w:rsidRPr="00C5582B" w:rsidR="00541CD7">
        <w:rPr>
          <w:color w:val="201F1E"/>
        </w:rPr>
        <w:t xml:space="preserve">price of electricity would not be </w:t>
      </w:r>
      <w:r w:rsidRPr="00C5582B" w:rsidR="00802E08">
        <w:rPr>
          <w:color w:val="201F1E"/>
        </w:rPr>
        <w:t>lower</w:t>
      </w:r>
      <w:r w:rsidRPr="00C5582B" w:rsidR="00541CD7">
        <w:rPr>
          <w:color w:val="201F1E"/>
        </w:rPr>
        <w:t xml:space="preserve"> in the future</w:t>
      </w:r>
      <w:r w:rsidRPr="00C5582B" w:rsidR="00B15757">
        <w:rPr>
          <w:color w:val="201F1E"/>
        </w:rPr>
        <w:t xml:space="preserve">. </w:t>
      </w:r>
      <w:r w:rsidRPr="00C5582B" w:rsidR="00083C3A">
        <w:rPr>
          <w:color w:val="201F1E"/>
        </w:rPr>
        <w:t xml:space="preserve">Neither has </w:t>
      </w:r>
      <w:r w:rsidRPr="00C5582B" w:rsidR="00B15757">
        <w:rPr>
          <w:color w:val="201F1E"/>
        </w:rPr>
        <w:t xml:space="preserve">Energy Harbor demonstrated that </w:t>
      </w:r>
      <w:r w:rsidRPr="00C5582B" w:rsidR="00541CD7">
        <w:rPr>
          <w:color w:val="201F1E"/>
        </w:rPr>
        <w:t xml:space="preserve">the current prices of four to </w:t>
      </w:r>
      <w:r w:rsidRPr="00C5582B" w:rsidR="00083C3A">
        <w:rPr>
          <w:color w:val="201F1E"/>
        </w:rPr>
        <w:t>six</w:t>
      </w:r>
      <w:r w:rsidRPr="00C5582B" w:rsidR="00541CD7">
        <w:rPr>
          <w:color w:val="201F1E"/>
        </w:rPr>
        <w:t xml:space="preserve">-year long-term supply contracts would be lower than the future prices of long-term supply contract. </w:t>
      </w:r>
      <w:r w:rsidRPr="00C5582B" w:rsidR="0052065C">
        <w:rPr>
          <w:color w:val="201F1E"/>
        </w:rPr>
        <w:t xml:space="preserve">The current SSO supply auctions with a combination of one-year, two-year, and three-year delivery periods have already provided certain price stability and supply reliability </w:t>
      </w:r>
      <w:r w:rsidRPr="00C5582B" w:rsidR="00307DB1">
        <w:rPr>
          <w:color w:val="201F1E"/>
        </w:rPr>
        <w:t xml:space="preserve">for customers </w:t>
      </w:r>
      <w:r w:rsidRPr="00C5582B" w:rsidR="0052065C">
        <w:rPr>
          <w:color w:val="201F1E"/>
        </w:rPr>
        <w:t xml:space="preserve">and, at the same time, reflected the changing market prices and expectations. </w:t>
      </w:r>
      <w:r w:rsidRPr="00C5582B" w:rsidR="00D53DBA">
        <w:rPr>
          <w:color w:val="201F1E"/>
        </w:rPr>
        <w:t xml:space="preserve">BRA auctions are held three years in advance of the actual delivery year. Any SSO auction that would allow offers that exceed that three-year timeframe </w:t>
      </w:r>
      <w:r w:rsidRPr="00C5582B" w:rsidR="0029623A">
        <w:rPr>
          <w:color w:val="201F1E"/>
        </w:rPr>
        <w:t>would</w:t>
      </w:r>
      <w:r w:rsidRPr="00C5582B" w:rsidR="00D53DBA">
        <w:rPr>
          <w:color w:val="201F1E"/>
        </w:rPr>
        <w:t xml:space="preserve"> require bidders to guess capacity clearing prices. That additional uncertainty will result in more risk for bidders that will most likely result in greater SSO prices to consumers. I</w:t>
      </w:r>
      <w:r w:rsidRPr="00C5582B" w:rsidR="00F76B8E">
        <w:rPr>
          <w:color w:val="201F1E"/>
        </w:rPr>
        <w:t>f</w:t>
      </w:r>
      <w:r w:rsidRPr="00C5582B" w:rsidR="00541CD7">
        <w:rPr>
          <w:color w:val="201F1E"/>
        </w:rPr>
        <w:t xml:space="preserve"> Energy Harbor’s proposal</w:t>
      </w:r>
      <w:r w:rsidRPr="00C5582B" w:rsidR="00D53DBA">
        <w:rPr>
          <w:color w:val="201F1E"/>
        </w:rPr>
        <w:t>s</w:t>
      </w:r>
      <w:r w:rsidRPr="00C5582B" w:rsidR="00541CD7">
        <w:rPr>
          <w:color w:val="201F1E"/>
        </w:rPr>
        <w:t xml:space="preserve"> </w:t>
      </w:r>
      <w:r w:rsidRPr="00C5582B" w:rsidR="00D53DBA">
        <w:rPr>
          <w:color w:val="201F1E"/>
        </w:rPr>
        <w:t xml:space="preserve">are </w:t>
      </w:r>
      <w:r w:rsidRPr="00C5582B" w:rsidR="00541CD7">
        <w:rPr>
          <w:color w:val="201F1E"/>
        </w:rPr>
        <w:t xml:space="preserve">adopted, the SSO customers </w:t>
      </w:r>
      <w:r w:rsidRPr="00C5582B" w:rsidR="00802E08">
        <w:rPr>
          <w:color w:val="201F1E"/>
        </w:rPr>
        <w:t>would</w:t>
      </w:r>
      <w:r w:rsidRPr="00C5582B" w:rsidR="00541CD7">
        <w:rPr>
          <w:color w:val="201F1E"/>
        </w:rPr>
        <w:t xml:space="preserve"> be locked into higher </w:t>
      </w:r>
      <w:r w:rsidRPr="00C5582B" w:rsidR="00802E08">
        <w:rPr>
          <w:color w:val="201F1E"/>
        </w:rPr>
        <w:t xml:space="preserve">electricity </w:t>
      </w:r>
      <w:r w:rsidRPr="00C5582B" w:rsidR="00541CD7">
        <w:rPr>
          <w:color w:val="201F1E"/>
        </w:rPr>
        <w:t xml:space="preserve">prices over an extended period of time. </w:t>
      </w:r>
      <w:r w:rsidRPr="00C5582B" w:rsidR="00307DB1">
        <w:rPr>
          <w:color w:val="201F1E"/>
        </w:rPr>
        <w:t>That would not be good for Ohioans.</w:t>
      </w:r>
    </w:p>
    <w:p w:rsidR="00F76B8E" w:rsidRPr="00C5582B" w:rsidP="00E74BD2">
      <w:pPr>
        <w:pStyle w:val="xmsonormal"/>
        <w:shd w:val="clear" w:color="auto" w:fill="FFFFFF"/>
        <w:spacing w:before="0" w:beforeAutospacing="0" w:after="0" w:afterAutospacing="0" w:line="480" w:lineRule="auto"/>
        <w:ind w:firstLine="720"/>
        <w:rPr>
          <w:color w:val="201F1E"/>
        </w:rPr>
      </w:pPr>
      <w:r w:rsidRPr="00C5582B">
        <w:rPr>
          <w:color w:val="201F1E"/>
        </w:rPr>
        <w:t>Energy Harbor also made an alternative proposal recommending</w:t>
      </w:r>
      <w:r w:rsidRPr="00C5582B" w:rsidR="00802E08">
        <w:rPr>
          <w:color w:val="201F1E"/>
        </w:rPr>
        <w:t xml:space="preserve"> that</w:t>
      </w:r>
      <w:r w:rsidRPr="00C5582B">
        <w:rPr>
          <w:color w:val="201F1E"/>
        </w:rPr>
        <w:t xml:space="preserve"> the PUCO retain the existing full requirement product for all or a portion of SSO load with delivery from two to five years.</w:t>
      </w:r>
      <w:r>
        <w:rPr>
          <w:rStyle w:val="FootnoteReference"/>
          <w:color w:val="201F1E"/>
        </w:rPr>
        <w:footnoteReference w:id="16"/>
      </w:r>
      <w:r w:rsidRPr="00C5582B">
        <w:rPr>
          <w:color w:val="201F1E"/>
        </w:rPr>
        <w:t xml:space="preserve"> This </w:t>
      </w:r>
      <w:r w:rsidRPr="00C5582B" w:rsidR="00B57A65">
        <w:rPr>
          <w:color w:val="201F1E"/>
        </w:rPr>
        <w:t xml:space="preserve">approach </w:t>
      </w:r>
      <w:r w:rsidRPr="00C5582B">
        <w:rPr>
          <w:color w:val="201F1E"/>
        </w:rPr>
        <w:t xml:space="preserve">is unreasonable and costly to customers and it should be rejected for the same reasons discussed above. It should be noted that the Staff Proposal </w:t>
      </w:r>
      <w:r w:rsidRPr="00C5582B" w:rsidR="00802E08">
        <w:rPr>
          <w:color w:val="201F1E"/>
        </w:rPr>
        <w:t>did not</w:t>
      </w:r>
      <w:r w:rsidRPr="00C5582B">
        <w:rPr>
          <w:color w:val="201F1E"/>
        </w:rPr>
        <w:t xml:space="preserve"> advocate an energy-only product</w:t>
      </w:r>
      <w:r w:rsidRPr="00C5582B" w:rsidR="0052065C">
        <w:rPr>
          <w:color w:val="201F1E"/>
        </w:rPr>
        <w:t xml:space="preserve"> in the SSO supply auction</w:t>
      </w:r>
      <w:r w:rsidRPr="00C5582B">
        <w:rPr>
          <w:color w:val="201F1E"/>
        </w:rPr>
        <w:t xml:space="preserve">. The Staff’s Proposal does not </w:t>
      </w:r>
      <w:r w:rsidRPr="00C5582B" w:rsidR="0052065C">
        <w:rPr>
          <w:color w:val="201F1E"/>
        </w:rPr>
        <w:t xml:space="preserve">propose to </w:t>
      </w:r>
      <w:r w:rsidRPr="00C5582B">
        <w:rPr>
          <w:color w:val="201F1E"/>
        </w:rPr>
        <w:t>relieve the winning bidder</w:t>
      </w:r>
      <w:r w:rsidRPr="00C5582B" w:rsidR="00D53DBA">
        <w:rPr>
          <w:color w:val="201F1E"/>
        </w:rPr>
        <w:t>s’</w:t>
      </w:r>
      <w:r w:rsidRPr="00C5582B" w:rsidR="002F1813">
        <w:rPr>
          <w:color w:val="201F1E"/>
        </w:rPr>
        <w:t xml:space="preserve"> </w:t>
      </w:r>
      <w:r w:rsidRPr="00C5582B" w:rsidR="00307DB1">
        <w:rPr>
          <w:color w:val="201F1E"/>
        </w:rPr>
        <w:t>responsibility</w:t>
      </w:r>
      <w:r w:rsidRPr="00C5582B">
        <w:rPr>
          <w:color w:val="201F1E"/>
        </w:rPr>
        <w:t xml:space="preserve"> to supply the capacity as well as energy in the delivery year</w:t>
      </w:r>
      <w:r w:rsidRPr="00C5582B" w:rsidR="0052065C">
        <w:rPr>
          <w:color w:val="201F1E"/>
        </w:rPr>
        <w:t xml:space="preserve">. </w:t>
      </w:r>
      <w:r w:rsidRPr="00C5582B">
        <w:rPr>
          <w:color w:val="201F1E"/>
        </w:rPr>
        <w:t>The Staff’s Proposal only modif</w:t>
      </w:r>
      <w:r w:rsidRPr="00C5582B" w:rsidR="0052065C">
        <w:rPr>
          <w:color w:val="201F1E"/>
        </w:rPr>
        <w:t>ies</w:t>
      </w:r>
      <w:r w:rsidRPr="00C5582B">
        <w:rPr>
          <w:color w:val="201F1E"/>
        </w:rPr>
        <w:t xml:space="preserve"> the timing of the collection of </w:t>
      </w:r>
      <w:r w:rsidRPr="00C5582B" w:rsidR="00D53DBA">
        <w:rPr>
          <w:color w:val="201F1E"/>
        </w:rPr>
        <w:t xml:space="preserve">the actual </w:t>
      </w:r>
      <w:r w:rsidRPr="00C5582B">
        <w:rPr>
          <w:color w:val="201F1E"/>
        </w:rPr>
        <w:t xml:space="preserve">capacity costs. There is </w:t>
      </w:r>
      <w:r w:rsidRPr="00C5582B" w:rsidR="0052065C">
        <w:rPr>
          <w:color w:val="201F1E"/>
        </w:rPr>
        <w:t xml:space="preserve">no </w:t>
      </w:r>
      <w:r w:rsidRPr="00C5582B">
        <w:rPr>
          <w:color w:val="201F1E"/>
        </w:rPr>
        <w:t>need to discuss the implementation of a bifurcat</w:t>
      </w:r>
      <w:r w:rsidRPr="00C5582B" w:rsidR="00307DB1">
        <w:rPr>
          <w:color w:val="201F1E"/>
        </w:rPr>
        <w:t xml:space="preserve">ed </w:t>
      </w:r>
      <w:r w:rsidRPr="00C5582B">
        <w:rPr>
          <w:color w:val="201F1E"/>
        </w:rPr>
        <w:t>energy-only and capacity-only products as proposed by Energy Harbor.</w:t>
      </w:r>
    </w:p>
    <w:p w:rsidR="004E4361" w:rsidRPr="00C5582B" w:rsidP="003E7176">
      <w:pPr>
        <w:pStyle w:val="xmsonormal"/>
        <w:shd w:val="clear" w:color="auto" w:fill="FFFFFF"/>
        <w:spacing w:before="0" w:beforeAutospacing="0" w:after="0" w:afterAutospacing="0" w:line="480" w:lineRule="auto"/>
        <w:ind w:firstLine="720"/>
        <w:rPr>
          <w:color w:val="201F1E"/>
        </w:rPr>
      </w:pPr>
      <w:r w:rsidRPr="00C5582B">
        <w:rPr>
          <w:color w:val="201F1E"/>
        </w:rPr>
        <w:t xml:space="preserve">An additional complexity is the possibility that </w:t>
      </w:r>
      <w:r w:rsidRPr="00C5582B" w:rsidR="009D28F3">
        <w:rPr>
          <w:color w:val="201F1E"/>
        </w:rPr>
        <w:t>the capacity procured under Energy Harbor’s proposal would extend beyond the terms of existing ESPs. This may interfere with the development, evaluation, and approval of the next SSO plan</w:t>
      </w:r>
      <w:r w:rsidRPr="00C5582B" w:rsidR="00307DB1">
        <w:rPr>
          <w:color w:val="201F1E"/>
        </w:rPr>
        <w:t>.</w:t>
      </w:r>
      <w:r>
        <w:rPr>
          <w:rStyle w:val="FootnoteReference"/>
          <w:color w:val="201F1E"/>
        </w:rPr>
        <w:footnoteReference w:id="17"/>
      </w:r>
    </w:p>
    <w:p w:rsidR="0092526E" w:rsidRPr="00C5582B" w:rsidP="002F1813">
      <w:pPr>
        <w:pStyle w:val="Heading2"/>
      </w:pPr>
      <w:bookmarkStart w:id="19" w:name="_Toc41654442"/>
      <w:bookmarkStart w:id="20" w:name="_Toc41654522"/>
      <w:r w:rsidRPr="00C5582B">
        <w:t>E.</w:t>
      </w:r>
      <w:r w:rsidRPr="00C5582B" w:rsidR="002F1813">
        <w:tab/>
      </w:r>
      <w:r w:rsidRPr="00C5582B" w:rsidR="00653FD1">
        <w:t xml:space="preserve">IGS/Direct’s </w:t>
      </w:r>
      <w:r w:rsidRPr="00C5582B" w:rsidR="002F1813">
        <w:t>p</w:t>
      </w:r>
      <w:r w:rsidRPr="00C5582B" w:rsidR="00653FD1">
        <w:t xml:space="preserve">roposal of not modifying </w:t>
      </w:r>
      <w:r w:rsidRPr="00C5582B" w:rsidR="0052065C">
        <w:t>the current</w:t>
      </w:r>
      <w:r w:rsidRPr="00C5582B" w:rsidR="00653FD1">
        <w:t xml:space="preserve"> SSO auctions </w:t>
      </w:r>
      <w:r w:rsidRPr="00C5582B" w:rsidR="0052065C">
        <w:t>or compress</w:t>
      </w:r>
      <w:r w:rsidRPr="00C5582B" w:rsidR="00802E08">
        <w:t>ing</w:t>
      </w:r>
      <w:r w:rsidRPr="00C5582B" w:rsidR="0052065C">
        <w:t xml:space="preserve"> the SSO product </w:t>
      </w:r>
      <w:r w:rsidRPr="00C5582B" w:rsidR="0099208C">
        <w:t>to the timeframe of known capacity costs is unproven and does not benefit customers.</w:t>
      </w:r>
      <w:bookmarkEnd w:id="19"/>
      <w:bookmarkEnd w:id="20"/>
    </w:p>
    <w:p w:rsidR="00BD69F6" w:rsidRPr="00C5582B" w:rsidP="00E74BD2">
      <w:pPr>
        <w:pStyle w:val="xmsonormal"/>
        <w:shd w:val="clear" w:color="auto" w:fill="FFFFFF"/>
        <w:spacing w:before="0" w:beforeAutospacing="0" w:after="0" w:afterAutospacing="0" w:line="480" w:lineRule="auto"/>
        <w:ind w:left="-90" w:firstLine="720"/>
        <w:rPr>
          <w:color w:val="201F1E"/>
        </w:rPr>
      </w:pPr>
      <w:r w:rsidRPr="00C5582B">
        <w:rPr>
          <w:color w:val="201F1E"/>
        </w:rPr>
        <w:t xml:space="preserve">In their joint comments, IGS/Direct argued that there is no need for the PUCO to modify the SSO supply auction process. </w:t>
      </w:r>
      <w:r w:rsidRPr="00C5582B" w:rsidR="0099208C">
        <w:rPr>
          <w:color w:val="201F1E"/>
        </w:rPr>
        <w:t>The SSO bidders should still be required to provide a full-requirement product even when the PJM capacity costs are unknown for delivery year 2022-2023 and beyond.</w:t>
      </w:r>
      <w:r>
        <w:rPr>
          <w:rStyle w:val="FootnoteReference"/>
          <w:color w:val="201F1E"/>
        </w:rPr>
        <w:footnoteReference w:id="18"/>
      </w:r>
      <w:r w:rsidRPr="00C5582B" w:rsidR="0099208C">
        <w:rPr>
          <w:color w:val="201F1E"/>
        </w:rPr>
        <w:t xml:space="preserve"> In the alternative, the</w:t>
      </w:r>
      <w:r w:rsidRPr="00C5582B" w:rsidR="00802E08">
        <w:rPr>
          <w:color w:val="201F1E"/>
        </w:rPr>
        <w:t>y suggest that the</w:t>
      </w:r>
      <w:r w:rsidRPr="00C5582B" w:rsidR="0099208C">
        <w:rPr>
          <w:color w:val="201F1E"/>
        </w:rPr>
        <w:t xml:space="preserve"> PUCO modify the SSO product to “compress the SSO product to the timeframe that capacity prices are known.”</w:t>
      </w:r>
      <w:r>
        <w:rPr>
          <w:rStyle w:val="FootnoteReference"/>
          <w:color w:val="201F1E"/>
        </w:rPr>
        <w:footnoteReference w:id="19"/>
      </w:r>
      <w:r w:rsidRPr="00C5582B" w:rsidR="0099208C">
        <w:rPr>
          <w:color w:val="201F1E"/>
        </w:rPr>
        <w:t xml:space="preserve">  </w:t>
      </w:r>
    </w:p>
    <w:p w:rsidR="004E4361" w:rsidRPr="00C5582B" w:rsidP="00E74BD2">
      <w:pPr>
        <w:pStyle w:val="xmsonormal"/>
        <w:shd w:val="clear" w:color="auto" w:fill="FFFFFF"/>
        <w:spacing w:before="0" w:beforeAutospacing="0" w:after="0" w:afterAutospacing="0" w:line="480" w:lineRule="auto"/>
        <w:ind w:left="-90" w:firstLine="720"/>
        <w:rPr>
          <w:color w:val="201F1E"/>
        </w:rPr>
      </w:pPr>
      <w:r w:rsidRPr="00C5582B">
        <w:rPr>
          <w:color w:val="201F1E"/>
        </w:rPr>
        <w:t>The PUCO should not adopt</w:t>
      </w:r>
      <w:r w:rsidRPr="00C5582B" w:rsidR="0099208C">
        <w:rPr>
          <w:color w:val="201F1E"/>
        </w:rPr>
        <w:t xml:space="preserve"> either approach advocated by IGS/Direct. As discussed earlier, the SSO bidder’s risk and required risk premium in its bid price will</w:t>
      </w:r>
      <w:r w:rsidRPr="00C5582B" w:rsidR="00BD69F6">
        <w:rPr>
          <w:color w:val="201F1E"/>
        </w:rPr>
        <w:t xml:space="preserve"> increase if the SSO bidder is required to provide a full-requirement product without knowing the capacity costs decided in the PJM market. This will raise </w:t>
      </w:r>
      <w:r w:rsidRPr="00C5582B" w:rsidR="002024D0">
        <w:rPr>
          <w:color w:val="201F1E"/>
        </w:rPr>
        <w:t xml:space="preserve">offer </w:t>
      </w:r>
      <w:r w:rsidRPr="00C5582B" w:rsidR="00BD69F6">
        <w:rPr>
          <w:color w:val="201F1E"/>
        </w:rPr>
        <w:t xml:space="preserve">prices, discourage bidder participation, and </w:t>
      </w:r>
      <w:r w:rsidRPr="00C5582B">
        <w:rPr>
          <w:color w:val="201F1E"/>
        </w:rPr>
        <w:t>inhibit competitive</w:t>
      </w:r>
      <w:r w:rsidRPr="00C5582B" w:rsidR="00BD69F6">
        <w:rPr>
          <w:color w:val="201F1E"/>
        </w:rPr>
        <w:t xml:space="preserve"> bidding strategies in the SSO supply auction. </w:t>
      </w:r>
      <w:r w:rsidRPr="00C5582B" w:rsidR="006C27E6">
        <w:rPr>
          <w:color w:val="201F1E"/>
        </w:rPr>
        <w:t>That means higher prices for customers.</w:t>
      </w:r>
      <w:r w:rsidRPr="00C5582B" w:rsidR="00BD69F6">
        <w:rPr>
          <w:color w:val="201F1E"/>
        </w:rPr>
        <w:t xml:space="preserve"> </w:t>
      </w:r>
    </w:p>
    <w:p w:rsidR="00653FD1" w:rsidRPr="00C5582B" w:rsidP="00E74BD2">
      <w:pPr>
        <w:pStyle w:val="xmsonormal"/>
        <w:shd w:val="clear" w:color="auto" w:fill="FFFFFF"/>
        <w:spacing w:before="0" w:beforeAutospacing="0" w:after="0" w:afterAutospacing="0" w:line="480" w:lineRule="auto"/>
        <w:ind w:left="-90" w:firstLine="720"/>
        <w:rPr>
          <w:color w:val="201F1E"/>
        </w:rPr>
      </w:pPr>
      <w:r w:rsidRPr="00C5582B">
        <w:rPr>
          <w:color w:val="201F1E"/>
        </w:rPr>
        <w:t>In terms of compressing the SSO product to the timeframe capacity costs are known, it may not work because the SSO product could be reduced to only one-year (2021-2022) delivery product if the SSO auction is held in early 2021. The intended benefits of a diversified supply portfolio with different delivery years would be lost. Bidder participation may also be adversely affected as some suppliers will require a steady cash flow associated with a two-year or three-year supply contract</w:t>
      </w:r>
      <w:r w:rsidRPr="00C5582B" w:rsidR="004E4361">
        <w:rPr>
          <w:color w:val="201F1E"/>
        </w:rPr>
        <w:t>s</w:t>
      </w:r>
      <w:r w:rsidRPr="00C5582B">
        <w:rPr>
          <w:color w:val="201F1E"/>
        </w:rPr>
        <w:t>.</w:t>
      </w:r>
      <w:r w:rsidRPr="00C5582B" w:rsidR="004E4361">
        <w:rPr>
          <w:color w:val="201F1E"/>
        </w:rPr>
        <w:t xml:space="preserve"> </w:t>
      </w:r>
      <w:r w:rsidRPr="00C5582B" w:rsidR="002024D0">
        <w:rPr>
          <w:color w:val="201F1E"/>
        </w:rPr>
        <w:t xml:space="preserve">Also, as opposed to shortening the SSO auction delivery periods, the Staff’s proposal for a </w:t>
      </w:r>
      <w:r w:rsidRPr="00C5582B" w:rsidR="002024D0">
        <w:t>capacity cost flow-through and true-up mechanism will better serve reliability needs by making sure there are winning bidder commitments to deliver service to consumers up to three years out.</w:t>
      </w:r>
    </w:p>
    <w:p w:rsidR="0092526E" w:rsidRPr="00C5582B" w:rsidP="002F1813">
      <w:pPr>
        <w:pStyle w:val="Heading2"/>
      </w:pPr>
      <w:bookmarkStart w:id="21" w:name="_Toc41654443"/>
      <w:bookmarkStart w:id="22" w:name="_Toc41654523"/>
      <w:r w:rsidRPr="00C5582B">
        <w:t>F.</w:t>
      </w:r>
      <w:r w:rsidRPr="00C5582B" w:rsidR="002F1813">
        <w:tab/>
      </w:r>
      <w:r w:rsidRPr="00C5582B" w:rsidR="001D23DE">
        <w:t xml:space="preserve">FirstEnergy’s </w:t>
      </w:r>
      <w:r w:rsidRPr="00C5582B">
        <w:t>p</w:t>
      </w:r>
      <w:r w:rsidRPr="00C5582B" w:rsidR="001D23DE">
        <w:t xml:space="preserve">roposal of </w:t>
      </w:r>
      <w:r w:rsidRPr="00C5582B" w:rsidR="00F531E7">
        <w:t>using a non-zero “proxy price” provides no benefits to customers.</w:t>
      </w:r>
      <w:bookmarkEnd w:id="21"/>
      <w:bookmarkEnd w:id="22"/>
    </w:p>
    <w:p w:rsidR="004E4361" w:rsidRPr="00C5582B" w:rsidP="00E74BD2">
      <w:pPr>
        <w:pStyle w:val="xmsonormal"/>
        <w:shd w:val="clear" w:color="auto" w:fill="FFFFFF"/>
        <w:spacing w:before="0" w:beforeAutospacing="0" w:after="0" w:afterAutospacing="0" w:line="480" w:lineRule="auto"/>
        <w:ind w:firstLine="720"/>
        <w:rPr>
          <w:color w:val="201F1E"/>
        </w:rPr>
      </w:pPr>
      <w:r w:rsidRPr="00C5582B">
        <w:rPr>
          <w:color w:val="201F1E"/>
        </w:rPr>
        <w:t xml:space="preserve">In its </w:t>
      </w:r>
      <w:r w:rsidRPr="00C5582B" w:rsidR="003E7176">
        <w:rPr>
          <w:color w:val="201F1E"/>
        </w:rPr>
        <w:t>c</w:t>
      </w:r>
      <w:r w:rsidRPr="00C5582B">
        <w:rPr>
          <w:color w:val="201F1E"/>
        </w:rPr>
        <w:t xml:space="preserve">omments, FirstEnergy </w:t>
      </w:r>
      <w:r w:rsidRPr="00C5582B" w:rsidR="00E20224">
        <w:rPr>
          <w:color w:val="201F1E"/>
        </w:rPr>
        <w:t>recommended the use of a non-zero “proxy price” (instead of a $0/MW-day capacity prices proposed in the Staff’s Proposal) in the SSO supply auction. FirstEnergy proposed a non-zero capacity costs based on 90% of the average market clearing price for the past two years</w:t>
      </w:r>
      <w:r w:rsidRPr="00C5582B" w:rsidR="00201259">
        <w:rPr>
          <w:color w:val="201F1E"/>
        </w:rPr>
        <w:t>.</w:t>
      </w:r>
      <w:r>
        <w:rPr>
          <w:rStyle w:val="FootnoteReference"/>
          <w:color w:val="201F1E"/>
        </w:rPr>
        <w:footnoteReference w:id="20"/>
      </w:r>
      <w:r w:rsidRPr="00C5582B" w:rsidR="00201259">
        <w:rPr>
          <w:color w:val="201F1E"/>
        </w:rPr>
        <w:t xml:space="preserve"> </w:t>
      </w:r>
      <w:r w:rsidRPr="00C5582B" w:rsidR="0022509A">
        <w:rPr>
          <w:color w:val="201F1E"/>
        </w:rPr>
        <w:t>FirstEnergy also claimed certain benefits associated with revenue collection, carrying costs savings, and cost allocation advantages associated with a non-zero capacity cost.</w:t>
      </w:r>
      <w:r>
        <w:rPr>
          <w:rStyle w:val="FootnoteReference"/>
          <w:color w:val="201F1E"/>
        </w:rPr>
        <w:footnoteReference w:id="21"/>
      </w:r>
      <w:r w:rsidRPr="00C5582B" w:rsidR="0022509A">
        <w:rPr>
          <w:color w:val="201F1E"/>
        </w:rPr>
        <w:t xml:space="preserve">  </w:t>
      </w:r>
    </w:p>
    <w:p w:rsidR="00EE1981" w:rsidP="00E74BD2">
      <w:pPr>
        <w:pStyle w:val="xmsonormal"/>
        <w:shd w:val="clear" w:color="auto" w:fill="FFFFFF"/>
        <w:spacing w:before="0" w:beforeAutospacing="0" w:after="0" w:afterAutospacing="0" w:line="480" w:lineRule="auto"/>
        <w:ind w:firstLine="720"/>
        <w:rPr>
          <w:color w:val="201F1E"/>
        </w:rPr>
      </w:pPr>
      <w:r w:rsidRPr="00C5582B">
        <w:rPr>
          <w:color w:val="201F1E"/>
        </w:rPr>
        <w:t xml:space="preserve">But FirstEnergy </w:t>
      </w:r>
      <w:r w:rsidRPr="00C5582B" w:rsidR="00802E08">
        <w:rPr>
          <w:color w:val="201F1E"/>
        </w:rPr>
        <w:t>did not</w:t>
      </w:r>
      <w:r w:rsidRPr="00C5582B">
        <w:rPr>
          <w:color w:val="201F1E"/>
        </w:rPr>
        <w:t xml:space="preserve"> explain how where these market clearing prices were derived </w:t>
      </w:r>
      <w:r w:rsidRPr="00C5582B" w:rsidR="00802E08">
        <w:rPr>
          <w:color w:val="201F1E"/>
        </w:rPr>
        <w:t xml:space="preserve">or </w:t>
      </w:r>
      <w:r w:rsidRPr="00C5582B">
        <w:rPr>
          <w:color w:val="201F1E"/>
        </w:rPr>
        <w:t xml:space="preserve">how the average market clearing prices were calculated. </w:t>
      </w:r>
      <w:r w:rsidRPr="00C5582B" w:rsidR="002024D0">
        <w:rPr>
          <w:color w:val="201F1E"/>
        </w:rPr>
        <w:t xml:space="preserve">The PUCO should not attempt to guess what future capacity prices might be. </w:t>
      </w:r>
      <w:r w:rsidRPr="00C5582B" w:rsidR="000B4A71">
        <w:rPr>
          <w:color w:val="201F1E"/>
        </w:rPr>
        <w:t>I</w:t>
      </w:r>
      <w:r w:rsidRPr="00C5582B" w:rsidR="004E4361">
        <w:rPr>
          <w:color w:val="201F1E"/>
        </w:rPr>
        <w:t xml:space="preserve">t is </w:t>
      </w:r>
      <w:r w:rsidRPr="00C5582B" w:rsidR="002024D0">
        <w:rPr>
          <w:color w:val="201F1E"/>
        </w:rPr>
        <w:t>sound</w:t>
      </w:r>
      <w:r w:rsidRPr="00C5582B" w:rsidR="00444213">
        <w:rPr>
          <w:color w:val="201F1E"/>
        </w:rPr>
        <w:t>er</w:t>
      </w:r>
      <w:r w:rsidRPr="00C5582B" w:rsidR="002024D0">
        <w:rPr>
          <w:color w:val="201F1E"/>
        </w:rPr>
        <w:t xml:space="preserve"> and </w:t>
      </w:r>
      <w:r w:rsidRPr="00C5582B" w:rsidR="00802E08">
        <w:rPr>
          <w:color w:val="201F1E"/>
        </w:rPr>
        <w:t xml:space="preserve">simpler </w:t>
      </w:r>
      <w:r w:rsidRPr="00C5582B" w:rsidR="004E4361">
        <w:rPr>
          <w:color w:val="201F1E"/>
        </w:rPr>
        <w:t>to use a zero capacity cost as a placeholder and for the bidder to understand and assess its risk (or no risk) to participate in a</w:t>
      </w:r>
      <w:r w:rsidRPr="00C5582B" w:rsidR="00444213">
        <w:rPr>
          <w:color w:val="201F1E"/>
        </w:rPr>
        <w:t>n</w:t>
      </w:r>
      <w:r w:rsidRPr="00C5582B" w:rsidR="004E4361">
        <w:rPr>
          <w:color w:val="201F1E"/>
        </w:rPr>
        <w:t xml:space="preserve"> SSO supply auction. </w:t>
      </w:r>
      <w:r w:rsidRPr="00C5582B" w:rsidR="00444213">
        <w:rPr>
          <w:color w:val="201F1E"/>
        </w:rPr>
        <w:t>And</w:t>
      </w:r>
      <w:r w:rsidRPr="00C5582B" w:rsidR="009E6E8F">
        <w:rPr>
          <w:color w:val="201F1E"/>
        </w:rPr>
        <w:t>,</w:t>
      </w:r>
      <w:r w:rsidRPr="00C5582B" w:rsidR="00444213">
        <w:rPr>
          <w:color w:val="201F1E"/>
        </w:rPr>
        <w:t xml:space="preserve"> as mentioned earlier, under PJM’s plan </w:t>
      </w:r>
      <w:r w:rsidRPr="00C5582B" w:rsidR="009E6E8F">
        <w:rPr>
          <w:color w:val="201F1E"/>
        </w:rPr>
        <w:t xml:space="preserve">to </w:t>
      </w:r>
      <w:r w:rsidRPr="00C5582B" w:rsidR="00444213">
        <w:rPr>
          <w:color w:val="201F1E"/>
        </w:rPr>
        <w:t xml:space="preserve">compress </w:t>
      </w:r>
      <w:r w:rsidRPr="00C5582B" w:rsidR="009D1986">
        <w:rPr>
          <w:color w:val="201F1E"/>
        </w:rPr>
        <w:t>future</w:t>
      </w:r>
      <w:r w:rsidRPr="00C5582B" w:rsidR="00444213">
        <w:rPr>
          <w:color w:val="201F1E"/>
        </w:rPr>
        <w:t xml:space="preserve"> BRAs, actual capacity pricing results will be known to </w:t>
      </w:r>
      <w:r w:rsidRPr="00C5582B" w:rsidR="009D1986">
        <w:rPr>
          <w:color w:val="201F1E"/>
        </w:rPr>
        <w:t xml:space="preserve">the PUCO and </w:t>
      </w:r>
      <w:r w:rsidRPr="00C5582B" w:rsidR="00444213">
        <w:rPr>
          <w:color w:val="201F1E"/>
        </w:rPr>
        <w:t>winning bidders prior to the</w:t>
      </w:r>
      <w:r w:rsidRPr="00C5582B" w:rsidR="00CB6541">
        <w:rPr>
          <w:color w:val="201F1E"/>
        </w:rPr>
        <w:t xml:space="preserve"> Ohio utilities’</w:t>
      </w:r>
      <w:r w:rsidRPr="00C5582B" w:rsidR="00444213">
        <w:rPr>
          <w:color w:val="201F1E"/>
        </w:rPr>
        <w:t xml:space="preserve"> delivery</w:t>
      </w:r>
      <w:r w:rsidRPr="00C5582B" w:rsidR="009D1986">
        <w:rPr>
          <w:color w:val="201F1E"/>
        </w:rPr>
        <w:t>-</w:t>
      </w:r>
      <w:r w:rsidRPr="00C5582B" w:rsidR="00444213">
        <w:rPr>
          <w:color w:val="201F1E"/>
        </w:rPr>
        <w:t xml:space="preserve">year obligation to furnish service to </w:t>
      </w:r>
      <w:r w:rsidRPr="00C5582B" w:rsidR="009D1986">
        <w:rPr>
          <w:color w:val="201F1E"/>
        </w:rPr>
        <w:t xml:space="preserve">consumers. So, under the Staff’s plan, a full requirements product that includes an actual capacity clearing price will be supplied </w:t>
      </w:r>
      <w:r w:rsidRPr="00C5582B" w:rsidR="009E6E8F">
        <w:rPr>
          <w:color w:val="201F1E"/>
        </w:rPr>
        <w:t xml:space="preserve">to </w:t>
      </w:r>
      <w:r w:rsidRPr="00C5582B" w:rsidR="009D1986">
        <w:rPr>
          <w:color w:val="201F1E"/>
        </w:rPr>
        <w:t xml:space="preserve">SSO </w:t>
      </w:r>
      <w:r w:rsidRPr="00C5582B" w:rsidR="009E6E8F">
        <w:rPr>
          <w:color w:val="201F1E"/>
        </w:rPr>
        <w:t xml:space="preserve">customers for that future </w:t>
      </w:r>
      <w:r w:rsidRPr="00C5582B" w:rsidR="009D1986">
        <w:rPr>
          <w:color w:val="201F1E"/>
        </w:rPr>
        <w:t xml:space="preserve">delivery </w:t>
      </w:r>
      <w:r w:rsidRPr="00C5582B" w:rsidR="009E6E8F">
        <w:rPr>
          <w:color w:val="201F1E"/>
        </w:rPr>
        <w:t>period</w:t>
      </w:r>
      <w:r w:rsidRPr="00C5582B" w:rsidR="009D1986">
        <w:rPr>
          <w:color w:val="201F1E"/>
        </w:rPr>
        <w:t>. FirstEnergy’s</w:t>
      </w:r>
      <w:r w:rsidRPr="00C5582B" w:rsidR="004E4361">
        <w:rPr>
          <w:color w:val="201F1E"/>
        </w:rPr>
        <w:t xml:space="preserve"> recommendation will only introduce unnecessary and unwanted complexity in the SSO supply auction</w:t>
      </w:r>
      <w:r w:rsidRPr="00C5582B" w:rsidR="002024D0">
        <w:rPr>
          <w:color w:val="201F1E"/>
        </w:rPr>
        <w:t xml:space="preserve"> and </w:t>
      </w:r>
      <w:r w:rsidRPr="00C5582B" w:rsidR="0029623A">
        <w:rPr>
          <w:color w:val="201F1E"/>
        </w:rPr>
        <w:t>potentially</w:t>
      </w:r>
      <w:r w:rsidRPr="00C5582B" w:rsidR="002024D0">
        <w:rPr>
          <w:color w:val="201F1E"/>
        </w:rPr>
        <w:t xml:space="preserve"> additional unnecessary costs to consumers</w:t>
      </w:r>
      <w:r w:rsidRPr="00C5582B" w:rsidR="004E4361">
        <w:rPr>
          <w:color w:val="201F1E"/>
        </w:rPr>
        <w:t xml:space="preserve">. </w:t>
      </w:r>
      <w:r w:rsidRPr="00C5582B" w:rsidR="005F5AB5">
        <w:rPr>
          <w:color w:val="201F1E"/>
        </w:rPr>
        <w:t>In addition, FirstEnergy also claimed that both the zero and non-zero “proxy price” approaches result in customers paying the eventual actual PJM capacity costs charged to SSO suppliers.</w:t>
      </w:r>
      <w:r>
        <w:rPr>
          <w:rStyle w:val="FootnoteReference"/>
          <w:color w:val="201F1E"/>
        </w:rPr>
        <w:footnoteReference w:id="22"/>
      </w:r>
      <w:r w:rsidRPr="00C5582B" w:rsidR="005F5AB5">
        <w:rPr>
          <w:color w:val="201F1E"/>
        </w:rPr>
        <w:t xml:space="preserve"> So there is no proven benefits to justify the additional complexity of using a non-zero “proxy price” for capac</w:t>
      </w:r>
      <w:r w:rsidRPr="00C5582B" w:rsidR="002F1813">
        <w:rPr>
          <w:color w:val="201F1E"/>
        </w:rPr>
        <w:t>ity delivered in future years.</w:t>
      </w:r>
    </w:p>
    <w:p w:rsidR="00755797" w:rsidRPr="00C5582B" w:rsidP="00755797">
      <w:pPr>
        <w:pStyle w:val="xmsonormal"/>
        <w:shd w:val="clear" w:color="auto" w:fill="FFFFFF"/>
        <w:spacing w:before="0" w:beforeAutospacing="0" w:after="0" w:afterAutospacing="0"/>
        <w:ind w:firstLine="720"/>
        <w:rPr>
          <w:color w:val="201F1E"/>
        </w:rPr>
      </w:pPr>
    </w:p>
    <w:p w:rsidR="005E2783" w:rsidRPr="00C5582B" w:rsidP="002F1813">
      <w:pPr>
        <w:pStyle w:val="Heading1"/>
      </w:pPr>
      <w:bookmarkStart w:id="23" w:name="_Toc19287254"/>
      <w:bookmarkStart w:id="24" w:name="_Toc36475804"/>
      <w:bookmarkStart w:id="25" w:name="_Toc41654444"/>
      <w:bookmarkStart w:id="26" w:name="_Toc41654524"/>
      <w:bookmarkEnd w:id="10"/>
      <w:bookmarkEnd w:id="11"/>
      <w:r w:rsidRPr="00C5582B">
        <w:t>I</w:t>
      </w:r>
      <w:r w:rsidRPr="00C5582B" w:rsidR="005D07BA">
        <w:t>II</w:t>
      </w:r>
      <w:r w:rsidRPr="00C5582B">
        <w:t>.</w:t>
      </w:r>
      <w:r w:rsidRPr="00C5582B">
        <w:tab/>
        <w:t>CONCLUSION</w:t>
      </w:r>
      <w:bookmarkEnd w:id="23"/>
      <w:bookmarkEnd w:id="24"/>
      <w:bookmarkEnd w:id="25"/>
      <w:bookmarkEnd w:id="26"/>
    </w:p>
    <w:p w:rsidR="009E4849" w:rsidRPr="00C5582B" w:rsidP="009E4849">
      <w:pPr>
        <w:pStyle w:val="FootnoteText"/>
        <w:spacing w:after="0" w:line="480" w:lineRule="auto"/>
        <w:ind w:firstLine="720"/>
        <w:rPr>
          <w:sz w:val="24"/>
          <w:szCs w:val="24"/>
        </w:rPr>
      </w:pPr>
      <w:r w:rsidRPr="00C5582B">
        <w:rPr>
          <w:color w:val="000000"/>
          <w:sz w:val="24"/>
          <w:szCs w:val="24"/>
          <w:lang w:eastAsia="zh-CN"/>
        </w:rPr>
        <w:t xml:space="preserve">OCC supports the directives of the PUCO is adopting a limited and focused approach in addressing the uncertainty caused by the delay of the PJM Base Residual Auction to early 2021. The </w:t>
      </w:r>
      <w:r w:rsidRPr="00C5582B">
        <w:rPr>
          <w:color w:val="000000"/>
          <w:sz w:val="24"/>
          <w:szCs w:val="24"/>
          <w:bdr w:val="none" w:sz="0" w:space="0" w:color="auto" w:frame="1"/>
          <w:lang w:eastAsia="zh-CN"/>
        </w:rPr>
        <w:t xml:space="preserve">capacity charge “pass-through” rate mechanism proposed by the Staff will </w:t>
      </w:r>
      <w:r w:rsidRPr="00C5582B" w:rsidR="009E6E8F">
        <w:rPr>
          <w:color w:val="000000"/>
          <w:sz w:val="24"/>
          <w:szCs w:val="24"/>
          <w:bdr w:val="none" w:sz="0" w:space="0" w:color="auto" w:frame="1"/>
          <w:lang w:eastAsia="zh-CN"/>
        </w:rPr>
        <w:t xml:space="preserve">reduce uncertainty and risk and will likely </w:t>
      </w:r>
      <w:r w:rsidRPr="00C5582B">
        <w:rPr>
          <w:color w:val="000000"/>
          <w:sz w:val="24"/>
          <w:szCs w:val="24"/>
          <w:bdr w:val="none" w:sz="0" w:space="0" w:color="auto" w:frame="1"/>
          <w:lang w:eastAsia="zh-CN"/>
        </w:rPr>
        <w:t xml:space="preserve">encourage more suppliers to participate in the SSO auctions and to </w:t>
      </w:r>
      <w:r w:rsidRPr="00C5582B" w:rsidR="00A25355">
        <w:rPr>
          <w:color w:val="000000"/>
          <w:sz w:val="24"/>
          <w:szCs w:val="24"/>
          <w:bdr w:val="none" w:sz="0" w:space="0" w:color="auto" w:frame="1"/>
          <w:lang w:eastAsia="zh-CN"/>
        </w:rPr>
        <w:t xml:space="preserve">competitively </w:t>
      </w:r>
      <w:r w:rsidRPr="00C5582B">
        <w:rPr>
          <w:color w:val="000000"/>
          <w:sz w:val="24"/>
          <w:szCs w:val="24"/>
          <w:bdr w:val="none" w:sz="0" w:space="0" w:color="auto" w:frame="1"/>
          <w:lang w:eastAsia="zh-CN"/>
        </w:rPr>
        <w:t xml:space="preserve">bid </w:t>
      </w:r>
      <w:r w:rsidRPr="00C5582B" w:rsidR="00A25355">
        <w:rPr>
          <w:color w:val="000000"/>
          <w:sz w:val="24"/>
          <w:szCs w:val="24"/>
          <w:bdr w:val="none" w:sz="0" w:space="0" w:color="auto" w:frame="1"/>
          <w:lang w:eastAsia="zh-CN"/>
        </w:rPr>
        <w:t>to provide the lowest price for customers</w:t>
      </w:r>
      <w:r w:rsidRPr="00C5582B">
        <w:rPr>
          <w:color w:val="000000"/>
          <w:sz w:val="24"/>
          <w:szCs w:val="24"/>
          <w:bdr w:val="none" w:sz="0" w:space="0" w:color="auto" w:frame="1"/>
          <w:lang w:eastAsia="zh-CN"/>
        </w:rPr>
        <w:t xml:space="preserve">. This is a </w:t>
      </w:r>
      <w:r w:rsidRPr="00C5582B">
        <w:rPr>
          <w:sz w:val="24"/>
          <w:szCs w:val="24"/>
        </w:rPr>
        <w:t xml:space="preserve">good first step in maintaining the benefits of a competitive electricity market in Ohio in response to the actions (or inactions) at the federal level and </w:t>
      </w:r>
      <w:r w:rsidRPr="00C5582B" w:rsidR="003E7176">
        <w:rPr>
          <w:sz w:val="24"/>
          <w:szCs w:val="24"/>
        </w:rPr>
        <w:t xml:space="preserve">PJM. </w:t>
      </w:r>
      <w:r w:rsidRPr="00C5582B" w:rsidR="00A25355">
        <w:rPr>
          <w:sz w:val="24"/>
          <w:szCs w:val="24"/>
        </w:rPr>
        <w:t>T</w:t>
      </w:r>
      <w:r w:rsidRPr="00C5582B">
        <w:rPr>
          <w:sz w:val="24"/>
          <w:szCs w:val="24"/>
        </w:rPr>
        <w:t xml:space="preserve">he PUCO </w:t>
      </w:r>
      <w:r w:rsidRPr="00C5582B" w:rsidR="00A25355">
        <w:rPr>
          <w:sz w:val="24"/>
          <w:szCs w:val="24"/>
        </w:rPr>
        <w:t xml:space="preserve">should </w:t>
      </w:r>
      <w:r w:rsidRPr="00C5582B">
        <w:rPr>
          <w:sz w:val="24"/>
          <w:szCs w:val="24"/>
        </w:rPr>
        <w:t xml:space="preserve">adopt the Staff </w:t>
      </w:r>
      <w:r w:rsidRPr="00C5582B" w:rsidR="00653FD1">
        <w:rPr>
          <w:sz w:val="24"/>
          <w:szCs w:val="24"/>
        </w:rPr>
        <w:t>P</w:t>
      </w:r>
      <w:r w:rsidRPr="00C5582B">
        <w:rPr>
          <w:sz w:val="24"/>
          <w:szCs w:val="24"/>
        </w:rPr>
        <w:t xml:space="preserve">roposal as well as certain modifications and clarifications suggested </w:t>
      </w:r>
      <w:r w:rsidRPr="00C5582B" w:rsidR="00A25355">
        <w:rPr>
          <w:sz w:val="24"/>
          <w:szCs w:val="24"/>
        </w:rPr>
        <w:t>in these reply comments</w:t>
      </w:r>
      <w:r w:rsidRPr="00C5582B">
        <w:rPr>
          <w:sz w:val="24"/>
          <w:szCs w:val="24"/>
        </w:rPr>
        <w:t xml:space="preserve">. </w:t>
      </w:r>
    </w:p>
    <w:p w:rsidR="005E2783" w:rsidRPr="00C5582B" w:rsidP="005E2783">
      <w:pPr>
        <w:rPr>
          <w:szCs w:val="24"/>
        </w:rPr>
      </w:pPr>
      <w:r w:rsidRPr="00C5582B">
        <w:rPr>
          <w:szCs w:val="24"/>
        </w:rPr>
        <w:tab/>
      </w:r>
      <w:r w:rsidRPr="00C5582B" w:rsidR="00A05FF9">
        <w:rPr>
          <w:szCs w:val="24"/>
        </w:rPr>
        <w:t xml:space="preserve">   </w:t>
      </w:r>
    </w:p>
    <w:p w:rsidR="003E7176" w:rsidRPr="00C5582B" w:rsidP="00494019">
      <w:pPr>
        <w:pStyle w:val="Footer"/>
        <w:tabs>
          <w:tab w:val="left" w:pos="4320"/>
          <w:tab w:val="clear" w:pos="8640"/>
        </w:tabs>
        <w:ind w:left="4320"/>
        <w:rPr>
          <w:sz w:val="24"/>
          <w:szCs w:val="24"/>
        </w:rPr>
      </w:pPr>
    </w:p>
    <w:p w:rsidR="00494019" w:rsidRPr="00C5582B" w:rsidP="00494019">
      <w:pPr>
        <w:pStyle w:val="Footer"/>
        <w:tabs>
          <w:tab w:val="left" w:pos="4320"/>
          <w:tab w:val="clear" w:pos="8640"/>
        </w:tabs>
        <w:ind w:left="4320"/>
        <w:rPr>
          <w:sz w:val="24"/>
          <w:szCs w:val="24"/>
        </w:rPr>
      </w:pPr>
      <w:r w:rsidRPr="00C5582B">
        <w:rPr>
          <w:sz w:val="24"/>
          <w:szCs w:val="24"/>
        </w:rPr>
        <w:t>Bruce Weston (0016973)</w:t>
      </w:r>
    </w:p>
    <w:p w:rsidR="00494019" w:rsidRPr="00C5582B" w:rsidP="00494019">
      <w:pPr>
        <w:tabs>
          <w:tab w:val="left" w:pos="4320"/>
        </w:tabs>
        <w:ind w:left="4320"/>
        <w:rPr>
          <w:szCs w:val="24"/>
        </w:rPr>
      </w:pPr>
      <w:r w:rsidRPr="00C5582B">
        <w:rPr>
          <w:szCs w:val="24"/>
        </w:rPr>
        <w:t>Ohio Consumers’ Counsel</w:t>
      </w:r>
    </w:p>
    <w:p w:rsidR="00494019" w:rsidRPr="00C5582B" w:rsidP="00494019">
      <w:pPr>
        <w:tabs>
          <w:tab w:val="left" w:pos="4320"/>
        </w:tabs>
        <w:ind w:left="4320"/>
        <w:rPr>
          <w:szCs w:val="24"/>
        </w:rPr>
      </w:pPr>
    </w:p>
    <w:p w:rsidR="005B0356" w:rsidRPr="00C5582B" w:rsidP="00494019">
      <w:pPr>
        <w:tabs>
          <w:tab w:val="left" w:pos="4320"/>
        </w:tabs>
        <w:ind w:left="4320"/>
        <w:rPr>
          <w:i/>
          <w:iCs/>
          <w:szCs w:val="24"/>
          <w:u w:val="single"/>
        </w:rPr>
      </w:pPr>
      <w:r w:rsidRPr="00C5582B">
        <w:rPr>
          <w:i/>
          <w:iCs/>
          <w:szCs w:val="24"/>
          <w:u w:val="single"/>
        </w:rPr>
        <w:t>/s/ Christopher Healey</w:t>
      </w:r>
    </w:p>
    <w:p w:rsidR="00494019" w:rsidRPr="00C5582B" w:rsidP="00494019">
      <w:pPr>
        <w:tabs>
          <w:tab w:val="left" w:pos="4320"/>
        </w:tabs>
        <w:rPr>
          <w:szCs w:val="24"/>
        </w:rPr>
      </w:pPr>
      <w:r w:rsidRPr="00C5582B">
        <w:rPr>
          <w:szCs w:val="24"/>
        </w:rPr>
        <w:tab/>
        <w:t>Christopher Healey (0086027)</w:t>
      </w:r>
    </w:p>
    <w:p w:rsidR="00494019" w:rsidRPr="00C5582B" w:rsidP="00494019">
      <w:pPr>
        <w:tabs>
          <w:tab w:val="left" w:pos="4320"/>
        </w:tabs>
        <w:rPr>
          <w:szCs w:val="24"/>
        </w:rPr>
      </w:pPr>
      <w:r w:rsidRPr="00C5582B">
        <w:rPr>
          <w:szCs w:val="24"/>
        </w:rPr>
        <w:tab/>
        <w:t>Counsel of Record</w:t>
      </w:r>
    </w:p>
    <w:p w:rsidR="00494019" w:rsidRPr="00C5582B" w:rsidP="00494019">
      <w:pPr>
        <w:tabs>
          <w:tab w:val="left" w:pos="4320"/>
        </w:tabs>
        <w:rPr>
          <w:szCs w:val="24"/>
        </w:rPr>
      </w:pPr>
      <w:r w:rsidRPr="00C5582B">
        <w:rPr>
          <w:szCs w:val="24"/>
        </w:rPr>
        <w:tab/>
        <w:t>William Michael (0070921)</w:t>
      </w:r>
    </w:p>
    <w:p w:rsidR="00494019" w:rsidRPr="00C5582B" w:rsidP="00494019">
      <w:pPr>
        <w:tabs>
          <w:tab w:val="left" w:pos="4320"/>
        </w:tabs>
        <w:ind w:left="4320"/>
        <w:rPr>
          <w:szCs w:val="24"/>
        </w:rPr>
      </w:pPr>
      <w:r w:rsidRPr="00C5582B">
        <w:rPr>
          <w:szCs w:val="24"/>
        </w:rPr>
        <w:t>Assistant Consumers’ Counsel</w:t>
      </w:r>
    </w:p>
    <w:p w:rsidR="00494019" w:rsidRPr="00C5582B" w:rsidP="00494019">
      <w:pPr>
        <w:spacing w:before="120"/>
        <w:ind w:left="4320"/>
        <w:rPr>
          <w:b/>
          <w:szCs w:val="24"/>
        </w:rPr>
      </w:pPr>
      <w:r w:rsidRPr="00C5582B">
        <w:rPr>
          <w:b/>
          <w:szCs w:val="24"/>
        </w:rPr>
        <w:t>Office of the Ohio Consumers’ Counsel</w:t>
      </w:r>
    </w:p>
    <w:p w:rsidR="00494019" w:rsidRPr="00C5582B" w:rsidP="00494019">
      <w:pPr>
        <w:ind w:left="4320"/>
        <w:rPr>
          <w:szCs w:val="24"/>
        </w:rPr>
      </w:pPr>
      <w:r w:rsidRPr="00C5582B">
        <w:rPr>
          <w:szCs w:val="24"/>
        </w:rPr>
        <w:t>65 East State Street, 7th Floor</w:t>
      </w:r>
    </w:p>
    <w:p w:rsidR="00494019" w:rsidRPr="00C5582B" w:rsidP="00494019">
      <w:pPr>
        <w:ind w:left="4320"/>
        <w:rPr>
          <w:b/>
          <w:szCs w:val="24"/>
        </w:rPr>
      </w:pPr>
      <w:r w:rsidRPr="00C5582B">
        <w:rPr>
          <w:szCs w:val="24"/>
        </w:rPr>
        <w:t>Columbus, Ohio 43215</w:t>
      </w:r>
    </w:p>
    <w:p w:rsidR="00494019" w:rsidRPr="00C5582B" w:rsidP="00494019">
      <w:pPr>
        <w:autoSpaceDE w:val="0"/>
        <w:autoSpaceDN w:val="0"/>
        <w:adjustRightInd w:val="0"/>
        <w:ind w:left="4320"/>
        <w:rPr>
          <w:szCs w:val="24"/>
        </w:rPr>
      </w:pPr>
      <w:r w:rsidRPr="00C5582B">
        <w:rPr>
          <w:szCs w:val="24"/>
        </w:rPr>
        <w:t>Telephone [Healey]: (614) 466-9571</w:t>
      </w:r>
    </w:p>
    <w:p w:rsidR="00494019" w:rsidRPr="00C5582B" w:rsidP="00494019">
      <w:pPr>
        <w:autoSpaceDE w:val="0"/>
        <w:autoSpaceDN w:val="0"/>
        <w:adjustRightInd w:val="0"/>
        <w:ind w:left="4320"/>
        <w:rPr>
          <w:szCs w:val="24"/>
        </w:rPr>
      </w:pPr>
      <w:r w:rsidRPr="00C5582B">
        <w:rPr>
          <w:szCs w:val="24"/>
        </w:rPr>
        <w:t>Telephone [Michael]: (614) 466-1291</w:t>
      </w:r>
    </w:p>
    <w:p w:rsidR="00494019" w:rsidRPr="00C5582B" w:rsidP="00494019">
      <w:pPr>
        <w:autoSpaceDE w:val="0"/>
        <w:autoSpaceDN w:val="0"/>
        <w:adjustRightInd w:val="0"/>
        <w:ind w:left="4320"/>
        <w:rPr>
          <w:rStyle w:val="Hyperlink"/>
          <w:szCs w:val="24"/>
        </w:rPr>
      </w:pPr>
      <w:hyperlink r:id="rId6" w:history="1">
        <w:r w:rsidRPr="00C5582B" w:rsidR="00FE04E5">
          <w:rPr>
            <w:rStyle w:val="Hyperlink"/>
            <w:szCs w:val="24"/>
          </w:rPr>
          <w:t>Christopher.healey@occ.ohio.gov</w:t>
        </w:r>
      </w:hyperlink>
    </w:p>
    <w:p w:rsidR="00494019" w:rsidRPr="00C5582B" w:rsidP="00494019">
      <w:pPr>
        <w:autoSpaceDE w:val="0"/>
        <w:autoSpaceDN w:val="0"/>
        <w:adjustRightInd w:val="0"/>
        <w:ind w:left="4320"/>
        <w:rPr>
          <w:rStyle w:val="Hyperlink"/>
          <w:szCs w:val="24"/>
        </w:rPr>
      </w:pPr>
      <w:hyperlink r:id="rId7" w:history="1">
        <w:r w:rsidRPr="00C5582B" w:rsidR="00FE04E5">
          <w:rPr>
            <w:rStyle w:val="Hyperlink"/>
            <w:szCs w:val="24"/>
          </w:rPr>
          <w:t>William.michael@occ.ohio.gov</w:t>
        </w:r>
      </w:hyperlink>
    </w:p>
    <w:p w:rsidR="00494019" w:rsidRPr="00C5582B" w:rsidP="00494019">
      <w:pPr>
        <w:rPr>
          <w:szCs w:val="24"/>
        </w:rPr>
        <w:sectPr w:rsidSect="002F18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65"/>
        </w:sectPr>
      </w:pPr>
      <w:r w:rsidRPr="00C5582B">
        <w:rPr>
          <w:szCs w:val="24"/>
        </w:rPr>
        <w:tab/>
      </w:r>
      <w:r w:rsidRPr="00C5582B">
        <w:rPr>
          <w:szCs w:val="24"/>
        </w:rPr>
        <w:tab/>
      </w:r>
      <w:r w:rsidRPr="00C5582B">
        <w:rPr>
          <w:szCs w:val="24"/>
        </w:rPr>
        <w:tab/>
      </w:r>
      <w:r w:rsidRPr="00C5582B">
        <w:rPr>
          <w:szCs w:val="24"/>
        </w:rPr>
        <w:tab/>
      </w:r>
      <w:r w:rsidRPr="00C5582B">
        <w:rPr>
          <w:szCs w:val="24"/>
        </w:rPr>
        <w:tab/>
      </w:r>
      <w:r w:rsidRPr="00C5582B">
        <w:rPr>
          <w:szCs w:val="24"/>
        </w:rPr>
        <w:tab/>
        <w:t>(Willing to accept service by e-mail)</w:t>
      </w:r>
      <w:r w:rsidRPr="00C5582B">
        <w:rPr>
          <w:szCs w:val="24"/>
        </w:rPr>
        <w:tab/>
      </w:r>
    </w:p>
    <w:p w:rsidR="00FF7A8A" w:rsidRPr="00C5582B" w:rsidP="005E2783">
      <w:pPr>
        <w:jc w:val="center"/>
        <w:rPr>
          <w:b/>
          <w:bCs/>
          <w:szCs w:val="24"/>
          <w:u w:val="single"/>
        </w:rPr>
      </w:pPr>
      <w:r w:rsidRPr="00C5582B">
        <w:rPr>
          <w:b/>
          <w:bCs/>
          <w:szCs w:val="24"/>
          <w:u w:val="single"/>
        </w:rPr>
        <w:t>CERTIFICATE OF SERVICE</w:t>
      </w:r>
    </w:p>
    <w:p w:rsidR="00FF7A8A" w:rsidRPr="00C5582B">
      <w:pPr>
        <w:spacing w:line="480" w:lineRule="atLeast"/>
        <w:rPr>
          <w:szCs w:val="24"/>
        </w:rPr>
      </w:pPr>
      <w:r w:rsidRPr="00C5582B">
        <w:rPr>
          <w:szCs w:val="24"/>
        </w:rPr>
        <w:tab/>
        <w:t>I hereby certify that a copy of th</w:t>
      </w:r>
      <w:r w:rsidRPr="00C5582B" w:rsidR="005E2783">
        <w:rPr>
          <w:szCs w:val="24"/>
        </w:rPr>
        <w:t xml:space="preserve">ese </w:t>
      </w:r>
      <w:r w:rsidRPr="00C5582B" w:rsidR="00E74BD2">
        <w:rPr>
          <w:szCs w:val="24"/>
        </w:rPr>
        <w:t xml:space="preserve">Reply </w:t>
      </w:r>
      <w:r w:rsidRPr="00C5582B" w:rsidR="005E2783">
        <w:rPr>
          <w:szCs w:val="24"/>
        </w:rPr>
        <w:t xml:space="preserve">Comments </w:t>
      </w:r>
      <w:r w:rsidRPr="00C5582B">
        <w:rPr>
          <w:szCs w:val="24"/>
        </w:rPr>
        <w:t xml:space="preserve">was served on the persons stated below via electronic transmission, this </w:t>
      </w:r>
      <w:r w:rsidRPr="00C5582B" w:rsidR="00E74BD2">
        <w:rPr>
          <w:szCs w:val="24"/>
        </w:rPr>
        <w:t>29</w:t>
      </w:r>
      <w:r w:rsidRPr="00C5582B" w:rsidR="003F3BC1">
        <w:rPr>
          <w:szCs w:val="24"/>
        </w:rPr>
        <w:t>th</w:t>
      </w:r>
      <w:r w:rsidRPr="00C5582B" w:rsidR="00C66D1E">
        <w:rPr>
          <w:szCs w:val="24"/>
        </w:rPr>
        <w:t xml:space="preserve"> </w:t>
      </w:r>
      <w:r w:rsidRPr="00C5582B">
        <w:rPr>
          <w:szCs w:val="24"/>
        </w:rPr>
        <w:t xml:space="preserve">day of </w:t>
      </w:r>
      <w:r w:rsidRPr="00C5582B" w:rsidR="00E74BD2">
        <w:rPr>
          <w:szCs w:val="24"/>
        </w:rPr>
        <w:t xml:space="preserve">May </w:t>
      </w:r>
      <w:r w:rsidRPr="00C5582B" w:rsidR="005E2783">
        <w:rPr>
          <w:szCs w:val="24"/>
        </w:rPr>
        <w:t>20</w:t>
      </w:r>
      <w:r w:rsidRPr="00C5582B" w:rsidR="00C327D4">
        <w:rPr>
          <w:szCs w:val="24"/>
        </w:rPr>
        <w:t>20</w:t>
      </w:r>
      <w:r w:rsidRPr="00C5582B">
        <w:rPr>
          <w:szCs w:val="24"/>
        </w:rPr>
        <w:t>.</w:t>
      </w:r>
    </w:p>
    <w:p w:rsidR="00FF7A8A" w:rsidRPr="00C5582B">
      <w:pPr>
        <w:spacing w:line="480" w:lineRule="atLeast"/>
        <w:rPr>
          <w:szCs w:val="24"/>
        </w:rPr>
      </w:pPr>
    </w:p>
    <w:p w:rsidR="00FF7A8A" w:rsidRPr="00C5582B" w:rsidP="00FF7A8A">
      <w:pPr>
        <w:tabs>
          <w:tab w:val="left" w:pos="4320"/>
        </w:tabs>
        <w:rPr>
          <w:szCs w:val="24"/>
        </w:rPr>
      </w:pPr>
      <w:r w:rsidRPr="00C5582B">
        <w:rPr>
          <w:szCs w:val="24"/>
        </w:rPr>
        <w:tab/>
      </w:r>
      <w:r w:rsidRPr="00C5582B">
        <w:rPr>
          <w:i/>
          <w:szCs w:val="24"/>
          <w:u w:val="single"/>
        </w:rPr>
        <w:t xml:space="preserve">/s/ </w:t>
      </w:r>
      <w:r w:rsidRPr="00C5582B" w:rsidR="00494019">
        <w:rPr>
          <w:i/>
          <w:szCs w:val="24"/>
          <w:u w:val="single"/>
        </w:rPr>
        <w:t>Christopher Healey</w:t>
      </w:r>
    </w:p>
    <w:p w:rsidR="00FF7A8A" w:rsidRPr="00C5582B">
      <w:pPr>
        <w:tabs>
          <w:tab w:val="left" w:pos="4320"/>
        </w:tabs>
        <w:rPr>
          <w:szCs w:val="24"/>
        </w:rPr>
      </w:pPr>
      <w:r w:rsidRPr="00C5582B">
        <w:rPr>
          <w:szCs w:val="24"/>
        </w:rPr>
        <w:tab/>
      </w:r>
      <w:r w:rsidRPr="00C5582B" w:rsidR="00494019">
        <w:rPr>
          <w:szCs w:val="24"/>
        </w:rPr>
        <w:t>Christopher Healey</w:t>
      </w:r>
    </w:p>
    <w:p w:rsidR="00FF7A8A" w:rsidRPr="00C5582B">
      <w:pPr>
        <w:tabs>
          <w:tab w:val="left" w:pos="4320"/>
        </w:tabs>
        <w:rPr>
          <w:szCs w:val="24"/>
        </w:rPr>
      </w:pPr>
      <w:r w:rsidRPr="00C5582B">
        <w:rPr>
          <w:szCs w:val="24"/>
        </w:rPr>
        <w:tab/>
        <w:t>Assistant Consumers</w:t>
      </w:r>
      <w:r w:rsidRPr="00C5582B" w:rsidR="00AB176E">
        <w:rPr>
          <w:szCs w:val="24"/>
        </w:rPr>
        <w:t>’</w:t>
      </w:r>
      <w:r w:rsidRPr="00C5582B">
        <w:rPr>
          <w:szCs w:val="24"/>
        </w:rPr>
        <w:t xml:space="preserve"> Counsel</w:t>
      </w:r>
    </w:p>
    <w:p w:rsidR="00FF7A8A" w:rsidRPr="00C5582B">
      <w:pPr>
        <w:pStyle w:val="CommentSubject"/>
        <w:rPr>
          <w:szCs w:val="24"/>
        </w:rPr>
      </w:pPr>
    </w:p>
    <w:p w:rsidR="005D07BA" w:rsidRPr="00C5582B" w:rsidP="005D07BA">
      <w:pPr>
        <w:rPr>
          <w:szCs w:val="24"/>
        </w:rPr>
      </w:pPr>
      <w:r w:rsidRPr="00C5582B">
        <w:rPr>
          <w:szCs w:val="24"/>
        </w:rPr>
        <w:t>The PUCO’s e-filing system will electronically serve notice of the filing of this document on the following parties:</w:t>
      </w:r>
    </w:p>
    <w:p w:rsidR="00FF7A8A" w:rsidRPr="00C5582B">
      <w:pPr>
        <w:pStyle w:val="CommentText"/>
      </w:pPr>
    </w:p>
    <w:p w:rsidR="00C327D4" w:rsidRPr="00C5582B">
      <w:pPr>
        <w:pStyle w:val="CommentText"/>
        <w:jc w:val="center"/>
        <w:rPr>
          <w:b/>
          <w:u w:val="single"/>
        </w:rPr>
      </w:pPr>
    </w:p>
    <w:p w:rsidR="00FF7A8A" w:rsidRPr="00C5582B">
      <w:pPr>
        <w:pStyle w:val="CommentText"/>
        <w:jc w:val="center"/>
        <w:rPr>
          <w:b/>
          <w:u w:val="single"/>
        </w:rPr>
      </w:pPr>
      <w:r w:rsidRPr="00C5582B">
        <w:rPr>
          <w:b/>
          <w:u w:val="single"/>
        </w:rPr>
        <w:t>SERVICE LIST</w:t>
      </w:r>
    </w:p>
    <w:p w:rsidR="00C327D4" w:rsidRPr="00C5582B">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9"/>
        <w:gridCol w:w="4315"/>
      </w:tblGrid>
      <w:tr w:rsidTr="00755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94019" w:rsidRPr="00C5582B" w:rsidP="00494019">
            <w:pPr>
              <w:rPr>
                <w:szCs w:val="24"/>
              </w:rPr>
            </w:pPr>
            <w:hyperlink r:id="rId18" w:history="1">
              <w:r w:rsidRPr="00C5582B" w:rsidR="00FE04E5">
                <w:rPr>
                  <w:rStyle w:val="Hyperlink"/>
                  <w:szCs w:val="24"/>
                </w:rPr>
                <w:t>Thomas.mcnamee@ohioattoreygeneral.gov</w:t>
              </w:r>
            </w:hyperlink>
          </w:p>
          <w:p w:rsidR="00494019" w:rsidRPr="00C5582B" w:rsidP="00494019">
            <w:pPr>
              <w:rPr>
                <w:color w:val="0000FF"/>
                <w:szCs w:val="24"/>
              </w:rPr>
            </w:pPr>
          </w:p>
          <w:p w:rsidR="00C327D4" w:rsidRPr="00C5582B" w:rsidP="00C327D4">
            <w:pPr>
              <w:pStyle w:val="CommentText"/>
              <w:rPr>
                <w:bCs/>
                <w:u w:val="single"/>
              </w:rPr>
            </w:pPr>
          </w:p>
          <w:p w:rsidR="00C327D4" w:rsidRPr="00C5582B" w:rsidP="00C327D4">
            <w:pPr>
              <w:pStyle w:val="CommentText"/>
              <w:rPr>
                <w:bCs/>
                <w:u w:val="single"/>
              </w:rPr>
            </w:pPr>
          </w:p>
          <w:p w:rsidR="00C327D4" w:rsidRPr="00C5582B" w:rsidP="00C327D4">
            <w:pPr>
              <w:pStyle w:val="CommentText"/>
              <w:rPr>
                <w:bCs/>
                <w:u w:val="single"/>
              </w:rPr>
            </w:pPr>
            <w:r w:rsidRPr="00C5582B">
              <w:rPr>
                <w:bCs/>
                <w:u w:val="single"/>
              </w:rPr>
              <w:t>Attorney Exam</w:t>
            </w:r>
            <w:r w:rsidRPr="00C5582B" w:rsidR="001554D6">
              <w:rPr>
                <w:bCs/>
                <w:u w:val="single"/>
              </w:rPr>
              <w:t>iners:</w:t>
            </w:r>
          </w:p>
          <w:p w:rsidR="00494019" w:rsidRPr="00C5582B" w:rsidP="00494019">
            <w:pPr>
              <w:rPr>
                <w:szCs w:val="24"/>
              </w:rPr>
            </w:pPr>
            <w:hyperlink r:id="rId19" w:history="1">
              <w:r w:rsidRPr="00C5582B" w:rsidR="00FE04E5">
                <w:rPr>
                  <w:rStyle w:val="Hyperlink"/>
                  <w:szCs w:val="24"/>
                </w:rPr>
                <w:t>Megan.addison@puco.ohio.gov</w:t>
              </w:r>
            </w:hyperlink>
          </w:p>
          <w:p w:rsidR="00494019" w:rsidRPr="00C5582B" w:rsidP="00494019">
            <w:pPr>
              <w:rPr>
                <w:szCs w:val="24"/>
              </w:rPr>
            </w:pPr>
            <w:hyperlink r:id="rId20" w:history="1">
              <w:r w:rsidRPr="00C5582B" w:rsidR="00FE04E5">
                <w:rPr>
                  <w:rStyle w:val="Hyperlink"/>
                  <w:szCs w:val="24"/>
                </w:rPr>
                <w:t>Nicholas.walstra@puco.ohio.gov</w:t>
              </w:r>
            </w:hyperlink>
          </w:p>
          <w:p w:rsidR="00494019" w:rsidRPr="00C5582B" w:rsidP="00494019">
            <w:pPr>
              <w:rPr>
                <w:szCs w:val="24"/>
              </w:rPr>
            </w:pPr>
            <w:hyperlink r:id="rId21" w:history="1">
              <w:r w:rsidRPr="00C5582B" w:rsidR="00FE04E5">
                <w:rPr>
                  <w:rStyle w:val="Hyperlink"/>
                  <w:szCs w:val="24"/>
                </w:rPr>
                <w:t>Lauren.augostini@puco.ohio.goc</w:t>
              </w:r>
            </w:hyperlink>
          </w:p>
          <w:p w:rsidR="00494019" w:rsidRPr="00C5582B" w:rsidP="00494019">
            <w:pPr>
              <w:rPr>
                <w:szCs w:val="24"/>
              </w:rPr>
            </w:pPr>
            <w:hyperlink r:id="rId22" w:history="1">
              <w:r w:rsidRPr="00C5582B" w:rsidR="00FE04E5">
                <w:rPr>
                  <w:rStyle w:val="Hyperlink"/>
                  <w:szCs w:val="24"/>
                </w:rPr>
                <w:t>Patricia.schabo@puco.ohio.gov</w:t>
              </w:r>
            </w:hyperlink>
          </w:p>
          <w:p w:rsidR="00494019" w:rsidRPr="00C5582B" w:rsidP="00494019">
            <w:pPr>
              <w:rPr>
                <w:szCs w:val="24"/>
              </w:rPr>
            </w:pPr>
            <w:hyperlink r:id="rId23" w:history="1">
              <w:r w:rsidRPr="00C5582B" w:rsidR="00FE04E5">
                <w:rPr>
                  <w:rStyle w:val="Hyperlink"/>
                  <w:szCs w:val="24"/>
                </w:rPr>
                <w:t>Gregory.price@ohio.gov</w:t>
              </w:r>
            </w:hyperlink>
          </w:p>
          <w:p w:rsidR="00494019" w:rsidRPr="00C5582B" w:rsidP="00494019">
            <w:pPr>
              <w:rPr>
                <w:szCs w:val="24"/>
              </w:rPr>
            </w:pPr>
            <w:hyperlink r:id="rId24" w:history="1">
              <w:r w:rsidRPr="00C5582B" w:rsidR="00FE04E5">
                <w:rPr>
                  <w:rStyle w:val="Hyperlink"/>
                  <w:szCs w:val="24"/>
                </w:rPr>
                <w:t>Sarah.parrot@puco.ohio.gov</w:t>
              </w:r>
            </w:hyperlink>
          </w:p>
          <w:p w:rsidR="00494019" w:rsidRPr="00C5582B" w:rsidP="00494019">
            <w:pPr>
              <w:rPr>
                <w:szCs w:val="24"/>
              </w:rPr>
            </w:pPr>
            <w:hyperlink r:id="rId25" w:history="1">
              <w:r w:rsidRPr="00C5582B" w:rsidR="00FE04E5">
                <w:rPr>
                  <w:rStyle w:val="Hyperlink"/>
                  <w:szCs w:val="24"/>
                </w:rPr>
                <w:t>Greta.see@puco.ohio.gov</w:t>
              </w:r>
            </w:hyperlink>
          </w:p>
          <w:p w:rsidR="001554D6" w:rsidRPr="00C5582B" w:rsidP="00C327D4">
            <w:pPr>
              <w:pStyle w:val="CommentText"/>
              <w:rPr>
                <w:bCs/>
                <w:u w:val="single"/>
              </w:rPr>
            </w:pPr>
          </w:p>
          <w:p w:rsidR="001554D6" w:rsidRPr="00C5582B" w:rsidP="00C327D4">
            <w:pPr>
              <w:pStyle w:val="CommentText"/>
              <w:rPr>
                <w:bCs/>
                <w:u w:val="single"/>
              </w:rPr>
            </w:pPr>
          </w:p>
          <w:p w:rsidR="001554D6" w:rsidRPr="00C5582B" w:rsidP="00C327D4">
            <w:pPr>
              <w:pStyle w:val="CommentText"/>
              <w:rPr>
                <w:bCs/>
                <w:u w:val="single"/>
              </w:rPr>
            </w:pPr>
          </w:p>
          <w:p w:rsidR="001554D6" w:rsidRPr="00C5582B" w:rsidP="00C327D4">
            <w:pPr>
              <w:pStyle w:val="CommentText"/>
              <w:rPr>
                <w:bCs/>
                <w:u w:val="single"/>
              </w:rPr>
            </w:pPr>
          </w:p>
        </w:tc>
        <w:tc>
          <w:tcPr>
            <w:tcW w:w="4315" w:type="dxa"/>
          </w:tcPr>
          <w:p w:rsidR="00494019" w:rsidRPr="00C5582B" w:rsidP="00494019">
            <w:pPr>
              <w:rPr>
                <w:szCs w:val="24"/>
              </w:rPr>
            </w:pPr>
            <w:hyperlink r:id="rId26" w:history="1">
              <w:r w:rsidRPr="00C5582B" w:rsidR="00FE04E5">
                <w:rPr>
                  <w:rStyle w:val="Hyperlink"/>
                  <w:szCs w:val="24"/>
                </w:rPr>
                <w:t>Rocco.dascenzo@duke-energy.com</w:t>
              </w:r>
            </w:hyperlink>
          </w:p>
          <w:p w:rsidR="00494019" w:rsidRPr="00C5582B" w:rsidP="00494019">
            <w:pPr>
              <w:rPr>
                <w:szCs w:val="24"/>
              </w:rPr>
            </w:pPr>
            <w:hyperlink r:id="rId27" w:history="1">
              <w:r w:rsidRPr="00C5582B" w:rsidR="00FE04E5">
                <w:rPr>
                  <w:rStyle w:val="Hyperlink"/>
                  <w:szCs w:val="24"/>
                </w:rPr>
                <w:t>Jeanne.kingery@duke-energy.com</w:t>
              </w:r>
            </w:hyperlink>
          </w:p>
          <w:p w:rsidR="00494019" w:rsidRPr="00C5582B" w:rsidP="00494019">
            <w:pPr>
              <w:rPr>
                <w:szCs w:val="24"/>
              </w:rPr>
            </w:pPr>
            <w:hyperlink r:id="rId28" w:history="1">
              <w:r w:rsidRPr="00C5582B" w:rsidR="00FE04E5">
                <w:rPr>
                  <w:rStyle w:val="Hyperlink"/>
                  <w:szCs w:val="24"/>
                </w:rPr>
                <w:t>Larisa.vaysman@duke-energy.com</w:t>
              </w:r>
            </w:hyperlink>
          </w:p>
          <w:p w:rsidR="00494019" w:rsidRPr="00C5582B" w:rsidP="00494019">
            <w:pPr>
              <w:rPr>
                <w:szCs w:val="24"/>
              </w:rPr>
            </w:pPr>
            <w:hyperlink r:id="rId29" w:history="1">
              <w:r w:rsidRPr="00C5582B" w:rsidR="00FE04E5">
                <w:rPr>
                  <w:rStyle w:val="Hyperlink"/>
                  <w:szCs w:val="24"/>
                </w:rPr>
                <w:t>Joe.oliker@igs.com</w:t>
              </w:r>
            </w:hyperlink>
          </w:p>
          <w:p w:rsidR="00494019" w:rsidRPr="00C5582B" w:rsidP="00494019">
            <w:pPr>
              <w:rPr>
                <w:szCs w:val="24"/>
              </w:rPr>
            </w:pPr>
            <w:hyperlink r:id="rId30" w:history="1">
              <w:r w:rsidRPr="00C5582B" w:rsidR="00FE04E5">
                <w:rPr>
                  <w:rStyle w:val="Hyperlink"/>
                  <w:szCs w:val="24"/>
                </w:rPr>
                <w:t>Michael.nugent@igs.com</w:t>
              </w:r>
            </w:hyperlink>
          </w:p>
          <w:p w:rsidR="00494019" w:rsidRPr="00C5582B" w:rsidP="00494019">
            <w:pPr>
              <w:rPr>
                <w:szCs w:val="24"/>
              </w:rPr>
            </w:pPr>
            <w:hyperlink r:id="rId31" w:history="1">
              <w:r w:rsidRPr="00C5582B" w:rsidR="00FE04E5">
                <w:rPr>
                  <w:rStyle w:val="Hyperlink"/>
                  <w:szCs w:val="24"/>
                </w:rPr>
                <w:t>Bethany.allen@igs.com</w:t>
              </w:r>
            </w:hyperlink>
          </w:p>
          <w:p w:rsidR="00494019" w:rsidRPr="00C5582B" w:rsidP="00494019">
            <w:pPr>
              <w:autoSpaceDE w:val="0"/>
              <w:autoSpaceDN w:val="0"/>
              <w:adjustRightInd w:val="0"/>
              <w:rPr>
                <w:color w:val="0000FF"/>
                <w:szCs w:val="24"/>
              </w:rPr>
            </w:pPr>
            <w:hyperlink r:id="rId32" w:history="1">
              <w:r w:rsidRPr="00C5582B" w:rsidR="00FE04E5">
                <w:rPr>
                  <w:rStyle w:val="Hyperlink"/>
                  <w:szCs w:val="24"/>
                </w:rPr>
                <w:t>talexander@calfee.co</w:t>
              </w:r>
            </w:hyperlink>
          </w:p>
          <w:p w:rsidR="00494019" w:rsidRPr="00C5582B" w:rsidP="00494019">
            <w:pPr>
              <w:rPr>
                <w:color w:val="0000FF"/>
                <w:szCs w:val="24"/>
              </w:rPr>
            </w:pPr>
            <w:hyperlink r:id="rId33" w:history="1">
              <w:r w:rsidRPr="00C5582B" w:rsidR="00FE04E5">
                <w:rPr>
                  <w:rStyle w:val="Hyperlink"/>
                  <w:szCs w:val="24"/>
                </w:rPr>
                <w:t>khehmeyer@calfee.com</w:t>
              </w:r>
            </w:hyperlink>
          </w:p>
          <w:p w:rsidR="00494019" w:rsidRPr="00C5582B" w:rsidP="00494019">
            <w:pPr>
              <w:rPr>
                <w:color w:val="0563C2"/>
                <w:szCs w:val="24"/>
              </w:rPr>
            </w:pPr>
            <w:hyperlink r:id="rId34" w:history="1">
              <w:r w:rsidRPr="00C5582B" w:rsidR="00FE04E5">
                <w:rPr>
                  <w:rStyle w:val="Hyperlink"/>
                  <w:szCs w:val="24"/>
                </w:rPr>
                <w:t>rendris@firstenergycorp.com</w:t>
              </w:r>
            </w:hyperlink>
          </w:p>
          <w:p w:rsidR="00494019" w:rsidRPr="00C5582B" w:rsidP="00494019">
            <w:pPr>
              <w:autoSpaceDE w:val="0"/>
              <w:autoSpaceDN w:val="0"/>
              <w:adjustRightInd w:val="0"/>
              <w:rPr>
                <w:color w:val="0000FF"/>
                <w:szCs w:val="24"/>
              </w:rPr>
            </w:pPr>
            <w:hyperlink r:id="rId35" w:history="1">
              <w:r w:rsidRPr="00C5582B" w:rsidR="00FE04E5">
                <w:rPr>
                  <w:rStyle w:val="Hyperlink"/>
                  <w:szCs w:val="24"/>
                </w:rPr>
                <w:t>mkurtz@BKLlawfirm.com</w:t>
              </w:r>
            </w:hyperlink>
          </w:p>
          <w:p w:rsidR="00494019" w:rsidRPr="00C5582B" w:rsidP="00494019">
            <w:pPr>
              <w:autoSpaceDE w:val="0"/>
              <w:autoSpaceDN w:val="0"/>
              <w:adjustRightInd w:val="0"/>
              <w:rPr>
                <w:color w:val="0000FF"/>
                <w:szCs w:val="24"/>
              </w:rPr>
            </w:pPr>
            <w:hyperlink r:id="rId36" w:history="1">
              <w:r w:rsidRPr="00C5582B" w:rsidR="00FE04E5">
                <w:rPr>
                  <w:rStyle w:val="Hyperlink"/>
                  <w:szCs w:val="24"/>
                </w:rPr>
                <w:t>kboehm@BKLlawfirm.com</w:t>
              </w:r>
            </w:hyperlink>
          </w:p>
          <w:p w:rsidR="00494019" w:rsidRPr="00C5582B" w:rsidP="00494019">
            <w:pPr>
              <w:rPr>
                <w:color w:val="0000FF"/>
                <w:szCs w:val="24"/>
              </w:rPr>
            </w:pPr>
            <w:hyperlink r:id="rId37" w:history="1">
              <w:r w:rsidRPr="00C5582B" w:rsidR="00FE04E5">
                <w:rPr>
                  <w:rStyle w:val="Hyperlink"/>
                  <w:szCs w:val="24"/>
                </w:rPr>
                <w:t>jkylercohn@BKLlawfirm.com</w:t>
              </w:r>
            </w:hyperlink>
          </w:p>
          <w:p w:rsidR="00494019" w:rsidRPr="00C5582B" w:rsidP="00494019">
            <w:pPr>
              <w:rPr>
                <w:color w:val="0000FF"/>
                <w:szCs w:val="24"/>
              </w:rPr>
            </w:pPr>
            <w:hyperlink r:id="rId38" w:history="1">
              <w:r w:rsidRPr="00C5582B" w:rsidR="00FE04E5">
                <w:rPr>
                  <w:rStyle w:val="Hyperlink"/>
                  <w:szCs w:val="24"/>
                </w:rPr>
                <w:t>Michael.schuler@aes.com</w:t>
              </w:r>
            </w:hyperlink>
          </w:p>
          <w:p w:rsidR="00494019" w:rsidRPr="00C5582B" w:rsidP="00494019">
            <w:pPr>
              <w:rPr>
                <w:color w:val="0000FF"/>
                <w:szCs w:val="24"/>
              </w:rPr>
            </w:pPr>
            <w:hyperlink r:id="rId39" w:history="1">
              <w:r w:rsidRPr="00C5582B" w:rsidR="00FE04E5">
                <w:rPr>
                  <w:rStyle w:val="Hyperlink"/>
                  <w:szCs w:val="24"/>
                </w:rPr>
                <w:t>stnourse@aep.com</w:t>
              </w:r>
            </w:hyperlink>
          </w:p>
          <w:p w:rsidR="001554D6" w:rsidRPr="00C5582B" w:rsidP="001554D6">
            <w:pPr>
              <w:pStyle w:val="CommentText"/>
              <w:rPr>
                <w:b/>
                <w:u w:val="single"/>
              </w:rPr>
            </w:pPr>
          </w:p>
        </w:tc>
      </w:tr>
    </w:tbl>
    <w:p w:rsidR="00C327D4" w:rsidRPr="00C5582B">
      <w:pPr>
        <w:pStyle w:val="CommentText"/>
        <w:jc w:val="center"/>
        <w:rPr>
          <w:b/>
          <w:u w:val="single"/>
        </w:rPr>
      </w:pPr>
    </w:p>
    <w:p w:rsidR="00FF7A8A" w:rsidRPr="00C5582B">
      <w:pPr>
        <w:pStyle w:val="CommentText"/>
        <w:jc w:val="center"/>
        <w:rPr>
          <w:b/>
          <w:u w:val="single"/>
        </w:rPr>
      </w:pPr>
    </w:p>
    <w:p w:rsidR="00884F92" w:rsidRPr="00C5582B" w:rsidP="00884F92">
      <w:pPr>
        <w:rPr>
          <w:szCs w:val="24"/>
        </w:rPr>
      </w:pPr>
    </w:p>
    <w:p w:rsidR="00140BDC" w:rsidRPr="00C5582B" w:rsidP="00884F92">
      <w:pPr>
        <w:rPr>
          <w:szCs w:val="24"/>
        </w:rPr>
      </w:pPr>
    </w:p>
    <w:p w:rsidR="00140BDC" w:rsidRPr="00C5582B" w:rsidP="00884F92">
      <w:pPr>
        <w:rPr>
          <w:szCs w:val="24"/>
        </w:rPr>
      </w:pPr>
    </w:p>
    <w:sectPr w:rsidSect="002F1813">
      <w:headerReference w:type="first" r:id="rId40"/>
      <w:footerReference w:type="first" r:id="rId41"/>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E1001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3144846"/>
      <w:docPartObj>
        <w:docPartGallery w:val="Page Numbers (Bottom of Page)"/>
        <w:docPartUnique/>
      </w:docPartObj>
    </w:sdtPr>
    <w:sdtEndPr>
      <w:rPr>
        <w:noProof/>
      </w:rPr>
    </w:sdtEndPr>
    <w:sdtContent>
      <w:p w:rsidR="000B226C">
        <w:pPr>
          <w:pStyle w:val="Footer"/>
          <w:jc w:val="center"/>
        </w:pPr>
        <w:r>
          <w:fldChar w:fldCharType="begin"/>
        </w:r>
        <w:r>
          <w:instrText xml:space="preserve"> PAGE   \* MERGEFORMAT </w:instrText>
        </w:r>
        <w:r>
          <w:fldChar w:fldCharType="separate"/>
        </w:r>
        <w:r w:rsidR="002F1813">
          <w:rPr>
            <w:noProof/>
          </w:rPr>
          <w:t>2</w:t>
        </w:r>
        <w:r>
          <w:rPr>
            <w:noProof/>
          </w:rPr>
          <w:fldChar w:fldCharType="end"/>
        </w:r>
      </w:p>
    </w:sdtContent>
  </w:sdt>
  <w:p w:rsidR="00D50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1137209"/>
      <w:docPartObj>
        <w:docPartGallery w:val="Page Numbers (Bottom of Page)"/>
        <w:docPartUnique/>
      </w:docPartObj>
    </w:sdtPr>
    <w:sdtEndPr>
      <w:rPr>
        <w:noProof/>
      </w:rPr>
    </w:sdtEndPr>
    <w:sdtContent>
      <w:p w:rsidR="00D50E23">
        <w:pPr>
          <w:pStyle w:val="Footer"/>
          <w:jc w:val="center"/>
        </w:pPr>
      </w:p>
    </w:sdtContent>
  </w:sdt>
  <w:p w:rsidR="00B92DF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060663"/>
      <w:docPartObj>
        <w:docPartGallery w:val="Page Numbers (Bottom of Page)"/>
        <w:docPartUnique/>
      </w:docPartObj>
    </w:sdtPr>
    <w:sdtEndPr>
      <w:rPr>
        <w:noProof/>
        <w:sz w:val="24"/>
        <w:szCs w:val="24"/>
      </w:rPr>
    </w:sdtEndPr>
    <w:sdtContent>
      <w:p w:rsidR="00D50E23" w:rsidRPr="001D3653">
        <w:pPr>
          <w:pStyle w:val="Footer"/>
          <w:jc w:val="center"/>
          <w:rPr>
            <w:sz w:val="24"/>
            <w:szCs w:val="24"/>
          </w:rPr>
        </w:pPr>
        <w:r w:rsidRPr="001D3653">
          <w:rPr>
            <w:sz w:val="24"/>
            <w:szCs w:val="24"/>
          </w:rPr>
          <w:fldChar w:fldCharType="begin"/>
        </w:r>
        <w:r w:rsidRPr="001D3653">
          <w:rPr>
            <w:sz w:val="24"/>
            <w:szCs w:val="24"/>
          </w:rPr>
          <w:instrText xml:space="preserve"> PAGE   \* MERGEFORMAT </w:instrText>
        </w:r>
        <w:r w:rsidRPr="001D3653">
          <w:rPr>
            <w:sz w:val="24"/>
            <w:szCs w:val="24"/>
          </w:rPr>
          <w:fldChar w:fldCharType="separate"/>
        </w:r>
        <w:r w:rsidR="003E7176">
          <w:rPr>
            <w:noProof/>
            <w:sz w:val="24"/>
            <w:szCs w:val="24"/>
          </w:rPr>
          <w:t>i</w:t>
        </w:r>
        <w:r w:rsidRPr="001D3653">
          <w:rPr>
            <w:noProof/>
            <w:sz w:val="24"/>
            <w:szCs w:val="24"/>
          </w:rPr>
          <w:fldChar w:fldCharType="end"/>
        </w:r>
      </w:p>
    </w:sdtContent>
  </w:sdt>
  <w:p w:rsidR="00D50E2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0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6825895"/>
      <w:docPartObj>
        <w:docPartGallery w:val="Page Numbers (Bottom of Page)"/>
        <w:docPartUnique/>
      </w:docPartObj>
    </w:sdtPr>
    <w:sdtEndPr>
      <w:rPr>
        <w:noProof/>
        <w:sz w:val="24"/>
        <w:szCs w:val="24"/>
      </w:rPr>
    </w:sdtEndPr>
    <w:sdtContent>
      <w:p w:rsidR="00494019" w:rsidRPr="00C5582B">
        <w:pPr>
          <w:pStyle w:val="Footer"/>
          <w:jc w:val="center"/>
          <w:rPr>
            <w:sz w:val="24"/>
            <w:szCs w:val="24"/>
          </w:rPr>
        </w:pPr>
        <w:r w:rsidRPr="00C5582B">
          <w:rPr>
            <w:sz w:val="24"/>
            <w:szCs w:val="24"/>
          </w:rPr>
          <w:fldChar w:fldCharType="begin"/>
        </w:r>
        <w:r w:rsidRPr="00C5582B">
          <w:rPr>
            <w:sz w:val="24"/>
            <w:szCs w:val="24"/>
          </w:rPr>
          <w:instrText xml:space="preserve"> PAGE   \* MERGEFORMAT </w:instrText>
        </w:r>
        <w:r w:rsidRPr="00C5582B">
          <w:rPr>
            <w:sz w:val="24"/>
            <w:szCs w:val="24"/>
          </w:rPr>
          <w:fldChar w:fldCharType="separate"/>
        </w:r>
        <w:r w:rsidRPr="00C5582B" w:rsidR="003E7176">
          <w:rPr>
            <w:noProof/>
            <w:sz w:val="24"/>
            <w:szCs w:val="24"/>
          </w:rPr>
          <w:t>8</w:t>
        </w:r>
        <w:r w:rsidRPr="00C5582B">
          <w:rPr>
            <w:noProof/>
            <w:sz w:val="24"/>
            <w:szCs w:val="24"/>
          </w:rPr>
          <w:fldChar w:fldCharType="end"/>
        </w:r>
      </w:p>
    </w:sdtContent>
  </w:sdt>
  <w:p w:rsidR="004940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302943"/>
      <w:docPartObj>
        <w:docPartGallery w:val="Page Numbers (Bottom of Page)"/>
        <w:docPartUnique/>
      </w:docPartObj>
    </w:sdtPr>
    <w:sdtEndPr>
      <w:rPr>
        <w:noProof/>
      </w:rPr>
    </w:sdtEndPr>
    <w:sdtContent>
      <w:p w:rsidR="00FE0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401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7753578"/>
      <w:docPartObj>
        <w:docPartGallery w:val="Page Numbers (Bottom of Page)"/>
        <w:docPartUnique/>
      </w:docPartObj>
    </w:sdtPr>
    <w:sdtEndPr>
      <w:rPr>
        <w:noProof/>
        <w:sz w:val="24"/>
        <w:szCs w:val="24"/>
      </w:rPr>
    </w:sdtEndPr>
    <w:sdtContent>
      <w:p w:rsidR="00FE04E5" w:rsidRPr="00FE04E5">
        <w:pPr>
          <w:pStyle w:val="Footer"/>
          <w:jc w:val="center"/>
          <w:rPr>
            <w:sz w:val="24"/>
            <w:szCs w:val="24"/>
          </w:rPr>
        </w:pPr>
        <w:r w:rsidRPr="00FE04E5">
          <w:rPr>
            <w:sz w:val="24"/>
            <w:szCs w:val="24"/>
          </w:rPr>
          <w:fldChar w:fldCharType="begin"/>
        </w:r>
        <w:r w:rsidRPr="00FE04E5">
          <w:rPr>
            <w:sz w:val="24"/>
            <w:szCs w:val="24"/>
          </w:rPr>
          <w:instrText xml:space="preserve"> PAGE   \* MERGEFORMAT </w:instrText>
        </w:r>
        <w:r w:rsidRPr="00FE04E5">
          <w:rPr>
            <w:sz w:val="24"/>
            <w:szCs w:val="24"/>
          </w:rPr>
          <w:fldChar w:fldCharType="separate"/>
        </w:r>
        <w:r w:rsidRPr="00FE04E5">
          <w:rPr>
            <w:noProof/>
            <w:sz w:val="24"/>
            <w:szCs w:val="24"/>
          </w:rPr>
          <w:t>2</w:t>
        </w:r>
        <w:r w:rsidRPr="00FE04E5">
          <w:rPr>
            <w:noProof/>
            <w:sz w:val="24"/>
            <w:szCs w:val="24"/>
          </w:rPr>
          <w:fldChar w:fldCharType="end"/>
        </w:r>
      </w:p>
    </w:sdtContent>
  </w:sdt>
  <w:p w:rsidR="00FE04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0B22">
      <w:r>
        <w:separator/>
      </w:r>
    </w:p>
  </w:footnote>
  <w:footnote w:type="continuationSeparator" w:id="1">
    <w:p w:rsidR="00860B22">
      <w:r>
        <w:continuationSeparator/>
      </w:r>
    </w:p>
  </w:footnote>
  <w:footnote w:id="2">
    <w:p w:rsidR="009704B5">
      <w:pPr>
        <w:pStyle w:val="FootnoteText"/>
      </w:pPr>
      <w:r>
        <w:rPr>
          <w:rStyle w:val="FootnoteReference"/>
        </w:rPr>
        <w:footnoteRef/>
      </w:r>
      <w:r>
        <w:t xml:space="preserve"> </w:t>
      </w:r>
      <w:r w:rsidR="002F1813">
        <w:rPr>
          <w:i/>
        </w:rPr>
        <w:t xml:space="preserve">See, e.g., </w:t>
      </w:r>
      <w:hyperlink r:id="rId1" w:history="1">
        <w:r w:rsidR="002F1813">
          <w:rPr>
            <w:rStyle w:val="Hyperlink"/>
          </w:rPr>
          <w:t>https://www.legislature.ohio.gov/download?key=8111&amp;format=pdf</w:t>
        </w:r>
      </w:hyperlink>
      <w:r w:rsidR="002F1813">
        <w:t>. Specifically, the PJM Wholesale rate has declined from approximately $0.08/kWh in 2008 to approximately $0.05/kWh in 2016.</w:t>
      </w:r>
    </w:p>
  </w:footnote>
  <w:footnote w:id="3">
    <w:p w:rsidR="009704B5">
      <w:pPr>
        <w:pStyle w:val="FootnoteText"/>
      </w:pPr>
      <w:r>
        <w:rPr>
          <w:rStyle w:val="FootnoteReference"/>
        </w:rPr>
        <w:footnoteRef/>
      </w:r>
      <w:r>
        <w:t xml:space="preserve"> </w:t>
      </w:r>
      <w:r w:rsidRPr="00FE04E5" w:rsidR="005977D4">
        <w:rPr>
          <w:i/>
          <w:iCs/>
        </w:rPr>
        <w:t>See,</w:t>
      </w:r>
      <w:r w:rsidRPr="005977D4" w:rsidR="005977D4">
        <w:t xml:space="preserve"> for example, </w:t>
      </w:r>
      <w:r w:rsidR="006E6A76">
        <w:t xml:space="preserve">a recent study titled “Update on Electricity Customer Choice In Ohio: Competition Continues to Outperform Traditional Monopoly Regulation” by several faculties of Cleveland State University and Ohio State University at </w:t>
      </w:r>
      <w:hyperlink r:id="rId2" w:history="1">
        <w:r w:rsidRPr="00B54A89" w:rsidR="00B54A89">
          <w:rPr>
            <w:color w:val="0000FF"/>
            <w:u w:val="single"/>
          </w:rPr>
          <w:t>https://engagedscholarship.csuohio.edu/cgi/viewcontent.cgi?article=2620&amp;context=urban_facpub</w:t>
        </w:r>
      </w:hyperlink>
      <w:r w:rsidR="006E6A76">
        <w:t>.</w:t>
      </w:r>
    </w:p>
  </w:footnote>
  <w:footnote w:id="4">
    <w:p w:rsidR="00B92DFC">
      <w:pPr>
        <w:pStyle w:val="FootnoteText"/>
      </w:pPr>
      <w:r>
        <w:rPr>
          <w:rStyle w:val="FootnoteReference"/>
        </w:rPr>
        <w:footnoteRef/>
      </w:r>
      <w:r>
        <w:t xml:space="preserve"> </w:t>
      </w:r>
      <w:r w:rsidRPr="00AB44D1">
        <w:rPr>
          <w:i/>
        </w:rPr>
        <w:t>In re Application of Duke Energy Ohio, Inc.,</w:t>
      </w:r>
      <w:r>
        <w:t xml:space="preserve"> Case No. 17-1263-EL-SSO, Entr</w:t>
      </w:r>
      <w:r w:rsidR="00541AB6">
        <w:t>y (</w:t>
      </w:r>
      <w:r>
        <w:t>July 31, 2019</w:t>
      </w:r>
      <w:r w:rsidR="00541AB6">
        <w:t>); Entry (</w:t>
      </w:r>
      <w:r>
        <w:t>Feb</w:t>
      </w:r>
      <w:r w:rsidR="00541AB6">
        <w:t>.</w:t>
      </w:r>
      <w:r>
        <w:t xml:space="preserve"> 13, 2020</w:t>
      </w:r>
      <w:r w:rsidR="00541AB6">
        <w:t>)</w:t>
      </w:r>
      <w:r>
        <w:t>.</w:t>
      </w:r>
    </w:p>
  </w:footnote>
  <w:footnote w:id="5">
    <w:p w:rsidR="00B92DFC">
      <w:pPr>
        <w:pStyle w:val="FootnoteText"/>
      </w:pPr>
      <w:r>
        <w:rPr>
          <w:rStyle w:val="FootnoteReference"/>
        </w:rPr>
        <w:footnoteRef/>
      </w:r>
      <w:r>
        <w:t xml:space="preserve"> </w:t>
      </w:r>
      <w:r w:rsidRPr="00B54A89" w:rsidR="00B54A89">
        <w:rPr>
          <w:i/>
          <w:iCs/>
        </w:rPr>
        <w:t>See</w:t>
      </w:r>
      <w:r>
        <w:t xml:space="preserve"> Staff Proposal and Recommendation in Case No. 16-0776-EL-UNC et al. (Mar</w:t>
      </w:r>
      <w:r w:rsidR="00541AB6">
        <w:t>.</w:t>
      </w:r>
      <w:r>
        <w:t xml:space="preserve"> 13, 2020)</w:t>
      </w:r>
      <w:r w:rsidR="00541AB6">
        <w:t xml:space="preserve"> (the “Staff Proposal”)</w:t>
      </w:r>
      <w:r>
        <w:t>.</w:t>
      </w:r>
    </w:p>
  </w:footnote>
  <w:footnote w:id="6">
    <w:p w:rsidR="00B92DFC" w:rsidP="00B030CF">
      <w:pPr>
        <w:pStyle w:val="FootnoteText"/>
      </w:pPr>
      <w:r>
        <w:rPr>
          <w:rStyle w:val="FootnoteReference"/>
        </w:rPr>
        <w:footnoteRef/>
      </w:r>
      <w:r>
        <w:t xml:space="preserve"> </w:t>
      </w:r>
      <w:r w:rsidRPr="006154BF">
        <w:rPr>
          <w:i/>
          <w:iCs/>
        </w:rPr>
        <w:t xml:space="preserve">See </w:t>
      </w:r>
      <w:r w:rsidRPr="00AB44D1">
        <w:rPr>
          <w:i/>
        </w:rPr>
        <w:t>In re Application of Duke Energy Ohio, Inc.,</w:t>
      </w:r>
      <w:r>
        <w:t xml:space="preserve"> Case No. 17-1263</w:t>
      </w:r>
      <w:r w:rsidR="000A68B5">
        <w:t>-</w:t>
      </w:r>
      <w:r>
        <w:t>EL-SSO, Entr</w:t>
      </w:r>
      <w:r w:rsidR="000A68B5">
        <w:t>y (</w:t>
      </w:r>
      <w:r>
        <w:t>Feb</w:t>
      </w:r>
      <w:r w:rsidR="000A68B5">
        <w:t>.</w:t>
      </w:r>
      <w:r>
        <w:t xml:space="preserve"> 13, 2020</w:t>
      </w:r>
      <w:r w:rsidR="000A68B5">
        <w:t>)</w:t>
      </w:r>
      <w:r>
        <w:t xml:space="preserve">.  </w:t>
      </w:r>
    </w:p>
  </w:footnote>
  <w:footnote w:id="7">
    <w:p w:rsidR="00B92DFC" w:rsidP="00B030CF">
      <w:pPr>
        <w:pStyle w:val="FootnoteText"/>
      </w:pPr>
      <w:r>
        <w:rPr>
          <w:rStyle w:val="FootnoteReference"/>
        </w:rPr>
        <w:footnoteRef/>
      </w:r>
      <w:r>
        <w:t xml:space="preserve"> </w:t>
      </w:r>
      <w:r w:rsidRPr="00197671">
        <w:rPr>
          <w:i/>
        </w:rPr>
        <w:t>Id.</w:t>
      </w:r>
      <w:r>
        <w:t xml:space="preserve"> </w:t>
      </w:r>
    </w:p>
  </w:footnote>
  <w:footnote w:id="8">
    <w:p w:rsidR="00B92DFC" w:rsidRPr="00197671" w:rsidP="00B030CF">
      <w:pPr>
        <w:pStyle w:val="FootnoteText"/>
        <w:rPr>
          <w:i/>
        </w:rPr>
      </w:pPr>
      <w:r>
        <w:rPr>
          <w:rStyle w:val="FootnoteReference"/>
        </w:rPr>
        <w:footnoteRef/>
      </w:r>
      <w:r>
        <w:t xml:space="preserve"> </w:t>
      </w:r>
      <w:r w:rsidRPr="00197671">
        <w:rPr>
          <w:i/>
        </w:rPr>
        <w:t>Id.</w:t>
      </w:r>
    </w:p>
  </w:footnote>
  <w:footnote w:id="9">
    <w:p w:rsidR="00B92DFC" w:rsidRPr="00B92DFC">
      <w:pPr>
        <w:pStyle w:val="FootnoteText"/>
      </w:pPr>
      <w:r>
        <w:rPr>
          <w:rStyle w:val="FootnoteReference"/>
        </w:rPr>
        <w:footnoteRef/>
      </w:r>
      <w:r>
        <w:t xml:space="preserve"> </w:t>
      </w:r>
      <w:r w:rsidRPr="00FE04E5">
        <w:rPr>
          <w:i/>
          <w:iCs/>
        </w:rPr>
        <w:t>See</w:t>
      </w:r>
      <w:r>
        <w:t xml:space="preserve">, for example, </w:t>
      </w:r>
      <w:hyperlink r:id="rId3" w:history="1">
        <w:r w:rsidRPr="00B92DFC">
          <w:rPr>
            <w:color w:val="0000FF"/>
            <w:u w:val="single"/>
          </w:rPr>
          <w:t>http://www.duke-energyohiocbp.com/portals/0/Documents/DEO_ESP_Schedule.pdf</w:t>
        </w:r>
      </w:hyperlink>
      <w:r w:rsidRPr="00B92DFC">
        <w:t>,</w:t>
      </w:r>
      <w:r>
        <w:t xml:space="preserve"> </w:t>
      </w:r>
      <w:hyperlink r:id="rId4" w:history="1">
        <w:r w:rsidRPr="00B92DFC">
          <w:rPr>
            <w:color w:val="0000FF"/>
            <w:u w:val="single"/>
          </w:rPr>
          <w:t>http://www.aepohiocbp.com/assets/userFiles/file/ESP%20IV%20Auctions%20Provisional%20Schedule%2023%20JAN%202020.pdf</w:t>
        </w:r>
      </w:hyperlink>
      <w:r>
        <w:t xml:space="preserve">, and </w:t>
      </w:r>
      <w:hyperlink r:id="rId5" w:history="1">
        <w:r w:rsidRPr="00B92DFC">
          <w:rPr>
            <w:color w:val="0000FF"/>
            <w:u w:val="single"/>
          </w:rPr>
          <w:t>https://www.firstenergycbp.com/Portals/0/FEOU_ESP_Auctions_Schedule_ESP-IV_20160426.pdf</w:t>
        </w:r>
      </w:hyperlink>
      <w:r>
        <w:t>.</w:t>
      </w:r>
    </w:p>
  </w:footnote>
  <w:footnote w:id="10">
    <w:p w:rsidR="00B92DFC" w:rsidP="00552FFC">
      <w:pPr>
        <w:pStyle w:val="FootnoteText"/>
      </w:pPr>
      <w:r>
        <w:rPr>
          <w:rStyle w:val="FootnoteReference"/>
        </w:rPr>
        <w:footnoteRef/>
      </w:r>
      <w:r>
        <w:t xml:space="preserve"> Staff Proposal and Recommendation at 5.</w:t>
      </w:r>
    </w:p>
  </w:footnote>
  <w:footnote w:id="11">
    <w:p w:rsidR="00B92DFC" w:rsidP="00856633">
      <w:pPr>
        <w:pStyle w:val="FootnoteText"/>
      </w:pPr>
      <w:r>
        <w:rPr>
          <w:rStyle w:val="FootnoteReference"/>
        </w:rPr>
        <w:footnoteRef/>
      </w:r>
      <w:r>
        <w:t xml:space="preserve"> Staff Proposal and Recommendation at 7.</w:t>
      </w:r>
    </w:p>
  </w:footnote>
  <w:footnote w:id="12">
    <w:p w:rsidR="00B92DFC" w:rsidP="001D051B">
      <w:pPr>
        <w:pStyle w:val="FootnoteText"/>
      </w:pPr>
      <w:r>
        <w:rPr>
          <w:rStyle w:val="FootnoteReference"/>
        </w:rPr>
        <w:footnoteRef/>
      </w:r>
      <w:r>
        <w:t xml:space="preserve"> </w:t>
      </w:r>
      <w:r w:rsidRPr="00E74BD2" w:rsidR="00CA17D4">
        <w:rPr>
          <w:i/>
          <w:iCs/>
        </w:rPr>
        <w:t>See</w:t>
      </w:r>
      <w:r w:rsidR="00CA17D4">
        <w:t xml:space="preserve"> </w:t>
      </w:r>
      <w:r>
        <w:t>Staff</w:t>
      </w:r>
      <w:r w:rsidR="00CA17D4">
        <w:t>’s</w:t>
      </w:r>
      <w:r>
        <w:t xml:space="preserve"> Proposal at 5.</w:t>
      </w:r>
    </w:p>
  </w:footnote>
  <w:footnote w:id="13">
    <w:p w:rsidR="00B92DFC">
      <w:pPr>
        <w:pStyle w:val="FootnoteText"/>
      </w:pPr>
      <w:r>
        <w:rPr>
          <w:rStyle w:val="FootnoteReference"/>
        </w:rPr>
        <w:footnoteRef/>
      </w:r>
      <w:r>
        <w:t xml:space="preserve"> </w:t>
      </w:r>
      <w:r w:rsidRPr="00E74BD2" w:rsidR="00CA17D4">
        <w:rPr>
          <w:i/>
          <w:iCs/>
        </w:rPr>
        <w:t xml:space="preserve">See </w:t>
      </w:r>
      <w:r w:rsidR="00CA17D4">
        <w:t>Comments of Energy Harbor LLC at 2-3 (April 16, 2020).</w:t>
      </w:r>
    </w:p>
  </w:footnote>
  <w:footnote w:id="14">
    <w:p w:rsidR="00B92DFC">
      <w:pPr>
        <w:pStyle w:val="FootnoteText"/>
      </w:pPr>
      <w:r>
        <w:rPr>
          <w:rStyle w:val="FootnoteReference"/>
        </w:rPr>
        <w:footnoteRef/>
      </w:r>
      <w:r>
        <w:t xml:space="preserve"> </w:t>
      </w:r>
      <w:r w:rsidRPr="00E74BD2" w:rsidR="00F80A42">
        <w:rPr>
          <w:i/>
          <w:iCs/>
        </w:rPr>
        <w:t>See</w:t>
      </w:r>
      <w:r w:rsidR="00F80A42">
        <w:t xml:space="preserve"> Comments of Energy Harbor LLC at 3.</w:t>
      </w:r>
    </w:p>
  </w:footnote>
  <w:footnote w:id="15">
    <w:p w:rsidR="00F80A42" w:rsidRPr="00F80A42">
      <w:pPr>
        <w:pStyle w:val="FootnoteText"/>
        <w:rPr>
          <w:i/>
        </w:rPr>
      </w:pPr>
      <w:r>
        <w:rPr>
          <w:rStyle w:val="FootnoteReference"/>
        </w:rPr>
        <w:footnoteRef/>
      </w:r>
      <w:r>
        <w:t xml:space="preserve"> </w:t>
      </w:r>
      <w:r w:rsidRPr="00F80A42">
        <w:rPr>
          <w:i/>
        </w:rPr>
        <w:t>Id.</w:t>
      </w:r>
    </w:p>
  </w:footnote>
  <w:footnote w:id="16">
    <w:p w:rsidR="00B92DFC">
      <w:pPr>
        <w:pStyle w:val="FootnoteText"/>
      </w:pPr>
      <w:r>
        <w:rPr>
          <w:rStyle w:val="FootnoteReference"/>
        </w:rPr>
        <w:footnoteRef/>
      </w:r>
      <w:r>
        <w:t xml:space="preserve"> </w:t>
      </w:r>
      <w:r w:rsidRPr="00E74BD2" w:rsidR="00B57A65">
        <w:rPr>
          <w:i/>
          <w:iCs/>
        </w:rPr>
        <w:t>See</w:t>
      </w:r>
      <w:r w:rsidR="00B57A65">
        <w:t xml:space="preserve"> Comments of Energy Harbor LLC at 4-5.</w:t>
      </w:r>
    </w:p>
  </w:footnote>
  <w:footnote w:id="17">
    <w:p w:rsidR="009D28F3">
      <w:pPr>
        <w:pStyle w:val="FootnoteText"/>
      </w:pPr>
      <w:r>
        <w:rPr>
          <w:rStyle w:val="FootnoteReference"/>
        </w:rPr>
        <w:footnoteRef/>
      </w:r>
      <w:r w:rsidRPr="00E74BD2">
        <w:rPr>
          <w:i/>
          <w:iCs/>
        </w:rPr>
        <w:t xml:space="preserve"> See</w:t>
      </w:r>
      <w:r>
        <w:t xml:space="preserve"> Comments of Energy Harbor LLC at 3.</w:t>
      </w:r>
    </w:p>
  </w:footnote>
  <w:footnote w:id="18">
    <w:p w:rsidR="0099208C">
      <w:pPr>
        <w:pStyle w:val="FootnoteText"/>
      </w:pPr>
      <w:r>
        <w:rPr>
          <w:rStyle w:val="FootnoteReference"/>
        </w:rPr>
        <w:footnoteRef/>
      </w:r>
      <w:r>
        <w:t xml:space="preserve"> </w:t>
      </w:r>
      <w:r w:rsidRPr="00E74BD2" w:rsidR="009D28F3">
        <w:rPr>
          <w:i/>
          <w:iCs/>
        </w:rPr>
        <w:t xml:space="preserve">See </w:t>
      </w:r>
      <w:r w:rsidR="009D28F3">
        <w:t>Joint Comments of IGS and Direct Energy at 3 (April 16, 2020).</w:t>
      </w:r>
    </w:p>
  </w:footnote>
  <w:footnote w:id="19">
    <w:p w:rsidR="0099208C">
      <w:pPr>
        <w:pStyle w:val="FootnoteText"/>
      </w:pPr>
      <w:r>
        <w:rPr>
          <w:rStyle w:val="FootnoteReference"/>
        </w:rPr>
        <w:footnoteRef/>
      </w:r>
      <w:r>
        <w:t xml:space="preserve"> </w:t>
      </w:r>
      <w:r w:rsidRPr="009D28F3" w:rsidR="009D28F3">
        <w:rPr>
          <w:i/>
        </w:rPr>
        <w:t>Id.</w:t>
      </w:r>
    </w:p>
  </w:footnote>
  <w:footnote w:id="20">
    <w:p w:rsidR="00201259">
      <w:pPr>
        <w:pStyle w:val="FootnoteText"/>
      </w:pPr>
      <w:r>
        <w:rPr>
          <w:rStyle w:val="FootnoteReference"/>
        </w:rPr>
        <w:footnoteRef/>
      </w:r>
      <w:r>
        <w:t xml:space="preserve"> </w:t>
      </w:r>
      <w:r w:rsidRPr="00E74BD2">
        <w:rPr>
          <w:i/>
          <w:iCs/>
        </w:rPr>
        <w:t>See</w:t>
      </w:r>
      <w:r>
        <w:t xml:space="preserve"> Comments of FirstEnergy at 2 (May 8, 2020). </w:t>
      </w:r>
    </w:p>
  </w:footnote>
  <w:footnote w:id="21">
    <w:p w:rsidR="0022509A">
      <w:pPr>
        <w:pStyle w:val="FootnoteText"/>
      </w:pPr>
      <w:r>
        <w:rPr>
          <w:rStyle w:val="FootnoteReference"/>
        </w:rPr>
        <w:footnoteRef/>
      </w:r>
      <w:r>
        <w:t xml:space="preserve"> </w:t>
      </w:r>
      <w:r w:rsidRPr="006154BF">
        <w:rPr>
          <w:i/>
          <w:iCs/>
        </w:rPr>
        <w:t>See</w:t>
      </w:r>
      <w:r>
        <w:t xml:space="preserve"> Comments of FirstEnergy at 2-5. </w:t>
      </w:r>
    </w:p>
  </w:footnote>
  <w:footnote w:id="22">
    <w:p w:rsidR="005F5AB5">
      <w:pPr>
        <w:pStyle w:val="FootnoteText"/>
      </w:pPr>
      <w:r>
        <w:rPr>
          <w:rStyle w:val="FootnoteReference"/>
        </w:rPr>
        <w:footnoteRef/>
      </w:r>
      <w:r>
        <w:t xml:space="preserve"> </w:t>
      </w:r>
      <w:r w:rsidRPr="006154BF">
        <w:rPr>
          <w:i/>
          <w:iCs/>
        </w:rPr>
        <w:t>See</w:t>
      </w:r>
      <w:r>
        <w:t xml:space="preserve"> Comments of FirstEnergy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91E12E8"/>
    <w:lvl w:ilvl="0">
      <w:start w:val="1"/>
      <w:numFmt w:val="decimal"/>
      <w:lvlText w:val="%1."/>
      <w:lvlJc w:val="left"/>
      <w:pPr>
        <w:tabs>
          <w:tab w:val="num" w:pos="1440"/>
        </w:tabs>
        <w:ind w:left="1440" w:hanging="360"/>
      </w:pPr>
    </w:lvl>
  </w:abstractNum>
  <w:abstractNum w:abstractNumId="1">
    <w:nsid w:val="FFFFFF7D"/>
    <w:multiLevelType w:val="singleLevel"/>
    <w:tmpl w:val="6E427ACC"/>
    <w:lvl w:ilvl="0">
      <w:start w:val="1"/>
      <w:numFmt w:val="decimal"/>
      <w:lvlText w:val="%1."/>
      <w:lvlJc w:val="left"/>
      <w:pPr>
        <w:tabs>
          <w:tab w:val="num" w:pos="1440"/>
        </w:tabs>
        <w:ind w:left="1440" w:hanging="360"/>
      </w:pPr>
    </w:lvl>
  </w:abstractNum>
  <w:abstractNum w:abstractNumId="2">
    <w:nsid w:val="FFFFFF7E"/>
    <w:multiLevelType w:val="singleLevel"/>
    <w:tmpl w:val="704A6B00"/>
    <w:lvl w:ilvl="0">
      <w:start w:val="1"/>
      <w:numFmt w:val="decimal"/>
      <w:lvlText w:val="%1."/>
      <w:lvlJc w:val="left"/>
      <w:pPr>
        <w:tabs>
          <w:tab w:val="num" w:pos="1080"/>
        </w:tabs>
        <w:ind w:left="1080" w:hanging="360"/>
      </w:pPr>
    </w:lvl>
  </w:abstractNum>
  <w:abstractNum w:abstractNumId="3">
    <w:nsid w:val="FFFFFF7F"/>
    <w:multiLevelType w:val="singleLevel"/>
    <w:tmpl w:val="C71ACBBC"/>
    <w:lvl w:ilvl="0">
      <w:start w:val="1"/>
      <w:numFmt w:val="decimal"/>
      <w:lvlText w:val="%1."/>
      <w:lvlJc w:val="left"/>
      <w:pPr>
        <w:tabs>
          <w:tab w:val="num" w:pos="720"/>
        </w:tabs>
        <w:ind w:left="720" w:hanging="360"/>
      </w:pPr>
    </w:lvl>
  </w:abstractNum>
  <w:abstractNum w:abstractNumId="4">
    <w:nsid w:val="FFFFFF80"/>
    <w:multiLevelType w:val="singleLevel"/>
    <w:tmpl w:val="87BE01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32AC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6C62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889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231D2"/>
    <w:lvl w:ilvl="0">
      <w:start w:val="1"/>
      <w:numFmt w:val="decimal"/>
      <w:lvlText w:val="%1."/>
      <w:lvlJc w:val="left"/>
      <w:pPr>
        <w:tabs>
          <w:tab w:val="num" w:pos="360"/>
        </w:tabs>
        <w:ind w:left="360" w:hanging="360"/>
      </w:pPr>
    </w:lvl>
  </w:abstractNum>
  <w:abstractNum w:abstractNumId="9">
    <w:nsid w:val="FFFFFF89"/>
    <w:multiLevelType w:val="singleLevel"/>
    <w:tmpl w:val="FB964308"/>
    <w:lvl w:ilvl="0">
      <w:start w:val="1"/>
      <w:numFmt w:val="bullet"/>
      <w:lvlText w:val=""/>
      <w:lvlJc w:val="left"/>
      <w:pPr>
        <w:tabs>
          <w:tab w:val="num" w:pos="360"/>
        </w:tabs>
        <w:ind w:left="360" w:hanging="360"/>
      </w:pPr>
      <w:rPr>
        <w:rFonts w:ascii="Symbol" w:hAnsi="Symbol" w:hint="default"/>
      </w:rPr>
    </w:lvl>
  </w:abstractNum>
  <w:abstractNum w:abstractNumId="10">
    <w:nsid w:val="08EB4F95"/>
    <w:multiLevelType w:val="hybridMultilevel"/>
    <w:tmpl w:val="289A0DB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A116718"/>
    <w:multiLevelType w:val="hybridMultilevel"/>
    <w:tmpl w:val="430A50C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F80267"/>
    <w:multiLevelType w:val="hybridMultilevel"/>
    <w:tmpl w:val="A246F39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FB000A"/>
    <w:multiLevelType w:val="hybridMultilevel"/>
    <w:tmpl w:val="9894D54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885253"/>
    <w:multiLevelType w:val="hybridMultilevel"/>
    <w:tmpl w:val="B39AACB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7357091"/>
    <w:multiLevelType w:val="hybridMultilevel"/>
    <w:tmpl w:val="C8E47F50"/>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01E5635"/>
    <w:multiLevelType w:val="hybridMultilevel"/>
    <w:tmpl w:val="F2124F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28F5B88"/>
    <w:multiLevelType w:val="hybridMultilevel"/>
    <w:tmpl w:val="19F8A63A"/>
    <w:lvl w:ilvl="0">
      <w:start w:val="1"/>
      <w:numFmt w:val="upperLetter"/>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5121ED3"/>
    <w:multiLevelType w:val="hybridMultilevel"/>
    <w:tmpl w:val="B8042666"/>
    <w:lvl w:ilvl="0">
      <w:start w:val="1"/>
      <w:numFmt w:val="upperLetter"/>
      <w:lvlText w:val="%1."/>
      <w:lvlJc w:val="left"/>
      <w:pPr>
        <w:ind w:left="65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6AF047BB"/>
    <w:multiLevelType w:val="hybridMultilevel"/>
    <w:tmpl w:val="6860841C"/>
    <w:lvl w:ilvl="0">
      <w:start w:val="1"/>
      <w:numFmt w:val="upp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3156C"/>
    <w:multiLevelType w:val="hybridMultilevel"/>
    <w:tmpl w:val="B6009F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9"/>
  </w:num>
  <w:num w:numId="2">
    <w:abstractNumId w:val="18"/>
  </w:num>
  <w:num w:numId="3">
    <w:abstractNumId w:val="23"/>
  </w:num>
  <w:num w:numId="4">
    <w:abstractNumId w:val="20"/>
  </w:num>
  <w:num w:numId="5">
    <w:abstractNumId w:val="12"/>
  </w:num>
  <w:num w:numId="6">
    <w:abstractNumId w:val="26"/>
  </w:num>
  <w:num w:numId="7">
    <w:abstractNumId w:val="14"/>
  </w:num>
  <w:num w:numId="8">
    <w:abstractNumId w:val="17"/>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3"/>
  </w:num>
  <w:num w:numId="22">
    <w:abstractNumId w:val="10"/>
  </w:num>
  <w:num w:numId="23">
    <w:abstractNumId w:val="24"/>
  </w:num>
  <w:num w:numId="24">
    <w:abstractNumId w:val="11"/>
  </w:num>
  <w:num w:numId="25">
    <w:abstractNumId w:val="16"/>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A4912"/>
    <w:rsid w:val="00005048"/>
    <w:rsid w:val="00005193"/>
    <w:rsid w:val="00011094"/>
    <w:rsid w:val="000119C7"/>
    <w:rsid w:val="0001273A"/>
    <w:rsid w:val="00013F4A"/>
    <w:rsid w:val="00023C41"/>
    <w:rsid w:val="000247EB"/>
    <w:rsid w:val="000265F0"/>
    <w:rsid w:val="000304AA"/>
    <w:rsid w:val="00030B61"/>
    <w:rsid w:val="000338E4"/>
    <w:rsid w:val="0004389B"/>
    <w:rsid w:val="0004627B"/>
    <w:rsid w:val="00057257"/>
    <w:rsid w:val="0007145B"/>
    <w:rsid w:val="00083BA1"/>
    <w:rsid w:val="00083C3A"/>
    <w:rsid w:val="000874C3"/>
    <w:rsid w:val="00090566"/>
    <w:rsid w:val="00094550"/>
    <w:rsid w:val="00097890"/>
    <w:rsid w:val="000A4E25"/>
    <w:rsid w:val="000A68B5"/>
    <w:rsid w:val="000B1EF8"/>
    <w:rsid w:val="000B226C"/>
    <w:rsid w:val="000B432B"/>
    <w:rsid w:val="000B4A71"/>
    <w:rsid w:val="000B5BC7"/>
    <w:rsid w:val="000C3E1E"/>
    <w:rsid w:val="000D6F7D"/>
    <w:rsid w:val="000E1261"/>
    <w:rsid w:val="000E1AE6"/>
    <w:rsid w:val="000E4A6D"/>
    <w:rsid w:val="000F4819"/>
    <w:rsid w:val="000F52B6"/>
    <w:rsid w:val="000F74EB"/>
    <w:rsid w:val="001015C6"/>
    <w:rsid w:val="00104F9C"/>
    <w:rsid w:val="001125AB"/>
    <w:rsid w:val="00113710"/>
    <w:rsid w:val="00114DC6"/>
    <w:rsid w:val="001160ED"/>
    <w:rsid w:val="001256C7"/>
    <w:rsid w:val="00130E2A"/>
    <w:rsid w:val="0013175A"/>
    <w:rsid w:val="00132D92"/>
    <w:rsid w:val="00133096"/>
    <w:rsid w:val="00140BDC"/>
    <w:rsid w:val="00140EE5"/>
    <w:rsid w:val="00150DBD"/>
    <w:rsid w:val="00154233"/>
    <w:rsid w:val="00154D67"/>
    <w:rsid w:val="001554D6"/>
    <w:rsid w:val="00157C4B"/>
    <w:rsid w:val="0016406F"/>
    <w:rsid w:val="0016572B"/>
    <w:rsid w:val="001670E0"/>
    <w:rsid w:val="001733EE"/>
    <w:rsid w:val="00174784"/>
    <w:rsid w:val="0017681D"/>
    <w:rsid w:val="001868C2"/>
    <w:rsid w:val="00186959"/>
    <w:rsid w:val="00193BCF"/>
    <w:rsid w:val="00196172"/>
    <w:rsid w:val="00196A9E"/>
    <w:rsid w:val="00197671"/>
    <w:rsid w:val="001B4CED"/>
    <w:rsid w:val="001C3584"/>
    <w:rsid w:val="001C5CCD"/>
    <w:rsid w:val="001D051B"/>
    <w:rsid w:val="001D23DE"/>
    <w:rsid w:val="001D3653"/>
    <w:rsid w:val="001E471D"/>
    <w:rsid w:val="001F3DF9"/>
    <w:rsid w:val="001F563B"/>
    <w:rsid w:val="001F7F4B"/>
    <w:rsid w:val="00201259"/>
    <w:rsid w:val="002024D0"/>
    <w:rsid w:val="0020336B"/>
    <w:rsid w:val="00215A99"/>
    <w:rsid w:val="00220AA7"/>
    <w:rsid w:val="00222A84"/>
    <w:rsid w:val="00224D84"/>
    <w:rsid w:val="0022509A"/>
    <w:rsid w:val="00231635"/>
    <w:rsid w:val="00241A42"/>
    <w:rsid w:val="002426B0"/>
    <w:rsid w:val="00246CDA"/>
    <w:rsid w:val="002518D0"/>
    <w:rsid w:val="00253F65"/>
    <w:rsid w:val="002560B2"/>
    <w:rsid w:val="002603E6"/>
    <w:rsid w:val="002612A4"/>
    <w:rsid w:val="002715EA"/>
    <w:rsid w:val="00273FB5"/>
    <w:rsid w:val="002759E0"/>
    <w:rsid w:val="00276880"/>
    <w:rsid w:val="00277895"/>
    <w:rsid w:val="00282F46"/>
    <w:rsid w:val="00285929"/>
    <w:rsid w:val="00293597"/>
    <w:rsid w:val="00295F11"/>
    <w:rsid w:val="0029623A"/>
    <w:rsid w:val="002A2329"/>
    <w:rsid w:val="002A4912"/>
    <w:rsid w:val="002A6E8A"/>
    <w:rsid w:val="002A6FA5"/>
    <w:rsid w:val="002B1B2E"/>
    <w:rsid w:val="002C4BE6"/>
    <w:rsid w:val="002D3955"/>
    <w:rsid w:val="002E0D81"/>
    <w:rsid w:val="002E1BCC"/>
    <w:rsid w:val="002E2D9E"/>
    <w:rsid w:val="002F0BD8"/>
    <w:rsid w:val="002F1813"/>
    <w:rsid w:val="002F7CFC"/>
    <w:rsid w:val="00302789"/>
    <w:rsid w:val="00307DB1"/>
    <w:rsid w:val="0031163A"/>
    <w:rsid w:val="0031697A"/>
    <w:rsid w:val="003177D6"/>
    <w:rsid w:val="00321A79"/>
    <w:rsid w:val="00322818"/>
    <w:rsid w:val="00327E3C"/>
    <w:rsid w:val="00355A7D"/>
    <w:rsid w:val="003663B9"/>
    <w:rsid w:val="003731D3"/>
    <w:rsid w:val="003837B6"/>
    <w:rsid w:val="003858DE"/>
    <w:rsid w:val="00386843"/>
    <w:rsid w:val="003951E8"/>
    <w:rsid w:val="003959A5"/>
    <w:rsid w:val="003A118C"/>
    <w:rsid w:val="003A40B6"/>
    <w:rsid w:val="003A5894"/>
    <w:rsid w:val="003A7671"/>
    <w:rsid w:val="003B1EE4"/>
    <w:rsid w:val="003B2AFF"/>
    <w:rsid w:val="003B7A97"/>
    <w:rsid w:val="003C02EB"/>
    <w:rsid w:val="003C07EF"/>
    <w:rsid w:val="003C1FA6"/>
    <w:rsid w:val="003C2478"/>
    <w:rsid w:val="003C435B"/>
    <w:rsid w:val="003E439A"/>
    <w:rsid w:val="003E7176"/>
    <w:rsid w:val="003F3BC1"/>
    <w:rsid w:val="003F4EB0"/>
    <w:rsid w:val="003F5591"/>
    <w:rsid w:val="003F7317"/>
    <w:rsid w:val="003F7F05"/>
    <w:rsid w:val="00403659"/>
    <w:rsid w:val="0040468E"/>
    <w:rsid w:val="00404C83"/>
    <w:rsid w:val="00421CC1"/>
    <w:rsid w:val="00423741"/>
    <w:rsid w:val="00424354"/>
    <w:rsid w:val="0042567D"/>
    <w:rsid w:val="004327FB"/>
    <w:rsid w:val="0043537C"/>
    <w:rsid w:val="0044408E"/>
    <w:rsid w:val="00444213"/>
    <w:rsid w:val="0044523F"/>
    <w:rsid w:val="004572AF"/>
    <w:rsid w:val="00462010"/>
    <w:rsid w:val="00472D6A"/>
    <w:rsid w:val="00475DBE"/>
    <w:rsid w:val="00480232"/>
    <w:rsid w:val="00494019"/>
    <w:rsid w:val="00494FB7"/>
    <w:rsid w:val="00495368"/>
    <w:rsid w:val="004957A4"/>
    <w:rsid w:val="00495B85"/>
    <w:rsid w:val="004967CD"/>
    <w:rsid w:val="004A39C0"/>
    <w:rsid w:val="004B1806"/>
    <w:rsid w:val="004B1E75"/>
    <w:rsid w:val="004C4F34"/>
    <w:rsid w:val="004C6C83"/>
    <w:rsid w:val="004C75DC"/>
    <w:rsid w:val="004D025C"/>
    <w:rsid w:val="004D307B"/>
    <w:rsid w:val="004D6DD7"/>
    <w:rsid w:val="004D7701"/>
    <w:rsid w:val="004E4361"/>
    <w:rsid w:val="004F2C59"/>
    <w:rsid w:val="004F4AE7"/>
    <w:rsid w:val="004F5201"/>
    <w:rsid w:val="004F6808"/>
    <w:rsid w:val="00502CE2"/>
    <w:rsid w:val="005051A6"/>
    <w:rsid w:val="00511156"/>
    <w:rsid w:val="0052062C"/>
    <w:rsid w:val="0052065C"/>
    <w:rsid w:val="00541AB6"/>
    <w:rsid w:val="00541CD7"/>
    <w:rsid w:val="0054275F"/>
    <w:rsid w:val="00546E38"/>
    <w:rsid w:val="00551204"/>
    <w:rsid w:val="00552FFC"/>
    <w:rsid w:val="005627D5"/>
    <w:rsid w:val="0058302B"/>
    <w:rsid w:val="005873A4"/>
    <w:rsid w:val="00587ED3"/>
    <w:rsid w:val="00587F08"/>
    <w:rsid w:val="005929A0"/>
    <w:rsid w:val="00595B0C"/>
    <w:rsid w:val="005977D4"/>
    <w:rsid w:val="00597B69"/>
    <w:rsid w:val="005A06C0"/>
    <w:rsid w:val="005A304E"/>
    <w:rsid w:val="005A5320"/>
    <w:rsid w:val="005B0356"/>
    <w:rsid w:val="005C3308"/>
    <w:rsid w:val="005C6ED8"/>
    <w:rsid w:val="005D07BA"/>
    <w:rsid w:val="005D0DA5"/>
    <w:rsid w:val="005D0E65"/>
    <w:rsid w:val="005D3DDE"/>
    <w:rsid w:val="005D6922"/>
    <w:rsid w:val="005E2783"/>
    <w:rsid w:val="005E303A"/>
    <w:rsid w:val="005E524D"/>
    <w:rsid w:val="005E5386"/>
    <w:rsid w:val="005F5AB5"/>
    <w:rsid w:val="00601764"/>
    <w:rsid w:val="006032C3"/>
    <w:rsid w:val="0060359E"/>
    <w:rsid w:val="006100E2"/>
    <w:rsid w:val="0061021C"/>
    <w:rsid w:val="00613F30"/>
    <w:rsid w:val="006154BF"/>
    <w:rsid w:val="006358D0"/>
    <w:rsid w:val="00653FD1"/>
    <w:rsid w:val="00654B6E"/>
    <w:rsid w:val="006719BC"/>
    <w:rsid w:val="006811F4"/>
    <w:rsid w:val="00682C8D"/>
    <w:rsid w:val="00691CD6"/>
    <w:rsid w:val="00693E1A"/>
    <w:rsid w:val="00693EE2"/>
    <w:rsid w:val="0069673C"/>
    <w:rsid w:val="006C1D31"/>
    <w:rsid w:val="006C27E6"/>
    <w:rsid w:val="006C4F56"/>
    <w:rsid w:val="006C7380"/>
    <w:rsid w:val="006D0D3F"/>
    <w:rsid w:val="006D3BEF"/>
    <w:rsid w:val="006D6FB4"/>
    <w:rsid w:val="006E1C3F"/>
    <w:rsid w:val="006E6A76"/>
    <w:rsid w:val="006F135D"/>
    <w:rsid w:val="006F152B"/>
    <w:rsid w:val="00711F1F"/>
    <w:rsid w:val="007434C4"/>
    <w:rsid w:val="0074719C"/>
    <w:rsid w:val="00755797"/>
    <w:rsid w:val="007563C1"/>
    <w:rsid w:val="007602F1"/>
    <w:rsid w:val="00760B9E"/>
    <w:rsid w:val="007654A9"/>
    <w:rsid w:val="00772073"/>
    <w:rsid w:val="00776F2E"/>
    <w:rsid w:val="00790EEC"/>
    <w:rsid w:val="0079147E"/>
    <w:rsid w:val="00794749"/>
    <w:rsid w:val="007A00ED"/>
    <w:rsid w:val="007A6E93"/>
    <w:rsid w:val="007B0122"/>
    <w:rsid w:val="007B2F12"/>
    <w:rsid w:val="007B3475"/>
    <w:rsid w:val="007B3716"/>
    <w:rsid w:val="007B43A0"/>
    <w:rsid w:val="007B5E68"/>
    <w:rsid w:val="007B7282"/>
    <w:rsid w:val="007D6CF3"/>
    <w:rsid w:val="007D7B6F"/>
    <w:rsid w:val="00801D1E"/>
    <w:rsid w:val="00802E08"/>
    <w:rsid w:val="0080458E"/>
    <w:rsid w:val="00805844"/>
    <w:rsid w:val="008338B7"/>
    <w:rsid w:val="00835600"/>
    <w:rsid w:val="00836110"/>
    <w:rsid w:val="00846BDE"/>
    <w:rsid w:val="00856633"/>
    <w:rsid w:val="00860B22"/>
    <w:rsid w:val="00873FF9"/>
    <w:rsid w:val="00875CB3"/>
    <w:rsid w:val="00883D23"/>
    <w:rsid w:val="00884F92"/>
    <w:rsid w:val="008A089C"/>
    <w:rsid w:val="008A2BCE"/>
    <w:rsid w:val="008B73AA"/>
    <w:rsid w:val="008C17BE"/>
    <w:rsid w:val="008C48CD"/>
    <w:rsid w:val="008C545A"/>
    <w:rsid w:val="008C552D"/>
    <w:rsid w:val="008C5CC0"/>
    <w:rsid w:val="008D325A"/>
    <w:rsid w:val="008D43A2"/>
    <w:rsid w:val="008F4490"/>
    <w:rsid w:val="008F70DE"/>
    <w:rsid w:val="0092526E"/>
    <w:rsid w:val="009271E0"/>
    <w:rsid w:val="00933135"/>
    <w:rsid w:val="0093735A"/>
    <w:rsid w:val="009439C5"/>
    <w:rsid w:val="00951AE6"/>
    <w:rsid w:val="00957780"/>
    <w:rsid w:val="00967323"/>
    <w:rsid w:val="009704B5"/>
    <w:rsid w:val="0097465C"/>
    <w:rsid w:val="00977E8C"/>
    <w:rsid w:val="009864E6"/>
    <w:rsid w:val="009879EF"/>
    <w:rsid w:val="0099208C"/>
    <w:rsid w:val="009B1AE8"/>
    <w:rsid w:val="009B2B19"/>
    <w:rsid w:val="009B46D1"/>
    <w:rsid w:val="009B538E"/>
    <w:rsid w:val="009C44F6"/>
    <w:rsid w:val="009C468B"/>
    <w:rsid w:val="009C6DF1"/>
    <w:rsid w:val="009C7645"/>
    <w:rsid w:val="009D1986"/>
    <w:rsid w:val="009D259F"/>
    <w:rsid w:val="009D28F3"/>
    <w:rsid w:val="009E0A24"/>
    <w:rsid w:val="009E3A31"/>
    <w:rsid w:val="009E3B7F"/>
    <w:rsid w:val="009E4849"/>
    <w:rsid w:val="009E6E8F"/>
    <w:rsid w:val="00A044B5"/>
    <w:rsid w:val="00A05FF9"/>
    <w:rsid w:val="00A07F3D"/>
    <w:rsid w:val="00A10FE6"/>
    <w:rsid w:val="00A11375"/>
    <w:rsid w:val="00A11470"/>
    <w:rsid w:val="00A240FF"/>
    <w:rsid w:val="00A25355"/>
    <w:rsid w:val="00A25358"/>
    <w:rsid w:val="00A273BF"/>
    <w:rsid w:val="00A277FB"/>
    <w:rsid w:val="00A515CD"/>
    <w:rsid w:val="00A71983"/>
    <w:rsid w:val="00A74C15"/>
    <w:rsid w:val="00A85BB2"/>
    <w:rsid w:val="00A97BC6"/>
    <w:rsid w:val="00AA6F50"/>
    <w:rsid w:val="00AA740B"/>
    <w:rsid w:val="00AA7A61"/>
    <w:rsid w:val="00AB176E"/>
    <w:rsid w:val="00AB3B0E"/>
    <w:rsid w:val="00AB44D1"/>
    <w:rsid w:val="00AB572A"/>
    <w:rsid w:val="00AC4B9C"/>
    <w:rsid w:val="00AD4DA3"/>
    <w:rsid w:val="00AE600A"/>
    <w:rsid w:val="00AE7BE1"/>
    <w:rsid w:val="00AF0DE9"/>
    <w:rsid w:val="00AF6164"/>
    <w:rsid w:val="00B006F6"/>
    <w:rsid w:val="00B030CF"/>
    <w:rsid w:val="00B113F8"/>
    <w:rsid w:val="00B14281"/>
    <w:rsid w:val="00B15757"/>
    <w:rsid w:val="00B17CF6"/>
    <w:rsid w:val="00B227EC"/>
    <w:rsid w:val="00B23376"/>
    <w:rsid w:val="00B2539C"/>
    <w:rsid w:val="00B27C2C"/>
    <w:rsid w:val="00B34F90"/>
    <w:rsid w:val="00B35F39"/>
    <w:rsid w:val="00B44A6A"/>
    <w:rsid w:val="00B473A8"/>
    <w:rsid w:val="00B54179"/>
    <w:rsid w:val="00B54A89"/>
    <w:rsid w:val="00B571DB"/>
    <w:rsid w:val="00B57A65"/>
    <w:rsid w:val="00B67293"/>
    <w:rsid w:val="00B70D23"/>
    <w:rsid w:val="00B77C62"/>
    <w:rsid w:val="00B77DD5"/>
    <w:rsid w:val="00B814B4"/>
    <w:rsid w:val="00B8309A"/>
    <w:rsid w:val="00B87CF5"/>
    <w:rsid w:val="00B92DFC"/>
    <w:rsid w:val="00B97B15"/>
    <w:rsid w:val="00BB1BC2"/>
    <w:rsid w:val="00BC110C"/>
    <w:rsid w:val="00BC18D0"/>
    <w:rsid w:val="00BD69F6"/>
    <w:rsid w:val="00BD6ABD"/>
    <w:rsid w:val="00BE2A88"/>
    <w:rsid w:val="00BE5711"/>
    <w:rsid w:val="00BF3FEC"/>
    <w:rsid w:val="00C04A16"/>
    <w:rsid w:val="00C22BC0"/>
    <w:rsid w:val="00C2410B"/>
    <w:rsid w:val="00C327D4"/>
    <w:rsid w:val="00C346E2"/>
    <w:rsid w:val="00C35890"/>
    <w:rsid w:val="00C36328"/>
    <w:rsid w:val="00C364B6"/>
    <w:rsid w:val="00C424F0"/>
    <w:rsid w:val="00C45578"/>
    <w:rsid w:val="00C47163"/>
    <w:rsid w:val="00C47762"/>
    <w:rsid w:val="00C512E8"/>
    <w:rsid w:val="00C544EC"/>
    <w:rsid w:val="00C5582B"/>
    <w:rsid w:val="00C56249"/>
    <w:rsid w:val="00C575DB"/>
    <w:rsid w:val="00C62EB4"/>
    <w:rsid w:val="00C6429F"/>
    <w:rsid w:val="00C66D1E"/>
    <w:rsid w:val="00C7667D"/>
    <w:rsid w:val="00C8002E"/>
    <w:rsid w:val="00C805E6"/>
    <w:rsid w:val="00C84893"/>
    <w:rsid w:val="00C8568E"/>
    <w:rsid w:val="00C95ADD"/>
    <w:rsid w:val="00C97379"/>
    <w:rsid w:val="00CA17D4"/>
    <w:rsid w:val="00CB039C"/>
    <w:rsid w:val="00CB53B6"/>
    <w:rsid w:val="00CB6541"/>
    <w:rsid w:val="00CD39B1"/>
    <w:rsid w:val="00CD5574"/>
    <w:rsid w:val="00CD63CD"/>
    <w:rsid w:val="00CE12BF"/>
    <w:rsid w:val="00CE60C9"/>
    <w:rsid w:val="00CF60F2"/>
    <w:rsid w:val="00CF77A2"/>
    <w:rsid w:val="00D038B9"/>
    <w:rsid w:val="00D0456F"/>
    <w:rsid w:val="00D1615C"/>
    <w:rsid w:val="00D17C62"/>
    <w:rsid w:val="00D30181"/>
    <w:rsid w:val="00D30EB7"/>
    <w:rsid w:val="00D314F6"/>
    <w:rsid w:val="00D36CC0"/>
    <w:rsid w:val="00D44EEC"/>
    <w:rsid w:val="00D44EF2"/>
    <w:rsid w:val="00D465EA"/>
    <w:rsid w:val="00D50E23"/>
    <w:rsid w:val="00D534F9"/>
    <w:rsid w:val="00D53DBA"/>
    <w:rsid w:val="00D573BF"/>
    <w:rsid w:val="00D64FE6"/>
    <w:rsid w:val="00D71B90"/>
    <w:rsid w:val="00D90685"/>
    <w:rsid w:val="00D95717"/>
    <w:rsid w:val="00DA3287"/>
    <w:rsid w:val="00DA52AC"/>
    <w:rsid w:val="00DA52E1"/>
    <w:rsid w:val="00DA6EDD"/>
    <w:rsid w:val="00DA7565"/>
    <w:rsid w:val="00DD4928"/>
    <w:rsid w:val="00DE032C"/>
    <w:rsid w:val="00DE600D"/>
    <w:rsid w:val="00DF4519"/>
    <w:rsid w:val="00DF4683"/>
    <w:rsid w:val="00E00D85"/>
    <w:rsid w:val="00E01D72"/>
    <w:rsid w:val="00E13EE3"/>
    <w:rsid w:val="00E20224"/>
    <w:rsid w:val="00E258AA"/>
    <w:rsid w:val="00E261DF"/>
    <w:rsid w:val="00E26D39"/>
    <w:rsid w:val="00E305B9"/>
    <w:rsid w:val="00E338CF"/>
    <w:rsid w:val="00E3421B"/>
    <w:rsid w:val="00E35680"/>
    <w:rsid w:val="00E41B11"/>
    <w:rsid w:val="00E44242"/>
    <w:rsid w:val="00E518F6"/>
    <w:rsid w:val="00E522CE"/>
    <w:rsid w:val="00E52C50"/>
    <w:rsid w:val="00E53D99"/>
    <w:rsid w:val="00E62086"/>
    <w:rsid w:val="00E65E2F"/>
    <w:rsid w:val="00E74BD2"/>
    <w:rsid w:val="00E7567B"/>
    <w:rsid w:val="00E75DBE"/>
    <w:rsid w:val="00E85399"/>
    <w:rsid w:val="00E91383"/>
    <w:rsid w:val="00E91475"/>
    <w:rsid w:val="00E93C18"/>
    <w:rsid w:val="00E948B0"/>
    <w:rsid w:val="00E9763A"/>
    <w:rsid w:val="00EB293C"/>
    <w:rsid w:val="00EB2B5B"/>
    <w:rsid w:val="00EC042C"/>
    <w:rsid w:val="00EE1981"/>
    <w:rsid w:val="00EE36F1"/>
    <w:rsid w:val="00EE7054"/>
    <w:rsid w:val="00EF120D"/>
    <w:rsid w:val="00EF16BC"/>
    <w:rsid w:val="00EF1C65"/>
    <w:rsid w:val="00EF3C60"/>
    <w:rsid w:val="00EF784D"/>
    <w:rsid w:val="00F02059"/>
    <w:rsid w:val="00F02896"/>
    <w:rsid w:val="00F058D9"/>
    <w:rsid w:val="00F07729"/>
    <w:rsid w:val="00F21A4F"/>
    <w:rsid w:val="00F25036"/>
    <w:rsid w:val="00F25160"/>
    <w:rsid w:val="00F2718B"/>
    <w:rsid w:val="00F27BAC"/>
    <w:rsid w:val="00F304C9"/>
    <w:rsid w:val="00F3435F"/>
    <w:rsid w:val="00F36D1A"/>
    <w:rsid w:val="00F4206E"/>
    <w:rsid w:val="00F429C7"/>
    <w:rsid w:val="00F42F62"/>
    <w:rsid w:val="00F506F3"/>
    <w:rsid w:val="00F51B27"/>
    <w:rsid w:val="00F531E7"/>
    <w:rsid w:val="00F63C19"/>
    <w:rsid w:val="00F66CD3"/>
    <w:rsid w:val="00F67813"/>
    <w:rsid w:val="00F75E00"/>
    <w:rsid w:val="00F76B8E"/>
    <w:rsid w:val="00F80A42"/>
    <w:rsid w:val="00F817EE"/>
    <w:rsid w:val="00F94D18"/>
    <w:rsid w:val="00FA58CE"/>
    <w:rsid w:val="00FA58F8"/>
    <w:rsid w:val="00FA6144"/>
    <w:rsid w:val="00FB0D1E"/>
    <w:rsid w:val="00FB204B"/>
    <w:rsid w:val="00FB2A43"/>
    <w:rsid w:val="00FB43B3"/>
    <w:rsid w:val="00FC122D"/>
    <w:rsid w:val="00FC12BB"/>
    <w:rsid w:val="00FC1B55"/>
    <w:rsid w:val="00FC26A0"/>
    <w:rsid w:val="00FD25D4"/>
    <w:rsid w:val="00FD5C1C"/>
    <w:rsid w:val="00FD649F"/>
    <w:rsid w:val="00FD712E"/>
    <w:rsid w:val="00FE04E5"/>
    <w:rsid w:val="00FE1F40"/>
    <w:rsid w:val="00FE4C99"/>
    <w:rsid w:val="00FF0FF4"/>
    <w:rsid w:val="00FF1D83"/>
    <w:rsid w:val="00FF40F2"/>
    <w:rsid w:val="00FF7A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6E"/>
    <w:rPr>
      <w:sz w:val="24"/>
    </w:rPr>
  </w:style>
  <w:style w:type="paragraph" w:styleId="Heading1">
    <w:name w:val="heading 1"/>
    <w:basedOn w:val="Normal"/>
    <w:next w:val="Normal"/>
    <w:autoRedefine/>
    <w:qFormat/>
    <w:rsid w:val="002F1813"/>
    <w:pPr>
      <w:keepNext/>
      <w:spacing w:after="240"/>
      <w:outlineLvl w:val="0"/>
    </w:pPr>
    <w:rPr>
      <w:b/>
      <w:caps/>
      <w:szCs w:val="24"/>
    </w:rPr>
  </w:style>
  <w:style w:type="paragraph" w:styleId="Heading2">
    <w:name w:val="heading 2"/>
    <w:basedOn w:val="Normal"/>
    <w:next w:val="Normal"/>
    <w:autoRedefine/>
    <w:qFormat/>
    <w:rsid w:val="002F1813"/>
    <w:pPr>
      <w:keepNext/>
      <w:keepLines/>
      <w:widowControl w:val="0"/>
      <w:spacing w:after="240"/>
      <w:ind w:left="1440" w:hanging="720"/>
      <w:outlineLvl w:val="1"/>
    </w:pPr>
    <w:rPr>
      <w:b/>
      <w:bCs/>
      <w:szCs w:val="24"/>
    </w:rPr>
  </w:style>
  <w:style w:type="paragraph" w:styleId="Heading3">
    <w:name w:val="heading 3"/>
    <w:basedOn w:val="Normal"/>
    <w:next w:val="Normal"/>
    <w:qFormat/>
    <w:rsid w:val="00BD6ABD"/>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D6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BD6ABD"/>
    <w:pPr>
      <w:tabs>
        <w:tab w:val="center" w:pos="4320"/>
        <w:tab w:val="right" w:pos="8640"/>
      </w:tabs>
    </w:pPr>
    <w:rPr>
      <w:sz w:val="20"/>
    </w:rPr>
  </w:style>
  <w:style w:type="character" w:styleId="Hyperlink">
    <w:name w:val="Hyperlink"/>
    <w:uiPriority w:val="99"/>
    <w:rsid w:val="00BD6ABD"/>
    <w:rPr>
      <w:color w:val="0000FF"/>
      <w:u w:val="single"/>
    </w:rPr>
  </w:style>
  <w:style w:type="paragraph" w:styleId="FootnoteText">
    <w:name w:val="footnote text"/>
    <w:basedOn w:val="Normal"/>
    <w:link w:val="FootnoteTextChar"/>
    <w:uiPriority w:val="99"/>
    <w:rsid w:val="00250E2C"/>
    <w:pPr>
      <w:spacing w:after="120"/>
    </w:pPr>
    <w:rPr>
      <w:sz w:val="20"/>
    </w:rPr>
  </w:style>
  <w:style w:type="character" w:styleId="FootnoteReference">
    <w:name w:val="footnote reference"/>
    <w:uiPriority w:val="99"/>
    <w:semiHidden/>
    <w:rsid w:val="00BD6ABD"/>
    <w:rPr>
      <w:vertAlign w:val="superscript"/>
    </w:rPr>
  </w:style>
  <w:style w:type="paragraph" w:styleId="BodyTextIndent">
    <w:name w:val="Body Text Indent"/>
    <w:basedOn w:val="Normal"/>
    <w:link w:val="BodyTextIndentChar"/>
    <w:rsid w:val="00BD6ABD"/>
    <w:pPr>
      <w:spacing w:line="480" w:lineRule="auto"/>
      <w:ind w:firstLine="720"/>
    </w:pPr>
  </w:style>
  <w:style w:type="paragraph" w:styleId="BodyTextIndent3">
    <w:name w:val="Body Text Indent 3"/>
    <w:basedOn w:val="Normal"/>
    <w:link w:val="BodyTextIndent3Char"/>
    <w:rsid w:val="00BD6ABD"/>
    <w:pPr>
      <w:spacing w:line="480" w:lineRule="atLeast"/>
      <w:ind w:firstLine="720"/>
    </w:pPr>
  </w:style>
  <w:style w:type="paragraph" w:styleId="BodyTextIndent2">
    <w:name w:val="Body Text Indent 2"/>
    <w:basedOn w:val="Normal"/>
    <w:rsid w:val="00BD6ABD"/>
    <w:pPr>
      <w:tabs>
        <w:tab w:val="left" w:pos="720"/>
      </w:tabs>
      <w:spacing w:before="240" w:after="240"/>
      <w:ind w:left="1464" w:hanging="744"/>
    </w:pPr>
  </w:style>
  <w:style w:type="character" w:styleId="PageNumber">
    <w:name w:val="page number"/>
    <w:basedOn w:val="DefaultParagraphFont"/>
    <w:rsid w:val="00BD6ABD"/>
  </w:style>
  <w:style w:type="paragraph" w:styleId="BodyText">
    <w:name w:val="Body Text"/>
    <w:basedOn w:val="Normal"/>
    <w:link w:val="BodyTextChar"/>
    <w:rsid w:val="00BD6ABD"/>
    <w:pPr>
      <w:jc w:val="both"/>
    </w:pPr>
  </w:style>
  <w:style w:type="paragraph" w:styleId="BlockText">
    <w:name w:val="Block Text"/>
    <w:basedOn w:val="Normal"/>
    <w:rsid w:val="00BD6ABD"/>
    <w:pPr>
      <w:ind w:left="1440" w:right="720"/>
    </w:pPr>
  </w:style>
  <w:style w:type="paragraph" w:styleId="EndnoteText">
    <w:name w:val="endnote text"/>
    <w:basedOn w:val="Normal"/>
    <w:semiHidden/>
    <w:rsid w:val="00BD6ABD"/>
    <w:rPr>
      <w:sz w:val="20"/>
    </w:rPr>
  </w:style>
  <w:style w:type="character" w:styleId="EndnoteReference">
    <w:name w:val="endnote reference"/>
    <w:semiHidden/>
    <w:rsid w:val="00BD6ABD"/>
    <w:rPr>
      <w:vertAlign w:val="superscript"/>
    </w:rPr>
  </w:style>
  <w:style w:type="paragraph" w:styleId="BodyText2">
    <w:name w:val="Body Text 2"/>
    <w:basedOn w:val="Normal"/>
    <w:rsid w:val="00BD6ABD"/>
    <w:pPr>
      <w:spacing w:line="480" w:lineRule="auto"/>
      <w:ind w:right="1440"/>
    </w:pPr>
  </w:style>
  <w:style w:type="paragraph" w:styleId="Header">
    <w:name w:val="header"/>
    <w:basedOn w:val="Normal"/>
    <w:rsid w:val="00BD6ABD"/>
    <w:pPr>
      <w:tabs>
        <w:tab w:val="center" w:pos="4320"/>
        <w:tab w:val="right" w:pos="8640"/>
      </w:tabs>
    </w:pPr>
  </w:style>
  <w:style w:type="paragraph" w:styleId="BalloonText">
    <w:name w:val="Balloon Text"/>
    <w:basedOn w:val="Normal"/>
    <w:semiHidden/>
    <w:rsid w:val="00BD6ABD"/>
    <w:rPr>
      <w:rFonts w:ascii="Lucida Grande" w:hAnsi="Lucida Grande"/>
      <w:sz w:val="18"/>
      <w:szCs w:val="18"/>
    </w:rPr>
  </w:style>
  <w:style w:type="character" w:styleId="CommentReference">
    <w:name w:val="annotation reference"/>
    <w:semiHidden/>
    <w:rsid w:val="00BD6ABD"/>
    <w:rPr>
      <w:sz w:val="18"/>
    </w:rPr>
  </w:style>
  <w:style w:type="paragraph" w:styleId="CommentText">
    <w:name w:val="annotation text"/>
    <w:basedOn w:val="Normal"/>
    <w:semiHidden/>
    <w:rsid w:val="00BD6ABD"/>
    <w:rPr>
      <w:szCs w:val="24"/>
    </w:rPr>
  </w:style>
  <w:style w:type="paragraph" w:styleId="CommentSubject">
    <w:name w:val="annotation subject"/>
    <w:basedOn w:val="CommentText"/>
    <w:next w:val="CommentText"/>
    <w:semiHidden/>
    <w:rsid w:val="00BD6ABD"/>
    <w:rPr>
      <w:szCs w:val="20"/>
    </w:rPr>
  </w:style>
  <w:style w:type="character" w:styleId="FollowedHyperlink">
    <w:name w:val="FollowedHyperlink"/>
    <w:rsid w:val="00BD6ABD"/>
    <w:rPr>
      <w:color w:val="800080"/>
      <w:u w:val="single"/>
    </w:rPr>
  </w:style>
  <w:style w:type="character" w:customStyle="1" w:styleId="term1">
    <w:name w:val="term1"/>
    <w:rsid w:val="00BD6ABD"/>
    <w:rPr>
      <w:b/>
      <w:bCs/>
    </w:rPr>
  </w:style>
  <w:style w:type="table" w:styleId="TableGrid">
    <w:name w:val="Table Grid"/>
    <w:basedOn w:val="TableNormal"/>
    <w:uiPriority w:val="59"/>
    <w:rsid w:val="00BD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D6ABD"/>
    <w:pPr>
      <w:suppressAutoHyphens/>
      <w:spacing w:line="480" w:lineRule="atLeast"/>
      <w:ind w:firstLine="720"/>
    </w:pPr>
    <w:rPr>
      <w:lang w:eastAsia="ar-SA"/>
    </w:rPr>
  </w:style>
  <w:style w:type="character" w:customStyle="1" w:styleId="FootnoteTextChar">
    <w:name w:val="Footnote Text Char"/>
    <w:link w:val="FootnoteText"/>
    <w:uiPriority w:val="99"/>
    <w:locked/>
    <w:rsid w:val="00250E2C"/>
  </w:style>
  <w:style w:type="character" w:customStyle="1" w:styleId="UnresolvedMention1">
    <w:name w:val="Unresolved Mention1"/>
    <w:uiPriority w:val="99"/>
    <w:semiHidden/>
    <w:unhideWhenUsed/>
    <w:rsid w:val="00424354"/>
    <w:rPr>
      <w:color w:val="605E5C"/>
      <w:shd w:val="clear" w:color="auto" w:fill="E1DFDD"/>
    </w:rPr>
  </w:style>
  <w:style w:type="character" w:customStyle="1" w:styleId="BodyTextChar">
    <w:name w:val="Body Text Char"/>
    <w:link w:val="BodyText"/>
    <w:rsid w:val="00250E2C"/>
    <w:rPr>
      <w:sz w:val="24"/>
    </w:rPr>
  </w:style>
  <w:style w:type="character" w:customStyle="1" w:styleId="BodyTextIndentChar">
    <w:name w:val="Body Text Indent Char"/>
    <w:link w:val="BodyTextIndent"/>
    <w:rsid w:val="00250E2C"/>
    <w:rPr>
      <w:sz w:val="24"/>
    </w:rPr>
  </w:style>
  <w:style w:type="paragraph" w:styleId="ListParagraph">
    <w:name w:val="List Paragraph"/>
    <w:basedOn w:val="Normal"/>
    <w:uiPriority w:val="34"/>
    <w:qFormat/>
    <w:rsid w:val="005E2783"/>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AB176E"/>
    <w:rPr>
      <w:rFonts w:ascii="Courier New" w:eastAsia="Courier New" w:hAnsi="Courier New" w:cs="Courier New"/>
    </w:rPr>
  </w:style>
  <w:style w:type="character" w:customStyle="1" w:styleId="FooterChar">
    <w:name w:val="Footer Char"/>
    <w:basedOn w:val="DefaultParagraphFont"/>
    <w:link w:val="Footer"/>
    <w:uiPriority w:val="99"/>
    <w:rsid w:val="00AB176E"/>
  </w:style>
  <w:style w:type="character" w:customStyle="1" w:styleId="BodyTextIndent3Char">
    <w:name w:val="Body Text Indent 3 Char"/>
    <w:basedOn w:val="DefaultParagraphFont"/>
    <w:link w:val="BodyTextIndent3"/>
    <w:rsid w:val="00AB176E"/>
    <w:rPr>
      <w:sz w:val="24"/>
    </w:rPr>
  </w:style>
  <w:style w:type="paragraph" w:styleId="TOC1">
    <w:name w:val="toc 1"/>
    <w:basedOn w:val="Normal"/>
    <w:next w:val="Normal"/>
    <w:autoRedefine/>
    <w:uiPriority w:val="39"/>
    <w:rsid w:val="00C5582B"/>
    <w:pPr>
      <w:tabs>
        <w:tab w:val="decimal" w:leader="dot" w:pos="9360"/>
      </w:tabs>
      <w:spacing w:after="240"/>
      <w:ind w:left="720" w:hanging="720"/>
    </w:pPr>
    <w:rPr>
      <w:caps/>
    </w:rPr>
  </w:style>
  <w:style w:type="paragraph" w:styleId="TOC2">
    <w:name w:val="toc 2"/>
    <w:basedOn w:val="Normal"/>
    <w:next w:val="Normal"/>
    <w:autoRedefine/>
    <w:uiPriority w:val="39"/>
    <w:qFormat/>
    <w:rsid w:val="00C5582B"/>
    <w:pPr>
      <w:tabs>
        <w:tab w:val="decimal" w:leader="dot" w:pos="9360"/>
      </w:tabs>
      <w:spacing w:after="240"/>
      <w:ind w:left="1440" w:hanging="720"/>
    </w:pPr>
  </w:style>
  <w:style w:type="character" w:customStyle="1" w:styleId="UnresolvedMention2">
    <w:name w:val="Unresolved Mention2"/>
    <w:basedOn w:val="DefaultParagraphFont"/>
    <w:uiPriority w:val="99"/>
    <w:semiHidden/>
    <w:unhideWhenUsed/>
    <w:rsid w:val="00C327D4"/>
    <w:rPr>
      <w:color w:val="605E5C"/>
      <w:shd w:val="clear" w:color="auto" w:fill="E1DFDD"/>
    </w:rPr>
  </w:style>
  <w:style w:type="paragraph" w:customStyle="1" w:styleId="xmsonormal">
    <w:name w:val="x_msonormal"/>
    <w:basedOn w:val="Normal"/>
    <w:rsid w:val="000304AA"/>
    <w:pPr>
      <w:spacing w:before="100" w:beforeAutospacing="1" w:after="100" w:afterAutospacing="1"/>
    </w:pPr>
    <w:rPr>
      <w:szCs w:val="24"/>
      <w:lang w:eastAsia="zh-CN"/>
    </w:rPr>
  </w:style>
  <w:style w:type="character" w:customStyle="1" w:styleId="UnresolvedMention3">
    <w:name w:val="Unresolved Mention3"/>
    <w:basedOn w:val="DefaultParagraphFont"/>
    <w:uiPriority w:val="99"/>
    <w:semiHidden/>
    <w:unhideWhenUsed/>
    <w:rsid w:val="0049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4.xml" /><Relationship Id="rId17" Type="http://schemas.openxmlformats.org/officeDocument/2006/relationships/footer" Target="footer6.xml" /><Relationship Id="rId18" Type="http://schemas.openxmlformats.org/officeDocument/2006/relationships/hyperlink" Target="mailto:Thomas.mcnamee@ohioattoreygeneral.gov" TargetMode="External" /><Relationship Id="rId19" Type="http://schemas.openxmlformats.org/officeDocument/2006/relationships/hyperlink" Target="mailto:Megan.addison@puco.ohio.gov" TargetMode="External" /><Relationship Id="rId2" Type="http://schemas.openxmlformats.org/officeDocument/2006/relationships/settings" Target="settings.xml" /><Relationship Id="rId20" Type="http://schemas.openxmlformats.org/officeDocument/2006/relationships/hyperlink" Target="mailto:Nicholas.walstra@puco.ohio.gov" TargetMode="External" /><Relationship Id="rId21" Type="http://schemas.openxmlformats.org/officeDocument/2006/relationships/hyperlink" Target="mailto:Lauren.augostini@puco.ohio.goc" TargetMode="External" /><Relationship Id="rId22" Type="http://schemas.openxmlformats.org/officeDocument/2006/relationships/hyperlink" Target="mailto:Patricia.schabo@puco.ohio.gov" TargetMode="External" /><Relationship Id="rId23" Type="http://schemas.openxmlformats.org/officeDocument/2006/relationships/hyperlink" Target="mailto:Gregory.price@ohio.gov" TargetMode="External" /><Relationship Id="rId24" Type="http://schemas.openxmlformats.org/officeDocument/2006/relationships/hyperlink" Target="mailto:Sarah.parrot@puco.ohio.gov" TargetMode="External" /><Relationship Id="rId25" Type="http://schemas.openxmlformats.org/officeDocument/2006/relationships/hyperlink" Target="mailto:Greta.see@puco.ohio.gov" TargetMode="External" /><Relationship Id="rId26" Type="http://schemas.openxmlformats.org/officeDocument/2006/relationships/hyperlink" Target="mailto:Rocco.dascenzo@duke-energy.com" TargetMode="External" /><Relationship Id="rId27" Type="http://schemas.openxmlformats.org/officeDocument/2006/relationships/hyperlink" Target="mailto:Jeanne.kingery@duke-energy.com" TargetMode="External" /><Relationship Id="rId28" Type="http://schemas.openxmlformats.org/officeDocument/2006/relationships/hyperlink" Target="mailto:Larisa.vaysman@duke-energy.com" TargetMode="External" /><Relationship Id="rId29" Type="http://schemas.openxmlformats.org/officeDocument/2006/relationships/hyperlink" Target="mailto:Joe.oliker@igs.com" TargetMode="External" /><Relationship Id="rId3" Type="http://schemas.openxmlformats.org/officeDocument/2006/relationships/webSettings" Target="webSettings.xml" /><Relationship Id="rId30" Type="http://schemas.openxmlformats.org/officeDocument/2006/relationships/hyperlink" Target="mailto:Michael.nugent@igs.com" TargetMode="External" /><Relationship Id="rId31" Type="http://schemas.openxmlformats.org/officeDocument/2006/relationships/hyperlink" Target="mailto:Bethany.allen@igs.com" TargetMode="External" /><Relationship Id="rId32" Type="http://schemas.openxmlformats.org/officeDocument/2006/relationships/hyperlink" Target="mailto:talexander@calfee.co" TargetMode="External" /><Relationship Id="rId33" Type="http://schemas.openxmlformats.org/officeDocument/2006/relationships/hyperlink" Target="mailto:khehmeyer@calfee.com" TargetMode="External" /><Relationship Id="rId34" Type="http://schemas.openxmlformats.org/officeDocument/2006/relationships/hyperlink" Target="mailto:rendris@firstenergycorp.com" TargetMode="External" /><Relationship Id="rId35" Type="http://schemas.openxmlformats.org/officeDocument/2006/relationships/hyperlink" Target="mailto:mkurtz@BKLlawfirm.com" TargetMode="External" /><Relationship Id="rId36" Type="http://schemas.openxmlformats.org/officeDocument/2006/relationships/hyperlink" Target="mailto:kboehm@BKLlawfirm.com" TargetMode="External" /><Relationship Id="rId37" Type="http://schemas.openxmlformats.org/officeDocument/2006/relationships/hyperlink" Target="mailto:jkylercohn@BKLlawfirm.com" TargetMode="External" /><Relationship Id="rId38" Type="http://schemas.openxmlformats.org/officeDocument/2006/relationships/hyperlink" Target="mailto:Michael.schuler@aes.com" TargetMode="External" /><Relationship Id="rId39" Type="http://schemas.openxmlformats.org/officeDocument/2006/relationships/hyperlink" Target="mailto:stnourse@aep.com" TargetMode="External" /><Relationship Id="rId4" Type="http://schemas.openxmlformats.org/officeDocument/2006/relationships/fontTable" Target="fontTable.xml" /><Relationship Id="rId40" Type="http://schemas.openxmlformats.org/officeDocument/2006/relationships/header" Target="header5.xml" /><Relationship Id="rId41" Type="http://schemas.openxmlformats.org/officeDocument/2006/relationships/footer" Target="footer7.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legislature.ohio.gov/download?key=8111&amp;format=pdf" TargetMode="External" /><Relationship Id="rId2" Type="http://schemas.openxmlformats.org/officeDocument/2006/relationships/hyperlink" Target="https://engagedscholarship.csuohio.edu/cgi/viewcontent.cgi?article=2620&amp;context=urban_facpub" TargetMode="External" /><Relationship Id="rId3" Type="http://schemas.openxmlformats.org/officeDocument/2006/relationships/hyperlink" Target="http://www.duke-energyohiocbp.com/portals/0/Documents/DEO_ESP_Schedule.pdf" TargetMode="External" /><Relationship Id="rId4" Type="http://schemas.openxmlformats.org/officeDocument/2006/relationships/hyperlink" Target="http://www.aepohiocbp.com/assets/userFiles/file/ESP%20IV%20Auctions%20Provisional%20Schedule%2023%20JAN%202020.pdf" TargetMode="External" /><Relationship Id="rId5" Type="http://schemas.openxmlformats.org/officeDocument/2006/relationships/hyperlink" Target="https://www.firstenergycbp.com/Portals/0/FEOU_ESP_Auctions_Schedule_ESP-IV_2016042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CA6A-8107-488B-A730-20322FA6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SSO Auction Draft Reply Comments (5-26-2020)_cmh.ls.mw.ls.dfs  (00144349.DOCX;1)</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2020-05-29T19:03:20Z</dcterms:created>
  <dcterms:modified xsi:type="dcterms:W3CDTF">2020-05-29T19:03:20Z</dcterms:modified>
</cp:coreProperties>
</file>