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359C5" w14:textId="77777777" w:rsidR="00B73263" w:rsidRPr="00B5096A" w:rsidRDefault="00B73263" w:rsidP="00EE4DAE">
      <w:pPr>
        <w:jc w:val="center"/>
        <w:rPr>
          <w:b/>
        </w:rPr>
      </w:pPr>
      <w:bookmarkStart w:id="0" w:name="_GoBack"/>
      <w:bookmarkEnd w:id="0"/>
      <w:r w:rsidRPr="00B5096A">
        <w:rPr>
          <w:b/>
        </w:rPr>
        <w:t>BEFORE</w:t>
      </w:r>
    </w:p>
    <w:p w14:paraId="09F77ACA" w14:textId="77777777" w:rsidR="00B73263" w:rsidRPr="00B5096A" w:rsidRDefault="00B73263" w:rsidP="00B73263">
      <w:pPr>
        <w:jc w:val="center"/>
        <w:rPr>
          <w:b/>
        </w:rPr>
      </w:pPr>
      <w:r w:rsidRPr="00B5096A">
        <w:rPr>
          <w:b/>
        </w:rPr>
        <w:t>THE PUBLIC UTILITIES COMMISSION OF OHIO</w:t>
      </w:r>
    </w:p>
    <w:p w14:paraId="762E4EE7" w14:textId="77777777" w:rsidR="00B73263" w:rsidRDefault="00B73263" w:rsidP="00B73263">
      <w:pPr>
        <w:jc w:val="center"/>
        <w:rPr>
          <w:b/>
        </w:rPr>
      </w:pPr>
    </w:p>
    <w:p w14:paraId="6995FB9A" w14:textId="77777777" w:rsidR="00B73263" w:rsidRDefault="00B73263" w:rsidP="00B73263">
      <w:pPr>
        <w:jc w:val="center"/>
        <w:rPr>
          <w:b/>
        </w:rPr>
      </w:pPr>
    </w:p>
    <w:p w14:paraId="39E23211" w14:textId="77777777" w:rsidR="00B73263" w:rsidRDefault="00B73263" w:rsidP="00B73263">
      <w:r>
        <w:t>In the Matter of the Commission’s</w:t>
      </w:r>
      <w:r>
        <w:tab/>
      </w:r>
      <w:r>
        <w:tab/>
        <w:t>)</w:t>
      </w:r>
      <w:r>
        <w:tab/>
      </w:r>
    </w:p>
    <w:p w14:paraId="35A777F7" w14:textId="77777777" w:rsidR="00B73263" w:rsidRDefault="00B73263" w:rsidP="00B73263">
      <w:r>
        <w:t>Investigation of Submetering in the</w:t>
      </w:r>
      <w:r>
        <w:tab/>
        <w:t>)</w:t>
      </w:r>
      <w:r>
        <w:tab/>
        <w:t>Case No. 15-1594-AU-COI</w:t>
      </w:r>
    </w:p>
    <w:p w14:paraId="74B204A3" w14:textId="77777777" w:rsidR="00B73263" w:rsidRDefault="00B73263" w:rsidP="00B73263">
      <w:proofErr w:type="gramStart"/>
      <w:r>
        <w:t>State of Ohio.</w:t>
      </w:r>
      <w:proofErr w:type="gramEnd"/>
      <w:r>
        <w:tab/>
      </w:r>
      <w:r>
        <w:tab/>
      </w:r>
      <w:r>
        <w:tab/>
      </w:r>
      <w:r>
        <w:tab/>
        <w:t>)</w:t>
      </w:r>
    </w:p>
    <w:p w14:paraId="6C68CD1C" w14:textId="77777777" w:rsidR="00B73263" w:rsidRDefault="00B73263" w:rsidP="00B73263">
      <w:pPr>
        <w:rPr>
          <w:b/>
        </w:rPr>
      </w:pPr>
    </w:p>
    <w:p w14:paraId="0B919A98" w14:textId="77777777" w:rsidR="00B73263" w:rsidRPr="008E0FA7" w:rsidRDefault="00B73263" w:rsidP="00B73263">
      <w:pPr>
        <w:rPr>
          <w:b/>
        </w:rPr>
      </w:pPr>
      <w:r w:rsidRPr="008E0FA7">
        <w:rPr>
          <w:b/>
        </w:rPr>
        <w:t>______________________________________________________________________</w:t>
      </w:r>
    </w:p>
    <w:p w14:paraId="6BE47097" w14:textId="77777777" w:rsidR="00B73263" w:rsidRDefault="00B73263" w:rsidP="00B73263"/>
    <w:p w14:paraId="2988D119" w14:textId="6EB49A09" w:rsidR="00B73263" w:rsidRPr="00B5096A" w:rsidRDefault="00B73263" w:rsidP="00B73263">
      <w:pPr>
        <w:jc w:val="center"/>
        <w:rPr>
          <w:rFonts w:ascii="Arial Bold" w:hAnsi="Arial Bold"/>
          <w:b/>
          <w:smallCaps/>
        </w:rPr>
      </w:pPr>
      <w:r w:rsidRPr="00421FF1">
        <w:rPr>
          <w:rFonts w:ascii="Arial Bold" w:hAnsi="Arial Bold"/>
          <w:b/>
          <w:caps/>
        </w:rPr>
        <w:t xml:space="preserve">Comments </w:t>
      </w:r>
      <w:r w:rsidR="0051629B">
        <w:rPr>
          <w:rFonts w:ascii="Arial Bold" w:hAnsi="Arial Bold"/>
          <w:b/>
          <w:caps/>
        </w:rPr>
        <w:t xml:space="preserve">on </w:t>
      </w:r>
      <w:r w:rsidR="005C2C4E">
        <w:rPr>
          <w:rFonts w:ascii="Arial Bold" w:hAnsi="Arial Bold"/>
          <w:b/>
          <w:caps/>
        </w:rPr>
        <w:t xml:space="preserve">THE </w:t>
      </w:r>
      <w:r w:rsidR="0051629B">
        <w:rPr>
          <w:rFonts w:ascii="Arial Bold" w:hAnsi="Arial Bold"/>
          <w:b/>
          <w:caps/>
        </w:rPr>
        <w:t xml:space="preserve">relative price test </w:t>
      </w:r>
      <w:r w:rsidRPr="00421FF1">
        <w:rPr>
          <w:rFonts w:ascii="Arial Bold" w:hAnsi="Arial Bold"/>
          <w:b/>
          <w:caps/>
        </w:rPr>
        <w:t>of</w:t>
      </w:r>
      <w:r w:rsidR="007F5EF3">
        <w:rPr>
          <w:rFonts w:ascii="Arial Bold" w:hAnsi="Arial Bold"/>
          <w:b/>
          <w:caps/>
        </w:rPr>
        <w:t xml:space="preserve"> </w:t>
      </w:r>
      <w:r w:rsidRPr="00421FF1">
        <w:rPr>
          <w:rFonts w:ascii="Arial Bold" w:hAnsi="Arial Bold"/>
          <w:b/>
          <w:caps/>
        </w:rPr>
        <w:t>Industrial Energy Users-Ohio</w:t>
      </w:r>
      <w:r w:rsidR="00AF3A10">
        <w:rPr>
          <w:rFonts w:ascii="Arial Bold" w:hAnsi="Arial Bold"/>
          <w:b/>
          <w:caps/>
        </w:rPr>
        <w:t>,</w:t>
      </w:r>
      <w:r w:rsidR="00252936">
        <w:rPr>
          <w:rFonts w:ascii="Arial Bold" w:hAnsi="Arial Bold"/>
          <w:b/>
          <w:caps/>
        </w:rPr>
        <w:t xml:space="preserve"> ohio hospital association</w:t>
      </w:r>
      <w:r w:rsidR="007F5EF3">
        <w:rPr>
          <w:rFonts w:ascii="Arial Bold" w:hAnsi="Arial Bold"/>
          <w:b/>
          <w:caps/>
        </w:rPr>
        <w:t>,</w:t>
      </w:r>
      <w:r w:rsidR="00AF3A10">
        <w:rPr>
          <w:rFonts w:ascii="Arial Bold" w:hAnsi="Arial Bold"/>
          <w:b/>
          <w:caps/>
        </w:rPr>
        <w:t xml:space="preserve"> and Ohio Manufacturers’ Association</w:t>
      </w:r>
    </w:p>
    <w:p w14:paraId="00CA755E" w14:textId="77777777" w:rsidR="00B73263" w:rsidRPr="008E0FA7" w:rsidRDefault="00B73263" w:rsidP="00B73263">
      <w:pPr>
        <w:rPr>
          <w:b/>
        </w:rPr>
      </w:pPr>
      <w:r w:rsidRPr="008E0FA7">
        <w:rPr>
          <w:b/>
        </w:rPr>
        <w:t>______________________________________________________________________</w:t>
      </w:r>
    </w:p>
    <w:p w14:paraId="72053CFC" w14:textId="77777777" w:rsidR="00B73263" w:rsidRDefault="00B73263" w:rsidP="00B73263"/>
    <w:p w14:paraId="1BAF3155" w14:textId="77777777" w:rsidR="00B73263" w:rsidRDefault="00B73263" w:rsidP="00B73263">
      <w:pPr>
        <w:widowControl w:val="0"/>
        <w:ind w:left="4320"/>
        <w:rPr>
          <w:rFonts w:eastAsia="Calibri" w:cs="Arial"/>
          <w:bCs/>
        </w:rPr>
      </w:pPr>
    </w:p>
    <w:p w14:paraId="2B043963" w14:textId="77777777" w:rsidR="00B73263" w:rsidRDefault="00B73263" w:rsidP="00B73263">
      <w:pPr>
        <w:widowControl w:val="0"/>
        <w:ind w:left="4320"/>
        <w:rPr>
          <w:rFonts w:eastAsia="Calibri" w:cs="Arial"/>
          <w:bCs/>
        </w:rPr>
      </w:pPr>
    </w:p>
    <w:p w14:paraId="5C122D31" w14:textId="77777777" w:rsidR="00B73263" w:rsidRDefault="00B73263" w:rsidP="00B73263">
      <w:pPr>
        <w:widowControl w:val="0"/>
        <w:ind w:left="4320"/>
        <w:rPr>
          <w:rFonts w:eastAsia="Calibri" w:cs="Arial"/>
          <w:bCs/>
        </w:rPr>
      </w:pPr>
      <w:r>
        <w:rPr>
          <w:rFonts w:eastAsia="Calibri" w:cs="Arial"/>
          <w:bCs/>
        </w:rPr>
        <w:t>Frank P. Darr (Reg. No. 0025469)</w:t>
      </w:r>
    </w:p>
    <w:p w14:paraId="405C8D6A" w14:textId="77777777" w:rsidR="00B73263" w:rsidRDefault="00B73263" w:rsidP="00B73263">
      <w:pPr>
        <w:widowControl w:val="0"/>
        <w:ind w:left="4320"/>
        <w:rPr>
          <w:rFonts w:eastAsia="Calibri" w:cs="Arial"/>
          <w:bCs/>
        </w:rPr>
      </w:pPr>
      <w:r>
        <w:rPr>
          <w:rFonts w:eastAsia="Calibri" w:cs="Arial"/>
          <w:bCs/>
        </w:rPr>
        <w:t>(Counsel of Record)</w:t>
      </w:r>
    </w:p>
    <w:p w14:paraId="39A9E277" w14:textId="77777777" w:rsidR="00B73263" w:rsidRDefault="00B73263" w:rsidP="00B73263">
      <w:pPr>
        <w:widowControl w:val="0"/>
        <w:ind w:left="4320"/>
        <w:rPr>
          <w:rFonts w:eastAsia="Calibri" w:cs="Arial"/>
          <w:b/>
          <w:bCs/>
        </w:rPr>
      </w:pPr>
      <w:r>
        <w:rPr>
          <w:rFonts w:eastAsia="Calibri" w:cs="Arial"/>
          <w:bCs/>
        </w:rPr>
        <w:t>Matthew R. Pritchard (Reg. No. 0088070)</w:t>
      </w:r>
    </w:p>
    <w:p w14:paraId="4561C998" w14:textId="77777777" w:rsidR="00B73263" w:rsidRDefault="00B73263" w:rsidP="00B73263">
      <w:pPr>
        <w:widowControl w:val="0"/>
        <w:ind w:left="4320"/>
        <w:rPr>
          <w:rFonts w:eastAsia="Calibri" w:cs="Arial"/>
          <w:b/>
          <w:bCs/>
          <w:smallCaps/>
        </w:rPr>
      </w:pPr>
      <w:r>
        <w:rPr>
          <w:rFonts w:eastAsia="Calibri" w:cs="Arial"/>
          <w:bCs/>
          <w:smallCaps/>
        </w:rPr>
        <w:t>McNees Wallace &amp; Nurick LLC</w:t>
      </w:r>
    </w:p>
    <w:p w14:paraId="537FA84E" w14:textId="77777777" w:rsidR="00B73263" w:rsidRDefault="00B73263" w:rsidP="00B73263">
      <w:pPr>
        <w:widowControl w:val="0"/>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63689B3D" w14:textId="77777777" w:rsidR="00B73263" w:rsidRDefault="00B73263" w:rsidP="00B73263">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3F186A5F" w14:textId="77777777" w:rsidR="00B73263" w:rsidRDefault="00B73263" w:rsidP="00B73263">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26B597FA" w14:textId="77777777" w:rsidR="00B73263" w:rsidRDefault="00B73263" w:rsidP="00B7326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Telecopier:  (614) 469-4653</w:t>
      </w:r>
    </w:p>
    <w:p w14:paraId="1F942704" w14:textId="77777777" w:rsidR="00B73263" w:rsidRDefault="00B73263" w:rsidP="00B7326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11A98C16" w14:textId="77777777" w:rsidR="00B73263" w:rsidRDefault="00B73263" w:rsidP="00B7326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14:paraId="306FF458" w14:textId="77777777" w:rsidR="00B73263" w:rsidRDefault="00B73263" w:rsidP="00B73263">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51FDB154" w14:textId="77777777" w:rsidR="00B73263" w:rsidRDefault="00B73263" w:rsidP="00B7326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14:paraId="0C88C9CC" w14:textId="77777777" w:rsidR="00B73263" w:rsidRDefault="00B73263" w:rsidP="00B73263">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76B24842" w14:textId="3BF9FFCF" w:rsidR="00B73263" w:rsidRDefault="00B73263" w:rsidP="00D31FB6">
      <w:pPr>
        <w:ind w:left="4320"/>
        <w:rPr>
          <w:rFonts w:cs="Arial"/>
          <w:b/>
          <w:smallCaps/>
          <w:color w:val="000000"/>
        </w:rPr>
      </w:pPr>
      <w:r>
        <w:rPr>
          <w:rFonts w:cs="Arial"/>
          <w:b/>
          <w:smallCaps/>
          <w:color w:val="000000"/>
        </w:rPr>
        <w:t>On Behalf of Industrial Energy Users-Ohio</w:t>
      </w:r>
    </w:p>
    <w:p w14:paraId="103FFC7E" w14:textId="040CDBA0" w:rsidR="00252936" w:rsidRPr="00252936" w:rsidRDefault="00252936" w:rsidP="00D31FB6">
      <w:pPr>
        <w:rPr>
          <w:rFonts w:cs="Arial"/>
          <w:b/>
          <w:smallCaps/>
          <w:color w:val="000000"/>
        </w:rPr>
      </w:pPr>
    </w:p>
    <w:p w14:paraId="01C619C3" w14:textId="77777777" w:rsidR="00252936" w:rsidRPr="00D31FB6" w:rsidRDefault="00252936" w:rsidP="00252936">
      <w:pPr>
        <w:ind w:left="4320"/>
        <w:rPr>
          <w:rFonts w:cs="Arial"/>
          <w:color w:val="000000"/>
        </w:rPr>
      </w:pPr>
      <w:r w:rsidRPr="00D31FB6">
        <w:rPr>
          <w:rFonts w:cs="Arial"/>
          <w:color w:val="000000"/>
        </w:rPr>
        <w:t>Richard L. Sites</w:t>
      </w:r>
    </w:p>
    <w:p w14:paraId="27D6F2DB" w14:textId="77777777" w:rsidR="00252936" w:rsidRPr="00D31FB6" w:rsidRDefault="00252936" w:rsidP="00252936">
      <w:pPr>
        <w:ind w:left="4320"/>
        <w:rPr>
          <w:rFonts w:cs="Arial"/>
          <w:color w:val="000000"/>
        </w:rPr>
      </w:pPr>
      <w:r w:rsidRPr="00D31FB6">
        <w:rPr>
          <w:rFonts w:cs="Arial"/>
          <w:color w:val="000000"/>
        </w:rPr>
        <w:t>Regulatory Counsel</w:t>
      </w:r>
    </w:p>
    <w:p w14:paraId="7C2F8B0E" w14:textId="0F7F9373" w:rsidR="00252936" w:rsidRPr="00D31FB6" w:rsidRDefault="00922ECA" w:rsidP="00252936">
      <w:pPr>
        <w:ind w:left="4320"/>
        <w:rPr>
          <w:rFonts w:cs="Arial"/>
          <w:color w:val="000000"/>
        </w:rPr>
      </w:pPr>
      <w:r w:rsidRPr="00D31FB6">
        <w:rPr>
          <w:rFonts w:cs="Arial"/>
          <w:color w:val="000000"/>
        </w:rPr>
        <w:t>Ohio Hospital Association</w:t>
      </w:r>
    </w:p>
    <w:p w14:paraId="46F6A494" w14:textId="77777777" w:rsidR="00252936" w:rsidRPr="00D31FB6" w:rsidRDefault="00252936" w:rsidP="00252936">
      <w:pPr>
        <w:ind w:left="4320"/>
        <w:rPr>
          <w:rFonts w:cs="Arial"/>
          <w:color w:val="000000"/>
        </w:rPr>
      </w:pPr>
      <w:r w:rsidRPr="00D31FB6">
        <w:rPr>
          <w:rFonts w:cs="Arial"/>
          <w:color w:val="000000"/>
        </w:rPr>
        <w:t>155 East Broad Street, 3</w:t>
      </w:r>
      <w:r w:rsidRPr="00D31FB6">
        <w:rPr>
          <w:rFonts w:cs="Arial"/>
          <w:color w:val="000000"/>
          <w:vertAlign w:val="superscript"/>
        </w:rPr>
        <w:t>rd</w:t>
      </w:r>
      <w:r w:rsidRPr="00D31FB6">
        <w:rPr>
          <w:rFonts w:cs="Arial"/>
          <w:color w:val="000000"/>
        </w:rPr>
        <w:t xml:space="preserve"> Floor</w:t>
      </w:r>
    </w:p>
    <w:p w14:paraId="7F148B6B" w14:textId="77777777" w:rsidR="00252936" w:rsidRPr="00D31FB6" w:rsidRDefault="00252936" w:rsidP="00252936">
      <w:pPr>
        <w:ind w:left="4320"/>
        <w:rPr>
          <w:rFonts w:cs="Arial"/>
          <w:color w:val="000000"/>
        </w:rPr>
      </w:pPr>
      <w:r w:rsidRPr="00D31FB6">
        <w:rPr>
          <w:rFonts w:cs="Arial"/>
          <w:color w:val="000000"/>
        </w:rPr>
        <w:t>Columbus, OH 43215-3620</w:t>
      </w:r>
    </w:p>
    <w:p w14:paraId="523576EA" w14:textId="77777777" w:rsidR="00252936" w:rsidRPr="00D31FB6" w:rsidRDefault="00252936" w:rsidP="00252936">
      <w:pPr>
        <w:ind w:left="4320"/>
        <w:rPr>
          <w:rFonts w:cs="Arial"/>
          <w:color w:val="000000"/>
        </w:rPr>
      </w:pPr>
      <w:r w:rsidRPr="00D31FB6">
        <w:rPr>
          <w:rFonts w:cs="Arial"/>
          <w:color w:val="000000"/>
        </w:rPr>
        <w:t>Telephone:</w:t>
      </w:r>
      <w:r w:rsidRPr="00D31FB6">
        <w:rPr>
          <w:rFonts w:cs="Arial"/>
          <w:color w:val="000000"/>
        </w:rPr>
        <w:tab/>
        <w:t>(614) 221-7614</w:t>
      </w:r>
    </w:p>
    <w:p w14:paraId="681FD056" w14:textId="77777777" w:rsidR="00252936" w:rsidRPr="00D31FB6" w:rsidRDefault="00252936" w:rsidP="00252936">
      <w:pPr>
        <w:ind w:left="4320"/>
        <w:rPr>
          <w:rFonts w:cs="Arial"/>
          <w:color w:val="000000"/>
        </w:rPr>
      </w:pPr>
      <w:r w:rsidRPr="00D31FB6">
        <w:rPr>
          <w:rFonts w:cs="Arial"/>
          <w:color w:val="000000"/>
        </w:rPr>
        <w:t>Facsimile:</w:t>
      </w:r>
      <w:r w:rsidRPr="00D31FB6">
        <w:rPr>
          <w:rFonts w:cs="Arial"/>
          <w:color w:val="000000"/>
        </w:rPr>
        <w:tab/>
        <w:t>(614) 221-4771</w:t>
      </w:r>
    </w:p>
    <w:p w14:paraId="6293E860" w14:textId="65F81310" w:rsidR="00CC1BA8" w:rsidRPr="00D31FB6" w:rsidRDefault="0035660C" w:rsidP="007B02B1">
      <w:pPr>
        <w:ind w:left="4320"/>
        <w:rPr>
          <w:rFonts w:cs="Arial"/>
          <w:smallCaps/>
          <w:color w:val="000000"/>
        </w:rPr>
      </w:pPr>
      <w:hyperlink r:id="rId7" w:history="1">
        <w:r w:rsidR="00252936" w:rsidRPr="005C2C4E">
          <w:rPr>
            <w:rStyle w:val="Hyperlink"/>
            <w:rFonts w:cs="Arial"/>
            <w:color w:val="auto"/>
            <w:u w:val="none"/>
          </w:rPr>
          <w:t>rick.sites@ohiohospitals.org</w:t>
        </w:r>
      </w:hyperlink>
      <w:r w:rsidR="00252936" w:rsidRPr="005C2C4E">
        <w:rPr>
          <w:rFonts w:cs="Arial"/>
          <w:smallCaps/>
        </w:rPr>
        <w:t xml:space="preserve"> </w:t>
      </w:r>
    </w:p>
    <w:p w14:paraId="30FC1F88" w14:textId="3A5B4468" w:rsidR="00CC1BA8" w:rsidRDefault="00BB13AB" w:rsidP="007B02B1">
      <w:pPr>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14:paraId="59A6BB7E" w14:textId="77777777" w:rsidR="00BB13AB" w:rsidRPr="00D31FB6" w:rsidRDefault="00BB13AB" w:rsidP="007B02B1">
      <w:pPr>
        <w:ind w:left="4320"/>
        <w:rPr>
          <w:rFonts w:cs="Arial"/>
          <w:smallCaps/>
          <w:color w:val="000000"/>
        </w:rPr>
      </w:pPr>
    </w:p>
    <w:p w14:paraId="18DAA5C6" w14:textId="479E26A7" w:rsidR="007B02B1" w:rsidRPr="00CC1BA8" w:rsidRDefault="007412BA" w:rsidP="00D31FB6">
      <w:pPr>
        <w:rPr>
          <w:rFonts w:cs="Arial"/>
          <w:b/>
          <w:smallCaps/>
          <w:color w:val="000000"/>
        </w:rPr>
      </w:pPr>
      <w:r>
        <w:rPr>
          <w:rFonts w:cs="Arial"/>
          <w:b/>
          <w:smallCaps/>
          <w:color w:val="000000"/>
        </w:rPr>
        <w:tab/>
      </w:r>
      <w:r>
        <w:rPr>
          <w:rFonts w:cs="Arial"/>
          <w:b/>
          <w:smallCaps/>
          <w:color w:val="000000"/>
        </w:rPr>
        <w:tab/>
      </w:r>
      <w:r w:rsidR="00CC1BA8">
        <w:rPr>
          <w:rFonts w:cs="Arial"/>
          <w:b/>
          <w:smallCaps/>
          <w:color w:val="000000"/>
        </w:rPr>
        <w:tab/>
      </w:r>
      <w:r w:rsidR="00CC1BA8">
        <w:rPr>
          <w:rFonts w:cs="Arial"/>
          <w:b/>
          <w:smallCaps/>
          <w:color w:val="000000"/>
        </w:rPr>
        <w:tab/>
      </w:r>
      <w:r w:rsidR="00CC1BA8">
        <w:rPr>
          <w:rFonts w:cs="Arial"/>
          <w:b/>
          <w:smallCaps/>
          <w:color w:val="000000"/>
        </w:rPr>
        <w:tab/>
      </w:r>
      <w:r w:rsidR="00CC1BA8">
        <w:rPr>
          <w:rFonts w:cs="Arial"/>
          <w:b/>
          <w:smallCaps/>
          <w:color w:val="000000"/>
        </w:rPr>
        <w:tab/>
      </w:r>
      <w:r w:rsidR="007B02B1" w:rsidRPr="00CC1BA8">
        <w:rPr>
          <w:rFonts w:cs="Arial"/>
          <w:b/>
          <w:smallCaps/>
          <w:color w:val="000000"/>
        </w:rPr>
        <w:t xml:space="preserve">On Behalf of </w:t>
      </w:r>
      <w:r w:rsidR="00CC1BA8">
        <w:rPr>
          <w:rFonts w:cs="Arial"/>
          <w:b/>
          <w:smallCaps/>
          <w:color w:val="000000"/>
        </w:rPr>
        <w:t>Ohio Hospital Association</w:t>
      </w:r>
    </w:p>
    <w:p w14:paraId="27887193" w14:textId="77777777" w:rsidR="00252936" w:rsidRDefault="00252936" w:rsidP="00252936">
      <w:pPr>
        <w:ind w:left="4320"/>
        <w:rPr>
          <w:rFonts w:cs="Arial"/>
          <w:b/>
          <w:smallCaps/>
          <w:color w:val="000000"/>
        </w:rPr>
      </w:pPr>
    </w:p>
    <w:p w14:paraId="3D7FF60F" w14:textId="0F40E2A5" w:rsidR="003257F5" w:rsidRPr="00E161EE" w:rsidRDefault="003257F5" w:rsidP="003257F5">
      <w:pPr>
        <w:tabs>
          <w:tab w:val="left" w:pos="4320"/>
        </w:tabs>
        <w:rPr>
          <w:rFonts w:cs="Arial"/>
        </w:rPr>
      </w:pPr>
      <w:r>
        <w:rPr>
          <w:rFonts w:cs="Arial"/>
        </w:rPr>
        <w:tab/>
      </w:r>
      <w:r w:rsidRPr="00E161EE">
        <w:rPr>
          <w:rFonts w:cs="Arial"/>
        </w:rPr>
        <w:t xml:space="preserve">Robert A. </w:t>
      </w:r>
      <w:proofErr w:type="spellStart"/>
      <w:r w:rsidRPr="00E161EE">
        <w:rPr>
          <w:rFonts w:cs="Arial"/>
        </w:rPr>
        <w:t>Brundrett</w:t>
      </w:r>
      <w:proofErr w:type="spellEnd"/>
      <w:r w:rsidRPr="00E161EE">
        <w:rPr>
          <w:rFonts w:cs="Arial"/>
        </w:rPr>
        <w:t xml:space="preserve"> (0086538)</w:t>
      </w:r>
    </w:p>
    <w:p w14:paraId="710F6BF9" w14:textId="77777777" w:rsidR="003257F5" w:rsidRPr="00E161EE" w:rsidRDefault="003257F5" w:rsidP="003257F5">
      <w:pPr>
        <w:tabs>
          <w:tab w:val="left" w:pos="4320"/>
        </w:tabs>
        <w:rPr>
          <w:rFonts w:cs="Arial"/>
        </w:rPr>
      </w:pPr>
      <w:r w:rsidRPr="00E161EE">
        <w:rPr>
          <w:rFonts w:cs="Arial"/>
        </w:rPr>
        <w:tab/>
        <w:t xml:space="preserve">OMA </w:t>
      </w:r>
      <w:r w:rsidRPr="00F97C25">
        <w:rPr>
          <w:rFonts w:cs="Arial"/>
          <w:smallCaps/>
        </w:rPr>
        <w:t>Energy Group</w:t>
      </w:r>
    </w:p>
    <w:p w14:paraId="77AE1714" w14:textId="77777777" w:rsidR="003257F5" w:rsidRPr="00E161EE" w:rsidRDefault="003257F5" w:rsidP="003257F5">
      <w:pPr>
        <w:tabs>
          <w:tab w:val="left" w:pos="4320"/>
        </w:tabs>
        <w:rPr>
          <w:rFonts w:cs="Arial"/>
        </w:rPr>
      </w:pPr>
      <w:r w:rsidRPr="00E161EE">
        <w:rPr>
          <w:rFonts w:cs="Arial"/>
        </w:rPr>
        <w:lastRenderedPageBreak/>
        <w:tab/>
        <w:t>33 N. High St., 6</w:t>
      </w:r>
      <w:r w:rsidRPr="00E161EE">
        <w:rPr>
          <w:rFonts w:cs="Arial"/>
          <w:vertAlign w:val="superscript"/>
        </w:rPr>
        <w:t>th</w:t>
      </w:r>
      <w:r w:rsidRPr="00E161EE">
        <w:rPr>
          <w:rFonts w:cs="Arial"/>
        </w:rPr>
        <w:t xml:space="preserve"> Floor</w:t>
      </w:r>
    </w:p>
    <w:p w14:paraId="6CB8628F" w14:textId="77777777" w:rsidR="003257F5" w:rsidRPr="00E161EE" w:rsidRDefault="003257F5" w:rsidP="003257F5">
      <w:pPr>
        <w:tabs>
          <w:tab w:val="left" w:pos="4320"/>
        </w:tabs>
        <w:rPr>
          <w:rFonts w:cs="Arial"/>
        </w:rPr>
      </w:pPr>
      <w:r w:rsidRPr="00E161EE">
        <w:rPr>
          <w:rFonts w:cs="Arial"/>
        </w:rPr>
        <w:tab/>
        <w:t>Columbus, OH 43215</w:t>
      </w:r>
    </w:p>
    <w:p w14:paraId="78A9F15F" w14:textId="77777777" w:rsidR="003257F5" w:rsidRPr="00E161EE" w:rsidRDefault="003257F5" w:rsidP="003257F5">
      <w:pPr>
        <w:tabs>
          <w:tab w:val="left" w:pos="4320"/>
        </w:tabs>
        <w:rPr>
          <w:rFonts w:cs="Arial"/>
        </w:rPr>
      </w:pPr>
      <w:r w:rsidRPr="00E161EE">
        <w:rPr>
          <w:rFonts w:cs="Arial"/>
        </w:rPr>
        <w:tab/>
        <w:t>Telephone: (614) 224-5111</w:t>
      </w:r>
    </w:p>
    <w:p w14:paraId="2A9DB93B" w14:textId="77777777" w:rsidR="003257F5" w:rsidRPr="00E161EE" w:rsidRDefault="003257F5" w:rsidP="003257F5">
      <w:pPr>
        <w:tabs>
          <w:tab w:val="left" w:pos="4320"/>
        </w:tabs>
        <w:rPr>
          <w:rFonts w:cs="Arial"/>
        </w:rPr>
      </w:pPr>
      <w:r w:rsidRPr="00E161EE">
        <w:rPr>
          <w:rFonts w:cs="Arial"/>
        </w:rPr>
        <w:tab/>
        <w:t>Fax:  (614) 469-4653</w:t>
      </w:r>
    </w:p>
    <w:p w14:paraId="7FD7DFAD" w14:textId="77777777" w:rsidR="003257F5" w:rsidRDefault="003257F5" w:rsidP="003257F5">
      <w:pPr>
        <w:tabs>
          <w:tab w:val="left" w:pos="4320"/>
        </w:tabs>
        <w:rPr>
          <w:rFonts w:cs="Arial"/>
        </w:rPr>
      </w:pPr>
      <w:r w:rsidRPr="00E161EE">
        <w:rPr>
          <w:rFonts w:cs="Arial"/>
        </w:rPr>
        <w:tab/>
      </w:r>
      <w:hyperlink r:id="rId8" w:history="1">
        <w:r w:rsidRPr="00B17E87">
          <w:rPr>
            <w:rStyle w:val="Hyperlink"/>
            <w:color w:val="auto"/>
          </w:rPr>
          <w:t>rbrundrett@ohiomfg.com</w:t>
        </w:r>
      </w:hyperlink>
    </w:p>
    <w:p w14:paraId="17ACE87C" w14:textId="77777777" w:rsidR="003257F5" w:rsidRDefault="003257F5" w:rsidP="003257F5">
      <w:pPr>
        <w:tabs>
          <w:tab w:val="left" w:pos="4320"/>
        </w:tabs>
        <w:rPr>
          <w:rFonts w:cs="Arial"/>
        </w:rPr>
      </w:pPr>
    </w:p>
    <w:p w14:paraId="36F7B3AC" w14:textId="77777777" w:rsidR="009E329E" w:rsidRDefault="004F76A2" w:rsidP="00EF4262">
      <w:pPr>
        <w:tabs>
          <w:tab w:val="left" w:pos="4320"/>
        </w:tabs>
        <w:ind w:left="4320" w:hanging="4320"/>
        <w:rPr>
          <w:rFonts w:ascii="Arial Bold" w:hAnsi="Arial Bold" w:cs="Arial"/>
          <w:b/>
          <w:smallCaps/>
        </w:rPr>
        <w:sectPr w:rsidR="009E329E" w:rsidSect="003F69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26"/>
        </w:sectPr>
      </w:pPr>
      <w:r>
        <w:rPr>
          <w:rFonts w:ascii="Arial Bold" w:hAnsi="Arial Bold" w:cs="Arial"/>
          <w:b/>
          <w:smallCaps/>
        </w:rPr>
        <w:t>January 13, 2017</w:t>
      </w:r>
      <w:r>
        <w:rPr>
          <w:rFonts w:ascii="Arial Bold" w:hAnsi="Arial Bold" w:cs="Arial"/>
          <w:b/>
          <w:smallCaps/>
        </w:rPr>
        <w:tab/>
        <w:t>On Behalf of Ohio Manufacturers’ Association Energy Group</w:t>
      </w:r>
    </w:p>
    <w:p w14:paraId="39DCF69F" w14:textId="17BFDFC1" w:rsidR="00252936" w:rsidRDefault="00252936" w:rsidP="00EF4262">
      <w:pPr>
        <w:tabs>
          <w:tab w:val="left" w:pos="4320"/>
        </w:tabs>
        <w:ind w:left="4320" w:hanging="4320"/>
        <w:rPr>
          <w:rFonts w:ascii="Arial Bold" w:hAnsi="Arial Bold" w:cs="Arial"/>
          <w:b/>
          <w:smallCaps/>
        </w:rPr>
      </w:pPr>
    </w:p>
    <w:p w14:paraId="0C4085A2" w14:textId="77777777" w:rsidR="009E329E" w:rsidRDefault="009E329E" w:rsidP="00EF4262">
      <w:pPr>
        <w:tabs>
          <w:tab w:val="left" w:pos="4320"/>
        </w:tabs>
        <w:ind w:left="4320" w:hanging="4320"/>
        <w:rPr>
          <w:rFonts w:ascii="Arial Bold" w:hAnsi="Arial Bold" w:cs="Arial"/>
          <w:b/>
          <w:smallCaps/>
        </w:rPr>
      </w:pPr>
    </w:p>
    <w:p w14:paraId="5AB9F353" w14:textId="77777777" w:rsidR="009E329E" w:rsidRPr="00CE417D" w:rsidRDefault="009E329E" w:rsidP="009E329E">
      <w:pPr>
        <w:pStyle w:val="TOCHeading"/>
        <w:rPr>
          <w:rFonts w:ascii="Arial Bold" w:hAnsi="Arial Bold"/>
          <w:caps/>
          <w:u w:val="single"/>
        </w:rPr>
      </w:pPr>
      <w:bookmarkStart w:id="1" w:name="TOCHeading_1"/>
      <w:r w:rsidRPr="00CE417D">
        <w:rPr>
          <w:rFonts w:ascii="Arial Bold" w:hAnsi="Arial Bold"/>
          <w:caps/>
          <w:u w:val="single"/>
        </w:rPr>
        <w:t>Table of Contents</w:t>
      </w:r>
    </w:p>
    <w:p w14:paraId="0A287DB4" w14:textId="77777777" w:rsidR="009E329E" w:rsidRDefault="009E329E" w:rsidP="009E329E">
      <w:pPr>
        <w:pStyle w:val="TOCPage"/>
      </w:pPr>
      <w:bookmarkStart w:id="2" w:name="TOCPage_1"/>
      <w:bookmarkEnd w:id="1"/>
      <w:r>
        <w:t>Page</w:t>
      </w:r>
    </w:p>
    <w:bookmarkEnd w:id="2"/>
    <w:p w14:paraId="733158F2" w14:textId="4C89DF81" w:rsidR="009E329E" w:rsidRDefault="009E329E" w:rsidP="00187AC3">
      <w:pPr>
        <w:pStyle w:val="TOC1"/>
        <w:tabs>
          <w:tab w:val="left" w:pos="480"/>
          <w:tab w:val="right" w:leader="dot" w:pos="9360"/>
        </w:tabs>
        <w:ind w:right="720"/>
        <w:rPr>
          <w:rFonts w:asciiTheme="minorHAnsi" w:eastAsiaTheme="minorEastAsia" w:hAnsiTheme="minorHAnsi"/>
          <w:noProof/>
          <w:sz w:val="22"/>
          <w:szCs w:val="22"/>
        </w:rPr>
      </w:pPr>
      <w:r>
        <w:fldChar w:fldCharType="begin"/>
      </w:r>
      <w:r>
        <w:instrText xml:space="preserve"> TOC \t "Heading 1,1,Heading 2,2,Heading 3,3" </w:instrText>
      </w:r>
      <w:r>
        <w:fldChar w:fldCharType="separate"/>
      </w:r>
      <w:bookmarkStart w:id="3" w:name="TOCLocation_1"/>
      <w:r w:rsidRPr="00347D10">
        <w:rPr>
          <w:rFonts w:eastAsia="Times New Roman"/>
          <w:noProof/>
          <w:color w:val="010000"/>
        </w:rPr>
        <w:t>I.</w:t>
      </w:r>
      <w:r>
        <w:rPr>
          <w:rFonts w:asciiTheme="minorHAnsi" w:eastAsiaTheme="minorEastAsia" w:hAnsiTheme="minorHAnsi"/>
          <w:noProof/>
          <w:sz w:val="22"/>
          <w:szCs w:val="22"/>
        </w:rPr>
        <w:tab/>
      </w:r>
      <w:r w:rsidRPr="00187AC3">
        <w:rPr>
          <w:rFonts w:eastAsia="Times New Roman"/>
          <w:caps/>
          <w:noProof/>
        </w:rPr>
        <w:t>Introduction</w:t>
      </w:r>
      <w:r w:rsidR="00187AC3">
        <w:rPr>
          <w:noProof/>
        </w:rPr>
        <w:tab/>
      </w:r>
      <w:r>
        <w:rPr>
          <w:noProof/>
        </w:rPr>
        <w:fldChar w:fldCharType="begin"/>
      </w:r>
      <w:r>
        <w:rPr>
          <w:noProof/>
        </w:rPr>
        <w:instrText xml:space="preserve"> PAGEREF _Toc472078178 \h </w:instrText>
      </w:r>
      <w:r>
        <w:rPr>
          <w:noProof/>
        </w:rPr>
      </w:r>
      <w:r>
        <w:rPr>
          <w:noProof/>
        </w:rPr>
        <w:fldChar w:fldCharType="separate"/>
      </w:r>
      <w:r w:rsidR="00DB2B63">
        <w:rPr>
          <w:noProof/>
        </w:rPr>
        <w:t>1</w:t>
      </w:r>
      <w:r>
        <w:rPr>
          <w:noProof/>
        </w:rPr>
        <w:fldChar w:fldCharType="end"/>
      </w:r>
    </w:p>
    <w:p w14:paraId="472E3DC4" w14:textId="2B645B75" w:rsidR="009E329E" w:rsidRDefault="009E329E" w:rsidP="00C72A89">
      <w:pPr>
        <w:pStyle w:val="TOC2"/>
        <w:rPr>
          <w:rFonts w:asciiTheme="minorHAnsi" w:eastAsiaTheme="minorEastAsia" w:hAnsiTheme="minorHAnsi"/>
          <w:noProof/>
          <w:sz w:val="22"/>
          <w:szCs w:val="22"/>
        </w:rPr>
      </w:pPr>
      <w:r w:rsidRPr="00347D10">
        <w:rPr>
          <w:noProof/>
          <w:color w:val="010000"/>
        </w:rPr>
        <w:t>A.</w:t>
      </w:r>
      <w:r>
        <w:rPr>
          <w:rFonts w:asciiTheme="minorHAnsi" w:eastAsiaTheme="minorEastAsia" w:hAnsiTheme="minorHAnsi"/>
          <w:noProof/>
          <w:sz w:val="22"/>
          <w:szCs w:val="22"/>
        </w:rPr>
        <w:tab/>
      </w:r>
      <w:r w:rsidRPr="00347D10">
        <w:rPr>
          <w:noProof/>
        </w:rPr>
        <w:t>The Commission should limit the application of the Relative Price Test to the provision of services to residential customers</w:t>
      </w:r>
      <w:r w:rsidR="00B64935">
        <w:rPr>
          <w:noProof/>
        </w:rPr>
        <w:tab/>
      </w:r>
      <w:r>
        <w:rPr>
          <w:noProof/>
        </w:rPr>
        <w:fldChar w:fldCharType="begin"/>
      </w:r>
      <w:r>
        <w:rPr>
          <w:noProof/>
        </w:rPr>
        <w:instrText xml:space="preserve"> PAGEREF _Toc472078179 \h </w:instrText>
      </w:r>
      <w:r>
        <w:rPr>
          <w:noProof/>
        </w:rPr>
      </w:r>
      <w:r>
        <w:rPr>
          <w:noProof/>
        </w:rPr>
        <w:fldChar w:fldCharType="separate"/>
      </w:r>
      <w:r w:rsidR="00DB2B63">
        <w:rPr>
          <w:noProof/>
        </w:rPr>
        <w:t>3</w:t>
      </w:r>
      <w:r>
        <w:rPr>
          <w:noProof/>
        </w:rPr>
        <w:fldChar w:fldCharType="end"/>
      </w:r>
    </w:p>
    <w:p w14:paraId="540459CD" w14:textId="04F7D6AA" w:rsidR="009E329E" w:rsidRDefault="009E329E" w:rsidP="00C72A89">
      <w:pPr>
        <w:pStyle w:val="TOC2"/>
        <w:rPr>
          <w:rFonts w:asciiTheme="minorHAnsi" w:eastAsiaTheme="minorEastAsia" w:hAnsiTheme="minorHAnsi"/>
          <w:noProof/>
          <w:sz w:val="22"/>
          <w:szCs w:val="22"/>
        </w:rPr>
      </w:pPr>
      <w:r w:rsidRPr="00347D10">
        <w:rPr>
          <w:noProof/>
          <w:color w:val="010000"/>
        </w:rPr>
        <w:t>B.</w:t>
      </w:r>
      <w:r>
        <w:rPr>
          <w:rFonts w:asciiTheme="minorHAnsi" w:eastAsiaTheme="minorEastAsia" w:hAnsiTheme="minorHAnsi"/>
          <w:noProof/>
          <w:sz w:val="22"/>
          <w:szCs w:val="22"/>
        </w:rPr>
        <w:tab/>
      </w:r>
      <w:r w:rsidRPr="00347D10">
        <w:rPr>
          <w:noProof/>
        </w:rPr>
        <w:t>The determination whether an entity is a public utility based on the Relative Price Test is not supported by statute or Commission experience</w:t>
      </w:r>
      <w:r w:rsidR="00B64935">
        <w:rPr>
          <w:noProof/>
        </w:rPr>
        <w:tab/>
      </w:r>
      <w:r>
        <w:rPr>
          <w:noProof/>
        </w:rPr>
        <w:fldChar w:fldCharType="begin"/>
      </w:r>
      <w:r>
        <w:rPr>
          <w:noProof/>
        </w:rPr>
        <w:instrText xml:space="preserve"> PAGEREF _Toc472078180 \h </w:instrText>
      </w:r>
      <w:r>
        <w:rPr>
          <w:noProof/>
        </w:rPr>
      </w:r>
      <w:r>
        <w:rPr>
          <w:noProof/>
        </w:rPr>
        <w:fldChar w:fldCharType="separate"/>
      </w:r>
      <w:r w:rsidR="00DB2B63">
        <w:rPr>
          <w:noProof/>
        </w:rPr>
        <w:t>4</w:t>
      </w:r>
      <w:r>
        <w:rPr>
          <w:noProof/>
        </w:rPr>
        <w:fldChar w:fldCharType="end"/>
      </w:r>
    </w:p>
    <w:p w14:paraId="45F5DFE5" w14:textId="0505D13E" w:rsidR="009E329E" w:rsidRDefault="009E329E" w:rsidP="00C72A89">
      <w:pPr>
        <w:pStyle w:val="TOC2"/>
        <w:rPr>
          <w:rFonts w:asciiTheme="minorHAnsi" w:eastAsiaTheme="minorEastAsia" w:hAnsiTheme="minorHAnsi"/>
          <w:noProof/>
          <w:sz w:val="22"/>
          <w:szCs w:val="22"/>
        </w:rPr>
      </w:pPr>
      <w:r w:rsidRPr="00347D10">
        <w:rPr>
          <w:noProof/>
          <w:color w:val="010000"/>
        </w:rPr>
        <w:t>C.</w:t>
      </w:r>
      <w:r w:rsidR="001563FC">
        <w:rPr>
          <w:noProof/>
          <w:color w:val="010000"/>
        </w:rPr>
        <w:tab/>
      </w:r>
      <w:r w:rsidRPr="00347D10">
        <w:rPr>
          <w:noProof/>
        </w:rPr>
        <w:t>Because there is no rational nexus between the price of services and a determination that the provision of service is ancillary to the entity’s business, adoption of an arbitrary price test is unlawful and unreasonable</w:t>
      </w:r>
      <w:r w:rsidR="00B64935">
        <w:rPr>
          <w:noProof/>
        </w:rPr>
        <w:tab/>
      </w:r>
      <w:r>
        <w:rPr>
          <w:noProof/>
        </w:rPr>
        <w:fldChar w:fldCharType="begin"/>
      </w:r>
      <w:r>
        <w:rPr>
          <w:noProof/>
        </w:rPr>
        <w:instrText xml:space="preserve"> PAGEREF _Toc472078181 \h </w:instrText>
      </w:r>
      <w:r>
        <w:rPr>
          <w:noProof/>
        </w:rPr>
      </w:r>
      <w:r>
        <w:rPr>
          <w:noProof/>
        </w:rPr>
        <w:fldChar w:fldCharType="separate"/>
      </w:r>
      <w:r w:rsidR="00DB2B63">
        <w:rPr>
          <w:noProof/>
        </w:rPr>
        <w:t>7</w:t>
      </w:r>
      <w:r>
        <w:rPr>
          <w:noProof/>
        </w:rPr>
        <w:fldChar w:fldCharType="end"/>
      </w:r>
    </w:p>
    <w:p w14:paraId="049B268B" w14:textId="71B41043" w:rsidR="009E329E" w:rsidRDefault="009E329E" w:rsidP="00C72A89">
      <w:pPr>
        <w:pStyle w:val="TOC2"/>
        <w:rPr>
          <w:rFonts w:asciiTheme="minorHAnsi" w:eastAsiaTheme="minorEastAsia" w:hAnsiTheme="minorHAnsi"/>
          <w:noProof/>
          <w:sz w:val="22"/>
          <w:szCs w:val="22"/>
        </w:rPr>
      </w:pPr>
      <w:r w:rsidRPr="00347D10">
        <w:rPr>
          <w:noProof/>
          <w:color w:val="010000"/>
        </w:rPr>
        <w:t>D.</w:t>
      </w:r>
      <w:r>
        <w:rPr>
          <w:rFonts w:asciiTheme="minorHAnsi" w:eastAsiaTheme="minorEastAsia" w:hAnsiTheme="minorHAnsi"/>
          <w:noProof/>
          <w:sz w:val="22"/>
          <w:szCs w:val="22"/>
        </w:rPr>
        <w:tab/>
      </w:r>
      <w:r>
        <w:rPr>
          <w:noProof/>
        </w:rPr>
        <w:t>There is no reasoned basis to e</w:t>
      </w:r>
      <w:r w:rsidR="00B64935">
        <w:rPr>
          <w:noProof/>
        </w:rPr>
        <w:t>stablish a percentage threshold</w:t>
      </w:r>
      <w:r w:rsidR="00B64935">
        <w:rPr>
          <w:noProof/>
        </w:rPr>
        <w:tab/>
      </w:r>
      <w:r>
        <w:rPr>
          <w:noProof/>
        </w:rPr>
        <w:fldChar w:fldCharType="begin"/>
      </w:r>
      <w:r>
        <w:rPr>
          <w:noProof/>
        </w:rPr>
        <w:instrText xml:space="preserve"> PAGEREF _Toc472078182 \h </w:instrText>
      </w:r>
      <w:r>
        <w:rPr>
          <w:noProof/>
        </w:rPr>
      </w:r>
      <w:r>
        <w:rPr>
          <w:noProof/>
        </w:rPr>
        <w:fldChar w:fldCharType="separate"/>
      </w:r>
      <w:r w:rsidR="00DB2B63">
        <w:rPr>
          <w:noProof/>
        </w:rPr>
        <w:t>11</w:t>
      </w:r>
      <w:r>
        <w:rPr>
          <w:noProof/>
        </w:rPr>
        <w:fldChar w:fldCharType="end"/>
      </w:r>
    </w:p>
    <w:p w14:paraId="4F224783" w14:textId="00448541" w:rsidR="009E329E" w:rsidRDefault="009E329E" w:rsidP="00B64935">
      <w:pPr>
        <w:pStyle w:val="TOC1"/>
        <w:tabs>
          <w:tab w:val="left" w:pos="480"/>
          <w:tab w:val="right" w:leader="dot" w:pos="9360"/>
        </w:tabs>
        <w:ind w:right="720"/>
        <w:rPr>
          <w:rFonts w:asciiTheme="minorHAnsi" w:eastAsiaTheme="minorEastAsia" w:hAnsiTheme="minorHAnsi"/>
          <w:noProof/>
          <w:sz w:val="22"/>
          <w:szCs w:val="22"/>
        </w:rPr>
      </w:pPr>
      <w:r w:rsidRPr="00347D10">
        <w:rPr>
          <w:noProof/>
          <w:color w:val="010000"/>
        </w:rPr>
        <w:t>II.</w:t>
      </w:r>
      <w:r>
        <w:rPr>
          <w:rFonts w:asciiTheme="minorHAnsi" w:eastAsiaTheme="minorEastAsia" w:hAnsiTheme="minorHAnsi"/>
          <w:noProof/>
          <w:sz w:val="22"/>
          <w:szCs w:val="22"/>
        </w:rPr>
        <w:tab/>
      </w:r>
      <w:r w:rsidRPr="00187AC3">
        <w:rPr>
          <w:caps/>
          <w:noProof/>
        </w:rPr>
        <w:t>Conclusion</w:t>
      </w:r>
      <w:r w:rsidR="00B64935">
        <w:rPr>
          <w:noProof/>
        </w:rPr>
        <w:tab/>
      </w:r>
      <w:r>
        <w:rPr>
          <w:noProof/>
        </w:rPr>
        <w:fldChar w:fldCharType="begin"/>
      </w:r>
      <w:r>
        <w:rPr>
          <w:noProof/>
        </w:rPr>
        <w:instrText xml:space="preserve"> PAGEREF _Toc472078183 \h </w:instrText>
      </w:r>
      <w:r>
        <w:rPr>
          <w:noProof/>
        </w:rPr>
      </w:r>
      <w:r>
        <w:rPr>
          <w:noProof/>
        </w:rPr>
        <w:fldChar w:fldCharType="separate"/>
      </w:r>
      <w:r w:rsidR="00DB2B63">
        <w:rPr>
          <w:noProof/>
        </w:rPr>
        <w:t>11</w:t>
      </w:r>
      <w:r>
        <w:rPr>
          <w:noProof/>
        </w:rPr>
        <w:fldChar w:fldCharType="end"/>
      </w:r>
    </w:p>
    <w:bookmarkEnd w:id="3"/>
    <w:p w14:paraId="7AD7127A" w14:textId="26A93AB2" w:rsidR="009E329E" w:rsidRDefault="009E329E" w:rsidP="00187AC3">
      <w:pPr>
        <w:ind w:right="720"/>
      </w:pPr>
      <w:r>
        <w:fldChar w:fldCharType="end"/>
      </w:r>
    </w:p>
    <w:p w14:paraId="22534350" w14:textId="4E6B0622" w:rsidR="009E329E" w:rsidRDefault="009E329E" w:rsidP="009E329E"/>
    <w:p w14:paraId="3BAFE69E" w14:textId="77777777" w:rsidR="00252936" w:rsidRDefault="00252936" w:rsidP="005C2C4E">
      <w:pPr>
        <w:ind w:left="4320"/>
        <w:rPr>
          <w:rFonts w:cs="Arial"/>
          <w:b/>
          <w:smallCaps/>
          <w:color w:val="000000"/>
        </w:rPr>
        <w:sectPr w:rsidR="00252936" w:rsidSect="003F6974">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26"/>
        </w:sectPr>
      </w:pPr>
    </w:p>
    <w:p w14:paraId="308B122D" w14:textId="77777777" w:rsidR="008E0FA7" w:rsidRPr="00B5096A" w:rsidRDefault="008E0FA7" w:rsidP="008E0FA7">
      <w:pPr>
        <w:jc w:val="center"/>
        <w:rPr>
          <w:b/>
        </w:rPr>
      </w:pPr>
      <w:r w:rsidRPr="00B5096A">
        <w:rPr>
          <w:b/>
        </w:rPr>
        <w:lastRenderedPageBreak/>
        <w:t>BEFORE</w:t>
      </w:r>
    </w:p>
    <w:p w14:paraId="6245081C" w14:textId="77777777" w:rsidR="008E0FA7" w:rsidRPr="00B5096A" w:rsidRDefault="008E0FA7" w:rsidP="008E0FA7">
      <w:pPr>
        <w:jc w:val="center"/>
        <w:rPr>
          <w:b/>
        </w:rPr>
      </w:pPr>
      <w:r w:rsidRPr="00B5096A">
        <w:rPr>
          <w:b/>
        </w:rPr>
        <w:t>THE PUBLIC UTILITIES COMMISSION OF OHIO</w:t>
      </w:r>
    </w:p>
    <w:p w14:paraId="0D550A1E" w14:textId="77777777" w:rsidR="008E0FA7" w:rsidRDefault="008E0FA7" w:rsidP="008E0FA7">
      <w:pPr>
        <w:jc w:val="center"/>
        <w:rPr>
          <w:b/>
        </w:rPr>
      </w:pPr>
    </w:p>
    <w:p w14:paraId="1271E29D" w14:textId="77777777" w:rsidR="008E0FA7" w:rsidRDefault="008E0FA7" w:rsidP="008E0FA7">
      <w:pPr>
        <w:jc w:val="center"/>
        <w:rPr>
          <w:b/>
        </w:rPr>
      </w:pPr>
    </w:p>
    <w:p w14:paraId="360F5FFA" w14:textId="77777777" w:rsidR="008E0FA7" w:rsidRDefault="008E0FA7" w:rsidP="008E0FA7">
      <w:r>
        <w:t>In the Matter of the Commission’s</w:t>
      </w:r>
      <w:r>
        <w:tab/>
      </w:r>
      <w:r>
        <w:tab/>
        <w:t>)</w:t>
      </w:r>
      <w:r>
        <w:tab/>
      </w:r>
    </w:p>
    <w:p w14:paraId="06E1C37B" w14:textId="77777777" w:rsidR="008E0FA7" w:rsidRDefault="008E0FA7" w:rsidP="008E0FA7">
      <w:r>
        <w:t>Investigation of Submetering in the</w:t>
      </w:r>
      <w:r>
        <w:tab/>
        <w:t>)</w:t>
      </w:r>
      <w:r>
        <w:tab/>
        <w:t>Case No. 15-1594-AU-COI</w:t>
      </w:r>
    </w:p>
    <w:p w14:paraId="1E14E801" w14:textId="77777777" w:rsidR="008E0FA7" w:rsidRDefault="008E0FA7" w:rsidP="008E0FA7">
      <w:proofErr w:type="gramStart"/>
      <w:r>
        <w:t>State of Ohio.</w:t>
      </w:r>
      <w:proofErr w:type="gramEnd"/>
      <w:r>
        <w:tab/>
      </w:r>
      <w:r>
        <w:tab/>
      </w:r>
      <w:r>
        <w:tab/>
      </w:r>
      <w:r>
        <w:tab/>
        <w:t>)</w:t>
      </w:r>
    </w:p>
    <w:p w14:paraId="2315292F" w14:textId="77777777" w:rsidR="008E0FA7" w:rsidRDefault="008E0FA7" w:rsidP="008E0FA7">
      <w:pPr>
        <w:rPr>
          <w:b/>
        </w:rPr>
      </w:pPr>
    </w:p>
    <w:p w14:paraId="7DD9BA1A" w14:textId="77777777" w:rsidR="008E0FA7" w:rsidRPr="008E0FA7" w:rsidRDefault="008E0FA7" w:rsidP="008E0FA7">
      <w:pPr>
        <w:rPr>
          <w:b/>
        </w:rPr>
      </w:pPr>
      <w:r w:rsidRPr="008E0FA7">
        <w:rPr>
          <w:b/>
        </w:rPr>
        <w:t>______________________________________________________________________</w:t>
      </w:r>
    </w:p>
    <w:p w14:paraId="24C562F8" w14:textId="77777777" w:rsidR="008E0FA7" w:rsidRDefault="008E0FA7" w:rsidP="008E0FA7"/>
    <w:p w14:paraId="6DB90E13" w14:textId="36E4FFE5" w:rsidR="005D14E5" w:rsidRPr="00B5096A" w:rsidRDefault="005D14E5" w:rsidP="005D14E5">
      <w:pPr>
        <w:jc w:val="center"/>
        <w:rPr>
          <w:rFonts w:ascii="Arial Bold" w:hAnsi="Arial Bold"/>
          <w:b/>
          <w:smallCaps/>
        </w:rPr>
      </w:pPr>
      <w:r w:rsidRPr="00421FF1">
        <w:rPr>
          <w:rFonts w:ascii="Arial Bold" w:hAnsi="Arial Bold"/>
          <w:b/>
          <w:caps/>
        </w:rPr>
        <w:t xml:space="preserve">Comments </w:t>
      </w:r>
      <w:r>
        <w:rPr>
          <w:rFonts w:ascii="Arial Bold" w:hAnsi="Arial Bold"/>
          <w:b/>
          <w:caps/>
        </w:rPr>
        <w:t xml:space="preserve">on THE relative price test </w:t>
      </w:r>
      <w:r w:rsidRPr="00421FF1">
        <w:rPr>
          <w:rFonts w:ascii="Arial Bold" w:hAnsi="Arial Bold"/>
          <w:b/>
          <w:caps/>
        </w:rPr>
        <w:t>of</w:t>
      </w:r>
      <w:r w:rsidR="007F5EF3">
        <w:rPr>
          <w:rFonts w:ascii="Arial Bold" w:hAnsi="Arial Bold"/>
          <w:b/>
          <w:caps/>
        </w:rPr>
        <w:t xml:space="preserve"> </w:t>
      </w:r>
      <w:r w:rsidRPr="00421FF1">
        <w:rPr>
          <w:rFonts w:ascii="Arial Bold" w:hAnsi="Arial Bold"/>
          <w:b/>
          <w:caps/>
        </w:rPr>
        <w:t>Industrial Energy Users-Ohio</w:t>
      </w:r>
      <w:r>
        <w:rPr>
          <w:rFonts w:ascii="Arial Bold" w:hAnsi="Arial Bold"/>
          <w:b/>
          <w:caps/>
        </w:rPr>
        <w:t>, ohio hospital association</w:t>
      </w:r>
      <w:r w:rsidR="007F5EF3">
        <w:rPr>
          <w:rFonts w:ascii="Arial Bold" w:hAnsi="Arial Bold"/>
          <w:b/>
          <w:caps/>
        </w:rPr>
        <w:t>,</w:t>
      </w:r>
      <w:r>
        <w:rPr>
          <w:rFonts w:ascii="Arial Bold" w:hAnsi="Arial Bold"/>
          <w:b/>
          <w:caps/>
        </w:rPr>
        <w:t xml:space="preserve"> and Ohio Manufacturers’ Association</w:t>
      </w:r>
    </w:p>
    <w:p w14:paraId="195433C6" w14:textId="77777777" w:rsidR="008E0FA7" w:rsidRPr="008E0FA7" w:rsidRDefault="008E0FA7" w:rsidP="008E0FA7">
      <w:pPr>
        <w:rPr>
          <w:b/>
        </w:rPr>
      </w:pPr>
      <w:r w:rsidRPr="008E0FA7">
        <w:rPr>
          <w:b/>
        </w:rPr>
        <w:t>______________________________________________________________________</w:t>
      </w:r>
    </w:p>
    <w:p w14:paraId="5D3E56E0" w14:textId="77777777" w:rsidR="00B73263" w:rsidRDefault="00B73263" w:rsidP="009C34DD">
      <w:pPr>
        <w:spacing w:line="480" w:lineRule="auto"/>
        <w:jc w:val="both"/>
        <w:rPr>
          <w:rFonts w:eastAsia="Times New Roman" w:cs="Arial"/>
          <w:b/>
        </w:rPr>
      </w:pPr>
    </w:p>
    <w:p w14:paraId="3B97AFBC" w14:textId="77777777" w:rsidR="009C34DD" w:rsidRPr="009C34DD" w:rsidRDefault="009C34DD" w:rsidP="00EE4DAE">
      <w:pPr>
        <w:pStyle w:val="Heading1"/>
        <w:rPr>
          <w:rFonts w:eastAsia="Times New Roman"/>
        </w:rPr>
      </w:pPr>
      <w:bookmarkStart w:id="4" w:name="_Toc472078178"/>
      <w:r w:rsidRPr="009C34DD">
        <w:rPr>
          <w:rFonts w:eastAsia="Times New Roman"/>
        </w:rPr>
        <w:t>Introduction</w:t>
      </w:r>
      <w:bookmarkEnd w:id="4"/>
    </w:p>
    <w:p w14:paraId="453D8967" w14:textId="1475FD5A" w:rsidR="00DA2E03" w:rsidRDefault="00760791" w:rsidP="00A62E0B">
      <w:pPr>
        <w:spacing w:line="480" w:lineRule="auto"/>
        <w:ind w:firstLine="720"/>
        <w:jc w:val="both"/>
        <w:rPr>
          <w:rFonts w:eastAsia="Times New Roman" w:cs="Arial"/>
        </w:rPr>
      </w:pPr>
      <w:proofErr w:type="gramStart"/>
      <w:r>
        <w:rPr>
          <w:rFonts w:eastAsia="Times New Roman" w:cs="Arial"/>
        </w:rPr>
        <w:t>In</w:t>
      </w:r>
      <w:r w:rsidR="001F1229">
        <w:rPr>
          <w:rFonts w:eastAsia="Times New Roman" w:cs="Arial"/>
        </w:rPr>
        <w:t xml:space="preserve"> </w:t>
      </w:r>
      <w:r w:rsidR="001F1229" w:rsidRPr="003D130D">
        <w:rPr>
          <w:rFonts w:eastAsia="Times New Roman" w:cs="Arial"/>
          <w:i/>
        </w:rPr>
        <w:t>In re Inscho v. Shroyer’s Mobile Homes</w:t>
      </w:r>
      <w:r w:rsidR="001F1229">
        <w:rPr>
          <w:rFonts w:eastAsia="Times New Roman" w:cs="Arial"/>
        </w:rPr>
        <w:t xml:space="preserve">, </w:t>
      </w:r>
      <w:r w:rsidR="00B86285">
        <w:rPr>
          <w:rFonts w:eastAsia="Times New Roman" w:cs="Arial"/>
        </w:rPr>
        <w:t xml:space="preserve">Case Nos. </w:t>
      </w:r>
      <w:r w:rsidR="003D130D">
        <w:rPr>
          <w:rFonts w:eastAsia="Times New Roman" w:cs="Arial"/>
        </w:rPr>
        <w:t>90-182-WS-CSS,</w:t>
      </w:r>
      <w:r w:rsidR="00EC0AC4">
        <w:rPr>
          <w:rFonts w:eastAsia="Times New Roman" w:cs="Arial"/>
        </w:rPr>
        <w:t xml:space="preserve"> </w:t>
      </w:r>
      <w:r w:rsidR="00EC0AC4" w:rsidRPr="00444722">
        <w:rPr>
          <w:rFonts w:eastAsia="Times New Roman" w:cs="Arial"/>
          <w:i/>
        </w:rPr>
        <w:t>et al</w:t>
      </w:r>
      <w:r w:rsidR="00EC0AC4">
        <w:rPr>
          <w:rFonts w:eastAsia="Times New Roman" w:cs="Arial"/>
        </w:rPr>
        <w:t>.,</w:t>
      </w:r>
      <w:r w:rsidR="003D130D">
        <w:rPr>
          <w:rFonts w:eastAsia="Times New Roman" w:cs="Arial"/>
        </w:rPr>
        <w:t xml:space="preserve"> Opinion and Order (Feb. 27, 1992)</w:t>
      </w:r>
      <w:r w:rsidR="00DA2E03">
        <w:rPr>
          <w:rFonts w:eastAsia="Times New Roman" w:cs="Arial"/>
        </w:rPr>
        <w:t xml:space="preserve"> (</w:t>
      </w:r>
      <w:r w:rsidR="00EC0AC4">
        <w:rPr>
          <w:rFonts w:eastAsia="Times New Roman" w:cs="Arial"/>
        </w:rPr>
        <w:t>“</w:t>
      </w:r>
      <w:r w:rsidR="00DA2E03" w:rsidRPr="00DA2E03">
        <w:rPr>
          <w:rFonts w:eastAsia="Times New Roman" w:cs="Arial"/>
          <w:i/>
        </w:rPr>
        <w:t>Shroyer</w:t>
      </w:r>
      <w:r w:rsidR="00EC0AC4">
        <w:rPr>
          <w:rFonts w:eastAsia="Times New Roman" w:cs="Arial"/>
          <w:i/>
        </w:rPr>
        <w:t>”</w:t>
      </w:r>
      <w:r w:rsidR="00DA2E03">
        <w:rPr>
          <w:rFonts w:eastAsia="Times New Roman" w:cs="Arial"/>
        </w:rPr>
        <w:t xml:space="preserve"> or </w:t>
      </w:r>
      <w:r w:rsidR="00EC0AC4">
        <w:rPr>
          <w:rFonts w:eastAsia="Times New Roman" w:cs="Arial"/>
        </w:rPr>
        <w:t>“</w:t>
      </w:r>
      <w:r w:rsidR="00DA2E03" w:rsidRPr="00DA2E03">
        <w:rPr>
          <w:rFonts w:eastAsia="Times New Roman" w:cs="Arial"/>
          <w:i/>
        </w:rPr>
        <w:t>Shroyer Test</w:t>
      </w:r>
      <w:r w:rsidR="00EC0AC4">
        <w:rPr>
          <w:rFonts w:eastAsia="Times New Roman" w:cs="Arial"/>
          <w:i/>
        </w:rPr>
        <w:t>”</w:t>
      </w:r>
      <w:r w:rsidR="00DA2E03">
        <w:rPr>
          <w:rFonts w:eastAsia="Times New Roman" w:cs="Arial"/>
        </w:rPr>
        <w:t xml:space="preserve"> as appropriate)</w:t>
      </w:r>
      <w:r>
        <w:rPr>
          <w:rFonts w:eastAsia="Times New Roman" w:cs="Arial"/>
        </w:rPr>
        <w:t xml:space="preserve">, the Public Utilities Commission of Ohio (“Commission”) established a three prong test to determine if a landlord providing “utility” services such as water to a tenant falls within the </w:t>
      </w:r>
      <w:r w:rsidR="00B90DB5">
        <w:rPr>
          <w:rFonts w:eastAsia="Times New Roman" w:cs="Arial"/>
        </w:rPr>
        <w:t>definition</w:t>
      </w:r>
      <w:r>
        <w:rPr>
          <w:rFonts w:eastAsia="Times New Roman" w:cs="Arial"/>
        </w:rPr>
        <w:t xml:space="preserve"> of a public utility subject to the Commission’s jurisdiction</w:t>
      </w:r>
      <w:r w:rsidR="006052A9">
        <w:rPr>
          <w:rFonts w:eastAsia="Times New Roman" w:cs="Arial"/>
        </w:rPr>
        <w:t>.</w:t>
      </w:r>
      <w:proofErr w:type="gramEnd"/>
      <w:r w:rsidR="003D130D">
        <w:rPr>
          <w:rFonts w:eastAsia="Times New Roman" w:cs="Arial"/>
        </w:rPr>
        <w:t xml:space="preserve">  </w:t>
      </w:r>
      <w:r w:rsidR="00C36D61">
        <w:rPr>
          <w:rFonts w:eastAsia="Times New Roman" w:cs="Arial"/>
        </w:rPr>
        <w:t>The test poses three questions:</w:t>
      </w:r>
    </w:p>
    <w:p w14:paraId="64CD008B" w14:textId="77777777" w:rsidR="002E26DC" w:rsidRPr="002E26DC" w:rsidRDefault="002E26DC" w:rsidP="002E26DC">
      <w:pPr>
        <w:tabs>
          <w:tab w:val="left" w:pos="1026"/>
        </w:tabs>
        <w:ind w:left="1440" w:right="806" w:hanging="720"/>
        <w:jc w:val="both"/>
        <w:rPr>
          <w:rFonts w:eastAsia="Times New Roman" w:cs="Arial"/>
          <w:szCs w:val="20"/>
        </w:rPr>
      </w:pPr>
      <w:r w:rsidRPr="002E26DC">
        <w:rPr>
          <w:rFonts w:eastAsia="Times New Roman" w:cs="Arial"/>
          <w:szCs w:val="20"/>
        </w:rPr>
        <w:t>1.</w:t>
      </w:r>
      <w:r w:rsidRPr="002E26DC">
        <w:rPr>
          <w:rFonts w:eastAsia="Times New Roman" w:cs="Arial"/>
          <w:szCs w:val="14"/>
        </w:rPr>
        <w:t xml:space="preserve"> </w:t>
      </w:r>
      <w:r w:rsidRPr="002E26DC">
        <w:rPr>
          <w:rFonts w:eastAsia="Times New Roman" w:cs="Arial"/>
          <w:szCs w:val="14"/>
        </w:rPr>
        <w:tab/>
      </w:r>
      <w:r w:rsidRPr="002E26DC">
        <w:rPr>
          <w:rFonts w:eastAsia="Times New Roman" w:cs="Arial"/>
          <w:szCs w:val="14"/>
        </w:rPr>
        <w:tab/>
      </w:r>
      <w:r w:rsidRPr="002E26DC">
        <w:rPr>
          <w:rFonts w:eastAsia="Times New Roman" w:cs="Arial"/>
          <w:szCs w:val="20"/>
        </w:rPr>
        <w:t>Does the landlord avail itself of the special benefits available to public utilities (e.g. - public franchise, public right of way, or the right of eminent domain in the construction or operation of its service)?</w:t>
      </w:r>
    </w:p>
    <w:p w14:paraId="279AC351" w14:textId="77777777" w:rsidR="002E26DC" w:rsidRPr="002E26DC" w:rsidRDefault="002E26DC" w:rsidP="002E26DC">
      <w:pPr>
        <w:tabs>
          <w:tab w:val="left" w:pos="1026"/>
        </w:tabs>
        <w:ind w:left="1440" w:right="810" w:hanging="720"/>
        <w:jc w:val="both"/>
        <w:rPr>
          <w:rFonts w:eastAsia="Times New Roman" w:cs="Arial"/>
          <w:szCs w:val="20"/>
        </w:rPr>
      </w:pPr>
    </w:p>
    <w:p w14:paraId="7743C6B3" w14:textId="0D93A0F4" w:rsidR="002E26DC" w:rsidRPr="002E26DC" w:rsidRDefault="002E26DC" w:rsidP="002E26DC">
      <w:pPr>
        <w:tabs>
          <w:tab w:val="left" w:pos="1026"/>
        </w:tabs>
        <w:ind w:left="1440" w:right="810" w:hanging="720"/>
        <w:jc w:val="both"/>
        <w:rPr>
          <w:rFonts w:eastAsia="Times New Roman" w:cs="Arial"/>
          <w:szCs w:val="20"/>
        </w:rPr>
      </w:pPr>
      <w:r w:rsidRPr="002E26DC">
        <w:rPr>
          <w:rFonts w:eastAsia="Times New Roman" w:cs="Arial"/>
          <w:szCs w:val="20"/>
        </w:rPr>
        <w:t>2.</w:t>
      </w:r>
      <w:r w:rsidRPr="002E26DC">
        <w:rPr>
          <w:rFonts w:eastAsia="Times New Roman" w:cs="Arial"/>
          <w:szCs w:val="14"/>
        </w:rPr>
        <w:t xml:space="preserve"> </w:t>
      </w:r>
      <w:r w:rsidRPr="002E26DC">
        <w:rPr>
          <w:rFonts w:eastAsia="Times New Roman" w:cs="Arial"/>
          <w:szCs w:val="14"/>
        </w:rPr>
        <w:tab/>
      </w:r>
      <w:r w:rsidRPr="002E26DC">
        <w:rPr>
          <w:rFonts w:eastAsia="Times New Roman" w:cs="Arial"/>
          <w:szCs w:val="14"/>
        </w:rPr>
        <w:tab/>
      </w:r>
      <w:r w:rsidRPr="002E26DC">
        <w:rPr>
          <w:rFonts w:eastAsia="Times New Roman" w:cs="Arial"/>
          <w:szCs w:val="20"/>
        </w:rPr>
        <w:t xml:space="preserve">Does the landlord only provide the utility service to </w:t>
      </w:r>
      <w:r w:rsidR="00EE4407">
        <w:rPr>
          <w:rFonts w:eastAsia="Times New Roman" w:cs="Arial"/>
          <w:szCs w:val="20"/>
        </w:rPr>
        <w:t>its</w:t>
      </w:r>
      <w:r w:rsidR="00EE4407" w:rsidRPr="002E26DC">
        <w:rPr>
          <w:rFonts w:eastAsia="Times New Roman" w:cs="Arial"/>
          <w:szCs w:val="20"/>
        </w:rPr>
        <w:t xml:space="preserve"> </w:t>
      </w:r>
      <w:r w:rsidRPr="002E26DC">
        <w:rPr>
          <w:rFonts w:eastAsia="Times New Roman" w:cs="Arial"/>
          <w:szCs w:val="20"/>
        </w:rPr>
        <w:t>tenants rather than the general public?</w:t>
      </w:r>
    </w:p>
    <w:p w14:paraId="7E2ABDC8" w14:textId="77777777" w:rsidR="002E26DC" w:rsidRPr="002E26DC" w:rsidRDefault="002E26DC" w:rsidP="002E26DC">
      <w:pPr>
        <w:tabs>
          <w:tab w:val="left" w:pos="1026"/>
        </w:tabs>
        <w:ind w:left="1440" w:right="810" w:hanging="720"/>
        <w:jc w:val="both"/>
        <w:rPr>
          <w:rFonts w:eastAsia="Times New Roman" w:cs="Arial"/>
          <w:szCs w:val="20"/>
        </w:rPr>
      </w:pPr>
    </w:p>
    <w:p w14:paraId="48BF8C21" w14:textId="77777777" w:rsidR="002E26DC" w:rsidRPr="002E26DC" w:rsidRDefault="002E26DC" w:rsidP="002E26DC">
      <w:pPr>
        <w:tabs>
          <w:tab w:val="left" w:pos="1026"/>
        </w:tabs>
        <w:ind w:left="1440" w:right="810" w:hanging="720"/>
        <w:jc w:val="both"/>
        <w:rPr>
          <w:rFonts w:eastAsia="Times New Roman" w:cs="Arial"/>
          <w:szCs w:val="20"/>
        </w:rPr>
      </w:pPr>
      <w:r w:rsidRPr="002E26DC">
        <w:rPr>
          <w:rFonts w:eastAsia="Times New Roman" w:cs="Arial"/>
          <w:szCs w:val="20"/>
        </w:rPr>
        <w:t>3.</w:t>
      </w:r>
      <w:r w:rsidRPr="002E26DC">
        <w:rPr>
          <w:rFonts w:eastAsia="Times New Roman" w:cs="Arial"/>
          <w:szCs w:val="14"/>
        </w:rPr>
        <w:tab/>
      </w:r>
      <w:r w:rsidRPr="002E26DC">
        <w:rPr>
          <w:rFonts w:eastAsia="Times New Roman" w:cs="Arial"/>
          <w:szCs w:val="14"/>
        </w:rPr>
        <w:tab/>
      </w:r>
      <w:r w:rsidRPr="002E26DC">
        <w:rPr>
          <w:rFonts w:eastAsia="Times New Roman" w:cs="Arial"/>
          <w:szCs w:val="20"/>
        </w:rPr>
        <w:t>Is the provision of the utility service clearly ancillary to the landlord’s primary business?</w:t>
      </w:r>
    </w:p>
    <w:p w14:paraId="776FAC2C" w14:textId="77777777" w:rsidR="002E26DC" w:rsidRPr="002E26DC" w:rsidRDefault="002E26DC" w:rsidP="002E26DC">
      <w:pPr>
        <w:tabs>
          <w:tab w:val="left" w:pos="1026"/>
        </w:tabs>
        <w:ind w:left="1440" w:right="810" w:hanging="720"/>
        <w:jc w:val="both"/>
        <w:rPr>
          <w:rFonts w:eastAsia="Times New Roman" w:cs="Arial"/>
          <w:szCs w:val="20"/>
        </w:rPr>
      </w:pPr>
    </w:p>
    <w:p w14:paraId="122CFA31" w14:textId="77777777" w:rsidR="002E26DC" w:rsidRPr="002E26DC" w:rsidRDefault="002E26DC" w:rsidP="002E26DC">
      <w:pPr>
        <w:tabs>
          <w:tab w:val="left" w:pos="720"/>
        </w:tabs>
        <w:spacing w:line="480" w:lineRule="auto"/>
        <w:jc w:val="both"/>
        <w:rPr>
          <w:rFonts w:eastAsia="Times New Roman" w:cs="Arial"/>
          <w:szCs w:val="20"/>
        </w:rPr>
      </w:pPr>
      <w:r w:rsidRPr="002E26DC">
        <w:rPr>
          <w:rFonts w:eastAsia="Times New Roman" w:cs="Arial"/>
          <w:i/>
          <w:iCs/>
          <w:szCs w:val="20"/>
        </w:rPr>
        <w:t>Shroyer</w:t>
      </w:r>
      <w:r w:rsidRPr="002E26DC">
        <w:rPr>
          <w:rFonts w:eastAsia="Times New Roman" w:cs="Arial"/>
          <w:szCs w:val="20"/>
        </w:rPr>
        <w:t xml:space="preserve">, Opinion and Order at 4 (Feb. 27, 1992).  </w:t>
      </w:r>
      <w:r w:rsidRPr="002E26DC">
        <w:rPr>
          <w:rFonts w:eastAsia="Times New Roman" w:cs="Arial"/>
          <w:i/>
          <w:szCs w:val="20"/>
        </w:rPr>
        <w:t>See, also,</w:t>
      </w:r>
      <w:r w:rsidRPr="002E26DC">
        <w:rPr>
          <w:rFonts w:eastAsia="Times New Roman" w:cs="Arial"/>
          <w:szCs w:val="20"/>
        </w:rPr>
        <w:t xml:space="preserve"> </w:t>
      </w:r>
      <w:r w:rsidRPr="002E26DC">
        <w:rPr>
          <w:rFonts w:eastAsia="Times New Roman" w:cs="Arial"/>
          <w:i/>
          <w:iCs/>
          <w:szCs w:val="20"/>
        </w:rPr>
        <w:t>Brooks, et al. v. Toledo Edison Co.</w:t>
      </w:r>
      <w:r w:rsidRPr="002E26DC">
        <w:rPr>
          <w:rFonts w:eastAsia="Times New Roman" w:cs="Arial"/>
          <w:szCs w:val="20"/>
        </w:rPr>
        <w:t>,</w:t>
      </w:r>
      <w:r w:rsidRPr="002E26DC">
        <w:rPr>
          <w:rFonts w:eastAsia="Times New Roman" w:cs="Arial"/>
          <w:i/>
          <w:iCs/>
          <w:szCs w:val="20"/>
        </w:rPr>
        <w:t xml:space="preserve"> </w:t>
      </w:r>
      <w:r w:rsidRPr="002E26DC">
        <w:rPr>
          <w:rFonts w:eastAsia="Times New Roman" w:cs="Arial"/>
          <w:szCs w:val="20"/>
        </w:rPr>
        <w:t>Case No. 94-1987, Entry (Mar. 16, 1995) (“</w:t>
      </w:r>
      <w:r w:rsidRPr="002E26DC">
        <w:rPr>
          <w:rFonts w:eastAsia="Times New Roman" w:cs="Arial"/>
          <w:i/>
          <w:szCs w:val="20"/>
        </w:rPr>
        <w:t>Brooks</w:t>
      </w:r>
      <w:r w:rsidRPr="002E26DC">
        <w:rPr>
          <w:rFonts w:eastAsia="Times New Roman" w:cs="Arial"/>
          <w:szCs w:val="20"/>
        </w:rPr>
        <w:t>”).</w:t>
      </w:r>
    </w:p>
    <w:p w14:paraId="6286D3FC" w14:textId="3F3047BB" w:rsidR="00A62E0B" w:rsidRDefault="00DA2E03" w:rsidP="00A62E0B">
      <w:pPr>
        <w:spacing w:line="480" w:lineRule="auto"/>
        <w:ind w:firstLine="720"/>
        <w:jc w:val="both"/>
        <w:rPr>
          <w:rFonts w:eastAsia="Times New Roman" w:cs="Arial"/>
        </w:rPr>
      </w:pPr>
      <w:proofErr w:type="gramStart"/>
      <w:r>
        <w:rPr>
          <w:rFonts w:eastAsia="Times New Roman" w:cs="Arial"/>
        </w:rPr>
        <w:t xml:space="preserve">In response to a complaint filed by a condominium owner that </w:t>
      </w:r>
      <w:r w:rsidR="00BE36D5">
        <w:rPr>
          <w:rFonts w:eastAsia="Times New Roman" w:cs="Arial"/>
        </w:rPr>
        <w:t xml:space="preserve">an entity </w:t>
      </w:r>
      <w:r w:rsidR="009F2757">
        <w:rPr>
          <w:rFonts w:eastAsia="Times New Roman" w:cs="Arial"/>
        </w:rPr>
        <w:t>he alleged was</w:t>
      </w:r>
      <w:r w:rsidR="00BE36D5">
        <w:rPr>
          <w:rFonts w:eastAsia="Times New Roman" w:cs="Arial"/>
        </w:rPr>
        <w:t xml:space="preserve"> engaged in the unlawful provision of utility </w:t>
      </w:r>
      <w:r w:rsidR="009F2757">
        <w:rPr>
          <w:rFonts w:eastAsia="Times New Roman" w:cs="Arial"/>
        </w:rPr>
        <w:t>services</w:t>
      </w:r>
      <w:r>
        <w:rPr>
          <w:rFonts w:eastAsia="Times New Roman" w:cs="Arial"/>
        </w:rPr>
        <w:t xml:space="preserve">, </w:t>
      </w:r>
      <w:r w:rsidR="00E16D38" w:rsidRPr="009F2757">
        <w:rPr>
          <w:rFonts w:eastAsia="Times New Roman" w:cs="Arial"/>
          <w:i/>
        </w:rPr>
        <w:t xml:space="preserve">Whitt v. Nationwide Energy </w:t>
      </w:r>
      <w:r w:rsidR="00E16D38" w:rsidRPr="009F2757">
        <w:rPr>
          <w:rFonts w:eastAsia="Times New Roman" w:cs="Arial"/>
          <w:i/>
        </w:rPr>
        <w:lastRenderedPageBreak/>
        <w:t>Partners</w:t>
      </w:r>
      <w:r w:rsidR="00E16D38">
        <w:rPr>
          <w:rFonts w:eastAsia="Times New Roman" w:cs="Arial"/>
        </w:rPr>
        <w:t>, Case No. 15-697-EL-</w:t>
      </w:r>
      <w:r w:rsidR="00131FCF">
        <w:rPr>
          <w:rFonts w:eastAsia="Times New Roman" w:cs="Arial"/>
        </w:rPr>
        <w:t>CSS</w:t>
      </w:r>
      <w:r w:rsidR="00E16D38">
        <w:rPr>
          <w:rFonts w:eastAsia="Times New Roman" w:cs="Arial"/>
        </w:rPr>
        <w:t>, Complaint (Apr. 10, 2015)</w:t>
      </w:r>
      <w:r w:rsidR="00780C82">
        <w:rPr>
          <w:rFonts w:eastAsia="Times New Roman" w:cs="Arial"/>
        </w:rPr>
        <w:t xml:space="preserve">, </w:t>
      </w:r>
      <w:r>
        <w:rPr>
          <w:rFonts w:eastAsia="Times New Roman" w:cs="Arial"/>
        </w:rPr>
        <w:t>t</w:t>
      </w:r>
      <w:r w:rsidR="0039072A">
        <w:rPr>
          <w:rFonts w:eastAsia="Times New Roman" w:cs="Arial"/>
        </w:rPr>
        <w:t xml:space="preserve">he Commission opened </w:t>
      </w:r>
      <w:r w:rsidR="006B711D">
        <w:rPr>
          <w:rFonts w:eastAsia="Times New Roman" w:cs="Arial"/>
        </w:rPr>
        <w:t>this</w:t>
      </w:r>
      <w:r w:rsidR="0039072A">
        <w:rPr>
          <w:rFonts w:eastAsia="Times New Roman" w:cs="Arial"/>
        </w:rPr>
        <w:t xml:space="preserve"> investigation to address whet</w:t>
      </w:r>
      <w:r w:rsidR="009D4D75">
        <w:rPr>
          <w:rFonts w:eastAsia="Times New Roman" w:cs="Arial"/>
        </w:rPr>
        <w:t xml:space="preserve">her it would apply the </w:t>
      </w:r>
      <w:r w:rsidR="009D4D75" w:rsidRPr="006B711D">
        <w:rPr>
          <w:rFonts w:eastAsia="Times New Roman" w:cs="Arial"/>
          <w:i/>
        </w:rPr>
        <w:t>Shroyer T</w:t>
      </w:r>
      <w:r w:rsidR="0039072A" w:rsidRPr="006B711D">
        <w:rPr>
          <w:rFonts w:eastAsia="Times New Roman" w:cs="Arial"/>
          <w:i/>
        </w:rPr>
        <w:t>est</w:t>
      </w:r>
      <w:r w:rsidR="0039072A">
        <w:rPr>
          <w:rFonts w:eastAsia="Times New Roman" w:cs="Arial"/>
        </w:rPr>
        <w:t xml:space="preserve"> to condominium owners and other entities that redistribute utility services.</w:t>
      </w:r>
      <w:proofErr w:type="gramEnd"/>
      <w:r w:rsidR="0039072A">
        <w:rPr>
          <w:rFonts w:eastAsia="Times New Roman" w:cs="Arial"/>
        </w:rPr>
        <w:t xml:space="preserve">  Entry at </w:t>
      </w:r>
      <w:r w:rsidR="005E7F75">
        <w:rPr>
          <w:rFonts w:eastAsia="Times New Roman" w:cs="Arial"/>
        </w:rPr>
        <w:t xml:space="preserve">2-3 (Dec. 16, 2015).  After </w:t>
      </w:r>
      <w:r w:rsidR="00683D70">
        <w:rPr>
          <w:rFonts w:eastAsia="Times New Roman" w:cs="Arial"/>
        </w:rPr>
        <w:t xml:space="preserve">the Commission </w:t>
      </w:r>
      <w:r w:rsidR="005E7F75">
        <w:rPr>
          <w:rFonts w:eastAsia="Times New Roman" w:cs="Arial"/>
        </w:rPr>
        <w:t xml:space="preserve">received comments from interested parties, it issued a Finding and Order on December 7, 2016.  </w:t>
      </w:r>
      <w:proofErr w:type="gramStart"/>
      <w:r w:rsidR="00A3217E" w:rsidRPr="002C4FAC">
        <w:rPr>
          <w:rFonts w:eastAsia="Times New Roman" w:cs="Arial"/>
        </w:rPr>
        <w:t xml:space="preserve">In the Finding and Order, the Commission modified the third prong of the </w:t>
      </w:r>
      <w:r w:rsidR="00A3217E" w:rsidRPr="00444722">
        <w:rPr>
          <w:rFonts w:eastAsia="Times New Roman" w:cs="Arial"/>
          <w:i/>
        </w:rPr>
        <w:t>Shroyer Test</w:t>
      </w:r>
      <w:r w:rsidR="00A3217E" w:rsidRPr="002C4FAC">
        <w:rPr>
          <w:rFonts w:eastAsia="Times New Roman" w:cs="Arial"/>
        </w:rPr>
        <w:t xml:space="preserve"> to include a rebuttable presumption that the provision of a utility service is not ancillary to the landlord’s or othe</w:t>
      </w:r>
      <w:r w:rsidR="00A3217E">
        <w:rPr>
          <w:rFonts w:eastAsia="Times New Roman" w:cs="Arial"/>
        </w:rPr>
        <w:t>r</w:t>
      </w:r>
      <w:r w:rsidR="00A3217E" w:rsidRPr="002C4FAC">
        <w:rPr>
          <w:rFonts w:eastAsia="Times New Roman" w:cs="Arial"/>
        </w:rPr>
        <w:t xml:space="preserve"> entity’s primary business if the landlord or other entity charges the end user a to-be-determined percentage above the total bill charges for a similarly situated customer served by the utility’s tariff rates, an electric utility’s standard service offer, or a natural gas company’s standard choice offer.</w:t>
      </w:r>
      <w:proofErr w:type="gramEnd"/>
      <w:r w:rsidR="00A3217E" w:rsidRPr="002C4FAC">
        <w:rPr>
          <w:rFonts w:eastAsia="Times New Roman" w:cs="Arial"/>
        </w:rPr>
        <w:t xml:space="preserve">  Finding and Order at ¶ 18</w:t>
      </w:r>
      <w:r w:rsidR="00683D70">
        <w:rPr>
          <w:rFonts w:eastAsia="Times New Roman" w:cs="Arial"/>
        </w:rPr>
        <w:t xml:space="preserve"> (“Relative Price Test”)</w:t>
      </w:r>
      <w:r w:rsidR="00A3217E" w:rsidRPr="002C4FAC">
        <w:rPr>
          <w:rFonts w:eastAsia="Times New Roman" w:cs="Arial"/>
        </w:rPr>
        <w:t xml:space="preserve">.  The landlord or other entity then would have to present evidence to demonstrate that its provision of service was ancillary to its business.  </w:t>
      </w:r>
      <w:r w:rsidR="00A3217E" w:rsidRPr="00444722">
        <w:rPr>
          <w:rFonts w:eastAsia="Times New Roman" w:cs="Arial"/>
          <w:i/>
        </w:rPr>
        <w:t>Id</w:t>
      </w:r>
      <w:r w:rsidR="00A3217E" w:rsidRPr="002C4FAC">
        <w:rPr>
          <w:rFonts w:eastAsia="Times New Roman" w:cs="Arial"/>
        </w:rPr>
        <w:t>.  The Commission</w:t>
      </w:r>
      <w:r w:rsidR="00A3217E">
        <w:rPr>
          <w:rFonts w:eastAsia="Times New Roman" w:cs="Arial"/>
        </w:rPr>
        <w:t xml:space="preserve"> </w:t>
      </w:r>
      <w:r w:rsidR="00B0014E">
        <w:rPr>
          <w:rFonts w:eastAsia="Times New Roman" w:cs="Arial"/>
        </w:rPr>
        <w:t>introduced the Relative Price Test</w:t>
      </w:r>
      <w:r w:rsidR="00A3217E">
        <w:rPr>
          <w:rFonts w:eastAsia="Times New Roman" w:cs="Arial"/>
        </w:rPr>
        <w:t xml:space="preserve"> </w:t>
      </w:r>
      <w:r w:rsidR="00A3217E" w:rsidRPr="002C4FAC">
        <w:rPr>
          <w:rFonts w:eastAsia="Times New Roman" w:cs="Arial"/>
        </w:rPr>
        <w:t xml:space="preserve">because of complaints that </w:t>
      </w:r>
      <w:r w:rsidR="00F95AE5">
        <w:rPr>
          <w:rFonts w:eastAsia="Times New Roman" w:cs="Arial"/>
        </w:rPr>
        <w:t>submetering companies are price-gouging</w:t>
      </w:r>
      <w:r w:rsidR="00AD07DB">
        <w:rPr>
          <w:rFonts w:eastAsia="Times New Roman" w:cs="Arial"/>
        </w:rPr>
        <w:t xml:space="preserve"> residential customers</w:t>
      </w:r>
      <w:r w:rsidR="00A3217E" w:rsidRPr="002C4FAC">
        <w:rPr>
          <w:rFonts w:eastAsia="Times New Roman" w:cs="Arial"/>
        </w:rPr>
        <w:t xml:space="preserve">.  </w:t>
      </w:r>
      <w:proofErr w:type="gramStart"/>
      <w:r w:rsidR="00A3217E" w:rsidRPr="00274AD2">
        <w:rPr>
          <w:rFonts w:eastAsia="Times New Roman" w:cs="Arial"/>
          <w:i/>
        </w:rPr>
        <w:t>Id</w:t>
      </w:r>
      <w:r w:rsidR="00A3217E" w:rsidRPr="002C4FAC">
        <w:rPr>
          <w:rFonts w:eastAsia="Times New Roman" w:cs="Arial"/>
        </w:rPr>
        <w:t>., ¶ 19.</w:t>
      </w:r>
      <w:proofErr w:type="gramEnd"/>
      <w:r w:rsidR="00A3217E" w:rsidRPr="002C4FAC">
        <w:rPr>
          <w:rFonts w:eastAsia="Times New Roman" w:cs="Arial"/>
        </w:rPr>
        <w:t xml:space="preserve">  </w:t>
      </w:r>
      <w:r w:rsidR="00F95AE5">
        <w:rPr>
          <w:rFonts w:eastAsia="Times New Roman" w:cs="Arial"/>
        </w:rPr>
        <w:t xml:space="preserve">The Commission </w:t>
      </w:r>
      <w:r w:rsidR="00A3217E">
        <w:rPr>
          <w:rFonts w:eastAsia="Times New Roman" w:cs="Arial"/>
        </w:rPr>
        <w:t>then requested comments and reply comments</w:t>
      </w:r>
      <w:r w:rsidR="007D2FFF">
        <w:rPr>
          <w:rFonts w:eastAsia="Times New Roman" w:cs="Arial"/>
        </w:rPr>
        <w:t xml:space="preserve"> on the threshold percentage </w:t>
      </w:r>
      <w:r w:rsidR="00F95AE5">
        <w:rPr>
          <w:rFonts w:eastAsia="Times New Roman" w:cs="Arial"/>
        </w:rPr>
        <w:t>it should adopt as a trigger to the application of the Relative Price Test</w:t>
      </w:r>
      <w:r w:rsidR="007D2FFF">
        <w:rPr>
          <w:rFonts w:eastAsia="Times New Roman" w:cs="Arial"/>
        </w:rPr>
        <w:t xml:space="preserve">.  </w:t>
      </w:r>
      <w:proofErr w:type="gramStart"/>
      <w:r w:rsidR="007D2FFF" w:rsidRPr="003C424D">
        <w:rPr>
          <w:rFonts w:eastAsia="Times New Roman" w:cs="Arial"/>
          <w:i/>
        </w:rPr>
        <w:t>Id</w:t>
      </w:r>
      <w:r w:rsidR="007D2FFF">
        <w:rPr>
          <w:rFonts w:eastAsia="Times New Roman" w:cs="Arial"/>
        </w:rPr>
        <w:t>., ¶ 22.</w:t>
      </w:r>
      <w:proofErr w:type="gramEnd"/>
    </w:p>
    <w:p w14:paraId="697F4E80" w14:textId="4457171B" w:rsidR="00190739" w:rsidRDefault="00CA26E3" w:rsidP="00A62E0B">
      <w:pPr>
        <w:spacing w:line="480" w:lineRule="auto"/>
        <w:ind w:firstLine="720"/>
        <w:jc w:val="both"/>
        <w:rPr>
          <w:rFonts w:eastAsia="Times New Roman" w:cs="Arial"/>
        </w:rPr>
      </w:pPr>
      <w:r>
        <w:rPr>
          <w:rFonts w:eastAsia="Times New Roman" w:cs="Arial"/>
        </w:rPr>
        <w:t>The Commission’s concern with price</w:t>
      </w:r>
      <w:r w:rsidR="003C424D">
        <w:rPr>
          <w:rFonts w:eastAsia="Times New Roman" w:cs="Arial"/>
        </w:rPr>
        <w:t>-</w:t>
      </w:r>
      <w:r>
        <w:rPr>
          <w:rFonts w:eastAsia="Times New Roman" w:cs="Arial"/>
        </w:rPr>
        <w:t>gouging is understandable.  The solution it has proposed</w:t>
      </w:r>
      <w:r w:rsidR="00AD07DB">
        <w:rPr>
          <w:rFonts w:eastAsia="Times New Roman" w:cs="Arial"/>
        </w:rPr>
        <w:t xml:space="preserve">, however, </w:t>
      </w:r>
      <w:r w:rsidR="00190739">
        <w:rPr>
          <w:rFonts w:eastAsia="Times New Roman" w:cs="Arial"/>
        </w:rPr>
        <w:t>assume</w:t>
      </w:r>
      <w:r w:rsidR="00396B3F">
        <w:rPr>
          <w:rFonts w:eastAsia="Times New Roman" w:cs="Arial"/>
        </w:rPr>
        <w:t>s</w:t>
      </w:r>
      <w:r w:rsidR="00190739">
        <w:rPr>
          <w:rFonts w:eastAsia="Times New Roman" w:cs="Arial"/>
        </w:rPr>
        <w:t xml:space="preserve"> that there is a basis for presuming that a company is a public utility if </w:t>
      </w:r>
      <w:proofErr w:type="gramStart"/>
      <w:r w:rsidR="00190739">
        <w:rPr>
          <w:rFonts w:eastAsia="Times New Roman" w:cs="Arial"/>
        </w:rPr>
        <w:t>its</w:t>
      </w:r>
      <w:proofErr w:type="gramEnd"/>
      <w:r w:rsidR="00190739">
        <w:rPr>
          <w:rFonts w:eastAsia="Times New Roman" w:cs="Arial"/>
        </w:rPr>
        <w:t xml:space="preserve"> pricing exceeds some </w:t>
      </w:r>
      <w:r w:rsidR="00432DEC">
        <w:rPr>
          <w:rFonts w:eastAsia="Times New Roman" w:cs="Arial"/>
        </w:rPr>
        <w:t>yet-to-be-</w:t>
      </w:r>
      <w:r w:rsidR="00190739">
        <w:rPr>
          <w:rFonts w:eastAsia="Times New Roman" w:cs="Arial"/>
        </w:rPr>
        <w:t xml:space="preserve">defined threshold.  </w:t>
      </w:r>
      <w:r w:rsidR="008D75A8">
        <w:rPr>
          <w:rFonts w:eastAsia="Times New Roman" w:cs="Arial"/>
        </w:rPr>
        <w:t>The</w:t>
      </w:r>
      <w:r w:rsidR="00237326">
        <w:rPr>
          <w:rFonts w:eastAsia="Times New Roman" w:cs="Arial"/>
        </w:rPr>
        <w:t xml:space="preserve"> determination of utility status based on </w:t>
      </w:r>
      <w:r>
        <w:rPr>
          <w:rFonts w:eastAsia="Times New Roman" w:cs="Arial"/>
        </w:rPr>
        <w:t>the Relative Price Test</w:t>
      </w:r>
      <w:r w:rsidR="008D75A8">
        <w:rPr>
          <w:rFonts w:eastAsia="Times New Roman" w:cs="Arial"/>
        </w:rPr>
        <w:t>, however,</w:t>
      </w:r>
      <w:r w:rsidR="00237326">
        <w:rPr>
          <w:rFonts w:eastAsia="Times New Roman" w:cs="Arial"/>
        </w:rPr>
        <w:t xml:space="preserve"> is not supported </w:t>
      </w:r>
      <w:r w:rsidR="00CF2EBC">
        <w:rPr>
          <w:rFonts w:eastAsia="Times New Roman" w:cs="Arial"/>
        </w:rPr>
        <w:t xml:space="preserve">by </w:t>
      </w:r>
      <w:r w:rsidR="00CC5E11">
        <w:rPr>
          <w:rFonts w:eastAsia="Times New Roman" w:cs="Arial"/>
        </w:rPr>
        <w:t xml:space="preserve">the Commission’s statutory authority, </w:t>
      </w:r>
      <w:r w:rsidR="00237326">
        <w:rPr>
          <w:rFonts w:eastAsia="Times New Roman" w:cs="Arial"/>
        </w:rPr>
        <w:t xml:space="preserve">by </w:t>
      </w:r>
      <w:r w:rsidR="008D75A8">
        <w:rPr>
          <w:rFonts w:eastAsia="Times New Roman" w:cs="Arial"/>
        </w:rPr>
        <w:t xml:space="preserve">the experience </w:t>
      </w:r>
      <w:r w:rsidR="00237326">
        <w:rPr>
          <w:rFonts w:eastAsia="Times New Roman" w:cs="Arial"/>
        </w:rPr>
        <w:t>of this Commission</w:t>
      </w:r>
      <w:r w:rsidR="00CC5E11">
        <w:rPr>
          <w:rFonts w:eastAsia="Times New Roman" w:cs="Arial"/>
        </w:rPr>
        <w:t>,</w:t>
      </w:r>
      <w:r w:rsidR="00237326">
        <w:rPr>
          <w:rFonts w:eastAsia="Times New Roman" w:cs="Arial"/>
        </w:rPr>
        <w:t xml:space="preserve"> or </w:t>
      </w:r>
      <w:r w:rsidR="00CC5E11">
        <w:rPr>
          <w:rFonts w:eastAsia="Times New Roman" w:cs="Arial"/>
        </w:rPr>
        <w:t xml:space="preserve">by </w:t>
      </w:r>
      <w:r w:rsidR="00237326">
        <w:rPr>
          <w:rFonts w:eastAsia="Times New Roman" w:cs="Arial"/>
        </w:rPr>
        <w:t xml:space="preserve">the </w:t>
      </w:r>
      <w:r w:rsidR="008D75A8">
        <w:rPr>
          <w:rFonts w:eastAsia="Times New Roman" w:cs="Arial"/>
        </w:rPr>
        <w:t xml:space="preserve">precedent of the </w:t>
      </w:r>
      <w:r w:rsidR="00237326">
        <w:rPr>
          <w:rFonts w:eastAsia="Times New Roman" w:cs="Arial"/>
        </w:rPr>
        <w:t>Supreme Court of Ohio</w:t>
      </w:r>
      <w:r w:rsidR="00813A75">
        <w:rPr>
          <w:rFonts w:eastAsia="Times New Roman" w:cs="Arial"/>
        </w:rPr>
        <w:t xml:space="preserve"> (“Court”)</w:t>
      </w:r>
      <w:r w:rsidR="00237326">
        <w:rPr>
          <w:rFonts w:eastAsia="Times New Roman" w:cs="Arial"/>
        </w:rPr>
        <w:t xml:space="preserve">.  </w:t>
      </w:r>
      <w:r w:rsidR="008D75A8">
        <w:rPr>
          <w:rFonts w:eastAsia="Times New Roman" w:cs="Arial"/>
        </w:rPr>
        <w:t>Further</w:t>
      </w:r>
      <w:r w:rsidR="00C27E82">
        <w:rPr>
          <w:rFonts w:eastAsia="Times New Roman" w:cs="Arial"/>
        </w:rPr>
        <w:t xml:space="preserve">, there is no logical or factual basis </w:t>
      </w:r>
      <w:r w:rsidR="008D75A8">
        <w:rPr>
          <w:rFonts w:eastAsia="Times New Roman" w:cs="Arial"/>
        </w:rPr>
        <w:t xml:space="preserve">for finding that a person </w:t>
      </w:r>
      <w:r w:rsidR="001D0D68">
        <w:rPr>
          <w:rFonts w:eastAsia="Times New Roman" w:cs="Arial"/>
        </w:rPr>
        <w:t>redistributing</w:t>
      </w:r>
      <w:r w:rsidR="008D75A8">
        <w:rPr>
          <w:rFonts w:eastAsia="Times New Roman" w:cs="Arial"/>
        </w:rPr>
        <w:t xml:space="preserve"> service at a price above a regulated price</w:t>
      </w:r>
      <w:r w:rsidR="001D0D68">
        <w:rPr>
          <w:rFonts w:eastAsia="Times New Roman" w:cs="Arial"/>
        </w:rPr>
        <w:t xml:space="preserve"> is </w:t>
      </w:r>
      <w:r w:rsidR="001D0D68">
        <w:rPr>
          <w:rFonts w:eastAsia="Times New Roman" w:cs="Arial"/>
        </w:rPr>
        <w:lastRenderedPageBreak/>
        <w:t>a public utility</w:t>
      </w:r>
      <w:r w:rsidR="00C27E82">
        <w:rPr>
          <w:rFonts w:eastAsia="Times New Roman" w:cs="Arial"/>
        </w:rPr>
        <w:t xml:space="preserve">.  </w:t>
      </w:r>
      <w:r w:rsidR="001D0D68">
        <w:rPr>
          <w:rFonts w:eastAsia="Times New Roman" w:cs="Arial"/>
        </w:rPr>
        <w:t>As a result, the</w:t>
      </w:r>
      <w:r w:rsidR="002F1A5E">
        <w:rPr>
          <w:rFonts w:eastAsia="Times New Roman" w:cs="Arial"/>
        </w:rPr>
        <w:t xml:space="preserve"> attempt to set an arbitrary rule that shifts the burden of </w:t>
      </w:r>
      <w:proofErr w:type="spellStart"/>
      <w:r w:rsidR="00D80424">
        <w:rPr>
          <w:rFonts w:eastAsia="Times New Roman" w:cs="Arial"/>
        </w:rPr>
        <w:t>of</w:t>
      </w:r>
      <w:proofErr w:type="spellEnd"/>
      <w:r w:rsidR="00D80424">
        <w:rPr>
          <w:rFonts w:eastAsia="Times New Roman" w:cs="Arial"/>
        </w:rPr>
        <w:t xml:space="preserve"> going forward with evidence</w:t>
      </w:r>
      <w:r w:rsidR="002F1A5E">
        <w:rPr>
          <w:rFonts w:eastAsia="Times New Roman" w:cs="Arial"/>
        </w:rPr>
        <w:t xml:space="preserve"> will not provide this Commission or the parties </w:t>
      </w:r>
      <w:r w:rsidR="001D0D68">
        <w:rPr>
          <w:rFonts w:eastAsia="Times New Roman" w:cs="Arial"/>
        </w:rPr>
        <w:t>a</w:t>
      </w:r>
      <w:r w:rsidR="002F1A5E">
        <w:rPr>
          <w:rFonts w:eastAsia="Times New Roman" w:cs="Arial"/>
        </w:rPr>
        <w:t xml:space="preserve"> usable </w:t>
      </w:r>
      <w:r w:rsidR="003F4D82">
        <w:rPr>
          <w:rFonts w:eastAsia="Times New Roman" w:cs="Arial"/>
        </w:rPr>
        <w:t xml:space="preserve">test </w:t>
      </w:r>
      <w:r w:rsidR="00237326">
        <w:rPr>
          <w:rFonts w:eastAsia="Times New Roman" w:cs="Arial"/>
        </w:rPr>
        <w:t xml:space="preserve">for determining whether </w:t>
      </w:r>
      <w:r w:rsidR="006C658D">
        <w:rPr>
          <w:rFonts w:eastAsia="Times New Roman" w:cs="Arial"/>
        </w:rPr>
        <w:t>the service provided by an entity is ancillary</w:t>
      </w:r>
      <w:r w:rsidR="00237326">
        <w:rPr>
          <w:rFonts w:eastAsia="Times New Roman" w:cs="Arial"/>
        </w:rPr>
        <w:t xml:space="preserve">.  </w:t>
      </w:r>
    </w:p>
    <w:p w14:paraId="3398D69F" w14:textId="0FFC2C85" w:rsidR="00717E7F" w:rsidRDefault="00717E7F" w:rsidP="00717E7F">
      <w:pPr>
        <w:pStyle w:val="Heading2"/>
        <w:rPr>
          <w:rFonts w:eastAsia="Times New Roman"/>
        </w:rPr>
      </w:pPr>
      <w:bookmarkStart w:id="5" w:name="_Toc472078179"/>
      <w:r>
        <w:rPr>
          <w:rFonts w:eastAsia="Times New Roman"/>
        </w:rPr>
        <w:t>The Commission should limit the application of the Relative Price Test to the provision of services to residential customers</w:t>
      </w:r>
      <w:bookmarkEnd w:id="5"/>
    </w:p>
    <w:p w14:paraId="25B0A410" w14:textId="1BB1AA8F" w:rsidR="00282150" w:rsidRDefault="004C6F35" w:rsidP="0018674C">
      <w:pPr>
        <w:spacing w:line="480" w:lineRule="auto"/>
        <w:ind w:firstLine="720"/>
        <w:jc w:val="both"/>
      </w:pPr>
      <w:r>
        <w:t xml:space="preserve">In its order modifying the </w:t>
      </w:r>
      <w:r w:rsidRPr="00C547DA">
        <w:rPr>
          <w:i/>
        </w:rPr>
        <w:t>Shroyer Test</w:t>
      </w:r>
      <w:r>
        <w:t xml:space="preserve">, the Commission </w:t>
      </w:r>
      <w:r w:rsidR="00D710C9">
        <w:t xml:space="preserve">stated that it adopted the Relative Price Test due to comments it </w:t>
      </w:r>
      <w:r w:rsidR="00C547DA">
        <w:t>received</w:t>
      </w:r>
      <w:r w:rsidR="00D710C9">
        <w:t xml:space="preserve"> regarding unreasonably high rates and charge</w:t>
      </w:r>
      <w:r w:rsidR="00A30E28">
        <w:t>s</w:t>
      </w:r>
      <w:r w:rsidR="00D710C9">
        <w:t xml:space="preserve"> on the resale or redistribution of utility service to residential customers.  </w:t>
      </w:r>
      <w:r w:rsidR="00EB2C0B">
        <w:t xml:space="preserve">Finding and Order at </w:t>
      </w:r>
      <w:r w:rsidR="00EB2C0B">
        <w:rPr>
          <w:rFonts w:cs="Arial"/>
        </w:rPr>
        <w:t>¶</w:t>
      </w:r>
      <w:r w:rsidR="00EB2C0B">
        <w:t xml:space="preserve"> 19.  While this legitimate concern can and should be addressed within the Commission’s existing authority, the nature of the problem identified by the Commission also </w:t>
      </w:r>
      <w:r w:rsidR="00282150">
        <w:t>recommends</w:t>
      </w:r>
      <w:r w:rsidR="00EB2C0B">
        <w:t xml:space="preserve"> that the </w:t>
      </w:r>
      <w:r w:rsidR="00282150">
        <w:t xml:space="preserve">Commission apply the Relative Price Test to </w:t>
      </w:r>
      <w:r w:rsidR="003F6303">
        <w:t xml:space="preserve">only </w:t>
      </w:r>
      <w:r w:rsidR="00282150">
        <w:t xml:space="preserve">the provision of residential services for several reasons.  </w:t>
      </w:r>
    </w:p>
    <w:p w14:paraId="387598F3" w14:textId="5E6F74C9" w:rsidR="00282150" w:rsidRDefault="00282150" w:rsidP="0018674C">
      <w:pPr>
        <w:spacing w:line="480" w:lineRule="auto"/>
        <w:ind w:firstLine="720"/>
        <w:jc w:val="both"/>
      </w:pPr>
      <w:r>
        <w:t>Initially, nothing in the Commission’s order or the comments that were filed in this proceeding provides a factual basis for extending the test to the provision of services to commercial and industrial customers.</w:t>
      </w:r>
      <w:r w:rsidR="00B968B3">
        <w:rPr>
          <w:rStyle w:val="FootnoteReference"/>
        </w:rPr>
        <w:footnoteReference w:id="1"/>
      </w:r>
      <w:r>
        <w:t xml:space="preserve">  As noted in the comments of IEU-Ohio, </w:t>
      </w:r>
      <w:r w:rsidR="00650E52">
        <w:t xml:space="preserve">commercial and industrial customers have entered into shared service arrangements for years under the existing regulatory structure and have not resorted to Commission intervention.  </w:t>
      </w:r>
      <w:r w:rsidR="001B68E2">
        <w:t xml:space="preserve">Initial Comments of Industrial Energy Users-Ohio at 8-9 (Jan. 21, 2016).  </w:t>
      </w:r>
      <w:r w:rsidR="001B68E2">
        <w:lastRenderedPageBreak/>
        <w:t>Because s</w:t>
      </w:r>
      <w:r w:rsidR="00650E52">
        <w:t xml:space="preserve">ophisticated customers can address their needs and assess </w:t>
      </w:r>
      <w:r w:rsidR="00DB08BA">
        <w:t>the relative costs of shared service ar</w:t>
      </w:r>
      <w:r w:rsidR="001B68E2">
        <w:t>rangements, t</w:t>
      </w:r>
      <w:r w:rsidR="00DB08BA">
        <w:t>hese arrangements do not pose the kinds of problems the Commission seeks to address in this proceeding.</w:t>
      </w:r>
    </w:p>
    <w:p w14:paraId="4C4F06EE" w14:textId="1D093AE6" w:rsidR="00C547DA" w:rsidRDefault="00DB08BA" w:rsidP="0018674C">
      <w:pPr>
        <w:spacing w:line="480" w:lineRule="auto"/>
        <w:ind w:firstLine="720"/>
        <w:jc w:val="both"/>
      </w:pPr>
      <w:r>
        <w:t xml:space="preserve">Additionally, </w:t>
      </w:r>
      <w:r w:rsidR="00F36655">
        <w:t xml:space="preserve">the complexity of </w:t>
      </w:r>
      <w:r w:rsidR="003F0008">
        <w:t xml:space="preserve">commercial and industrial shared services </w:t>
      </w:r>
      <w:r w:rsidR="00F36655">
        <w:t>arrangements defies proper application of the Relative Price Test.  These complex agreements often provide for several services</w:t>
      </w:r>
      <w:r w:rsidR="00E2261C">
        <w:t xml:space="preserve">, which make the comparability of utility rates to the contract rates meaningless.  </w:t>
      </w:r>
    </w:p>
    <w:p w14:paraId="6F999477" w14:textId="6D7D4912" w:rsidR="00DB08BA" w:rsidRDefault="00C547DA" w:rsidP="0018674C">
      <w:pPr>
        <w:spacing w:line="480" w:lineRule="auto"/>
        <w:ind w:firstLine="720"/>
        <w:jc w:val="both"/>
      </w:pPr>
      <w:r>
        <w:t>Finally, t</w:t>
      </w:r>
      <w:r w:rsidR="00E2261C">
        <w:t xml:space="preserve">he </w:t>
      </w:r>
      <w:r>
        <w:t>application of</w:t>
      </w:r>
      <w:r w:rsidR="00E2261C">
        <w:t xml:space="preserve"> a Relative Price Test </w:t>
      </w:r>
      <w:r w:rsidR="00F32BF9">
        <w:t>will</w:t>
      </w:r>
      <w:r w:rsidR="00E2261C">
        <w:t xml:space="preserve"> inject </w:t>
      </w:r>
      <w:r w:rsidR="00B36BFA">
        <w:t xml:space="preserve">unnecessary </w:t>
      </w:r>
      <w:r w:rsidR="00E2261C">
        <w:t xml:space="preserve">uncertainty into </w:t>
      </w:r>
      <w:r w:rsidR="008B6E25">
        <w:t xml:space="preserve">non-residential shared services </w:t>
      </w:r>
      <w:r w:rsidR="00E2261C">
        <w:t>arrangements.</w:t>
      </w:r>
      <w:r>
        <w:t xml:space="preserve">  </w:t>
      </w:r>
      <w:r w:rsidR="00B36BFA" w:rsidRPr="00B36BFA">
        <w:rPr>
          <w:i/>
        </w:rPr>
        <w:t>Id</w:t>
      </w:r>
      <w:r w:rsidR="00AD57CE">
        <w:t>.</w:t>
      </w:r>
    </w:p>
    <w:p w14:paraId="53F36A2D" w14:textId="6FCCBFAD" w:rsidR="0035744D" w:rsidRPr="00B06337" w:rsidRDefault="00455D9E" w:rsidP="00EE4DAE">
      <w:pPr>
        <w:pStyle w:val="Heading2"/>
        <w:rPr>
          <w:rFonts w:eastAsia="Times New Roman"/>
        </w:rPr>
      </w:pPr>
      <w:bookmarkStart w:id="6" w:name="_Toc472078180"/>
      <w:r w:rsidRPr="00B06337">
        <w:rPr>
          <w:rFonts w:eastAsia="Times New Roman"/>
        </w:rPr>
        <w:t xml:space="preserve">The determination whether an entity is a public utility based on </w:t>
      </w:r>
      <w:r w:rsidR="0048458D">
        <w:rPr>
          <w:rFonts w:eastAsia="Times New Roman"/>
        </w:rPr>
        <w:t>the Relative Price Test</w:t>
      </w:r>
      <w:r w:rsidRPr="00B06337">
        <w:rPr>
          <w:rFonts w:eastAsia="Times New Roman"/>
        </w:rPr>
        <w:t xml:space="preserve"> is not supported by </w:t>
      </w:r>
      <w:r w:rsidR="000A7190">
        <w:rPr>
          <w:rFonts w:eastAsia="Times New Roman"/>
        </w:rPr>
        <w:t xml:space="preserve">statute or </w:t>
      </w:r>
      <w:r w:rsidRPr="00B06337">
        <w:rPr>
          <w:rFonts w:eastAsia="Times New Roman"/>
        </w:rPr>
        <w:t>Commission experience</w:t>
      </w:r>
      <w:bookmarkEnd w:id="6"/>
      <w:r w:rsidRPr="00B06337">
        <w:rPr>
          <w:rFonts w:eastAsia="Times New Roman"/>
        </w:rPr>
        <w:t xml:space="preserve"> </w:t>
      </w:r>
    </w:p>
    <w:p w14:paraId="3C3D2CD8" w14:textId="77777777" w:rsidR="00F3177B" w:rsidRPr="002C4FAC" w:rsidRDefault="007C339A" w:rsidP="0078085B">
      <w:pPr>
        <w:spacing w:line="480" w:lineRule="auto"/>
        <w:jc w:val="both"/>
        <w:rPr>
          <w:rFonts w:eastAsia="Times New Roman" w:cs="Arial"/>
        </w:rPr>
      </w:pPr>
      <w:r>
        <w:rPr>
          <w:rFonts w:eastAsia="Times New Roman" w:cs="Arial"/>
        </w:rPr>
        <w:tab/>
      </w:r>
      <w:r w:rsidR="00F3177B" w:rsidRPr="002C4FAC">
        <w:rPr>
          <w:rFonts w:eastAsia="Times New Roman" w:cs="Arial"/>
        </w:rPr>
        <w:t xml:space="preserve">The Commission is a creature of statute; it has only that jurisdiction and authority as provided by the General Assembly.  </w:t>
      </w:r>
      <w:r w:rsidR="00F3177B" w:rsidRPr="002C4FAC">
        <w:rPr>
          <w:rFonts w:eastAsia="Times New Roman" w:cs="Arial"/>
          <w:i/>
        </w:rPr>
        <w:t>Columbus S. Power Co. v. Pub</w:t>
      </w:r>
      <w:proofErr w:type="gramStart"/>
      <w:r w:rsidR="00F3177B" w:rsidRPr="002C4FAC">
        <w:rPr>
          <w:rFonts w:eastAsia="Times New Roman" w:cs="Arial"/>
          <w:i/>
        </w:rPr>
        <w:t xml:space="preserve">. Util. </w:t>
      </w:r>
      <w:proofErr w:type="spellStart"/>
      <w:r w:rsidR="00F3177B" w:rsidRPr="002C4FAC">
        <w:rPr>
          <w:rFonts w:eastAsia="Times New Roman" w:cs="Arial"/>
          <w:i/>
        </w:rPr>
        <w:t>Comm’n</w:t>
      </w:r>
      <w:proofErr w:type="spellEnd"/>
      <w:r w:rsidR="00F3177B" w:rsidRPr="002C4FAC">
        <w:rPr>
          <w:rFonts w:eastAsia="Times New Roman" w:cs="Arial"/>
          <w:i/>
        </w:rPr>
        <w:t xml:space="preserve"> of Ohio</w:t>
      </w:r>
      <w:r w:rsidR="00F3177B" w:rsidRPr="002C4FAC">
        <w:rPr>
          <w:rFonts w:eastAsia="Times New Roman" w:cs="Arial"/>
        </w:rPr>
        <w:t>, 67 Ohio St.3d 535, 537 (1993).</w:t>
      </w:r>
      <w:proofErr w:type="gramEnd"/>
      <w:r w:rsidR="00F3177B" w:rsidRPr="002C4FAC">
        <w:rPr>
          <w:rFonts w:eastAsia="Times New Roman" w:cs="Arial"/>
        </w:rPr>
        <w:t xml:space="preserve">  Ohio law limits the Commission’s jurisdiction to “public utilities” as that term is defined in Title 49 of the Ohio Revised Code.  </w:t>
      </w:r>
      <w:r w:rsidR="00F3177B" w:rsidRPr="002C4FAC">
        <w:rPr>
          <w:rFonts w:eastAsia="Times New Roman" w:cs="Arial"/>
          <w:i/>
        </w:rPr>
        <w:t>See</w:t>
      </w:r>
      <w:r w:rsidR="00F3177B" w:rsidRPr="002C4FAC">
        <w:rPr>
          <w:rFonts w:eastAsia="Times New Roman" w:cs="Arial"/>
        </w:rPr>
        <w:t xml:space="preserve"> R.C. 4905.02 and 4905.03.  </w:t>
      </w:r>
    </w:p>
    <w:p w14:paraId="11EE34E9" w14:textId="1CE234EE" w:rsidR="00F3177B" w:rsidRDefault="00F3177B" w:rsidP="00F317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rFonts w:eastAsia="Times New Roman" w:cs="Arial"/>
        </w:rPr>
      </w:pPr>
      <w:r w:rsidRPr="002C4FAC">
        <w:rPr>
          <w:rFonts w:eastAsia="Times New Roman" w:cs="Arial"/>
        </w:rPr>
        <w:t xml:space="preserve">Under R.C. 4905.02, “every corporation, company, copartnership, person, or association, the lessees, trustees, or receivers of the foregoing, defined in </w:t>
      </w:r>
      <w:r w:rsidR="00F84763">
        <w:rPr>
          <w:rFonts w:eastAsia="Times New Roman" w:cs="Arial"/>
        </w:rPr>
        <w:t>s</w:t>
      </w:r>
      <w:r w:rsidR="00F84763" w:rsidRPr="002C4FAC">
        <w:rPr>
          <w:rFonts w:eastAsia="Times New Roman" w:cs="Arial"/>
        </w:rPr>
        <w:t xml:space="preserve">ection </w:t>
      </w:r>
      <w:r w:rsidRPr="002C4FAC">
        <w:rPr>
          <w:rFonts w:eastAsia="Times New Roman" w:cs="Arial"/>
        </w:rPr>
        <w:t xml:space="preserve">4905.03 of the Revised Code, including any public utility that operates its utility not for profit,” is a public utility.  R.C. 4905.03 provides the functional or operating characteristics for various types of public utilities such as a water-works company, sewage </w:t>
      </w:r>
      <w:proofErr w:type="gramStart"/>
      <w:r w:rsidRPr="002C4FAC">
        <w:rPr>
          <w:rFonts w:eastAsia="Times New Roman" w:cs="Arial"/>
        </w:rPr>
        <w:t>disposal company</w:t>
      </w:r>
      <w:proofErr w:type="gramEnd"/>
      <w:r w:rsidRPr="002C4FAC">
        <w:rPr>
          <w:rFonts w:eastAsia="Times New Roman" w:cs="Arial"/>
        </w:rPr>
        <w:t>, or an electric light company.</w:t>
      </w:r>
      <w:r w:rsidRPr="002C4FAC">
        <w:rPr>
          <w:rFonts w:eastAsia="Times New Roman" w:cs="Arial"/>
          <w:vertAlign w:val="superscript"/>
        </w:rPr>
        <w:footnoteReference w:id="2"/>
      </w:r>
      <w:r w:rsidRPr="002C4FAC">
        <w:rPr>
          <w:rFonts w:eastAsia="Times New Roman" w:cs="Arial"/>
        </w:rPr>
        <w:t xml:space="preserve">  The functional definitions also specify that public </w:t>
      </w:r>
      <w:r w:rsidRPr="002C4FAC">
        <w:rPr>
          <w:rFonts w:eastAsia="Times New Roman" w:cs="Arial"/>
        </w:rPr>
        <w:lastRenderedPageBreak/>
        <w:t xml:space="preserve">utility status is confined to persons engaged in the business of performing the function with regard to consumers in Ohio.  </w:t>
      </w:r>
      <w:r w:rsidRPr="002C4FAC">
        <w:rPr>
          <w:rFonts w:eastAsia="Times New Roman" w:cs="Arial"/>
          <w:i/>
        </w:rPr>
        <w:t>In the Matter of the Application of The Procter &amp; Gamble Company for Relief From Compliance With the Obligations Imposed by Title 49 of the Ohio Revised Code</w:t>
      </w:r>
      <w:r w:rsidRPr="002C4FAC">
        <w:rPr>
          <w:rFonts w:eastAsia="Times New Roman" w:cs="Arial"/>
        </w:rPr>
        <w:t>, Case No. 03-725-HC-ARJ, Entry at 2 (Apr. 10, 2003).</w:t>
      </w:r>
      <w:r w:rsidR="001D433E">
        <w:rPr>
          <w:rStyle w:val="FootnoteReference"/>
          <w:rFonts w:eastAsia="Times New Roman" w:cs="Arial"/>
        </w:rPr>
        <w:footnoteReference w:id="3"/>
      </w:r>
      <w:r w:rsidRPr="002C4FAC">
        <w:rPr>
          <w:rFonts w:eastAsia="Times New Roman" w:cs="Arial"/>
        </w:rPr>
        <w:t xml:space="preserve">  </w:t>
      </w:r>
    </w:p>
    <w:p w14:paraId="7A708B55" w14:textId="107E813D" w:rsidR="006511B6" w:rsidRDefault="00A53B56" w:rsidP="00F317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rFonts w:eastAsia="Times New Roman" w:cs="Arial"/>
        </w:rPr>
      </w:pPr>
      <w:r>
        <w:rPr>
          <w:rFonts w:eastAsia="Times New Roman" w:cs="Arial"/>
        </w:rPr>
        <w:t xml:space="preserve">The only instance in which pricing tangentially is raised in the statutory definitions of a public utility arises in an exemption for non-profit </w:t>
      </w:r>
      <w:r w:rsidR="003F4D82">
        <w:rPr>
          <w:rFonts w:eastAsia="Times New Roman" w:cs="Arial"/>
        </w:rPr>
        <w:t xml:space="preserve">cooperatives </w:t>
      </w:r>
      <w:r>
        <w:rPr>
          <w:rFonts w:eastAsia="Times New Roman" w:cs="Arial"/>
        </w:rPr>
        <w:t xml:space="preserve">that provide </w:t>
      </w:r>
      <w:r w:rsidR="00FA507B">
        <w:rPr>
          <w:rFonts w:eastAsia="Times New Roman" w:cs="Arial"/>
        </w:rPr>
        <w:t>utility</w:t>
      </w:r>
      <w:r>
        <w:rPr>
          <w:rFonts w:eastAsia="Times New Roman" w:cs="Arial"/>
        </w:rPr>
        <w:t xml:space="preserve"> services.  </w:t>
      </w:r>
      <w:r w:rsidR="00636D80" w:rsidRPr="00636D80">
        <w:rPr>
          <w:rFonts w:eastAsia="Times New Roman" w:cs="Arial"/>
          <w:i/>
        </w:rPr>
        <w:t>See, e.g.,</w:t>
      </w:r>
      <w:r w:rsidRPr="002C4FAC">
        <w:rPr>
          <w:rFonts w:eastAsia="Times New Roman" w:cs="Arial"/>
        </w:rPr>
        <w:t xml:space="preserve"> </w:t>
      </w:r>
      <w:r w:rsidRPr="00765C90">
        <w:rPr>
          <w:rFonts w:eastAsia="Times New Roman" w:cs="Arial"/>
          <w:i/>
        </w:rPr>
        <w:t>In the Matter of the Application of Hissong-Kenworth, Inc. Requesting a Declaration Regarding its Public Utility Status</w:t>
      </w:r>
      <w:r w:rsidRPr="00765C90">
        <w:rPr>
          <w:rFonts w:eastAsia="Times New Roman" w:cs="Arial"/>
        </w:rPr>
        <w:t>, Case No. 84-565-ST-A</w:t>
      </w:r>
      <w:r w:rsidR="006937E6" w:rsidRPr="00765C90">
        <w:rPr>
          <w:rFonts w:eastAsia="Times New Roman" w:cs="Arial"/>
        </w:rPr>
        <w:t>RJ, Entry at 1 (May 22, 1984).</w:t>
      </w:r>
      <w:r w:rsidR="009024AC">
        <w:rPr>
          <w:rFonts w:eastAsia="Times New Roman" w:cs="Arial"/>
        </w:rPr>
        <w:t xml:space="preserve">  Even under this </w:t>
      </w:r>
      <w:r w:rsidR="00D228BC">
        <w:rPr>
          <w:rFonts w:eastAsia="Times New Roman" w:cs="Arial"/>
        </w:rPr>
        <w:t>statutory</w:t>
      </w:r>
      <w:r w:rsidR="009024AC">
        <w:rPr>
          <w:rFonts w:eastAsia="Times New Roman" w:cs="Arial"/>
        </w:rPr>
        <w:t xml:space="preserve"> exemption, it is not relative price that establishes the exemption; rather the Commission does not have jurisdiction over the </w:t>
      </w:r>
      <w:r w:rsidR="009024AC">
        <w:rPr>
          <w:rFonts w:eastAsia="Times New Roman" w:cs="Arial"/>
        </w:rPr>
        <w:lastRenderedPageBreak/>
        <w:t>entity because it is a non-profit organization.  The organization’s prices c</w:t>
      </w:r>
      <w:r w:rsidR="00557259">
        <w:rPr>
          <w:rFonts w:eastAsia="Times New Roman" w:cs="Arial"/>
        </w:rPr>
        <w:t>ould be higher relative to a regulated utility’s prices, but the Commission would not secure jurisdiction because of that price difference.</w:t>
      </w:r>
    </w:p>
    <w:p w14:paraId="34317AD7" w14:textId="36917056" w:rsidR="00F3177B" w:rsidRDefault="00F3177B" w:rsidP="00FE31FD">
      <w:pPr>
        <w:tabs>
          <w:tab w:val="left" w:pos="720"/>
        </w:tabs>
        <w:spacing w:line="480" w:lineRule="auto"/>
        <w:ind w:firstLine="720"/>
        <w:jc w:val="both"/>
        <w:rPr>
          <w:rFonts w:eastAsia="Times New Roman" w:cs="Arial"/>
        </w:rPr>
      </w:pPr>
      <w:r w:rsidRPr="002C4FAC">
        <w:rPr>
          <w:rFonts w:eastAsia="Times New Roman" w:cs="Arial"/>
        </w:rPr>
        <w:t xml:space="preserve">“The statutory definitions, however, are not self-applying.”  </w:t>
      </w:r>
      <w:r w:rsidR="00AE3897" w:rsidRPr="00BF2878">
        <w:rPr>
          <w:rFonts w:eastAsia="Times New Roman" w:cs="Arial"/>
          <w:i/>
          <w:szCs w:val="20"/>
        </w:rPr>
        <w:t>Pledger v. Pub</w:t>
      </w:r>
      <w:proofErr w:type="gramStart"/>
      <w:r w:rsidR="00AE3897" w:rsidRPr="00BF2878">
        <w:rPr>
          <w:rFonts w:eastAsia="Times New Roman" w:cs="Arial"/>
          <w:i/>
          <w:szCs w:val="20"/>
        </w:rPr>
        <w:t xml:space="preserve">. Util. </w:t>
      </w:r>
      <w:proofErr w:type="spellStart"/>
      <w:r w:rsidR="00AE3897" w:rsidRPr="00BF2878">
        <w:rPr>
          <w:rFonts w:eastAsia="Times New Roman" w:cs="Arial"/>
          <w:i/>
          <w:szCs w:val="20"/>
        </w:rPr>
        <w:t>Comm’n</w:t>
      </w:r>
      <w:proofErr w:type="spellEnd"/>
      <w:r w:rsidR="00AE3897" w:rsidRPr="00BF2878">
        <w:rPr>
          <w:rFonts w:eastAsia="Times New Roman" w:cs="Arial"/>
          <w:i/>
          <w:szCs w:val="20"/>
        </w:rPr>
        <w:t xml:space="preserve"> of Ohio</w:t>
      </w:r>
      <w:r w:rsidR="00AE3897" w:rsidRPr="00BF2878">
        <w:rPr>
          <w:rFonts w:eastAsia="Times New Roman" w:cs="Arial"/>
          <w:szCs w:val="20"/>
        </w:rPr>
        <w:t>, 109 Ohio St.3d 463, 465 (2006) (“</w:t>
      </w:r>
      <w:r w:rsidR="00AE3897" w:rsidRPr="00BF2878">
        <w:rPr>
          <w:rFonts w:eastAsia="Times New Roman" w:cs="Arial"/>
          <w:i/>
          <w:szCs w:val="20"/>
        </w:rPr>
        <w:t>Pledger</w:t>
      </w:r>
      <w:r w:rsidR="00AE3897" w:rsidRPr="00BF2878">
        <w:rPr>
          <w:rFonts w:eastAsia="Times New Roman" w:cs="Arial"/>
          <w:szCs w:val="20"/>
        </w:rPr>
        <w:t>”)</w:t>
      </w:r>
      <w:r w:rsidR="00AE3897">
        <w:rPr>
          <w:rFonts w:eastAsia="Times New Roman" w:cs="Arial"/>
          <w:szCs w:val="20"/>
        </w:rPr>
        <w:t>.</w:t>
      </w:r>
      <w:proofErr w:type="gramEnd"/>
      <w:r w:rsidRPr="002C4FAC">
        <w:rPr>
          <w:rFonts w:eastAsia="Times New Roman" w:cs="Arial"/>
        </w:rPr>
        <w:t xml:space="preserve">  For example, the Commission applies the </w:t>
      </w:r>
      <w:r w:rsidRPr="002C4FAC">
        <w:rPr>
          <w:rFonts w:eastAsia="Times New Roman" w:cs="Arial"/>
          <w:i/>
        </w:rPr>
        <w:t>Shroyer</w:t>
      </w:r>
      <w:r w:rsidRPr="002C4FAC">
        <w:rPr>
          <w:rFonts w:eastAsia="Times New Roman" w:cs="Arial"/>
        </w:rPr>
        <w:t xml:space="preserve"> three-part test (that the Court has affirmed in </w:t>
      </w:r>
      <w:r w:rsidRPr="002C4FAC">
        <w:rPr>
          <w:rFonts w:eastAsia="Times New Roman" w:cs="Arial"/>
          <w:i/>
        </w:rPr>
        <w:t>Pledger</w:t>
      </w:r>
      <w:r w:rsidRPr="002C4FAC">
        <w:rPr>
          <w:rFonts w:eastAsia="Times New Roman" w:cs="Arial"/>
        </w:rPr>
        <w:t xml:space="preserve">) to determine if a landlord providing certain services to a tenant falls within the definition of a public utility subject to the Commission’s regulation and supervision.  </w:t>
      </w:r>
      <w:r w:rsidRPr="002C4FAC">
        <w:rPr>
          <w:rFonts w:eastAsia="Times New Roman" w:cs="Arial"/>
          <w:i/>
          <w:iCs/>
        </w:rPr>
        <w:t>Shroyer</w:t>
      </w:r>
      <w:r w:rsidRPr="002C4FAC">
        <w:rPr>
          <w:rFonts w:eastAsia="Times New Roman" w:cs="Arial"/>
        </w:rPr>
        <w:t xml:space="preserve">, Opinion and Order at 4 (Feb. 27, 1992).  </w:t>
      </w:r>
      <w:r w:rsidRPr="002C4FAC">
        <w:rPr>
          <w:rFonts w:eastAsia="Times New Roman" w:cs="Arial"/>
          <w:i/>
        </w:rPr>
        <w:t>See, also,</w:t>
      </w:r>
      <w:r w:rsidRPr="002C4FAC">
        <w:rPr>
          <w:rFonts w:eastAsia="Times New Roman" w:cs="Arial"/>
        </w:rPr>
        <w:t xml:space="preserve"> </w:t>
      </w:r>
      <w:r w:rsidRPr="002C4FAC">
        <w:rPr>
          <w:rFonts w:eastAsia="Times New Roman" w:cs="Arial"/>
          <w:i/>
          <w:iCs/>
        </w:rPr>
        <w:t xml:space="preserve">Brooks, </w:t>
      </w:r>
      <w:r w:rsidRPr="002C4FAC">
        <w:rPr>
          <w:rFonts w:eastAsia="Times New Roman" w:cs="Arial"/>
        </w:rPr>
        <w:t>Entry (Mar. 16, 1995).</w:t>
      </w:r>
      <w:r w:rsidR="000133C1">
        <w:rPr>
          <w:rFonts w:eastAsia="Times New Roman" w:cs="Arial"/>
        </w:rPr>
        <w:t xml:space="preserve"> </w:t>
      </w:r>
    </w:p>
    <w:p w14:paraId="69426704" w14:textId="0392A897" w:rsidR="00E1283C" w:rsidRDefault="00E468B0" w:rsidP="00E1283C">
      <w:pPr>
        <w:spacing w:line="480" w:lineRule="auto"/>
        <w:jc w:val="both"/>
        <w:rPr>
          <w:rFonts w:eastAsia="Times New Roman" w:cs="Arial"/>
        </w:rPr>
      </w:pPr>
      <w:r>
        <w:rPr>
          <w:rFonts w:eastAsia="Times New Roman" w:cs="Arial"/>
        </w:rPr>
        <w:tab/>
      </w:r>
      <w:r w:rsidR="006C02E8">
        <w:rPr>
          <w:rFonts w:eastAsia="Times New Roman" w:cs="Arial"/>
        </w:rPr>
        <w:t xml:space="preserve">In </w:t>
      </w:r>
      <w:r w:rsidR="006C02E8" w:rsidRPr="00581D0A">
        <w:rPr>
          <w:rFonts w:eastAsia="Times New Roman" w:cs="Arial"/>
          <w:i/>
        </w:rPr>
        <w:t>Shroyer</w:t>
      </w:r>
      <w:r w:rsidR="006C02E8">
        <w:rPr>
          <w:rFonts w:eastAsia="Times New Roman" w:cs="Arial"/>
        </w:rPr>
        <w:t xml:space="preserve">, </w:t>
      </w:r>
      <w:r w:rsidR="00581D0A">
        <w:rPr>
          <w:rFonts w:eastAsia="Times New Roman" w:cs="Arial"/>
        </w:rPr>
        <w:t>the Commission addressed whether a price test should inform its decision whether an entity was a public utility subject to its jurisdiction</w:t>
      </w:r>
      <w:r w:rsidR="00E93185">
        <w:rPr>
          <w:rFonts w:eastAsia="Times New Roman" w:cs="Arial"/>
        </w:rPr>
        <w:t xml:space="preserve"> because</w:t>
      </w:r>
      <w:r w:rsidR="00581D0A">
        <w:rPr>
          <w:rFonts w:eastAsia="Times New Roman" w:cs="Arial"/>
        </w:rPr>
        <w:t xml:space="preserve"> </w:t>
      </w:r>
      <w:r w:rsidR="000133C1">
        <w:rPr>
          <w:rFonts w:eastAsia="Times New Roman" w:cs="Arial"/>
        </w:rPr>
        <w:t xml:space="preserve">Commission </w:t>
      </w:r>
      <w:r w:rsidR="00581D0A">
        <w:rPr>
          <w:rFonts w:eastAsia="Times New Roman" w:cs="Arial"/>
        </w:rPr>
        <w:t xml:space="preserve">Staff </w:t>
      </w:r>
      <w:r w:rsidR="000133C1">
        <w:rPr>
          <w:rFonts w:eastAsia="Times New Roman" w:cs="Arial"/>
        </w:rPr>
        <w:t xml:space="preserve">(“Staff”) </w:t>
      </w:r>
      <w:r w:rsidR="00581D0A">
        <w:rPr>
          <w:rFonts w:eastAsia="Times New Roman" w:cs="Arial"/>
        </w:rPr>
        <w:t xml:space="preserve">advanced </w:t>
      </w:r>
      <w:r w:rsidR="00876CEB">
        <w:rPr>
          <w:rFonts w:eastAsia="Times New Roman" w:cs="Arial"/>
        </w:rPr>
        <w:t xml:space="preserve">a fourth prong to the test </w:t>
      </w:r>
      <w:r w:rsidR="007E6C89">
        <w:rPr>
          <w:rFonts w:eastAsia="Times New Roman" w:cs="Arial"/>
        </w:rPr>
        <w:t xml:space="preserve">that </w:t>
      </w:r>
      <w:r w:rsidR="00876CEB">
        <w:rPr>
          <w:rFonts w:eastAsia="Times New Roman" w:cs="Arial"/>
        </w:rPr>
        <w:t>asked</w:t>
      </w:r>
      <w:r w:rsidR="00581D0A">
        <w:rPr>
          <w:rFonts w:eastAsia="Times New Roman" w:cs="Arial"/>
        </w:rPr>
        <w:t xml:space="preserve"> that the Commission consider whether the entity separately charged for services or, if it separately charged, whether the charge was reasonable.</w:t>
      </w:r>
      <w:r w:rsidR="003D2F61">
        <w:rPr>
          <w:rFonts w:eastAsia="Times New Roman" w:cs="Arial"/>
        </w:rPr>
        <w:t xml:space="preserve">  </w:t>
      </w:r>
      <w:r w:rsidR="003D2F61" w:rsidRPr="009F729E">
        <w:rPr>
          <w:rFonts w:eastAsia="Times New Roman" w:cs="Arial"/>
          <w:i/>
        </w:rPr>
        <w:t>Shroyer</w:t>
      </w:r>
      <w:r w:rsidR="003D2F61">
        <w:rPr>
          <w:rFonts w:eastAsia="Times New Roman" w:cs="Arial"/>
        </w:rPr>
        <w:t>, Brief of Staff of the Public Utilities Commission of Ohio at 3 (Nov. 6, 1990).</w:t>
      </w:r>
      <w:r w:rsidR="00581D0A">
        <w:rPr>
          <w:rFonts w:eastAsia="Times New Roman" w:cs="Arial"/>
        </w:rPr>
        <w:t xml:space="preserve">  </w:t>
      </w:r>
      <w:r w:rsidR="00876CEB">
        <w:rPr>
          <w:rFonts w:eastAsia="Times New Roman" w:cs="Arial"/>
        </w:rPr>
        <w:t>T</w:t>
      </w:r>
      <w:r w:rsidR="006C02E8">
        <w:rPr>
          <w:rFonts w:eastAsia="Times New Roman" w:cs="Arial"/>
        </w:rPr>
        <w:t xml:space="preserve">he Commission </w:t>
      </w:r>
      <w:r w:rsidR="00557CD0">
        <w:rPr>
          <w:rFonts w:eastAsia="Times New Roman" w:cs="Arial"/>
        </w:rPr>
        <w:t>refused to include the fourth prong</w:t>
      </w:r>
      <w:r w:rsidR="006C02E8">
        <w:rPr>
          <w:rFonts w:eastAsia="Times New Roman" w:cs="Arial"/>
        </w:rPr>
        <w:t xml:space="preserve"> because </w:t>
      </w:r>
      <w:r w:rsidR="003E4250">
        <w:rPr>
          <w:rFonts w:eastAsia="Times New Roman" w:cs="Arial"/>
        </w:rPr>
        <w:t>“[t]he</w:t>
      </w:r>
      <w:r w:rsidR="00E1283C">
        <w:rPr>
          <w:rFonts w:eastAsia="Times New Roman" w:cs="Arial"/>
        </w:rPr>
        <w:t xml:space="preserve"> Commission </w:t>
      </w:r>
      <w:r w:rsidR="00443D35">
        <w:rPr>
          <w:rFonts w:eastAsia="Times New Roman" w:cs="Arial"/>
        </w:rPr>
        <w:t>[did]</w:t>
      </w:r>
      <w:r w:rsidR="00E1283C">
        <w:rPr>
          <w:rFonts w:eastAsia="Times New Roman" w:cs="Arial"/>
        </w:rPr>
        <w:t xml:space="preserve"> not believe that the fourth part of Staff's test is meaningful in determining our jurisdiction. </w:t>
      </w:r>
      <w:r w:rsidR="00315659">
        <w:rPr>
          <w:rFonts w:eastAsia="Times New Roman" w:cs="Arial"/>
        </w:rPr>
        <w:t xml:space="preserve"> </w:t>
      </w:r>
      <w:r w:rsidR="00E1283C" w:rsidRPr="004478C4">
        <w:rPr>
          <w:rFonts w:eastAsia="Times New Roman" w:cs="Arial"/>
          <w:i/>
        </w:rPr>
        <w:t>The reasonableness of a separate charge for water service is only meaningful if the Commission has first established that it has jurisdiction over the entity providing the service.</w:t>
      </w:r>
      <w:r w:rsidR="004478C4">
        <w:rPr>
          <w:rFonts w:eastAsia="Times New Roman" w:cs="Arial"/>
        </w:rPr>
        <w:t xml:space="preserve">”  </w:t>
      </w:r>
      <w:r w:rsidR="004478C4" w:rsidRPr="00ED5B76">
        <w:rPr>
          <w:rFonts w:eastAsia="Times New Roman" w:cs="Arial"/>
          <w:i/>
        </w:rPr>
        <w:t>Shroyer</w:t>
      </w:r>
      <w:r w:rsidR="004478C4">
        <w:rPr>
          <w:rFonts w:eastAsia="Times New Roman" w:cs="Arial"/>
        </w:rPr>
        <w:t xml:space="preserve">, </w:t>
      </w:r>
      <w:r w:rsidR="003D2F61">
        <w:rPr>
          <w:rFonts w:eastAsia="Times New Roman" w:cs="Arial"/>
        </w:rPr>
        <w:t xml:space="preserve">Opinion and Order </w:t>
      </w:r>
      <w:r w:rsidR="004478C4">
        <w:rPr>
          <w:rFonts w:eastAsia="Times New Roman" w:cs="Arial"/>
        </w:rPr>
        <w:t>at 4</w:t>
      </w:r>
      <w:r w:rsidR="00ED5B76">
        <w:rPr>
          <w:rFonts w:eastAsia="Times New Roman" w:cs="Arial"/>
        </w:rPr>
        <w:t xml:space="preserve"> (emphasis added)</w:t>
      </w:r>
      <w:r w:rsidR="00E1283C">
        <w:rPr>
          <w:rFonts w:eastAsia="Times New Roman" w:cs="Arial"/>
        </w:rPr>
        <w:t xml:space="preserve">.  </w:t>
      </w:r>
    </w:p>
    <w:p w14:paraId="74F2FE87" w14:textId="3683AD8F" w:rsidR="000F4F8C" w:rsidRDefault="004F77C6" w:rsidP="00F3177B">
      <w:pPr>
        <w:spacing w:line="480" w:lineRule="auto"/>
        <w:ind w:firstLine="720"/>
        <w:jc w:val="both"/>
        <w:rPr>
          <w:rFonts w:eastAsia="Times New Roman" w:cs="Arial"/>
        </w:rPr>
      </w:pPr>
      <w:r>
        <w:rPr>
          <w:rFonts w:eastAsia="Times New Roman" w:cs="Arial"/>
        </w:rPr>
        <w:t>Apart from the fact that the Commission considered and rejected a</w:t>
      </w:r>
      <w:r w:rsidR="009C6F25">
        <w:rPr>
          <w:rFonts w:eastAsia="Times New Roman" w:cs="Arial"/>
        </w:rPr>
        <w:t xml:space="preserve"> price test in </w:t>
      </w:r>
      <w:r w:rsidR="009C6F25" w:rsidRPr="0011444D">
        <w:rPr>
          <w:rFonts w:eastAsia="Times New Roman" w:cs="Arial"/>
          <w:i/>
        </w:rPr>
        <w:t>Shroyer</w:t>
      </w:r>
      <w:r w:rsidR="009C6F25">
        <w:rPr>
          <w:rFonts w:eastAsia="Times New Roman" w:cs="Arial"/>
        </w:rPr>
        <w:t>, a</w:t>
      </w:r>
      <w:r w:rsidR="007807A2">
        <w:rPr>
          <w:rFonts w:eastAsia="Times New Roman" w:cs="Arial"/>
        </w:rPr>
        <w:t xml:space="preserve"> price test is also inconsistent with the Commission’s case</w:t>
      </w:r>
      <w:r w:rsidR="009C6F25">
        <w:rPr>
          <w:rFonts w:eastAsia="Times New Roman" w:cs="Arial"/>
        </w:rPr>
        <w:t>-</w:t>
      </w:r>
      <w:r w:rsidR="007807A2">
        <w:rPr>
          <w:rFonts w:eastAsia="Times New Roman" w:cs="Arial"/>
        </w:rPr>
        <w:t>by</w:t>
      </w:r>
      <w:r w:rsidR="009C6F25">
        <w:rPr>
          <w:rFonts w:eastAsia="Times New Roman" w:cs="Arial"/>
        </w:rPr>
        <w:t>-</w:t>
      </w:r>
      <w:r w:rsidR="007807A2">
        <w:rPr>
          <w:rFonts w:eastAsia="Times New Roman" w:cs="Arial"/>
        </w:rPr>
        <w:t xml:space="preserve">case determination of utility status.  </w:t>
      </w:r>
      <w:r w:rsidR="009C6F25">
        <w:rPr>
          <w:rFonts w:eastAsia="Times New Roman" w:cs="Arial"/>
        </w:rPr>
        <w:t>W</w:t>
      </w:r>
      <w:r w:rsidR="00F3177B" w:rsidRPr="002C4FAC">
        <w:rPr>
          <w:rFonts w:eastAsia="Times New Roman" w:cs="Arial"/>
        </w:rPr>
        <w:t xml:space="preserve">hether an entity </w:t>
      </w:r>
      <w:r w:rsidR="00970F37">
        <w:rPr>
          <w:rFonts w:eastAsia="Times New Roman" w:cs="Arial"/>
        </w:rPr>
        <w:t>is</w:t>
      </w:r>
      <w:r w:rsidR="00F3177B" w:rsidRPr="002C4FAC">
        <w:rPr>
          <w:rFonts w:eastAsia="Times New Roman" w:cs="Arial"/>
        </w:rPr>
        <w:t xml:space="preserve"> a public utility within the meaning of </w:t>
      </w:r>
      <w:r w:rsidR="00F3177B" w:rsidRPr="002C4FAC">
        <w:rPr>
          <w:rFonts w:eastAsia="Times New Roman" w:cs="Arial"/>
        </w:rPr>
        <w:lastRenderedPageBreak/>
        <w:t>R.C. 4905.02 and 4905.03</w:t>
      </w:r>
      <w:r w:rsidR="00970F37">
        <w:rPr>
          <w:rFonts w:eastAsia="Times New Roman" w:cs="Arial"/>
        </w:rPr>
        <w:t xml:space="preserve"> is based on</w:t>
      </w:r>
      <w:r w:rsidR="00F3177B" w:rsidRPr="002C4FAC">
        <w:rPr>
          <w:rFonts w:eastAsia="Times New Roman" w:cs="Arial"/>
        </w:rPr>
        <w:t xml:space="preserve"> a review of “all </w:t>
      </w:r>
      <w:r w:rsidR="009A1C9A">
        <w:rPr>
          <w:rFonts w:eastAsia="Times New Roman" w:cs="Arial"/>
        </w:rPr>
        <w:t xml:space="preserve">the </w:t>
      </w:r>
      <w:r w:rsidR="00F3177B" w:rsidRPr="002C4FAC">
        <w:rPr>
          <w:rFonts w:eastAsia="Times New Roman" w:cs="Arial"/>
        </w:rPr>
        <w:t xml:space="preserve">facts and </w:t>
      </w:r>
      <w:r w:rsidR="00610312" w:rsidRPr="002C4FAC">
        <w:rPr>
          <w:rFonts w:eastAsia="Times New Roman" w:cs="Arial"/>
        </w:rPr>
        <w:t>circumstances</w:t>
      </w:r>
      <w:r w:rsidR="00F3177B" w:rsidRPr="002C4FAC">
        <w:rPr>
          <w:rFonts w:eastAsia="Times New Roman" w:cs="Arial"/>
        </w:rPr>
        <w:t xml:space="preserve"> presented.”</w:t>
      </w:r>
      <w:r w:rsidR="00F3177B" w:rsidRPr="002C4FAC">
        <w:rPr>
          <w:rFonts w:cs="Arial"/>
          <w:color w:val="373739"/>
        </w:rPr>
        <w:t xml:space="preserve"> </w:t>
      </w:r>
      <w:r w:rsidR="009F729E">
        <w:rPr>
          <w:rFonts w:cs="Arial"/>
          <w:color w:val="373739"/>
        </w:rPr>
        <w:t xml:space="preserve"> </w:t>
      </w:r>
      <w:r w:rsidR="00F3177B" w:rsidRPr="009F729E">
        <w:rPr>
          <w:rFonts w:eastAsia="Times New Roman" w:cs="Arial"/>
          <w:i/>
        </w:rPr>
        <w:t>In the Matter of the Complaint of Ken Meek, Complainant, v. Gem Boat Service, Inc., Gem Beach Marina, Inc., and Paul Grummel, Respondents</w:t>
      </w:r>
      <w:r w:rsidR="00F3177B" w:rsidRPr="009F729E">
        <w:rPr>
          <w:rFonts w:eastAsia="Times New Roman" w:cs="Arial"/>
        </w:rPr>
        <w:t>, 1987 Ohio PUC LEXIS 1335 at *19 (Mar. 3, 1987) (“</w:t>
      </w:r>
      <w:r w:rsidR="00F3177B" w:rsidRPr="009F729E">
        <w:rPr>
          <w:rFonts w:eastAsia="Times New Roman" w:cs="Arial"/>
          <w:i/>
        </w:rPr>
        <w:t>Gem Beach</w:t>
      </w:r>
      <w:r w:rsidR="00F3177B" w:rsidRPr="009F729E">
        <w:rPr>
          <w:rFonts w:eastAsia="Times New Roman" w:cs="Arial"/>
        </w:rPr>
        <w:t>”).</w:t>
      </w:r>
      <w:r w:rsidR="00F3177B" w:rsidRPr="002C4FAC">
        <w:rPr>
          <w:rFonts w:eastAsia="Times New Roman" w:cs="Arial"/>
        </w:rPr>
        <w:t xml:space="preserve">  The Commission’s three-part test in landlord-tenant cases similarly follows from the Court’s admonition that the determination whether a person is a “public utility” is a mixed question of law and fact.  </w:t>
      </w:r>
      <w:proofErr w:type="gramStart"/>
      <w:r w:rsidR="00F3177B" w:rsidRPr="002C4FAC">
        <w:rPr>
          <w:rFonts w:eastAsia="Times New Roman" w:cs="Arial"/>
          <w:i/>
          <w:iCs/>
        </w:rPr>
        <w:t>A &amp; B Refuse Disposers, Inc. v. Board of Ravenna Twp. Trustees</w:t>
      </w:r>
      <w:r w:rsidR="00F3177B" w:rsidRPr="002C4FAC">
        <w:rPr>
          <w:rFonts w:eastAsia="Times New Roman" w:cs="Arial"/>
        </w:rPr>
        <w:t>, 64 Ohio St.3d 385, 387 (1992).</w:t>
      </w:r>
      <w:proofErr w:type="gramEnd"/>
      <w:r w:rsidR="00F3177B" w:rsidRPr="002C4FAC">
        <w:rPr>
          <w:rFonts w:eastAsia="Times New Roman" w:cs="Arial"/>
        </w:rPr>
        <w:t xml:space="preserve">  </w:t>
      </w:r>
    </w:p>
    <w:p w14:paraId="3376E749" w14:textId="21083D78" w:rsidR="00F3177B" w:rsidRPr="002C4FAC" w:rsidRDefault="000F4F8C" w:rsidP="00F3177B">
      <w:pPr>
        <w:spacing w:line="480" w:lineRule="auto"/>
        <w:ind w:firstLine="720"/>
        <w:jc w:val="both"/>
        <w:rPr>
          <w:rFonts w:eastAsia="Times New Roman" w:cs="Arial"/>
        </w:rPr>
      </w:pPr>
      <w:r>
        <w:rPr>
          <w:rFonts w:eastAsia="Times New Roman" w:cs="Arial"/>
        </w:rPr>
        <w:t xml:space="preserve">The Commission’s introduction of the Relative Price Test is not consistent with either the statutory definitions of </w:t>
      </w:r>
      <w:r w:rsidR="00DA1DD9">
        <w:rPr>
          <w:rFonts w:eastAsia="Times New Roman" w:cs="Arial"/>
        </w:rPr>
        <w:t>entities that are subject to the Commission’s jurisdiction as public utilities</w:t>
      </w:r>
      <w:r>
        <w:rPr>
          <w:rFonts w:eastAsia="Times New Roman" w:cs="Arial"/>
        </w:rPr>
        <w:t xml:space="preserve"> or the case law </w:t>
      </w:r>
      <w:r w:rsidR="00DA1DD9">
        <w:rPr>
          <w:rFonts w:eastAsia="Times New Roman" w:cs="Arial"/>
        </w:rPr>
        <w:t xml:space="preserve">applying those statutes.  </w:t>
      </w:r>
      <w:r w:rsidR="00DE383D">
        <w:rPr>
          <w:rFonts w:eastAsia="Times New Roman" w:cs="Arial"/>
        </w:rPr>
        <w:t>The Commission’s attempt through c</w:t>
      </w:r>
      <w:r w:rsidR="00D53D85">
        <w:rPr>
          <w:rFonts w:eastAsia="Times New Roman" w:cs="Arial"/>
        </w:rPr>
        <w:t xml:space="preserve">omments to establish </w:t>
      </w:r>
      <w:r w:rsidR="00DE383D">
        <w:rPr>
          <w:rFonts w:eastAsia="Times New Roman" w:cs="Arial"/>
        </w:rPr>
        <w:t>a</w:t>
      </w:r>
      <w:r w:rsidR="00D53D85">
        <w:rPr>
          <w:rFonts w:eastAsia="Times New Roman" w:cs="Arial"/>
        </w:rPr>
        <w:t xml:space="preserve"> threshold percentage to be used in the Rela</w:t>
      </w:r>
      <w:r w:rsidR="00394133">
        <w:rPr>
          <w:rFonts w:eastAsia="Times New Roman" w:cs="Arial"/>
        </w:rPr>
        <w:t>tive Price Test</w:t>
      </w:r>
      <w:r w:rsidR="001F4CE0">
        <w:rPr>
          <w:rFonts w:eastAsia="Times New Roman" w:cs="Arial"/>
        </w:rPr>
        <w:t>,</w:t>
      </w:r>
      <w:r w:rsidR="00394133">
        <w:rPr>
          <w:rFonts w:eastAsia="Times New Roman" w:cs="Arial"/>
        </w:rPr>
        <w:t xml:space="preserve"> thus</w:t>
      </w:r>
      <w:r w:rsidR="001F4CE0">
        <w:rPr>
          <w:rFonts w:eastAsia="Times New Roman" w:cs="Arial"/>
        </w:rPr>
        <w:t>,</w:t>
      </w:r>
      <w:r w:rsidR="00394133">
        <w:rPr>
          <w:rFonts w:eastAsia="Times New Roman" w:cs="Arial"/>
        </w:rPr>
        <w:t xml:space="preserve"> </w:t>
      </w:r>
      <w:r w:rsidR="00A14C22">
        <w:rPr>
          <w:rFonts w:eastAsia="Times New Roman" w:cs="Arial"/>
        </w:rPr>
        <w:t xml:space="preserve">does </w:t>
      </w:r>
      <w:r w:rsidR="00394133">
        <w:rPr>
          <w:rFonts w:eastAsia="Times New Roman" w:cs="Arial"/>
        </w:rPr>
        <w:t xml:space="preserve">not </w:t>
      </w:r>
      <w:r w:rsidR="00A14C22">
        <w:rPr>
          <w:rFonts w:eastAsia="Times New Roman" w:cs="Arial"/>
        </w:rPr>
        <w:t xml:space="preserve">have </w:t>
      </w:r>
      <w:r w:rsidR="00394133">
        <w:rPr>
          <w:rFonts w:eastAsia="Times New Roman" w:cs="Arial"/>
        </w:rPr>
        <w:t xml:space="preserve">a sound legal </w:t>
      </w:r>
      <w:r w:rsidR="00957D9C">
        <w:rPr>
          <w:rFonts w:eastAsia="Times New Roman" w:cs="Arial"/>
        </w:rPr>
        <w:t>basis</w:t>
      </w:r>
      <w:r w:rsidR="00394133">
        <w:rPr>
          <w:rFonts w:eastAsia="Times New Roman" w:cs="Arial"/>
        </w:rPr>
        <w:t>.</w:t>
      </w:r>
    </w:p>
    <w:p w14:paraId="7393A565" w14:textId="0DBFE6B9" w:rsidR="00A3217E" w:rsidRDefault="00A3217E" w:rsidP="00FA507B">
      <w:pPr>
        <w:pStyle w:val="Heading2"/>
        <w:spacing w:after="0"/>
        <w:rPr>
          <w:rFonts w:eastAsia="Times New Roman"/>
        </w:rPr>
      </w:pPr>
      <w:bookmarkStart w:id="10" w:name="_Toc472078181"/>
      <w:r w:rsidRPr="005C2703">
        <w:rPr>
          <w:rFonts w:eastAsia="Times New Roman"/>
        </w:rPr>
        <w:t xml:space="preserve">Because there is no rational nexus between the price of services and a determination that the provision of service is ancillary to the entity’s business, </w:t>
      </w:r>
      <w:r w:rsidR="00A01853">
        <w:rPr>
          <w:rFonts w:eastAsia="Times New Roman"/>
        </w:rPr>
        <w:t>adoption of an arbitrary price test</w:t>
      </w:r>
      <w:r w:rsidR="005C2703" w:rsidRPr="005C2703">
        <w:rPr>
          <w:rFonts w:eastAsia="Times New Roman"/>
        </w:rPr>
        <w:t xml:space="preserve"> is </w:t>
      </w:r>
      <w:r w:rsidR="00435925">
        <w:rPr>
          <w:rFonts w:eastAsia="Times New Roman"/>
        </w:rPr>
        <w:t>unlawful and unreasonable</w:t>
      </w:r>
      <w:bookmarkEnd w:id="10"/>
    </w:p>
    <w:p w14:paraId="023D17A5" w14:textId="77777777" w:rsidR="003B2E59" w:rsidRPr="005C2703" w:rsidRDefault="003B2E59" w:rsidP="003B2E59">
      <w:pPr>
        <w:jc w:val="both"/>
        <w:rPr>
          <w:rFonts w:eastAsia="Times New Roman" w:cs="Arial"/>
          <w:b/>
        </w:rPr>
      </w:pPr>
    </w:p>
    <w:p w14:paraId="7CC0C378" w14:textId="2AB9D864" w:rsidR="008C326C" w:rsidRDefault="00A3217E" w:rsidP="00A3217E">
      <w:pPr>
        <w:spacing w:line="480" w:lineRule="auto"/>
        <w:jc w:val="both"/>
        <w:rPr>
          <w:rFonts w:eastAsia="Times New Roman" w:cs="Arial"/>
        </w:rPr>
      </w:pPr>
      <w:r w:rsidRPr="002C4FAC">
        <w:rPr>
          <w:rFonts w:eastAsia="Times New Roman" w:cs="Arial"/>
        </w:rPr>
        <w:tab/>
      </w:r>
      <w:r w:rsidR="00183D93">
        <w:rPr>
          <w:rFonts w:eastAsia="Times New Roman" w:cs="Arial"/>
        </w:rPr>
        <w:t xml:space="preserve">In this stage of the investigation, </w:t>
      </w:r>
      <w:r w:rsidR="0067438F">
        <w:rPr>
          <w:rFonts w:eastAsia="Times New Roman" w:cs="Arial"/>
        </w:rPr>
        <w:t>t</w:t>
      </w:r>
      <w:r w:rsidR="00D91F8C">
        <w:rPr>
          <w:rFonts w:eastAsia="Times New Roman" w:cs="Arial"/>
        </w:rPr>
        <w:t>he Commission seeks to establish</w:t>
      </w:r>
      <w:r w:rsidR="00183D93">
        <w:rPr>
          <w:rFonts w:eastAsia="Times New Roman" w:cs="Arial"/>
        </w:rPr>
        <w:t xml:space="preserve"> a threshold percentage for </w:t>
      </w:r>
      <w:r w:rsidR="0067438F">
        <w:rPr>
          <w:rFonts w:eastAsia="Times New Roman" w:cs="Arial"/>
        </w:rPr>
        <w:t xml:space="preserve">the Relative </w:t>
      </w:r>
      <w:r w:rsidR="00435925">
        <w:rPr>
          <w:rFonts w:eastAsia="Times New Roman" w:cs="Arial"/>
        </w:rPr>
        <w:t>Price Test</w:t>
      </w:r>
      <w:r w:rsidR="00D91F8C">
        <w:rPr>
          <w:rFonts w:eastAsia="Times New Roman" w:cs="Arial"/>
        </w:rPr>
        <w:t xml:space="preserve"> as a trigger to a rebuttable presumption that </w:t>
      </w:r>
      <w:r w:rsidR="0067438F">
        <w:rPr>
          <w:rFonts w:eastAsia="Times New Roman" w:cs="Arial"/>
        </w:rPr>
        <w:t xml:space="preserve">an </w:t>
      </w:r>
      <w:r w:rsidR="00D91F8C">
        <w:rPr>
          <w:rFonts w:eastAsia="Times New Roman" w:cs="Arial"/>
        </w:rPr>
        <w:t xml:space="preserve">entity that prices its services “too high” is a public utility.  Finding and Order at </w:t>
      </w:r>
      <w:r w:rsidR="008C326C">
        <w:rPr>
          <w:rFonts w:eastAsia="Times New Roman" w:cs="Arial"/>
        </w:rPr>
        <w:t xml:space="preserve">¶18.  The relative price of a service, however, has no rational nexus to the determination whether an entity is a public utility.  </w:t>
      </w:r>
      <w:r w:rsidR="008F4252">
        <w:rPr>
          <w:rFonts w:eastAsia="Times New Roman" w:cs="Arial"/>
        </w:rPr>
        <w:t xml:space="preserve">Applying this threshold percentage, regardless of level, </w:t>
      </w:r>
      <w:r w:rsidR="008C326C">
        <w:rPr>
          <w:rFonts w:eastAsia="Times New Roman" w:cs="Arial"/>
        </w:rPr>
        <w:t xml:space="preserve">would be unreasonable </w:t>
      </w:r>
      <w:r w:rsidR="008F4252">
        <w:rPr>
          <w:rFonts w:eastAsia="Times New Roman" w:cs="Arial"/>
        </w:rPr>
        <w:t xml:space="preserve">and </w:t>
      </w:r>
      <w:r w:rsidR="008C326C">
        <w:rPr>
          <w:rFonts w:eastAsia="Times New Roman" w:cs="Arial"/>
        </w:rPr>
        <w:t>unconstitutional.</w:t>
      </w:r>
    </w:p>
    <w:p w14:paraId="4C7ADB06" w14:textId="774F5FD1" w:rsidR="00A3217E" w:rsidRPr="002C4FAC" w:rsidRDefault="00A3217E" w:rsidP="00BC4984">
      <w:pPr>
        <w:spacing w:line="480" w:lineRule="auto"/>
        <w:ind w:firstLine="720"/>
        <w:jc w:val="both"/>
        <w:rPr>
          <w:rFonts w:eastAsia="Times New Roman" w:cs="Arial"/>
        </w:rPr>
      </w:pPr>
      <w:r w:rsidRPr="002C4FAC">
        <w:rPr>
          <w:rFonts w:eastAsia="Times New Roman" w:cs="Arial"/>
        </w:rPr>
        <w:t xml:space="preserve">As Professor Weinstein explains in his treatise on evidence, “[t]o be constitutional, a civil presumption requires ‘some rational connection between the fact proved and the ultimate fact presumed, and that the inference of one fact from proof of another shall not </w:t>
      </w:r>
      <w:r w:rsidRPr="002C4FAC">
        <w:rPr>
          <w:rFonts w:eastAsia="Times New Roman" w:cs="Arial"/>
        </w:rPr>
        <w:lastRenderedPageBreak/>
        <w:t xml:space="preserve">be </w:t>
      </w:r>
      <w:proofErr w:type="gramStart"/>
      <w:r w:rsidRPr="002C4FAC">
        <w:rPr>
          <w:rFonts w:eastAsia="Times New Roman" w:cs="Arial"/>
        </w:rPr>
        <w:t>so</w:t>
      </w:r>
      <w:proofErr w:type="gramEnd"/>
      <w:r w:rsidRPr="002C4FAC">
        <w:rPr>
          <w:rFonts w:eastAsia="Times New Roman" w:cs="Arial"/>
        </w:rPr>
        <w:t xml:space="preserve"> unreasonable as to be a purely arbitrary mandate.’”  </w:t>
      </w:r>
      <w:proofErr w:type="gramStart"/>
      <w:r w:rsidRPr="002C4FAC">
        <w:rPr>
          <w:rFonts w:eastAsia="Times New Roman" w:cs="Arial"/>
        </w:rPr>
        <w:t xml:space="preserve">Weinstein’s Federal Evidence § 301.03, citing </w:t>
      </w:r>
      <w:r w:rsidRPr="002C4FAC">
        <w:rPr>
          <w:rFonts w:eastAsia="Times New Roman" w:cs="Arial"/>
          <w:i/>
        </w:rPr>
        <w:t xml:space="preserve">Mobile, Jackson and Kansas City R.R. Co. v. </w:t>
      </w:r>
      <w:proofErr w:type="spellStart"/>
      <w:r w:rsidRPr="002C4FAC">
        <w:rPr>
          <w:rFonts w:eastAsia="Times New Roman" w:cs="Arial"/>
          <w:i/>
        </w:rPr>
        <w:t>Turnipseed</w:t>
      </w:r>
      <w:proofErr w:type="spellEnd"/>
      <w:r w:rsidRPr="002C4FAC">
        <w:rPr>
          <w:rFonts w:eastAsia="Times New Roman" w:cs="Arial"/>
        </w:rPr>
        <w:t>, 219 U.S. 35, 43-44 (1910).</w:t>
      </w:r>
      <w:proofErr w:type="gramEnd"/>
      <w:r w:rsidRPr="002C4FAC">
        <w:rPr>
          <w:rFonts w:eastAsia="Times New Roman" w:cs="Arial"/>
        </w:rPr>
        <w:t xml:space="preserve">  The rational nexus requirement applies to the presumptions relied upon by administrative agencies.  </w:t>
      </w:r>
      <w:r w:rsidRPr="00B42721">
        <w:rPr>
          <w:rFonts w:eastAsia="Times New Roman" w:cs="Arial"/>
          <w:i/>
        </w:rPr>
        <w:t>United Scenic Artists, Local 82</w:t>
      </w:r>
      <w:r w:rsidR="007A7E46" w:rsidRPr="00416BB0">
        <w:rPr>
          <w:rFonts w:eastAsia="Times New Roman" w:cs="Arial"/>
          <w:i/>
        </w:rPr>
        <w:t>9</w:t>
      </w:r>
      <w:r w:rsidRPr="007A7E46">
        <w:rPr>
          <w:rFonts w:eastAsia="Times New Roman" w:cs="Arial"/>
          <w:i/>
        </w:rPr>
        <w:t xml:space="preserve"> v. NLRB</w:t>
      </w:r>
      <w:r w:rsidRPr="007A7E46">
        <w:rPr>
          <w:rFonts w:eastAsia="Times New Roman" w:cs="Arial"/>
        </w:rPr>
        <w:t>, 726 F2d 1027, 1034 (D.C. Cir. 1985)</w:t>
      </w:r>
      <w:r w:rsidRPr="002C4FAC">
        <w:rPr>
          <w:rFonts w:eastAsia="Times New Roman" w:cs="Arial"/>
        </w:rPr>
        <w:t>.  “Where such a nexus is lacking, the presumption is invalid.</w:t>
      </w:r>
      <w:proofErr w:type="gramStart"/>
      <w:r w:rsidRPr="002C4FAC">
        <w:rPr>
          <w:rFonts w:eastAsia="Times New Roman" w:cs="Arial"/>
        </w:rPr>
        <w:t xml:space="preserve">” </w:t>
      </w:r>
      <w:r w:rsidRPr="002C4FAC">
        <w:rPr>
          <w:rFonts w:eastAsia="Times New Roman" w:cs="Arial"/>
          <w:i/>
        </w:rPr>
        <w:t>Id</w:t>
      </w:r>
      <w:r w:rsidRPr="002C4FAC">
        <w:rPr>
          <w:rFonts w:eastAsia="Times New Roman" w:cs="Arial"/>
        </w:rPr>
        <w:t xml:space="preserve">., citing </w:t>
      </w:r>
      <w:r w:rsidRPr="002C4FAC">
        <w:rPr>
          <w:rFonts w:eastAsia="Times New Roman" w:cs="Arial"/>
          <w:i/>
          <w:iCs/>
        </w:rPr>
        <w:t>United States Department of Agriculture v. Murry</w:t>
      </w:r>
      <w:r w:rsidRPr="002C4FAC">
        <w:rPr>
          <w:rFonts w:eastAsia="Times New Roman" w:cs="Arial"/>
        </w:rPr>
        <w:t xml:space="preserve">, 413 U.S. 508, 37 L. Ed. 2d 767, 93 S. Ct. 2832 (1973); </w:t>
      </w:r>
      <w:proofErr w:type="spellStart"/>
      <w:r w:rsidRPr="002C4FAC">
        <w:rPr>
          <w:rFonts w:eastAsia="Times New Roman" w:cs="Arial"/>
          <w:i/>
          <w:iCs/>
        </w:rPr>
        <w:t>Vlandis</w:t>
      </w:r>
      <w:proofErr w:type="spellEnd"/>
      <w:r w:rsidRPr="002C4FAC">
        <w:rPr>
          <w:rFonts w:eastAsia="Times New Roman" w:cs="Arial"/>
          <w:i/>
          <w:iCs/>
        </w:rPr>
        <w:t xml:space="preserve"> v. Kline</w:t>
      </w:r>
      <w:r w:rsidRPr="002C4FAC">
        <w:rPr>
          <w:rFonts w:eastAsia="Times New Roman" w:cs="Arial"/>
        </w:rPr>
        <w:t xml:space="preserve">, 412 U.S. 441, 37 L. Ed. 2d 63, 93 S. Ct. 2230 (1973); </w:t>
      </w:r>
      <w:r w:rsidRPr="002C4FAC">
        <w:rPr>
          <w:rFonts w:eastAsia="Times New Roman" w:cs="Arial"/>
          <w:i/>
          <w:iCs/>
        </w:rPr>
        <w:t>Holland Livestock Ranch v. United States</w:t>
      </w:r>
      <w:r w:rsidRPr="002C4FAC">
        <w:rPr>
          <w:rFonts w:eastAsia="Times New Roman" w:cs="Arial"/>
        </w:rPr>
        <w:t xml:space="preserve">, 543 F. Supp. 158 (D. Nev. 1982), </w:t>
      </w:r>
      <w:r w:rsidRPr="002C4FAC">
        <w:rPr>
          <w:rFonts w:eastAsia="Times New Roman" w:cs="Arial"/>
          <w:i/>
          <w:iCs/>
        </w:rPr>
        <w:t>aff'd</w:t>
      </w:r>
      <w:r w:rsidRPr="002C4FAC">
        <w:rPr>
          <w:rFonts w:eastAsia="Times New Roman" w:cs="Arial"/>
        </w:rPr>
        <w:t xml:space="preserve">, 714 F.2d 90 (9th Cir. 1983); </w:t>
      </w:r>
      <w:r w:rsidRPr="002C4FAC">
        <w:rPr>
          <w:rFonts w:eastAsia="Times New Roman" w:cs="Arial"/>
          <w:i/>
          <w:iCs/>
        </w:rPr>
        <w:t xml:space="preserve">United States v. </w:t>
      </w:r>
      <w:proofErr w:type="spellStart"/>
      <w:r w:rsidRPr="002C4FAC">
        <w:rPr>
          <w:rFonts w:eastAsia="Times New Roman" w:cs="Arial"/>
          <w:i/>
          <w:iCs/>
        </w:rPr>
        <w:t>Murff</w:t>
      </w:r>
      <w:proofErr w:type="spellEnd"/>
      <w:r w:rsidRPr="002C4FAC">
        <w:rPr>
          <w:rFonts w:eastAsia="Times New Roman" w:cs="Arial"/>
        </w:rPr>
        <w:t xml:space="preserve">, 265 F.2d 504, 506 (2d Cir. 1959); </w:t>
      </w:r>
      <w:r w:rsidRPr="002C4FAC">
        <w:rPr>
          <w:rFonts w:eastAsia="Times New Roman" w:cs="Arial"/>
          <w:i/>
          <w:iCs/>
        </w:rPr>
        <w:t>Owens v. Roberts</w:t>
      </w:r>
      <w:r w:rsidRPr="002C4FAC">
        <w:rPr>
          <w:rFonts w:eastAsia="Times New Roman" w:cs="Arial"/>
        </w:rPr>
        <w:t>, 377 F. Supp. 45, 54-55 (M.D. Fla. 1974).</w:t>
      </w:r>
      <w:proofErr w:type="gramEnd"/>
    </w:p>
    <w:p w14:paraId="460438A0" w14:textId="3B1BD7AE" w:rsidR="00B42721" w:rsidRPr="002C4FAC" w:rsidRDefault="00B42721" w:rsidP="00B42721">
      <w:pPr>
        <w:spacing w:line="480" w:lineRule="auto"/>
        <w:jc w:val="both"/>
        <w:rPr>
          <w:rFonts w:eastAsia="Times New Roman" w:cs="Arial"/>
        </w:rPr>
      </w:pPr>
      <w:r w:rsidRPr="002C4FAC">
        <w:rPr>
          <w:rFonts w:eastAsia="Times New Roman" w:cs="Arial"/>
        </w:rPr>
        <w:tab/>
      </w:r>
      <w:r>
        <w:rPr>
          <w:rFonts w:eastAsia="Times New Roman" w:cs="Arial"/>
        </w:rPr>
        <w:t xml:space="preserve">Under Ohio law, a public utility is defined by the functions it performs.  </w:t>
      </w:r>
      <w:r w:rsidRPr="002C4FAC">
        <w:rPr>
          <w:rFonts w:eastAsia="Times New Roman" w:cs="Arial"/>
        </w:rPr>
        <w:t xml:space="preserve">R.C. 4905.03 defines electric </w:t>
      </w:r>
      <w:r>
        <w:rPr>
          <w:rFonts w:eastAsia="Times New Roman" w:cs="Arial"/>
        </w:rPr>
        <w:t xml:space="preserve">light </w:t>
      </w:r>
      <w:r w:rsidRPr="002C4FAC">
        <w:rPr>
          <w:rFonts w:eastAsia="Times New Roman" w:cs="Arial"/>
        </w:rPr>
        <w:t xml:space="preserve">companies, natural gas companies, and water-works </w:t>
      </w:r>
      <w:r>
        <w:rPr>
          <w:rFonts w:eastAsia="Times New Roman" w:cs="Arial"/>
        </w:rPr>
        <w:t xml:space="preserve">companies as companies that supply electric services to consumers, supply natural gas for lighting, power, or heating, </w:t>
      </w:r>
      <w:r w:rsidR="006D7269">
        <w:rPr>
          <w:rFonts w:eastAsia="Times New Roman" w:cs="Arial"/>
        </w:rPr>
        <w:t xml:space="preserve">and </w:t>
      </w:r>
      <w:r>
        <w:rPr>
          <w:rFonts w:eastAsia="Times New Roman" w:cs="Arial"/>
        </w:rPr>
        <w:t xml:space="preserve">supply water </w:t>
      </w:r>
      <w:r w:rsidR="006D7269">
        <w:rPr>
          <w:rFonts w:eastAsia="Times New Roman" w:cs="Arial"/>
        </w:rPr>
        <w:t xml:space="preserve">through pipes </w:t>
      </w:r>
      <w:r>
        <w:rPr>
          <w:rFonts w:eastAsia="Times New Roman" w:cs="Arial"/>
        </w:rPr>
        <w:t>to consumers, respectively</w:t>
      </w:r>
      <w:r w:rsidRPr="002C4FAC">
        <w:rPr>
          <w:rFonts w:eastAsia="Times New Roman" w:cs="Arial"/>
        </w:rPr>
        <w:t xml:space="preserve">.  The </w:t>
      </w:r>
      <w:r w:rsidRPr="002A69E9">
        <w:rPr>
          <w:rFonts w:eastAsia="Times New Roman" w:cs="Arial"/>
          <w:i/>
        </w:rPr>
        <w:t>Shroyer Test</w:t>
      </w:r>
      <w:r w:rsidRPr="002C4FAC">
        <w:rPr>
          <w:rFonts w:eastAsia="Times New Roman" w:cs="Arial"/>
        </w:rPr>
        <w:t xml:space="preserve"> then addresses whether an entity is conducting this business in a manner that comes within the scope of that definition by looking at whether the entity is availing itself of the benefits available to a public utility, making the service available to the general public, and providing that service as its primary, rather than ancillary, business.  </w:t>
      </w:r>
    </w:p>
    <w:p w14:paraId="2AFD22AD" w14:textId="69ED7AA1" w:rsidR="00B42721" w:rsidRPr="002C4FAC" w:rsidRDefault="00B42721" w:rsidP="00B42721">
      <w:pPr>
        <w:spacing w:line="480" w:lineRule="auto"/>
        <w:jc w:val="both"/>
        <w:rPr>
          <w:rFonts w:eastAsia="Times New Roman" w:cs="Arial"/>
        </w:rPr>
      </w:pPr>
      <w:r w:rsidRPr="002C4FAC">
        <w:rPr>
          <w:rFonts w:eastAsia="Times New Roman" w:cs="Arial"/>
        </w:rPr>
        <w:tab/>
        <w:t>There is no logical nexus between the price an entity sells a service and the conclusion that the entity is a public utility</w:t>
      </w:r>
      <w:r>
        <w:rPr>
          <w:rFonts w:eastAsia="Times New Roman" w:cs="Arial"/>
        </w:rPr>
        <w:t>.</w:t>
      </w:r>
      <w:r w:rsidRPr="002C4FAC">
        <w:rPr>
          <w:rFonts w:eastAsia="Times New Roman" w:cs="Arial"/>
        </w:rPr>
        <w:t xml:space="preserve"> </w:t>
      </w:r>
      <w:r>
        <w:rPr>
          <w:rFonts w:eastAsia="Times New Roman" w:cs="Arial"/>
        </w:rPr>
        <w:t xml:space="preserve"> </w:t>
      </w:r>
      <w:r w:rsidRPr="002C4FAC">
        <w:rPr>
          <w:rFonts w:eastAsia="Times New Roman" w:cs="Arial"/>
        </w:rPr>
        <w:t xml:space="preserve">As the Commission determined in </w:t>
      </w:r>
      <w:r w:rsidRPr="00E41D8E">
        <w:rPr>
          <w:rFonts w:eastAsia="Times New Roman" w:cs="Arial"/>
          <w:i/>
        </w:rPr>
        <w:t>Shroyer</w:t>
      </w:r>
      <w:r w:rsidRPr="002C4FAC">
        <w:rPr>
          <w:rFonts w:eastAsia="Times New Roman" w:cs="Arial"/>
        </w:rPr>
        <w:t>, “</w:t>
      </w:r>
      <w:r>
        <w:rPr>
          <w:rFonts w:eastAsia="Times New Roman" w:cs="Arial"/>
        </w:rPr>
        <w:t>[t]</w:t>
      </w:r>
      <w:r w:rsidRPr="002C4FAC">
        <w:rPr>
          <w:rFonts w:eastAsia="Times New Roman" w:cs="Arial"/>
        </w:rPr>
        <w:t xml:space="preserve">he reasonableness of a separate charge for water service is only meaningful if the Commission has first established that it has jurisdiction over the entity providing the service.”  </w:t>
      </w:r>
      <w:proofErr w:type="gramStart"/>
      <w:r w:rsidRPr="00C415D8">
        <w:rPr>
          <w:rFonts w:eastAsia="Times New Roman" w:cs="Arial"/>
          <w:i/>
        </w:rPr>
        <w:t>Shroyer</w:t>
      </w:r>
      <w:r w:rsidRPr="002C4FAC">
        <w:rPr>
          <w:rFonts w:eastAsia="Times New Roman" w:cs="Arial"/>
        </w:rPr>
        <w:t xml:space="preserve">, at </w:t>
      </w:r>
      <w:r>
        <w:rPr>
          <w:rFonts w:eastAsia="Times New Roman" w:cs="Arial"/>
        </w:rPr>
        <w:t>4</w:t>
      </w:r>
      <w:r w:rsidRPr="002C4FAC">
        <w:rPr>
          <w:rFonts w:eastAsia="Times New Roman" w:cs="Arial"/>
        </w:rPr>
        <w:t>.</w:t>
      </w:r>
      <w:proofErr w:type="gramEnd"/>
      <w:r w:rsidRPr="002C4FAC">
        <w:rPr>
          <w:rFonts w:eastAsia="Times New Roman" w:cs="Arial"/>
        </w:rPr>
        <w:t xml:space="preserve">  </w:t>
      </w:r>
    </w:p>
    <w:p w14:paraId="2D178D72" w14:textId="7FD8F7C3" w:rsidR="00A3217E" w:rsidRDefault="00A3217E" w:rsidP="00A3217E">
      <w:pPr>
        <w:spacing w:line="480" w:lineRule="auto"/>
        <w:jc w:val="both"/>
        <w:rPr>
          <w:rFonts w:eastAsia="Times New Roman" w:cs="Arial"/>
        </w:rPr>
      </w:pPr>
      <w:r w:rsidRPr="002C4FAC">
        <w:rPr>
          <w:rFonts w:eastAsia="Times New Roman" w:cs="Arial"/>
        </w:rPr>
        <w:lastRenderedPageBreak/>
        <w:tab/>
      </w:r>
      <w:proofErr w:type="gramStart"/>
      <w:r w:rsidRPr="002C4FAC">
        <w:rPr>
          <w:rFonts w:eastAsia="Times New Roman" w:cs="Arial"/>
        </w:rPr>
        <w:t xml:space="preserve">Although the Commission seeks to justify the creation of a rebuttable presumption on the basis of some alleged change in circumstances due to the comments the Commission received regarding unreasonably high rates and charges </w:t>
      </w:r>
      <w:r w:rsidR="006D7269">
        <w:rPr>
          <w:rFonts w:eastAsia="Times New Roman" w:cs="Arial"/>
        </w:rPr>
        <w:t>for</w:t>
      </w:r>
      <w:r w:rsidRPr="002C4FAC">
        <w:rPr>
          <w:rFonts w:eastAsia="Times New Roman" w:cs="Arial"/>
        </w:rPr>
        <w:t xml:space="preserve"> resale or redistribution of services to sub</w:t>
      </w:r>
      <w:r w:rsidR="00BF0840">
        <w:rPr>
          <w:rFonts w:eastAsia="Times New Roman" w:cs="Arial"/>
        </w:rPr>
        <w:t>-</w:t>
      </w:r>
      <w:r w:rsidRPr="002C4FAC">
        <w:rPr>
          <w:rFonts w:eastAsia="Times New Roman" w:cs="Arial"/>
        </w:rPr>
        <w:t xml:space="preserve">metered customers, Finding and Order at ¶ 19, the lack of connection that the Commission identified in </w:t>
      </w:r>
      <w:r w:rsidRPr="00685E38">
        <w:rPr>
          <w:rFonts w:eastAsia="Times New Roman" w:cs="Arial"/>
          <w:i/>
        </w:rPr>
        <w:t>Shroyer</w:t>
      </w:r>
      <w:r w:rsidRPr="002C4FAC">
        <w:rPr>
          <w:rFonts w:eastAsia="Times New Roman" w:cs="Arial"/>
        </w:rPr>
        <w:t xml:space="preserve"> is not changed because customers are complaining about prices.</w:t>
      </w:r>
      <w:proofErr w:type="gramEnd"/>
      <w:r w:rsidRPr="002C4FAC">
        <w:rPr>
          <w:rFonts w:eastAsia="Times New Roman" w:cs="Arial"/>
        </w:rPr>
        <w:t xml:space="preserve">  In </w:t>
      </w:r>
      <w:r w:rsidRPr="00685E38">
        <w:rPr>
          <w:rFonts w:eastAsia="Times New Roman" w:cs="Arial"/>
          <w:i/>
        </w:rPr>
        <w:t>Shroyer</w:t>
      </w:r>
      <w:r w:rsidRPr="002C4FAC">
        <w:rPr>
          <w:rFonts w:eastAsia="Times New Roman" w:cs="Arial"/>
        </w:rPr>
        <w:t xml:space="preserve">, </w:t>
      </w:r>
      <w:r w:rsidR="00DF7209">
        <w:rPr>
          <w:rFonts w:eastAsia="Times New Roman" w:cs="Arial"/>
        </w:rPr>
        <w:t xml:space="preserve">for example, </w:t>
      </w:r>
      <w:r w:rsidRPr="002C4FAC">
        <w:rPr>
          <w:rFonts w:eastAsia="Times New Roman" w:cs="Arial"/>
        </w:rPr>
        <w:t>the complainants raised a similar issue: the park owner</w:t>
      </w:r>
      <w:r w:rsidR="00685E38">
        <w:rPr>
          <w:rFonts w:eastAsia="Times New Roman" w:cs="Arial"/>
        </w:rPr>
        <w:t xml:space="preserve"> had attached meters to the complain</w:t>
      </w:r>
      <w:r w:rsidR="006D2ABB">
        <w:rPr>
          <w:rFonts w:eastAsia="Times New Roman" w:cs="Arial"/>
        </w:rPr>
        <w:t>ant</w:t>
      </w:r>
      <w:r w:rsidR="00685E38">
        <w:rPr>
          <w:rFonts w:eastAsia="Times New Roman" w:cs="Arial"/>
        </w:rPr>
        <w:t>s’ mobile homes and</w:t>
      </w:r>
      <w:r w:rsidRPr="002C4FAC">
        <w:rPr>
          <w:rFonts w:eastAsia="Times New Roman" w:cs="Arial"/>
        </w:rPr>
        <w:t xml:space="preserve"> was alleged to have improperly charged the complainants for water usage.  </w:t>
      </w:r>
      <w:proofErr w:type="gramStart"/>
      <w:r w:rsidRPr="00147660">
        <w:rPr>
          <w:rFonts w:eastAsia="Times New Roman" w:cs="Arial"/>
          <w:i/>
        </w:rPr>
        <w:t>Shroyer</w:t>
      </w:r>
      <w:r w:rsidRPr="002C4FAC">
        <w:rPr>
          <w:rFonts w:eastAsia="Times New Roman" w:cs="Arial"/>
        </w:rPr>
        <w:t>, at 2.</w:t>
      </w:r>
      <w:proofErr w:type="gramEnd"/>
      <w:r w:rsidRPr="002C4FAC">
        <w:rPr>
          <w:rFonts w:eastAsia="Times New Roman" w:cs="Arial"/>
        </w:rPr>
        <w:t xml:space="preserve">  </w:t>
      </w:r>
      <w:r w:rsidR="00AD2EF5">
        <w:rPr>
          <w:rFonts w:eastAsia="Times New Roman" w:cs="Arial"/>
        </w:rPr>
        <w:t>Pricing issues were presented</w:t>
      </w:r>
      <w:r w:rsidR="003024B3">
        <w:rPr>
          <w:rFonts w:eastAsia="Times New Roman" w:cs="Arial"/>
        </w:rPr>
        <w:t>,</w:t>
      </w:r>
      <w:r w:rsidR="00AD2EF5">
        <w:rPr>
          <w:rFonts w:eastAsia="Times New Roman" w:cs="Arial"/>
        </w:rPr>
        <w:t xml:space="preserve"> but the Commission refused to adopt a test for determining whether an entity was a public utility on the basis of what it charged.  </w:t>
      </w:r>
      <w:proofErr w:type="gramStart"/>
      <w:r w:rsidR="00AD2EF5" w:rsidRPr="00AD2EF5">
        <w:rPr>
          <w:rFonts w:eastAsia="Times New Roman" w:cs="Arial"/>
          <w:i/>
        </w:rPr>
        <w:t>Id</w:t>
      </w:r>
      <w:r w:rsidR="00AD2EF5">
        <w:rPr>
          <w:rFonts w:eastAsia="Times New Roman" w:cs="Arial"/>
        </w:rPr>
        <w:t>. at 4.</w:t>
      </w:r>
      <w:proofErr w:type="gramEnd"/>
      <w:r w:rsidR="00AD2EF5">
        <w:rPr>
          <w:rFonts w:eastAsia="Times New Roman" w:cs="Arial"/>
        </w:rPr>
        <w:t xml:space="preserve">  Not much has changed in that regard since the Commission decided </w:t>
      </w:r>
      <w:r w:rsidR="00AD2EF5" w:rsidRPr="00AD2EF5">
        <w:rPr>
          <w:rFonts w:eastAsia="Times New Roman" w:cs="Arial"/>
          <w:i/>
        </w:rPr>
        <w:t>Shroyer</w:t>
      </w:r>
      <w:r w:rsidR="00AD2EF5">
        <w:rPr>
          <w:rFonts w:eastAsia="Times New Roman" w:cs="Arial"/>
        </w:rPr>
        <w:t xml:space="preserve">.  </w:t>
      </w:r>
      <w:r w:rsidR="00DF7209">
        <w:rPr>
          <w:rFonts w:eastAsia="Times New Roman" w:cs="Arial"/>
        </w:rPr>
        <w:t>Not surprisingly, c</w:t>
      </w:r>
      <w:r w:rsidR="00975830">
        <w:rPr>
          <w:rFonts w:eastAsia="Times New Roman" w:cs="Arial"/>
        </w:rPr>
        <w:t>omplaints about excess pricing are the norm</w:t>
      </w:r>
      <w:r w:rsidR="009B194C">
        <w:rPr>
          <w:rFonts w:eastAsia="Times New Roman" w:cs="Arial"/>
        </w:rPr>
        <w:t xml:space="preserve"> </w:t>
      </w:r>
      <w:r w:rsidR="005E34C0">
        <w:rPr>
          <w:rFonts w:eastAsia="Times New Roman" w:cs="Arial"/>
        </w:rPr>
        <w:t xml:space="preserve">even </w:t>
      </w:r>
      <w:r w:rsidR="009B194C">
        <w:rPr>
          <w:rFonts w:eastAsia="Times New Roman" w:cs="Arial"/>
        </w:rPr>
        <w:t>in</w:t>
      </w:r>
      <w:r w:rsidR="005E34C0">
        <w:rPr>
          <w:rFonts w:eastAsia="Times New Roman" w:cs="Arial"/>
        </w:rPr>
        <w:t xml:space="preserve"> the few</w:t>
      </w:r>
      <w:r w:rsidR="006D7269">
        <w:rPr>
          <w:rFonts w:eastAsia="Times New Roman" w:cs="Arial"/>
        </w:rPr>
        <w:t xml:space="preserve"> commercial </w:t>
      </w:r>
      <w:r w:rsidR="00EB1B98">
        <w:rPr>
          <w:rFonts w:eastAsia="Times New Roman" w:cs="Arial"/>
        </w:rPr>
        <w:t>lease cases addressed by the Commission.</w:t>
      </w:r>
      <w:r w:rsidR="00A4166E" w:rsidRPr="002C4FAC">
        <w:rPr>
          <w:rFonts w:eastAsia="Times New Roman" w:cs="Arial"/>
        </w:rPr>
        <w:t xml:space="preserve">  </w:t>
      </w:r>
      <w:r w:rsidRPr="00990653">
        <w:rPr>
          <w:rFonts w:eastAsia="Times New Roman" w:cs="Arial"/>
          <w:i/>
        </w:rPr>
        <w:t>See, e.g., In the Matter of the Complaint of Toledo Premium Yogurt, Inc., v. Toledo Edison Company, New Towne Mall Company, New Towne Developers, and M.S. Management Associates, Inc.</w:t>
      </w:r>
      <w:r w:rsidRPr="00990653">
        <w:rPr>
          <w:rFonts w:eastAsia="Times New Roman" w:cs="Arial"/>
        </w:rPr>
        <w:t xml:space="preserve">, 1992 Ohio PUC LEXIS 850 (Sept. 17, 1992), </w:t>
      </w:r>
      <w:r w:rsidRPr="001A2330">
        <w:rPr>
          <w:rFonts w:eastAsia="Times New Roman" w:cs="Arial"/>
          <w:i/>
        </w:rPr>
        <w:t>appeal dismissed</w:t>
      </w:r>
      <w:r w:rsidRPr="001A2330">
        <w:rPr>
          <w:rFonts w:eastAsia="Times New Roman" w:cs="Arial"/>
        </w:rPr>
        <w:t xml:space="preserve">, </w:t>
      </w:r>
      <w:r w:rsidRPr="001A2330">
        <w:rPr>
          <w:rFonts w:eastAsia="Times New Roman" w:cs="Arial"/>
          <w:i/>
        </w:rPr>
        <w:t>Toledo Premium Yogurt, Inc. v. Pub</w:t>
      </w:r>
      <w:proofErr w:type="gramStart"/>
      <w:r w:rsidRPr="001A2330">
        <w:rPr>
          <w:rFonts w:eastAsia="Times New Roman" w:cs="Arial"/>
          <w:i/>
        </w:rPr>
        <w:t xml:space="preserve">. </w:t>
      </w:r>
      <w:proofErr w:type="spellStart"/>
      <w:proofErr w:type="gramEnd"/>
      <w:r w:rsidRPr="001A2330">
        <w:rPr>
          <w:rFonts w:eastAsia="Times New Roman" w:cs="Arial"/>
          <w:i/>
        </w:rPr>
        <w:t>Utils</w:t>
      </w:r>
      <w:proofErr w:type="spellEnd"/>
      <w:proofErr w:type="gramStart"/>
      <w:r w:rsidRPr="001A2330">
        <w:rPr>
          <w:rFonts w:eastAsia="Times New Roman" w:cs="Arial"/>
          <w:i/>
        </w:rPr>
        <w:t xml:space="preserve">. </w:t>
      </w:r>
      <w:proofErr w:type="spellStart"/>
      <w:r w:rsidRPr="001A2330">
        <w:rPr>
          <w:rFonts w:eastAsia="Times New Roman" w:cs="Arial"/>
          <w:i/>
        </w:rPr>
        <w:t>Comm’n</w:t>
      </w:r>
      <w:proofErr w:type="spellEnd"/>
      <w:r w:rsidRPr="001A2330">
        <w:rPr>
          <w:rFonts w:eastAsia="Times New Roman" w:cs="Arial"/>
          <w:i/>
        </w:rPr>
        <w:t xml:space="preserve"> of Ohio</w:t>
      </w:r>
      <w:r w:rsidRPr="001A2330">
        <w:rPr>
          <w:rFonts w:eastAsia="Times New Roman" w:cs="Arial"/>
        </w:rPr>
        <w:t>, 66 Ohio St.3d 1465 (1993).</w:t>
      </w:r>
      <w:proofErr w:type="gramEnd"/>
      <w:r w:rsidRPr="002C4FAC">
        <w:rPr>
          <w:rFonts w:eastAsia="Times New Roman" w:cs="Arial"/>
        </w:rPr>
        <w:t xml:space="preserve">  </w:t>
      </w:r>
      <w:r w:rsidR="003024B3">
        <w:rPr>
          <w:rFonts w:eastAsia="Times New Roman" w:cs="Arial"/>
        </w:rPr>
        <w:t xml:space="preserve">The fact that customers have complained about pricing thus provides no reasoned basis for adopting a </w:t>
      </w:r>
      <w:r w:rsidR="009D0E0B">
        <w:rPr>
          <w:rFonts w:eastAsia="Times New Roman" w:cs="Arial"/>
        </w:rPr>
        <w:t xml:space="preserve">new but </w:t>
      </w:r>
      <w:r w:rsidR="003024B3">
        <w:rPr>
          <w:rFonts w:eastAsia="Times New Roman" w:cs="Arial"/>
        </w:rPr>
        <w:t>faulty standard.</w:t>
      </w:r>
      <w:r w:rsidR="00FF3993">
        <w:rPr>
          <w:rFonts w:eastAsia="Times New Roman" w:cs="Arial"/>
        </w:rPr>
        <w:t xml:space="preserve">  </w:t>
      </w:r>
    </w:p>
    <w:p w14:paraId="3E972394" w14:textId="77777777" w:rsidR="002F31E6" w:rsidRPr="001A6726" w:rsidRDefault="002F31E6" w:rsidP="002F31E6">
      <w:pPr>
        <w:spacing w:line="480" w:lineRule="auto"/>
        <w:ind w:firstLine="720"/>
        <w:jc w:val="both"/>
        <w:rPr>
          <w:rFonts w:eastAsia="Calibri" w:cs="Times New Roman"/>
        </w:rPr>
      </w:pPr>
      <w:r w:rsidRPr="001A6726">
        <w:rPr>
          <w:rFonts w:eastAsia="Calibri" w:cs="Times New Roman"/>
        </w:rPr>
        <w:t xml:space="preserve">In practice, moreover, the rule is unworkable for several reasons.  </w:t>
      </w:r>
    </w:p>
    <w:p w14:paraId="473CC8B8" w14:textId="753BAC64" w:rsidR="002F31E6" w:rsidRPr="001A6726" w:rsidRDefault="002F31E6" w:rsidP="002F31E6">
      <w:pPr>
        <w:spacing w:line="480" w:lineRule="auto"/>
        <w:ind w:firstLine="720"/>
        <w:jc w:val="both"/>
        <w:rPr>
          <w:rFonts w:eastAsia="Calibri" w:cs="Times New Roman"/>
        </w:rPr>
      </w:pPr>
      <w:r w:rsidRPr="001A6726">
        <w:rPr>
          <w:rFonts w:eastAsia="Calibri" w:cs="Times New Roman"/>
        </w:rPr>
        <w:t xml:space="preserve">One obvious problem is the lack </w:t>
      </w:r>
      <w:r w:rsidR="00FD1CC5" w:rsidRPr="001A6726">
        <w:rPr>
          <w:rFonts w:eastAsia="Calibri" w:cs="Times New Roman"/>
        </w:rPr>
        <w:t xml:space="preserve">of </w:t>
      </w:r>
      <w:r w:rsidRPr="001A6726">
        <w:rPr>
          <w:rFonts w:eastAsia="Calibri" w:cs="Times New Roman"/>
        </w:rPr>
        <w:t xml:space="preserve">comparability between a standard service offer and a shopped offer.  The standard service offer is competitively bid with the layered prices blended over time with protocols to allocate the blended aggregate price to specific default rate schedules.  It is more likely, however, that sub-metered customers will shop, </w:t>
      </w:r>
      <w:r w:rsidRPr="001A6726">
        <w:rPr>
          <w:rFonts w:eastAsia="Calibri" w:cs="Times New Roman"/>
        </w:rPr>
        <w:lastRenderedPageBreak/>
        <w:t xml:space="preserve">and the shopped price obtained may be fixed for a term rather than variable as with the standard service offer.  The shopped price also may reflect the specific load and usage characteristics, technology preferences </w:t>
      </w:r>
      <w:r w:rsidR="009D0E0B" w:rsidRPr="001A6726">
        <w:rPr>
          <w:rFonts w:eastAsia="Calibri" w:cs="Times New Roman"/>
        </w:rPr>
        <w:t>(</w:t>
      </w:r>
      <w:r w:rsidR="009D0E0B">
        <w:rPr>
          <w:rFonts w:eastAsia="Calibri" w:cs="Times New Roman"/>
        </w:rPr>
        <w:t>the</w:t>
      </w:r>
      <w:r w:rsidR="008E50EB">
        <w:rPr>
          <w:rFonts w:eastAsia="Calibri" w:cs="Times New Roman"/>
        </w:rPr>
        <w:t xml:space="preserve"> purchase of power from renewable resources,</w:t>
      </w:r>
      <w:r w:rsidRPr="001A6726">
        <w:rPr>
          <w:rFonts w:eastAsia="Calibri" w:cs="Times New Roman"/>
        </w:rPr>
        <w:t xml:space="preserve"> for example), credit risk, allocation of price and volume risk</w:t>
      </w:r>
      <w:r w:rsidR="00B26477">
        <w:rPr>
          <w:rFonts w:eastAsia="Calibri" w:cs="Times New Roman"/>
        </w:rPr>
        <w:t>,</w:t>
      </w:r>
      <w:r w:rsidRPr="001A6726">
        <w:rPr>
          <w:rFonts w:eastAsia="Calibri" w:cs="Times New Roman"/>
        </w:rPr>
        <w:t xml:space="preserve"> and other variables unique to the sub-metered customers.  Comparing the standard service offer to the shopped price is a comparison of apples to oranges; it provides no meaningful information.  </w:t>
      </w:r>
    </w:p>
    <w:p w14:paraId="01ED2087" w14:textId="7379348F" w:rsidR="002F31E6" w:rsidRPr="001A6726" w:rsidRDefault="002F31E6" w:rsidP="002F31E6">
      <w:pPr>
        <w:spacing w:line="480" w:lineRule="auto"/>
        <w:ind w:firstLine="720"/>
        <w:jc w:val="both"/>
        <w:rPr>
          <w:rFonts w:eastAsia="Calibri" w:cs="Times New Roman"/>
        </w:rPr>
      </w:pPr>
      <w:r w:rsidRPr="001A6726">
        <w:rPr>
          <w:rFonts w:eastAsia="Calibri" w:cs="Times New Roman"/>
        </w:rPr>
        <w:t xml:space="preserve">A second problem is related </w:t>
      </w:r>
      <w:r w:rsidR="00DB5A49" w:rsidRPr="001A6726">
        <w:rPr>
          <w:rFonts w:eastAsia="Calibri" w:cs="Times New Roman"/>
        </w:rPr>
        <w:t xml:space="preserve">to </w:t>
      </w:r>
      <w:r w:rsidRPr="001A6726">
        <w:rPr>
          <w:rFonts w:eastAsia="Calibri" w:cs="Times New Roman"/>
        </w:rPr>
        <w:t>the randomness of a comparison.  Standard service offers approved by the Commission have riders with their own reconciliation requirements for over and under collections.  Thus, the application of a percentage difference creating a rebuttable presumption that an entity is a public utility is subject to a standard service offer price that may change overnight.</w:t>
      </w:r>
    </w:p>
    <w:p w14:paraId="01057AD1" w14:textId="442614BB" w:rsidR="002F31E6" w:rsidRPr="001A6726" w:rsidRDefault="002F31E6" w:rsidP="002F31E6">
      <w:pPr>
        <w:spacing w:line="480" w:lineRule="auto"/>
        <w:ind w:firstLine="720"/>
        <w:jc w:val="both"/>
        <w:rPr>
          <w:rFonts w:eastAsia="Times New Roman" w:cs="Arial"/>
        </w:rPr>
      </w:pPr>
      <w:r w:rsidRPr="001A6726">
        <w:rPr>
          <w:rFonts w:eastAsia="Times New Roman" w:cs="Arial"/>
        </w:rPr>
        <w:t>Comparisons are also unwarranted when the provision of service to the sub</w:t>
      </w:r>
      <w:r w:rsidR="009F429A" w:rsidRPr="001A6726">
        <w:rPr>
          <w:rFonts w:eastAsia="Times New Roman" w:cs="Arial"/>
        </w:rPr>
        <w:t>-</w:t>
      </w:r>
      <w:r w:rsidRPr="001A6726">
        <w:rPr>
          <w:rFonts w:eastAsia="Times New Roman" w:cs="Arial"/>
        </w:rPr>
        <w:t xml:space="preserve">metered customer is bundled with other services such as water or natural gas service.  </w:t>
      </w:r>
    </w:p>
    <w:p w14:paraId="4A455801" w14:textId="77777777" w:rsidR="002F31E6" w:rsidRPr="001A6726" w:rsidRDefault="002F31E6" w:rsidP="002F31E6">
      <w:pPr>
        <w:spacing w:line="480" w:lineRule="auto"/>
        <w:ind w:firstLine="720"/>
        <w:jc w:val="both"/>
        <w:rPr>
          <w:rFonts w:eastAsia="Times New Roman" w:cs="Arial"/>
        </w:rPr>
      </w:pPr>
      <w:r w:rsidRPr="001A6726">
        <w:rPr>
          <w:rFonts w:eastAsia="Times New Roman" w:cs="Arial"/>
        </w:rPr>
        <w:t>The Commission also failed to explain how the comparison is to be applied when the submetering arrangement is in a service area served by a municipal utility or a cooperative.</w:t>
      </w:r>
    </w:p>
    <w:p w14:paraId="02DF1D9A" w14:textId="75DC83E7" w:rsidR="008C5026" w:rsidRDefault="002F31E6" w:rsidP="001A6726">
      <w:pPr>
        <w:spacing w:line="480" w:lineRule="auto"/>
        <w:ind w:firstLine="720"/>
        <w:jc w:val="both"/>
        <w:rPr>
          <w:rFonts w:eastAsia="Times New Roman" w:cs="Arial"/>
        </w:rPr>
      </w:pPr>
      <w:r w:rsidRPr="001A6726">
        <w:rPr>
          <w:rFonts w:eastAsia="Times New Roman" w:cs="Arial"/>
        </w:rPr>
        <w:t xml:space="preserve">In a nutshell, the </w:t>
      </w:r>
      <w:r w:rsidRPr="001A6726">
        <w:rPr>
          <w:rFonts w:eastAsia="Times New Roman" w:cs="Arial"/>
          <w:i/>
        </w:rPr>
        <w:t>Test</w:t>
      </w:r>
      <w:r w:rsidRPr="001A6726">
        <w:rPr>
          <w:rFonts w:eastAsia="Times New Roman" w:cs="Arial"/>
        </w:rPr>
        <w:t xml:space="preserve"> will cause the Commission to engage in a more complicated and less predictable process than what it currently performs under the existing case-by-case review.</w:t>
      </w:r>
      <w:r w:rsidRPr="002F31E6">
        <w:rPr>
          <w:rFonts w:eastAsia="Times New Roman" w:cs="Arial"/>
        </w:rPr>
        <w:t xml:space="preserve">  </w:t>
      </w:r>
    </w:p>
    <w:p w14:paraId="7B9A08A1" w14:textId="137AA6F4" w:rsidR="00A3217E" w:rsidRDefault="00A3217E" w:rsidP="00A3217E">
      <w:pPr>
        <w:spacing w:line="480" w:lineRule="auto"/>
        <w:jc w:val="both"/>
        <w:rPr>
          <w:rFonts w:eastAsia="Times New Roman" w:cs="Arial"/>
        </w:rPr>
      </w:pPr>
      <w:r w:rsidRPr="002C4FAC">
        <w:rPr>
          <w:rFonts w:eastAsia="Times New Roman" w:cs="Arial"/>
        </w:rPr>
        <w:tab/>
        <w:t>To be constitutional, a rebuttable presumption must be based on a rational nexus between the facts proven an</w:t>
      </w:r>
      <w:r w:rsidR="00C16124">
        <w:rPr>
          <w:rFonts w:eastAsia="Times New Roman" w:cs="Arial"/>
        </w:rPr>
        <w:t xml:space="preserve">d the fact to be presumed.  </w:t>
      </w:r>
      <w:r w:rsidR="0023776E">
        <w:rPr>
          <w:rFonts w:eastAsia="Times New Roman" w:cs="Arial"/>
        </w:rPr>
        <w:t>The</w:t>
      </w:r>
      <w:r w:rsidR="00D0794F">
        <w:rPr>
          <w:rFonts w:eastAsia="Times New Roman" w:cs="Arial"/>
        </w:rPr>
        <w:t xml:space="preserve"> relative price of service </w:t>
      </w:r>
      <w:r w:rsidRPr="002C4FAC">
        <w:rPr>
          <w:rFonts w:eastAsia="Times New Roman" w:cs="Arial"/>
        </w:rPr>
        <w:t xml:space="preserve">has no rational nexus to the conclusion that an entity is operating as a </w:t>
      </w:r>
      <w:r w:rsidR="00C16124" w:rsidRPr="002C4FAC">
        <w:rPr>
          <w:rFonts w:eastAsia="Times New Roman" w:cs="Arial"/>
        </w:rPr>
        <w:t>utility</w:t>
      </w:r>
      <w:r w:rsidRPr="002C4FAC">
        <w:rPr>
          <w:rFonts w:eastAsia="Times New Roman" w:cs="Arial"/>
        </w:rPr>
        <w:t xml:space="preserve">.  Accordingly, </w:t>
      </w:r>
      <w:r w:rsidR="00F43989">
        <w:rPr>
          <w:rFonts w:eastAsia="Times New Roman" w:cs="Arial"/>
        </w:rPr>
        <w:t xml:space="preserve">the </w:t>
      </w:r>
      <w:r w:rsidR="00F43989">
        <w:rPr>
          <w:rFonts w:eastAsia="Times New Roman" w:cs="Arial"/>
        </w:rPr>
        <w:lastRenderedPageBreak/>
        <w:t>Commission</w:t>
      </w:r>
      <w:r w:rsidR="0023776E">
        <w:rPr>
          <w:rFonts w:eastAsia="Times New Roman" w:cs="Arial"/>
        </w:rPr>
        <w:t xml:space="preserve">’s attempt to establish a threshold percentage should not advance.  Rather, as argued elsewhere, the Commission should continue to decide cases based on all the facts and circumstances without reference to </w:t>
      </w:r>
      <w:r w:rsidR="005D3727">
        <w:rPr>
          <w:rFonts w:eastAsia="Times New Roman" w:cs="Arial"/>
        </w:rPr>
        <w:t>service pricing</w:t>
      </w:r>
      <w:r w:rsidR="00F43989">
        <w:rPr>
          <w:rFonts w:eastAsia="Times New Roman" w:cs="Arial"/>
        </w:rPr>
        <w:t>.</w:t>
      </w:r>
      <w:r w:rsidR="00F042AF">
        <w:rPr>
          <w:rFonts w:eastAsia="Times New Roman" w:cs="Arial"/>
        </w:rPr>
        <w:t xml:space="preserve">  </w:t>
      </w:r>
    </w:p>
    <w:p w14:paraId="5F4A0DDC" w14:textId="4CA9BE55" w:rsidR="001177CD" w:rsidRPr="008736E7" w:rsidRDefault="00F042AF" w:rsidP="005D3727">
      <w:pPr>
        <w:pStyle w:val="Heading2"/>
      </w:pPr>
      <w:bookmarkStart w:id="11" w:name="_Toc472078182"/>
      <w:r w:rsidRPr="008736E7">
        <w:t xml:space="preserve">There is no </w:t>
      </w:r>
      <w:r w:rsidR="00000E32">
        <w:t>reasoned basis to establish a percentage threshold</w:t>
      </w:r>
      <w:bookmarkEnd w:id="11"/>
      <w:r w:rsidRPr="008736E7">
        <w:t xml:space="preserve"> </w:t>
      </w:r>
    </w:p>
    <w:p w14:paraId="06D78802" w14:textId="6DD73C15" w:rsidR="002B1E94" w:rsidRDefault="001177CD" w:rsidP="00CF456F">
      <w:pPr>
        <w:spacing w:line="480" w:lineRule="auto"/>
        <w:jc w:val="both"/>
      </w:pPr>
      <w:r>
        <w:tab/>
      </w:r>
      <w:r w:rsidR="00BF13CE">
        <w:t>As discussed above, the question presented</w:t>
      </w:r>
      <w:r w:rsidR="0027628A">
        <w:t xml:space="preserve"> for comments</w:t>
      </w:r>
      <w:r w:rsidR="00BF13CE">
        <w:t xml:space="preserve"> by t</w:t>
      </w:r>
      <w:r w:rsidR="0027628A">
        <w:t>he Commission misses the mark</w:t>
      </w:r>
      <w:r w:rsidR="00A819FB">
        <w:t>: the Commission</w:t>
      </w:r>
      <w:r w:rsidR="0027628A">
        <w:t xml:space="preserve"> must first determine if an entity is functionall</w:t>
      </w:r>
      <w:r w:rsidR="00B0556E">
        <w:t xml:space="preserve">y operating as a public utility.  </w:t>
      </w:r>
      <w:r w:rsidR="004E545F">
        <w:t>If the entity is a public utility subject to Commission regulation, then the Commission must determine if the entity is providing a service that is price regulated or that i</w:t>
      </w:r>
      <w:r w:rsidR="00FE03D5">
        <w:t xml:space="preserve">s subject to market-based </w:t>
      </w:r>
      <w:r w:rsidR="00F809B0">
        <w:t>pricing</w:t>
      </w:r>
      <w:r w:rsidR="004E545F">
        <w:t>.</w:t>
      </w:r>
      <w:r w:rsidR="00FE03D5">
        <w:t xml:space="preserve">  </w:t>
      </w:r>
      <w:r w:rsidR="00FE03D5" w:rsidRPr="00C009D7">
        <w:rPr>
          <w:i/>
        </w:rPr>
        <w:t>See, e.g.,</w:t>
      </w:r>
      <w:r w:rsidR="00FE03D5">
        <w:t xml:space="preserve"> R.C. 4928.05(A) (Commission regulation to apply price regulation to electric companies is limited).</w:t>
      </w:r>
      <w:r w:rsidR="004E545F">
        <w:t xml:space="preserve">  Only if the service is provided by a public utility and is subject to price regulation may the Commission then apply the statutory </w:t>
      </w:r>
      <w:r w:rsidR="005401A1">
        <w:t>requirements</w:t>
      </w:r>
      <w:r w:rsidR="004E545F">
        <w:t xml:space="preserve"> for price regulation</w:t>
      </w:r>
      <w:r w:rsidR="0097187F">
        <w:t xml:space="preserve"> to determine if the prices being charged are not lawful and reasonable</w:t>
      </w:r>
      <w:r w:rsidR="004E545F">
        <w:t xml:space="preserve">.  </w:t>
      </w:r>
      <w:proofErr w:type="gramStart"/>
      <w:r w:rsidR="0097187F">
        <w:t>R.C. 4905.26.</w:t>
      </w:r>
      <w:proofErr w:type="gramEnd"/>
      <w:r w:rsidR="0097187F">
        <w:t xml:space="preserve">  </w:t>
      </w:r>
      <w:r w:rsidR="00167471">
        <w:t xml:space="preserve">Whether the Commission </w:t>
      </w:r>
      <w:r w:rsidR="002E48F7">
        <w:t xml:space="preserve">adopts </w:t>
      </w:r>
      <w:r w:rsidR="00167471">
        <w:t>.1%, 5%, or 100%</w:t>
      </w:r>
      <w:r w:rsidR="002E48F7">
        <w:t xml:space="preserve"> as the threshold percentage</w:t>
      </w:r>
      <w:r w:rsidR="00167471">
        <w:t xml:space="preserve">, the percentage is not reasonably connected to the determination whether the service is ancillary or the broader question whether the entity functions as a public utility.  </w:t>
      </w:r>
    </w:p>
    <w:p w14:paraId="7969974D" w14:textId="77777777" w:rsidR="00D77318" w:rsidRPr="00F809B0" w:rsidRDefault="00D77318" w:rsidP="005D3727">
      <w:pPr>
        <w:pStyle w:val="Heading1"/>
      </w:pPr>
      <w:bookmarkStart w:id="12" w:name="_Toc472078183"/>
      <w:r w:rsidRPr="00F809B0">
        <w:t>Conclusion</w:t>
      </w:r>
      <w:bookmarkEnd w:id="12"/>
    </w:p>
    <w:p w14:paraId="62DE4D0C" w14:textId="4D631514" w:rsidR="00D77318" w:rsidRDefault="00D77318" w:rsidP="000C0625">
      <w:pPr>
        <w:spacing w:line="480" w:lineRule="auto"/>
        <w:jc w:val="both"/>
      </w:pPr>
      <w:r>
        <w:tab/>
      </w:r>
      <w:r w:rsidR="008E41D0">
        <w:t>The request for c</w:t>
      </w:r>
      <w:r w:rsidR="00F640F5">
        <w:t>omments</w:t>
      </w:r>
      <w:r w:rsidR="008E41D0">
        <w:t xml:space="preserve"> </w:t>
      </w:r>
      <w:r w:rsidR="00BC363F">
        <w:t xml:space="preserve">on the threshold percentage </w:t>
      </w:r>
      <w:r w:rsidR="008E41D0">
        <w:t xml:space="preserve">is proceeding from a mistaken premise. </w:t>
      </w:r>
      <w:r w:rsidR="00F640F5">
        <w:t xml:space="preserve"> </w:t>
      </w:r>
      <w:r w:rsidR="009873D8">
        <w:t xml:space="preserve">The premise is that the </w:t>
      </w:r>
      <w:r w:rsidR="00CA4146">
        <w:t xml:space="preserve">relative </w:t>
      </w:r>
      <w:r w:rsidR="009873D8">
        <w:t xml:space="preserve">price of a service in some way answers the question whether </w:t>
      </w:r>
      <w:r w:rsidR="00AB24EB">
        <w:t>the provision of the service is ancillary to the main business of the entity</w:t>
      </w:r>
      <w:r w:rsidR="00CF5F33">
        <w:t xml:space="preserve">.  </w:t>
      </w:r>
      <w:r w:rsidR="002263AA">
        <w:t>P</w:t>
      </w:r>
      <w:r w:rsidR="005B2285">
        <w:t>rice</w:t>
      </w:r>
      <w:r w:rsidR="00CF5F33">
        <w:t xml:space="preserve">, however, is not a </w:t>
      </w:r>
      <w:r w:rsidR="006D6D28">
        <w:t>legitimate basis for asserting jurisdiction</w:t>
      </w:r>
      <w:r w:rsidR="00CF5F33">
        <w:t xml:space="preserve">, as the Commission </w:t>
      </w:r>
      <w:r w:rsidR="003A1E04">
        <w:t xml:space="preserve">understood </w:t>
      </w:r>
      <w:r w:rsidR="00CF5F33">
        <w:t xml:space="preserve">until </w:t>
      </w:r>
      <w:r w:rsidR="005B2285">
        <w:t>the Finding and Order in this case</w:t>
      </w:r>
      <w:r w:rsidR="00CF5F33">
        <w:t>.</w:t>
      </w:r>
      <w:r w:rsidR="00F640F5">
        <w:t xml:space="preserve">  </w:t>
      </w:r>
      <w:r w:rsidR="0096389A">
        <w:t xml:space="preserve">Rather than corrupt a workable </w:t>
      </w:r>
      <w:r w:rsidR="00CA4146">
        <w:t xml:space="preserve">test for assessing whether an entity is a public utility </w:t>
      </w:r>
      <w:r w:rsidR="0096389A">
        <w:t xml:space="preserve">with a price test, the </w:t>
      </w:r>
      <w:r w:rsidR="0096389A">
        <w:lastRenderedPageBreak/>
        <w:t xml:space="preserve">Commission should address whether an entity’s provision of utility service is ancillary by reference to the factors it has historically used.  </w:t>
      </w:r>
    </w:p>
    <w:p w14:paraId="053EAABE" w14:textId="77777777" w:rsidR="00EE4DAE" w:rsidRDefault="00EE4DAE" w:rsidP="00EE4DAE">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Respectfully submitted,</w:t>
      </w:r>
    </w:p>
    <w:p w14:paraId="5028E548" w14:textId="77777777" w:rsidR="00EE4DAE" w:rsidRDefault="00EE4DAE" w:rsidP="00EE4DAE">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rPr>
          <w:rFonts w:eastAsia="Times New Roman" w:cs="Arial"/>
          <w:szCs w:val="20"/>
        </w:rPr>
      </w:pPr>
    </w:p>
    <w:p w14:paraId="4BF0E614" w14:textId="5C835139" w:rsidR="00EE4DAE" w:rsidRDefault="00EE4DAE" w:rsidP="006822B5">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9360"/>
          <w:tab w:val="left" w:pos="10992"/>
          <w:tab w:val="left" w:pos="11908"/>
          <w:tab w:val="left" w:pos="12824"/>
          <w:tab w:val="left" w:pos="13740"/>
          <w:tab w:val="left" w:pos="14656"/>
        </w:tabs>
        <w:ind w:left="0"/>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u w:val="single"/>
        </w:rPr>
        <w:t xml:space="preserve">/s/ </w:t>
      </w:r>
      <w:r w:rsidRPr="007568F8">
        <w:rPr>
          <w:rFonts w:eastAsia="Times New Roman" w:cs="Arial"/>
          <w:i/>
          <w:szCs w:val="20"/>
          <w:u w:val="single"/>
        </w:rPr>
        <w:t>Frank P. Darr</w:t>
      </w:r>
      <w:r>
        <w:rPr>
          <w:rFonts w:eastAsia="Times New Roman" w:cs="Arial"/>
          <w:szCs w:val="20"/>
          <w:u w:val="single"/>
        </w:rPr>
        <w:tab/>
      </w:r>
      <w:r>
        <w:rPr>
          <w:rFonts w:eastAsia="Times New Roman" w:cs="Arial"/>
          <w:szCs w:val="20"/>
          <w:u w:val="single"/>
        </w:rPr>
        <w:tab/>
      </w:r>
      <w:r>
        <w:rPr>
          <w:rFonts w:eastAsia="Times New Roman" w:cs="Arial"/>
          <w:szCs w:val="20"/>
          <w:u w:val="single"/>
        </w:rPr>
        <w:tab/>
      </w:r>
      <w:r>
        <w:rPr>
          <w:rFonts w:eastAsia="Times New Roman" w:cs="Arial"/>
          <w:szCs w:val="20"/>
          <w:u w:val="single"/>
        </w:rPr>
        <w:tab/>
      </w:r>
      <w:r w:rsidR="006822B5">
        <w:rPr>
          <w:rFonts w:eastAsia="Times New Roman" w:cs="Arial"/>
          <w:szCs w:val="20"/>
          <w:u w:val="single"/>
        </w:rPr>
        <w:tab/>
      </w:r>
    </w:p>
    <w:p w14:paraId="73B76ED2" w14:textId="77777777" w:rsidR="00EE4DAE" w:rsidRDefault="00EE4DAE" w:rsidP="00EE4DAE">
      <w:pPr>
        <w:widowControl w:val="0"/>
        <w:ind w:left="4320"/>
        <w:rPr>
          <w:rFonts w:eastAsia="Calibri" w:cs="Arial"/>
          <w:bCs/>
        </w:rPr>
      </w:pPr>
      <w:r>
        <w:rPr>
          <w:rFonts w:eastAsia="Calibri" w:cs="Arial"/>
          <w:bCs/>
        </w:rPr>
        <w:t>Frank P. Darr (Reg. No. 0025469)</w:t>
      </w:r>
    </w:p>
    <w:p w14:paraId="5F235B29" w14:textId="77777777" w:rsidR="00EE4DAE" w:rsidRDefault="00EE4DAE" w:rsidP="00EE4DAE">
      <w:pPr>
        <w:widowControl w:val="0"/>
        <w:ind w:left="4320"/>
        <w:rPr>
          <w:rFonts w:eastAsia="Calibri" w:cs="Arial"/>
          <w:b/>
          <w:bCs/>
        </w:rPr>
      </w:pPr>
      <w:r>
        <w:rPr>
          <w:rFonts w:eastAsia="Calibri" w:cs="Arial"/>
          <w:bCs/>
        </w:rPr>
        <w:t>Matthew R. Pritchard (Reg. No. 0088070)</w:t>
      </w:r>
    </w:p>
    <w:p w14:paraId="6A6D0AE2" w14:textId="77777777" w:rsidR="00EE4DAE" w:rsidRDefault="00EE4DAE" w:rsidP="00EE4DAE">
      <w:pPr>
        <w:widowControl w:val="0"/>
        <w:ind w:left="4320"/>
        <w:rPr>
          <w:rFonts w:eastAsia="Calibri" w:cs="Arial"/>
          <w:b/>
          <w:bCs/>
          <w:smallCaps/>
        </w:rPr>
      </w:pPr>
      <w:r>
        <w:rPr>
          <w:rFonts w:eastAsia="Calibri" w:cs="Arial"/>
          <w:bCs/>
          <w:smallCaps/>
        </w:rPr>
        <w:t>McNees Wallace &amp; Nurick LLC</w:t>
      </w:r>
    </w:p>
    <w:p w14:paraId="74477BE1" w14:textId="77777777" w:rsidR="00EE4DAE" w:rsidRDefault="00EE4DAE" w:rsidP="00EE4DAE">
      <w:pPr>
        <w:widowControl w:val="0"/>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756869A3" w14:textId="77777777" w:rsidR="00EE4DAE" w:rsidRDefault="00EE4DAE" w:rsidP="00EE4DAE">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3B4B175E" w14:textId="77777777" w:rsidR="00EE4DAE" w:rsidRDefault="00EE4DAE" w:rsidP="00EE4DA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4ACC53D4" w14:textId="77777777" w:rsidR="00EE4DAE" w:rsidRDefault="00EE4DAE" w:rsidP="00EE4DAE">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1BB8CE53" w14:textId="77777777" w:rsidR="00EE4DAE" w:rsidRDefault="00EE4DAE" w:rsidP="00EE4DAE">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1BD0059F" w14:textId="77777777" w:rsidR="00EE4DAE" w:rsidRDefault="00EE4DAE" w:rsidP="00FA507B">
      <w:pPr>
        <w:ind w:left="4320" w:hanging="4320"/>
        <w:rPr>
          <w:rFonts w:cs="Arial"/>
          <w:b/>
          <w:smallCaps/>
          <w:color w:val="000000"/>
        </w:rPr>
      </w:pPr>
      <w:r>
        <w:rPr>
          <w:rFonts w:cs="Arial"/>
          <w:b/>
          <w:smallCaps/>
          <w:color w:val="000000"/>
        </w:rPr>
        <w:tab/>
        <w:t>On Behalf of Industrial Energy Users-Ohio</w:t>
      </w:r>
    </w:p>
    <w:p w14:paraId="4C7029D5" w14:textId="77777777" w:rsidR="00E74885" w:rsidRDefault="00E74885" w:rsidP="00FA507B">
      <w:pPr>
        <w:ind w:left="4320" w:hanging="4320"/>
        <w:rPr>
          <w:rFonts w:cs="Arial"/>
          <w:b/>
          <w:smallCaps/>
          <w:color w:val="000000"/>
        </w:rPr>
      </w:pPr>
    </w:p>
    <w:p w14:paraId="1820497D" w14:textId="467FAAD6" w:rsidR="00E74885" w:rsidRPr="00A83A69" w:rsidRDefault="00901901" w:rsidP="00EF19ED">
      <w:pPr>
        <w:tabs>
          <w:tab w:val="left" w:pos="-1440"/>
          <w:tab w:val="left" w:pos="-720"/>
          <w:tab w:val="left" w:pos="4779"/>
          <w:tab w:val="left" w:pos="7920"/>
        </w:tabs>
        <w:ind w:left="4320"/>
        <w:rPr>
          <w:u w:val="single"/>
        </w:rPr>
      </w:pPr>
      <w:r w:rsidRPr="00A83A69">
        <w:rPr>
          <w:u w:val="single"/>
        </w:rPr>
        <w:t xml:space="preserve">/s/ </w:t>
      </w:r>
      <w:r w:rsidRPr="00A83A69">
        <w:rPr>
          <w:i/>
          <w:u w:val="single"/>
        </w:rPr>
        <w:t>Richard L. Sites</w:t>
      </w:r>
      <w:r w:rsidR="00A83A69">
        <w:rPr>
          <w:i/>
          <w:u w:val="single"/>
        </w:rPr>
        <w:tab/>
      </w:r>
      <w:r w:rsidR="00A83A69">
        <w:rPr>
          <w:i/>
          <w:u w:val="single"/>
        </w:rPr>
        <w:tab/>
      </w:r>
      <w:r w:rsidR="00A83A69">
        <w:rPr>
          <w:i/>
          <w:u w:val="single"/>
        </w:rPr>
        <w:tab/>
      </w:r>
    </w:p>
    <w:p w14:paraId="29B004D2" w14:textId="77777777" w:rsidR="00E74885" w:rsidRDefault="00E74885" w:rsidP="00EF19ED">
      <w:pPr>
        <w:tabs>
          <w:tab w:val="left" w:pos="-1440"/>
          <w:tab w:val="left" w:pos="-720"/>
          <w:tab w:val="left" w:pos="4779"/>
          <w:tab w:val="left" w:pos="7920"/>
        </w:tabs>
        <w:ind w:left="4320"/>
      </w:pPr>
      <w:r>
        <w:t>Richard L. Sites</w:t>
      </w:r>
    </w:p>
    <w:p w14:paraId="60B5BFE8" w14:textId="77777777" w:rsidR="00E74885" w:rsidRDefault="00E74885" w:rsidP="00EF19ED">
      <w:pPr>
        <w:tabs>
          <w:tab w:val="left" w:pos="4779"/>
          <w:tab w:val="left" w:pos="7920"/>
        </w:tabs>
        <w:autoSpaceDE w:val="0"/>
        <w:autoSpaceDN w:val="0"/>
        <w:adjustRightInd w:val="0"/>
        <w:ind w:left="4320"/>
      </w:pPr>
      <w:r>
        <w:t>Regulatory Counsel</w:t>
      </w:r>
    </w:p>
    <w:p w14:paraId="37901C65" w14:textId="77777777" w:rsidR="00E74885" w:rsidRDefault="00E74885" w:rsidP="00EF19ED">
      <w:pPr>
        <w:tabs>
          <w:tab w:val="left" w:pos="4779"/>
          <w:tab w:val="left" w:pos="7920"/>
        </w:tabs>
        <w:autoSpaceDE w:val="0"/>
        <w:autoSpaceDN w:val="0"/>
        <w:adjustRightInd w:val="0"/>
        <w:ind w:left="4320"/>
      </w:pPr>
      <w:r>
        <w:t>OHIO HOSPITAL ASSOCIATION</w:t>
      </w:r>
    </w:p>
    <w:p w14:paraId="2E9E24DC" w14:textId="77777777" w:rsidR="00E74885" w:rsidRDefault="00E74885" w:rsidP="00EF19ED">
      <w:pPr>
        <w:tabs>
          <w:tab w:val="left" w:pos="-1440"/>
          <w:tab w:val="left" w:pos="-720"/>
          <w:tab w:val="left" w:pos="4779"/>
          <w:tab w:val="left" w:pos="7920"/>
        </w:tabs>
        <w:ind w:left="4320"/>
      </w:pPr>
      <w:r>
        <w:t>155 East Broad Street, 3</w:t>
      </w:r>
      <w:r>
        <w:rPr>
          <w:vertAlign w:val="superscript"/>
        </w:rPr>
        <w:t>rd</w:t>
      </w:r>
      <w:r>
        <w:t xml:space="preserve"> Floor</w:t>
      </w:r>
    </w:p>
    <w:p w14:paraId="03F8E16B" w14:textId="77777777" w:rsidR="00E74885" w:rsidRDefault="00E74885" w:rsidP="00EF19ED">
      <w:pPr>
        <w:tabs>
          <w:tab w:val="left" w:pos="-1440"/>
          <w:tab w:val="left" w:pos="-720"/>
          <w:tab w:val="left" w:pos="4779"/>
          <w:tab w:val="left" w:pos="7920"/>
        </w:tabs>
        <w:ind w:left="4320"/>
      </w:pPr>
      <w:r>
        <w:t>Columbus, OH 43215-3620</w:t>
      </w:r>
    </w:p>
    <w:p w14:paraId="0601AEF1" w14:textId="5FB7579F" w:rsidR="00E74885" w:rsidRPr="008B55A8" w:rsidRDefault="0035660C" w:rsidP="00EF19ED">
      <w:pPr>
        <w:ind w:left="5040" w:hanging="720"/>
      </w:pPr>
      <w:hyperlink r:id="rId19" w:history="1">
        <w:r w:rsidR="00E74885" w:rsidRPr="008B55A8">
          <w:rPr>
            <w:rStyle w:val="Hyperlink"/>
            <w:color w:val="auto"/>
            <w:u w:val="none"/>
          </w:rPr>
          <w:t>rick.sites@ohiohospitals.org</w:t>
        </w:r>
      </w:hyperlink>
    </w:p>
    <w:p w14:paraId="751BE389" w14:textId="77777777" w:rsidR="00E74885" w:rsidRDefault="00E74885" w:rsidP="00EF19ED">
      <w:pPr>
        <w:ind w:left="5040" w:hanging="720"/>
      </w:pPr>
    </w:p>
    <w:p w14:paraId="65C1A7B5" w14:textId="77777777" w:rsidR="008B55A8" w:rsidRDefault="00922ECA" w:rsidP="00EF19ED">
      <w:pPr>
        <w:ind w:left="5040" w:hanging="720"/>
        <w:rPr>
          <w:rFonts w:ascii="Arial Bold" w:hAnsi="Arial Bold"/>
          <w:b/>
          <w:smallCaps/>
        </w:rPr>
      </w:pPr>
      <w:r w:rsidRPr="00EF19ED">
        <w:rPr>
          <w:rFonts w:ascii="Arial Bold" w:hAnsi="Arial Bold"/>
          <w:b/>
          <w:smallCaps/>
        </w:rPr>
        <w:t>On Behalf of The Ohio Hospital Association</w:t>
      </w:r>
    </w:p>
    <w:p w14:paraId="4E5CD851" w14:textId="77777777" w:rsidR="00710033" w:rsidRDefault="00710033" w:rsidP="00EF19ED">
      <w:pPr>
        <w:ind w:left="5040" w:hanging="720"/>
        <w:rPr>
          <w:rFonts w:ascii="Arial Bold" w:hAnsi="Arial Bold"/>
          <w:b/>
          <w:smallCaps/>
        </w:rPr>
      </w:pPr>
    </w:p>
    <w:p w14:paraId="194D38E3" w14:textId="42D4B309" w:rsidR="00382ECD" w:rsidRPr="00382ECD" w:rsidRDefault="00382ECD" w:rsidP="00382ECD">
      <w:pPr>
        <w:tabs>
          <w:tab w:val="left" w:pos="4320"/>
        </w:tabs>
        <w:rPr>
          <w:rFonts w:cs="Arial"/>
          <w:i/>
          <w:u w:val="single"/>
        </w:rPr>
      </w:pPr>
      <w:r>
        <w:rPr>
          <w:rFonts w:cs="Arial"/>
        </w:rPr>
        <w:tab/>
      </w:r>
      <w:r w:rsidR="006822B5">
        <w:rPr>
          <w:rFonts w:cs="Arial"/>
          <w:i/>
          <w:u w:val="single"/>
        </w:rPr>
        <w:t xml:space="preserve">/s/ Robert A. </w:t>
      </w:r>
      <w:proofErr w:type="spellStart"/>
      <w:r w:rsidR="006822B5">
        <w:rPr>
          <w:rFonts w:cs="Arial"/>
          <w:i/>
          <w:u w:val="single"/>
        </w:rPr>
        <w:t>Brundrett</w:t>
      </w:r>
      <w:proofErr w:type="spellEnd"/>
      <w:r w:rsidR="006822B5">
        <w:rPr>
          <w:rFonts w:cs="Arial"/>
          <w:i/>
          <w:u w:val="single"/>
        </w:rPr>
        <w:tab/>
      </w:r>
      <w:r w:rsidR="006822B5">
        <w:rPr>
          <w:rFonts w:cs="Arial"/>
          <w:i/>
          <w:u w:val="single"/>
        </w:rPr>
        <w:tab/>
      </w:r>
      <w:r w:rsidR="006822B5">
        <w:rPr>
          <w:rFonts w:cs="Arial"/>
          <w:i/>
          <w:u w:val="single"/>
        </w:rPr>
        <w:tab/>
      </w:r>
      <w:r w:rsidR="006822B5">
        <w:rPr>
          <w:rFonts w:cs="Arial"/>
          <w:i/>
          <w:u w:val="single"/>
        </w:rPr>
        <w:tab/>
      </w:r>
    </w:p>
    <w:p w14:paraId="0968D574" w14:textId="11410E41" w:rsidR="00382ECD" w:rsidRPr="00E161EE" w:rsidRDefault="00382ECD" w:rsidP="00382ECD">
      <w:pPr>
        <w:tabs>
          <w:tab w:val="left" w:pos="4320"/>
        </w:tabs>
        <w:rPr>
          <w:rFonts w:cs="Arial"/>
        </w:rPr>
      </w:pPr>
      <w:r>
        <w:rPr>
          <w:rFonts w:cs="Arial"/>
        </w:rPr>
        <w:tab/>
      </w:r>
      <w:r w:rsidRPr="00E161EE">
        <w:rPr>
          <w:rFonts w:cs="Arial"/>
        </w:rPr>
        <w:t xml:space="preserve">Robert A. </w:t>
      </w:r>
      <w:proofErr w:type="spellStart"/>
      <w:r w:rsidRPr="00E161EE">
        <w:rPr>
          <w:rFonts w:cs="Arial"/>
        </w:rPr>
        <w:t>Brundrett</w:t>
      </w:r>
      <w:proofErr w:type="spellEnd"/>
      <w:r w:rsidRPr="00E161EE">
        <w:rPr>
          <w:rFonts w:cs="Arial"/>
        </w:rPr>
        <w:t xml:space="preserve"> (0086538)</w:t>
      </w:r>
    </w:p>
    <w:p w14:paraId="15D18814" w14:textId="77777777" w:rsidR="00382ECD" w:rsidRPr="00E161EE" w:rsidRDefault="00382ECD" w:rsidP="00382ECD">
      <w:pPr>
        <w:tabs>
          <w:tab w:val="left" w:pos="4320"/>
        </w:tabs>
        <w:rPr>
          <w:rFonts w:cs="Arial"/>
        </w:rPr>
      </w:pPr>
      <w:r w:rsidRPr="00E161EE">
        <w:rPr>
          <w:rFonts w:cs="Arial"/>
        </w:rPr>
        <w:tab/>
        <w:t xml:space="preserve">OMA </w:t>
      </w:r>
      <w:r w:rsidRPr="00F97C25">
        <w:rPr>
          <w:rFonts w:cs="Arial"/>
          <w:smallCaps/>
        </w:rPr>
        <w:t>Energy Group</w:t>
      </w:r>
    </w:p>
    <w:p w14:paraId="225E1EF1" w14:textId="77777777" w:rsidR="00382ECD" w:rsidRPr="00E161EE" w:rsidRDefault="00382ECD" w:rsidP="00382ECD">
      <w:pPr>
        <w:tabs>
          <w:tab w:val="left" w:pos="4320"/>
        </w:tabs>
        <w:rPr>
          <w:rFonts w:cs="Arial"/>
        </w:rPr>
      </w:pPr>
      <w:r w:rsidRPr="00E161EE">
        <w:rPr>
          <w:rFonts w:cs="Arial"/>
        </w:rPr>
        <w:tab/>
        <w:t>33 N. High St., 6</w:t>
      </w:r>
      <w:r w:rsidRPr="00E161EE">
        <w:rPr>
          <w:rFonts w:cs="Arial"/>
          <w:vertAlign w:val="superscript"/>
        </w:rPr>
        <w:t>th</w:t>
      </w:r>
      <w:r w:rsidRPr="00E161EE">
        <w:rPr>
          <w:rFonts w:cs="Arial"/>
        </w:rPr>
        <w:t xml:space="preserve"> Floor</w:t>
      </w:r>
    </w:p>
    <w:p w14:paraId="0FD5B575" w14:textId="77777777" w:rsidR="00382ECD" w:rsidRPr="00E161EE" w:rsidRDefault="00382ECD" w:rsidP="00382ECD">
      <w:pPr>
        <w:tabs>
          <w:tab w:val="left" w:pos="4320"/>
        </w:tabs>
        <w:rPr>
          <w:rFonts w:cs="Arial"/>
        </w:rPr>
      </w:pPr>
      <w:r w:rsidRPr="00E161EE">
        <w:rPr>
          <w:rFonts w:cs="Arial"/>
        </w:rPr>
        <w:tab/>
        <w:t>Columbus, OH 43215</w:t>
      </w:r>
    </w:p>
    <w:p w14:paraId="149EFBEF" w14:textId="77777777" w:rsidR="00382ECD" w:rsidRPr="00E161EE" w:rsidRDefault="00382ECD" w:rsidP="00382ECD">
      <w:pPr>
        <w:tabs>
          <w:tab w:val="left" w:pos="4320"/>
        </w:tabs>
        <w:rPr>
          <w:rFonts w:cs="Arial"/>
        </w:rPr>
      </w:pPr>
      <w:r w:rsidRPr="00E161EE">
        <w:rPr>
          <w:rFonts w:cs="Arial"/>
        </w:rPr>
        <w:tab/>
        <w:t>Telephone: (614) 224-5111</w:t>
      </w:r>
    </w:p>
    <w:p w14:paraId="3233BCAB" w14:textId="77777777" w:rsidR="00382ECD" w:rsidRPr="00E161EE" w:rsidRDefault="00382ECD" w:rsidP="00382ECD">
      <w:pPr>
        <w:tabs>
          <w:tab w:val="left" w:pos="4320"/>
        </w:tabs>
        <w:rPr>
          <w:rFonts w:cs="Arial"/>
        </w:rPr>
      </w:pPr>
      <w:r w:rsidRPr="00E161EE">
        <w:rPr>
          <w:rFonts w:cs="Arial"/>
        </w:rPr>
        <w:tab/>
        <w:t>Fax:  (614) 469-4653</w:t>
      </w:r>
    </w:p>
    <w:p w14:paraId="05D9B27C" w14:textId="77777777" w:rsidR="00382ECD" w:rsidRDefault="00382ECD" w:rsidP="00382ECD">
      <w:pPr>
        <w:tabs>
          <w:tab w:val="left" w:pos="4320"/>
        </w:tabs>
        <w:rPr>
          <w:rFonts w:cs="Arial"/>
        </w:rPr>
      </w:pPr>
      <w:r w:rsidRPr="00E161EE">
        <w:rPr>
          <w:rFonts w:cs="Arial"/>
        </w:rPr>
        <w:tab/>
      </w:r>
      <w:hyperlink r:id="rId20" w:history="1">
        <w:r w:rsidRPr="00B17E87">
          <w:rPr>
            <w:rStyle w:val="Hyperlink"/>
            <w:color w:val="auto"/>
          </w:rPr>
          <w:t>rbrundrett@ohiomfg.com</w:t>
        </w:r>
      </w:hyperlink>
    </w:p>
    <w:p w14:paraId="0BA0E1AB" w14:textId="77777777" w:rsidR="00382ECD" w:rsidRDefault="00382ECD" w:rsidP="00382ECD">
      <w:pPr>
        <w:tabs>
          <w:tab w:val="left" w:pos="4320"/>
        </w:tabs>
        <w:rPr>
          <w:rFonts w:cs="Arial"/>
        </w:rPr>
      </w:pPr>
    </w:p>
    <w:p w14:paraId="643EA470" w14:textId="142A2A99" w:rsidR="00710033" w:rsidRPr="00382ECD" w:rsidRDefault="00382ECD" w:rsidP="00382ECD">
      <w:pPr>
        <w:ind w:left="4320"/>
        <w:rPr>
          <w:rFonts w:ascii="Arial Bold" w:hAnsi="Arial Bold"/>
          <w:smallCaps/>
        </w:rPr>
      </w:pPr>
      <w:r w:rsidRPr="00547F79">
        <w:rPr>
          <w:rFonts w:ascii="Arial Bold" w:hAnsi="Arial Bold" w:cs="Arial"/>
          <w:b/>
          <w:smallCaps/>
        </w:rPr>
        <w:t xml:space="preserve">On Behalf of </w:t>
      </w:r>
      <w:r>
        <w:rPr>
          <w:rFonts w:ascii="Arial Bold" w:hAnsi="Arial Bold" w:cs="Arial"/>
          <w:b/>
          <w:smallCaps/>
        </w:rPr>
        <w:t>Ohio Manufacturers’ Association</w:t>
      </w:r>
      <w:r w:rsidRPr="00547F79">
        <w:rPr>
          <w:rFonts w:ascii="Arial Bold" w:hAnsi="Arial Bold" w:cs="Arial"/>
          <w:b/>
          <w:smallCaps/>
        </w:rPr>
        <w:t xml:space="preserve"> Energy Group</w:t>
      </w:r>
    </w:p>
    <w:p w14:paraId="5237552C" w14:textId="77777777" w:rsidR="00710033" w:rsidRDefault="00710033" w:rsidP="00EF19ED">
      <w:pPr>
        <w:ind w:left="5040" w:hanging="720"/>
        <w:rPr>
          <w:rFonts w:ascii="Arial Bold" w:hAnsi="Arial Bold"/>
          <w:b/>
          <w:smallCaps/>
        </w:rPr>
      </w:pPr>
    </w:p>
    <w:p w14:paraId="3861578F" w14:textId="77777777" w:rsidR="00382ECD" w:rsidRDefault="00382ECD" w:rsidP="00EF19ED">
      <w:pPr>
        <w:ind w:left="5040" w:hanging="720"/>
        <w:rPr>
          <w:rFonts w:ascii="Arial Bold" w:hAnsi="Arial Bold"/>
          <w:b/>
          <w:smallCaps/>
        </w:rPr>
        <w:sectPr w:rsidR="00382ECD" w:rsidSect="00EE4DAE">
          <w:headerReference w:type="default" r:id="rId21"/>
          <w:footerReference w:type="default" r:id="rId22"/>
          <w:headerReference w:type="first" r:id="rId23"/>
          <w:footerReference w:type="first" r:id="rId24"/>
          <w:pgSz w:w="12240" w:h="15840" w:code="1"/>
          <w:pgMar w:top="1440" w:right="1440" w:bottom="1440" w:left="1440" w:header="720" w:footer="720" w:gutter="0"/>
          <w:pgNumType w:start="1"/>
          <w:cols w:space="720"/>
          <w:titlePg/>
          <w:docGrid w:linePitch="360"/>
        </w:sectPr>
      </w:pPr>
    </w:p>
    <w:p w14:paraId="514BB321" w14:textId="77777777" w:rsidR="008B55A8" w:rsidRDefault="008B55A8" w:rsidP="008B55A8">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6023D3CD" w14:textId="77777777" w:rsidR="008B55A8" w:rsidRDefault="008B55A8" w:rsidP="008B55A8">
      <w:pPr>
        <w:rPr>
          <w:rFonts w:cs="Arial"/>
        </w:rPr>
      </w:pPr>
    </w:p>
    <w:p w14:paraId="59813F01" w14:textId="1359A6A4" w:rsidR="008B55A8" w:rsidRPr="00E66B49" w:rsidRDefault="008B55A8" w:rsidP="008B55A8">
      <w:pPr>
        <w:pStyle w:val="BodyText"/>
        <w:spacing w:line="480" w:lineRule="auto"/>
        <w:ind w:firstLine="720"/>
      </w:pPr>
      <w:r w:rsidRPr="00E66B49">
        <w:t>In accordance with Rule 4901-1-05, Ohio Ad</w:t>
      </w:r>
      <w:r>
        <w:t>ministrative Code, the Commission’s e</w:t>
      </w:r>
      <w:r>
        <w:noBreakHyphen/>
      </w:r>
      <w:r w:rsidRPr="00E66B49">
        <w:t xml:space="preserve">filing system will electronically serve notice of the filing of this document upon </w:t>
      </w:r>
      <w:r>
        <w:t>persons that the Commission has identified</w:t>
      </w:r>
      <w:r w:rsidRPr="00E66B49">
        <w:t xml:space="preserve">.  </w:t>
      </w:r>
      <w:r w:rsidR="00E055AB">
        <w:t>Service by email has been made to the persons listed below</w:t>
      </w:r>
      <w:r w:rsidR="00EB3D35">
        <w:t xml:space="preserve"> on January 13, 2017</w:t>
      </w:r>
      <w:r w:rsidR="00E055AB">
        <w:t>.</w:t>
      </w:r>
    </w:p>
    <w:p w14:paraId="4E5AF9E8" w14:textId="77777777" w:rsidR="008B55A8" w:rsidRPr="00320E03" w:rsidRDefault="008B55A8" w:rsidP="008B55A8">
      <w:pPr>
        <w:tabs>
          <w:tab w:val="center" w:pos="7200"/>
          <w:tab w:val="right" w:pos="9360"/>
        </w:tabs>
        <w:ind w:left="5040"/>
        <w:rPr>
          <w:rFonts w:cs="Arial"/>
          <w:i/>
          <w:u w:val="single"/>
        </w:rPr>
      </w:pPr>
      <w:r w:rsidRPr="00320E03">
        <w:rPr>
          <w:rFonts w:cs="Arial"/>
          <w:i/>
          <w:u w:val="single"/>
        </w:rPr>
        <w:t xml:space="preserve">/s/ </w:t>
      </w:r>
      <w:r>
        <w:rPr>
          <w:rFonts w:cs="Arial"/>
          <w:i/>
          <w:u w:val="single"/>
        </w:rPr>
        <w:t>Frank P. Darr</w:t>
      </w:r>
      <w:r w:rsidRPr="00320E03">
        <w:rPr>
          <w:rFonts w:cs="Arial"/>
          <w:i/>
          <w:u w:val="single"/>
        </w:rPr>
        <w:tab/>
      </w:r>
      <w:r>
        <w:rPr>
          <w:rFonts w:cs="Arial"/>
          <w:i/>
          <w:u w:val="single"/>
        </w:rPr>
        <w:tab/>
      </w:r>
    </w:p>
    <w:p w14:paraId="611E66BF" w14:textId="77777777" w:rsidR="00B87BD8" w:rsidRDefault="008B55A8" w:rsidP="008B55A8">
      <w:pPr>
        <w:tabs>
          <w:tab w:val="center" w:pos="7200"/>
          <w:tab w:val="right" w:pos="9360"/>
        </w:tabs>
        <w:ind w:left="5760"/>
        <w:rPr>
          <w:rFonts w:cs="Arial"/>
        </w:rPr>
        <w:sectPr w:rsidR="00B87BD8" w:rsidSect="00EE4DAE">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titlePg/>
          <w:docGrid w:linePitch="360"/>
        </w:sectPr>
      </w:pPr>
      <w:r>
        <w:rPr>
          <w:rFonts w:cs="Arial"/>
        </w:rPr>
        <w:t>Frank P. Darr</w:t>
      </w:r>
    </w:p>
    <w:p w14:paraId="49F4F7DA" w14:textId="7A59E561" w:rsidR="00E74885" w:rsidRDefault="00E74885" w:rsidP="00855902">
      <w:pPr>
        <w:rPr>
          <w:rFonts w:ascii="Arial Bold" w:hAnsi="Arial Bold"/>
          <w:b/>
          <w:smallCaps/>
        </w:rPr>
      </w:pPr>
    </w:p>
    <w:p w14:paraId="0A723686" w14:textId="77777777" w:rsidR="00A351CA" w:rsidRDefault="00A351CA" w:rsidP="00855902"/>
    <w:p w14:paraId="0F4D6476" w14:textId="77777777" w:rsidR="00855902" w:rsidRPr="002728A8" w:rsidRDefault="0035660C" w:rsidP="00855902">
      <w:hyperlink r:id="rId29" w:history="1">
        <w:r w:rsidR="00855902" w:rsidRPr="002728A8">
          <w:rPr>
            <w:rStyle w:val="Hyperlink"/>
            <w:color w:val="auto"/>
            <w:u w:val="none"/>
          </w:rPr>
          <w:t>aemerson@porterwright.com</w:t>
        </w:r>
      </w:hyperlink>
    </w:p>
    <w:p w14:paraId="2713BD50" w14:textId="77777777" w:rsidR="00855902" w:rsidRPr="002728A8" w:rsidRDefault="0035660C" w:rsidP="00855902">
      <w:hyperlink r:id="rId30" w:history="1">
        <w:r w:rsidR="00855902" w:rsidRPr="002728A8">
          <w:rPr>
            <w:rStyle w:val="Hyperlink"/>
            <w:color w:val="auto"/>
            <w:u w:val="none"/>
          </w:rPr>
          <w:t>campbell@whitt-sturtevant.com</w:t>
        </w:r>
      </w:hyperlink>
    </w:p>
    <w:p w14:paraId="3B52739D" w14:textId="77777777" w:rsidR="00855902" w:rsidRPr="002728A8" w:rsidRDefault="0035660C" w:rsidP="00855902">
      <w:hyperlink r:id="rId31" w:history="1">
        <w:r w:rsidR="00855902" w:rsidRPr="002728A8">
          <w:rPr>
            <w:rStyle w:val="Hyperlink"/>
            <w:color w:val="auto"/>
            <w:u w:val="none"/>
          </w:rPr>
          <w:t>cmooney@ohiopartners.org</w:t>
        </w:r>
      </w:hyperlink>
    </w:p>
    <w:p w14:paraId="652A27CC" w14:textId="77777777" w:rsidR="00855902" w:rsidRPr="002728A8" w:rsidRDefault="0035660C" w:rsidP="00855902">
      <w:hyperlink r:id="rId32" w:history="1">
        <w:r w:rsidR="00855902" w:rsidRPr="002728A8">
          <w:rPr>
            <w:rStyle w:val="Hyperlink"/>
            <w:color w:val="auto"/>
            <w:u w:val="none"/>
          </w:rPr>
          <w:t>dclearfield@eckertseamans.com</w:t>
        </w:r>
      </w:hyperlink>
    </w:p>
    <w:p w14:paraId="1D45AE2E" w14:textId="77777777" w:rsidR="00855902" w:rsidRDefault="0035660C" w:rsidP="00855902">
      <w:hyperlink r:id="rId33" w:history="1">
        <w:r w:rsidR="00855902" w:rsidRPr="002728A8">
          <w:rPr>
            <w:rStyle w:val="Hyperlink"/>
            <w:color w:val="auto"/>
            <w:u w:val="none"/>
          </w:rPr>
          <w:t>dborchers@bricker.com</w:t>
        </w:r>
      </w:hyperlink>
    </w:p>
    <w:p w14:paraId="73E4A697" w14:textId="25D7D729" w:rsidR="00014DEC" w:rsidRPr="002728A8" w:rsidRDefault="00014DEC" w:rsidP="00855902">
      <w:r w:rsidRPr="0011281A">
        <w:t>frice@spectrumutilities.com</w:t>
      </w:r>
    </w:p>
    <w:p w14:paraId="1537D1DC" w14:textId="77777777" w:rsidR="00855902" w:rsidRPr="002728A8" w:rsidRDefault="0035660C" w:rsidP="00855902">
      <w:hyperlink r:id="rId34" w:history="1">
        <w:r w:rsidR="00855902" w:rsidRPr="002728A8">
          <w:rPr>
            <w:rStyle w:val="Hyperlink"/>
            <w:color w:val="auto"/>
            <w:u w:val="none"/>
          </w:rPr>
          <w:t>gkrassen@bricker.com</w:t>
        </w:r>
      </w:hyperlink>
    </w:p>
    <w:p w14:paraId="197AB2C6" w14:textId="77777777" w:rsidR="00855902" w:rsidRPr="002728A8" w:rsidRDefault="00855902" w:rsidP="00855902">
      <w:r w:rsidRPr="002728A8">
        <w:t>ibatikov@vorys.com</w:t>
      </w:r>
    </w:p>
    <w:p w14:paraId="13292535" w14:textId="77777777" w:rsidR="00855902" w:rsidRPr="002728A8" w:rsidRDefault="0035660C" w:rsidP="00855902">
      <w:hyperlink r:id="rId35" w:history="1">
        <w:r w:rsidR="00855902" w:rsidRPr="002728A8">
          <w:rPr>
            <w:rStyle w:val="Hyperlink"/>
            <w:color w:val="auto"/>
            <w:u w:val="none"/>
          </w:rPr>
          <w:t>jodi.bair@occ.ohio.gov</w:t>
        </w:r>
      </w:hyperlink>
    </w:p>
    <w:p w14:paraId="2C851C7A" w14:textId="77777777" w:rsidR="00855902" w:rsidRPr="002728A8" w:rsidRDefault="0035660C" w:rsidP="00855902">
      <w:hyperlink r:id="rId36" w:history="1">
        <w:r w:rsidR="00855902" w:rsidRPr="002728A8">
          <w:rPr>
            <w:rStyle w:val="Hyperlink"/>
            <w:color w:val="auto"/>
            <w:u w:val="none"/>
          </w:rPr>
          <w:t>jbowser@mwncmh.com</w:t>
        </w:r>
      </w:hyperlink>
    </w:p>
    <w:p w14:paraId="09A22CF8" w14:textId="77777777" w:rsidR="00855902" w:rsidRPr="002728A8" w:rsidRDefault="0035660C" w:rsidP="00855902">
      <w:hyperlink r:id="rId37" w:history="1">
        <w:r w:rsidR="00855902" w:rsidRPr="002728A8">
          <w:rPr>
            <w:rStyle w:val="Hyperlink"/>
            <w:color w:val="auto"/>
            <w:u w:val="none"/>
          </w:rPr>
          <w:t>joliker@igsenergy.com</w:t>
        </w:r>
      </w:hyperlink>
    </w:p>
    <w:p w14:paraId="2DA3E5DC" w14:textId="77777777" w:rsidR="00855902" w:rsidRPr="002728A8" w:rsidRDefault="0035660C" w:rsidP="00855902">
      <w:hyperlink r:id="rId38" w:history="1">
        <w:r w:rsidR="00855902" w:rsidRPr="002728A8">
          <w:rPr>
            <w:rStyle w:val="Hyperlink"/>
            <w:color w:val="auto"/>
            <w:u w:val="none"/>
          </w:rPr>
          <w:t>jeckert@firstenergycorp.com</w:t>
        </w:r>
      </w:hyperlink>
    </w:p>
    <w:p w14:paraId="03B5F281" w14:textId="77777777" w:rsidR="00855902" w:rsidRPr="002728A8" w:rsidRDefault="0035660C" w:rsidP="00855902">
      <w:hyperlink r:id="rId39" w:history="1">
        <w:r w:rsidR="00855902" w:rsidRPr="002728A8">
          <w:rPr>
            <w:rStyle w:val="Hyperlink"/>
            <w:color w:val="auto"/>
            <w:u w:val="none"/>
          </w:rPr>
          <w:t>ktreadway@oneenergyllc.com</w:t>
        </w:r>
      </w:hyperlink>
    </w:p>
    <w:p w14:paraId="76250093" w14:textId="77777777" w:rsidR="00855902" w:rsidRPr="002728A8" w:rsidRDefault="0035660C" w:rsidP="00855902">
      <w:hyperlink r:id="rId40" w:history="1">
        <w:r w:rsidR="00855902" w:rsidRPr="002728A8">
          <w:rPr>
            <w:rStyle w:val="Hyperlink"/>
            <w:color w:val="auto"/>
            <w:u w:val="none"/>
          </w:rPr>
          <w:t>bojko@carpenterlipps.com</w:t>
        </w:r>
      </w:hyperlink>
    </w:p>
    <w:p w14:paraId="0493ECB6" w14:textId="77777777" w:rsidR="00855902" w:rsidRPr="002728A8" w:rsidRDefault="0035660C" w:rsidP="00855902">
      <w:hyperlink r:id="rId41" w:history="1">
        <w:r w:rsidR="00855902" w:rsidRPr="002728A8">
          <w:rPr>
            <w:rStyle w:val="Hyperlink"/>
            <w:color w:val="auto"/>
            <w:u w:val="none"/>
          </w:rPr>
          <w:t>slesser@calfee.com</w:t>
        </w:r>
      </w:hyperlink>
    </w:p>
    <w:p w14:paraId="39ECA569" w14:textId="77777777" w:rsidR="00855902" w:rsidRPr="002728A8" w:rsidRDefault="0035660C" w:rsidP="00855902">
      <w:hyperlink r:id="rId42" w:history="1">
        <w:r w:rsidR="00855902" w:rsidRPr="002728A8">
          <w:rPr>
            <w:rStyle w:val="Hyperlink"/>
            <w:color w:val="auto"/>
            <w:u w:val="none"/>
          </w:rPr>
          <w:t>whitt@whitt-sturtevant.com</w:t>
        </w:r>
      </w:hyperlink>
    </w:p>
    <w:p w14:paraId="469275D3" w14:textId="77777777" w:rsidR="00855902" w:rsidRPr="002728A8" w:rsidRDefault="0035660C" w:rsidP="00855902">
      <w:hyperlink r:id="rId43" w:history="1">
        <w:r w:rsidR="00855902" w:rsidRPr="002728A8">
          <w:rPr>
            <w:rStyle w:val="Hyperlink"/>
            <w:color w:val="auto"/>
            <w:u w:val="none"/>
          </w:rPr>
          <w:t>mcorbett@calfee.com</w:t>
        </w:r>
      </w:hyperlink>
    </w:p>
    <w:p w14:paraId="7BBF00D5" w14:textId="77777777" w:rsidR="00855902" w:rsidRPr="002728A8" w:rsidRDefault="0035660C" w:rsidP="00855902">
      <w:hyperlink r:id="rId44" w:history="1">
        <w:r w:rsidR="00855902" w:rsidRPr="002728A8">
          <w:rPr>
            <w:rStyle w:val="Hyperlink"/>
            <w:color w:val="auto"/>
            <w:u w:val="none"/>
          </w:rPr>
          <w:t>mjsatterwhite@aep.com</w:t>
        </w:r>
      </w:hyperlink>
    </w:p>
    <w:p w14:paraId="698FDBC5" w14:textId="77777777" w:rsidR="00855902" w:rsidRPr="002728A8" w:rsidRDefault="0035660C" w:rsidP="00855902">
      <w:hyperlink r:id="rId45" w:history="1">
        <w:r w:rsidR="00855902" w:rsidRPr="002728A8">
          <w:rPr>
            <w:rStyle w:val="Hyperlink"/>
            <w:color w:val="auto"/>
            <w:u w:val="none"/>
          </w:rPr>
          <w:t>bryce.mckenney@puc.state.oh.us</w:t>
        </w:r>
      </w:hyperlink>
    </w:p>
    <w:p w14:paraId="70522C3B" w14:textId="77777777" w:rsidR="00A351CA" w:rsidRDefault="00A351CA" w:rsidP="00855902">
      <w:r>
        <w:br w:type="column"/>
      </w:r>
    </w:p>
    <w:p w14:paraId="5AA26B79" w14:textId="77777777" w:rsidR="00A351CA" w:rsidRDefault="00A351CA" w:rsidP="00855902"/>
    <w:p w14:paraId="4EEF0017" w14:textId="356F508E" w:rsidR="00855902" w:rsidRPr="00A351CA" w:rsidRDefault="0035660C" w:rsidP="00855902">
      <w:hyperlink r:id="rId46" w:history="1">
        <w:r w:rsidR="00A351CA" w:rsidRPr="00A351CA">
          <w:rPr>
            <w:rStyle w:val="Hyperlink"/>
            <w:color w:val="auto"/>
            <w:u w:val="none"/>
          </w:rPr>
          <w:t>mjsettineri@vorys.com</w:t>
        </w:r>
      </w:hyperlink>
    </w:p>
    <w:p w14:paraId="41E33EEF" w14:textId="77777777" w:rsidR="00855902" w:rsidRPr="002728A8" w:rsidRDefault="0035660C" w:rsidP="00855902">
      <w:hyperlink r:id="rId47" w:history="1">
        <w:r w:rsidR="00855902" w:rsidRPr="002728A8">
          <w:rPr>
            <w:rStyle w:val="Hyperlink"/>
            <w:color w:val="auto"/>
            <w:u w:val="none"/>
          </w:rPr>
          <w:t>msmckenzie@aep.com</w:t>
        </w:r>
      </w:hyperlink>
    </w:p>
    <w:p w14:paraId="45F222BA" w14:textId="77777777" w:rsidR="00855902" w:rsidRPr="002728A8" w:rsidRDefault="0035660C" w:rsidP="00855902">
      <w:hyperlink r:id="rId48" w:history="1">
        <w:r w:rsidR="00855902" w:rsidRPr="002728A8">
          <w:rPr>
            <w:rStyle w:val="Hyperlink"/>
            <w:color w:val="auto"/>
            <w:u w:val="none"/>
          </w:rPr>
          <w:t>stnourse@aep.com</w:t>
        </w:r>
      </w:hyperlink>
    </w:p>
    <w:p w14:paraId="752B137B" w14:textId="77777777" w:rsidR="00855902" w:rsidRPr="002728A8" w:rsidRDefault="0035660C" w:rsidP="00855902">
      <w:hyperlink r:id="rId49" w:history="1">
        <w:r w:rsidR="00855902" w:rsidRPr="002728A8">
          <w:rPr>
            <w:rStyle w:val="Hyperlink"/>
            <w:color w:val="auto"/>
            <w:u w:val="none"/>
          </w:rPr>
          <w:t>mhpetricoff@vorys.com</w:t>
        </w:r>
      </w:hyperlink>
    </w:p>
    <w:p w14:paraId="109754B1" w14:textId="77777777" w:rsidR="00855902" w:rsidRPr="002728A8" w:rsidRDefault="0035660C" w:rsidP="00855902">
      <w:hyperlink r:id="rId50" w:history="1">
        <w:r w:rsidR="00855902" w:rsidRPr="002728A8">
          <w:rPr>
            <w:rStyle w:val="Hyperlink"/>
            <w:color w:val="auto"/>
            <w:u w:val="none"/>
          </w:rPr>
          <w:t>glpetrucci@vorys.com</w:t>
        </w:r>
      </w:hyperlink>
    </w:p>
    <w:p w14:paraId="1898B949" w14:textId="77777777" w:rsidR="00855902" w:rsidRPr="002728A8" w:rsidRDefault="0035660C" w:rsidP="00855902">
      <w:hyperlink r:id="rId51" w:history="1">
        <w:r w:rsidR="00855902" w:rsidRPr="002728A8">
          <w:rPr>
            <w:rStyle w:val="Hyperlink"/>
            <w:color w:val="auto"/>
            <w:u w:val="none"/>
          </w:rPr>
          <w:t>Randall.Griffin@aes.com</w:t>
        </w:r>
      </w:hyperlink>
    </w:p>
    <w:p w14:paraId="3608D4BA" w14:textId="77777777" w:rsidR="00855902" w:rsidRPr="002728A8" w:rsidRDefault="0035660C" w:rsidP="00855902">
      <w:hyperlink r:id="rId52" w:history="1">
        <w:r w:rsidR="00855902" w:rsidRPr="002728A8">
          <w:rPr>
            <w:rStyle w:val="Hyperlink"/>
            <w:color w:val="auto"/>
            <w:u w:val="none"/>
          </w:rPr>
          <w:t>rick.sites@ohiohospitals.org</w:t>
        </w:r>
      </w:hyperlink>
    </w:p>
    <w:p w14:paraId="0BD5A7AF" w14:textId="77777777" w:rsidR="00855902" w:rsidRPr="002728A8" w:rsidRDefault="0035660C" w:rsidP="00855902">
      <w:hyperlink r:id="rId53" w:history="1">
        <w:r w:rsidR="00855902" w:rsidRPr="002728A8">
          <w:rPr>
            <w:rStyle w:val="Hyperlink"/>
            <w:color w:val="auto"/>
            <w:u w:val="none"/>
          </w:rPr>
          <w:t>rbrundrett@ohiomfg.com</w:t>
        </w:r>
      </w:hyperlink>
    </w:p>
    <w:p w14:paraId="1E8E9C53" w14:textId="77777777" w:rsidR="00855902" w:rsidRPr="002728A8" w:rsidRDefault="0035660C" w:rsidP="00855902">
      <w:hyperlink r:id="rId54" w:history="1">
        <w:r w:rsidR="00855902" w:rsidRPr="002728A8">
          <w:rPr>
            <w:rStyle w:val="Hyperlink"/>
            <w:color w:val="auto"/>
            <w:u w:val="none"/>
          </w:rPr>
          <w:t>sstoner@eckertseamans.com</w:t>
        </w:r>
      </w:hyperlink>
    </w:p>
    <w:p w14:paraId="600FD505" w14:textId="77777777" w:rsidR="00855902" w:rsidRPr="002728A8" w:rsidRDefault="0035660C" w:rsidP="00855902">
      <w:hyperlink r:id="rId55" w:history="1">
        <w:r w:rsidR="00855902" w:rsidRPr="002728A8">
          <w:rPr>
            <w:rStyle w:val="Hyperlink"/>
            <w:color w:val="auto"/>
            <w:u w:val="none"/>
          </w:rPr>
          <w:t>sdismukes@eckertseamans.com</w:t>
        </w:r>
      </w:hyperlink>
    </w:p>
    <w:p w14:paraId="5A6C1BD9" w14:textId="77777777" w:rsidR="00855902" w:rsidRPr="002728A8" w:rsidRDefault="0035660C" w:rsidP="00855902">
      <w:hyperlink r:id="rId56" w:history="1">
        <w:r w:rsidR="00855902" w:rsidRPr="002728A8">
          <w:rPr>
            <w:rStyle w:val="Hyperlink"/>
            <w:color w:val="auto"/>
            <w:u w:val="none"/>
          </w:rPr>
          <w:t>Amy.Spiller@Duke-Energy.com</w:t>
        </w:r>
      </w:hyperlink>
    </w:p>
    <w:p w14:paraId="0075376A" w14:textId="77777777" w:rsidR="00855902" w:rsidRPr="002728A8" w:rsidRDefault="0035660C" w:rsidP="00855902">
      <w:hyperlink r:id="rId57" w:history="1">
        <w:r w:rsidR="00855902" w:rsidRPr="002728A8">
          <w:rPr>
            <w:rStyle w:val="Hyperlink"/>
            <w:color w:val="auto"/>
            <w:u w:val="none"/>
          </w:rPr>
          <w:t>dstinson@bricker.com</w:t>
        </w:r>
      </w:hyperlink>
    </w:p>
    <w:p w14:paraId="2BDBA058" w14:textId="77777777" w:rsidR="00855902" w:rsidRPr="002728A8" w:rsidRDefault="0035660C" w:rsidP="00855902">
      <w:hyperlink r:id="rId58" w:history="1">
        <w:r w:rsidR="00855902" w:rsidRPr="002728A8">
          <w:rPr>
            <w:rStyle w:val="Hyperlink"/>
            <w:color w:val="auto"/>
            <w:u w:val="none"/>
          </w:rPr>
          <w:t>terry.etter@occ.ohio.gov</w:t>
        </w:r>
      </w:hyperlink>
    </w:p>
    <w:p w14:paraId="23A32AB6" w14:textId="77777777" w:rsidR="00855902" w:rsidRPr="002728A8" w:rsidRDefault="0035660C" w:rsidP="00855902">
      <w:hyperlink r:id="rId59" w:history="1">
        <w:r w:rsidR="00855902" w:rsidRPr="002728A8">
          <w:rPr>
            <w:rStyle w:val="Hyperlink"/>
            <w:color w:val="auto"/>
            <w:u w:val="none"/>
          </w:rPr>
          <w:t>elizabeth.watts@duke-energy.com</w:t>
        </w:r>
      </w:hyperlink>
    </w:p>
    <w:p w14:paraId="45AA45D2" w14:textId="77777777" w:rsidR="00855902" w:rsidRPr="002728A8" w:rsidRDefault="0035660C" w:rsidP="00855902">
      <w:hyperlink r:id="rId60" w:history="1">
        <w:r w:rsidR="00855902" w:rsidRPr="002728A8">
          <w:rPr>
            <w:rStyle w:val="Hyperlink"/>
            <w:color w:val="auto"/>
            <w:u w:val="none"/>
          </w:rPr>
          <w:t>mswhite@igsenergy.com</w:t>
        </w:r>
      </w:hyperlink>
    </w:p>
    <w:p w14:paraId="3045663D" w14:textId="77777777" w:rsidR="00855902" w:rsidRPr="002728A8" w:rsidRDefault="0035660C" w:rsidP="00855902">
      <w:hyperlink r:id="rId61" w:history="1">
        <w:r w:rsidR="00855902" w:rsidRPr="002728A8">
          <w:rPr>
            <w:rStyle w:val="Hyperlink"/>
            <w:color w:val="auto"/>
            <w:u w:val="none"/>
          </w:rPr>
          <w:t>william.wright@ohioattorneygeneral.gov</w:t>
        </w:r>
      </w:hyperlink>
    </w:p>
    <w:p w14:paraId="71700554" w14:textId="77777777" w:rsidR="00855902" w:rsidRDefault="00855902" w:rsidP="00855902"/>
    <w:p w14:paraId="5DF7EFB5" w14:textId="77777777" w:rsidR="00855902" w:rsidRPr="00EF19ED" w:rsidRDefault="00855902" w:rsidP="00855902">
      <w:pPr>
        <w:rPr>
          <w:rFonts w:ascii="Arial Bold" w:hAnsi="Arial Bold"/>
          <w:b/>
          <w:smallCaps/>
        </w:rPr>
      </w:pPr>
    </w:p>
    <w:sectPr w:rsidR="00855902" w:rsidRPr="00EF19ED" w:rsidSect="00855902">
      <w:headerReference w:type="default" r:id="rId62"/>
      <w:footerReference w:type="default" r:id="rId63"/>
      <w:headerReference w:type="first" r:id="rId64"/>
      <w:footerReference w:type="first" r:id="rId65"/>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320C1" w14:textId="77777777" w:rsidR="00F3177B" w:rsidRDefault="00F3177B" w:rsidP="00F3177B">
      <w:r>
        <w:separator/>
      </w:r>
    </w:p>
  </w:endnote>
  <w:endnote w:type="continuationSeparator" w:id="0">
    <w:p w14:paraId="6853F217" w14:textId="77777777" w:rsidR="00F3177B" w:rsidRDefault="00F3177B" w:rsidP="00F3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1F2A" w14:textId="77777777" w:rsidR="005413CE" w:rsidRDefault="005413C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9910" w14:textId="29945238" w:rsidR="00643DE8" w:rsidRPr="00643DE8" w:rsidRDefault="005413CE" w:rsidP="00643DE8">
    <w:pPr>
      <w:pStyle w:val="Footer"/>
      <w:jc w:val="left"/>
    </w:pPr>
    <w:r w:rsidRPr="005413CE">
      <w:rPr>
        <w:noProof/>
        <w:vanish/>
        <w:sz w:val="16"/>
      </w:rPr>
      <w:t>{</w:t>
    </w:r>
    <w:r w:rsidRPr="005413CE">
      <w:rPr>
        <w:noProof/>
        <w:sz w:val="16"/>
      </w:rPr>
      <w:t>C0100404:1</w:t>
    </w:r>
    <w:r w:rsidRPr="005413CE">
      <w:rPr>
        <w:noProof/>
        <w:vanish/>
        <w:sz w:val="16"/>
      </w:rPr>
      <w:t>}</w:t>
    </w:r>
    <w:r w:rsidR="00643DE8">
      <w:tab/>
    </w:r>
    <w:sdt>
      <w:sdtPr>
        <w:id w:val="78417709"/>
        <w:docPartObj>
          <w:docPartGallery w:val="Page Numbers (Bottom of Page)"/>
          <w:docPartUnique/>
        </w:docPartObj>
      </w:sdtPr>
      <w:sdtEndPr>
        <w:rPr>
          <w:noProof/>
        </w:rPr>
      </w:sdtEndPr>
      <w:sdtContent>
        <w:r w:rsidR="00643DE8" w:rsidRPr="00643DE8">
          <w:fldChar w:fldCharType="begin"/>
        </w:r>
        <w:r w:rsidR="00643DE8" w:rsidRPr="00643DE8">
          <w:instrText xml:space="preserve"> PAGE   \* MERGEFORMAT </w:instrText>
        </w:r>
        <w:r w:rsidR="00643DE8" w:rsidRPr="00643DE8">
          <w:fldChar w:fldCharType="separate"/>
        </w:r>
        <w:r w:rsidR="00643DE8" w:rsidRPr="00643DE8">
          <w:rPr>
            <w:noProof/>
          </w:rPr>
          <w:t>2</w:t>
        </w:r>
        <w:r w:rsidR="00643DE8" w:rsidRPr="00643DE8">
          <w:rPr>
            <w:noProof/>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D164" w14:textId="737E619D" w:rsidR="00643DE8" w:rsidRPr="00DD2063" w:rsidRDefault="005413CE">
    <w:pPr>
      <w:pStyle w:val="Footer"/>
    </w:pPr>
    <w:r w:rsidRPr="005413CE">
      <w:rPr>
        <w:noProof/>
        <w:vanish/>
        <w:sz w:val="16"/>
      </w:rPr>
      <w:t>{</w:t>
    </w:r>
    <w:r w:rsidRPr="005413CE">
      <w:rPr>
        <w:noProof/>
        <w:sz w:val="16"/>
      </w:rPr>
      <w:t>C0100404:1</w:t>
    </w:r>
    <w:r w:rsidRPr="005413CE">
      <w:rPr>
        <w:noProof/>
        <w:vanish/>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7D3A" w14:textId="03696BEC" w:rsidR="00B73263" w:rsidRPr="00643DE8" w:rsidRDefault="005413CE" w:rsidP="00643DE8">
    <w:pPr>
      <w:pStyle w:val="Footer"/>
      <w:jc w:val="left"/>
    </w:pPr>
    <w:r w:rsidRPr="005413CE">
      <w:rPr>
        <w:noProof/>
        <w:vanish/>
        <w:sz w:val="16"/>
      </w:rPr>
      <w:t>{</w:t>
    </w:r>
    <w:r w:rsidRPr="005413CE">
      <w:rPr>
        <w:noProof/>
        <w:sz w:val="16"/>
      </w:rPr>
      <w:t>C0100404:1</w:t>
    </w:r>
    <w:r w:rsidRPr="005413CE">
      <w:rPr>
        <w:noProof/>
        <w:vanish/>
        <w:sz w:val="16"/>
      </w:rPr>
      <w:t>}</w:t>
    </w:r>
    <w:r w:rsidR="00643DE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6C19" w14:textId="773F1D7B" w:rsidR="00B73263" w:rsidRPr="00DD2063" w:rsidRDefault="005413CE">
    <w:pPr>
      <w:pStyle w:val="Footer"/>
    </w:pPr>
    <w:r w:rsidRPr="005413CE">
      <w:rPr>
        <w:noProof/>
        <w:vanish/>
        <w:sz w:val="16"/>
      </w:rPr>
      <w:t>{</w:t>
    </w:r>
    <w:r w:rsidRPr="005413CE">
      <w:rPr>
        <w:noProof/>
        <w:sz w:val="16"/>
      </w:rPr>
      <w:t>C0100404:1</w:t>
    </w:r>
    <w:r w:rsidRPr="005413CE">
      <w:rPr>
        <w:noProof/>
        <w:vanish/>
        <w:sz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CF1A" w14:textId="59F4840C" w:rsidR="00643DE8" w:rsidRPr="00643DE8" w:rsidRDefault="005413CE" w:rsidP="00643DE8">
    <w:pPr>
      <w:pStyle w:val="Footer"/>
      <w:jc w:val="left"/>
    </w:pPr>
    <w:r w:rsidRPr="005413CE">
      <w:rPr>
        <w:noProof/>
        <w:vanish/>
        <w:sz w:val="16"/>
      </w:rPr>
      <w:t>{</w:t>
    </w:r>
    <w:r w:rsidRPr="005413CE">
      <w:rPr>
        <w:noProof/>
        <w:sz w:val="16"/>
      </w:rPr>
      <w:t>C0100404:1</w:t>
    </w:r>
    <w:r w:rsidRPr="005413CE">
      <w:rPr>
        <w:noProof/>
        <w:vanish/>
        <w:sz w:val="16"/>
      </w:rPr>
      <w:t>}</w:t>
    </w:r>
    <w:r w:rsidR="00643DE8">
      <w:tab/>
    </w:r>
    <w:sdt>
      <w:sdtPr>
        <w:id w:val="-110665586"/>
        <w:docPartObj>
          <w:docPartGallery w:val="Page Numbers (Bottom of Page)"/>
          <w:docPartUnique/>
        </w:docPartObj>
      </w:sdtPr>
      <w:sdtEndPr>
        <w:rPr>
          <w:noProof/>
        </w:rPr>
      </w:sdtEndPr>
      <w:sdtContent>
        <w:r w:rsidR="00643DE8" w:rsidRPr="00643DE8">
          <w:fldChar w:fldCharType="begin"/>
        </w:r>
        <w:r w:rsidR="00643DE8" w:rsidRPr="00643DE8">
          <w:instrText xml:space="preserve"> PAGE   \* MERGEFORMAT </w:instrText>
        </w:r>
        <w:r w:rsidR="00643DE8" w:rsidRPr="00643DE8">
          <w:fldChar w:fldCharType="separate"/>
        </w:r>
        <w:r w:rsidR="00643DE8" w:rsidRPr="00643DE8">
          <w:rPr>
            <w:noProof/>
          </w:rPr>
          <w:t>2</w:t>
        </w:r>
        <w:r w:rsidR="00643DE8" w:rsidRPr="00643DE8">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D152" w14:textId="76A82338" w:rsidR="00643DE8" w:rsidRPr="00DD2063" w:rsidRDefault="005413CE">
    <w:pPr>
      <w:pStyle w:val="Footer"/>
    </w:pPr>
    <w:r w:rsidRPr="005413CE">
      <w:rPr>
        <w:noProof/>
        <w:vanish/>
        <w:sz w:val="16"/>
      </w:rPr>
      <w:t>{</w:t>
    </w:r>
    <w:r w:rsidRPr="005413CE">
      <w:rPr>
        <w:noProof/>
        <w:sz w:val="16"/>
      </w:rPr>
      <w:t>C0100404:1</w:t>
    </w:r>
    <w:r w:rsidRPr="005413CE">
      <w:rPr>
        <w:noProof/>
        <w:vanish/>
        <w:sz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6258" w14:textId="7DA12006" w:rsidR="00643DE8" w:rsidRPr="00643DE8" w:rsidRDefault="005413CE" w:rsidP="00643DE8">
    <w:pPr>
      <w:pStyle w:val="Footer"/>
      <w:jc w:val="left"/>
    </w:pPr>
    <w:r w:rsidRPr="005413CE">
      <w:rPr>
        <w:noProof/>
        <w:vanish/>
        <w:sz w:val="16"/>
      </w:rPr>
      <w:t>{</w:t>
    </w:r>
    <w:r w:rsidRPr="005413CE">
      <w:rPr>
        <w:noProof/>
        <w:sz w:val="16"/>
      </w:rPr>
      <w:t>C0100404:1</w:t>
    </w:r>
    <w:r w:rsidRPr="005413CE">
      <w:rPr>
        <w:noProof/>
        <w:vanish/>
        <w:sz w:val="16"/>
      </w:rPr>
      <w:t>}</w:t>
    </w:r>
    <w:r w:rsidR="00643DE8">
      <w:tab/>
    </w:r>
    <w:sdt>
      <w:sdtPr>
        <w:id w:val="-764308653"/>
        <w:docPartObj>
          <w:docPartGallery w:val="Page Numbers (Bottom of Page)"/>
          <w:docPartUnique/>
        </w:docPartObj>
      </w:sdtPr>
      <w:sdtEndPr>
        <w:rPr>
          <w:noProof/>
        </w:rPr>
      </w:sdtEndPr>
      <w:sdtContent>
        <w:r w:rsidR="00643DE8" w:rsidRPr="00643DE8">
          <w:fldChar w:fldCharType="begin"/>
        </w:r>
        <w:r w:rsidR="00643DE8" w:rsidRPr="00643DE8">
          <w:instrText xml:space="preserve"> PAGE   \* MERGEFORMAT </w:instrText>
        </w:r>
        <w:r w:rsidR="00643DE8" w:rsidRPr="00643DE8">
          <w:fldChar w:fldCharType="separate"/>
        </w:r>
        <w:r w:rsidR="0035660C">
          <w:rPr>
            <w:noProof/>
          </w:rPr>
          <w:t>12</w:t>
        </w:r>
        <w:r w:rsidR="00643DE8" w:rsidRPr="00643DE8">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BE9D" w14:textId="039AAC61" w:rsidR="00643DE8" w:rsidRPr="00DD2063" w:rsidRDefault="005413CE">
    <w:pPr>
      <w:pStyle w:val="Footer"/>
    </w:pPr>
    <w:r w:rsidRPr="005413CE">
      <w:rPr>
        <w:noProof/>
        <w:vanish/>
        <w:sz w:val="16"/>
      </w:rPr>
      <w:t>{</w:t>
    </w:r>
    <w:r w:rsidRPr="005413CE">
      <w:rPr>
        <w:noProof/>
        <w:sz w:val="16"/>
      </w:rPr>
      <w:t>C0100404:1</w:t>
    </w:r>
    <w:r w:rsidRPr="005413CE">
      <w:rPr>
        <w:noProof/>
        <w:vanish/>
        <w:sz w:val="16"/>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581A" w14:textId="3BA9E799" w:rsidR="00643DE8" w:rsidRPr="00643DE8" w:rsidRDefault="005413CE" w:rsidP="00643DE8">
    <w:pPr>
      <w:pStyle w:val="Footer"/>
      <w:jc w:val="left"/>
    </w:pPr>
    <w:r w:rsidRPr="005413CE">
      <w:rPr>
        <w:noProof/>
        <w:vanish/>
        <w:sz w:val="16"/>
      </w:rPr>
      <w:t>{</w:t>
    </w:r>
    <w:r w:rsidRPr="005413CE">
      <w:rPr>
        <w:noProof/>
        <w:sz w:val="16"/>
      </w:rPr>
      <w:t>C0100404:1</w:t>
    </w:r>
    <w:r w:rsidRPr="005413CE">
      <w:rPr>
        <w:noProof/>
        <w:vanish/>
        <w:sz w:val="16"/>
      </w:rPr>
      <w:t>}</w:t>
    </w:r>
    <w:r w:rsidR="00643DE8">
      <w:tab/>
    </w:r>
    <w:sdt>
      <w:sdtPr>
        <w:id w:val="263038306"/>
        <w:docPartObj>
          <w:docPartGallery w:val="Page Numbers (Bottom of Page)"/>
          <w:docPartUnique/>
        </w:docPartObj>
      </w:sdtPr>
      <w:sdtEndPr>
        <w:rPr>
          <w:noProof/>
        </w:rPr>
      </w:sdtEndPr>
      <w:sdtContent>
        <w:r w:rsidR="00643DE8" w:rsidRPr="00643DE8">
          <w:fldChar w:fldCharType="begin"/>
        </w:r>
        <w:r w:rsidR="00643DE8" w:rsidRPr="00643DE8">
          <w:instrText xml:space="preserve"> PAGE   \* MERGEFORMAT </w:instrText>
        </w:r>
        <w:r w:rsidR="00643DE8" w:rsidRPr="00643DE8">
          <w:fldChar w:fldCharType="separate"/>
        </w:r>
        <w:r w:rsidR="00643DE8" w:rsidRPr="00643DE8">
          <w:rPr>
            <w:noProof/>
          </w:rPr>
          <w:t>2</w:t>
        </w:r>
        <w:r w:rsidR="00643DE8" w:rsidRPr="00643DE8">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706F" w14:textId="5A16FC29" w:rsidR="00643DE8" w:rsidRPr="00DD2063" w:rsidRDefault="005413CE">
    <w:pPr>
      <w:pStyle w:val="Footer"/>
    </w:pPr>
    <w:r w:rsidRPr="005413CE">
      <w:rPr>
        <w:noProof/>
        <w:vanish/>
        <w:sz w:val="16"/>
      </w:rPr>
      <w:t>{</w:t>
    </w:r>
    <w:r w:rsidRPr="005413CE">
      <w:rPr>
        <w:noProof/>
        <w:sz w:val="16"/>
      </w:rPr>
      <w:t>C0100404:1</w:t>
    </w:r>
    <w:r w:rsidRPr="005413CE">
      <w:rPr>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BCAC7" w14:textId="77777777" w:rsidR="00F3177B" w:rsidRDefault="00F3177B" w:rsidP="00F3177B">
      <w:pPr>
        <w:rPr>
          <w:noProof/>
        </w:rPr>
      </w:pPr>
      <w:r>
        <w:rPr>
          <w:noProof/>
        </w:rPr>
        <w:separator/>
      </w:r>
    </w:p>
  </w:footnote>
  <w:footnote w:type="continuationSeparator" w:id="0">
    <w:p w14:paraId="403A7403" w14:textId="77777777" w:rsidR="00F3177B" w:rsidRDefault="00F3177B" w:rsidP="00F3177B">
      <w:r>
        <w:continuationSeparator/>
      </w:r>
    </w:p>
  </w:footnote>
  <w:footnote w:id="1">
    <w:p w14:paraId="1B9CD997" w14:textId="6D3FDD85" w:rsidR="00B968B3" w:rsidRDefault="00B968B3">
      <w:pPr>
        <w:pStyle w:val="FootnoteText"/>
      </w:pPr>
      <w:r>
        <w:rPr>
          <w:rStyle w:val="FootnoteReference"/>
        </w:rPr>
        <w:footnoteRef/>
      </w:r>
      <w:r>
        <w:t xml:space="preserve"> Ohio Power Company and Duke Energy Ohio, Inc. offered some general comments about the benefits of regulation, but did not claim non-residential customers operating under shared service arrangements were adversely affected by those arrangement.  </w:t>
      </w:r>
      <w:r w:rsidR="005E41D8">
        <w:t xml:space="preserve">Initial Comments of Ohio Power Company and Duke Energy Ohio, Inc. (Jan. 21, 2016).  </w:t>
      </w:r>
      <w:r>
        <w:t xml:space="preserve">Ohio Power Company has broadened its claims regarding the application of regulation in a complaint case filed by the Office of the Ohio Consumers’ Counsel, but the assertions it makes remain generalized.  </w:t>
      </w:r>
      <w:r w:rsidR="008D0562" w:rsidRPr="0067206B">
        <w:rPr>
          <w:i/>
        </w:rPr>
        <w:t>Office of Ohio Consumers’ Counsel v. Ohio Power Company</w:t>
      </w:r>
      <w:r w:rsidR="008D0562">
        <w:t xml:space="preserve">, Case No. 16-782-EL-CSS, Ohio Power Company’s Motion for Tariff Amendment (Apr. 27, 2016).  </w:t>
      </w:r>
      <w:r w:rsidR="00025541">
        <w:t xml:space="preserve">Ohio Power Company’s motion has been opposed on multiple grounds because it is unlawful and unreasonable.  </w:t>
      </w:r>
      <w:proofErr w:type="gramStart"/>
      <w:r w:rsidR="00025541" w:rsidRPr="00F32BF9">
        <w:rPr>
          <w:i/>
        </w:rPr>
        <w:t>See, e.g., id</w:t>
      </w:r>
      <w:r w:rsidR="00025541">
        <w:t xml:space="preserve">., </w:t>
      </w:r>
      <w:r w:rsidR="00F330FE">
        <w:t>Memorandum Opposing Ohio Power Company’s Motion for Tariff Amendment by Industrial Energy Users-Ohio (May 10, 2016).</w:t>
      </w:r>
      <w:proofErr w:type="gramEnd"/>
      <w:r w:rsidR="00F330FE">
        <w:t xml:space="preserve">  </w:t>
      </w:r>
      <w:r>
        <w:t xml:space="preserve">The lack of complaints </w:t>
      </w:r>
      <w:r w:rsidR="0067206B">
        <w:t xml:space="preserve">by non-residential customers </w:t>
      </w:r>
      <w:r>
        <w:t xml:space="preserve">is strong evidence that </w:t>
      </w:r>
      <w:r w:rsidR="005E41D8">
        <w:t xml:space="preserve">extension of the Relative Price Rule to non-residential shared service arrangements is not </w:t>
      </w:r>
      <w:r w:rsidR="0067206B">
        <w:t>warranted even if the Test is lawful and reasonable</w:t>
      </w:r>
      <w:r w:rsidR="005E41D8">
        <w:t>.</w:t>
      </w:r>
    </w:p>
  </w:footnote>
  <w:footnote w:id="2">
    <w:p w14:paraId="1DF5697C" w14:textId="77777777" w:rsidR="00F3177B" w:rsidRPr="008C5355" w:rsidRDefault="00F3177B" w:rsidP="008A139C">
      <w:pPr>
        <w:pStyle w:val="FootnoteText"/>
        <w:rPr>
          <w:rFonts w:cs="Arial"/>
        </w:rPr>
      </w:pPr>
      <w:r w:rsidRPr="008C5355">
        <w:rPr>
          <w:rStyle w:val="FootnoteReference"/>
          <w:rFonts w:cs="Arial"/>
        </w:rPr>
        <w:footnoteRef/>
      </w:r>
      <w:r w:rsidRPr="008C5355">
        <w:rPr>
          <w:rFonts w:cs="Arial"/>
        </w:rPr>
        <w:t xml:space="preserve"> R.C. 4905.03 provides:</w:t>
      </w:r>
    </w:p>
    <w:p w14:paraId="6ADC78C2" w14:textId="77777777" w:rsidR="00F3177B" w:rsidRPr="008C5355" w:rsidRDefault="00F3177B" w:rsidP="00483956">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00"/>
          <w:sz w:val="20"/>
          <w:szCs w:val="20"/>
        </w:rPr>
        <w:t>As used in this chapter, any person, firm, copartnership, voluntary association, joint-stock association, company, or corporation, wherever organized or incorporated, is:</w:t>
      </w:r>
    </w:p>
    <w:p w14:paraId="2711ABF4" w14:textId="77777777" w:rsidR="00F3177B" w:rsidRPr="008C5355" w:rsidRDefault="00F3177B" w:rsidP="00483956">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8B"/>
          <w:sz w:val="20"/>
          <w:szCs w:val="20"/>
        </w:rPr>
        <w:t>…</w:t>
      </w:r>
    </w:p>
    <w:p w14:paraId="6BFE84AF" w14:textId="77777777" w:rsidR="00F3177B" w:rsidRPr="008C5355" w:rsidRDefault="00F3177B" w:rsidP="00483956">
      <w:pPr>
        <w:pStyle w:val="NormalWeb"/>
        <w:shd w:val="clear" w:color="auto" w:fill="FFFFFF"/>
        <w:ind w:left="720" w:right="720"/>
        <w:jc w:val="both"/>
        <w:rPr>
          <w:rFonts w:ascii="Arial" w:hAnsi="Arial" w:cs="Arial"/>
          <w:color w:val="000000"/>
          <w:sz w:val="20"/>
          <w:szCs w:val="20"/>
        </w:rPr>
      </w:pPr>
      <w:bookmarkStart w:id="7" w:name="4905.03(C)"/>
      <w:r w:rsidRPr="008C5355">
        <w:rPr>
          <w:rFonts w:ascii="Arial" w:hAnsi="Arial" w:cs="Arial"/>
          <w:sz w:val="20"/>
          <w:szCs w:val="20"/>
        </w:rPr>
        <w:t>(C)</w:t>
      </w:r>
      <w:bookmarkEnd w:id="7"/>
      <w:r w:rsidRPr="008C5355">
        <w:rPr>
          <w:rStyle w:val="apple-converted-space"/>
          <w:rFonts w:ascii="Arial" w:hAnsi="Arial" w:cs="Arial"/>
          <w:color w:val="000000"/>
        </w:rPr>
        <w:t xml:space="preserve">  </w:t>
      </w:r>
      <w:r w:rsidRPr="008C5355">
        <w:rPr>
          <w:rFonts w:ascii="Arial" w:hAnsi="Arial" w:cs="Arial"/>
          <w:color w:val="000000"/>
          <w:sz w:val="20"/>
          <w:szCs w:val="20"/>
        </w:rPr>
        <w:t>An electric light company, when engaged in the business of supplying electricity for light, heat, or power purposes to consumers within this state, including supplying electric transmission service for electricity delivered to consumers in this state, but excluding a regional transmission organization approved by the federal energy regulatory commission;</w:t>
      </w:r>
    </w:p>
    <w:p w14:paraId="1E350DA2" w14:textId="77777777" w:rsidR="00F3177B" w:rsidRPr="008C5355" w:rsidRDefault="00F3177B" w:rsidP="00483956">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8B"/>
          <w:sz w:val="20"/>
          <w:szCs w:val="20"/>
        </w:rPr>
        <w:t>…</w:t>
      </w:r>
    </w:p>
    <w:p w14:paraId="7458D498" w14:textId="77777777" w:rsidR="00F3177B" w:rsidRPr="008C5355" w:rsidRDefault="00F3177B" w:rsidP="00483956">
      <w:pPr>
        <w:pStyle w:val="NormalWeb"/>
        <w:shd w:val="clear" w:color="auto" w:fill="FFFFFF"/>
        <w:ind w:left="720" w:right="720"/>
        <w:jc w:val="both"/>
        <w:rPr>
          <w:rFonts w:ascii="Arial" w:hAnsi="Arial" w:cs="Arial"/>
          <w:color w:val="000000"/>
          <w:sz w:val="20"/>
          <w:szCs w:val="20"/>
        </w:rPr>
      </w:pPr>
      <w:bookmarkStart w:id="8" w:name="4905.03(G)"/>
      <w:r w:rsidRPr="008C5355">
        <w:rPr>
          <w:rFonts w:ascii="Arial" w:hAnsi="Arial" w:cs="Arial"/>
          <w:sz w:val="20"/>
          <w:szCs w:val="20"/>
        </w:rPr>
        <w:t>(G)</w:t>
      </w:r>
      <w:bookmarkEnd w:id="8"/>
      <w:r w:rsidRPr="008C5355">
        <w:rPr>
          <w:rStyle w:val="apple-converted-space"/>
          <w:rFonts w:ascii="Arial" w:hAnsi="Arial" w:cs="Arial"/>
          <w:color w:val="000000"/>
        </w:rPr>
        <w:t xml:space="preserve">  </w:t>
      </w:r>
      <w:r w:rsidRPr="008C5355">
        <w:rPr>
          <w:rFonts w:ascii="Arial" w:hAnsi="Arial" w:cs="Arial"/>
          <w:color w:val="000000"/>
          <w:sz w:val="20"/>
          <w:szCs w:val="20"/>
        </w:rPr>
        <w:t>A water-works company, when engaged in the business of supplying water through pipes or tubing, or in a similar manner, to consumers within this state;</w:t>
      </w:r>
    </w:p>
    <w:p w14:paraId="0EE0B5C5" w14:textId="77777777" w:rsidR="00F3177B" w:rsidRPr="008C5355" w:rsidRDefault="00F3177B" w:rsidP="00483956">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8B"/>
          <w:sz w:val="20"/>
          <w:szCs w:val="20"/>
        </w:rPr>
        <w:t>…</w:t>
      </w:r>
    </w:p>
    <w:p w14:paraId="5DAA056E" w14:textId="77777777" w:rsidR="00F3177B" w:rsidRPr="008C5355" w:rsidRDefault="00F3177B" w:rsidP="00483956">
      <w:pPr>
        <w:pStyle w:val="NormalWeb"/>
        <w:shd w:val="clear" w:color="auto" w:fill="FFFFFF"/>
        <w:spacing w:after="120"/>
        <w:ind w:left="720" w:right="720"/>
        <w:jc w:val="both"/>
        <w:rPr>
          <w:rFonts w:ascii="Arial" w:hAnsi="Arial" w:cs="Arial"/>
        </w:rPr>
      </w:pPr>
      <w:bookmarkStart w:id="9" w:name="4905.03(M)"/>
      <w:r w:rsidRPr="008C5355">
        <w:rPr>
          <w:rFonts w:ascii="Arial" w:hAnsi="Arial" w:cs="Arial"/>
          <w:sz w:val="20"/>
          <w:szCs w:val="20"/>
        </w:rPr>
        <w:t>(M)</w:t>
      </w:r>
      <w:bookmarkEnd w:id="9"/>
      <w:r w:rsidRPr="008C5355">
        <w:rPr>
          <w:rStyle w:val="apple-converted-space"/>
          <w:rFonts w:ascii="Arial" w:hAnsi="Arial" w:cs="Arial"/>
          <w:color w:val="000000"/>
        </w:rPr>
        <w:t xml:space="preserve">  </w:t>
      </w:r>
      <w:r w:rsidRPr="008C5355">
        <w:rPr>
          <w:rFonts w:ascii="Arial" w:hAnsi="Arial" w:cs="Arial"/>
          <w:color w:val="000000"/>
          <w:sz w:val="20"/>
          <w:szCs w:val="20"/>
        </w:rPr>
        <w:t>A sewage disposal system company, when engaged in the business of sewage disposal services through pipes or tubing, and treatment works, or in a similar manner, within this state.</w:t>
      </w:r>
    </w:p>
  </w:footnote>
  <w:footnote w:id="3">
    <w:p w14:paraId="5E9F3602" w14:textId="4258D6D3" w:rsidR="001D433E" w:rsidRDefault="001D433E">
      <w:pPr>
        <w:pStyle w:val="FootnoteText"/>
      </w:pPr>
      <w:r>
        <w:rPr>
          <w:rStyle w:val="FootnoteReference"/>
        </w:rPr>
        <w:footnoteRef/>
      </w:r>
      <w:r>
        <w:t xml:space="preserve"> </w:t>
      </w:r>
      <w:r w:rsidR="00514A31" w:rsidRPr="00514A31">
        <w:t xml:space="preserve">Under R.C. 4928.08, the Commission has the authority to regulate the providers of competitive electric services.  This authority may extend to the resale of electric services by submetering companies.  </w:t>
      </w:r>
      <w:r w:rsidR="00514A31">
        <w:t xml:space="preserve">On the other hand, </w:t>
      </w:r>
      <w:r w:rsidR="00514A31">
        <w:rPr>
          <w:rFonts w:eastAsia="Times New Roman" w:cs="Arial"/>
        </w:rPr>
        <w:t>s</w:t>
      </w:r>
      <w:r w:rsidRPr="002C4FAC">
        <w:rPr>
          <w:rFonts w:eastAsia="Times New Roman" w:cs="Arial"/>
        </w:rPr>
        <w:t xml:space="preserve">tatutory exceptions also may prevent the Commission from exercising regulatory authority over the provision of services.  For example, the Commission lacks jurisdiction over cooperative and municipal electric light companies.  </w:t>
      </w:r>
      <w:proofErr w:type="gramStart"/>
      <w:r w:rsidRPr="002C4FAC">
        <w:rPr>
          <w:rFonts w:eastAsia="Times New Roman" w:cs="Arial"/>
        </w:rPr>
        <w:t>R.C. 4905.02(A).</w:t>
      </w:r>
      <w:proofErr w:type="gramEnd"/>
      <w:r w:rsidRPr="002C4FAC">
        <w:rPr>
          <w:rFonts w:eastAsia="Times New Roman" w:cs="Arial"/>
        </w:rPr>
        <w:t xml:space="preserve">  Also, R.C. 4905.03(E) provides, “The commission, upon application made to it, may relieve any producer or gatherer of natural gas, defined in this section as a gas company or a natural gas company, of compliance with the obligations imposed by this chapter and Chapters 4901., 4903., 4907., 4909., 4921., and 4923</w:t>
      </w:r>
      <w:proofErr w:type="gramStart"/>
      <w:r w:rsidRPr="002C4FAC">
        <w:rPr>
          <w:rFonts w:eastAsia="Times New Roman" w:cs="Arial"/>
        </w:rPr>
        <w:t xml:space="preserve">. </w:t>
      </w:r>
      <w:proofErr w:type="gramEnd"/>
      <w:r w:rsidRPr="002C4FAC">
        <w:rPr>
          <w:rFonts w:eastAsia="Times New Roman" w:cs="Arial"/>
        </w:rPr>
        <w:t xml:space="preserve">of the Revised Code, so long as the producer or gatherer is not affiliated with or under the control of a gas company or a natural gas company engaged in the transportation or distribution of natural gas, or so long as the producer or gatherer does not engage in the distribution of natural gas to consumers.”  </w:t>
      </w:r>
      <w:r w:rsidRPr="002C4FAC">
        <w:rPr>
          <w:rFonts w:eastAsia="Times New Roman" w:cs="Arial"/>
          <w:i/>
        </w:rPr>
        <w:t>See, e.g., In the Matter of the Application of American Landfill Gas Company for Relief from Compliance with the Obligations Imposed by Chapters 4901, 4903, 4905, 4907, 4909, 4921, and 4923 of the Ohio Revised Code</w:t>
      </w:r>
      <w:r w:rsidRPr="002C4FAC">
        <w:rPr>
          <w:rFonts w:eastAsia="Times New Roman" w:cs="Arial"/>
        </w:rPr>
        <w:t xml:space="preserve">, Case No. 97-194-GA-ARJ, Entry at 2 (Apr. 17, 1997).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CA48" w14:textId="77777777" w:rsidR="005413CE" w:rsidRDefault="005413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3E24" w14:textId="77777777" w:rsidR="00643DE8" w:rsidRDefault="00643D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06BC" w14:textId="77777777" w:rsidR="00643DE8" w:rsidRDefault="00643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C2A0" w14:textId="77777777" w:rsidR="005413CE" w:rsidRDefault="00541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D922" w14:textId="77777777" w:rsidR="005413CE" w:rsidRDefault="005413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DA8FA" w14:textId="77777777" w:rsidR="00643DE8" w:rsidRDefault="00643D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4D9F" w14:textId="77777777" w:rsidR="00643DE8" w:rsidRDefault="00643D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561A" w14:textId="77777777" w:rsidR="00643DE8" w:rsidRDefault="00643D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BC8D" w14:textId="77777777" w:rsidR="00643DE8" w:rsidRDefault="00643D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55AE" w14:textId="77777777" w:rsidR="00643DE8" w:rsidRDefault="00643D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8FBD" w14:textId="77777777" w:rsidR="00643DE8" w:rsidRDefault="00643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D5723"/>
    <w:multiLevelType w:val="multilevel"/>
    <w:tmpl w:val="4D449064"/>
    <w:name w:val="IEU-Ohio Headings"/>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1"/>
    <w:docVar w:name="TOCRun" w:val="True"/>
    <w:docVar w:name="TOCSpecialLevels1" w:val="False"/>
    <w:docVar w:name="UnderlineTOCLevel1" w:val="False"/>
    <w:docVar w:name="UpperLevelTOC" w:val="3"/>
  </w:docVars>
  <w:rsids>
    <w:rsidRoot w:val="00A3217E"/>
    <w:rsid w:val="00000E32"/>
    <w:rsid w:val="00000E60"/>
    <w:rsid w:val="000133C1"/>
    <w:rsid w:val="00014ABA"/>
    <w:rsid w:val="00014DEC"/>
    <w:rsid w:val="00025541"/>
    <w:rsid w:val="00027C61"/>
    <w:rsid w:val="00041C2A"/>
    <w:rsid w:val="0004270D"/>
    <w:rsid w:val="00052360"/>
    <w:rsid w:val="00060954"/>
    <w:rsid w:val="00076A84"/>
    <w:rsid w:val="000A7190"/>
    <w:rsid w:val="000B5CD4"/>
    <w:rsid w:val="000C0625"/>
    <w:rsid w:val="000D31B1"/>
    <w:rsid w:val="000D78F1"/>
    <w:rsid w:val="000F0734"/>
    <w:rsid w:val="000F096E"/>
    <w:rsid w:val="000F4F8C"/>
    <w:rsid w:val="0011444D"/>
    <w:rsid w:val="001177CD"/>
    <w:rsid w:val="001235DF"/>
    <w:rsid w:val="00131FCF"/>
    <w:rsid w:val="00147660"/>
    <w:rsid w:val="001563FC"/>
    <w:rsid w:val="00161970"/>
    <w:rsid w:val="0016488D"/>
    <w:rsid w:val="00167471"/>
    <w:rsid w:val="001714E4"/>
    <w:rsid w:val="00172DA6"/>
    <w:rsid w:val="00183D93"/>
    <w:rsid w:val="0018674C"/>
    <w:rsid w:val="00187AC3"/>
    <w:rsid w:val="00190739"/>
    <w:rsid w:val="001965EB"/>
    <w:rsid w:val="001A2330"/>
    <w:rsid w:val="001A6726"/>
    <w:rsid w:val="001B68E2"/>
    <w:rsid w:val="001D0D68"/>
    <w:rsid w:val="001D433E"/>
    <w:rsid w:val="001F1229"/>
    <w:rsid w:val="001F4CE0"/>
    <w:rsid w:val="001F7751"/>
    <w:rsid w:val="002107EC"/>
    <w:rsid w:val="002173DE"/>
    <w:rsid w:val="00217E3F"/>
    <w:rsid w:val="0022502B"/>
    <w:rsid w:val="002263AA"/>
    <w:rsid w:val="00237326"/>
    <w:rsid w:val="0023776E"/>
    <w:rsid w:val="00252936"/>
    <w:rsid w:val="00262332"/>
    <w:rsid w:val="00274AD2"/>
    <w:rsid w:val="0027628A"/>
    <w:rsid w:val="00282150"/>
    <w:rsid w:val="002864B9"/>
    <w:rsid w:val="002A6D54"/>
    <w:rsid w:val="002B1E94"/>
    <w:rsid w:val="002C0224"/>
    <w:rsid w:val="002C67EE"/>
    <w:rsid w:val="002D794C"/>
    <w:rsid w:val="002E26DC"/>
    <w:rsid w:val="002E48F7"/>
    <w:rsid w:val="002E7622"/>
    <w:rsid w:val="002F1A5E"/>
    <w:rsid w:val="002F31E6"/>
    <w:rsid w:val="0030195B"/>
    <w:rsid w:val="003024B3"/>
    <w:rsid w:val="00304A10"/>
    <w:rsid w:val="00315659"/>
    <w:rsid w:val="0031701C"/>
    <w:rsid w:val="003257F5"/>
    <w:rsid w:val="003419EC"/>
    <w:rsid w:val="0035660C"/>
    <w:rsid w:val="0035744D"/>
    <w:rsid w:val="00382ECD"/>
    <w:rsid w:val="0039072A"/>
    <w:rsid w:val="003908AC"/>
    <w:rsid w:val="003909B1"/>
    <w:rsid w:val="00394133"/>
    <w:rsid w:val="00396B3F"/>
    <w:rsid w:val="003A1E04"/>
    <w:rsid w:val="003A7197"/>
    <w:rsid w:val="003B2E59"/>
    <w:rsid w:val="003C424D"/>
    <w:rsid w:val="003D130D"/>
    <w:rsid w:val="003D2F61"/>
    <w:rsid w:val="003E1CCB"/>
    <w:rsid w:val="003E4250"/>
    <w:rsid w:val="003F0008"/>
    <w:rsid w:val="003F4D82"/>
    <w:rsid w:val="003F6303"/>
    <w:rsid w:val="003F6D88"/>
    <w:rsid w:val="00416BB0"/>
    <w:rsid w:val="00421FF1"/>
    <w:rsid w:val="00432DEC"/>
    <w:rsid w:val="00434801"/>
    <w:rsid w:val="00435925"/>
    <w:rsid w:val="00443D35"/>
    <w:rsid w:val="00444722"/>
    <w:rsid w:val="004478C4"/>
    <w:rsid w:val="00455D9E"/>
    <w:rsid w:val="00472BD5"/>
    <w:rsid w:val="00483956"/>
    <w:rsid w:val="0048458D"/>
    <w:rsid w:val="0049457A"/>
    <w:rsid w:val="00494D32"/>
    <w:rsid w:val="004A6F6D"/>
    <w:rsid w:val="004B3828"/>
    <w:rsid w:val="004C6F35"/>
    <w:rsid w:val="004E545F"/>
    <w:rsid w:val="004F76A2"/>
    <w:rsid w:val="004F77C6"/>
    <w:rsid w:val="00510DE3"/>
    <w:rsid w:val="0051330C"/>
    <w:rsid w:val="00514A31"/>
    <w:rsid w:val="0051629B"/>
    <w:rsid w:val="005401A1"/>
    <w:rsid w:val="005413CE"/>
    <w:rsid w:val="0054196E"/>
    <w:rsid w:val="00553B0F"/>
    <w:rsid w:val="00557259"/>
    <w:rsid w:val="00557CD0"/>
    <w:rsid w:val="00567DF5"/>
    <w:rsid w:val="005744F8"/>
    <w:rsid w:val="00581D0A"/>
    <w:rsid w:val="00594167"/>
    <w:rsid w:val="005B2285"/>
    <w:rsid w:val="005C15E1"/>
    <w:rsid w:val="005C2703"/>
    <w:rsid w:val="005C2C4E"/>
    <w:rsid w:val="005C5D5B"/>
    <w:rsid w:val="005D0CDF"/>
    <w:rsid w:val="005D14E5"/>
    <w:rsid w:val="005D3727"/>
    <w:rsid w:val="005E34C0"/>
    <w:rsid w:val="005E41D8"/>
    <w:rsid w:val="005E7F75"/>
    <w:rsid w:val="005F6A60"/>
    <w:rsid w:val="006052A9"/>
    <w:rsid w:val="00610312"/>
    <w:rsid w:val="00616582"/>
    <w:rsid w:val="006221E5"/>
    <w:rsid w:val="0063372F"/>
    <w:rsid w:val="00636D80"/>
    <w:rsid w:val="00643DE8"/>
    <w:rsid w:val="00645FE3"/>
    <w:rsid w:val="00650E52"/>
    <w:rsid w:val="006511B6"/>
    <w:rsid w:val="00652AE1"/>
    <w:rsid w:val="0067206B"/>
    <w:rsid w:val="0067438F"/>
    <w:rsid w:val="006822B5"/>
    <w:rsid w:val="0068331C"/>
    <w:rsid w:val="00683D70"/>
    <w:rsid w:val="00685E38"/>
    <w:rsid w:val="006937E6"/>
    <w:rsid w:val="006974D0"/>
    <w:rsid w:val="006B711D"/>
    <w:rsid w:val="006C02E8"/>
    <w:rsid w:val="006C658D"/>
    <w:rsid w:val="006D2ABB"/>
    <w:rsid w:val="006D39AC"/>
    <w:rsid w:val="006D6D28"/>
    <w:rsid w:val="006D7269"/>
    <w:rsid w:val="00710033"/>
    <w:rsid w:val="00717E7F"/>
    <w:rsid w:val="0073583E"/>
    <w:rsid w:val="007412BA"/>
    <w:rsid w:val="00760791"/>
    <w:rsid w:val="007615E6"/>
    <w:rsid w:val="00765C90"/>
    <w:rsid w:val="007776A3"/>
    <w:rsid w:val="007806B6"/>
    <w:rsid w:val="007807A2"/>
    <w:rsid w:val="0078085B"/>
    <w:rsid w:val="00780C82"/>
    <w:rsid w:val="007A7CC2"/>
    <w:rsid w:val="007A7E46"/>
    <w:rsid w:val="007B02B1"/>
    <w:rsid w:val="007C339A"/>
    <w:rsid w:val="007C3A1A"/>
    <w:rsid w:val="007D0458"/>
    <w:rsid w:val="007D2FFF"/>
    <w:rsid w:val="007E0DBF"/>
    <w:rsid w:val="007E6C89"/>
    <w:rsid w:val="007F4F77"/>
    <w:rsid w:val="007F5EF3"/>
    <w:rsid w:val="00804FFB"/>
    <w:rsid w:val="00805393"/>
    <w:rsid w:val="008117A6"/>
    <w:rsid w:val="00813A75"/>
    <w:rsid w:val="00814789"/>
    <w:rsid w:val="00834748"/>
    <w:rsid w:val="008362EC"/>
    <w:rsid w:val="00855902"/>
    <w:rsid w:val="00860C11"/>
    <w:rsid w:val="008736E7"/>
    <w:rsid w:val="00876CEB"/>
    <w:rsid w:val="00881D57"/>
    <w:rsid w:val="00893835"/>
    <w:rsid w:val="0089601C"/>
    <w:rsid w:val="008A139C"/>
    <w:rsid w:val="008A2526"/>
    <w:rsid w:val="008B55A8"/>
    <w:rsid w:val="008B6E25"/>
    <w:rsid w:val="008C326C"/>
    <w:rsid w:val="008C5026"/>
    <w:rsid w:val="008D0562"/>
    <w:rsid w:val="008D75A8"/>
    <w:rsid w:val="008E0FA7"/>
    <w:rsid w:val="008E3BF4"/>
    <w:rsid w:val="008E41D0"/>
    <w:rsid w:val="008E50EB"/>
    <w:rsid w:val="008E69EE"/>
    <w:rsid w:val="008F3631"/>
    <w:rsid w:val="008F4252"/>
    <w:rsid w:val="00901901"/>
    <w:rsid w:val="009024AC"/>
    <w:rsid w:val="00912FB8"/>
    <w:rsid w:val="00921A37"/>
    <w:rsid w:val="00922ECA"/>
    <w:rsid w:val="009246F9"/>
    <w:rsid w:val="00924A8A"/>
    <w:rsid w:val="009362BE"/>
    <w:rsid w:val="00946E1A"/>
    <w:rsid w:val="00957D9C"/>
    <w:rsid w:val="0096389A"/>
    <w:rsid w:val="009653D0"/>
    <w:rsid w:val="00970F37"/>
    <w:rsid w:val="0097187F"/>
    <w:rsid w:val="00975830"/>
    <w:rsid w:val="009873D8"/>
    <w:rsid w:val="00990653"/>
    <w:rsid w:val="0099794A"/>
    <w:rsid w:val="009A1C9A"/>
    <w:rsid w:val="009B194C"/>
    <w:rsid w:val="009C00AB"/>
    <w:rsid w:val="009C34DD"/>
    <w:rsid w:val="009C6F25"/>
    <w:rsid w:val="009D0E0B"/>
    <w:rsid w:val="009D4D75"/>
    <w:rsid w:val="009E12C8"/>
    <w:rsid w:val="009E329E"/>
    <w:rsid w:val="009E5F3F"/>
    <w:rsid w:val="009F2757"/>
    <w:rsid w:val="009F429A"/>
    <w:rsid w:val="009F729E"/>
    <w:rsid w:val="00A01853"/>
    <w:rsid w:val="00A14C22"/>
    <w:rsid w:val="00A30E28"/>
    <w:rsid w:val="00A3217E"/>
    <w:rsid w:val="00A351CA"/>
    <w:rsid w:val="00A4166E"/>
    <w:rsid w:val="00A53B56"/>
    <w:rsid w:val="00A62E0B"/>
    <w:rsid w:val="00A71F14"/>
    <w:rsid w:val="00A819FB"/>
    <w:rsid w:val="00A83A69"/>
    <w:rsid w:val="00AA7E0F"/>
    <w:rsid w:val="00AB24EB"/>
    <w:rsid w:val="00AC21C8"/>
    <w:rsid w:val="00AD07DB"/>
    <w:rsid w:val="00AD2EF5"/>
    <w:rsid w:val="00AD57CE"/>
    <w:rsid w:val="00AE3897"/>
    <w:rsid w:val="00AF3A10"/>
    <w:rsid w:val="00B0014E"/>
    <w:rsid w:val="00B04A4A"/>
    <w:rsid w:val="00B0556E"/>
    <w:rsid w:val="00B06337"/>
    <w:rsid w:val="00B077D2"/>
    <w:rsid w:val="00B26477"/>
    <w:rsid w:val="00B27650"/>
    <w:rsid w:val="00B36BFA"/>
    <w:rsid w:val="00B42721"/>
    <w:rsid w:val="00B5096A"/>
    <w:rsid w:val="00B63088"/>
    <w:rsid w:val="00B64935"/>
    <w:rsid w:val="00B73263"/>
    <w:rsid w:val="00B749BA"/>
    <w:rsid w:val="00B81E28"/>
    <w:rsid w:val="00B86285"/>
    <w:rsid w:val="00B87BD8"/>
    <w:rsid w:val="00B90DB5"/>
    <w:rsid w:val="00B96298"/>
    <w:rsid w:val="00B968B3"/>
    <w:rsid w:val="00BB13AB"/>
    <w:rsid w:val="00BC363F"/>
    <w:rsid w:val="00BC4984"/>
    <w:rsid w:val="00BD0E71"/>
    <w:rsid w:val="00BD749C"/>
    <w:rsid w:val="00BE0582"/>
    <w:rsid w:val="00BE36D5"/>
    <w:rsid w:val="00BE3F60"/>
    <w:rsid w:val="00BF0840"/>
    <w:rsid w:val="00BF13CE"/>
    <w:rsid w:val="00BF3684"/>
    <w:rsid w:val="00BF6473"/>
    <w:rsid w:val="00C009D7"/>
    <w:rsid w:val="00C0405A"/>
    <w:rsid w:val="00C14EB9"/>
    <w:rsid w:val="00C1545B"/>
    <w:rsid w:val="00C16124"/>
    <w:rsid w:val="00C20DAE"/>
    <w:rsid w:val="00C26139"/>
    <w:rsid w:val="00C27E82"/>
    <w:rsid w:val="00C36D61"/>
    <w:rsid w:val="00C547DA"/>
    <w:rsid w:val="00C66489"/>
    <w:rsid w:val="00C72A89"/>
    <w:rsid w:val="00C734A1"/>
    <w:rsid w:val="00C775E1"/>
    <w:rsid w:val="00C813FB"/>
    <w:rsid w:val="00C8373C"/>
    <w:rsid w:val="00CA26E3"/>
    <w:rsid w:val="00CA4146"/>
    <w:rsid w:val="00CB69B6"/>
    <w:rsid w:val="00CC1BA8"/>
    <w:rsid w:val="00CC5E11"/>
    <w:rsid w:val="00CD65DC"/>
    <w:rsid w:val="00CD72BF"/>
    <w:rsid w:val="00CE417D"/>
    <w:rsid w:val="00CF2EBC"/>
    <w:rsid w:val="00CF456F"/>
    <w:rsid w:val="00CF5F33"/>
    <w:rsid w:val="00D06CB4"/>
    <w:rsid w:val="00D0794F"/>
    <w:rsid w:val="00D228BC"/>
    <w:rsid w:val="00D31FB6"/>
    <w:rsid w:val="00D344D2"/>
    <w:rsid w:val="00D4436B"/>
    <w:rsid w:val="00D53D85"/>
    <w:rsid w:val="00D60BE4"/>
    <w:rsid w:val="00D710C9"/>
    <w:rsid w:val="00D7619E"/>
    <w:rsid w:val="00D77318"/>
    <w:rsid w:val="00D77855"/>
    <w:rsid w:val="00D80424"/>
    <w:rsid w:val="00D829D7"/>
    <w:rsid w:val="00D91F8C"/>
    <w:rsid w:val="00DA1DD9"/>
    <w:rsid w:val="00DA2E03"/>
    <w:rsid w:val="00DB08BA"/>
    <w:rsid w:val="00DB2B63"/>
    <w:rsid w:val="00DB5A49"/>
    <w:rsid w:val="00DC25C8"/>
    <w:rsid w:val="00DE383D"/>
    <w:rsid w:val="00DE3C4D"/>
    <w:rsid w:val="00DF1D68"/>
    <w:rsid w:val="00DF6220"/>
    <w:rsid w:val="00DF7209"/>
    <w:rsid w:val="00DF74F1"/>
    <w:rsid w:val="00E00C05"/>
    <w:rsid w:val="00E055AB"/>
    <w:rsid w:val="00E05EF7"/>
    <w:rsid w:val="00E1283C"/>
    <w:rsid w:val="00E141DA"/>
    <w:rsid w:val="00E1615B"/>
    <w:rsid w:val="00E16D38"/>
    <w:rsid w:val="00E202BD"/>
    <w:rsid w:val="00E2261C"/>
    <w:rsid w:val="00E34C7E"/>
    <w:rsid w:val="00E44715"/>
    <w:rsid w:val="00E468B0"/>
    <w:rsid w:val="00E557D3"/>
    <w:rsid w:val="00E74885"/>
    <w:rsid w:val="00E93185"/>
    <w:rsid w:val="00EA3371"/>
    <w:rsid w:val="00EA40CA"/>
    <w:rsid w:val="00EB1413"/>
    <w:rsid w:val="00EB1B98"/>
    <w:rsid w:val="00EB2C0B"/>
    <w:rsid w:val="00EB3D35"/>
    <w:rsid w:val="00EC0AC4"/>
    <w:rsid w:val="00ED5B76"/>
    <w:rsid w:val="00EE4407"/>
    <w:rsid w:val="00EE4DAE"/>
    <w:rsid w:val="00EF19ED"/>
    <w:rsid w:val="00EF1FF8"/>
    <w:rsid w:val="00EF21F5"/>
    <w:rsid w:val="00EF40BE"/>
    <w:rsid w:val="00EF4262"/>
    <w:rsid w:val="00F042AF"/>
    <w:rsid w:val="00F10EF8"/>
    <w:rsid w:val="00F3177B"/>
    <w:rsid w:val="00F32BF9"/>
    <w:rsid w:val="00F330FE"/>
    <w:rsid w:val="00F36655"/>
    <w:rsid w:val="00F43989"/>
    <w:rsid w:val="00F52154"/>
    <w:rsid w:val="00F56077"/>
    <w:rsid w:val="00F60A8D"/>
    <w:rsid w:val="00F640F5"/>
    <w:rsid w:val="00F809B0"/>
    <w:rsid w:val="00F830B3"/>
    <w:rsid w:val="00F84763"/>
    <w:rsid w:val="00F911B9"/>
    <w:rsid w:val="00F95AE5"/>
    <w:rsid w:val="00FA507B"/>
    <w:rsid w:val="00FC218B"/>
    <w:rsid w:val="00FD0A73"/>
    <w:rsid w:val="00FD1CC5"/>
    <w:rsid w:val="00FE03D5"/>
    <w:rsid w:val="00FE31FD"/>
    <w:rsid w:val="00FF3993"/>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E7ACC"/>
  <w15:chartTrackingRefBased/>
  <w15:docId w15:val="{C5228124-F58C-4F53-9EC2-797DC989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60"/>
  </w:style>
  <w:style w:type="paragraph" w:styleId="Heading1">
    <w:name w:val="heading 1"/>
    <w:basedOn w:val="Normal"/>
    <w:next w:val="Normal"/>
    <w:link w:val="Heading1Char"/>
    <w:uiPriority w:val="9"/>
    <w:qFormat/>
    <w:rsid w:val="00EE4DAE"/>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EE4DAE"/>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EE4DAE"/>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EE4DAE"/>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EE4DAE"/>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EE4DAE"/>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EE4DAE"/>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EE4DAE"/>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EE4DAE"/>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77B"/>
    <w:rPr>
      <w:rFonts w:ascii="Times New Roman" w:hAnsi="Times New Roman" w:cs="Times New Roman"/>
    </w:rPr>
  </w:style>
  <w:style w:type="paragraph" w:styleId="FootnoteText">
    <w:name w:val="footnote text"/>
    <w:basedOn w:val="Normal"/>
    <w:link w:val="FootnoteTextChar"/>
    <w:uiPriority w:val="99"/>
    <w:semiHidden/>
    <w:unhideWhenUsed/>
    <w:rsid w:val="00F3177B"/>
    <w:pPr>
      <w:jc w:val="both"/>
    </w:pPr>
    <w:rPr>
      <w:sz w:val="20"/>
      <w:szCs w:val="20"/>
    </w:rPr>
  </w:style>
  <w:style w:type="character" w:customStyle="1" w:styleId="FootnoteTextChar">
    <w:name w:val="Footnote Text Char"/>
    <w:basedOn w:val="DefaultParagraphFont"/>
    <w:link w:val="FootnoteText"/>
    <w:uiPriority w:val="99"/>
    <w:semiHidden/>
    <w:rsid w:val="00F3177B"/>
    <w:rPr>
      <w:sz w:val="20"/>
      <w:szCs w:val="20"/>
    </w:rPr>
  </w:style>
  <w:style w:type="character" w:styleId="FootnoteReference">
    <w:name w:val="footnote reference"/>
    <w:aliases w:val="o,fr,(NECG) Footnote Reference,Style 17,Style 20,Style 13,Style 12,o1,fr1,o2,fr2,o3,fr3,Style 15,Style 8,Style 9,Style 18,Style 7,Style 19,Style 28,Style 42"/>
    <w:uiPriority w:val="99"/>
    <w:unhideWhenUsed/>
    <w:rsid w:val="00F3177B"/>
    <w:rPr>
      <w:vertAlign w:val="superscript"/>
    </w:rPr>
  </w:style>
  <w:style w:type="character" w:customStyle="1" w:styleId="apple-converted-space">
    <w:name w:val="apple-converted-space"/>
    <w:basedOn w:val="DefaultParagraphFont"/>
    <w:rsid w:val="00F3177B"/>
  </w:style>
  <w:style w:type="character" w:customStyle="1" w:styleId="ssit1">
    <w:name w:val="ss_it1"/>
    <w:basedOn w:val="DefaultParagraphFont"/>
    <w:rsid w:val="00F3177B"/>
    <w:rPr>
      <w:i/>
      <w:iCs/>
    </w:rPr>
  </w:style>
  <w:style w:type="paragraph" w:styleId="Header">
    <w:name w:val="header"/>
    <w:basedOn w:val="Normal"/>
    <w:link w:val="HeaderChar"/>
    <w:uiPriority w:val="99"/>
    <w:unhideWhenUsed/>
    <w:rsid w:val="00B73263"/>
    <w:pPr>
      <w:tabs>
        <w:tab w:val="center" w:pos="4680"/>
        <w:tab w:val="right" w:pos="9360"/>
      </w:tabs>
      <w:jc w:val="both"/>
    </w:pPr>
  </w:style>
  <w:style w:type="character" w:customStyle="1" w:styleId="HeaderChar">
    <w:name w:val="Header Char"/>
    <w:basedOn w:val="DefaultParagraphFont"/>
    <w:link w:val="Header"/>
    <w:uiPriority w:val="99"/>
    <w:rsid w:val="00B73263"/>
  </w:style>
  <w:style w:type="paragraph" w:styleId="Footer">
    <w:name w:val="footer"/>
    <w:basedOn w:val="Normal"/>
    <w:link w:val="FooterChar"/>
    <w:uiPriority w:val="99"/>
    <w:unhideWhenUsed/>
    <w:rsid w:val="00B73263"/>
    <w:pPr>
      <w:tabs>
        <w:tab w:val="center" w:pos="4680"/>
        <w:tab w:val="right" w:pos="9360"/>
      </w:tabs>
      <w:jc w:val="both"/>
    </w:pPr>
  </w:style>
  <w:style w:type="character" w:customStyle="1" w:styleId="FooterChar">
    <w:name w:val="Footer Char"/>
    <w:basedOn w:val="DefaultParagraphFont"/>
    <w:link w:val="Footer"/>
    <w:uiPriority w:val="99"/>
    <w:rsid w:val="00B73263"/>
  </w:style>
  <w:style w:type="character" w:customStyle="1" w:styleId="Heading1Char">
    <w:name w:val="Heading 1 Char"/>
    <w:basedOn w:val="DefaultParagraphFont"/>
    <w:link w:val="Heading1"/>
    <w:uiPriority w:val="9"/>
    <w:rsid w:val="00EE4DAE"/>
    <w:rPr>
      <w:rFonts w:eastAsiaTheme="majorEastAsia" w:cs="Arial"/>
      <w:b/>
      <w:caps/>
      <w:szCs w:val="32"/>
      <w:u w:val="single"/>
    </w:rPr>
  </w:style>
  <w:style w:type="character" w:customStyle="1" w:styleId="Heading2Char">
    <w:name w:val="Heading 2 Char"/>
    <w:basedOn w:val="DefaultParagraphFont"/>
    <w:link w:val="Heading2"/>
    <w:uiPriority w:val="9"/>
    <w:rsid w:val="00EE4DAE"/>
    <w:rPr>
      <w:rFonts w:eastAsiaTheme="majorEastAsia" w:cs="Arial"/>
      <w:b/>
      <w:szCs w:val="26"/>
    </w:rPr>
  </w:style>
  <w:style w:type="character" w:customStyle="1" w:styleId="Heading3Char">
    <w:name w:val="Heading 3 Char"/>
    <w:basedOn w:val="DefaultParagraphFont"/>
    <w:link w:val="Heading3"/>
    <w:uiPriority w:val="9"/>
    <w:semiHidden/>
    <w:rsid w:val="00EE4DAE"/>
    <w:rPr>
      <w:rFonts w:eastAsiaTheme="majorEastAsia" w:cs="Arial"/>
      <w:b/>
    </w:rPr>
  </w:style>
  <w:style w:type="character" w:customStyle="1" w:styleId="Heading4Char">
    <w:name w:val="Heading 4 Char"/>
    <w:basedOn w:val="DefaultParagraphFont"/>
    <w:link w:val="Heading4"/>
    <w:uiPriority w:val="9"/>
    <w:semiHidden/>
    <w:rsid w:val="00EE4DAE"/>
    <w:rPr>
      <w:rFonts w:eastAsiaTheme="majorEastAsia" w:cs="Arial"/>
      <w:b/>
      <w:i/>
      <w:iCs/>
    </w:rPr>
  </w:style>
  <w:style w:type="character" w:customStyle="1" w:styleId="Heading5Char">
    <w:name w:val="Heading 5 Char"/>
    <w:basedOn w:val="DefaultParagraphFont"/>
    <w:link w:val="Heading5"/>
    <w:uiPriority w:val="9"/>
    <w:semiHidden/>
    <w:rsid w:val="00EE4DAE"/>
    <w:rPr>
      <w:rFonts w:eastAsiaTheme="majorEastAsia" w:cs="Arial"/>
      <w:color w:val="243F60"/>
    </w:rPr>
  </w:style>
  <w:style w:type="character" w:customStyle="1" w:styleId="Heading6Char">
    <w:name w:val="Heading 6 Char"/>
    <w:basedOn w:val="DefaultParagraphFont"/>
    <w:link w:val="Heading6"/>
    <w:uiPriority w:val="9"/>
    <w:semiHidden/>
    <w:rsid w:val="00EE4DAE"/>
    <w:rPr>
      <w:rFonts w:eastAsiaTheme="majorEastAsia" w:cs="Arial"/>
      <w:color w:val="243F60"/>
    </w:rPr>
  </w:style>
  <w:style w:type="character" w:customStyle="1" w:styleId="Heading7Char">
    <w:name w:val="Heading 7 Char"/>
    <w:basedOn w:val="DefaultParagraphFont"/>
    <w:link w:val="Heading7"/>
    <w:uiPriority w:val="9"/>
    <w:semiHidden/>
    <w:rsid w:val="00EE4DAE"/>
    <w:rPr>
      <w:rFonts w:eastAsiaTheme="majorEastAsia" w:cs="Arial"/>
      <w:iCs/>
      <w:color w:val="404040"/>
    </w:rPr>
  </w:style>
  <w:style w:type="character" w:customStyle="1" w:styleId="Heading8Char">
    <w:name w:val="Heading 8 Char"/>
    <w:basedOn w:val="DefaultParagraphFont"/>
    <w:link w:val="Heading8"/>
    <w:uiPriority w:val="9"/>
    <w:semiHidden/>
    <w:rsid w:val="00EE4DAE"/>
    <w:rPr>
      <w:rFonts w:eastAsiaTheme="majorEastAsia" w:cs="Arial"/>
      <w:color w:val="404040"/>
      <w:szCs w:val="21"/>
    </w:rPr>
  </w:style>
  <w:style w:type="character" w:customStyle="1" w:styleId="Heading9Char">
    <w:name w:val="Heading 9 Char"/>
    <w:basedOn w:val="DefaultParagraphFont"/>
    <w:link w:val="Heading9"/>
    <w:uiPriority w:val="9"/>
    <w:semiHidden/>
    <w:rsid w:val="00EE4DAE"/>
    <w:rPr>
      <w:rFonts w:eastAsiaTheme="majorEastAsia" w:cs="Arial"/>
      <w:iCs/>
      <w:color w:val="404040"/>
      <w:szCs w:val="21"/>
    </w:rPr>
  </w:style>
  <w:style w:type="paragraph" w:styleId="ListParagraph">
    <w:name w:val="List Paragraph"/>
    <w:basedOn w:val="Normal"/>
    <w:uiPriority w:val="34"/>
    <w:qFormat/>
    <w:rsid w:val="00EE4DAE"/>
    <w:pPr>
      <w:ind w:left="720"/>
      <w:contextualSpacing/>
      <w:jc w:val="both"/>
    </w:pPr>
  </w:style>
  <w:style w:type="paragraph" w:styleId="BalloonText">
    <w:name w:val="Balloon Text"/>
    <w:basedOn w:val="Normal"/>
    <w:link w:val="BalloonTextChar"/>
    <w:uiPriority w:val="99"/>
    <w:semiHidden/>
    <w:unhideWhenUsed/>
    <w:rsid w:val="00FA5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7B"/>
    <w:rPr>
      <w:rFonts w:ascii="Segoe UI" w:hAnsi="Segoe UI" w:cs="Segoe UI"/>
      <w:sz w:val="18"/>
      <w:szCs w:val="18"/>
    </w:rPr>
  </w:style>
  <w:style w:type="character" w:styleId="CommentReference">
    <w:name w:val="annotation reference"/>
    <w:basedOn w:val="DefaultParagraphFont"/>
    <w:uiPriority w:val="99"/>
    <w:semiHidden/>
    <w:unhideWhenUsed/>
    <w:rsid w:val="000133C1"/>
    <w:rPr>
      <w:sz w:val="16"/>
      <w:szCs w:val="16"/>
    </w:rPr>
  </w:style>
  <w:style w:type="paragraph" w:styleId="CommentText">
    <w:name w:val="annotation text"/>
    <w:basedOn w:val="Normal"/>
    <w:link w:val="CommentTextChar"/>
    <w:uiPriority w:val="99"/>
    <w:semiHidden/>
    <w:unhideWhenUsed/>
    <w:rsid w:val="000133C1"/>
    <w:rPr>
      <w:sz w:val="20"/>
      <w:szCs w:val="20"/>
    </w:rPr>
  </w:style>
  <w:style w:type="character" w:customStyle="1" w:styleId="CommentTextChar">
    <w:name w:val="Comment Text Char"/>
    <w:basedOn w:val="DefaultParagraphFont"/>
    <w:link w:val="CommentText"/>
    <w:uiPriority w:val="99"/>
    <w:semiHidden/>
    <w:rsid w:val="000133C1"/>
    <w:rPr>
      <w:sz w:val="20"/>
      <w:szCs w:val="20"/>
    </w:rPr>
  </w:style>
  <w:style w:type="paragraph" w:styleId="CommentSubject">
    <w:name w:val="annotation subject"/>
    <w:basedOn w:val="CommentText"/>
    <w:next w:val="CommentText"/>
    <w:link w:val="CommentSubjectChar"/>
    <w:uiPriority w:val="99"/>
    <w:semiHidden/>
    <w:unhideWhenUsed/>
    <w:rsid w:val="000133C1"/>
    <w:rPr>
      <w:b/>
      <w:bCs/>
    </w:rPr>
  </w:style>
  <w:style w:type="character" w:customStyle="1" w:styleId="CommentSubjectChar">
    <w:name w:val="Comment Subject Char"/>
    <w:basedOn w:val="CommentTextChar"/>
    <w:link w:val="CommentSubject"/>
    <w:uiPriority w:val="99"/>
    <w:semiHidden/>
    <w:rsid w:val="000133C1"/>
    <w:rPr>
      <w:b/>
      <w:bCs/>
      <w:sz w:val="20"/>
      <w:szCs w:val="20"/>
    </w:rPr>
  </w:style>
  <w:style w:type="paragraph" w:styleId="Revision">
    <w:name w:val="Revision"/>
    <w:hidden/>
    <w:uiPriority w:val="99"/>
    <w:semiHidden/>
    <w:rsid w:val="000133C1"/>
  </w:style>
  <w:style w:type="character" w:styleId="Hyperlink">
    <w:name w:val="Hyperlink"/>
    <w:basedOn w:val="DefaultParagraphFont"/>
    <w:uiPriority w:val="99"/>
    <w:unhideWhenUsed/>
    <w:rsid w:val="00252936"/>
    <w:rPr>
      <w:color w:val="0000FF" w:themeColor="hyperlink"/>
      <w:u w:val="single"/>
    </w:rPr>
  </w:style>
  <w:style w:type="paragraph" w:styleId="BodyText">
    <w:name w:val="Body Text"/>
    <w:basedOn w:val="Normal"/>
    <w:link w:val="BodyTextChar"/>
    <w:rsid w:val="008B55A8"/>
    <w:pPr>
      <w:jc w:val="both"/>
    </w:pPr>
    <w:rPr>
      <w:rFonts w:eastAsia="Times New Roman" w:cs="Arial"/>
    </w:rPr>
  </w:style>
  <w:style w:type="character" w:customStyle="1" w:styleId="BodyTextChar">
    <w:name w:val="Body Text Char"/>
    <w:basedOn w:val="DefaultParagraphFont"/>
    <w:link w:val="BodyText"/>
    <w:rsid w:val="008B55A8"/>
    <w:rPr>
      <w:rFonts w:eastAsia="Times New Roman" w:cs="Arial"/>
    </w:rPr>
  </w:style>
  <w:style w:type="paragraph" w:styleId="TOCHeading">
    <w:name w:val="TOC Heading"/>
    <w:basedOn w:val="Normal"/>
    <w:next w:val="TOC1"/>
    <w:uiPriority w:val="39"/>
    <w:unhideWhenUsed/>
    <w:qFormat/>
    <w:rsid w:val="009E329E"/>
    <w:pPr>
      <w:keepNext/>
      <w:keepLines/>
      <w:spacing w:before="240" w:after="240"/>
      <w:jc w:val="center"/>
    </w:pPr>
    <w:rPr>
      <w:rFonts w:cs="Arial"/>
      <w:b/>
      <w:color w:val="000000"/>
    </w:rPr>
  </w:style>
  <w:style w:type="paragraph" w:styleId="TOC1">
    <w:name w:val="toc 1"/>
    <w:basedOn w:val="Normal"/>
    <w:next w:val="Normal"/>
    <w:autoRedefine/>
    <w:uiPriority w:val="39"/>
    <w:unhideWhenUsed/>
    <w:rsid w:val="009E329E"/>
    <w:pPr>
      <w:spacing w:after="100"/>
    </w:pPr>
  </w:style>
  <w:style w:type="paragraph" w:styleId="TOC2">
    <w:name w:val="toc 2"/>
    <w:basedOn w:val="Normal"/>
    <w:next w:val="Normal"/>
    <w:autoRedefine/>
    <w:uiPriority w:val="39"/>
    <w:unhideWhenUsed/>
    <w:rsid w:val="00C72A89"/>
    <w:pPr>
      <w:tabs>
        <w:tab w:val="left" w:pos="1440"/>
        <w:tab w:val="right" w:leader="dot" w:pos="9360"/>
      </w:tabs>
      <w:spacing w:after="100"/>
      <w:ind w:left="1440" w:right="720" w:hanging="960"/>
    </w:pPr>
  </w:style>
  <w:style w:type="paragraph" w:styleId="TOC3">
    <w:name w:val="toc 3"/>
    <w:basedOn w:val="Normal"/>
    <w:next w:val="Normal"/>
    <w:autoRedefine/>
    <w:uiPriority w:val="39"/>
    <w:semiHidden/>
    <w:unhideWhenUsed/>
    <w:rsid w:val="009E329E"/>
    <w:pPr>
      <w:spacing w:after="100"/>
      <w:ind w:left="480"/>
    </w:pPr>
  </w:style>
  <w:style w:type="paragraph" w:styleId="TOC4">
    <w:name w:val="toc 4"/>
    <w:basedOn w:val="Normal"/>
    <w:next w:val="Normal"/>
    <w:autoRedefine/>
    <w:uiPriority w:val="39"/>
    <w:semiHidden/>
    <w:unhideWhenUsed/>
    <w:rsid w:val="009E329E"/>
    <w:pPr>
      <w:spacing w:after="100"/>
      <w:ind w:left="720"/>
    </w:pPr>
  </w:style>
  <w:style w:type="paragraph" w:styleId="TOC5">
    <w:name w:val="toc 5"/>
    <w:basedOn w:val="Normal"/>
    <w:next w:val="Normal"/>
    <w:autoRedefine/>
    <w:uiPriority w:val="39"/>
    <w:semiHidden/>
    <w:unhideWhenUsed/>
    <w:rsid w:val="009E329E"/>
    <w:pPr>
      <w:spacing w:after="100"/>
      <w:ind w:left="960"/>
    </w:pPr>
  </w:style>
  <w:style w:type="paragraph" w:styleId="TOC6">
    <w:name w:val="toc 6"/>
    <w:basedOn w:val="Normal"/>
    <w:next w:val="Normal"/>
    <w:autoRedefine/>
    <w:uiPriority w:val="39"/>
    <w:semiHidden/>
    <w:unhideWhenUsed/>
    <w:rsid w:val="009E329E"/>
    <w:pPr>
      <w:spacing w:after="100"/>
      <w:ind w:left="1200"/>
    </w:pPr>
  </w:style>
  <w:style w:type="paragraph" w:styleId="TOC7">
    <w:name w:val="toc 7"/>
    <w:basedOn w:val="Normal"/>
    <w:next w:val="Normal"/>
    <w:autoRedefine/>
    <w:uiPriority w:val="39"/>
    <w:semiHidden/>
    <w:unhideWhenUsed/>
    <w:rsid w:val="009E329E"/>
    <w:pPr>
      <w:spacing w:after="100"/>
      <w:ind w:left="1440"/>
    </w:pPr>
  </w:style>
  <w:style w:type="paragraph" w:styleId="TOC8">
    <w:name w:val="toc 8"/>
    <w:basedOn w:val="Normal"/>
    <w:next w:val="Normal"/>
    <w:autoRedefine/>
    <w:uiPriority w:val="39"/>
    <w:semiHidden/>
    <w:unhideWhenUsed/>
    <w:rsid w:val="009E329E"/>
    <w:pPr>
      <w:spacing w:after="100"/>
      <w:ind w:left="1680"/>
    </w:pPr>
  </w:style>
  <w:style w:type="paragraph" w:styleId="TOC9">
    <w:name w:val="toc 9"/>
    <w:basedOn w:val="Normal"/>
    <w:next w:val="Normal"/>
    <w:autoRedefine/>
    <w:uiPriority w:val="39"/>
    <w:semiHidden/>
    <w:unhideWhenUsed/>
    <w:rsid w:val="009E329E"/>
    <w:pPr>
      <w:spacing w:after="100"/>
      <w:ind w:left="1920"/>
    </w:pPr>
  </w:style>
  <w:style w:type="paragraph" w:customStyle="1" w:styleId="TOCPage">
    <w:name w:val="TOC Page"/>
    <w:basedOn w:val="Normal"/>
    <w:next w:val="Normal"/>
    <w:link w:val="TOCPageChar"/>
    <w:rsid w:val="009E329E"/>
    <w:pPr>
      <w:tabs>
        <w:tab w:val="left" w:pos="4320"/>
      </w:tabs>
      <w:spacing w:after="240"/>
      <w:ind w:left="4320" w:hanging="4320"/>
      <w:jc w:val="right"/>
    </w:pPr>
    <w:rPr>
      <w:rFonts w:cs="Arial"/>
      <w:b/>
      <w:smallCaps/>
      <w:color w:val="000000"/>
    </w:rPr>
  </w:style>
  <w:style w:type="character" w:customStyle="1" w:styleId="TOCPageChar">
    <w:name w:val="TOC Page Char"/>
    <w:basedOn w:val="DefaultParagraphFont"/>
    <w:link w:val="TOCPage"/>
    <w:rsid w:val="009E329E"/>
    <w:rPr>
      <w:rFonts w:cs="Arial"/>
      <w:b/>
      <w:small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7253">
      <w:bodyDiv w:val="1"/>
      <w:marLeft w:val="0"/>
      <w:marRight w:val="0"/>
      <w:marTop w:val="0"/>
      <w:marBottom w:val="0"/>
      <w:divBdr>
        <w:top w:val="none" w:sz="0" w:space="0" w:color="auto"/>
        <w:left w:val="none" w:sz="0" w:space="0" w:color="auto"/>
        <w:bottom w:val="none" w:sz="0" w:space="0" w:color="auto"/>
        <w:right w:val="none" w:sz="0" w:space="0" w:color="auto"/>
      </w:divBdr>
    </w:div>
    <w:div w:id="386340035">
      <w:bodyDiv w:val="1"/>
      <w:marLeft w:val="0"/>
      <w:marRight w:val="0"/>
      <w:marTop w:val="0"/>
      <w:marBottom w:val="0"/>
      <w:divBdr>
        <w:top w:val="none" w:sz="0" w:space="0" w:color="auto"/>
        <w:left w:val="none" w:sz="0" w:space="0" w:color="auto"/>
        <w:bottom w:val="none" w:sz="0" w:space="0" w:color="auto"/>
        <w:right w:val="none" w:sz="0" w:space="0" w:color="auto"/>
      </w:divBdr>
    </w:div>
    <w:div w:id="1350376034">
      <w:bodyDiv w:val="1"/>
      <w:marLeft w:val="0"/>
      <w:marRight w:val="0"/>
      <w:marTop w:val="0"/>
      <w:marBottom w:val="0"/>
      <w:divBdr>
        <w:top w:val="none" w:sz="0" w:space="0" w:color="auto"/>
        <w:left w:val="none" w:sz="0" w:space="0" w:color="auto"/>
        <w:bottom w:val="none" w:sz="0" w:space="0" w:color="auto"/>
        <w:right w:val="none" w:sz="0" w:space="0" w:color="auto"/>
      </w:divBdr>
    </w:div>
    <w:div w:id="1893157033">
      <w:bodyDiv w:val="1"/>
      <w:marLeft w:val="0"/>
      <w:marRight w:val="0"/>
      <w:marTop w:val="0"/>
      <w:marBottom w:val="0"/>
      <w:divBdr>
        <w:top w:val="none" w:sz="0" w:space="0" w:color="auto"/>
        <w:left w:val="none" w:sz="0" w:space="0" w:color="auto"/>
        <w:bottom w:val="none" w:sz="0" w:space="0" w:color="auto"/>
        <w:right w:val="none" w:sz="0" w:space="0" w:color="auto"/>
      </w:divBdr>
    </w:div>
    <w:div w:id="2073186469">
      <w:bodyDiv w:val="1"/>
      <w:marLeft w:val="0"/>
      <w:marRight w:val="0"/>
      <w:marTop w:val="0"/>
      <w:marBottom w:val="0"/>
      <w:divBdr>
        <w:top w:val="none" w:sz="0" w:space="0" w:color="auto"/>
        <w:left w:val="none" w:sz="0" w:space="0" w:color="auto"/>
        <w:bottom w:val="none" w:sz="0" w:space="0" w:color="auto"/>
        <w:right w:val="none" w:sz="0" w:space="0" w:color="auto"/>
      </w:divBdr>
    </w:div>
    <w:div w:id="21235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yperlink" Target="mailto:ktreadway@oneenergyllc.com" TargetMode="External"/><Relationship Id="rId21" Type="http://schemas.openxmlformats.org/officeDocument/2006/relationships/header" Target="header6.xml"/><Relationship Id="rId34" Type="http://schemas.openxmlformats.org/officeDocument/2006/relationships/hyperlink" Target="mailto:gkrassen@bricker.com" TargetMode="External"/><Relationship Id="rId42" Type="http://schemas.openxmlformats.org/officeDocument/2006/relationships/hyperlink" Target="mailto:whitt@whitt-sturtevant.com" TargetMode="External"/><Relationship Id="rId47" Type="http://schemas.openxmlformats.org/officeDocument/2006/relationships/hyperlink" Target="mailto:msmckenzie@aep.com" TargetMode="External"/><Relationship Id="rId50" Type="http://schemas.openxmlformats.org/officeDocument/2006/relationships/hyperlink" Target="mailto:glpetrucci@vorys.com" TargetMode="External"/><Relationship Id="rId55" Type="http://schemas.openxmlformats.org/officeDocument/2006/relationships/hyperlink" Target="mailto:sdismukes@eckertseamans.com" TargetMode="External"/><Relationship Id="rId63" Type="http://schemas.openxmlformats.org/officeDocument/2006/relationships/footer" Target="footer10.xml"/><Relationship Id="rId7" Type="http://schemas.openxmlformats.org/officeDocument/2006/relationships/hyperlink" Target="mailto:rick.sites@ohiohospitals.org"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mailto:aemerson@porterwrigh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mailto:dclearfield@eckertseamans.com" TargetMode="External"/><Relationship Id="rId37" Type="http://schemas.openxmlformats.org/officeDocument/2006/relationships/hyperlink" Target="mailto:joliker@igsenergy.com" TargetMode="External"/><Relationship Id="rId40" Type="http://schemas.openxmlformats.org/officeDocument/2006/relationships/hyperlink" Target="mailto:bojko@carpenterlipps.com" TargetMode="External"/><Relationship Id="rId45" Type="http://schemas.openxmlformats.org/officeDocument/2006/relationships/hyperlink" Target="mailto:bryce.mckenney@puc.state.oh.us" TargetMode="External"/><Relationship Id="rId53" Type="http://schemas.openxmlformats.org/officeDocument/2006/relationships/hyperlink" Target="mailto:rbrundrett@ohiomfg.com" TargetMode="External"/><Relationship Id="rId58" Type="http://schemas.openxmlformats.org/officeDocument/2006/relationships/hyperlink" Target="mailto:terry.etter@occ.ohio.gov"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mailto:jbowser@mwncmh.com" TargetMode="External"/><Relationship Id="rId49" Type="http://schemas.openxmlformats.org/officeDocument/2006/relationships/hyperlink" Target="mailto:mhpetricoff@vorys.com" TargetMode="External"/><Relationship Id="rId57" Type="http://schemas.openxmlformats.org/officeDocument/2006/relationships/hyperlink" Target="mailto:dstinson@bricker.com" TargetMode="External"/><Relationship Id="rId61" Type="http://schemas.openxmlformats.org/officeDocument/2006/relationships/hyperlink" Target="mailto:william.wright@ohioattorneygeneral.gov" TargetMode="External"/><Relationship Id="rId10" Type="http://schemas.openxmlformats.org/officeDocument/2006/relationships/header" Target="header2.xml"/><Relationship Id="rId19" Type="http://schemas.openxmlformats.org/officeDocument/2006/relationships/hyperlink" Target="mailto:rick.sites@ohiohospitals.org" TargetMode="External"/><Relationship Id="rId31" Type="http://schemas.openxmlformats.org/officeDocument/2006/relationships/hyperlink" Target="mailto:cmooney@ohiopartners.org" TargetMode="External"/><Relationship Id="rId44" Type="http://schemas.openxmlformats.org/officeDocument/2006/relationships/hyperlink" Target="mailto:mjsatterwhite@aep.com" TargetMode="External"/><Relationship Id="rId52" Type="http://schemas.openxmlformats.org/officeDocument/2006/relationships/hyperlink" Target="mailto:rick.sites@ohiohospitals.org" TargetMode="External"/><Relationship Id="rId60" Type="http://schemas.openxmlformats.org/officeDocument/2006/relationships/hyperlink" Target="mailto:mswhite@igsenergy.com" TargetMode="External"/><Relationship Id="rId65"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yperlink" Target="mailto:campbell@whitt-sturtevant.com" TargetMode="External"/><Relationship Id="rId35" Type="http://schemas.openxmlformats.org/officeDocument/2006/relationships/hyperlink" Target="mailto:jodi.bair@occ.ohio.gov" TargetMode="External"/><Relationship Id="rId43" Type="http://schemas.openxmlformats.org/officeDocument/2006/relationships/hyperlink" Target="mailto:mcorbett@calfee.com" TargetMode="External"/><Relationship Id="rId48" Type="http://schemas.openxmlformats.org/officeDocument/2006/relationships/hyperlink" Target="mailto:stnourse@aep.com" TargetMode="External"/><Relationship Id="rId56" Type="http://schemas.openxmlformats.org/officeDocument/2006/relationships/hyperlink" Target="mailto:Amy.Spiller@Duke-Energy.com" TargetMode="External"/><Relationship Id="rId64" Type="http://schemas.openxmlformats.org/officeDocument/2006/relationships/header" Target="header11.xml"/><Relationship Id="rId8" Type="http://schemas.openxmlformats.org/officeDocument/2006/relationships/hyperlink" Target="mailto:rbrundrett@ohiomfg.com" TargetMode="External"/><Relationship Id="rId51" Type="http://schemas.openxmlformats.org/officeDocument/2006/relationships/hyperlink" Target="mailto:Randall.Griffin@aes.com"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mailto:dborchers@bricker.com" TargetMode="External"/><Relationship Id="rId38" Type="http://schemas.openxmlformats.org/officeDocument/2006/relationships/hyperlink" Target="mailto:jeckert@firstenergycorp.com" TargetMode="External"/><Relationship Id="rId46" Type="http://schemas.openxmlformats.org/officeDocument/2006/relationships/hyperlink" Target="mailto:mjsettineri@vorys.com" TargetMode="External"/><Relationship Id="rId59" Type="http://schemas.openxmlformats.org/officeDocument/2006/relationships/hyperlink" Target="mailto:elizabeth.watts@duke-energy.com" TargetMode="External"/><Relationship Id="rId67" Type="http://schemas.openxmlformats.org/officeDocument/2006/relationships/theme" Target="theme/theme1.xml"/><Relationship Id="rId20" Type="http://schemas.openxmlformats.org/officeDocument/2006/relationships/hyperlink" Target="mailto:rbrundrett@ohiomfg.com" TargetMode="External"/><Relationship Id="rId41" Type="http://schemas.openxmlformats.org/officeDocument/2006/relationships/hyperlink" Target="mailto:slesser@calfee.com" TargetMode="External"/><Relationship Id="rId54" Type="http://schemas.openxmlformats.org/officeDocument/2006/relationships/hyperlink" Target="mailto:sstoner@eckertseamans.com" TargetMode="External"/><Relationship Id="rId6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C03382-F82D-4A73-9200-BB06091F8A8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16</Pages>
  <Words>3439</Words>
  <Characters>19421</Characters>
  <Application>Microsoft Office Word</Application>
  <DocSecurity>0</DocSecurity>
  <PresentationFormat/>
  <Lines>413</Lines>
  <Paragraphs>159</Paragraphs>
  <ScaleCrop>false</ScaleCrop>
  <HeadingPairs>
    <vt:vector size="2" baseType="variant">
      <vt:variant>
        <vt:lpstr>Title</vt:lpstr>
      </vt:variant>
      <vt:variant>
        <vt:i4>1</vt:i4>
      </vt:variant>
    </vt:vector>
  </HeadingPairs>
  <TitlesOfParts>
    <vt:vector size="1" baseType="lpstr">
      <vt:lpstr>submetering; price test; initial comments (C0100404).DOCX</vt:lpstr>
    </vt:vector>
  </TitlesOfParts>
  <Company/>
  <LinksUpToDate>false</LinksUpToDate>
  <CharactersWithSpaces>22893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submetering; price test; initial comments (C0100404).DOCX</dc:title>
  <dc:subject>C0100404:1</dc:subject>
  <dc:creator>Frank Darr</dc:creator>
  <cp:keywords/>
  <dc:description/>
  <cp:lastModifiedBy>Karen Bowman</cp:lastModifiedBy>
  <cp:revision>2</cp:revision>
  <cp:lastPrinted>2017-01-13T19:28:00Z</cp:lastPrinted>
  <dcterms:created xsi:type="dcterms:W3CDTF">2017-01-13T19:31:00Z</dcterms:created>
  <dcterms:modified xsi:type="dcterms:W3CDTF">2017-01-13T19:31:00Z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12/28/2016 12:48:35 PM</vt:lpwstr>
  </property>
</Properties>
</file>