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00C" w:rsidRPr="00696012" w:rsidRDefault="0018700C" w:rsidP="0018700C">
      <w:pPr>
        <w:pStyle w:val="Title"/>
        <w:widowControl w:val="0"/>
        <w:rPr>
          <w:rFonts w:ascii="Arial" w:hAnsi="Arial" w:cs="Arial"/>
          <w:szCs w:val="24"/>
        </w:rPr>
      </w:pPr>
      <w:bookmarkStart w:id="0" w:name="_GoBack"/>
      <w:bookmarkEnd w:id="0"/>
      <w:r w:rsidRPr="00696012">
        <w:rPr>
          <w:rFonts w:ascii="Arial" w:hAnsi="Arial" w:cs="Arial"/>
          <w:szCs w:val="24"/>
        </w:rPr>
        <w:t>BEFORE</w:t>
      </w:r>
    </w:p>
    <w:p w:rsidR="0018700C" w:rsidRPr="00696012" w:rsidRDefault="0018700C" w:rsidP="0018700C">
      <w:pPr>
        <w:widowControl w:val="0"/>
        <w:jc w:val="center"/>
        <w:rPr>
          <w:rFonts w:ascii="Arial" w:hAnsi="Arial" w:cs="Arial"/>
          <w:b/>
          <w:sz w:val="24"/>
          <w:szCs w:val="24"/>
        </w:rPr>
      </w:pPr>
      <w:r w:rsidRPr="00696012">
        <w:rPr>
          <w:rFonts w:ascii="Arial" w:hAnsi="Arial" w:cs="Arial"/>
          <w:b/>
          <w:sz w:val="24"/>
          <w:szCs w:val="24"/>
        </w:rPr>
        <w:t>THE PUBLIC UTILITIES COMMISSION OF OHIO</w:t>
      </w:r>
    </w:p>
    <w:tbl>
      <w:tblPr>
        <w:tblW w:w="0" w:type="auto"/>
        <w:jc w:val="center"/>
        <w:tblInd w:w="-315" w:type="dxa"/>
        <w:tblLook w:val="01E0" w:firstRow="1" w:lastRow="1" w:firstColumn="1" w:lastColumn="1" w:noHBand="0" w:noVBand="0"/>
      </w:tblPr>
      <w:tblGrid>
        <w:gridCol w:w="4769"/>
        <w:gridCol w:w="634"/>
        <w:gridCol w:w="3954"/>
      </w:tblGrid>
      <w:tr w:rsidR="0018700C" w:rsidRPr="00696012" w:rsidTr="00176228">
        <w:trPr>
          <w:trHeight w:val="1288"/>
          <w:jc w:val="center"/>
        </w:trPr>
        <w:tc>
          <w:tcPr>
            <w:tcW w:w="4769" w:type="dxa"/>
          </w:tcPr>
          <w:p w:rsidR="0018700C" w:rsidRPr="00696012" w:rsidRDefault="0018700C" w:rsidP="00176228">
            <w:pPr>
              <w:widowControl w:val="0"/>
              <w:spacing w:after="0" w:line="240" w:lineRule="auto"/>
              <w:rPr>
                <w:rFonts w:ascii="Arial" w:hAnsi="Arial" w:cs="Arial"/>
                <w:sz w:val="24"/>
                <w:szCs w:val="24"/>
              </w:rPr>
            </w:pPr>
            <w:r w:rsidRPr="00696012">
              <w:rPr>
                <w:rFonts w:ascii="Arial" w:hAnsi="Arial" w:cs="Arial"/>
                <w:sz w:val="24"/>
                <w:szCs w:val="24"/>
              </w:rPr>
              <w:t>In the Matter of the Commission's Investigation of Ohio’s Retail Electric Service Market</w:t>
            </w:r>
          </w:p>
        </w:tc>
        <w:tc>
          <w:tcPr>
            <w:tcW w:w="634" w:type="dxa"/>
          </w:tcPr>
          <w:p w:rsidR="0018700C" w:rsidRPr="00696012" w:rsidRDefault="0018700C" w:rsidP="00176228">
            <w:pPr>
              <w:widowControl w:val="0"/>
              <w:spacing w:after="0" w:line="240" w:lineRule="auto"/>
              <w:jc w:val="center"/>
              <w:rPr>
                <w:rFonts w:ascii="Arial" w:hAnsi="Arial" w:cs="Arial"/>
                <w:sz w:val="24"/>
                <w:szCs w:val="24"/>
              </w:rPr>
            </w:pPr>
            <w:r w:rsidRPr="00696012">
              <w:rPr>
                <w:rFonts w:ascii="Arial" w:hAnsi="Arial" w:cs="Arial"/>
                <w:sz w:val="24"/>
                <w:szCs w:val="24"/>
              </w:rPr>
              <w:t>)</w:t>
            </w:r>
          </w:p>
          <w:p w:rsidR="0018700C" w:rsidRPr="00696012" w:rsidRDefault="0018700C" w:rsidP="00176228">
            <w:pPr>
              <w:widowControl w:val="0"/>
              <w:spacing w:after="0" w:line="240" w:lineRule="auto"/>
              <w:jc w:val="center"/>
              <w:rPr>
                <w:rFonts w:ascii="Arial" w:hAnsi="Arial" w:cs="Arial"/>
                <w:sz w:val="24"/>
                <w:szCs w:val="24"/>
              </w:rPr>
            </w:pPr>
            <w:r w:rsidRPr="00696012">
              <w:rPr>
                <w:rFonts w:ascii="Arial" w:hAnsi="Arial" w:cs="Arial"/>
                <w:sz w:val="24"/>
                <w:szCs w:val="24"/>
              </w:rPr>
              <w:t>)</w:t>
            </w:r>
          </w:p>
          <w:p w:rsidR="0018700C" w:rsidRPr="00696012" w:rsidRDefault="0018700C" w:rsidP="00176228">
            <w:pPr>
              <w:widowControl w:val="0"/>
              <w:spacing w:after="0" w:line="240" w:lineRule="auto"/>
              <w:jc w:val="center"/>
              <w:rPr>
                <w:rFonts w:ascii="Arial" w:hAnsi="Arial" w:cs="Arial"/>
                <w:sz w:val="24"/>
                <w:szCs w:val="24"/>
              </w:rPr>
            </w:pPr>
            <w:r w:rsidRPr="00696012">
              <w:rPr>
                <w:rFonts w:ascii="Arial" w:hAnsi="Arial" w:cs="Arial"/>
                <w:sz w:val="24"/>
                <w:szCs w:val="24"/>
              </w:rPr>
              <w:t>)</w:t>
            </w:r>
          </w:p>
        </w:tc>
        <w:tc>
          <w:tcPr>
            <w:tcW w:w="3954" w:type="dxa"/>
          </w:tcPr>
          <w:p w:rsidR="0018700C" w:rsidRPr="00696012" w:rsidRDefault="0018700C" w:rsidP="00176228">
            <w:pPr>
              <w:widowControl w:val="0"/>
              <w:spacing w:after="0" w:line="240" w:lineRule="auto"/>
              <w:rPr>
                <w:rFonts w:ascii="Arial" w:hAnsi="Arial" w:cs="Arial"/>
                <w:sz w:val="24"/>
                <w:szCs w:val="24"/>
              </w:rPr>
            </w:pPr>
          </w:p>
          <w:p w:rsidR="0018700C" w:rsidRPr="00696012" w:rsidRDefault="0018700C" w:rsidP="00176228">
            <w:pPr>
              <w:widowControl w:val="0"/>
              <w:spacing w:after="0" w:line="240" w:lineRule="auto"/>
              <w:rPr>
                <w:rFonts w:ascii="Arial" w:hAnsi="Arial" w:cs="Arial"/>
                <w:sz w:val="24"/>
                <w:szCs w:val="24"/>
              </w:rPr>
            </w:pPr>
            <w:r w:rsidRPr="00696012">
              <w:rPr>
                <w:rFonts w:ascii="Arial" w:hAnsi="Arial" w:cs="Arial"/>
                <w:sz w:val="24"/>
                <w:szCs w:val="24"/>
              </w:rPr>
              <w:t xml:space="preserve">Case No. </w:t>
            </w:r>
            <w:bookmarkStart w:id="1" w:name="OLE_LINK1"/>
            <w:bookmarkStart w:id="2" w:name="OLE_LINK2"/>
            <w:r w:rsidRPr="00696012">
              <w:rPr>
                <w:rFonts w:ascii="Arial" w:hAnsi="Arial" w:cs="Arial"/>
                <w:sz w:val="24"/>
                <w:szCs w:val="24"/>
              </w:rPr>
              <w:t>12-3151-EL-COI</w:t>
            </w:r>
            <w:bookmarkEnd w:id="1"/>
            <w:bookmarkEnd w:id="2"/>
          </w:p>
          <w:p w:rsidR="0018700C" w:rsidRPr="00696012" w:rsidRDefault="0018700C" w:rsidP="00176228">
            <w:pPr>
              <w:widowControl w:val="0"/>
              <w:spacing w:after="0" w:line="240" w:lineRule="auto"/>
              <w:rPr>
                <w:rFonts w:ascii="Arial" w:hAnsi="Arial" w:cs="Arial"/>
                <w:sz w:val="24"/>
                <w:szCs w:val="24"/>
              </w:rPr>
            </w:pPr>
          </w:p>
        </w:tc>
      </w:tr>
    </w:tbl>
    <w:p w:rsidR="0018700C" w:rsidRPr="00696012" w:rsidRDefault="0018700C" w:rsidP="0018700C">
      <w:pPr>
        <w:pStyle w:val="Footer"/>
        <w:pBdr>
          <w:top w:val="single" w:sz="12" w:space="1" w:color="auto"/>
          <w:bottom w:val="single" w:sz="12" w:space="1" w:color="auto"/>
        </w:pBdr>
        <w:tabs>
          <w:tab w:val="left" w:pos="4320"/>
        </w:tabs>
        <w:rPr>
          <w:rFonts w:ascii="Arial" w:hAnsi="Arial" w:cs="Arial"/>
          <w:sz w:val="24"/>
          <w:szCs w:val="24"/>
        </w:rPr>
      </w:pPr>
    </w:p>
    <w:p w:rsidR="0018700C" w:rsidRPr="00696012" w:rsidRDefault="0018700C" w:rsidP="0018700C">
      <w:pPr>
        <w:pStyle w:val="Footer"/>
        <w:pBdr>
          <w:top w:val="single" w:sz="12" w:space="1" w:color="auto"/>
          <w:bottom w:val="single" w:sz="12" w:space="1" w:color="auto"/>
        </w:pBdr>
        <w:tabs>
          <w:tab w:val="left" w:pos="4320"/>
        </w:tabs>
        <w:jc w:val="center"/>
        <w:rPr>
          <w:rFonts w:ascii="Arial" w:hAnsi="Arial" w:cs="Arial"/>
          <w:b/>
          <w:sz w:val="24"/>
          <w:szCs w:val="24"/>
        </w:rPr>
      </w:pPr>
      <w:r>
        <w:rPr>
          <w:rFonts w:ascii="Arial" w:hAnsi="Arial" w:cs="Arial"/>
          <w:b/>
          <w:sz w:val="24"/>
          <w:szCs w:val="24"/>
        </w:rPr>
        <w:t xml:space="preserve">REPLY </w:t>
      </w:r>
      <w:r w:rsidRPr="00696012">
        <w:rPr>
          <w:rFonts w:ascii="Arial" w:hAnsi="Arial" w:cs="Arial"/>
          <w:b/>
          <w:sz w:val="24"/>
          <w:szCs w:val="24"/>
        </w:rPr>
        <w:t xml:space="preserve">COMMENTS OF INTERSTATE GAS SUPPLY, INC </w:t>
      </w:r>
    </w:p>
    <w:p w:rsidR="0018700C" w:rsidRPr="00696012" w:rsidRDefault="0018700C" w:rsidP="0018700C">
      <w:pPr>
        <w:pStyle w:val="Footer"/>
        <w:pBdr>
          <w:top w:val="single" w:sz="12" w:space="1" w:color="auto"/>
          <w:bottom w:val="single" w:sz="12" w:space="1" w:color="auto"/>
        </w:pBdr>
        <w:tabs>
          <w:tab w:val="left" w:pos="4320"/>
        </w:tabs>
        <w:rPr>
          <w:rFonts w:ascii="Arial" w:hAnsi="Arial" w:cs="Arial"/>
          <w:sz w:val="24"/>
          <w:szCs w:val="24"/>
        </w:rPr>
      </w:pPr>
    </w:p>
    <w:p w:rsidR="0018700C" w:rsidRDefault="0018700C" w:rsidP="0018700C"/>
    <w:p w:rsidR="0018700C" w:rsidRDefault="0018700C" w:rsidP="0018700C">
      <w:pPr>
        <w:pStyle w:val="ListParagraph"/>
        <w:numPr>
          <w:ilvl w:val="0"/>
          <w:numId w:val="1"/>
        </w:numPr>
        <w:spacing w:line="480" w:lineRule="auto"/>
        <w:jc w:val="both"/>
        <w:rPr>
          <w:rFonts w:ascii="Arial" w:hAnsi="Arial" w:cs="Arial"/>
          <w:b/>
          <w:sz w:val="24"/>
          <w:szCs w:val="24"/>
        </w:rPr>
      </w:pPr>
      <w:r w:rsidRPr="0050475B">
        <w:rPr>
          <w:rFonts w:ascii="Arial" w:hAnsi="Arial" w:cs="Arial"/>
          <w:b/>
          <w:sz w:val="24"/>
          <w:szCs w:val="24"/>
        </w:rPr>
        <w:t>INTRODUCTION</w:t>
      </w:r>
    </w:p>
    <w:p w:rsidR="00AE3784" w:rsidRDefault="00AE3784" w:rsidP="0018700C">
      <w:pPr>
        <w:spacing w:line="480" w:lineRule="auto"/>
        <w:ind w:firstLine="360"/>
        <w:jc w:val="both"/>
        <w:rPr>
          <w:rFonts w:ascii="Arial" w:hAnsi="Arial" w:cs="Arial"/>
          <w:sz w:val="24"/>
          <w:szCs w:val="24"/>
        </w:rPr>
      </w:pPr>
      <w:r>
        <w:rPr>
          <w:rFonts w:ascii="Arial" w:hAnsi="Arial" w:cs="Arial"/>
          <w:sz w:val="24"/>
          <w:szCs w:val="24"/>
        </w:rPr>
        <w:t>On</w:t>
      </w:r>
      <w:r w:rsidR="00FA5834">
        <w:rPr>
          <w:rFonts w:ascii="Arial" w:hAnsi="Arial" w:cs="Arial"/>
          <w:sz w:val="24"/>
          <w:szCs w:val="24"/>
        </w:rPr>
        <w:t xml:space="preserve"> June 5</w:t>
      </w:r>
      <w:r w:rsidR="00FA5834" w:rsidRPr="00FA5834">
        <w:rPr>
          <w:rFonts w:ascii="Arial" w:hAnsi="Arial" w:cs="Arial"/>
          <w:sz w:val="24"/>
          <w:szCs w:val="24"/>
          <w:vertAlign w:val="superscript"/>
        </w:rPr>
        <w:t>th</w:t>
      </w:r>
      <w:r w:rsidR="00FA5834">
        <w:rPr>
          <w:rFonts w:ascii="Arial" w:hAnsi="Arial" w:cs="Arial"/>
          <w:sz w:val="24"/>
          <w:szCs w:val="24"/>
        </w:rPr>
        <w:t xml:space="preserve"> 2013 the Commission filed a</w:t>
      </w:r>
      <w:r w:rsidR="00E453AC">
        <w:rPr>
          <w:rFonts w:ascii="Arial" w:hAnsi="Arial" w:cs="Arial"/>
          <w:sz w:val="24"/>
          <w:szCs w:val="24"/>
        </w:rPr>
        <w:t>n Entry in this proceeding requesting comments and posing</w:t>
      </w:r>
      <w:r w:rsidR="00FA5834">
        <w:rPr>
          <w:rFonts w:ascii="Arial" w:hAnsi="Arial" w:cs="Arial"/>
          <w:sz w:val="24"/>
          <w:szCs w:val="24"/>
        </w:rPr>
        <w:t xml:space="preserve"> specific questions to interested parties that relate to the state of the retail electric markets in Ohio.  </w:t>
      </w:r>
      <w:r>
        <w:rPr>
          <w:rFonts w:ascii="Arial" w:hAnsi="Arial" w:cs="Arial"/>
          <w:sz w:val="24"/>
          <w:szCs w:val="24"/>
        </w:rPr>
        <w:t xml:space="preserve">On July 8, 2013, </w:t>
      </w:r>
      <w:r w:rsidR="0018700C">
        <w:rPr>
          <w:rFonts w:ascii="Arial" w:hAnsi="Arial" w:cs="Arial"/>
          <w:sz w:val="24"/>
          <w:szCs w:val="24"/>
        </w:rPr>
        <w:t>Interstate Gas Supply, Inc. (“IGS Energy”</w:t>
      </w:r>
      <w:r>
        <w:rPr>
          <w:rFonts w:ascii="Arial" w:hAnsi="Arial" w:cs="Arial"/>
          <w:sz w:val="24"/>
          <w:szCs w:val="24"/>
        </w:rPr>
        <w:t xml:space="preserve"> or “IGS”</w:t>
      </w:r>
      <w:r w:rsidR="0018700C">
        <w:rPr>
          <w:rFonts w:ascii="Arial" w:hAnsi="Arial" w:cs="Arial"/>
          <w:sz w:val="24"/>
          <w:szCs w:val="24"/>
        </w:rPr>
        <w:t xml:space="preserve">) </w:t>
      </w:r>
      <w:r>
        <w:rPr>
          <w:rFonts w:ascii="Arial" w:hAnsi="Arial" w:cs="Arial"/>
          <w:sz w:val="24"/>
          <w:szCs w:val="24"/>
        </w:rPr>
        <w:t>filed initial comments in response to the Commission’s June 5</w:t>
      </w:r>
      <w:r w:rsidRPr="00AE3784">
        <w:rPr>
          <w:rFonts w:ascii="Arial" w:hAnsi="Arial" w:cs="Arial"/>
          <w:sz w:val="24"/>
          <w:szCs w:val="24"/>
          <w:vertAlign w:val="superscript"/>
        </w:rPr>
        <w:t>th</w:t>
      </w:r>
      <w:r>
        <w:rPr>
          <w:rFonts w:ascii="Arial" w:hAnsi="Arial" w:cs="Arial"/>
          <w:sz w:val="24"/>
          <w:szCs w:val="24"/>
        </w:rPr>
        <w:t xml:space="preserve"> Entry offering constructive solutions to improve the electric markets in Ohio.  IGS now submits these reply comments </w:t>
      </w:r>
      <w:r w:rsidR="00806D44">
        <w:rPr>
          <w:rFonts w:ascii="Arial" w:hAnsi="Arial" w:cs="Arial"/>
          <w:sz w:val="24"/>
          <w:szCs w:val="24"/>
        </w:rPr>
        <w:t>in response</w:t>
      </w:r>
      <w:r>
        <w:rPr>
          <w:rFonts w:ascii="Arial" w:hAnsi="Arial" w:cs="Arial"/>
          <w:sz w:val="24"/>
          <w:szCs w:val="24"/>
        </w:rPr>
        <w:t xml:space="preserve"> to initial comments filed by other parties in this proceeding.</w:t>
      </w:r>
    </w:p>
    <w:p w:rsidR="00A4060F" w:rsidRDefault="00A4060F" w:rsidP="00A4060F">
      <w:pPr>
        <w:pStyle w:val="ListParagraph"/>
        <w:numPr>
          <w:ilvl w:val="0"/>
          <w:numId w:val="1"/>
        </w:numPr>
        <w:spacing w:line="480" w:lineRule="auto"/>
        <w:jc w:val="both"/>
        <w:rPr>
          <w:rFonts w:ascii="Arial" w:hAnsi="Arial" w:cs="Arial"/>
          <w:b/>
          <w:sz w:val="24"/>
          <w:szCs w:val="24"/>
        </w:rPr>
      </w:pPr>
      <w:r>
        <w:rPr>
          <w:rFonts w:ascii="Arial" w:hAnsi="Arial" w:cs="Arial"/>
          <w:b/>
          <w:sz w:val="24"/>
          <w:szCs w:val="24"/>
        </w:rPr>
        <w:t>REPLY TO INITIAL COMMENTS</w:t>
      </w:r>
    </w:p>
    <w:p w:rsidR="00972FB9" w:rsidRDefault="00972FB9" w:rsidP="00972FB9">
      <w:pPr>
        <w:pStyle w:val="ListParagraph"/>
        <w:numPr>
          <w:ilvl w:val="0"/>
          <w:numId w:val="4"/>
        </w:numPr>
        <w:spacing w:line="480" w:lineRule="auto"/>
        <w:jc w:val="both"/>
        <w:rPr>
          <w:rFonts w:ascii="Arial" w:hAnsi="Arial" w:cs="Arial"/>
          <w:b/>
          <w:sz w:val="24"/>
          <w:szCs w:val="24"/>
        </w:rPr>
      </w:pPr>
      <w:r w:rsidRPr="00DF35BF">
        <w:rPr>
          <w:rFonts w:ascii="Arial" w:hAnsi="Arial" w:cs="Arial"/>
          <w:b/>
          <w:sz w:val="24"/>
          <w:szCs w:val="24"/>
        </w:rPr>
        <w:t xml:space="preserve">Ohio Law Does not </w:t>
      </w:r>
      <w:proofErr w:type="gramStart"/>
      <w:r w:rsidRPr="00DF35BF">
        <w:rPr>
          <w:rFonts w:ascii="Arial" w:hAnsi="Arial" w:cs="Arial"/>
          <w:b/>
          <w:sz w:val="24"/>
          <w:szCs w:val="24"/>
        </w:rPr>
        <w:t>Require</w:t>
      </w:r>
      <w:proofErr w:type="gramEnd"/>
      <w:r w:rsidRPr="00DF35BF">
        <w:rPr>
          <w:rFonts w:ascii="Arial" w:hAnsi="Arial" w:cs="Arial"/>
          <w:b/>
          <w:sz w:val="24"/>
          <w:szCs w:val="24"/>
        </w:rPr>
        <w:t xml:space="preserve"> the </w:t>
      </w:r>
      <w:r w:rsidRPr="00982F1D">
        <w:rPr>
          <w:rFonts w:ascii="Arial" w:hAnsi="Arial" w:cs="Arial"/>
          <w:b/>
          <w:i/>
          <w:sz w:val="24"/>
          <w:szCs w:val="24"/>
        </w:rPr>
        <w:t xml:space="preserve">Current </w:t>
      </w:r>
      <w:r w:rsidRPr="00DF35BF">
        <w:rPr>
          <w:rFonts w:ascii="Arial" w:hAnsi="Arial" w:cs="Arial"/>
          <w:b/>
          <w:sz w:val="24"/>
          <w:szCs w:val="24"/>
        </w:rPr>
        <w:t>SSO Structure to Remain in Place</w:t>
      </w:r>
      <w:r w:rsidR="003F2C4D">
        <w:rPr>
          <w:rFonts w:ascii="Arial" w:hAnsi="Arial" w:cs="Arial"/>
          <w:b/>
          <w:sz w:val="24"/>
          <w:szCs w:val="24"/>
        </w:rPr>
        <w:t>.</w:t>
      </w:r>
    </w:p>
    <w:p w:rsidR="00972FB9" w:rsidRDefault="00972FB9" w:rsidP="00972FB9">
      <w:pPr>
        <w:spacing w:line="480" w:lineRule="auto"/>
        <w:ind w:firstLine="360"/>
        <w:jc w:val="both"/>
        <w:rPr>
          <w:rFonts w:ascii="Arial" w:hAnsi="Arial" w:cs="Arial"/>
          <w:sz w:val="24"/>
          <w:szCs w:val="24"/>
        </w:rPr>
      </w:pPr>
      <w:r w:rsidRPr="00DF35BF">
        <w:rPr>
          <w:rFonts w:ascii="Arial" w:hAnsi="Arial" w:cs="Arial"/>
          <w:sz w:val="24"/>
          <w:szCs w:val="24"/>
        </w:rPr>
        <w:t>A</w:t>
      </w:r>
      <w:r>
        <w:rPr>
          <w:rFonts w:ascii="Arial" w:hAnsi="Arial" w:cs="Arial"/>
          <w:sz w:val="24"/>
          <w:szCs w:val="24"/>
        </w:rPr>
        <w:t xml:space="preserve"> number of parties have made claims in their initial comments that the current SSO default rate served by wholesale auctions is required by Ohio law.</w:t>
      </w:r>
      <w:r>
        <w:rPr>
          <w:rStyle w:val="FootnoteReference"/>
          <w:rFonts w:ascii="Arial" w:hAnsi="Arial" w:cs="Arial"/>
          <w:sz w:val="24"/>
          <w:szCs w:val="24"/>
        </w:rPr>
        <w:footnoteReference w:id="1"/>
      </w:r>
      <w:r>
        <w:rPr>
          <w:rFonts w:ascii="Arial" w:hAnsi="Arial" w:cs="Arial"/>
          <w:sz w:val="24"/>
          <w:szCs w:val="24"/>
        </w:rPr>
        <w:t xml:space="preserve"> A review of Ohio law demonstrates that this is clearly not the case.</w:t>
      </w:r>
    </w:p>
    <w:p w:rsidR="00972FB9" w:rsidRDefault="00972FB9" w:rsidP="00972FB9">
      <w:pPr>
        <w:spacing w:line="480" w:lineRule="auto"/>
        <w:ind w:firstLine="360"/>
        <w:jc w:val="both"/>
        <w:rPr>
          <w:rFonts w:ascii="Arial" w:hAnsi="Arial" w:cs="Arial"/>
          <w:color w:val="000000"/>
          <w:sz w:val="24"/>
          <w:szCs w:val="24"/>
          <w:shd w:val="clear" w:color="auto" w:fill="FFFFFF"/>
        </w:rPr>
      </w:pPr>
      <w:r w:rsidRPr="00E44C2E">
        <w:rPr>
          <w:rFonts w:ascii="Arial" w:hAnsi="Arial" w:cs="Arial"/>
          <w:sz w:val="24"/>
          <w:szCs w:val="24"/>
        </w:rPr>
        <w:lastRenderedPageBreak/>
        <w:t>Ohio Revised Code</w:t>
      </w:r>
      <w:r>
        <w:rPr>
          <w:rFonts w:ascii="Arial" w:hAnsi="Arial" w:cs="Arial"/>
          <w:sz w:val="24"/>
          <w:szCs w:val="24"/>
        </w:rPr>
        <w:t xml:space="preserve"> (“R.C.”)</w:t>
      </w:r>
      <w:r w:rsidRPr="00E44C2E">
        <w:rPr>
          <w:rFonts w:ascii="Arial" w:hAnsi="Arial" w:cs="Arial"/>
          <w:sz w:val="24"/>
          <w:szCs w:val="24"/>
        </w:rPr>
        <w:t xml:space="preserve"> 4928.141</w:t>
      </w:r>
      <w:r>
        <w:rPr>
          <w:rFonts w:ascii="Arial" w:hAnsi="Arial" w:cs="Arial"/>
          <w:sz w:val="24"/>
          <w:szCs w:val="24"/>
        </w:rPr>
        <w:t>(A)</w:t>
      </w:r>
      <w:r w:rsidRPr="00E44C2E">
        <w:rPr>
          <w:rFonts w:ascii="Arial" w:hAnsi="Arial" w:cs="Arial"/>
          <w:sz w:val="24"/>
          <w:szCs w:val="24"/>
        </w:rPr>
        <w:t xml:space="preserve"> states that an EDU shall provide customer</w:t>
      </w:r>
      <w:r w:rsidR="00175538">
        <w:rPr>
          <w:rFonts w:ascii="Arial" w:hAnsi="Arial" w:cs="Arial"/>
          <w:sz w:val="24"/>
          <w:szCs w:val="24"/>
        </w:rPr>
        <w:t>s</w:t>
      </w:r>
      <w:r w:rsidRPr="00E44C2E">
        <w:rPr>
          <w:rFonts w:ascii="Arial" w:hAnsi="Arial" w:cs="Arial"/>
          <w:sz w:val="24"/>
          <w:szCs w:val="24"/>
        </w:rPr>
        <w:t xml:space="preserve"> a “</w:t>
      </w:r>
      <w:r w:rsidRPr="00E44C2E">
        <w:rPr>
          <w:rFonts w:ascii="Arial" w:hAnsi="Arial" w:cs="Arial"/>
          <w:color w:val="000000"/>
          <w:sz w:val="24"/>
          <w:szCs w:val="24"/>
          <w:shd w:val="clear" w:color="auto" w:fill="FFFFFF"/>
        </w:rPr>
        <w:t>standard service offer</w:t>
      </w:r>
      <w:r>
        <w:rPr>
          <w:rFonts w:ascii="Arial" w:hAnsi="Arial" w:cs="Arial"/>
          <w:color w:val="000000"/>
          <w:sz w:val="24"/>
          <w:szCs w:val="24"/>
          <w:shd w:val="clear" w:color="auto" w:fill="FFFFFF"/>
        </w:rPr>
        <w:t xml:space="preserve"> (SSO)</w:t>
      </w:r>
      <w:r w:rsidRPr="00E44C2E">
        <w:rPr>
          <w:rFonts w:ascii="Arial" w:hAnsi="Arial" w:cs="Arial"/>
          <w:color w:val="000000"/>
          <w:sz w:val="24"/>
          <w:szCs w:val="24"/>
          <w:shd w:val="clear" w:color="auto" w:fill="FFFFFF"/>
        </w:rPr>
        <w:t xml:space="preserve"> of all competitive retail electric services necessary to maintain essential electric service to consumers.”</w:t>
      </w:r>
      <w:r>
        <w:rPr>
          <w:rFonts w:ascii="Arial" w:hAnsi="Arial" w:cs="Arial"/>
          <w:color w:val="000000"/>
          <w:sz w:val="24"/>
          <w:szCs w:val="24"/>
          <w:shd w:val="clear" w:color="auto" w:fill="FFFFFF"/>
        </w:rPr>
        <w:t xml:space="preserve">  R.C. </w:t>
      </w:r>
      <w:r w:rsidRPr="00E44C2E">
        <w:rPr>
          <w:rFonts w:ascii="Arial" w:hAnsi="Arial" w:cs="Arial"/>
          <w:sz w:val="24"/>
          <w:szCs w:val="24"/>
        </w:rPr>
        <w:t>4928.141</w:t>
      </w:r>
      <w:r>
        <w:rPr>
          <w:rFonts w:ascii="Arial" w:hAnsi="Arial" w:cs="Arial"/>
          <w:sz w:val="24"/>
          <w:szCs w:val="24"/>
        </w:rPr>
        <w:t>(A)</w:t>
      </w:r>
      <w:r>
        <w:rPr>
          <w:rFonts w:ascii="Arial" w:hAnsi="Arial" w:cs="Arial"/>
          <w:color w:val="000000"/>
          <w:sz w:val="24"/>
          <w:szCs w:val="24"/>
          <w:shd w:val="clear" w:color="auto" w:fill="FFFFFF"/>
        </w:rPr>
        <w:t xml:space="preserve"> then states that an EDU’s SSO must be approved in accordance with either R.C. 4928.142 or R.C. 4928.143.</w:t>
      </w:r>
    </w:p>
    <w:p w:rsidR="00972FB9" w:rsidRDefault="00972FB9" w:rsidP="00972FB9">
      <w:pPr>
        <w:spacing w:line="480" w:lineRule="auto"/>
        <w:ind w:firstLine="36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R.C. 4928.142 identifies a competitive bidding process (often referred to as a market rate offer or MRO) as a means to establish an SSO.  However, nothing in R.C. 4928.142 limits the competitive bidding process to a wholesale auction</w:t>
      </w:r>
      <w:r w:rsidR="00DC24F8">
        <w:rPr>
          <w:rFonts w:ascii="Arial" w:hAnsi="Arial" w:cs="Arial"/>
          <w:color w:val="000000"/>
          <w:sz w:val="24"/>
          <w:szCs w:val="24"/>
          <w:shd w:val="clear" w:color="auto" w:fill="FFFFFF"/>
        </w:rPr>
        <w:t>, nor does R.C. 4928.142 require that the SSO be the default service for customers</w:t>
      </w:r>
      <w:r>
        <w:rPr>
          <w:rFonts w:ascii="Arial" w:hAnsi="Arial" w:cs="Arial"/>
          <w:color w:val="000000"/>
          <w:sz w:val="24"/>
          <w:szCs w:val="24"/>
          <w:shd w:val="clear" w:color="auto" w:fill="FFFFFF"/>
        </w:rPr>
        <w:t>.</w:t>
      </w:r>
    </w:p>
    <w:p w:rsidR="007B2432" w:rsidRDefault="00972FB9" w:rsidP="00175538">
      <w:pPr>
        <w:spacing w:line="480" w:lineRule="auto"/>
        <w:ind w:firstLine="360"/>
        <w:jc w:val="both"/>
        <w:rPr>
          <w:rFonts w:ascii="Arial" w:hAnsi="Arial" w:cs="Arial"/>
          <w:color w:val="000000"/>
          <w:sz w:val="24"/>
          <w:szCs w:val="24"/>
          <w:shd w:val="clear" w:color="auto" w:fill="FFFFFF"/>
        </w:rPr>
      </w:pPr>
      <w:r w:rsidRPr="00650672">
        <w:rPr>
          <w:rFonts w:ascii="Arial" w:hAnsi="Arial" w:cs="Arial"/>
          <w:color w:val="000000"/>
          <w:sz w:val="24"/>
          <w:szCs w:val="24"/>
          <w:shd w:val="clear" w:color="auto" w:fill="FFFFFF"/>
        </w:rPr>
        <w:t xml:space="preserve">Ohio law also allows an SSO rate to be established under R.C. 4928.143 (often referred to as an electric security plan or ESP). </w:t>
      </w:r>
      <w:r w:rsidR="00806D44">
        <w:rPr>
          <w:rFonts w:ascii="Arial" w:hAnsi="Arial" w:cs="Arial"/>
          <w:color w:val="000000"/>
          <w:sz w:val="24"/>
          <w:szCs w:val="24"/>
          <w:shd w:val="clear" w:color="auto" w:fill="FFFFFF"/>
        </w:rPr>
        <w:t xml:space="preserve"> Al</w:t>
      </w:r>
      <w:r w:rsidRPr="00650672">
        <w:rPr>
          <w:rFonts w:ascii="Arial" w:hAnsi="Arial" w:cs="Arial"/>
          <w:color w:val="000000"/>
          <w:sz w:val="24"/>
          <w:szCs w:val="24"/>
          <w:shd w:val="clear" w:color="auto" w:fill="FFFFFF"/>
        </w:rPr>
        <w:t>l</w:t>
      </w:r>
      <w:r w:rsidR="00806D44">
        <w:rPr>
          <w:rFonts w:ascii="Arial" w:hAnsi="Arial" w:cs="Arial"/>
          <w:color w:val="000000"/>
          <w:sz w:val="24"/>
          <w:szCs w:val="24"/>
          <w:shd w:val="clear" w:color="auto" w:fill="FFFFFF"/>
        </w:rPr>
        <w:t xml:space="preserve"> current</w:t>
      </w:r>
      <w:r w:rsidR="00671C65">
        <w:rPr>
          <w:rFonts w:ascii="Arial" w:hAnsi="Arial" w:cs="Arial"/>
          <w:color w:val="000000"/>
          <w:sz w:val="24"/>
          <w:szCs w:val="24"/>
          <w:shd w:val="clear" w:color="auto" w:fill="FFFFFF"/>
        </w:rPr>
        <w:t xml:space="preserve"> EDU</w:t>
      </w:r>
      <w:r w:rsidR="00806D44">
        <w:rPr>
          <w:rFonts w:ascii="Arial" w:hAnsi="Arial" w:cs="Arial"/>
          <w:color w:val="000000"/>
          <w:sz w:val="24"/>
          <w:szCs w:val="24"/>
          <w:shd w:val="clear" w:color="auto" w:fill="FFFFFF"/>
        </w:rPr>
        <w:t xml:space="preserve"> SSO</w:t>
      </w:r>
      <w:r w:rsidR="00671C65">
        <w:rPr>
          <w:rFonts w:ascii="Arial" w:hAnsi="Arial" w:cs="Arial"/>
          <w:color w:val="000000"/>
          <w:sz w:val="24"/>
          <w:szCs w:val="24"/>
          <w:shd w:val="clear" w:color="auto" w:fill="FFFFFF"/>
        </w:rPr>
        <w:t>s</w:t>
      </w:r>
      <w:r w:rsidR="00806D4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have been approved</w:t>
      </w:r>
      <w:r w:rsidR="00671C65">
        <w:rPr>
          <w:rFonts w:ascii="Arial" w:hAnsi="Arial" w:cs="Arial"/>
          <w:color w:val="000000"/>
          <w:sz w:val="24"/>
          <w:szCs w:val="24"/>
          <w:shd w:val="clear" w:color="auto" w:fill="FFFFFF"/>
        </w:rPr>
        <w:t xml:space="preserve"> by the Commission</w:t>
      </w:r>
      <w:r>
        <w:rPr>
          <w:rFonts w:ascii="Arial" w:hAnsi="Arial" w:cs="Arial"/>
          <w:color w:val="000000"/>
          <w:sz w:val="24"/>
          <w:szCs w:val="24"/>
          <w:shd w:val="clear" w:color="auto" w:fill="FFFFFF"/>
        </w:rPr>
        <w:t xml:space="preserve"> under</w:t>
      </w:r>
      <w:r w:rsidR="00671C65">
        <w:rPr>
          <w:rFonts w:ascii="Arial" w:hAnsi="Arial" w:cs="Arial"/>
          <w:color w:val="000000"/>
          <w:sz w:val="24"/>
          <w:szCs w:val="24"/>
          <w:shd w:val="clear" w:color="auto" w:fill="FFFFFF"/>
        </w:rPr>
        <w:t xml:space="preserve"> the ESP construct</w:t>
      </w:r>
      <w:r>
        <w:rPr>
          <w:rFonts w:ascii="Arial" w:hAnsi="Arial" w:cs="Arial"/>
          <w:color w:val="000000"/>
          <w:sz w:val="24"/>
          <w:szCs w:val="24"/>
          <w:shd w:val="clear" w:color="auto" w:fill="FFFFFF"/>
        </w:rPr>
        <w:t xml:space="preserve">. </w:t>
      </w:r>
      <w:r w:rsidRPr="00650672">
        <w:rPr>
          <w:rFonts w:ascii="Arial" w:hAnsi="Arial" w:cs="Arial"/>
          <w:color w:val="000000"/>
          <w:sz w:val="24"/>
          <w:szCs w:val="24"/>
          <w:shd w:val="clear" w:color="auto" w:fill="FFFFFF"/>
        </w:rPr>
        <w:t xml:space="preserve"> An ESP provides the Commission with even more flexibility than an MRO</w:t>
      </w:r>
      <w:r>
        <w:rPr>
          <w:rFonts w:ascii="Arial" w:hAnsi="Arial" w:cs="Arial"/>
          <w:color w:val="000000"/>
          <w:sz w:val="24"/>
          <w:szCs w:val="24"/>
          <w:shd w:val="clear" w:color="auto" w:fill="FFFFFF"/>
        </w:rPr>
        <w:t xml:space="preserve"> </w:t>
      </w:r>
      <w:r w:rsidRPr="00650672">
        <w:rPr>
          <w:rFonts w:ascii="Arial" w:hAnsi="Arial" w:cs="Arial"/>
          <w:color w:val="000000"/>
          <w:sz w:val="24"/>
          <w:szCs w:val="24"/>
          <w:shd w:val="clear" w:color="auto" w:fill="FFFFFF"/>
        </w:rPr>
        <w:t>to establish an SSO.  R.C. 4928.143(B</w:t>
      </w:r>
      <w:proofErr w:type="gramStart"/>
      <w:r w:rsidRPr="00650672">
        <w:rPr>
          <w:rFonts w:ascii="Arial" w:hAnsi="Arial" w:cs="Arial"/>
          <w:color w:val="000000"/>
          <w:sz w:val="24"/>
          <w:szCs w:val="24"/>
          <w:shd w:val="clear" w:color="auto" w:fill="FFFFFF"/>
        </w:rPr>
        <w:t>)(</w:t>
      </w:r>
      <w:proofErr w:type="gramEnd"/>
      <w:r w:rsidRPr="00650672">
        <w:rPr>
          <w:rFonts w:ascii="Arial" w:hAnsi="Arial" w:cs="Arial"/>
          <w:color w:val="000000"/>
          <w:sz w:val="24"/>
          <w:szCs w:val="24"/>
          <w:shd w:val="clear" w:color="auto" w:fill="FFFFFF"/>
        </w:rPr>
        <w:t>1) provides “an electric security plan shall include provisions relating to the supply and pricing of electric generation service.”</w:t>
      </w:r>
      <w:r>
        <w:rPr>
          <w:rFonts w:ascii="Arial" w:hAnsi="Arial" w:cs="Arial"/>
          <w:color w:val="000000"/>
          <w:sz w:val="24"/>
          <w:szCs w:val="24"/>
          <w:shd w:val="clear" w:color="auto" w:fill="FFFFFF"/>
        </w:rPr>
        <w:t xml:space="preserve"> </w:t>
      </w:r>
      <w:r w:rsidRPr="00650672">
        <w:rPr>
          <w:rFonts w:ascii="Arial" w:hAnsi="Arial" w:cs="Arial"/>
          <w:color w:val="000000"/>
          <w:sz w:val="24"/>
          <w:szCs w:val="24"/>
          <w:shd w:val="clear" w:color="auto" w:fill="FFFFFF"/>
        </w:rPr>
        <w:t>R.C. 4928.143(B</w:t>
      </w:r>
      <w:proofErr w:type="gramStart"/>
      <w:r w:rsidRPr="00650672">
        <w:rPr>
          <w:rFonts w:ascii="Arial" w:hAnsi="Arial" w:cs="Arial"/>
          <w:color w:val="000000"/>
          <w:sz w:val="24"/>
          <w:szCs w:val="24"/>
          <w:shd w:val="clear" w:color="auto" w:fill="FFFFFF"/>
        </w:rPr>
        <w:t>)(</w:t>
      </w:r>
      <w:proofErr w:type="gramEnd"/>
      <w:r>
        <w:rPr>
          <w:rFonts w:ascii="Arial" w:hAnsi="Arial" w:cs="Arial"/>
          <w:color w:val="000000"/>
          <w:sz w:val="24"/>
          <w:szCs w:val="24"/>
          <w:shd w:val="clear" w:color="auto" w:fill="FFFFFF"/>
        </w:rPr>
        <w:t>2</w:t>
      </w:r>
      <w:r w:rsidRPr="00650672">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then lists a number of items that </w:t>
      </w:r>
      <w:r>
        <w:rPr>
          <w:rFonts w:ascii="Arial" w:hAnsi="Arial" w:cs="Arial"/>
          <w:i/>
          <w:color w:val="000000"/>
          <w:sz w:val="24"/>
          <w:szCs w:val="24"/>
          <w:shd w:val="clear" w:color="auto" w:fill="FFFFFF"/>
        </w:rPr>
        <w:t xml:space="preserve">may </w:t>
      </w:r>
      <w:r>
        <w:rPr>
          <w:rFonts w:ascii="Arial" w:hAnsi="Arial" w:cs="Arial"/>
          <w:color w:val="000000"/>
          <w:sz w:val="24"/>
          <w:szCs w:val="24"/>
          <w:shd w:val="clear" w:color="auto" w:fill="FFFFFF"/>
        </w:rPr>
        <w:t xml:space="preserve">be included in the ESP, </w:t>
      </w:r>
      <w:r>
        <w:rPr>
          <w:rFonts w:ascii="Arial" w:hAnsi="Arial" w:cs="Arial"/>
          <w:i/>
          <w:color w:val="000000"/>
          <w:sz w:val="24"/>
          <w:szCs w:val="24"/>
          <w:shd w:val="clear" w:color="auto" w:fill="FFFFFF"/>
        </w:rPr>
        <w:t xml:space="preserve">without </w:t>
      </w:r>
      <w:r>
        <w:rPr>
          <w:rFonts w:ascii="Arial" w:hAnsi="Arial" w:cs="Arial"/>
          <w:color w:val="000000"/>
          <w:sz w:val="24"/>
          <w:szCs w:val="24"/>
          <w:shd w:val="clear" w:color="auto" w:fill="FFFFFF"/>
        </w:rPr>
        <w:t xml:space="preserve">limitation.  </w:t>
      </w:r>
      <w:r w:rsidR="00175538">
        <w:rPr>
          <w:rFonts w:ascii="Arial" w:hAnsi="Arial" w:cs="Arial"/>
          <w:color w:val="000000"/>
          <w:sz w:val="24"/>
          <w:szCs w:val="24"/>
          <w:shd w:val="clear" w:color="auto" w:fill="FFFFFF"/>
        </w:rPr>
        <w:t xml:space="preserve">However, nothing </w:t>
      </w:r>
      <w:r w:rsidR="008A7890">
        <w:rPr>
          <w:rFonts w:ascii="Arial" w:hAnsi="Arial" w:cs="Arial"/>
          <w:color w:val="000000"/>
          <w:sz w:val="24"/>
          <w:szCs w:val="24"/>
          <w:shd w:val="clear" w:color="auto" w:fill="FFFFFF"/>
        </w:rPr>
        <w:t xml:space="preserve">in </w:t>
      </w:r>
      <w:r w:rsidR="00175538">
        <w:rPr>
          <w:rFonts w:ascii="Arial" w:hAnsi="Arial" w:cs="Arial"/>
          <w:color w:val="000000"/>
          <w:sz w:val="24"/>
          <w:szCs w:val="24"/>
          <w:shd w:val="clear" w:color="auto" w:fill="FFFFFF"/>
        </w:rPr>
        <w:t xml:space="preserve">R.C. </w:t>
      </w:r>
      <w:r w:rsidRPr="00650672">
        <w:rPr>
          <w:rFonts w:ascii="Arial" w:hAnsi="Arial" w:cs="Arial"/>
          <w:color w:val="000000"/>
          <w:sz w:val="24"/>
          <w:szCs w:val="24"/>
          <w:shd w:val="clear" w:color="auto" w:fill="FFFFFF"/>
        </w:rPr>
        <w:t>4928.143</w:t>
      </w:r>
      <w:r>
        <w:rPr>
          <w:rFonts w:ascii="Arial" w:hAnsi="Arial" w:cs="Arial"/>
          <w:color w:val="000000"/>
          <w:sz w:val="24"/>
          <w:szCs w:val="24"/>
          <w:shd w:val="clear" w:color="auto" w:fill="FFFFFF"/>
        </w:rPr>
        <w:t xml:space="preserve"> requires a wholesale auction to establish the SSO</w:t>
      </w:r>
      <w:r w:rsidR="007B2432">
        <w:rPr>
          <w:rFonts w:ascii="Arial" w:hAnsi="Arial" w:cs="Arial"/>
          <w:color w:val="000000"/>
          <w:sz w:val="24"/>
          <w:szCs w:val="24"/>
          <w:shd w:val="clear" w:color="auto" w:fill="FFFFFF"/>
        </w:rPr>
        <w:t xml:space="preserve">, nor must </w:t>
      </w:r>
      <w:r w:rsidR="00175538">
        <w:rPr>
          <w:rFonts w:ascii="Arial" w:hAnsi="Arial" w:cs="Arial"/>
          <w:color w:val="000000"/>
          <w:sz w:val="24"/>
          <w:szCs w:val="24"/>
          <w:shd w:val="clear" w:color="auto" w:fill="FFFFFF"/>
        </w:rPr>
        <w:t>the SSO be the de</w:t>
      </w:r>
      <w:r w:rsidR="008A7890">
        <w:rPr>
          <w:rFonts w:ascii="Arial" w:hAnsi="Arial" w:cs="Arial"/>
          <w:color w:val="000000"/>
          <w:sz w:val="24"/>
          <w:szCs w:val="24"/>
          <w:shd w:val="clear" w:color="auto" w:fill="FFFFFF"/>
        </w:rPr>
        <w:t>fault product for all customers</w:t>
      </w:r>
      <w:r w:rsidR="0017553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 </w:t>
      </w:r>
    </w:p>
    <w:p w:rsidR="00972FB9" w:rsidRPr="00175538" w:rsidRDefault="00972FB9" w:rsidP="00175538">
      <w:pPr>
        <w:spacing w:line="480" w:lineRule="auto"/>
        <w:ind w:firstLine="36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Essentially, R.C. </w:t>
      </w:r>
      <w:r w:rsidRPr="00E44C2E">
        <w:rPr>
          <w:rFonts w:ascii="Arial" w:hAnsi="Arial" w:cs="Arial"/>
          <w:sz w:val="24"/>
          <w:szCs w:val="24"/>
        </w:rPr>
        <w:t>4928.141</w:t>
      </w:r>
      <w:r w:rsidRPr="00650672">
        <w:rPr>
          <w:rFonts w:ascii="Arial" w:hAnsi="Arial" w:cs="Arial"/>
          <w:i/>
          <w:sz w:val="24"/>
          <w:szCs w:val="24"/>
        </w:rPr>
        <w:t>et al</w:t>
      </w:r>
      <w:r>
        <w:rPr>
          <w:rFonts w:ascii="Arial" w:hAnsi="Arial" w:cs="Arial"/>
          <w:i/>
          <w:sz w:val="24"/>
          <w:szCs w:val="24"/>
        </w:rPr>
        <w:t xml:space="preserve"> </w:t>
      </w:r>
      <w:r>
        <w:rPr>
          <w:rFonts w:ascii="Arial" w:hAnsi="Arial" w:cs="Arial"/>
          <w:sz w:val="24"/>
          <w:szCs w:val="24"/>
        </w:rPr>
        <w:t>establishes that an SSO must be available to customers</w:t>
      </w:r>
      <w:r w:rsidR="00BF60FE">
        <w:rPr>
          <w:rFonts w:ascii="Arial" w:hAnsi="Arial" w:cs="Arial"/>
          <w:sz w:val="24"/>
          <w:szCs w:val="24"/>
        </w:rPr>
        <w:t xml:space="preserve"> and provides a means by which an EDU may receive SSO approval</w:t>
      </w:r>
      <w:r>
        <w:rPr>
          <w:rFonts w:ascii="Arial" w:hAnsi="Arial" w:cs="Arial"/>
          <w:sz w:val="24"/>
          <w:szCs w:val="24"/>
        </w:rPr>
        <w:t xml:space="preserve">; </w:t>
      </w:r>
      <w:r>
        <w:rPr>
          <w:rFonts w:ascii="Arial" w:hAnsi="Arial" w:cs="Arial"/>
          <w:sz w:val="24"/>
          <w:szCs w:val="24"/>
        </w:rPr>
        <w:lastRenderedPageBreak/>
        <w:t xml:space="preserve">however, </w:t>
      </w:r>
      <w:r w:rsidR="00BF60FE">
        <w:rPr>
          <w:rFonts w:ascii="Arial" w:hAnsi="Arial" w:cs="Arial"/>
          <w:sz w:val="24"/>
          <w:szCs w:val="24"/>
        </w:rPr>
        <w:t>these statutes give the</w:t>
      </w:r>
      <w:r>
        <w:rPr>
          <w:rFonts w:ascii="Arial" w:hAnsi="Arial" w:cs="Arial"/>
          <w:sz w:val="24"/>
          <w:szCs w:val="24"/>
        </w:rPr>
        <w:t xml:space="preserve"> Commission great discretion to determine </w:t>
      </w:r>
      <w:r w:rsidR="006B7464">
        <w:rPr>
          <w:rFonts w:ascii="Arial" w:hAnsi="Arial" w:cs="Arial"/>
          <w:sz w:val="24"/>
          <w:szCs w:val="24"/>
        </w:rPr>
        <w:t>how the</w:t>
      </w:r>
      <w:r>
        <w:rPr>
          <w:rFonts w:ascii="Arial" w:hAnsi="Arial" w:cs="Arial"/>
          <w:sz w:val="24"/>
          <w:szCs w:val="24"/>
        </w:rPr>
        <w:t xml:space="preserve"> SSO is structured.</w:t>
      </w:r>
    </w:p>
    <w:p w:rsidR="005843C8" w:rsidRDefault="00972FB9" w:rsidP="00972FB9">
      <w:pPr>
        <w:spacing w:line="480" w:lineRule="auto"/>
        <w:ind w:firstLine="360"/>
        <w:jc w:val="both"/>
        <w:rPr>
          <w:rFonts w:ascii="Arial" w:hAnsi="Arial" w:cs="Arial"/>
          <w:sz w:val="24"/>
          <w:szCs w:val="24"/>
        </w:rPr>
      </w:pPr>
      <w:r>
        <w:rPr>
          <w:rFonts w:ascii="Arial" w:hAnsi="Arial" w:cs="Arial"/>
          <w:sz w:val="24"/>
          <w:szCs w:val="24"/>
        </w:rPr>
        <w:t>IGS Energy has made a number of proposals in this proceeding</w:t>
      </w:r>
      <w:r w:rsidR="003053C9">
        <w:rPr>
          <w:rFonts w:ascii="Arial" w:hAnsi="Arial" w:cs="Arial"/>
          <w:sz w:val="24"/>
          <w:szCs w:val="24"/>
        </w:rPr>
        <w:t>, any of which</w:t>
      </w:r>
      <w:r>
        <w:rPr>
          <w:rFonts w:ascii="Arial" w:hAnsi="Arial" w:cs="Arial"/>
          <w:sz w:val="24"/>
          <w:szCs w:val="24"/>
        </w:rPr>
        <w:t xml:space="preserve"> could be lawfully implemented under either the ESP or MRO construct.  None of IGS’ proposals entail eliminating the SSO </w:t>
      </w:r>
      <w:r w:rsidR="003053C9">
        <w:rPr>
          <w:rFonts w:ascii="Arial" w:hAnsi="Arial" w:cs="Arial"/>
          <w:sz w:val="24"/>
          <w:szCs w:val="24"/>
        </w:rPr>
        <w:t>service</w:t>
      </w:r>
      <w:r>
        <w:rPr>
          <w:rFonts w:ascii="Arial" w:hAnsi="Arial" w:cs="Arial"/>
          <w:sz w:val="24"/>
          <w:szCs w:val="24"/>
        </w:rPr>
        <w:t xml:space="preserve">.  Rather, they entail altering the SSO structure that is currently being utilized to serve default customers.  </w:t>
      </w:r>
    </w:p>
    <w:p w:rsidR="00972FB9" w:rsidRDefault="00972FB9" w:rsidP="00972FB9">
      <w:pPr>
        <w:spacing w:line="480" w:lineRule="auto"/>
        <w:ind w:firstLine="360"/>
        <w:jc w:val="both"/>
        <w:rPr>
          <w:rFonts w:ascii="Arial" w:hAnsi="Arial" w:cs="Arial"/>
          <w:sz w:val="24"/>
          <w:szCs w:val="24"/>
        </w:rPr>
      </w:pPr>
      <w:r>
        <w:rPr>
          <w:rFonts w:ascii="Arial" w:hAnsi="Arial" w:cs="Arial"/>
          <w:sz w:val="24"/>
          <w:szCs w:val="24"/>
        </w:rPr>
        <w:t xml:space="preserve">For instance, IGS has proposed conducting </w:t>
      </w:r>
      <w:proofErr w:type="gramStart"/>
      <w:r>
        <w:rPr>
          <w:rFonts w:ascii="Arial" w:hAnsi="Arial" w:cs="Arial"/>
          <w:sz w:val="24"/>
          <w:szCs w:val="24"/>
        </w:rPr>
        <w:t xml:space="preserve">a </w:t>
      </w:r>
      <w:r w:rsidR="00E479DE">
        <w:rPr>
          <w:rFonts w:ascii="Arial" w:hAnsi="Arial" w:cs="Arial"/>
          <w:sz w:val="24"/>
          <w:szCs w:val="24"/>
        </w:rPr>
        <w:t xml:space="preserve"> one</w:t>
      </w:r>
      <w:proofErr w:type="gramEnd"/>
      <w:r w:rsidR="00E479DE">
        <w:rPr>
          <w:rFonts w:ascii="Arial" w:hAnsi="Arial" w:cs="Arial"/>
          <w:sz w:val="24"/>
          <w:szCs w:val="24"/>
        </w:rPr>
        <w:t xml:space="preserve">-time </w:t>
      </w:r>
      <w:r>
        <w:rPr>
          <w:rFonts w:ascii="Arial" w:hAnsi="Arial" w:cs="Arial"/>
          <w:sz w:val="24"/>
          <w:szCs w:val="24"/>
        </w:rPr>
        <w:t>retail auction where CRES suppliers bid a dollar amount per customer to serve SSO customers</w:t>
      </w:r>
      <w:r w:rsidR="007066D9">
        <w:rPr>
          <w:rFonts w:ascii="Arial" w:hAnsi="Arial" w:cs="Arial"/>
          <w:sz w:val="24"/>
          <w:szCs w:val="24"/>
        </w:rPr>
        <w:t>. The money raised from the retail auctions could be used to reduce electric rates for all customers by paying down EDU deferrals or other legacy costs. The rate could be structured as</w:t>
      </w:r>
      <w:r w:rsidR="00C73E8B">
        <w:rPr>
          <w:rFonts w:ascii="Arial" w:hAnsi="Arial" w:cs="Arial"/>
          <w:sz w:val="24"/>
          <w:szCs w:val="24"/>
        </w:rPr>
        <w:t xml:space="preserve"> </w:t>
      </w:r>
      <w:r w:rsidR="007066D9">
        <w:rPr>
          <w:rFonts w:ascii="Arial" w:hAnsi="Arial" w:cs="Arial"/>
          <w:sz w:val="24"/>
          <w:szCs w:val="24"/>
        </w:rPr>
        <w:t>a fixed rate</w:t>
      </w:r>
      <w:r w:rsidR="00B27415">
        <w:rPr>
          <w:rFonts w:ascii="Arial" w:hAnsi="Arial" w:cs="Arial"/>
          <w:sz w:val="24"/>
          <w:szCs w:val="24"/>
        </w:rPr>
        <w:t xml:space="preserve"> equal to or slightly below the then current SSO product for</w:t>
      </w:r>
      <w:r w:rsidR="007066D9">
        <w:rPr>
          <w:rFonts w:ascii="Arial" w:hAnsi="Arial" w:cs="Arial"/>
          <w:sz w:val="24"/>
          <w:szCs w:val="24"/>
        </w:rPr>
        <w:t xml:space="preserve"> a year</w:t>
      </w:r>
      <w:r w:rsidR="00B27415">
        <w:rPr>
          <w:rFonts w:ascii="Arial" w:hAnsi="Arial" w:cs="Arial"/>
          <w:sz w:val="24"/>
          <w:szCs w:val="24"/>
        </w:rPr>
        <w:t>,</w:t>
      </w:r>
      <w:r w:rsidR="007066D9">
        <w:rPr>
          <w:rFonts w:ascii="Arial" w:hAnsi="Arial" w:cs="Arial"/>
          <w:sz w:val="24"/>
          <w:szCs w:val="24"/>
        </w:rPr>
        <w:t xml:space="preserve"> or a </w:t>
      </w:r>
      <w:r w:rsidR="000F708D">
        <w:rPr>
          <w:rFonts w:ascii="Arial" w:hAnsi="Arial" w:cs="Arial"/>
          <w:sz w:val="24"/>
          <w:szCs w:val="24"/>
        </w:rPr>
        <w:t>variation on</w:t>
      </w:r>
      <w:r w:rsidR="00E479DE">
        <w:rPr>
          <w:rFonts w:ascii="Arial" w:hAnsi="Arial" w:cs="Arial"/>
          <w:sz w:val="24"/>
          <w:szCs w:val="24"/>
        </w:rPr>
        <w:t xml:space="preserve"> that </w:t>
      </w:r>
      <w:r w:rsidR="000F708D">
        <w:rPr>
          <w:rFonts w:ascii="Arial" w:hAnsi="Arial" w:cs="Arial"/>
          <w:sz w:val="24"/>
          <w:szCs w:val="24"/>
        </w:rPr>
        <w:t>theme</w:t>
      </w:r>
      <w:r w:rsidR="009F724D">
        <w:rPr>
          <w:rFonts w:ascii="Arial" w:hAnsi="Arial" w:cs="Arial"/>
          <w:sz w:val="24"/>
          <w:szCs w:val="24"/>
        </w:rPr>
        <w:t>.</w:t>
      </w:r>
      <w:r w:rsidR="007066D9">
        <w:rPr>
          <w:rFonts w:ascii="Arial" w:hAnsi="Arial" w:cs="Arial"/>
          <w:sz w:val="24"/>
          <w:szCs w:val="24"/>
        </w:rPr>
        <w:t xml:space="preserve"> However, after the retail auction is conducted, customers would continue to receive service from the winning supplier, until they choose to leave the SSO for another product in the market.  </w:t>
      </w:r>
      <w:r>
        <w:rPr>
          <w:rFonts w:ascii="Arial" w:hAnsi="Arial" w:cs="Arial"/>
          <w:sz w:val="24"/>
          <w:szCs w:val="24"/>
        </w:rPr>
        <w:t xml:space="preserve"> </w:t>
      </w:r>
      <w:r w:rsidR="00E734BB">
        <w:rPr>
          <w:rFonts w:ascii="Arial" w:hAnsi="Arial" w:cs="Arial"/>
          <w:sz w:val="24"/>
          <w:szCs w:val="24"/>
        </w:rPr>
        <w:t xml:space="preserve">The CRES supplier’s </w:t>
      </w:r>
      <w:r w:rsidR="007545D6">
        <w:rPr>
          <w:rFonts w:ascii="Arial" w:hAnsi="Arial" w:cs="Arial"/>
          <w:sz w:val="24"/>
          <w:szCs w:val="24"/>
        </w:rPr>
        <w:t xml:space="preserve">SSO </w:t>
      </w:r>
      <w:r w:rsidR="007066D9">
        <w:rPr>
          <w:rFonts w:ascii="Arial" w:hAnsi="Arial" w:cs="Arial"/>
          <w:sz w:val="24"/>
          <w:szCs w:val="24"/>
        </w:rPr>
        <w:t xml:space="preserve">rate </w:t>
      </w:r>
      <w:r w:rsidR="000F708D">
        <w:rPr>
          <w:rFonts w:ascii="Arial" w:hAnsi="Arial" w:cs="Arial"/>
          <w:sz w:val="24"/>
          <w:szCs w:val="24"/>
        </w:rPr>
        <w:t xml:space="preserve">initially and on a going forward basis </w:t>
      </w:r>
      <w:r w:rsidR="00E734BB">
        <w:rPr>
          <w:rFonts w:ascii="Arial" w:hAnsi="Arial" w:cs="Arial"/>
          <w:sz w:val="24"/>
          <w:szCs w:val="24"/>
        </w:rPr>
        <w:t>would</w:t>
      </w:r>
      <w:r>
        <w:rPr>
          <w:rFonts w:ascii="Arial" w:hAnsi="Arial" w:cs="Arial"/>
          <w:sz w:val="24"/>
          <w:szCs w:val="24"/>
        </w:rPr>
        <w:t xml:space="preserve"> be published on the PUCO apples to apples website</w:t>
      </w:r>
      <w:r w:rsidR="00E734BB">
        <w:rPr>
          <w:rFonts w:ascii="Arial" w:hAnsi="Arial" w:cs="Arial"/>
          <w:sz w:val="24"/>
          <w:szCs w:val="24"/>
        </w:rPr>
        <w:t>, transparent to all</w:t>
      </w:r>
      <w:r>
        <w:rPr>
          <w:rFonts w:ascii="Arial" w:hAnsi="Arial" w:cs="Arial"/>
          <w:sz w:val="24"/>
          <w:szCs w:val="24"/>
        </w:rPr>
        <w:t xml:space="preserve">.  </w:t>
      </w:r>
      <w:r w:rsidR="007066D9">
        <w:rPr>
          <w:rFonts w:ascii="Arial" w:hAnsi="Arial" w:cs="Arial"/>
          <w:sz w:val="24"/>
          <w:szCs w:val="24"/>
        </w:rPr>
        <w:t>Also</w:t>
      </w:r>
      <w:r w:rsidR="007545D6">
        <w:rPr>
          <w:rFonts w:ascii="Arial" w:hAnsi="Arial" w:cs="Arial"/>
          <w:sz w:val="24"/>
          <w:szCs w:val="24"/>
        </w:rPr>
        <w:t>,</w:t>
      </w:r>
      <w:r w:rsidR="007066D9">
        <w:rPr>
          <w:rFonts w:ascii="Arial" w:hAnsi="Arial" w:cs="Arial"/>
          <w:sz w:val="24"/>
          <w:szCs w:val="24"/>
        </w:rPr>
        <w:t xml:space="preserve"> the SSO </w:t>
      </w:r>
      <w:r w:rsidR="006B7464">
        <w:rPr>
          <w:rFonts w:ascii="Arial" w:hAnsi="Arial" w:cs="Arial"/>
          <w:sz w:val="24"/>
          <w:szCs w:val="24"/>
        </w:rPr>
        <w:t>product</w:t>
      </w:r>
      <w:r>
        <w:rPr>
          <w:rFonts w:ascii="Arial" w:hAnsi="Arial" w:cs="Arial"/>
          <w:sz w:val="24"/>
          <w:szCs w:val="24"/>
        </w:rPr>
        <w:t xml:space="preserve"> would have no cancellation fees, and the customers would be free to come and go at any-time</w:t>
      </w:r>
      <w:r w:rsidR="006B7464">
        <w:rPr>
          <w:rFonts w:ascii="Arial" w:hAnsi="Arial" w:cs="Arial"/>
          <w:sz w:val="24"/>
          <w:szCs w:val="24"/>
        </w:rPr>
        <w:t xml:space="preserve"> from the SSO product</w:t>
      </w:r>
      <w:r>
        <w:rPr>
          <w:rFonts w:ascii="Arial" w:hAnsi="Arial" w:cs="Arial"/>
          <w:sz w:val="24"/>
          <w:szCs w:val="24"/>
        </w:rPr>
        <w:t>, just as they are today</w:t>
      </w:r>
      <w:r w:rsidR="00203BC9">
        <w:rPr>
          <w:rFonts w:ascii="Arial" w:hAnsi="Arial" w:cs="Arial"/>
          <w:sz w:val="24"/>
          <w:szCs w:val="24"/>
        </w:rPr>
        <w:t>.</w:t>
      </w:r>
      <w:r w:rsidR="00203BC9" w:rsidRPr="00203BC9">
        <w:rPr>
          <w:rStyle w:val="FootnoteReference"/>
          <w:rFonts w:ascii="Arial" w:hAnsi="Arial" w:cs="Arial"/>
          <w:sz w:val="24"/>
          <w:szCs w:val="24"/>
        </w:rPr>
        <w:t xml:space="preserve"> </w:t>
      </w:r>
      <w:r w:rsidR="00203BC9">
        <w:rPr>
          <w:rStyle w:val="FootnoteReference"/>
          <w:rFonts w:ascii="Arial" w:hAnsi="Arial" w:cs="Arial"/>
          <w:sz w:val="24"/>
          <w:szCs w:val="24"/>
        </w:rPr>
        <w:footnoteReference w:id="2"/>
      </w:r>
      <w:r w:rsidR="00203BC9">
        <w:rPr>
          <w:rFonts w:ascii="Arial" w:hAnsi="Arial" w:cs="Arial"/>
          <w:sz w:val="24"/>
          <w:szCs w:val="24"/>
        </w:rPr>
        <w:t xml:space="preserve">  </w:t>
      </w:r>
    </w:p>
    <w:p w:rsidR="00E479DE" w:rsidRDefault="00671C65" w:rsidP="00972FB9">
      <w:pPr>
        <w:spacing w:line="480" w:lineRule="auto"/>
        <w:ind w:firstLine="360"/>
        <w:jc w:val="both"/>
        <w:rPr>
          <w:rFonts w:ascii="Arial" w:hAnsi="Arial" w:cs="Arial"/>
          <w:sz w:val="24"/>
          <w:szCs w:val="24"/>
        </w:rPr>
      </w:pPr>
      <w:r>
        <w:rPr>
          <w:rFonts w:ascii="Arial" w:hAnsi="Arial" w:cs="Arial"/>
          <w:sz w:val="24"/>
          <w:szCs w:val="24"/>
        </w:rPr>
        <w:t xml:space="preserve">In the alternative, if a wholesale auction </w:t>
      </w:r>
      <w:r w:rsidR="003D69E7">
        <w:rPr>
          <w:rFonts w:ascii="Arial" w:hAnsi="Arial" w:cs="Arial"/>
          <w:sz w:val="24"/>
          <w:szCs w:val="24"/>
        </w:rPr>
        <w:t>is utilized to serve the SSO the</w:t>
      </w:r>
      <w:r>
        <w:rPr>
          <w:rFonts w:ascii="Arial" w:hAnsi="Arial" w:cs="Arial"/>
          <w:sz w:val="24"/>
          <w:szCs w:val="24"/>
        </w:rPr>
        <w:t>n IGS has also proposed that</w:t>
      </w:r>
      <w:r w:rsidR="00972FB9">
        <w:rPr>
          <w:rFonts w:ascii="Arial" w:hAnsi="Arial" w:cs="Arial"/>
          <w:sz w:val="24"/>
          <w:szCs w:val="24"/>
        </w:rPr>
        <w:t xml:space="preserve"> an administrative fee </w:t>
      </w:r>
      <w:r>
        <w:rPr>
          <w:rFonts w:ascii="Arial" w:hAnsi="Arial" w:cs="Arial"/>
          <w:sz w:val="24"/>
          <w:szCs w:val="24"/>
        </w:rPr>
        <w:t>should be assessed</w:t>
      </w:r>
      <w:r w:rsidR="00972FB9">
        <w:rPr>
          <w:rFonts w:ascii="Arial" w:hAnsi="Arial" w:cs="Arial"/>
          <w:sz w:val="24"/>
          <w:szCs w:val="24"/>
        </w:rPr>
        <w:t xml:space="preserve"> </w:t>
      </w:r>
      <w:r>
        <w:rPr>
          <w:rFonts w:ascii="Arial" w:hAnsi="Arial" w:cs="Arial"/>
          <w:sz w:val="24"/>
          <w:szCs w:val="24"/>
        </w:rPr>
        <w:t xml:space="preserve">to </w:t>
      </w:r>
      <w:r w:rsidR="00972FB9">
        <w:rPr>
          <w:rFonts w:ascii="Arial" w:hAnsi="Arial" w:cs="Arial"/>
          <w:sz w:val="24"/>
          <w:szCs w:val="24"/>
        </w:rPr>
        <w:t>wholesale suppliers of the</w:t>
      </w:r>
      <w:r>
        <w:rPr>
          <w:rFonts w:ascii="Arial" w:hAnsi="Arial" w:cs="Arial"/>
          <w:sz w:val="24"/>
          <w:szCs w:val="24"/>
        </w:rPr>
        <w:t xml:space="preserve"> SSO</w:t>
      </w:r>
      <w:r w:rsidR="00972FB9">
        <w:rPr>
          <w:rFonts w:ascii="Arial" w:hAnsi="Arial" w:cs="Arial"/>
          <w:sz w:val="24"/>
          <w:szCs w:val="24"/>
        </w:rPr>
        <w:t xml:space="preserve"> to reflect the costs (included avoided costs) necessary to participate in a retail </w:t>
      </w:r>
      <w:r w:rsidR="00972FB9">
        <w:rPr>
          <w:rFonts w:ascii="Arial" w:hAnsi="Arial" w:cs="Arial"/>
          <w:sz w:val="24"/>
          <w:szCs w:val="24"/>
        </w:rPr>
        <w:lastRenderedPageBreak/>
        <w:t>market</w:t>
      </w:r>
      <w:r>
        <w:rPr>
          <w:rFonts w:ascii="Arial" w:hAnsi="Arial" w:cs="Arial"/>
          <w:sz w:val="24"/>
          <w:szCs w:val="24"/>
        </w:rPr>
        <w:t>. The administrative fee would then be passed back through to all shopping and non-shopping customers.</w:t>
      </w:r>
      <w:r>
        <w:rPr>
          <w:rStyle w:val="FootnoteReference"/>
          <w:rFonts w:ascii="Arial" w:hAnsi="Arial" w:cs="Arial"/>
          <w:sz w:val="24"/>
          <w:szCs w:val="24"/>
        </w:rPr>
        <w:footnoteReference w:id="3"/>
      </w:r>
      <w:r>
        <w:rPr>
          <w:rFonts w:ascii="Arial" w:hAnsi="Arial" w:cs="Arial"/>
          <w:sz w:val="24"/>
          <w:szCs w:val="24"/>
        </w:rPr>
        <w:t xml:space="preserve">  </w:t>
      </w:r>
    </w:p>
    <w:p w:rsidR="00972FB9" w:rsidRDefault="009A03A7" w:rsidP="00972FB9">
      <w:pPr>
        <w:spacing w:line="480" w:lineRule="auto"/>
        <w:ind w:firstLine="360"/>
        <w:jc w:val="both"/>
        <w:rPr>
          <w:rFonts w:ascii="Arial" w:hAnsi="Arial" w:cs="Arial"/>
          <w:sz w:val="24"/>
          <w:szCs w:val="24"/>
        </w:rPr>
      </w:pPr>
      <w:r>
        <w:rPr>
          <w:rFonts w:ascii="Arial" w:hAnsi="Arial" w:cs="Arial"/>
          <w:sz w:val="24"/>
          <w:szCs w:val="24"/>
        </w:rPr>
        <w:t xml:space="preserve">These are </w:t>
      </w:r>
      <w:r w:rsidR="00E479DE">
        <w:rPr>
          <w:rFonts w:ascii="Arial" w:hAnsi="Arial" w:cs="Arial"/>
          <w:sz w:val="24"/>
          <w:szCs w:val="24"/>
        </w:rPr>
        <w:t xml:space="preserve">just </w:t>
      </w:r>
      <w:r>
        <w:rPr>
          <w:rFonts w:ascii="Arial" w:hAnsi="Arial" w:cs="Arial"/>
          <w:sz w:val="24"/>
          <w:szCs w:val="24"/>
        </w:rPr>
        <w:t>two examples of means, consistent with current Ohio law, to remedy issues related to having a default service in a competitive market. However, consistent with both solutions, as well as other solutions that IGS has proposed</w:t>
      </w:r>
      <w:r w:rsidR="009F724D">
        <w:rPr>
          <w:rFonts w:ascii="Arial" w:hAnsi="Arial" w:cs="Arial"/>
          <w:sz w:val="24"/>
          <w:szCs w:val="24"/>
        </w:rPr>
        <w:t>,</w:t>
      </w:r>
      <w:r>
        <w:rPr>
          <w:rFonts w:ascii="Arial" w:hAnsi="Arial" w:cs="Arial"/>
          <w:sz w:val="24"/>
          <w:szCs w:val="24"/>
        </w:rPr>
        <w:t xml:space="preserve"> is the concept that all products presented to consumers in a retail market must have the full attributes of retail competitive products to ensure a long term, sustainable, competitive market for consumers.  </w:t>
      </w:r>
    </w:p>
    <w:p w:rsidR="00972FB9" w:rsidRDefault="00972FB9" w:rsidP="00972FB9">
      <w:pPr>
        <w:spacing w:line="480" w:lineRule="auto"/>
        <w:ind w:firstLine="360"/>
        <w:jc w:val="both"/>
        <w:rPr>
          <w:rFonts w:ascii="Arial" w:hAnsi="Arial" w:cs="Arial"/>
          <w:sz w:val="24"/>
          <w:szCs w:val="24"/>
        </w:rPr>
      </w:pPr>
      <w:r>
        <w:rPr>
          <w:rFonts w:ascii="Arial" w:hAnsi="Arial" w:cs="Arial"/>
          <w:sz w:val="24"/>
          <w:szCs w:val="24"/>
        </w:rPr>
        <w:t>In sum, Ohio law does not lock the Commission into the current subsidized wholesale</w:t>
      </w:r>
      <w:r w:rsidR="00DC24F8">
        <w:rPr>
          <w:rFonts w:ascii="Arial" w:hAnsi="Arial" w:cs="Arial"/>
          <w:sz w:val="24"/>
          <w:szCs w:val="24"/>
        </w:rPr>
        <w:t xml:space="preserve"> default</w:t>
      </w:r>
      <w:r>
        <w:rPr>
          <w:rFonts w:ascii="Arial" w:hAnsi="Arial" w:cs="Arial"/>
          <w:sz w:val="24"/>
          <w:szCs w:val="24"/>
        </w:rPr>
        <w:t xml:space="preserve"> SSO structure.  Ohio law allows for great flexibility for an SSO.  This flexibility was built in intentionally, because with the enactment of SB 2 and then SB 221, it was understood that Ohio electric markets would be continually evolving to</w:t>
      </w:r>
      <w:r w:rsidR="00671C65">
        <w:rPr>
          <w:rFonts w:ascii="Arial" w:hAnsi="Arial" w:cs="Arial"/>
          <w:sz w:val="24"/>
          <w:szCs w:val="24"/>
        </w:rPr>
        <w:t xml:space="preserve"> allow for</w:t>
      </w:r>
      <w:r>
        <w:rPr>
          <w:rFonts w:ascii="Arial" w:hAnsi="Arial" w:cs="Arial"/>
          <w:sz w:val="24"/>
          <w:szCs w:val="24"/>
        </w:rPr>
        <w:t xml:space="preserve"> greater and greater competition</w:t>
      </w:r>
      <w:r w:rsidR="009D730A">
        <w:rPr>
          <w:rFonts w:ascii="Arial" w:hAnsi="Arial" w:cs="Arial"/>
          <w:sz w:val="24"/>
          <w:szCs w:val="24"/>
        </w:rPr>
        <w:t>.</w:t>
      </w:r>
      <w:r w:rsidR="00E734BB">
        <w:rPr>
          <w:rFonts w:ascii="Arial" w:hAnsi="Arial" w:cs="Arial"/>
          <w:sz w:val="24"/>
          <w:szCs w:val="24"/>
        </w:rPr>
        <w:t xml:space="preserve"> In fact, </w:t>
      </w:r>
      <w:r w:rsidR="00203E66">
        <w:rPr>
          <w:rFonts w:ascii="Arial" w:hAnsi="Arial" w:cs="Arial"/>
          <w:sz w:val="24"/>
          <w:szCs w:val="24"/>
        </w:rPr>
        <w:t>it is the S</w:t>
      </w:r>
      <w:r w:rsidR="00E734BB">
        <w:rPr>
          <w:rFonts w:ascii="Arial" w:hAnsi="Arial" w:cs="Arial"/>
          <w:sz w:val="24"/>
          <w:szCs w:val="24"/>
        </w:rPr>
        <w:t>tate policy to “[r]</w:t>
      </w:r>
      <w:proofErr w:type="spellStart"/>
      <w:r w:rsidR="00E734BB" w:rsidRPr="009E03FA">
        <w:rPr>
          <w:rFonts w:ascii="Arial" w:hAnsi="Arial" w:cs="Arial"/>
          <w:sz w:val="24"/>
          <w:szCs w:val="24"/>
        </w:rPr>
        <w:t>ecognize</w:t>
      </w:r>
      <w:proofErr w:type="spellEnd"/>
      <w:r w:rsidR="00E734BB" w:rsidRPr="009E03FA">
        <w:rPr>
          <w:rFonts w:ascii="Arial" w:hAnsi="Arial" w:cs="Arial"/>
          <w:sz w:val="24"/>
          <w:szCs w:val="24"/>
        </w:rPr>
        <w:t xml:space="preserve"> the continuing emergence of competitive electricity markets through the development and implementation of flexible regulatory treatment</w:t>
      </w:r>
      <w:r w:rsidR="00E734BB">
        <w:rPr>
          <w:rFonts w:ascii="Arial" w:hAnsi="Arial" w:cs="Arial"/>
          <w:sz w:val="24"/>
          <w:szCs w:val="24"/>
        </w:rPr>
        <w:t xml:space="preserve">.”  </w:t>
      </w:r>
      <w:proofErr w:type="gramStart"/>
      <w:r w:rsidR="002D521A">
        <w:rPr>
          <w:rFonts w:ascii="Arial" w:hAnsi="Arial" w:cs="Arial"/>
          <w:sz w:val="24"/>
          <w:szCs w:val="24"/>
        </w:rPr>
        <w:t xml:space="preserve">R.C. </w:t>
      </w:r>
      <w:r w:rsidR="00E734BB">
        <w:rPr>
          <w:rFonts w:ascii="Arial" w:hAnsi="Arial" w:cs="Arial"/>
          <w:sz w:val="24"/>
          <w:szCs w:val="24"/>
        </w:rPr>
        <w:t>4928.02(G).</w:t>
      </w:r>
      <w:proofErr w:type="gramEnd"/>
      <w:r w:rsidR="00E734BB">
        <w:rPr>
          <w:rFonts w:ascii="Arial" w:hAnsi="Arial" w:cs="Arial"/>
          <w:sz w:val="24"/>
          <w:szCs w:val="24"/>
        </w:rPr>
        <w:t xml:space="preserve"> </w:t>
      </w:r>
      <w:r>
        <w:rPr>
          <w:rFonts w:ascii="Arial" w:hAnsi="Arial" w:cs="Arial"/>
          <w:sz w:val="24"/>
          <w:szCs w:val="24"/>
        </w:rPr>
        <w:t xml:space="preserve"> The proposals made by IGS Energy in this proceeding are simply furthering the intent of the Ohio legislature which is to continue the development of electric markets to full retail electric competition</w:t>
      </w:r>
      <w:r w:rsidR="00DF64C6">
        <w:rPr>
          <w:rFonts w:ascii="Arial" w:hAnsi="Arial" w:cs="Arial"/>
          <w:sz w:val="24"/>
          <w:szCs w:val="24"/>
        </w:rPr>
        <w:t xml:space="preserve"> through flexible regulatory treatment</w:t>
      </w:r>
      <w:r>
        <w:rPr>
          <w:rFonts w:ascii="Arial" w:hAnsi="Arial" w:cs="Arial"/>
          <w:sz w:val="24"/>
          <w:szCs w:val="24"/>
        </w:rPr>
        <w:t xml:space="preserve">.   </w:t>
      </w:r>
    </w:p>
    <w:p w:rsidR="005965A2" w:rsidRDefault="005965A2" w:rsidP="005965A2">
      <w:pPr>
        <w:pStyle w:val="ListParagraph"/>
        <w:numPr>
          <w:ilvl w:val="0"/>
          <w:numId w:val="4"/>
        </w:numPr>
        <w:spacing w:line="480" w:lineRule="auto"/>
        <w:jc w:val="both"/>
        <w:rPr>
          <w:rFonts w:ascii="Arial" w:hAnsi="Arial" w:cs="Arial"/>
          <w:b/>
          <w:sz w:val="24"/>
          <w:szCs w:val="24"/>
        </w:rPr>
      </w:pPr>
      <w:r>
        <w:rPr>
          <w:rFonts w:ascii="Arial" w:hAnsi="Arial" w:cs="Arial"/>
          <w:b/>
          <w:sz w:val="24"/>
          <w:szCs w:val="24"/>
        </w:rPr>
        <w:t>The Current SSO Product Encourages Customers not to Engage in the Market.</w:t>
      </w:r>
    </w:p>
    <w:p w:rsidR="005965A2" w:rsidRDefault="005965A2" w:rsidP="005965A2">
      <w:pPr>
        <w:spacing w:line="480" w:lineRule="auto"/>
        <w:ind w:firstLine="360"/>
        <w:jc w:val="both"/>
        <w:rPr>
          <w:rFonts w:ascii="Arial" w:hAnsi="Arial" w:cs="Arial"/>
          <w:sz w:val="24"/>
          <w:szCs w:val="24"/>
        </w:rPr>
      </w:pPr>
      <w:r>
        <w:rPr>
          <w:rFonts w:ascii="Arial" w:hAnsi="Arial" w:cs="Arial"/>
          <w:sz w:val="24"/>
          <w:szCs w:val="24"/>
        </w:rPr>
        <w:lastRenderedPageBreak/>
        <w:t>The Office of the Ohio Consumers’ Counsel (“OCC”) commented that customers should not be encouraged to shop with a CRES supplier, remain with the SSO or choose a government aggregation.</w:t>
      </w:r>
      <w:r>
        <w:rPr>
          <w:rStyle w:val="FootnoteReference"/>
          <w:rFonts w:ascii="Arial" w:hAnsi="Arial" w:cs="Arial"/>
          <w:sz w:val="24"/>
          <w:szCs w:val="24"/>
        </w:rPr>
        <w:footnoteReference w:id="4"/>
      </w:r>
      <w:r>
        <w:rPr>
          <w:rFonts w:ascii="Arial" w:hAnsi="Arial" w:cs="Arial"/>
          <w:sz w:val="24"/>
          <w:szCs w:val="24"/>
        </w:rPr>
        <w:t xml:space="preserve">  The problem with this statement, however, is that </w:t>
      </w:r>
      <w:r w:rsidR="00D02947">
        <w:rPr>
          <w:rFonts w:ascii="Arial" w:hAnsi="Arial" w:cs="Arial"/>
          <w:sz w:val="24"/>
          <w:szCs w:val="24"/>
        </w:rPr>
        <w:t>the SSO as currently structured inherently encourages customers</w:t>
      </w:r>
      <w:r>
        <w:rPr>
          <w:rFonts w:ascii="Arial" w:hAnsi="Arial" w:cs="Arial"/>
          <w:sz w:val="24"/>
          <w:szCs w:val="24"/>
        </w:rPr>
        <w:t xml:space="preserve"> to remain with the</w:t>
      </w:r>
      <w:r w:rsidR="00D02947">
        <w:rPr>
          <w:rFonts w:ascii="Arial" w:hAnsi="Arial" w:cs="Arial"/>
          <w:sz w:val="24"/>
          <w:szCs w:val="24"/>
        </w:rPr>
        <w:t xml:space="preserve"> EDU’s</w:t>
      </w:r>
      <w:r>
        <w:rPr>
          <w:rFonts w:ascii="Arial" w:hAnsi="Arial" w:cs="Arial"/>
          <w:sz w:val="24"/>
          <w:szCs w:val="24"/>
        </w:rPr>
        <w:t xml:space="preserve"> SSO offer.  Therefore, by advocating for the SSO to remain in its current state, OCC is effectively advocating for customers to remain </w:t>
      </w:r>
      <w:r w:rsidR="00671C65">
        <w:rPr>
          <w:rFonts w:ascii="Arial" w:hAnsi="Arial" w:cs="Arial"/>
          <w:sz w:val="24"/>
          <w:szCs w:val="24"/>
        </w:rPr>
        <w:t>with the SSO</w:t>
      </w:r>
      <w:r>
        <w:rPr>
          <w:rFonts w:ascii="Arial" w:hAnsi="Arial" w:cs="Arial"/>
          <w:sz w:val="24"/>
          <w:szCs w:val="24"/>
        </w:rPr>
        <w:t>, contrary to OCC’s</w:t>
      </w:r>
      <w:r w:rsidR="00BF60FE">
        <w:rPr>
          <w:rFonts w:ascii="Arial" w:hAnsi="Arial" w:cs="Arial"/>
          <w:sz w:val="24"/>
          <w:szCs w:val="24"/>
        </w:rPr>
        <w:t xml:space="preserve"> stated</w:t>
      </w:r>
      <w:r>
        <w:rPr>
          <w:rFonts w:ascii="Arial" w:hAnsi="Arial" w:cs="Arial"/>
          <w:sz w:val="24"/>
          <w:szCs w:val="24"/>
        </w:rPr>
        <w:t xml:space="preserve"> position that customers should not be encouraged to remain on</w:t>
      </w:r>
      <w:r w:rsidR="00D02947">
        <w:rPr>
          <w:rFonts w:ascii="Arial" w:hAnsi="Arial" w:cs="Arial"/>
          <w:sz w:val="24"/>
          <w:szCs w:val="24"/>
        </w:rPr>
        <w:t xml:space="preserve"> SSO</w:t>
      </w:r>
      <w:r>
        <w:rPr>
          <w:rFonts w:ascii="Arial" w:hAnsi="Arial" w:cs="Arial"/>
          <w:sz w:val="24"/>
          <w:szCs w:val="24"/>
        </w:rPr>
        <w:t xml:space="preserve"> default service.</w:t>
      </w:r>
    </w:p>
    <w:p w:rsidR="005965A2" w:rsidRDefault="005965A2" w:rsidP="005965A2">
      <w:pPr>
        <w:spacing w:line="480" w:lineRule="auto"/>
        <w:ind w:firstLine="360"/>
        <w:jc w:val="both"/>
        <w:rPr>
          <w:rFonts w:ascii="Arial" w:hAnsi="Arial" w:cs="Arial"/>
          <w:sz w:val="24"/>
          <w:szCs w:val="24"/>
        </w:rPr>
      </w:pPr>
      <w:r>
        <w:rPr>
          <w:rFonts w:ascii="Arial" w:hAnsi="Arial" w:cs="Arial"/>
          <w:sz w:val="24"/>
          <w:szCs w:val="24"/>
        </w:rPr>
        <w:t xml:space="preserve">It is easy to recognize why making something the default service for all customers encourages customers to remain with that service.  </w:t>
      </w:r>
      <w:r w:rsidR="000E0B06">
        <w:rPr>
          <w:rFonts w:ascii="Arial" w:hAnsi="Arial" w:cs="Arial"/>
          <w:sz w:val="24"/>
          <w:szCs w:val="24"/>
        </w:rPr>
        <w:t>Inertia keep</w:t>
      </w:r>
      <w:r w:rsidR="00203BC9">
        <w:rPr>
          <w:rFonts w:ascii="Arial" w:hAnsi="Arial" w:cs="Arial"/>
          <w:sz w:val="24"/>
          <w:szCs w:val="24"/>
        </w:rPr>
        <w:t>s</w:t>
      </w:r>
      <w:r w:rsidR="000E0B06">
        <w:rPr>
          <w:rFonts w:ascii="Arial" w:hAnsi="Arial" w:cs="Arial"/>
          <w:sz w:val="24"/>
          <w:szCs w:val="24"/>
        </w:rPr>
        <w:t xml:space="preserve"> consumers from engaging in the market</w:t>
      </w:r>
      <w:r w:rsidR="00203BC9">
        <w:rPr>
          <w:rFonts w:ascii="Arial" w:hAnsi="Arial" w:cs="Arial"/>
          <w:sz w:val="24"/>
          <w:szCs w:val="24"/>
        </w:rPr>
        <w:t>.</w:t>
      </w:r>
      <w:r w:rsidR="000E0B06">
        <w:rPr>
          <w:rFonts w:ascii="Arial" w:hAnsi="Arial" w:cs="Arial"/>
          <w:sz w:val="24"/>
          <w:szCs w:val="24"/>
        </w:rPr>
        <w:t xml:space="preserve"> </w:t>
      </w:r>
      <w:r w:rsidR="003E637C">
        <w:rPr>
          <w:rFonts w:ascii="Arial" w:hAnsi="Arial" w:cs="Arial"/>
          <w:sz w:val="24"/>
          <w:szCs w:val="24"/>
        </w:rPr>
        <w:t xml:space="preserve"> </w:t>
      </w:r>
      <w:r w:rsidR="00203BC9">
        <w:rPr>
          <w:rFonts w:ascii="Arial" w:hAnsi="Arial" w:cs="Arial"/>
          <w:sz w:val="24"/>
          <w:szCs w:val="24"/>
        </w:rPr>
        <w:t>Thus, by</w:t>
      </w:r>
      <w:r w:rsidR="003E637C">
        <w:rPr>
          <w:rFonts w:ascii="Arial" w:hAnsi="Arial" w:cs="Arial"/>
          <w:sz w:val="24"/>
          <w:szCs w:val="24"/>
        </w:rPr>
        <w:t xml:space="preserve"> asserting that customers should not be encouraged to </w:t>
      </w:r>
      <w:r w:rsidR="00203BC9">
        <w:rPr>
          <w:rFonts w:ascii="Arial" w:hAnsi="Arial" w:cs="Arial"/>
          <w:sz w:val="24"/>
          <w:szCs w:val="24"/>
        </w:rPr>
        <w:t>enroll in any particular service</w:t>
      </w:r>
      <w:r w:rsidR="003E637C">
        <w:rPr>
          <w:rFonts w:ascii="Arial" w:hAnsi="Arial" w:cs="Arial"/>
          <w:sz w:val="24"/>
          <w:szCs w:val="24"/>
        </w:rPr>
        <w:t>, in essence</w:t>
      </w:r>
      <w:r w:rsidR="00203E66">
        <w:rPr>
          <w:rFonts w:ascii="Arial" w:hAnsi="Arial" w:cs="Arial"/>
          <w:sz w:val="24"/>
          <w:szCs w:val="24"/>
        </w:rPr>
        <w:t>,</w:t>
      </w:r>
      <w:r w:rsidR="003E637C">
        <w:rPr>
          <w:rFonts w:ascii="Arial" w:hAnsi="Arial" w:cs="Arial"/>
          <w:sz w:val="24"/>
          <w:szCs w:val="24"/>
        </w:rPr>
        <w:t xml:space="preserve"> </w:t>
      </w:r>
      <w:r w:rsidR="00203BC9">
        <w:rPr>
          <w:rFonts w:ascii="Arial" w:hAnsi="Arial" w:cs="Arial"/>
          <w:sz w:val="24"/>
          <w:szCs w:val="24"/>
        </w:rPr>
        <w:t>this</w:t>
      </w:r>
      <w:r w:rsidR="003E637C">
        <w:rPr>
          <w:rFonts w:ascii="Arial" w:hAnsi="Arial" w:cs="Arial"/>
          <w:sz w:val="24"/>
          <w:szCs w:val="24"/>
        </w:rPr>
        <w:t xml:space="preserve"> </w:t>
      </w:r>
      <w:r w:rsidR="00203BC9">
        <w:rPr>
          <w:rFonts w:ascii="Arial" w:hAnsi="Arial" w:cs="Arial"/>
          <w:sz w:val="24"/>
          <w:szCs w:val="24"/>
        </w:rPr>
        <w:t xml:space="preserve">encourages the </w:t>
      </w:r>
      <w:r w:rsidR="003E637C">
        <w:rPr>
          <w:rFonts w:ascii="Arial" w:hAnsi="Arial" w:cs="Arial"/>
          <w:sz w:val="24"/>
          <w:szCs w:val="24"/>
        </w:rPr>
        <w:t>status quo and default service</w:t>
      </w:r>
      <w:r w:rsidR="000E0B06">
        <w:rPr>
          <w:rFonts w:ascii="Arial" w:hAnsi="Arial" w:cs="Arial"/>
          <w:sz w:val="24"/>
          <w:szCs w:val="24"/>
        </w:rPr>
        <w:t xml:space="preserve">.  </w:t>
      </w:r>
      <w:r>
        <w:rPr>
          <w:rFonts w:ascii="Arial" w:hAnsi="Arial" w:cs="Arial"/>
          <w:sz w:val="24"/>
          <w:szCs w:val="24"/>
        </w:rPr>
        <w:t xml:space="preserve">In its initial comments, IGS identified a multitude of </w:t>
      </w:r>
      <w:r w:rsidR="005843C8">
        <w:rPr>
          <w:rFonts w:ascii="Arial" w:hAnsi="Arial" w:cs="Arial"/>
          <w:sz w:val="24"/>
          <w:szCs w:val="24"/>
        </w:rPr>
        <w:t xml:space="preserve">specific </w:t>
      </w:r>
      <w:r>
        <w:rPr>
          <w:rFonts w:ascii="Arial" w:hAnsi="Arial" w:cs="Arial"/>
          <w:sz w:val="24"/>
          <w:szCs w:val="24"/>
        </w:rPr>
        <w:t>reasons why the current SSO structure has the effect of encouraging customers to remain on SSO service.</w:t>
      </w:r>
      <w:r>
        <w:rPr>
          <w:rStyle w:val="FootnoteReference"/>
          <w:rFonts w:ascii="Arial" w:hAnsi="Arial" w:cs="Arial"/>
          <w:sz w:val="24"/>
          <w:szCs w:val="24"/>
        </w:rPr>
        <w:footnoteReference w:id="5"/>
      </w:r>
      <w:r>
        <w:rPr>
          <w:rFonts w:ascii="Arial" w:hAnsi="Arial" w:cs="Arial"/>
          <w:sz w:val="24"/>
          <w:szCs w:val="24"/>
        </w:rPr>
        <w:t xml:space="preserve"> These include 1) customer’s status quo bias, 2) the implicit endorsement by the utility and the Commission of SSO service, 3) the subsidies that are paid for in distribution rates that are used to support SSO service and 4) the avoided costs not borne by SSO service that must be borne by all other competitive retail products in the marketplace.</w:t>
      </w:r>
    </w:p>
    <w:p w:rsidR="005965A2" w:rsidRDefault="005965A2" w:rsidP="005965A2">
      <w:pPr>
        <w:spacing w:line="480" w:lineRule="auto"/>
        <w:ind w:firstLine="360"/>
        <w:jc w:val="both"/>
        <w:rPr>
          <w:rFonts w:ascii="Arial" w:hAnsi="Arial" w:cs="Arial"/>
          <w:sz w:val="24"/>
          <w:szCs w:val="24"/>
        </w:rPr>
      </w:pPr>
      <w:r>
        <w:rPr>
          <w:rFonts w:ascii="Arial" w:hAnsi="Arial" w:cs="Arial"/>
          <w:sz w:val="24"/>
          <w:szCs w:val="24"/>
        </w:rPr>
        <w:t xml:space="preserve">Some may cite to Ohio’s shopping statistics as evidence that customers are actually making a choice to switch from default electric service.  However, a very large majority </w:t>
      </w:r>
      <w:r>
        <w:rPr>
          <w:rFonts w:ascii="Arial" w:hAnsi="Arial" w:cs="Arial"/>
          <w:sz w:val="24"/>
          <w:szCs w:val="24"/>
        </w:rPr>
        <w:lastRenderedPageBreak/>
        <w:t>of customer switching in Ohio is due to opt-out governmental aggregation, which also does not require customers to affirmatively choose to receive service from a supplier.</w:t>
      </w:r>
      <w:r>
        <w:rPr>
          <w:rStyle w:val="FootnoteReference"/>
          <w:rFonts w:ascii="Arial" w:hAnsi="Arial" w:cs="Arial"/>
          <w:sz w:val="24"/>
          <w:szCs w:val="24"/>
        </w:rPr>
        <w:footnoteReference w:id="6"/>
      </w:r>
      <w:r>
        <w:rPr>
          <w:rFonts w:ascii="Arial" w:hAnsi="Arial" w:cs="Arial"/>
          <w:sz w:val="24"/>
          <w:szCs w:val="24"/>
        </w:rPr>
        <w:t xml:space="preserve">  </w:t>
      </w:r>
      <w:r w:rsidR="00432227">
        <w:rPr>
          <w:rFonts w:ascii="Arial" w:hAnsi="Arial" w:cs="Arial"/>
          <w:sz w:val="24"/>
          <w:szCs w:val="24"/>
        </w:rPr>
        <w:t xml:space="preserve">As such, opt-out aggregation poses many of the issues of customer disengagement that occur as a result of the current SSO structure. </w:t>
      </w:r>
    </w:p>
    <w:p w:rsidR="005965A2" w:rsidRDefault="005965A2" w:rsidP="005965A2">
      <w:pPr>
        <w:spacing w:line="480" w:lineRule="auto"/>
        <w:ind w:firstLine="360"/>
        <w:jc w:val="both"/>
        <w:rPr>
          <w:rFonts w:ascii="Arial" w:hAnsi="Arial" w:cs="Arial"/>
          <w:sz w:val="24"/>
          <w:szCs w:val="24"/>
        </w:rPr>
      </w:pPr>
      <w:r>
        <w:rPr>
          <w:rFonts w:ascii="Arial" w:hAnsi="Arial" w:cs="Arial"/>
          <w:sz w:val="24"/>
          <w:szCs w:val="24"/>
        </w:rPr>
        <w:t>As noted in IGS’ initial comments, customers should be encouraged to engage in Ohio’s competitive electric markets.</w:t>
      </w:r>
      <w:r>
        <w:rPr>
          <w:rStyle w:val="FootnoteReference"/>
          <w:rFonts w:ascii="Arial" w:hAnsi="Arial" w:cs="Arial"/>
          <w:sz w:val="24"/>
          <w:szCs w:val="24"/>
        </w:rPr>
        <w:footnoteReference w:id="7"/>
      </w:r>
      <w:r w:rsidR="00432227">
        <w:rPr>
          <w:rFonts w:ascii="Arial" w:hAnsi="Arial" w:cs="Arial"/>
          <w:sz w:val="24"/>
          <w:szCs w:val="24"/>
        </w:rPr>
        <w:t xml:space="preserve"> Customer engagement is</w:t>
      </w:r>
      <w:r w:rsidR="00E54030">
        <w:rPr>
          <w:rFonts w:ascii="Arial" w:hAnsi="Arial" w:cs="Arial"/>
          <w:sz w:val="24"/>
          <w:szCs w:val="24"/>
        </w:rPr>
        <w:t xml:space="preserve"> a </w:t>
      </w:r>
      <w:r w:rsidR="00432227">
        <w:rPr>
          <w:rFonts w:ascii="Arial" w:hAnsi="Arial" w:cs="Arial"/>
          <w:sz w:val="24"/>
          <w:szCs w:val="24"/>
        </w:rPr>
        <w:t>pre-eminent force</w:t>
      </w:r>
      <w:r>
        <w:rPr>
          <w:rFonts w:ascii="Arial" w:hAnsi="Arial" w:cs="Arial"/>
          <w:sz w:val="24"/>
          <w:szCs w:val="24"/>
        </w:rPr>
        <w:t xml:space="preserve"> behind innovation and development in any marketplace for products and services. This is why in all other markets, in order to receive a product or service, customers must engage </w:t>
      </w:r>
      <w:r w:rsidR="00E54030">
        <w:rPr>
          <w:rFonts w:ascii="Arial" w:hAnsi="Arial" w:cs="Arial"/>
          <w:sz w:val="24"/>
          <w:szCs w:val="24"/>
        </w:rPr>
        <w:t xml:space="preserve">in </w:t>
      </w:r>
      <w:r>
        <w:rPr>
          <w:rFonts w:ascii="Arial" w:hAnsi="Arial" w:cs="Arial"/>
          <w:sz w:val="24"/>
          <w:szCs w:val="24"/>
        </w:rPr>
        <w:t>the market. Unfortunately in Ohio’s energy markets,</w:t>
      </w:r>
      <w:r w:rsidR="00432227">
        <w:rPr>
          <w:rFonts w:ascii="Arial" w:hAnsi="Arial" w:cs="Arial"/>
          <w:sz w:val="24"/>
          <w:szCs w:val="24"/>
        </w:rPr>
        <w:t xml:space="preserve"> because of the currently constructed default service,</w:t>
      </w:r>
      <w:r>
        <w:rPr>
          <w:rFonts w:ascii="Arial" w:hAnsi="Arial" w:cs="Arial"/>
          <w:sz w:val="24"/>
          <w:szCs w:val="24"/>
        </w:rPr>
        <w:t xml:space="preserve"> customer engagement is lacking.  </w:t>
      </w:r>
    </w:p>
    <w:p w:rsidR="00265976" w:rsidRDefault="00265976" w:rsidP="00265976">
      <w:pPr>
        <w:pStyle w:val="ListParagraph"/>
        <w:numPr>
          <w:ilvl w:val="0"/>
          <w:numId w:val="4"/>
        </w:numPr>
        <w:spacing w:line="480" w:lineRule="auto"/>
        <w:jc w:val="both"/>
        <w:rPr>
          <w:rFonts w:ascii="Arial" w:hAnsi="Arial" w:cs="Arial"/>
          <w:b/>
          <w:sz w:val="24"/>
          <w:szCs w:val="24"/>
        </w:rPr>
      </w:pPr>
      <w:r w:rsidRPr="00265976">
        <w:rPr>
          <w:rFonts w:ascii="Arial" w:hAnsi="Arial" w:cs="Arial"/>
          <w:b/>
          <w:sz w:val="24"/>
          <w:szCs w:val="24"/>
        </w:rPr>
        <w:t>Competitive</w:t>
      </w:r>
      <w:r w:rsidR="00BE6A48">
        <w:rPr>
          <w:rFonts w:ascii="Arial" w:hAnsi="Arial" w:cs="Arial"/>
          <w:b/>
          <w:sz w:val="24"/>
          <w:szCs w:val="24"/>
        </w:rPr>
        <w:t xml:space="preserve"> Electric</w:t>
      </w:r>
      <w:r w:rsidRPr="00265976">
        <w:rPr>
          <w:rFonts w:ascii="Arial" w:hAnsi="Arial" w:cs="Arial"/>
          <w:b/>
          <w:sz w:val="24"/>
          <w:szCs w:val="24"/>
        </w:rPr>
        <w:t xml:space="preserve"> Markets Have Benefited Customers in Texas</w:t>
      </w:r>
      <w:r w:rsidR="003F2C4D">
        <w:rPr>
          <w:rFonts w:ascii="Arial" w:hAnsi="Arial" w:cs="Arial"/>
          <w:b/>
          <w:sz w:val="24"/>
          <w:szCs w:val="24"/>
        </w:rPr>
        <w:t>.</w:t>
      </w:r>
    </w:p>
    <w:p w:rsidR="00265976" w:rsidRDefault="00717A93" w:rsidP="00265976">
      <w:pPr>
        <w:spacing w:line="480" w:lineRule="auto"/>
        <w:ind w:firstLine="360"/>
        <w:jc w:val="both"/>
        <w:rPr>
          <w:rFonts w:ascii="Arial" w:hAnsi="Arial" w:cs="Arial"/>
          <w:sz w:val="24"/>
          <w:szCs w:val="24"/>
        </w:rPr>
      </w:pPr>
      <w:r>
        <w:rPr>
          <w:rFonts w:ascii="Arial" w:hAnsi="Arial" w:cs="Arial"/>
          <w:sz w:val="24"/>
          <w:szCs w:val="24"/>
        </w:rPr>
        <w:t>A</w:t>
      </w:r>
      <w:r w:rsidR="003736C5">
        <w:rPr>
          <w:rFonts w:ascii="Arial" w:hAnsi="Arial" w:cs="Arial"/>
          <w:sz w:val="24"/>
          <w:szCs w:val="24"/>
        </w:rPr>
        <w:t xml:space="preserve"> number of parties cite Texas electric markets as an example of how fully competitive electric markets can be harmful to customers.</w:t>
      </w:r>
      <w:r w:rsidR="00265976" w:rsidRPr="00265976">
        <w:rPr>
          <w:rFonts w:ascii="Arial" w:hAnsi="Arial" w:cs="Arial"/>
          <w:sz w:val="24"/>
          <w:szCs w:val="24"/>
        </w:rPr>
        <w:t xml:space="preserve"> </w:t>
      </w:r>
      <w:r>
        <w:rPr>
          <w:rFonts w:ascii="Arial" w:hAnsi="Arial" w:cs="Arial"/>
          <w:sz w:val="24"/>
          <w:szCs w:val="24"/>
        </w:rPr>
        <w:t xml:space="preserve"> </w:t>
      </w:r>
      <w:r w:rsidR="00623089">
        <w:rPr>
          <w:rFonts w:ascii="Arial" w:hAnsi="Arial" w:cs="Arial"/>
          <w:sz w:val="24"/>
          <w:szCs w:val="24"/>
        </w:rPr>
        <w:t xml:space="preserve">For </w:t>
      </w:r>
      <w:r w:rsidR="00D87457">
        <w:rPr>
          <w:rFonts w:ascii="Arial" w:hAnsi="Arial" w:cs="Arial"/>
          <w:sz w:val="24"/>
          <w:szCs w:val="24"/>
        </w:rPr>
        <w:t xml:space="preserve">instance, </w:t>
      </w:r>
      <w:r w:rsidR="00D87457" w:rsidRPr="00265976">
        <w:rPr>
          <w:rFonts w:ascii="Arial" w:hAnsi="Arial" w:cs="Arial"/>
          <w:sz w:val="24"/>
          <w:szCs w:val="24"/>
        </w:rPr>
        <w:t>in</w:t>
      </w:r>
      <w:r w:rsidRPr="00265976">
        <w:rPr>
          <w:rFonts w:ascii="Arial" w:hAnsi="Arial" w:cs="Arial"/>
          <w:sz w:val="24"/>
          <w:szCs w:val="24"/>
        </w:rPr>
        <w:t xml:space="preserve"> its initial comments</w:t>
      </w:r>
      <w:r>
        <w:rPr>
          <w:rFonts w:ascii="Arial" w:hAnsi="Arial" w:cs="Arial"/>
          <w:sz w:val="24"/>
          <w:szCs w:val="24"/>
        </w:rPr>
        <w:t xml:space="preserve"> </w:t>
      </w:r>
      <w:r w:rsidR="00540B7E">
        <w:rPr>
          <w:rFonts w:ascii="Arial" w:hAnsi="Arial" w:cs="Arial"/>
          <w:sz w:val="24"/>
          <w:szCs w:val="24"/>
        </w:rPr>
        <w:t>the Northeast Ohio Public Energy Council (“NOPEC”)</w:t>
      </w:r>
      <w:r w:rsidR="00BE6A48">
        <w:rPr>
          <w:rFonts w:ascii="Arial" w:hAnsi="Arial" w:cs="Arial"/>
          <w:sz w:val="24"/>
          <w:szCs w:val="24"/>
        </w:rPr>
        <w:t xml:space="preserve"> claims that Texas is experiencing high electric </w:t>
      </w:r>
      <w:proofErr w:type="gramStart"/>
      <w:r w:rsidR="00BE6A48">
        <w:rPr>
          <w:rFonts w:ascii="Arial" w:hAnsi="Arial" w:cs="Arial"/>
          <w:sz w:val="24"/>
          <w:szCs w:val="24"/>
        </w:rPr>
        <w:t>rates.</w:t>
      </w:r>
      <w:proofErr w:type="gramEnd"/>
      <w:r w:rsidR="00BE6A48">
        <w:rPr>
          <w:rStyle w:val="FootnoteReference"/>
          <w:rFonts w:ascii="Arial" w:hAnsi="Arial" w:cs="Arial"/>
          <w:sz w:val="24"/>
          <w:szCs w:val="24"/>
        </w:rPr>
        <w:footnoteReference w:id="8"/>
      </w:r>
      <w:r w:rsidR="00BE6A48">
        <w:rPr>
          <w:rFonts w:ascii="Arial" w:hAnsi="Arial" w:cs="Arial"/>
          <w:sz w:val="24"/>
          <w:szCs w:val="24"/>
        </w:rPr>
        <w:t xml:space="preserve">  This st</w:t>
      </w:r>
      <w:r w:rsidR="00D87457">
        <w:rPr>
          <w:rFonts w:ascii="Arial" w:hAnsi="Arial" w:cs="Arial"/>
          <w:sz w:val="24"/>
          <w:szCs w:val="24"/>
        </w:rPr>
        <w:t>atement is squarely contradicted</w:t>
      </w:r>
      <w:r w:rsidR="00BE6A48">
        <w:rPr>
          <w:rFonts w:ascii="Arial" w:hAnsi="Arial" w:cs="Arial"/>
          <w:sz w:val="24"/>
          <w:szCs w:val="24"/>
        </w:rPr>
        <w:t xml:space="preserve"> </w:t>
      </w:r>
      <w:r w:rsidR="00D87457">
        <w:rPr>
          <w:rFonts w:ascii="Arial" w:hAnsi="Arial" w:cs="Arial"/>
          <w:sz w:val="24"/>
          <w:szCs w:val="24"/>
        </w:rPr>
        <w:t xml:space="preserve">by </w:t>
      </w:r>
      <w:r w:rsidR="00CC4743">
        <w:rPr>
          <w:rFonts w:ascii="Arial" w:hAnsi="Arial" w:cs="Arial"/>
          <w:sz w:val="24"/>
          <w:szCs w:val="24"/>
        </w:rPr>
        <w:t xml:space="preserve">the </w:t>
      </w:r>
      <w:r w:rsidR="003E6F03">
        <w:rPr>
          <w:rFonts w:ascii="Arial" w:hAnsi="Arial" w:cs="Arial"/>
          <w:sz w:val="24"/>
          <w:szCs w:val="24"/>
        </w:rPr>
        <w:t>facts</w:t>
      </w:r>
      <w:r w:rsidR="00BE6A48">
        <w:rPr>
          <w:rFonts w:ascii="Arial" w:hAnsi="Arial" w:cs="Arial"/>
          <w:sz w:val="24"/>
          <w:szCs w:val="24"/>
        </w:rPr>
        <w:t>.</w:t>
      </w:r>
    </w:p>
    <w:p w:rsidR="00BE6A48" w:rsidRDefault="00CC4743" w:rsidP="00BE6A48">
      <w:pPr>
        <w:spacing w:line="480" w:lineRule="auto"/>
        <w:ind w:firstLine="360"/>
        <w:jc w:val="both"/>
        <w:rPr>
          <w:rFonts w:ascii="Arial" w:hAnsi="Arial" w:cs="Arial"/>
          <w:sz w:val="24"/>
          <w:szCs w:val="24"/>
        </w:rPr>
      </w:pPr>
      <w:r>
        <w:rPr>
          <w:rFonts w:ascii="Arial" w:hAnsi="Arial" w:cs="Arial"/>
          <w:sz w:val="24"/>
          <w:szCs w:val="24"/>
        </w:rPr>
        <w:t xml:space="preserve">First, </w:t>
      </w:r>
      <w:r w:rsidR="00D02947">
        <w:rPr>
          <w:rFonts w:ascii="Arial" w:hAnsi="Arial" w:cs="Arial"/>
          <w:sz w:val="24"/>
          <w:szCs w:val="24"/>
        </w:rPr>
        <w:t>i</w:t>
      </w:r>
      <w:r w:rsidR="00D02947" w:rsidRPr="00BE6A48">
        <w:rPr>
          <w:rFonts w:ascii="Arial" w:hAnsi="Arial" w:cs="Arial"/>
          <w:sz w:val="24"/>
          <w:szCs w:val="24"/>
        </w:rPr>
        <w:t>t</w:t>
      </w:r>
      <w:r w:rsidR="00D02947">
        <w:rPr>
          <w:rFonts w:ascii="Arial" w:hAnsi="Arial" w:cs="Arial"/>
          <w:sz w:val="24"/>
          <w:szCs w:val="24"/>
        </w:rPr>
        <w:t xml:space="preserve"> </w:t>
      </w:r>
      <w:r w:rsidR="00D02947" w:rsidRPr="00BE6A48">
        <w:rPr>
          <w:rFonts w:ascii="Arial" w:hAnsi="Arial" w:cs="Arial"/>
          <w:sz w:val="24"/>
          <w:szCs w:val="24"/>
        </w:rPr>
        <w:t>should be noted that Texas currently has the second fastest growing economy in the United States.</w:t>
      </w:r>
      <w:r w:rsidR="00D02947" w:rsidRPr="00BE6A48">
        <w:rPr>
          <w:rStyle w:val="FootnoteReference"/>
          <w:rFonts w:ascii="Arial" w:hAnsi="Arial" w:cs="Arial"/>
          <w:sz w:val="24"/>
          <w:szCs w:val="24"/>
        </w:rPr>
        <w:footnoteReference w:id="9"/>
      </w:r>
      <w:r w:rsidR="00D02947" w:rsidRPr="00BE6A48">
        <w:rPr>
          <w:rFonts w:ascii="Arial" w:hAnsi="Arial" w:cs="Arial"/>
          <w:sz w:val="24"/>
          <w:szCs w:val="24"/>
        </w:rPr>
        <w:t xml:space="preserve"> Further, GDP in Texas </w:t>
      </w:r>
      <w:r w:rsidR="00D02947">
        <w:rPr>
          <w:rFonts w:ascii="Arial" w:hAnsi="Arial" w:cs="Arial"/>
          <w:sz w:val="24"/>
          <w:szCs w:val="24"/>
        </w:rPr>
        <w:t>h</w:t>
      </w:r>
      <w:r w:rsidR="00D02947" w:rsidRPr="00BE6A48">
        <w:rPr>
          <w:rFonts w:ascii="Arial" w:hAnsi="Arial" w:cs="Arial"/>
          <w:sz w:val="24"/>
          <w:szCs w:val="24"/>
        </w:rPr>
        <w:t>as nearly double</w:t>
      </w:r>
      <w:r w:rsidR="00D02947">
        <w:rPr>
          <w:rFonts w:ascii="Arial" w:hAnsi="Arial" w:cs="Arial"/>
          <w:sz w:val="24"/>
          <w:szCs w:val="24"/>
        </w:rPr>
        <w:t>d</w:t>
      </w:r>
      <w:r w:rsidR="00D02947" w:rsidRPr="00BE6A48">
        <w:rPr>
          <w:rFonts w:ascii="Arial" w:hAnsi="Arial" w:cs="Arial"/>
          <w:sz w:val="24"/>
          <w:szCs w:val="24"/>
        </w:rPr>
        <w:t xml:space="preserve"> since 2000.</w:t>
      </w:r>
      <w:r w:rsidR="00D02947" w:rsidRPr="00BE6A48">
        <w:rPr>
          <w:rStyle w:val="FootnoteReference"/>
          <w:rFonts w:ascii="Arial" w:hAnsi="Arial" w:cs="Arial"/>
          <w:sz w:val="24"/>
          <w:szCs w:val="24"/>
        </w:rPr>
        <w:footnoteReference w:id="10"/>
      </w:r>
      <w:r w:rsidR="00D02947" w:rsidRPr="00BE6A48">
        <w:rPr>
          <w:rFonts w:ascii="Arial" w:hAnsi="Arial" w:cs="Arial"/>
          <w:sz w:val="24"/>
          <w:szCs w:val="24"/>
        </w:rPr>
        <w:t xml:space="preserve">  Despite electricity demand in Texas</w:t>
      </w:r>
      <w:r w:rsidR="00D02947">
        <w:rPr>
          <w:rFonts w:ascii="Arial" w:hAnsi="Arial" w:cs="Arial"/>
          <w:sz w:val="24"/>
          <w:szCs w:val="24"/>
        </w:rPr>
        <w:t xml:space="preserve"> growing significantly</w:t>
      </w:r>
      <w:r w:rsidR="00D02947" w:rsidRPr="00BE6A48">
        <w:rPr>
          <w:rFonts w:ascii="Arial" w:hAnsi="Arial" w:cs="Arial"/>
          <w:sz w:val="24"/>
          <w:szCs w:val="24"/>
        </w:rPr>
        <w:t xml:space="preserve"> </w:t>
      </w:r>
      <w:r w:rsidR="00D02947">
        <w:rPr>
          <w:rFonts w:ascii="Arial" w:hAnsi="Arial" w:cs="Arial"/>
          <w:sz w:val="24"/>
          <w:szCs w:val="24"/>
        </w:rPr>
        <w:t xml:space="preserve">since Texas electric </w:t>
      </w:r>
      <w:r w:rsidR="00D02947">
        <w:rPr>
          <w:rFonts w:ascii="Arial" w:hAnsi="Arial" w:cs="Arial"/>
          <w:sz w:val="24"/>
          <w:szCs w:val="24"/>
        </w:rPr>
        <w:lastRenderedPageBreak/>
        <w:t xml:space="preserve">deregulation, </w:t>
      </w:r>
      <w:r w:rsidR="003E6F03">
        <w:rPr>
          <w:rFonts w:ascii="Arial" w:hAnsi="Arial" w:cs="Arial"/>
          <w:sz w:val="24"/>
          <w:szCs w:val="24"/>
        </w:rPr>
        <w:t>the most recent statistics published by the EIA identifies Texas as having electric rates below the national average.</w:t>
      </w:r>
      <w:r w:rsidR="003E6F03">
        <w:rPr>
          <w:rStyle w:val="FootnoteReference"/>
          <w:rFonts w:ascii="Arial" w:hAnsi="Arial" w:cs="Arial"/>
          <w:sz w:val="24"/>
          <w:szCs w:val="24"/>
        </w:rPr>
        <w:footnoteReference w:id="11"/>
      </w:r>
      <w:r w:rsidR="00D02947">
        <w:rPr>
          <w:rFonts w:ascii="Arial" w:hAnsi="Arial" w:cs="Arial"/>
          <w:sz w:val="24"/>
          <w:szCs w:val="24"/>
        </w:rPr>
        <w:t xml:space="preserve"> Further,</w:t>
      </w:r>
      <w:r w:rsidR="00D87457">
        <w:rPr>
          <w:rFonts w:ascii="Arial" w:hAnsi="Arial" w:cs="Arial"/>
          <w:sz w:val="24"/>
          <w:szCs w:val="24"/>
        </w:rPr>
        <w:t xml:space="preserve"> the 2011</w:t>
      </w:r>
      <w:r w:rsidR="00A3029F">
        <w:rPr>
          <w:rFonts w:ascii="Arial" w:hAnsi="Arial" w:cs="Arial"/>
          <w:sz w:val="24"/>
          <w:szCs w:val="24"/>
        </w:rPr>
        <w:t xml:space="preserve"> Public Utilities Commission of Texas</w:t>
      </w:r>
      <w:r>
        <w:rPr>
          <w:rFonts w:ascii="Arial" w:hAnsi="Arial" w:cs="Arial"/>
          <w:sz w:val="24"/>
          <w:szCs w:val="24"/>
        </w:rPr>
        <w:t xml:space="preserve"> </w:t>
      </w:r>
      <w:r w:rsidR="00D87457" w:rsidRPr="00D87457">
        <w:rPr>
          <w:rFonts w:ascii="Arial" w:hAnsi="Arial" w:cs="Arial"/>
          <w:i/>
          <w:sz w:val="24"/>
          <w:szCs w:val="24"/>
        </w:rPr>
        <w:t>Scope of Competition in Electric Markets in Texas</w:t>
      </w:r>
      <w:r w:rsidR="00D87457">
        <w:rPr>
          <w:rFonts w:ascii="Arial" w:hAnsi="Arial" w:cs="Arial"/>
          <w:sz w:val="24"/>
          <w:szCs w:val="24"/>
        </w:rPr>
        <w:t xml:space="preserve"> (“PUCT </w:t>
      </w:r>
      <w:r>
        <w:rPr>
          <w:rFonts w:ascii="Arial" w:hAnsi="Arial" w:cs="Arial"/>
          <w:sz w:val="24"/>
          <w:szCs w:val="24"/>
        </w:rPr>
        <w:t>Report</w:t>
      </w:r>
      <w:r w:rsidR="00D87457">
        <w:rPr>
          <w:rFonts w:ascii="Arial" w:hAnsi="Arial" w:cs="Arial"/>
          <w:sz w:val="24"/>
          <w:szCs w:val="24"/>
        </w:rPr>
        <w:t>”)</w:t>
      </w:r>
      <w:r>
        <w:rPr>
          <w:rFonts w:ascii="Arial" w:hAnsi="Arial" w:cs="Arial"/>
          <w:sz w:val="24"/>
          <w:szCs w:val="24"/>
        </w:rPr>
        <w:t xml:space="preserve"> found that</w:t>
      </w:r>
      <w:r w:rsidR="00BE6A48" w:rsidRPr="00BE6A48">
        <w:rPr>
          <w:rFonts w:ascii="Arial" w:hAnsi="Arial" w:cs="Arial"/>
          <w:sz w:val="24"/>
          <w:szCs w:val="24"/>
        </w:rPr>
        <w:t xml:space="preserve"> </w:t>
      </w:r>
      <w:r>
        <w:rPr>
          <w:rFonts w:ascii="Arial" w:hAnsi="Arial" w:cs="Arial"/>
          <w:sz w:val="24"/>
          <w:szCs w:val="24"/>
        </w:rPr>
        <w:t>the competitive offers in Texas are below the electric rates prior to the introduction of competition and that every competitive market in Texas has offers that are</w:t>
      </w:r>
      <w:r w:rsidR="003E6F03">
        <w:rPr>
          <w:rFonts w:ascii="Arial" w:hAnsi="Arial" w:cs="Arial"/>
          <w:sz w:val="24"/>
          <w:szCs w:val="24"/>
        </w:rPr>
        <w:t xml:space="preserve"> up to 3 cents per KWH</w:t>
      </w:r>
      <w:r>
        <w:rPr>
          <w:rFonts w:ascii="Arial" w:hAnsi="Arial" w:cs="Arial"/>
          <w:sz w:val="24"/>
          <w:szCs w:val="24"/>
        </w:rPr>
        <w:t xml:space="preserve"> below the national average price for electricity.</w:t>
      </w:r>
      <w:r>
        <w:rPr>
          <w:rStyle w:val="FootnoteReference"/>
          <w:rFonts w:ascii="Arial" w:hAnsi="Arial" w:cs="Arial"/>
          <w:sz w:val="24"/>
          <w:szCs w:val="24"/>
        </w:rPr>
        <w:footnoteReference w:id="12"/>
      </w:r>
      <w:r>
        <w:rPr>
          <w:rFonts w:ascii="Arial" w:hAnsi="Arial" w:cs="Arial"/>
          <w:sz w:val="24"/>
          <w:szCs w:val="24"/>
        </w:rPr>
        <w:t xml:space="preserve">  </w:t>
      </w:r>
      <w:r w:rsidR="003736C5">
        <w:rPr>
          <w:rFonts w:ascii="Arial" w:hAnsi="Arial" w:cs="Arial"/>
          <w:sz w:val="24"/>
          <w:szCs w:val="24"/>
        </w:rPr>
        <w:t>Further</w:t>
      </w:r>
      <w:r w:rsidR="00BF60FE">
        <w:rPr>
          <w:rFonts w:ascii="Arial" w:hAnsi="Arial" w:cs="Arial"/>
          <w:sz w:val="24"/>
          <w:szCs w:val="24"/>
        </w:rPr>
        <w:t>,</w:t>
      </w:r>
      <w:r w:rsidR="003736C5">
        <w:rPr>
          <w:rFonts w:ascii="Arial" w:hAnsi="Arial" w:cs="Arial"/>
          <w:sz w:val="24"/>
          <w:szCs w:val="24"/>
        </w:rPr>
        <w:t xml:space="preserve"> the PUCT Report found that the offers and products available to</w:t>
      </w:r>
      <w:r w:rsidR="00A40067">
        <w:rPr>
          <w:rFonts w:ascii="Arial" w:hAnsi="Arial" w:cs="Arial"/>
          <w:sz w:val="24"/>
          <w:szCs w:val="24"/>
        </w:rPr>
        <w:t xml:space="preserve"> Texas</w:t>
      </w:r>
      <w:r w:rsidR="003736C5">
        <w:rPr>
          <w:rFonts w:ascii="Arial" w:hAnsi="Arial" w:cs="Arial"/>
          <w:sz w:val="24"/>
          <w:szCs w:val="24"/>
        </w:rPr>
        <w:t xml:space="preserve"> customers are robust and growing. At the time of the report</w:t>
      </w:r>
      <w:r w:rsidR="00A3029F">
        <w:rPr>
          <w:rFonts w:ascii="Arial" w:hAnsi="Arial" w:cs="Arial"/>
          <w:sz w:val="24"/>
          <w:szCs w:val="24"/>
        </w:rPr>
        <w:t>,</w:t>
      </w:r>
      <w:r w:rsidR="003736C5">
        <w:rPr>
          <w:rFonts w:ascii="Arial" w:hAnsi="Arial" w:cs="Arial"/>
          <w:sz w:val="24"/>
          <w:szCs w:val="24"/>
        </w:rPr>
        <w:t xml:space="preserve"> 86 suppliers were providing electric service to customers and as many as 233 different products were available </w:t>
      </w:r>
      <w:r w:rsidR="00717A93">
        <w:rPr>
          <w:rFonts w:ascii="Arial" w:hAnsi="Arial" w:cs="Arial"/>
          <w:sz w:val="24"/>
          <w:szCs w:val="24"/>
        </w:rPr>
        <w:t>in the market</w:t>
      </w:r>
      <w:r w:rsidR="003736C5">
        <w:rPr>
          <w:rFonts w:ascii="Arial" w:hAnsi="Arial" w:cs="Arial"/>
          <w:sz w:val="24"/>
          <w:szCs w:val="24"/>
        </w:rPr>
        <w:t>.</w:t>
      </w:r>
      <w:r w:rsidR="003736C5">
        <w:rPr>
          <w:rStyle w:val="FootnoteReference"/>
          <w:rFonts w:ascii="Arial" w:hAnsi="Arial" w:cs="Arial"/>
          <w:sz w:val="24"/>
          <w:szCs w:val="24"/>
        </w:rPr>
        <w:footnoteReference w:id="13"/>
      </w:r>
    </w:p>
    <w:p w:rsidR="00717A93" w:rsidRDefault="00717A93" w:rsidP="00BE6A48">
      <w:pPr>
        <w:spacing w:line="480" w:lineRule="auto"/>
        <w:ind w:firstLine="360"/>
        <w:jc w:val="both"/>
        <w:rPr>
          <w:rFonts w:ascii="Arial" w:hAnsi="Arial" w:cs="Arial"/>
          <w:sz w:val="24"/>
          <w:szCs w:val="24"/>
        </w:rPr>
      </w:pPr>
      <w:r>
        <w:rPr>
          <w:rFonts w:ascii="Arial" w:hAnsi="Arial" w:cs="Arial"/>
          <w:sz w:val="24"/>
          <w:szCs w:val="24"/>
        </w:rPr>
        <w:t xml:space="preserve">The OCC also cites to Texas markets as an example of how </w:t>
      </w:r>
      <w:r w:rsidR="002717E1">
        <w:rPr>
          <w:rFonts w:ascii="Arial" w:hAnsi="Arial" w:cs="Arial"/>
          <w:sz w:val="24"/>
          <w:szCs w:val="24"/>
        </w:rPr>
        <w:t>fully competitive</w:t>
      </w:r>
      <w:r>
        <w:rPr>
          <w:rFonts w:ascii="Arial" w:hAnsi="Arial" w:cs="Arial"/>
          <w:sz w:val="24"/>
          <w:szCs w:val="24"/>
        </w:rPr>
        <w:t xml:space="preserve"> electric markets are less reliable because </w:t>
      </w:r>
      <w:r w:rsidR="00C35444">
        <w:rPr>
          <w:rFonts w:ascii="Arial" w:hAnsi="Arial" w:cs="Arial"/>
          <w:sz w:val="24"/>
          <w:szCs w:val="24"/>
        </w:rPr>
        <w:t>a number of</w:t>
      </w:r>
      <w:r>
        <w:rPr>
          <w:rFonts w:ascii="Arial" w:hAnsi="Arial" w:cs="Arial"/>
          <w:sz w:val="24"/>
          <w:szCs w:val="24"/>
        </w:rPr>
        <w:t xml:space="preserve"> electric suppliers in Texas went out of business in 200</w:t>
      </w:r>
      <w:r w:rsidR="00C35444">
        <w:rPr>
          <w:rFonts w:ascii="Arial" w:hAnsi="Arial" w:cs="Arial"/>
          <w:sz w:val="24"/>
          <w:szCs w:val="24"/>
        </w:rPr>
        <w:t>5 and 2008</w:t>
      </w:r>
      <w:r>
        <w:rPr>
          <w:rFonts w:ascii="Arial" w:hAnsi="Arial" w:cs="Arial"/>
          <w:sz w:val="24"/>
          <w:szCs w:val="24"/>
        </w:rPr>
        <w:t>.</w:t>
      </w:r>
      <w:r w:rsidR="00C35444">
        <w:rPr>
          <w:rStyle w:val="FootnoteReference"/>
          <w:rFonts w:ascii="Arial" w:hAnsi="Arial" w:cs="Arial"/>
          <w:sz w:val="24"/>
          <w:szCs w:val="24"/>
        </w:rPr>
        <w:footnoteReference w:id="14"/>
      </w:r>
      <w:r>
        <w:rPr>
          <w:rFonts w:ascii="Arial" w:hAnsi="Arial" w:cs="Arial"/>
          <w:sz w:val="24"/>
          <w:szCs w:val="24"/>
        </w:rPr>
        <w:t xml:space="preserve">  </w:t>
      </w:r>
      <w:r w:rsidR="00E63590">
        <w:rPr>
          <w:rFonts w:ascii="Arial" w:hAnsi="Arial" w:cs="Arial"/>
          <w:sz w:val="24"/>
          <w:szCs w:val="24"/>
        </w:rPr>
        <w:t xml:space="preserve">While </w:t>
      </w:r>
      <w:r w:rsidR="00623089">
        <w:rPr>
          <w:rFonts w:ascii="Arial" w:hAnsi="Arial" w:cs="Arial"/>
          <w:sz w:val="24"/>
          <w:szCs w:val="24"/>
        </w:rPr>
        <w:t>any supplier default is</w:t>
      </w:r>
      <w:r w:rsidR="00E63590">
        <w:rPr>
          <w:rFonts w:ascii="Arial" w:hAnsi="Arial" w:cs="Arial"/>
          <w:sz w:val="24"/>
          <w:szCs w:val="24"/>
        </w:rPr>
        <w:t xml:space="preserve"> unfortunate, the OCC admits that during these occurrences no customers lost</w:t>
      </w:r>
      <w:r w:rsidR="006515F3">
        <w:rPr>
          <w:rFonts w:ascii="Arial" w:hAnsi="Arial" w:cs="Arial"/>
          <w:sz w:val="24"/>
          <w:szCs w:val="24"/>
        </w:rPr>
        <w:t xml:space="preserve"> electric</w:t>
      </w:r>
      <w:r w:rsidR="00E63590">
        <w:rPr>
          <w:rFonts w:ascii="Arial" w:hAnsi="Arial" w:cs="Arial"/>
          <w:sz w:val="24"/>
          <w:szCs w:val="24"/>
        </w:rPr>
        <w:t xml:space="preserve"> service.  Further, any economic loss </w:t>
      </w:r>
      <w:r w:rsidR="00623089">
        <w:rPr>
          <w:rFonts w:ascii="Arial" w:hAnsi="Arial" w:cs="Arial"/>
          <w:sz w:val="24"/>
          <w:szCs w:val="24"/>
        </w:rPr>
        <w:t>that may result from supplier default can be addressed by establishing appropriate supplier collateral and credit requirements</w:t>
      </w:r>
      <w:r w:rsidR="00E63590">
        <w:rPr>
          <w:rFonts w:ascii="Arial" w:hAnsi="Arial" w:cs="Arial"/>
          <w:sz w:val="24"/>
          <w:szCs w:val="24"/>
        </w:rPr>
        <w:t>.</w:t>
      </w:r>
      <w:r w:rsidR="00623089">
        <w:rPr>
          <w:rStyle w:val="FootnoteReference"/>
          <w:rFonts w:ascii="Arial" w:hAnsi="Arial" w:cs="Arial"/>
          <w:sz w:val="24"/>
          <w:szCs w:val="24"/>
        </w:rPr>
        <w:footnoteReference w:id="15"/>
      </w:r>
      <w:r w:rsidR="00E63590">
        <w:rPr>
          <w:rFonts w:ascii="Arial" w:hAnsi="Arial" w:cs="Arial"/>
          <w:sz w:val="24"/>
          <w:szCs w:val="24"/>
        </w:rPr>
        <w:t xml:space="preserve">  Finally, even in a regulated environment </w:t>
      </w:r>
      <w:r w:rsidR="00E63590">
        <w:rPr>
          <w:rFonts w:ascii="Arial" w:hAnsi="Arial" w:cs="Arial"/>
          <w:sz w:val="24"/>
          <w:szCs w:val="24"/>
        </w:rPr>
        <w:lastRenderedPageBreak/>
        <w:t>where there is a default rate provided by the EDU</w:t>
      </w:r>
      <w:r w:rsidR="00D87457">
        <w:rPr>
          <w:rFonts w:ascii="Arial" w:hAnsi="Arial" w:cs="Arial"/>
          <w:sz w:val="24"/>
          <w:szCs w:val="24"/>
        </w:rPr>
        <w:t>,</w:t>
      </w:r>
      <w:r w:rsidR="00E63590">
        <w:rPr>
          <w:rFonts w:ascii="Arial" w:hAnsi="Arial" w:cs="Arial"/>
          <w:sz w:val="24"/>
          <w:szCs w:val="24"/>
        </w:rPr>
        <w:t xml:space="preserve"> customers </w:t>
      </w:r>
      <w:r w:rsidR="00D87457">
        <w:rPr>
          <w:rFonts w:ascii="Arial" w:hAnsi="Arial" w:cs="Arial"/>
          <w:sz w:val="24"/>
          <w:szCs w:val="24"/>
        </w:rPr>
        <w:t>are not</w:t>
      </w:r>
      <w:r w:rsidR="00E63590">
        <w:rPr>
          <w:rFonts w:ascii="Arial" w:hAnsi="Arial" w:cs="Arial"/>
          <w:sz w:val="24"/>
          <w:szCs w:val="24"/>
        </w:rPr>
        <w:t xml:space="preserve"> protected from all economic harm.  </w:t>
      </w:r>
      <w:r w:rsidR="00A40067">
        <w:rPr>
          <w:rFonts w:ascii="Arial" w:hAnsi="Arial" w:cs="Arial"/>
          <w:sz w:val="24"/>
          <w:szCs w:val="24"/>
        </w:rPr>
        <w:t>In Ohio, n</w:t>
      </w:r>
      <w:r w:rsidR="00D87457">
        <w:rPr>
          <w:rFonts w:ascii="Arial" w:hAnsi="Arial" w:cs="Arial"/>
          <w:sz w:val="24"/>
          <w:szCs w:val="24"/>
        </w:rPr>
        <w:t>o EDU</w:t>
      </w:r>
      <w:r w:rsidR="00DF35BF">
        <w:rPr>
          <w:rFonts w:ascii="Arial" w:hAnsi="Arial" w:cs="Arial"/>
          <w:sz w:val="24"/>
          <w:szCs w:val="24"/>
        </w:rPr>
        <w:t xml:space="preserve"> SSO</w:t>
      </w:r>
      <w:r w:rsidR="00D87457">
        <w:rPr>
          <w:rFonts w:ascii="Arial" w:hAnsi="Arial" w:cs="Arial"/>
          <w:sz w:val="24"/>
          <w:szCs w:val="24"/>
        </w:rPr>
        <w:t xml:space="preserve"> default rate is fixed for an indefinite period of time, and thus </w:t>
      </w:r>
      <w:r w:rsidR="00A40067">
        <w:rPr>
          <w:rFonts w:ascii="Arial" w:hAnsi="Arial" w:cs="Arial"/>
          <w:sz w:val="24"/>
          <w:szCs w:val="24"/>
        </w:rPr>
        <w:t xml:space="preserve">SSO </w:t>
      </w:r>
      <w:r w:rsidR="00D87457">
        <w:rPr>
          <w:rFonts w:ascii="Arial" w:hAnsi="Arial" w:cs="Arial"/>
          <w:sz w:val="24"/>
          <w:szCs w:val="24"/>
        </w:rPr>
        <w:t xml:space="preserve">customers are </w:t>
      </w:r>
      <w:r w:rsidR="00432227">
        <w:rPr>
          <w:rFonts w:ascii="Arial" w:hAnsi="Arial" w:cs="Arial"/>
          <w:sz w:val="24"/>
          <w:szCs w:val="24"/>
        </w:rPr>
        <w:t xml:space="preserve">frequently </w:t>
      </w:r>
      <w:r w:rsidR="00D87457">
        <w:rPr>
          <w:rFonts w:ascii="Arial" w:hAnsi="Arial" w:cs="Arial"/>
          <w:sz w:val="24"/>
          <w:szCs w:val="24"/>
        </w:rPr>
        <w:t>exposed to increase</w:t>
      </w:r>
      <w:r w:rsidR="006515F3">
        <w:rPr>
          <w:rFonts w:ascii="Arial" w:hAnsi="Arial" w:cs="Arial"/>
          <w:sz w:val="24"/>
          <w:szCs w:val="24"/>
        </w:rPr>
        <w:t>s</w:t>
      </w:r>
      <w:r w:rsidR="00D87457">
        <w:rPr>
          <w:rFonts w:ascii="Arial" w:hAnsi="Arial" w:cs="Arial"/>
          <w:sz w:val="24"/>
          <w:szCs w:val="24"/>
        </w:rPr>
        <w:t xml:space="preserve"> in electric rates.  </w:t>
      </w:r>
      <w:r w:rsidR="00E63590">
        <w:rPr>
          <w:rFonts w:ascii="Arial" w:hAnsi="Arial" w:cs="Arial"/>
          <w:sz w:val="24"/>
          <w:szCs w:val="24"/>
        </w:rPr>
        <w:t xml:space="preserve"> </w:t>
      </w:r>
    </w:p>
    <w:p w:rsidR="00717A93" w:rsidRDefault="00717A93" w:rsidP="00BE6A48">
      <w:pPr>
        <w:spacing w:line="480" w:lineRule="auto"/>
        <w:ind w:firstLine="360"/>
        <w:jc w:val="both"/>
        <w:rPr>
          <w:rFonts w:ascii="Arial" w:hAnsi="Arial" w:cs="Arial"/>
          <w:sz w:val="24"/>
          <w:szCs w:val="24"/>
        </w:rPr>
      </w:pPr>
      <w:r>
        <w:rPr>
          <w:rFonts w:ascii="Arial" w:hAnsi="Arial" w:cs="Arial"/>
          <w:sz w:val="24"/>
          <w:szCs w:val="24"/>
        </w:rPr>
        <w:tab/>
        <w:t xml:space="preserve">As IGS </w:t>
      </w:r>
      <w:r w:rsidR="00540B7E">
        <w:rPr>
          <w:rFonts w:ascii="Arial" w:hAnsi="Arial" w:cs="Arial"/>
          <w:sz w:val="24"/>
          <w:szCs w:val="24"/>
        </w:rPr>
        <w:t>explained</w:t>
      </w:r>
      <w:r>
        <w:rPr>
          <w:rFonts w:ascii="Arial" w:hAnsi="Arial" w:cs="Arial"/>
          <w:sz w:val="24"/>
          <w:szCs w:val="24"/>
        </w:rPr>
        <w:t xml:space="preserve"> in its initial comments,</w:t>
      </w:r>
      <w:r w:rsidR="006515F3">
        <w:rPr>
          <w:rFonts w:ascii="Arial" w:hAnsi="Arial" w:cs="Arial"/>
          <w:sz w:val="24"/>
          <w:szCs w:val="24"/>
        </w:rPr>
        <w:t xml:space="preserve"> the Texas markets offer</w:t>
      </w:r>
      <w:r>
        <w:rPr>
          <w:rFonts w:ascii="Arial" w:hAnsi="Arial" w:cs="Arial"/>
          <w:sz w:val="24"/>
          <w:szCs w:val="24"/>
        </w:rPr>
        <w:t xml:space="preserve"> </w:t>
      </w:r>
      <w:r w:rsidR="00093567">
        <w:rPr>
          <w:rFonts w:ascii="Arial" w:hAnsi="Arial" w:cs="Arial"/>
          <w:sz w:val="24"/>
          <w:szCs w:val="24"/>
        </w:rPr>
        <w:t>a more diverse range of</w:t>
      </w:r>
      <w:r>
        <w:rPr>
          <w:rFonts w:ascii="Arial" w:hAnsi="Arial" w:cs="Arial"/>
          <w:sz w:val="24"/>
          <w:szCs w:val="24"/>
        </w:rPr>
        <w:t xml:space="preserve"> retail electric products </w:t>
      </w:r>
      <w:r w:rsidR="006515F3">
        <w:rPr>
          <w:rFonts w:ascii="Arial" w:hAnsi="Arial" w:cs="Arial"/>
          <w:sz w:val="24"/>
          <w:szCs w:val="24"/>
        </w:rPr>
        <w:t>to customers</w:t>
      </w:r>
      <w:r>
        <w:rPr>
          <w:rFonts w:ascii="Arial" w:hAnsi="Arial" w:cs="Arial"/>
          <w:sz w:val="24"/>
          <w:szCs w:val="24"/>
        </w:rPr>
        <w:t xml:space="preserve"> than anywhere else in the country.</w:t>
      </w:r>
      <w:r w:rsidR="00A40067">
        <w:rPr>
          <w:rStyle w:val="FootnoteReference"/>
          <w:rFonts w:ascii="Arial" w:hAnsi="Arial" w:cs="Arial"/>
          <w:sz w:val="24"/>
          <w:szCs w:val="24"/>
        </w:rPr>
        <w:footnoteReference w:id="16"/>
      </w:r>
      <w:r>
        <w:rPr>
          <w:rFonts w:ascii="Arial" w:hAnsi="Arial" w:cs="Arial"/>
          <w:sz w:val="24"/>
          <w:szCs w:val="24"/>
        </w:rPr>
        <w:t xml:space="preserve">  Further, customer engagement in Texas is great</w:t>
      </w:r>
      <w:r w:rsidR="009201F9">
        <w:rPr>
          <w:rFonts w:ascii="Arial" w:hAnsi="Arial" w:cs="Arial"/>
          <w:sz w:val="24"/>
          <w:szCs w:val="24"/>
        </w:rPr>
        <w:t>er</w:t>
      </w:r>
      <w:r>
        <w:rPr>
          <w:rFonts w:ascii="Arial" w:hAnsi="Arial" w:cs="Arial"/>
          <w:sz w:val="24"/>
          <w:szCs w:val="24"/>
        </w:rPr>
        <w:t xml:space="preserve">, and </w:t>
      </w:r>
      <w:r w:rsidR="00EF4AC6">
        <w:rPr>
          <w:rFonts w:ascii="Arial" w:hAnsi="Arial" w:cs="Arial"/>
          <w:sz w:val="24"/>
          <w:szCs w:val="24"/>
        </w:rPr>
        <w:t>consequently</w:t>
      </w:r>
      <w:r w:rsidR="009201F9">
        <w:rPr>
          <w:rFonts w:ascii="Arial" w:hAnsi="Arial" w:cs="Arial"/>
          <w:sz w:val="24"/>
          <w:szCs w:val="24"/>
        </w:rPr>
        <w:t>,</w:t>
      </w:r>
      <w:r>
        <w:rPr>
          <w:rFonts w:ascii="Arial" w:hAnsi="Arial" w:cs="Arial"/>
          <w:sz w:val="24"/>
          <w:szCs w:val="24"/>
        </w:rPr>
        <w:t xml:space="preserve"> customers are </w:t>
      </w:r>
      <w:r w:rsidR="006515F3">
        <w:rPr>
          <w:rFonts w:ascii="Arial" w:hAnsi="Arial" w:cs="Arial"/>
          <w:sz w:val="24"/>
          <w:szCs w:val="24"/>
        </w:rPr>
        <w:t xml:space="preserve">more </w:t>
      </w:r>
      <w:r>
        <w:rPr>
          <w:rFonts w:ascii="Arial" w:hAnsi="Arial" w:cs="Arial"/>
          <w:sz w:val="24"/>
          <w:szCs w:val="24"/>
        </w:rPr>
        <w:t xml:space="preserve">knowledgeable about </w:t>
      </w:r>
      <w:r w:rsidR="00EF4AC6">
        <w:rPr>
          <w:rFonts w:ascii="Arial" w:hAnsi="Arial" w:cs="Arial"/>
          <w:sz w:val="24"/>
          <w:szCs w:val="24"/>
        </w:rPr>
        <w:t>electric products</w:t>
      </w:r>
      <w:r>
        <w:rPr>
          <w:rFonts w:ascii="Arial" w:hAnsi="Arial" w:cs="Arial"/>
          <w:sz w:val="24"/>
          <w:szCs w:val="24"/>
        </w:rPr>
        <w:t xml:space="preserve"> </w:t>
      </w:r>
      <w:r w:rsidR="00EF4AC6">
        <w:rPr>
          <w:rFonts w:ascii="Arial" w:hAnsi="Arial" w:cs="Arial"/>
          <w:sz w:val="24"/>
          <w:szCs w:val="24"/>
        </w:rPr>
        <w:t>enabling them to protect</w:t>
      </w:r>
      <w:r>
        <w:rPr>
          <w:rFonts w:ascii="Arial" w:hAnsi="Arial" w:cs="Arial"/>
          <w:sz w:val="24"/>
          <w:szCs w:val="24"/>
        </w:rPr>
        <w:t xml:space="preserve"> their</w:t>
      </w:r>
      <w:r w:rsidR="00EF4AC6">
        <w:rPr>
          <w:rFonts w:ascii="Arial" w:hAnsi="Arial" w:cs="Arial"/>
          <w:sz w:val="24"/>
          <w:szCs w:val="24"/>
        </w:rPr>
        <w:t xml:space="preserve"> own</w:t>
      </w:r>
      <w:r>
        <w:rPr>
          <w:rFonts w:ascii="Arial" w:hAnsi="Arial" w:cs="Arial"/>
          <w:sz w:val="24"/>
          <w:szCs w:val="24"/>
        </w:rPr>
        <w:t xml:space="preserve"> interests.</w:t>
      </w:r>
      <w:r w:rsidR="00A40067">
        <w:rPr>
          <w:rFonts w:ascii="Arial" w:hAnsi="Arial" w:cs="Arial"/>
          <w:sz w:val="24"/>
          <w:szCs w:val="24"/>
        </w:rPr>
        <w:t xml:space="preserve"> </w:t>
      </w:r>
      <w:r w:rsidR="00432227">
        <w:rPr>
          <w:rFonts w:ascii="Arial" w:hAnsi="Arial" w:cs="Arial"/>
          <w:sz w:val="24"/>
          <w:szCs w:val="24"/>
        </w:rPr>
        <w:t>Contrary to the assertions made by cert</w:t>
      </w:r>
      <w:r w:rsidR="005843C8">
        <w:rPr>
          <w:rFonts w:ascii="Arial" w:hAnsi="Arial" w:cs="Arial"/>
          <w:sz w:val="24"/>
          <w:szCs w:val="24"/>
        </w:rPr>
        <w:t>ain parties in this proceeding,</w:t>
      </w:r>
      <w:r w:rsidR="00432227">
        <w:rPr>
          <w:rFonts w:ascii="Arial" w:hAnsi="Arial" w:cs="Arial"/>
          <w:sz w:val="24"/>
          <w:szCs w:val="24"/>
        </w:rPr>
        <w:t xml:space="preserve"> Texas, in fact</w:t>
      </w:r>
      <w:r w:rsidR="00121CF4">
        <w:rPr>
          <w:rFonts w:ascii="Arial" w:hAnsi="Arial" w:cs="Arial"/>
          <w:sz w:val="24"/>
          <w:szCs w:val="24"/>
        </w:rPr>
        <w:t>,</w:t>
      </w:r>
      <w:r w:rsidR="00A40067">
        <w:rPr>
          <w:rFonts w:ascii="Arial" w:hAnsi="Arial" w:cs="Arial"/>
          <w:sz w:val="24"/>
          <w:szCs w:val="24"/>
        </w:rPr>
        <w:t xml:space="preserve"> is </w:t>
      </w:r>
      <w:r w:rsidR="00093567">
        <w:rPr>
          <w:rFonts w:ascii="Arial" w:hAnsi="Arial" w:cs="Arial"/>
          <w:sz w:val="24"/>
          <w:szCs w:val="24"/>
        </w:rPr>
        <w:t>an example of how customer</w:t>
      </w:r>
      <w:r w:rsidR="00A40067">
        <w:rPr>
          <w:rFonts w:ascii="Arial" w:hAnsi="Arial" w:cs="Arial"/>
          <w:sz w:val="24"/>
          <w:szCs w:val="24"/>
        </w:rPr>
        <w:t xml:space="preserve"> </w:t>
      </w:r>
      <w:r w:rsidR="00093567">
        <w:rPr>
          <w:rFonts w:ascii="Arial" w:hAnsi="Arial" w:cs="Arial"/>
          <w:sz w:val="24"/>
          <w:szCs w:val="24"/>
        </w:rPr>
        <w:t>engagement in the market brings</w:t>
      </w:r>
      <w:r w:rsidR="00A40067">
        <w:rPr>
          <w:rFonts w:ascii="Arial" w:hAnsi="Arial" w:cs="Arial"/>
          <w:sz w:val="24"/>
          <w:szCs w:val="24"/>
        </w:rPr>
        <w:t xml:space="preserve"> benefits to customers</w:t>
      </w:r>
      <w:r w:rsidR="00093567">
        <w:rPr>
          <w:rFonts w:ascii="Arial" w:hAnsi="Arial" w:cs="Arial"/>
          <w:sz w:val="24"/>
          <w:szCs w:val="24"/>
        </w:rPr>
        <w:t xml:space="preserve"> through lower prices and better products</w:t>
      </w:r>
      <w:r w:rsidR="00A40067">
        <w:rPr>
          <w:rFonts w:ascii="Arial" w:hAnsi="Arial" w:cs="Arial"/>
          <w:sz w:val="24"/>
          <w:szCs w:val="24"/>
        </w:rPr>
        <w:t>.</w:t>
      </w:r>
      <w:r w:rsidR="006515F3">
        <w:rPr>
          <w:rFonts w:ascii="Arial" w:hAnsi="Arial" w:cs="Arial"/>
          <w:sz w:val="24"/>
          <w:szCs w:val="24"/>
        </w:rPr>
        <w:t xml:space="preserve"> </w:t>
      </w:r>
      <w:r w:rsidR="00093567">
        <w:rPr>
          <w:rFonts w:ascii="Arial" w:hAnsi="Arial" w:cs="Arial"/>
          <w:sz w:val="24"/>
          <w:szCs w:val="24"/>
        </w:rPr>
        <w:t xml:space="preserve"> There will always be those that stand to benefit from more regulation that will make claims of failed electric competi</w:t>
      </w:r>
      <w:r w:rsidR="00121CF4">
        <w:rPr>
          <w:rFonts w:ascii="Arial" w:hAnsi="Arial" w:cs="Arial"/>
          <w:sz w:val="24"/>
          <w:szCs w:val="24"/>
        </w:rPr>
        <w:t>ti</w:t>
      </w:r>
      <w:r w:rsidR="00093567">
        <w:rPr>
          <w:rFonts w:ascii="Arial" w:hAnsi="Arial" w:cs="Arial"/>
          <w:sz w:val="24"/>
          <w:szCs w:val="24"/>
        </w:rPr>
        <w:t>on. However, neither ERCOT nor the PUCT nor the customers of Texas are clamoring for re-regulation.  This is because, on whole, comp</w:t>
      </w:r>
      <w:r w:rsidR="00982F1D">
        <w:rPr>
          <w:rFonts w:ascii="Arial" w:hAnsi="Arial" w:cs="Arial"/>
          <w:sz w:val="24"/>
          <w:szCs w:val="24"/>
        </w:rPr>
        <w:t>etition</w:t>
      </w:r>
      <w:r w:rsidR="003F2C4D">
        <w:rPr>
          <w:rFonts w:ascii="Arial" w:hAnsi="Arial" w:cs="Arial"/>
          <w:sz w:val="24"/>
          <w:szCs w:val="24"/>
        </w:rPr>
        <w:t xml:space="preserve"> </w:t>
      </w:r>
      <w:r w:rsidR="00093567">
        <w:rPr>
          <w:rFonts w:ascii="Arial" w:hAnsi="Arial" w:cs="Arial"/>
          <w:sz w:val="24"/>
          <w:szCs w:val="24"/>
        </w:rPr>
        <w:t xml:space="preserve">has been good for Texas, just as it has been </w:t>
      </w:r>
      <w:r w:rsidR="00A3029F">
        <w:rPr>
          <w:rFonts w:ascii="Arial" w:hAnsi="Arial" w:cs="Arial"/>
          <w:sz w:val="24"/>
          <w:szCs w:val="24"/>
        </w:rPr>
        <w:t xml:space="preserve">good </w:t>
      </w:r>
      <w:r w:rsidR="00093567">
        <w:rPr>
          <w:rFonts w:ascii="Arial" w:hAnsi="Arial" w:cs="Arial"/>
          <w:sz w:val="24"/>
          <w:szCs w:val="24"/>
        </w:rPr>
        <w:t xml:space="preserve">for Ohio and </w:t>
      </w:r>
      <w:r w:rsidR="00A3029F">
        <w:rPr>
          <w:rFonts w:ascii="Arial" w:hAnsi="Arial" w:cs="Arial"/>
          <w:sz w:val="24"/>
          <w:szCs w:val="24"/>
        </w:rPr>
        <w:t xml:space="preserve">good </w:t>
      </w:r>
      <w:r w:rsidR="00093567">
        <w:rPr>
          <w:rFonts w:ascii="Arial" w:hAnsi="Arial" w:cs="Arial"/>
          <w:sz w:val="24"/>
          <w:szCs w:val="24"/>
        </w:rPr>
        <w:t xml:space="preserve">for other states that have allowed for competition to work in the electric markets. </w:t>
      </w:r>
      <w:r w:rsidR="00121CF4">
        <w:rPr>
          <w:rFonts w:ascii="Arial" w:hAnsi="Arial" w:cs="Arial"/>
          <w:sz w:val="24"/>
          <w:szCs w:val="24"/>
        </w:rPr>
        <w:t>Ohio should follow Texas’ lead and continue down the path of full competition.</w:t>
      </w:r>
    </w:p>
    <w:p w:rsidR="00203E66" w:rsidRDefault="00203E66" w:rsidP="00203E66">
      <w:pPr>
        <w:pStyle w:val="ListParagraph"/>
        <w:numPr>
          <w:ilvl w:val="0"/>
          <w:numId w:val="4"/>
        </w:numPr>
        <w:spacing w:line="480" w:lineRule="auto"/>
        <w:jc w:val="both"/>
        <w:rPr>
          <w:rFonts w:ascii="Arial" w:hAnsi="Arial" w:cs="Arial"/>
          <w:b/>
          <w:sz w:val="24"/>
          <w:szCs w:val="24"/>
        </w:rPr>
      </w:pPr>
      <w:r>
        <w:rPr>
          <w:rFonts w:ascii="Arial" w:hAnsi="Arial" w:cs="Arial"/>
          <w:b/>
          <w:sz w:val="24"/>
          <w:szCs w:val="24"/>
        </w:rPr>
        <w:t>The Availability of an SSO Procured by Wholesale Auctions Does not Enhance Competition.</w:t>
      </w:r>
    </w:p>
    <w:p w:rsidR="00203E66" w:rsidRPr="002D521A" w:rsidRDefault="00203E66" w:rsidP="00203E66">
      <w:pPr>
        <w:spacing w:line="480" w:lineRule="auto"/>
        <w:ind w:firstLine="360"/>
        <w:jc w:val="both"/>
        <w:rPr>
          <w:rFonts w:ascii="Arial" w:hAnsi="Arial" w:cs="Arial"/>
          <w:sz w:val="24"/>
          <w:szCs w:val="24"/>
        </w:rPr>
      </w:pPr>
      <w:r w:rsidRPr="002D521A">
        <w:rPr>
          <w:rFonts w:ascii="Arial" w:hAnsi="Arial" w:cs="Arial"/>
          <w:sz w:val="24"/>
          <w:szCs w:val="24"/>
        </w:rPr>
        <w:t>In initial comments, a number of parties have either directly stated or insinuated that the existence of a wholesale SSO default product enhances competition.</w:t>
      </w:r>
      <w:r w:rsidRPr="002D521A">
        <w:rPr>
          <w:rStyle w:val="FootnoteReference"/>
          <w:rFonts w:ascii="Arial" w:hAnsi="Arial" w:cs="Arial"/>
          <w:sz w:val="24"/>
          <w:szCs w:val="24"/>
        </w:rPr>
        <w:footnoteReference w:id="17"/>
      </w:r>
      <w:r w:rsidR="002D521A" w:rsidRPr="002D521A">
        <w:rPr>
          <w:rFonts w:ascii="Arial" w:hAnsi="Arial" w:cs="Arial"/>
          <w:sz w:val="24"/>
          <w:szCs w:val="24"/>
        </w:rPr>
        <w:t xml:space="preserve"> Certainly a wholesale</w:t>
      </w:r>
      <w:r w:rsidR="002D521A">
        <w:rPr>
          <w:rFonts w:ascii="Arial" w:hAnsi="Arial" w:cs="Arial"/>
          <w:sz w:val="24"/>
          <w:szCs w:val="24"/>
        </w:rPr>
        <w:t xml:space="preserve"> product that is not reconciled</w:t>
      </w:r>
      <w:r w:rsidR="002D521A" w:rsidRPr="002D521A">
        <w:rPr>
          <w:rFonts w:ascii="Arial" w:hAnsi="Arial" w:cs="Arial"/>
          <w:sz w:val="24"/>
          <w:szCs w:val="24"/>
        </w:rPr>
        <w:t xml:space="preserve"> can create greater transparency regarding </w:t>
      </w:r>
      <w:r w:rsidR="002D521A" w:rsidRPr="002D521A">
        <w:rPr>
          <w:rFonts w:ascii="Arial" w:hAnsi="Arial" w:cs="Arial"/>
          <w:sz w:val="24"/>
          <w:szCs w:val="24"/>
        </w:rPr>
        <w:lastRenderedPageBreak/>
        <w:t xml:space="preserve">pricing.  </w:t>
      </w:r>
      <w:r w:rsidRPr="002D521A">
        <w:rPr>
          <w:rFonts w:ascii="Arial" w:hAnsi="Arial" w:cs="Arial"/>
          <w:sz w:val="24"/>
          <w:szCs w:val="24"/>
        </w:rPr>
        <w:t xml:space="preserve"> However, unless the default product has all of the same attributes and costs that a retail provider will have to engage in the same market for the same customers, the wholesale SSO default service can be harmful to retail competition, and ultimately harmful to customers.</w:t>
      </w:r>
    </w:p>
    <w:p w:rsidR="00203E66" w:rsidRDefault="00203E66" w:rsidP="00203E66">
      <w:pPr>
        <w:spacing w:line="480" w:lineRule="auto"/>
        <w:ind w:firstLine="360"/>
        <w:jc w:val="both"/>
        <w:rPr>
          <w:rFonts w:ascii="Arial" w:hAnsi="Arial" w:cs="Arial"/>
          <w:sz w:val="24"/>
          <w:szCs w:val="24"/>
        </w:rPr>
      </w:pPr>
      <w:r>
        <w:rPr>
          <w:rFonts w:ascii="Arial" w:hAnsi="Arial" w:cs="Arial"/>
          <w:sz w:val="24"/>
          <w:szCs w:val="24"/>
        </w:rPr>
        <w:t xml:space="preserve">Providing a subsidized default wholesale rate in a retail market is harmful to customers because it drives retail products out of the market.  Retail products compete by innovating, becoming more efficient and ultimately finding ways to bring value to customers.  On the other hand, a subsidized wholesale rate is competitive only because of subsidies and other artificial advantages given to it in the marketplace </w:t>
      </w:r>
      <w:r w:rsidR="006C39A6">
        <w:rPr>
          <w:rFonts w:ascii="Arial" w:hAnsi="Arial" w:cs="Arial"/>
          <w:sz w:val="24"/>
          <w:szCs w:val="24"/>
        </w:rPr>
        <w:t>including</w:t>
      </w:r>
      <w:r>
        <w:rPr>
          <w:rFonts w:ascii="Arial" w:hAnsi="Arial" w:cs="Arial"/>
          <w:sz w:val="24"/>
          <w:szCs w:val="24"/>
        </w:rPr>
        <w:t xml:space="preserve"> the avoidance of most of the market costs that retail market participants cannot avoid.</w:t>
      </w:r>
      <w:r w:rsidRPr="005772F5">
        <w:rPr>
          <w:rStyle w:val="FootnoteReference"/>
          <w:rFonts w:ascii="Arial" w:hAnsi="Arial" w:cs="Arial"/>
          <w:sz w:val="24"/>
          <w:szCs w:val="24"/>
        </w:rPr>
        <w:t xml:space="preserve"> </w:t>
      </w:r>
      <w:r>
        <w:rPr>
          <w:rStyle w:val="FootnoteReference"/>
          <w:rFonts w:ascii="Arial" w:hAnsi="Arial" w:cs="Arial"/>
          <w:sz w:val="24"/>
          <w:szCs w:val="24"/>
        </w:rPr>
        <w:footnoteReference w:id="18"/>
      </w:r>
      <w:r>
        <w:rPr>
          <w:rFonts w:ascii="Arial" w:hAnsi="Arial" w:cs="Arial"/>
          <w:sz w:val="24"/>
          <w:szCs w:val="24"/>
        </w:rPr>
        <w:t xml:space="preserve"> </w:t>
      </w:r>
    </w:p>
    <w:p w:rsidR="00203E66" w:rsidRDefault="00203E66" w:rsidP="002D521A">
      <w:pPr>
        <w:spacing w:line="480" w:lineRule="auto"/>
        <w:ind w:firstLine="360"/>
        <w:jc w:val="both"/>
        <w:rPr>
          <w:rFonts w:ascii="Arial" w:hAnsi="Arial" w:cs="Arial"/>
          <w:sz w:val="24"/>
          <w:szCs w:val="24"/>
        </w:rPr>
      </w:pPr>
      <w:r>
        <w:rPr>
          <w:rFonts w:ascii="Arial" w:hAnsi="Arial" w:cs="Arial"/>
          <w:sz w:val="24"/>
          <w:szCs w:val="24"/>
        </w:rPr>
        <w:t xml:space="preserve">In a fully competitive market, all products are placed on a level playing field and must abide by the same rules and same requirements in the marketplace. Further, in a fully competitive market differentiations in products are created through each </w:t>
      </w:r>
      <w:r w:rsidR="006C39A6">
        <w:rPr>
          <w:rFonts w:ascii="Arial" w:hAnsi="Arial" w:cs="Arial"/>
          <w:sz w:val="24"/>
          <w:szCs w:val="24"/>
        </w:rPr>
        <w:t>supplier becoming</w:t>
      </w:r>
      <w:r>
        <w:rPr>
          <w:rFonts w:ascii="Arial" w:hAnsi="Arial" w:cs="Arial"/>
          <w:sz w:val="24"/>
          <w:szCs w:val="24"/>
        </w:rPr>
        <w:t xml:space="preserve"> more efficient, effective, and innovative than their competitors. However, in Ohio, the SSO product is placed in a favored position above other retail products available to customers</w:t>
      </w:r>
      <w:r w:rsidR="006C39A6">
        <w:rPr>
          <w:rFonts w:ascii="Arial" w:hAnsi="Arial" w:cs="Arial"/>
          <w:sz w:val="24"/>
          <w:szCs w:val="24"/>
        </w:rPr>
        <w:t xml:space="preserve"> and </w:t>
      </w:r>
      <w:r w:rsidR="00B149ED">
        <w:rPr>
          <w:rFonts w:ascii="Arial" w:hAnsi="Arial" w:cs="Arial"/>
          <w:sz w:val="24"/>
          <w:szCs w:val="24"/>
        </w:rPr>
        <w:t xml:space="preserve">is </w:t>
      </w:r>
      <w:r w:rsidR="006C39A6">
        <w:rPr>
          <w:rFonts w:ascii="Arial" w:hAnsi="Arial" w:cs="Arial"/>
          <w:sz w:val="24"/>
          <w:szCs w:val="24"/>
        </w:rPr>
        <w:t>not required to compete in the sa</w:t>
      </w:r>
      <w:r w:rsidR="00B149ED">
        <w:rPr>
          <w:rFonts w:ascii="Arial" w:hAnsi="Arial" w:cs="Arial"/>
          <w:sz w:val="24"/>
          <w:szCs w:val="24"/>
        </w:rPr>
        <w:t>m</w:t>
      </w:r>
      <w:r w:rsidR="006C39A6">
        <w:rPr>
          <w:rFonts w:ascii="Arial" w:hAnsi="Arial" w:cs="Arial"/>
          <w:sz w:val="24"/>
          <w:szCs w:val="24"/>
        </w:rPr>
        <w:t>e way other retail products must</w:t>
      </w:r>
      <w:r>
        <w:rPr>
          <w:rFonts w:ascii="Arial" w:hAnsi="Arial" w:cs="Arial"/>
          <w:sz w:val="24"/>
          <w:szCs w:val="24"/>
        </w:rPr>
        <w:t xml:space="preserve">. The Commission should implement the measures proposed by IGS in order to remedy the subsidies and other artificial advantages given to the SSO under its current structure. </w:t>
      </w:r>
    </w:p>
    <w:p w:rsidR="003F2C4D" w:rsidRDefault="003F2C4D" w:rsidP="003F2C4D">
      <w:pPr>
        <w:pStyle w:val="ListParagraph"/>
        <w:numPr>
          <w:ilvl w:val="0"/>
          <w:numId w:val="4"/>
        </w:numPr>
        <w:spacing w:line="480" w:lineRule="auto"/>
        <w:jc w:val="both"/>
        <w:rPr>
          <w:rFonts w:ascii="Arial" w:hAnsi="Arial" w:cs="Arial"/>
          <w:b/>
          <w:sz w:val="24"/>
          <w:szCs w:val="24"/>
        </w:rPr>
      </w:pPr>
      <w:r>
        <w:rPr>
          <w:rFonts w:ascii="Arial" w:hAnsi="Arial" w:cs="Arial"/>
          <w:b/>
          <w:sz w:val="24"/>
          <w:szCs w:val="24"/>
        </w:rPr>
        <w:lastRenderedPageBreak/>
        <w:t xml:space="preserve">Time-of-Use Rates </w:t>
      </w:r>
      <w:proofErr w:type="gramStart"/>
      <w:r>
        <w:rPr>
          <w:rFonts w:ascii="Arial" w:hAnsi="Arial" w:cs="Arial"/>
          <w:b/>
          <w:sz w:val="24"/>
          <w:szCs w:val="24"/>
        </w:rPr>
        <w:t>Should</w:t>
      </w:r>
      <w:proofErr w:type="gramEnd"/>
      <w:r>
        <w:rPr>
          <w:rFonts w:ascii="Arial" w:hAnsi="Arial" w:cs="Arial"/>
          <w:b/>
          <w:sz w:val="24"/>
          <w:szCs w:val="24"/>
        </w:rPr>
        <w:t xml:space="preserve"> not be an Alternative Product Offered by the EDU.</w:t>
      </w:r>
    </w:p>
    <w:p w:rsidR="0010784F" w:rsidRDefault="0010784F" w:rsidP="0010784F">
      <w:pPr>
        <w:spacing w:line="480" w:lineRule="auto"/>
        <w:ind w:firstLine="360"/>
        <w:jc w:val="both"/>
        <w:rPr>
          <w:rFonts w:ascii="Arial" w:hAnsi="Arial" w:cs="Arial"/>
          <w:sz w:val="24"/>
          <w:szCs w:val="24"/>
        </w:rPr>
      </w:pPr>
      <w:r w:rsidRPr="0010784F">
        <w:rPr>
          <w:rFonts w:ascii="Arial" w:hAnsi="Arial" w:cs="Arial"/>
          <w:sz w:val="24"/>
          <w:szCs w:val="24"/>
        </w:rPr>
        <w:t xml:space="preserve">In </w:t>
      </w:r>
      <w:r>
        <w:rPr>
          <w:rFonts w:ascii="Arial" w:hAnsi="Arial" w:cs="Arial"/>
          <w:sz w:val="24"/>
          <w:szCs w:val="24"/>
        </w:rPr>
        <w:t>its comments the OCC indicated that EDU</w:t>
      </w:r>
      <w:r w:rsidR="007B2432">
        <w:rPr>
          <w:rFonts w:ascii="Arial" w:hAnsi="Arial" w:cs="Arial"/>
          <w:sz w:val="24"/>
          <w:szCs w:val="24"/>
        </w:rPr>
        <w:t>s</w:t>
      </w:r>
      <w:r>
        <w:rPr>
          <w:rFonts w:ascii="Arial" w:hAnsi="Arial" w:cs="Arial"/>
          <w:sz w:val="24"/>
          <w:szCs w:val="24"/>
        </w:rPr>
        <w:t xml:space="preserve"> should offer a time-differentiated product, </w:t>
      </w:r>
      <w:r w:rsidRPr="0010784F">
        <w:rPr>
          <w:rFonts w:ascii="Arial" w:hAnsi="Arial" w:cs="Arial"/>
          <w:i/>
          <w:sz w:val="24"/>
          <w:szCs w:val="24"/>
        </w:rPr>
        <w:t>in addition to</w:t>
      </w:r>
      <w:r>
        <w:rPr>
          <w:rFonts w:ascii="Arial" w:hAnsi="Arial" w:cs="Arial"/>
          <w:sz w:val="24"/>
          <w:szCs w:val="24"/>
        </w:rPr>
        <w:t>, the EDU’s</w:t>
      </w:r>
      <w:r w:rsidR="00944149">
        <w:rPr>
          <w:rFonts w:ascii="Arial" w:hAnsi="Arial" w:cs="Arial"/>
          <w:sz w:val="24"/>
          <w:szCs w:val="24"/>
        </w:rPr>
        <w:t xml:space="preserve"> current</w:t>
      </w:r>
      <w:r>
        <w:rPr>
          <w:rFonts w:ascii="Arial" w:hAnsi="Arial" w:cs="Arial"/>
          <w:sz w:val="24"/>
          <w:szCs w:val="24"/>
        </w:rPr>
        <w:t xml:space="preserve"> standard SSO.</w:t>
      </w:r>
      <w:r w:rsidR="00944149">
        <w:rPr>
          <w:rStyle w:val="FootnoteReference"/>
          <w:rFonts w:ascii="Arial" w:hAnsi="Arial" w:cs="Arial"/>
          <w:sz w:val="24"/>
          <w:szCs w:val="24"/>
        </w:rPr>
        <w:footnoteReference w:id="19"/>
      </w:r>
      <w:r>
        <w:rPr>
          <w:rFonts w:ascii="Arial" w:hAnsi="Arial" w:cs="Arial"/>
          <w:sz w:val="24"/>
          <w:szCs w:val="24"/>
        </w:rPr>
        <w:t xml:space="preserve">  As IGS indicated in its initial comments, real-time, </w:t>
      </w:r>
      <w:proofErr w:type="spellStart"/>
      <w:r>
        <w:rPr>
          <w:rFonts w:ascii="Arial" w:hAnsi="Arial" w:cs="Arial"/>
          <w:sz w:val="24"/>
          <w:szCs w:val="24"/>
        </w:rPr>
        <w:t>unreconciled</w:t>
      </w:r>
      <w:proofErr w:type="spellEnd"/>
      <w:r>
        <w:rPr>
          <w:rFonts w:ascii="Arial" w:hAnsi="Arial" w:cs="Arial"/>
          <w:sz w:val="24"/>
          <w:szCs w:val="24"/>
        </w:rPr>
        <w:t xml:space="preserve">, unsubsidized, time differentiated rates may be a preferential alternative to the current SSO structure as </w:t>
      </w:r>
      <w:r w:rsidRPr="0010784F">
        <w:rPr>
          <w:rFonts w:ascii="Arial" w:hAnsi="Arial" w:cs="Arial"/>
          <w:i/>
          <w:sz w:val="24"/>
          <w:szCs w:val="24"/>
        </w:rPr>
        <w:t>the only</w:t>
      </w:r>
      <w:r>
        <w:rPr>
          <w:rFonts w:ascii="Arial" w:hAnsi="Arial" w:cs="Arial"/>
          <w:sz w:val="24"/>
          <w:szCs w:val="24"/>
        </w:rPr>
        <w:t xml:space="preserve"> EDU SSO </w:t>
      </w:r>
      <w:r w:rsidR="00E453AC">
        <w:rPr>
          <w:rFonts w:ascii="Arial" w:hAnsi="Arial" w:cs="Arial"/>
          <w:sz w:val="24"/>
          <w:szCs w:val="24"/>
        </w:rPr>
        <w:t>product</w:t>
      </w:r>
      <w:r>
        <w:rPr>
          <w:rFonts w:ascii="Arial" w:hAnsi="Arial" w:cs="Arial"/>
          <w:sz w:val="24"/>
          <w:szCs w:val="24"/>
        </w:rPr>
        <w:t>, if consumers receive proper education regarding this product.</w:t>
      </w:r>
      <w:r>
        <w:rPr>
          <w:rStyle w:val="FootnoteReference"/>
          <w:rFonts w:ascii="Arial" w:hAnsi="Arial" w:cs="Arial"/>
          <w:sz w:val="24"/>
          <w:szCs w:val="24"/>
        </w:rPr>
        <w:footnoteReference w:id="20"/>
      </w:r>
      <w:r>
        <w:rPr>
          <w:rFonts w:ascii="Arial" w:hAnsi="Arial" w:cs="Arial"/>
          <w:sz w:val="24"/>
          <w:szCs w:val="24"/>
        </w:rPr>
        <w:t xml:space="preserve">  That said</w:t>
      </w:r>
      <w:proofErr w:type="gramStart"/>
      <w:r>
        <w:rPr>
          <w:rFonts w:ascii="Arial" w:hAnsi="Arial" w:cs="Arial"/>
          <w:sz w:val="24"/>
          <w:szCs w:val="24"/>
        </w:rPr>
        <w:t>,</w:t>
      </w:r>
      <w:proofErr w:type="gramEnd"/>
      <w:r>
        <w:rPr>
          <w:rFonts w:ascii="Arial" w:hAnsi="Arial" w:cs="Arial"/>
          <w:sz w:val="24"/>
          <w:szCs w:val="24"/>
        </w:rPr>
        <w:t xml:space="preserve"> IGS disagrees that </w:t>
      </w:r>
      <w:r w:rsidR="00944149">
        <w:rPr>
          <w:rFonts w:ascii="Arial" w:hAnsi="Arial" w:cs="Arial"/>
          <w:sz w:val="24"/>
          <w:szCs w:val="24"/>
        </w:rPr>
        <w:t xml:space="preserve">an EDU </w:t>
      </w:r>
      <w:r>
        <w:rPr>
          <w:rFonts w:ascii="Arial" w:hAnsi="Arial" w:cs="Arial"/>
          <w:sz w:val="24"/>
          <w:szCs w:val="24"/>
        </w:rPr>
        <w:t>time differentiated</w:t>
      </w:r>
      <w:r w:rsidR="00944149">
        <w:rPr>
          <w:rFonts w:ascii="Arial" w:hAnsi="Arial" w:cs="Arial"/>
          <w:sz w:val="24"/>
          <w:szCs w:val="24"/>
        </w:rPr>
        <w:t xml:space="preserve"> product</w:t>
      </w:r>
      <w:r>
        <w:rPr>
          <w:rFonts w:ascii="Arial" w:hAnsi="Arial" w:cs="Arial"/>
          <w:sz w:val="24"/>
          <w:szCs w:val="24"/>
        </w:rPr>
        <w:t xml:space="preserve"> should be offered, in addition to an EDU’s current SSO.  </w:t>
      </w:r>
    </w:p>
    <w:p w:rsidR="00944149" w:rsidRDefault="007B2432" w:rsidP="0010784F">
      <w:pPr>
        <w:spacing w:line="480" w:lineRule="auto"/>
        <w:ind w:firstLine="360"/>
        <w:jc w:val="both"/>
        <w:rPr>
          <w:rFonts w:ascii="Arial" w:hAnsi="Arial" w:cs="Arial"/>
          <w:sz w:val="24"/>
          <w:szCs w:val="24"/>
        </w:rPr>
      </w:pPr>
      <w:r>
        <w:rPr>
          <w:rFonts w:ascii="Arial" w:hAnsi="Arial" w:cs="Arial"/>
          <w:sz w:val="24"/>
          <w:szCs w:val="24"/>
        </w:rPr>
        <w:t>First, if the EDU is offering a time differentiated</w:t>
      </w:r>
      <w:r w:rsidR="00944149">
        <w:rPr>
          <w:rFonts w:ascii="Arial" w:hAnsi="Arial" w:cs="Arial"/>
          <w:sz w:val="24"/>
          <w:szCs w:val="24"/>
        </w:rPr>
        <w:t xml:space="preserve"> alternative</w:t>
      </w:r>
      <w:r w:rsidR="008A7890">
        <w:rPr>
          <w:rFonts w:ascii="Arial" w:hAnsi="Arial" w:cs="Arial"/>
          <w:sz w:val="24"/>
          <w:szCs w:val="24"/>
        </w:rPr>
        <w:t xml:space="preserve"> to the SSO</w:t>
      </w:r>
      <w:r w:rsidR="00944149">
        <w:rPr>
          <w:rFonts w:ascii="Arial" w:hAnsi="Arial" w:cs="Arial"/>
          <w:sz w:val="24"/>
          <w:szCs w:val="24"/>
        </w:rPr>
        <w:t xml:space="preserve">, there will always be a tendency for consumer advocates, and other parties, to </w:t>
      </w:r>
      <w:r w:rsidR="003E19FA">
        <w:rPr>
          <w:rFonts w:ascii="Arial" w:hAnsi="Arial" w:cs="Arial"/>
          <w:sz w:val="24"/>
          <w:szCs w:val="24"/>
        </w:rPr>
        <w:t xml:space="preserve">want to </w:t>
      </w:r>
      <w:r w:rsidR="00944149">
        <w:rPr>
          <w:rFonts w:ascii="Arial" w:hAnsi="Arial" w:cs="Arial"/>
          <w:sz w:val="24"/>
          <w:szCs w:val="24"/>
        </w:rPr>
        <w:t>subsidize this time-differentiated rate to encourage consumer participation on the product.  However, any subsidization</w:t>
      </w:r>
      <w:r w:rsidR="00ED2F19">
        <w:rPr>
          <w:rFonts w:ascii="Arial" w:hAnsi="Arial" w:cs="Arial"/>
          <w:sz w:val="24"/>
          <w:szCs w:val="24"/>
        </w:rPr>
        <w:t xml:space="preserve"> of a time differentiated rate</w:t>
      </w:r>
      <w:r w:rsidR="00944149">
        <w:rPr>
          <w:rFonts w:ascii="Arial" w:hAnsi="Arial" w:cs="Arial"/>
          <w:sz w:val="24"/>
          <w:szCs w:val="24"/>
        </w:rPr>
        <w:t xml:space="preserve"> defeats the purpose of the time differentiated rate in the first place, which is to have the consumer be more responsive, and adjust behavior according to price signals.</w:t>
      </w:r>
      <w:r w:rsidR="00ED2F19">
        <w:rPr>
          <w:rStyle w:val="FootnoteReference"/>
          <w:rFonts w:ascii="Arial" w:hAnsi="Arial" w:cs="Arial"/>
          <w:sz w:val="24"/>
          <w:szCs w:val="24"/>
        </w:rPr>
        <w:footnoteReference w:id="21"/>
      </w:r>
      <w:r w:rsidR="00944149">
        <w:rPr>
          <w:rFonts w:ascii="Arial" w:hAnsi="Arial" w:cs="Arial"/>
          <w:sz w:val="24"/>
          <w:szCs w:val="24"/>
        </w:rPr>
        <w:t xml:space="preserve">  </w:t>
      </w:r>
    </w:p>
    <w:p w:rsidR="00BE6A48" w:rsidRPr="00265976" w:rsidRDefault="00944149" w:rsidP="00B2128B">
      <w:pPr>
        <w:spacing w:line="480" w:lineRule="auto"/>
        <w:ind w:firstLine="360"/>
        <w:jc w:val="both"/>
        <w:rPr>
          <w:rFonts w:ascii="Arial" w:hAnsi="Arial" w:cs="Arial"/>
          <w:sz w:val="24"/>
          <w:szCs w:val="24"/>
        </w:rPr>
      </w:pPr>
      <w:r>
        <w:rPr>
          <w:rFonts w:ascii="Arial" w:hAnsi="Arial" w:cs="Arial"/>
          <w:sz w:val="24"/>
          <w:szCs w:val="24"/>
        </w:rPr>
        <w:t>Beyond subsidies, allowing EDU’s</w:t>
      </w:r>
      <w:r w:rsidR="00E453AC">
        <w:rPr>
          <w:rFonts w:ascii="Arial" w:hAnsi="Arial" w:cs="Arial"/>
          <w:sz w:val="24"/>
          <w:szCs w:val="24"/>
        </w:rPr>
        <w:t xml:space="preserve"> in a competitive market</w:t>
      </w:r>
      <w:r w:rsidR="008A7890">
        <w:rPr>
          <w:rFonts w:ascii="Arial" w:hAnsi="Arial" w:cs="Arial"/>
          <w:sz w:val="24"/>
          <w:szCs w:val="24"/>
        </w:rPr>
        <w:t xml:space="preserve"> to offer alternative products </w:t>
      </w:r>
      <w:r w:rsidR="00E453AC">
        <w:rPr>
          <w:rFonts w:ascii="Arial" w:hAnsi="Arial" w:cs="Arial"/>
          <w:sz w:val="24"/>
          <w:szCs w:val="24"/>
        </w:rPr>
        <w:t xml:space="preserve">in addition to </w:t>
      </w:r>
      <w:r w:rsidR="00A60F09">
        <w:rPr>
          <w:rFonts w:ascii="Arial" w:hAnsi="Arial" w:cs="Arial"/>
          <w:sz w:val="24"/>
          <w:szCs w:val="24"/>
        </w:rPr>
        <w:t>the SSO</w:t>
      </w:r>
      <w:r>
        <w:rPr>
          <w:rFonts w:ascii="Arial" w:hAnsi="Arial" w:cs="Arial"/>
          <w:sz w:val="24"/>
          <w:szCs w:val="24"/>
        </w:rPr>
        <w:t xml:space="preserve"> </w:t>
      </w:r>
      <w:r w:rsidR="00E453AC">
        <w:rPr>
          <w:rFonts w:ascii="Arial" w:hAnsi="Arial" w:cs="Arial"/>
          <w:sz w:val="24"/>
          <w:szCs w:val="24"/>
        </w:rPr>
        <w:t>creates a</w:t>
      </w:r>
      <w:r>
        <w:rPr>
          <w:rFonts w:ascii="Arial" w:hAnsi="Arial" w:cs="Arial"/>
          <w:sz w:val="24"/>
          <w:szCs w:val="24"/>
        </w:rPr>
        <w:t xml:space="preserve"> slippery slope </w:t>
      </w:r>
      <w:r w:rsidR="00E453AC">
        <w:rPr>
          <w:rFonts w:ascii="Arial" w:hAnsi="Arial" w:cs="Arial"/>
          <w:sz w:val="24"/>
          <w:szCs w:val="24"/>
        </w:rPr>
        <w:t>that leads</w:t>
      </w:r>
      <w:r w:rsidR="00B2128B">
        <w:rPr>
          <w:rFonts w:ascii="Arial" w:hAnsi="Arial" w:cs="Arial"/>
          <w:sz w:val="24"/>
          <w:szCs w:val="24"/>
        </w:rPr>
        <w:t xml:space="preserve"> to</w:t>
      </w:r>
      <w:r w:rsidR="00E453AC">
        <w:rPr>
          <w:rFonts w:ascii="Arial" w:hAnsi="Arial" w:cs="Arial"/>
          <w:sz w:val="24"/>
          <w:szCs w:val="24"/>
        </w:rPr>
        <w:t xml:space="preserve"> EDU’s offering </w:t>
      </w:r>
      <w:r w:rsidR="00B2128B">
        <w:rPr>
          <w:rFonts w:ascii="Arial" w:hAnsi="Arial" w:cs="Arial"/>
          <w:sz w:val="24"/>
          <w:szCs w:val="24"/>
        </w:rPr>
        <w:t>many</w:t>
      </w:r>
      <w:r w:rsidR="00E453AC">
        <w:rPr>
          <w:rFonts w:ascii="Arial" w:hAnsi="Arial" w:cs="Arial"/>
          <w:sz w:val="24"/>
          <w:szCs w:val="24"/>
        </w:rPr>
        <w:t xml:space="preserve"> products directly in competition with CRES suppliers</w:t>
      </w:r>
      <w:r w:rsidR="00ED2F19">
        <w:rPr>
          <w:rFonts w:ascii="Arial" w:hAnsi="Arial" w:cs="Arial"/>
          <w:sz w:val="24"/>
          <w:szCs w:val="24"/>
        </w:rPr>
        <w:t xml:space="preserve">.  </w:t>
      </w:r>
      <w:r w:rsidR="005965A2">
        <w:rPr>
          <w:rFonts w:ascii="Arial" w:hAnsi="Arial" w:cs="Arial"/>
          <w:sz w:val="24"/>
          <w:szCs w:val="24"/>
        </w:rPr>
        <w:t>As</w:t>
      </w:r>
      <w:r w:rsidR="00ED2F19">
        <w:rPr>
          <w:rFonts w:ascii="Arial" w:hAnsi="Arial" w:cs="Arial"/>
          <w:sz w:val="24"/>
          <w:szCs w:val="24"/>
        </w:rPr>
        <w:t xml:space="preserve"> </w:t>
      </w:r>
      <w:r w:rsidR="00E453AC">
        <w:rPr>
          <w:rFonts w:ascii="Arial" w:hAnsi="Arial" w:cs="Arial"/>
          <w:sz w:val="24"/>
          <w:szCs w:val="24"/>
        </w:rPr>
        <w:t>IGS has already noted in these comments, there are already a multitude of concerns with the current single SSO offer by the utility</w:t>
      </w:r>
      <w:r w:rsidR="00ED2F19">
        <w:rPr>
          <w:rFonts w:ascii="Arial" w:hAnsi="Arial" w:cs="Arial"/>
          <w:sz w:val="24"/>
          <w:szCs w:val="24"/>
        </w:rPr>
        <w:t xml:space="preserve">.  </w:t>
      </w:r>
      <w:r w:rsidR="00E453AC">
        <w:rPr>
          <w:rFonts w:ascii="Arial" w:hAnsi="Arial" w:cs="Arial"/>
          <w:sz w:val="24"/>
          <w:szCs w:val="24"/>
        </w:rPr>
        <w:t xml:space="preserve">Creating additional SSO products provided by the EDU would </w:t>
      </w:r>
      <w:r w:rsidR="00E453AC">
        <w:rPr>
          <w:rFonts w:ascii="Arial" w:hAnsi="Arial" w:cs="Arial"/>
          <w:sz w:val="24"/>
          <w:szCs w:val="24"/>
        </w:rPr>
        <w:lastRenderedPageBreak/>
        <w:t>only exacerbate these problems describe</w:t>
      </w:r>
      <w:r w:rsidR="00432227">
        <w:rPr>
          <w:rFonts w:ascii="Arial" w:hAnsi="Arial" w:cs="Arial"/>
          <w:sz w:val="24"/>
          <w:szCs w:val="24"/>
        </w:rPr>
        <w:t>d</w:t>
      </w:r>
      <w:r w:rsidR="00E453AC">
        <w:rPr>
          <w:rFonts w:ascii="Arial" w:hAnsi="Arial" w:cs="Arial"/>
          <w:sz w:val="24"/>
          <w:szCs w:val="24"/>
        </w:rPr>
        <w:t xml:space="preserve"> by IGS Energy.</w:t>
      </w:r>
      <w:r w:rsidR="00ED2F19">
        <w:rPr>
          <w:rFonts w:ascii="Arial" w:hAnsi="Arial" w:cs="Arial"/>
          <w:sz w:val="24"/>
          <w:szCs w:val="24"/>
        </w:rPr>
        <w:t xml:space="preserve"> Alternative products available to customers should be in the purview of the competitive market, and not the EDU, and to do otherwise would be harmful to competition.</w:t>
      </w:r>
    </w:p>
    <w:p w:rsidR="00ED2F19" w:rsidRPr="00B2128B" w:rsidRDefault="00F36F51" w:rsidP="00B2128B">
      <w:pPr>
        <w:pStyle w:val="ListParagraph"/>
        <w:numPr>
          <w:ilvl w:val="0"/>
          <w:numId w:val="1"/>
        </w:numPr>
        <w:spacing w:after="0" w:line="480" w:lineRule="auto"/>
        <w:rPr>
          <w:rFonts w:ascii="Arial" w:hAnsi="Arial" w:cs="Arial"/>
          <w:b/>
          <w:sz w:val="24"/>
          <w:szCs w:val="24"/>
        </w:rPr>
      </w:pPr>
      <w:r w:rsidRPr="00B2128B">
        <w:rPr>
          <w:rFonts w:ascii="Arial" w:hAnsi="Arial" w:cs="Arial"/>
          <w:sz w:val="24"/>
          <w:szCs w:val="24"/>
        </w:rPr>
        <w:t xml:space="preserve">  </w:t>
      </w:r>
      <w:r w:rsidR="00ED2F19" w:rsidRPr="00B2128B">
        <w:rPr>
          <w:rFonts w:ascii="Arial" w:hAnsi="Arial" w:cs="Arial"/>
          <w:b/>
          <w:sz w:val="24"/>
          <w:szCs w:val="24"/>
        </w:rPr>
        <w:t>CONCLUSION</w:t>
      </w:r>
    </w:p>
    <w:p w:rsidR="00ED2F19" w:rsidRDefault="00ED2F19" w:rsidP="00ED2F19">
      <w:pPr>
        <w:spacing w:after="0" w:line="480" w:lineRule="auto"/>
        <w:ind w:firstLine="360"/>
        <w:rPr>
          <w:rFonts w:ascii="Arial" w:hAnsi="Arial" w:cs="Arial"/>
          <w:sz w:val="24"/>
          <w:szCs w:val="24"/>
        </w:rPr>
      </w:pPr>
      <w:r>
        <w:rPr>
          <w:rFonts w:ascii="Arial" w:hAnsi="Arial" w:cs="Arial"/>
          <w:sz w:val="24"/>
          <w:szCs w:val="24"/>
        </w:rPr>
        <w:t>IGS Energy is appreciative of the opportunity to submit these comments to the Commission. It is IGS’ belief that by adopting the recommendations made herein, Ohio electric markets can continue to move forward to full retail electric competition for the benefit of all customers.</w:t>
      </w:r>
    </w:p>
    <w:p w:rsidR="00ED2F19" w:rsidRDefault="00ED2F19" w:rsidP="00ED2F19">
      <w:pPr>
        <w:spacing w:after="0" w:line="240" w:lineRule="auto"/>
        <w:ind w:left="5040"/>
        <w:rPr>
          <w:rFonts w:ascii="Arial" w:hAnsi="Arial" w:cs="Arial"/>
          <w:sz w:val="24"/>
          <w:szCs w:val="24"/>
        </w:rPr>
      </w:pPr>
      <w:r>
        <w:rPr>
          <w:rFonts w:ascii="Arial" w:hAnsi="Arial" w:cs="Arial"/>
          <w:sz w:val="24"/>
          <w:szCs w:val="24"/>
        </w:rPr>
        <w:t>Respectfully submitted,</w:t>
      </w:r>
    </w:p>
    <w:p w:rsidR="00ED2F19" w:rsidRDefault="00ED2F19" w:rsidP="00ED2F19">
      <w:pPr>
        <w:spacing w:after="0" w:line="240" w:lineRule="auto"/>
        <w:ind w:left="5040"/>
        <w:rPr>
          <w:rFonts w:ascii="Arial" w:hAnsi="Arial" w:cs="Arial"/>
          <w:sz w:val="24"/>
          <w:szCs w:val="24"/>
        </w:rPr>
      </w:pPr>
    </w:p>
    <w:p w:rsidR="00ED2F19" w:rsidRDefault="00ED2F19" w:rsidP="00ED2F19">
      <w:pPr>
        <w:spacing w:after="0" w:line="240" w:lineRule="auto"/>
        <w:ind w:left="5040"/>
        <w:rPr>
          <w:rFonts w:ascii="Arial" w:hAnsi="Arial" w:cs="Arial"/>
          <w:sz w:val="24"/>
          <w:szCs w:val="24"/>
        </w:rPr>
      </w:pPr>
    </w:p>
    <w:p w:rsidR="00ED2F19" w:rsidRDefault="00ED2F19" w:rsidP="00ED2F19">
      <w:pPr>
        <w:spacing w:after="0" w:line="240" w:lineRule="auto"/>
        <w:ind w:left="5040"/>
        <w:rPr>
          <w:rFonts w:ascii="Arial" w:hAnsi="Arial" w:cs="Arial"/>
          <w:sz w:val="24"/>
          <w:szCs w:val="24"/>
          <w:u w:val="single"/>
        </w:rPr>
      </w:pPr>
    </w:p>
    <w:p w:rsidR="009F724D" w:rsidRPr="00094915" w:rsidRDefault="009F724D" w:rsidP="009F724D">
      <w:pPr>
        <w:spacing w:after="0" w:line="240" w:lineRule="auto"/>
        <w:ind w:left="5040"/>
        <w:jc w:val="both"/>
        <w:rPr>
          <w:rFonts w:ascii="Arial" w:eastAsia="Arial" w:hAnsi="Arial" w:cs="Arial"/>
          <w:sz w:val="24"/>
          <w:szCs w:val="24"/>
          <w:u w:val="single"/>
        </w:rPr>
      </w:pPr>
      <w:r>
        <w:rPr>
          <w:rFonts w:ascii="Arial" w:eastAsia="Arial" w:hAnsi="Arial" w:cs="Arial"/>
          <w:i/>
          <w:sz w:val="24"/>
          <w:szCs w:val="24"/>
          <w:u w:val="single"/>
        </w:rPr>
        <w:t xml:space="preserve">/s/ </w:t>
      </w:r>
      <w:r>
        <w:rPr>
          <w:rFonts w:ascii="Arial" w:eastAsia="Arial" w:hAnsi="Arial" w:cs="Arial"/>
          <w:sz w:val="24"/>
          <w:szCs w:val="24"/>
          <w:u w:val="single"/>
        </w:rPr>
        <w:t>Matthew White</w:t>
      </w:r>
      <w:r w:rsidRPr="00094915">
        <w:rPr>
          <w:rFonts w:ascii="Arial" w:eastAsia="Arial" w:hAnsi="Arial" w:cs="Arial"/>
          <w:sz w:val="24"/>
          <w:szCs w:val="24"/>
          <w:u w:val="single"/>
        </w:rPr>
        <w:tab/>
      </w:r>
      <w:r w:rsidRPr="00094915">
        <w:rPr>
          <w:rFonts w:ascii="Arial" w:eastAsia="Arial" w:hAnsi="Arial" w:cs="Arial"/>
          <w:sz w:val="24"/>
          <w:szCs w:val="24"/>
          <w:u w:val="single"/>
        </w:rPr>
        <w:tab/>
      </w:r>
    </w:p>
    <w:p w:rsidR="00ED2F19" w:rsidRDefault="00ED2F19" w:rsidP="00ED2F19">
      <w:pPr>
        <w:spacing w:after="0" w:line="240" w:lineRule="auto"/>
        <w:ind w:left="5040"/>
        <w:rPr>
          <w:rFonts w:ascii="Arial" w:hAnsi="Arial" w:cs="Arial"/>
          <w:sz w:val="24"/>
          <w:szCs w:val="24"/>
        </w:rPr>
      </w:pPr>
      <w:r>
        <w:rPr>
          <w:rFonts w:ascii="Arial" w:hAnsi="Arial" w:cs="Arial"/>
          <w:sz w:val="24"/>
          <w:szCs w:val="24"/>
        </w:rPr>
        <w:t>Vincent Parisi (073283)</w:t>
      </w:r>
    </w:p>
    <w:p w:rsidR="00ED2F19" w:rsidRDefault="00ED2F19" w:rsidP="00ED2F19">
      <w:pPr>
        <w:spacing w:after="0" w:line="240" w:lineRule="auto"/>
        <w:ind w:left="5040"/>
        <w:rPr>
          <w:rFonts w:ascii="Arial" w:hAnsi="Arial" w:cs="Arial"/>
          <w:sz w:val="24"/>
          <w:szCs w:val="24"/>
        </w:rPr>
      </w:pPr>
      <w:r>
        <w:rPr>
          <w:rFonts w:ascii="Arial" w:hAnsi="Arial" w:cs="Arial"/>
          <w:sz w:val="24"/>
          <w:szCs w:val="24"/>
        </w:rPr>
        <w:t>Email: vparisi@igsenergy.com</w:t>
      </w:r>
    </w:p>
    <w:p w:rsidR="00ED2F19" w:rsidRDefault="00ED2F19" w:rsidP="00ED2F19">
      <w:pPr>
        <w:spacing w:after="0" w:line="240" w:lineRule="auto"/>
        <w:ind w:left="5040"/>
        <w:rPr>
          <w:rFonts w:ascii="Arial" w:hAnsi="Arial" w:cs="Arial"/>
          <w:sz w:val="24"/>
          <w:szCs w:val="24"/>
        </w:rPr>
      </w:pPr>
      <w:r>
        <w:rPr>
          <w:rFonts w:ascii="Arial" w:hAnsi="Arial" w:cs="Arial"/>
          <w:sz w:val="24"/>
          <w:szCs w:val="24"/>
        </w:rPr>
        <w:t>Matthew White (0082859)</w:t>
      </w:r>
    </w:p>
    <w:p w:rsidR="00ED2F19" w:rsidRPr="00A739A8" w:rsidRDefault="00ED2F19" w:rsidP="00ED2F19">
      <w:pPr>
        <w:spacing w:after="0" w:line="240" w:lineRule="auto"/>
        <w:ind w:left="5040"/>
        <w:rPr>
          <w:rFonts w:ascii="Arial" w:hAnsi="Arial" w:cs="Arial"/>
          <w:sz w:val="24"/>
          <w:szCs w:val="24"/>
        </w:rPr>
      </w:pPr>
      <w:r w:rsidRPr="00A739A8">
        <w:rPr>
          <w:rFonts w:ascii="Arial" w:hAnsi="Arial" w:cs="Arial"/>
          <w:sz w:val="24"/>
          <w:szCs w:val="24"/>
        </w:rPr>
        <w:t>Counsel if Record</w:t>
      </w:r>
    </w:p>
    <w:p w:rsidR="00ED2F19" w:rsidRDefault="00ED2F19" w:rsidP="00ED2F19">
      <w:pPr>
        <w:spacing w:after="0" w:line="240" w:lineRule="auto"/>
        <w:ind w:left="5040"/>
        <w:rPr>
          <w:rFonts w:ascii="Arial" w:hAnsi="Arial" w:cs="Arial"/>
          <w:sz w:val="24"/>
          <w:szCs w:val="24"/>
        </w:rPr>
      </w:pPr>
      <w:r>
        <w:rPr>
          <w:rFonts w:ascii="Arial" w:hAnsi="Arial" w:cs="Arial"/>
          <w:sz w:val="24"/>
          <w:szCs w:val="24"/>
        </w:rPr>
        <w:t>Email: mswhite@igsenergy.com</w:t>
      </w:r>
    </w:p>
    <w:p w:rsidR="00ED2F19" w:rsidRDefault="00ED2F19" w:rsidP="00ED2F19">
      <w:pPr>
        <w:spacing w:after="0" w:line="240" w:lineRule="auto"/>
        <w:ind w:left="5040"/>
        <w:rPr>
          <w:rFonts w:ascii="Arial" w:hAnsi="Arial" w:cs="Arial"/>
          <w:sz w:val="24"/>
          <w:szCs w:val="24"/>
        </w:rPr>
      </w:pPr>
      <w:r>
        <w:rPr>
          <w:rFonts w:ascii="Arial" w:hAnsi="Arial" w:cs="Arial"/>
          <w:sz w:val="24"/>
          <w:szCs w:val="24"/>
        </w:rPr>
        <w:t>Interstate Gas Supply, Inc.</w:t>
      </w:r>
    </w:p>
    <w:p w:rsidR="00ED2F19" w:rsidRDefault="00ED2F19" w:rsidP="00ED2F19">
      <w:pPr>
        <w:spacing w:after="0" w:line="240" w:lineRule="auto"/>
        <w:ind w:left="5040"/>
        <w:rPr>
          <w:rFonts w:ascii="Arial" w:hAnsi="Arial" w:cs="Arial"/>
          <w:sz w:val="24"/>
          <w:szCs w:val="24"/>
        </w:rPr>
      </w:pPr>
      <w:r>
        <w:rPr>
          <w:rFonts w:ascii="Arial" w:hAnsi="Arial" w:cs="Arial"/>
          <w:sz w:val="24"/>
          <w:szCs w:val="24"/>
        </w:rPr>
        <w:t>6100 Emerald Parkway</w:t>
      </w:r>
    </w:p>
    <w:p w:rsidR="00ED2F19" w:rsidRDefault="00ED2F19" w:rsidP="00ED2F19">
      <w:pPr>
        <w:spacing w:after="0" w:line="240" w:lineRule="auto"/>
        <w:ind w:left="5040"/>
        <w:rPr>
          <w:rFonts w:ascii="Arial" w:hAnsi="Arial" w:cs="Arial"/>
          <w:sz w:val="24"/>
          <w:szCs w:val="24"/>
        </w:rPr>
      </w:pPr>
      <w:r>
        <w:rPr>
          <w:rFonts w:ascii="Arial" w:hAnsi="Arial" w:cs="Arial"/>
          <w:sz w:val="24"/>
          <w:szCs w:val="24"/>
        </w:rPr>
        <w:t>Dublin, Ohio 43016</w:t>
      </w:r>
    </w:p>
    <w:p w:rsidR="00ED2F19" w:rsidRDefault="00ED2F19" w:rsidP="00ED2F19">
      <w:pPr>
        <w:spacing w:after="0" w:line="240" w:lineRule="auto"/>
        <w:ind w:left="5040"/>
        <w:rPr>
          <w:rFonts w:ascii="Arial" w:hAnsi="Arial" w:cs="Arial"/>
          <w:sz w:val="24"/>
          <w:szCs w:val="24"/>
        </w:rPr>
      </w:pPr>
      <w:r>
        <w:rPr>
          <w:rFonts w:ascii="Arial" w:hAnsi="Arial" w:cs="Arial"/>
          <w:sz w:val="24"/>
          <w:szCs w:val="24"/>
        </w:rPr>
        <w:t>Telephone:</w:t>
      </w:r>
      <w:r>
        <w:rPr>
          <w:rFonts w:ascii="Arial" w:hAnsi="Arial" w:cs="Arial"/>
          <w:sz w:val="24"/>
          <w:szCs w:val="24"/>
        </w:rPr>
        <w:tab/>
        <w:t>(614) 659-5000</w:t>
      </w:r>
    </w:p>
    <w:p w:rsidR="00ED2F19" w:rsidRDefault="00ED2F19" w:rsidP="00ED2F19">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rsidR="00ED2F19" w:rsidRDefault="00ED2F19" w:rsidP="00ED2F19">
      <w:pPr>
        <w:spacing w:after="0" w:line="240" w:lineRule="auto"/>
        <w:ind w:left="4320" w:firstLine="720"/>
        <w:rPr>
          <w:rFonts w:ascii="Arial" w:hAnsi="Arial" w:cs="Arial"/>
          <w:b/>
          <w:i/>
          <w:sz w:val="24"/>
          <w:szCs w:val="24"/>
        </w:rPr>
      </w:pPr>
      <w:r>
        <w:rPr>
          <w:rFonts w:ascii="Arial" w:hAnsi="Arial" w:cs="Arial"/>
          <w:b/>
          <w:i/>
          <w:sz w:val="24"/>
          <w:szCs w:val="24"/>
        </w:rPr>
        <w:t xml:space="preserve">Attorneys for </w:t>
      </w:r>
    </w:p>
    <w:p w:rsidR="00ED2F19" w:rsidRDefault="00ED2F19" w:rsidP="00ED2F19">
      <w:pPr>
        <w:spacing w:after="0" w:line="240" w:lineRule="auto"/>
        <w:ind w:left="5040"/>
        <w:rPr>
          <w:rFonts w:ascii="Arial" w:hAnsi="Arial" w:cs="Arial"/>
          <w:sz w:val="24"/>
          <w:szCs w:val="24"/>
        </w:rPr>
      </w:pPr>
      <w:r>
        <w:rPr>
          <w:rFonts w:ascii="Arial" w:hAnsi="Arial" w:cs="Arial"/>
          <w:b/>
          <w:i/>
          <w:sz w:val="24"/>
          <w:szCs w:val="24"/>
        </w:rPr>
        <w:t>Interstate Gas Supply, Inc.</w:t>
      </w:r>
    </w:p>
    <w:p w:rsidR="00F36F51" w:rsidRPr="00A4060F" w:rsidRDefault="00F36F51" w:rsidP="00F36F51">
      <w:pPr>
        <w:spacing w:line="480" w:lineRule="auto"/>
        <w:ind w:firstLine="360"/>
        <w:jc w:val="both"/>
        <w:rPr>
          <w:rFonts w:ascii="Arial" w:hAnsi="Arial" w:cs="Arial"/>
          <w:sz w:val="24"/>
          <w:szCs w:val="24"/>
        </w:rPr>
      </w:pPr>
    </w:p>
    <w:p w:rsidR="00A4060F" w:rsidRPr="00A4060F" w:rsidRDefault="00A4060F" w:rsidP="00A4060F">
      <w:pPr>
        <w:spacing w:line="480" w:lineRule="auto"/>
        <w:jc w:val="both"/>
        <w:rPr>
          <w:rFonts w:ascii="Arial" w:hAnsi="Arial" w:cs="Arial"/>
          <w:b/>
          <w:sz w:val="24"/>
          <w:szCs w:val="24"/>
        </w:rPr>
      </w:pPr>
    </w:p>
    <w:p w:rsidR="00A4060F" w:rsidRPr="00A4060F" w:rsidRDefault="00A4060F" w:rsidP="00A4060F">
      <w:pPr>
        <w:spacing w:line="480" w:lineRule="auto"/>
        <w:jc w:val="both"/>
        <w:rPr>
          <w:rFonts w:ascii="Arial" w:hAnsi="Arial" w:cs="Arial"/>
          <w:b/>
          <w:sz w:val="24"/>
          <w:szCs w:val="24"/>
        </w:rPr>
      </w:pPr>
    </w:p>
    <w:p w:rsidR="00700B44" w:rsidRDefault="00700B44"/>
    <w:sectPr w:rsidR="00700B4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60F" w:rsidRDefault="00A4060F" w:rsidP="00A4060F">
      <w:pPr>
        <w:spacing w:after="0" w:line="240" w:lineRule="auto"/>
      </w:pPr>
      <w:r>
        <w:separator/>
      </w:r>
    </w:p>
  </w:endnote>
  <w:endnote w:type="continuationSeparator" w:id="0">
    <w:p w:rsidR="00A4060F" w:rsidRDefault="00A4060F" w:rsidP="00A40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659985"/>
      <w:docPartObj>
        <w:docPartGallery w:val="Page Numbers (Bottom of Page)"/>
        <w:docPartUnique/>
      </w:docPartObj>
    </w:sdtPr>
    <w:sdtEndPr>
      <w:rPr>
        <w:noProof/>
      </w:rPr>
    </w:sdtEndPr>
    <w:sdtContent>
      <w:p w:rsidR="00C35444" w:rsidRDefault="00C35444">
        <w:pPr>
          <w:pStyle w:val="Footer"/>
          <w:jc w:val="center"/>
        </w:pPr>
        <w:r>
          <w:fldChar w:fldCharType="begin"/>
        </w:r>
        <w:r>
          <w:instrText xml:space="preserve"> PAGE   \* MERGEFORMAT </w:instrText>
        </w:r>
        <w:r>
          <w:fldChar w:fldCharType="separate"/>
        </w:r>
        <w:r w:rsidR="00766FFF">
          <w:rPr>
            <w:noProof/>
          </w:rPr>
          <w:t>11</w:t>
        </w:r>
        <w:r>
          <w:rPr>
            <w:noProof/>
          </w:rPr>
          <w:fldChar w:fldCharType="end"/>
        </w:r>
      </w:p>
    </w:sdtContent>
  </w:sdt>
  <w:p w:rsidR="00C35444" w:rsidRDefault="00C354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60F" w:rsidRDefault="00A4060F" w:rsidP="00A4060F">
      <w:pPr>
        <w:spacing w:after="0" w:line="240" w:lineRule="auto"/>
      </w:pPr>
      <w:r>
        <w:separator/>
      </w:r>
    </w:p>
  </w:footnote>
  <w:footnote w:type="continuationSeparator" w:id="0">
    <w:p w:rsidR="00A4060F" w:rsidRDefault="00A4060F" w:rsidP="00A4060F">
      <w:pPr>
        <w:spacing w:after="0" w:line="240" w:lineRule="auto"/>
      </w:pPr>
      <w:r>
        <w:continuationSeparator/>
      </w:r>
    </w:p>
  </w:footnote>
  <w:footnote w:id="1">
    <w:p w:rsidR="00972FB9" w:rsidRDefault="00972FB9" w:rsidP="00972FB9">
      <w:pPr>
        <w:pStyle w:val="FootnoteText"/>
      </w:pPr>
      <w:r>
        <w:rPr>
          <w:rStyle w:val="FootnoteReference"/>
        </w:rPr>
        <w:footnoteRef/>
      </w:r>
      <w:r>
        <w:t xml:space="preserve"> </w:t>
      </w:r>
      <w:r w:rsidR="00F10932">
        <w:t xml:space="preserve"> </w:t>
      </w:r>
      <w:r w:rsidR="00B2128B" w:rsidRPr="00787630">
        <w:t xml:space="preserve">Initial Comments of  </w:t>
      </w:r>
      <w:r w:rsidR="00B2128B" w:rsidRPr="00787630">
        <w:rPr>
          <w:rFonts w:cs="Arial"/>
        </w:rPr>
        <w:t>Ohio Partners for Affordable Energy; AARP; The Ohio Poverty Law Center; Edgemont Neighborhood Coalition; Pro Seniors</w:t>
      </w:r>
      <w:r w:rsidR="00B2128B">
        <w:rPr>
          <w:rFonts w:cs="Arial"/>
        </w:rPr>
        <w:t xml:space="preserve">, Inc.; Southeastern Ohio Legal </w:t>
      </w:r>
      <w:r w:rsidR="00B2128B" w:rsidRPr="00787630">
        <w:rPr>
          <w:rFonts w:cs="Arial"/>
        </w:rPr>
        <w:t>Services; Legal Aid Society of Columbus; Legal Aid So</w:t>
      </w:r>
      <w:r w:rsidR="00B2128B">
        <w:rPr>
          <w:rFonts w:cs="Arial"/>
        </w:rPr>
        <w:t xml:space="preserve">ciety of Cleveland; Communities </w:t>
      </w:r>
      <w:r w:rsidR="00B2128B" w:rsidRPr="00787630">
        <w:rPr>
          <w:rFonts w:cs="Arial"/>
        </w:rPr>
        <w:t>United for Action; and, The Citizens Coalition</w:t>
      </w:r>
      <w:r w:rsidR="00F10932">
        <w:rPr>
          <w:rFonts w:cs="Arial"/>
        </w:rPr>
        <w:t xml:space="preserve"> </w:t>
      </w:r>
      <w:r w:rsidR="00F10932">
        <w:t>at 3</w:t>
      </w:r>
      <w:r w:rsidR="00F10932">
        <w:rPr>
          <w:rFonts w:cs="Arial"/>
        </w:rPr>
        <w:t xml:space="preserve"> (July 8, 2013) PUCO Case No. 12-3151-EL COI (“OPAE Initial Comments”)</w:t>
      </w:r>
      <w:r>
        <w:t xml:space="preserve">; </w:t>
      </w:r>
      <w:r w:rsidR="00F10932">
        <w:t xml:space="preserve">Initial Comments of Ohio Edison Company, the Cleveland Electric Illuminating Company and the Toledo </w:t>
      </w:r>
      <w:r w:rsidR="00432227">
        <w:t>Edison</w:t>
      </w:r>
      <w:r w:rsidR="00F10932">
        <w:t xml:space="preserve"> Company</w:t>
      </w:r>
      <w:r>
        <w:t xml:space="preserve"> at 4</w:t>
      </w:r>
      <w:r w:rsidR="00F10932">
        <w:t xml:space="preserve"> (July 8, 2013),  Case </w:t>
      </w:r>
      <w:r w:rsidR="00F10932">
        <w:rPr>
          <w:rFonts w:cs="Arial"/>
        </w:rPr>
        <w:t>No. 12-3151-EL COI (“FirstEnergy Initial Comments”)</w:t>
      </w:r>
      <w:r>
        <w:t>.</w:t>
      </w:r>
    </w:p>
  </w:footnote>
  <w:footnote w:id="2">
    <w:p w:rsidR="00203BC9" w:rsidRDefault="00203BC9" w:rsidP="00203BC9">
      <w:pPr>
        <w:pStyle w:val="FootnoteText"/>
      </w:pPr>
      <w:r>
        <w:rPr>
          <w:rStyle w:val="FootnoteReference"/>
        </w:rPr>
        <w:footnoteRef/>
      </w:r>
      <w:r>
        <w:t xml:space="preserve"> Initial Comments of Interstate Gas Supply, Inc., at 3 (July 8, 2013) Case No. Case </w:t>
      </w:r>
      <w:r>
        <w:rPr>
          <w:rFonts w:cs="Arial"/>
        </w:rPr>
        <w:t>No. 12-3151-EL COI (“IGS Energy Initial Comments”)</w:t>
      </w:r>
    </w:p>
  </w:footnote>
  <w:footnote w:id="3">
    <w:p w:rsidR="00671C65" w:rsidRDefault="00671C65" w:rsidP="00671C65">
      <w:pPr>
        <w:pStyle w:val="FootnoteText"/>
      </w:pPr>
      <w:r>
        <w:rPr>
          <w:rStyle w:val="FootnoteReference"/>
        </w:rPr>
        <w:footnoteRef/>
      </w:r>
      <w:r>
        <w:t xml:space="preserve"> Id.</w:t>
      </w:r>
    </w:p>
  </w:footnote>
  <w:footnote w:id="4">
    <w:p w:rsidR="005965A2" w:rsidRPr="008B5D58" w:rsidRDefault="005965A2" w:rsidP="005965A2">
      <w:pPr>
        <w:widowControl w:val="0"/>
        <w:spacing w:after="0" w:line="240" w:lineRule="auto"/>
        <w:rPr>
          <w:rFonts w:cs="Arial"/>
          <w:sz w:val="20"/>
          <w:szCs w:val="20"/>
        </w:rPr>
      </w:pPr>
      <w:r w:rsidRPr="008B5D58">
        <w:rPr>
          <w:rStyle w:val="FootnoteReference"/>
          <w:sz w:val="20"/>
          <w:szCs w:val="20"/>
        </w:rPr>
        <w:footnoteRef/>
      </w:r>
      <w:r w:rsidRPr="008B5D58">
        <w:rPr>
          <w:sz w:val="20"/>
          <w:szCs w:val="20"/>
        </w:rPr>
        <w:t xml:space="preserve"> Initial Comments of the Office of the Ohio Consumers</w:t>
      </w:r>
      <w:r>
        <w:rPr>
          <w:sz w:val="20"/>
          <w:szCs w:val="20"/>
        </w:rPr>
        <w:t>’</w:t>
      </w:r>
      <w:r w:rsidRPr="008B5D58">
        <w:rPr>
          <w:sz w:val="20"/>
          <w:szCs w:val="20"/>
        </w:rPr>
        <w:t xml:space="preserve"> Counsel, at 4 (July 8, 2013</w:t>
      </w:r>
      <w:proofErr w:type="gramStart"/>
      <w:r w:rsidRPr="008B5D58">
        <w:rPr>
          <w:sz w:val="20"/>
          <w:szCs w:val="20"/>
        </w:rPr>
        <w:t xml:space="preserve">) </w:t>
      </w:r>
      <w:r w:rsidR="00F10932">
        <w:rPr>
          <w:sz w:val="20"/>
          <w:szCs w:val="20"/>
        </w:rPr>
        <w:t xml:space="preserve"> </w:t>
      </w:r>
      <w:r w:rsidR="00F10932" w:rsidRPr="008B5D58">
        <w:rPr>
          <w:sz w:val="20"/>
          <w:szCs w:val="20"/>
        </w:rPr>
        <w:t>PUCO</w:t>
      </w:r>
      <w:proofErr w:type="gramEnd"/>
      <w:r w:rsidR="00F10932" w:rsidRPr="008B5D58">
        <w:rPr>
          <w:sz w:val="20"/>
          <w:szCs w:val="20"/>
        </w:rPr>
        <w:t xml:space="preserve"> Case No. </w:t>
      </w:r>
      <w:r w:rsidR="00F10932" w:rsidRPr="008B5D58">
        <w:rPr>
          <w:rFonts w:cs="Arial"/>
          <w:sz w:val="20"/>
          <w:szCs w:val="20"/>
        </w:rPr>
        <w:t>12-3151-EL-COI</w:t>
      </w:r>
      <w:r w:rsidR="00F10932">
        <w:rPr>
          <w:rFonts w:cs="Arial"/>
          <w:sz w:val="20"/>
          <w:szCs w:val="20"/>
        </w:rPr>
        <w:t xml:space="preserve"> </w:t>
      </w:r>
      <w:r w:rsidR="00F10932" w:rsidRPr="008B5D58">
        <w:rPr>
          <w:sz w:val="20"/>
          <w:szCs w:val="20"/>
        </w:rPr>
        <w:t xml:space="preserve"> </w:t>
      </w:r>
      <w:r w:rsidR="00F10932">
        <w:rPr>
          <w:sz w:val="20"/>
          <w:szCs w:val="20"/>
        </w:rPr>
        <w:t>(“OCC Initial Comments”).</w:t>
      </w:r>
    </w:p>
  </w:footnote>
  <w:footnote w:id="5">
    <w:p w:rsidR="005965A2" w:rsidRDefault="005965A2" w:rsidP="005965A2">
      <w:pPr>
        <w:pStyle w:val="FootnoteText"/>
      </w:pPr>
      <w:r w:rsidRPr="008B5D58">
        <w:rPr>
          <w:rStyle w:val="FootnoteReference"/>
        </w:rPr>
        <w:footnoteRef/>
      </w:r>
      <w:r w:rsidRPr="008B5D58">
        <w:t xml:space="preserve"> </w:t>
      </w:r>
      <w:r w:rsidR="00F10932">
        <w:t>IGS Energy Initial Comments at 5-6.</w:t>
      </w:r>
    </w:p>
  </w:footnote>
  <w:footnote w:id="6">
    <w:p w:rsidR="005965A2" w:rsidRPr="00787630" w:rsidRDefault="005965A2" w:rsidP="005965A2">
      <w:pPr>
        <w:pStyle w:val="FootnoteText"/>
      </w:pPr>
      <w:r w:rsidRPr="00787630">
        <w:rPr>
          <w:rStyle w:val="FootnoteReference"/>
        </w:rPr>
        <w:footnoteRef/>
      </w:r>
      <w:r w:rsidRPr="00787630">
        <w:t xml:space="preserve"> According to the PUCO Aggregation Report, as of March 31, 2013, approximately 78% of residential customers receiving supply from a CRES supplier are doing so because of governmental aggregation.  </w:t>
      </w:r>
      <w:r w:rsidRPr="00787630">
        <w:rPr>
          <w:i/>
        </w:rPr>
        <w:t xml:space="preserve">See </w:t>
      </w:r>
      <w:hyperlink r:id="rId1" w:history="1">
        <w:r w:rsidRPr="00787630">
          <w:rPr>
            <w:rStyle w:val="Hyperlink"/>
          </w:rPr>
          <w:t>http://www.puco.ohio.gov/puco/?LinkServID=07ECCC22-E8B3-39E3-D6243E2482FA17CF</w:t>
        </w:r>
      </w:hyperlink>
    </w:p>
  </w:footnote>
  <w:footnote w:id="7">
    <w:p w:rsidR="005965A2" w:rsidRPr="00787630" w:rsidRDefault="005965A2" w:rsidP="005965A2">
      <w:pPr>
        <w:pStyle w:val="FootnoteText"/>
      </w:pPr>
      <w:r w:rsidRPr="00787630">
        <w:rPr>
          <w:rStyle w:val="FootnoteReference"/>
        </w:rPr>
        <w:footnoteRef/>
      </w:r>
      <w:r w:rsidRPr="00787630">
        <w:t xml:space="preserve"> </w:t>
      </w:r>
      <w:proofErr w:type="gramStart"/>
      <w:r w:rsidRPr="00787630">
        <w:t xml:space="preserve">IGS Initial Comments at </w:t>
      </w:r>
      <w:r w:rsidR="00F10932">
        <w:t>5.</w:t>
      </w:r>
      <w:proofErr w:type="gramEnd"/>
    </w:p>
  </w:footnote>
  <w:footnote w:id="8">
    <w:p w:rsidR="00BE6A48" w:rsidRDefault="00BE6A48" w:rsidP="00540B7E">
      <w:pPr>
        <w:pStyle w:val="FootnoteText"/>
      </w:pPr>
      <w:r>
        <w:rPr>
          <w:rStyle w:val="FootnoteReference"/>
        </w:rPr>
        <w:footnoteRef/>
      </w:r>
      <w:r w:rsidR="00540B7E">
        <w:t xml:space="preserve"> </w:t>
      </w:r>
      <w:proofErr w:type="gramStart"/>
      <w:r>
        <w:t>Initial Comments</w:t>
      </w:r>
      <w:r w:rsidR="00540B7E">
        <w:t xml:space="preserve"> of NOPEC</w:t>
      </w:r>
      <w:r>
        <w:t xml:space="preserve"> at 4</w:t>
      </w:r>
      <w:r w:rsidR="00540B7E">
        <w:t xml:space="preserve"> (July 8, 2013) </w:t>
      </w:r>
      <w:r w:rsidR="00540B7E" w:rsidRPr="008B5D58">
        <w:t xml:space="preserve">PUCO Case No. </w:t>
      </w:r>
      <w:r w:rsidR="00540B7E" w:rsidRPr="008B5D58">
        <w:rPr>
          <w:rFonts w:cs="Arial"/>
        </w:rPr>
        <w:t>12-3151-EL-COI</w:t>
      </w:r>
      <w:r w:rsidR="00540B7E">
        <w:rPr>
          <w:rFonts w:cs="Arial"/>
        </w:rPr>
        <w:t xml:space="preserve"> (NOPEC Initial Comments”)</w:t>
      </w:r>
      <w:r>
        <w:t>.</w:t>
      </w:r>
      <w:proofErr w:type="gramEnd"/>
    </w:p>
  </w:footnote>
  <w:footnote w:id="9">
    <w:p w:rsidR="00D02947" w:rsidRDefault="00D02947" w:rsidP="00D02947">
      <w:pPr>
        <w:pStyle w:val="FootnoteText"/>
      </w:pPr>
      <w:r>
        <w:rPr>
          <w:rStyle w:val="FootnoteReference"/>
        </w:rPr>
        <w:footnoteRef/>
      </w:r>
      <w:r>
        <w:t xml:space="preserve"> </w:t>
      </w:r>
      <w:r w:rsidRPr="00540B7E">
        <w:rPr>
          <w:i/>
        </w:rPr>
        <w:t>See</w:t>
      </w:r>
      <w:r>
        <w:t xml:space="preserve"> </w:t>
      </w:r>
      <w:hyperlink r:id="rId2" w:history="1">
        <w:r>
          <w:rPr>
            <w:rStyle w:val="Hyperlink"/>
          </w:rPr>
          <w:t>http://money.cnn.com/gallery/news/economy/2013/06/12/fastest-growing-states/2.html</w:t>
        </w:r>
      </w:hyperlink>
    </w:p>
  </w:footnote>
  <w:footnote w:id="10">
    <w:p w:rsidR="00D02947" w:rsidRDefault="00D02947" w:rsidP="00D02947">
      <w:pPr>
        <w:pStyle w:val="FootnoteText"/>
      </w:pPr>
      <w:r>
        <w:rPr>
          <w:rStyle w:val="FootnoteReference"/>
        </w:rPr>
        <w:footnoteRef/>
      </w:r>
      <w:r>
        <w:t xml:space="preserve"> </w:t>
      </w:r>
      <w:hyperlink r:id="rId3" w:history="1">
        <w:r>
          <w:rPr>
            <w:rStyle w:val="Hyperlink"/>
          </w:rPr>
          <w:t>http://research.stlouisfed.org/fred2/series/TXNGSP?cid=27326</w:t>
        </w:r>
      </w:hyperlink>
    </w:p>
  </w:footnote>
  <w:footnote w:id="11">
    <w:p w:rsidR="003E6F03" w:rsidRDefault="003E6F03" w:rsidP="003E6F03">
      <w:pPr>
        <w:pStyle w:val="FootnoteText"/>
      </w:pPr>
      <w:r>
        <w:rPr>
          <w:rStyle w:val="FootnoteReference"/>
        </w:rPr>
        <w:footnoteRef/>
      </w:r>
      <w:r>
        <w:t xml:space="preserve"> The EIA ranks Texas electric rates below the natural average.  See EIA webpage for information on state retail electric prices:  </w:t>
      </w:r>
      <w:hyperlink r:id="rId4" w:history="1">
        <w:r>
          <w:rPr>
            <w:rStyle w:val="Hyperlink"/>
          </w:rPr>
          <w:t>http://www.eia.gov/electricity/state/</w:t>
        </w:r>
      </w:hyperlink>
    </w:p>
  </w:footnote>
  <w:footnote w:id="12">
    <w:p w:rsidR="00CC4743" w:rsidRPr="00CC4743" w:rsidRDefault="00CC4743">
      <w:pPr>
        <w:pStyle w:val="FootnoteText"/>
      </w:pPr>
      <w:r w:rsidRPr="00CC4743">
        <w:rPr>
          <w:rStyle w:val="FootnoteReference"/>
        </w:rPr>
        <w:footnoteRef/>
      </w:r>
      <w:r w:rsidRPr="00CC4743">
        <w:t xml:space="preserve"> </w:t>
      </w:r>
      <w:r w:rsidRPr="00CC4743">
        <w:rPr>
          <w:rFonts w:cs="Arial"/>
        </w:rPr>
        <w:t>“</w:t>
      </w:r>
      <w:proofErr w:type="gramStart"/>
      <w:r w:rsidRPr="00CC4743">
        <w:rPr>
          <w:rFonts w:cs="Arial"/>
        </w:rPr>
        <w:t>most</w:t>
      </w:r>
      <w:proofErr w:type="gramEnd"/>
      <w:r w:rsidRPr="00CC4743">
        <w:rPr>
          <w:rFonts w:cs="Arial"/>
        </w:rPr>
        <w:t xml:space="preserve"> competitive offers in the Texas power market are below the 2001 regulated rates in effect prior to the introduction of retail competition. Most competitive offers in the Texas power market have decreased an average of 13.1% for fixed rates and 17.5% for variable rates, not adjusted for inflation, since the state opened its market to retail competition in 2002…</w:t>
      </w:r>
      <w:r w:rsidRPr="00CC4743">
        <w:t xml:space="preserve"> every competitive area in Texas has variable and one-year fixed rates that are up to three cents per kWh below the national average”</w:t>
      </w:r>
      <w:r>
        <w:t xml:space="preserve"> </w:t>
      </w:r>
      <w:r w:rsidR="003736C5" w:rsidRPr="003736C5">
        <w:rPr>
          <w:i/>
        </w:rPr>
        <w:t>Scope of Competition in Electric Markets in Texas</w:t>
      </w:r>
      <w:r w:rsidR="003736C5">
        <w:t xml:space="preserve">, at 50. Public Utilities Commission of Texas (January 2011).  A copy of the report can be found at: </w:t>
      </w:r>
      <w:hyperlink r:id="rId5" w:history="1">
        <w:r>
          <w:rPr>
            <w:rStyle w:val="Hyperlink"/>
          </w:rPr>
          <w:t>http://www.treia.org/assets/documents/reports-and-studies/puc.scopeofcompetitionreport2011.elec.pdf</w:t>
        </w:r>
      </w:hyperlink>
    </w:p>
  </w:footnote>
  <w:footnote w:id="13">
    <w:p w:rsidR="003736C5" w:rsidRDefault="003736C5">
      <w:pPr>
        <w:pStyle w:val="FootnoteText"/>
      </w:pPr>
      <w:r>
        <w:rPr>
          <w:rStyle w:val="FootnoteReference"/>
        </w:rPr>
        <w:footnoteRef/>
      </w:r>
      <w:r>
        <w:t xml:space="preserve"> </w:t>
      </w:r>
      <w:proofErr w:type="gramStart"/>
      <w:r>
        <w:t>Id at 49.</w:t>
      </w:r>
      <w:proofErr w:type="gramEnd"/>
    </w:p>
  </w:footnote>
  <w:footnote w:id="14">
    <w:p w:rsidR="00C35444" w:rsidRDefault="00C35444">
      <w:pPr>
        <w:pStyle w:val="FootnoteText"/>
      </w:pPr>
      <w:r>
        <w:rPr>
          <w:rStyle w:val="FootnoteReference"/>
        </w:rPr>
        <w:footnoteRef/>
      </w:r>
      <w:r>
        <w:t xml:space="preserve"> </w:t>
      </w:r>
      <w:proofErr w:type="gramStart"/>
      <w:r>
        <w:t>OCC Initial Comments at 10.</w:t>
      </w:r>
      <w:proofErr w:type="gramEnd"/>
    </w:p>
  </w:footnote>
  <w:footnote w:id="15">
    <w:p w:rsidR="00623089" w:rsidRDefault="00623089">
      <w:pPr>
        <w:pStyle w:val="FootnoteText"/>
      </w:pPr>
      <w:r>
        <w:rPr>
          <w:rStyle w:val="FootnoteReference"/>
        </w:rPr>
        <w:footnoteRef/>
      </w:r>
      <w:r>
        <w:t xml:space="preserve"> The OCC sites the economic loss of $11 million as a result of </w:t>
      </w:r>
      <w:r w:rsidR="00D87457">
        <w:t xml:space="preserve">these supplier defaults.  Given that the total retail </w:t>
      </w:r>
      <w:proofErr w:type="gramStart"/>
      <w:r w:rsidR="00D87457">
        <w:t>sales in Texas amounts</w:t>
      </w:r>
      <w:proofErr w:type="gramEnd"/>
      <w:r w:rsidR="00D87457">
        <w:t xml:space="preserve"> to tens of billions of dollars annually, it cannot be said that </w:t>
      </w:r>
      <w:r w:rsidR="00A40067">
        <w:t xml:space="preserve">these supplier defaults </w:t>
      </w:r>
      <w:r w:rsidR="00121CF4">
        <w:t>resulted in a</w:t>
      </w:r>
      <w:r w:rsidR="00D87457">
        <w:t xml:space="preserve"> market failure.</w:t>
      </w:r>
      <w:r w:rsidR="00A40067">
        <w:t xml:space="preserve"> </w:t>
      </w:r>
      <w:r>
        <w:t xml:space="preserve"> </w:t>
      </w:r>
    </w:p>
  </w:footnote>
  <w:footnote w:id="16">
    <w:p w:rsidR="00A40067" w:rsidRDefault="00A40067">
      <w:pPr>
        <w:pStyle w:val="FootnoteText"/>
      </w:pPr>
      <w:r>
        <w:rPr>
          <w:rStyle w:val="FootnoteReference"/>
        </w:rPr>
        <w:footnoteRef/>
      </w:r>
      <w:r>
        <w:t xml:space="preserve"> IGS Initial Comments at </w:t>
      </w:r>
      <w:r w:rsidR="00540B7E">
        <w:t>13-14.</w:t>
      </w:r>
    </w:p>
  </w:footnote>
  <w:footnote w:id="17">
    <w:p w:rsidR="00203E66" w:rsidRPr="003E19FA" w:rsidRDefault="00203E66" w:rsidP="00203E66">
      <w:pPr>
        <w:autoSpaceDE w:val="0"/>
        <w:autoSpaceDN w:val="0"/>
        <w:adjustRightInd w:val="0"/>
        <w:spacing w:after="0" w:line="240" w:lineRule="auto"/>
        <w:rPr>
          <w:rFonts w:cs="Arial"/>
          <w:sz w:val="20"/>
          <w:szCs w:val="20"/>
        </w:rPr>
      </w:pPr>
      <w:r w:rsidRPr="003E19FA">
        <w:rPr>
          <w:rStyle w:val="FootnoteReference"/>
          <w:sz w:val="20"/>
          <w:szCs w:val="20"/>
        </w:rPr>
        <w:footnoteRef/>
      </w:r>
      <w:r w:rsidRPr="003E19FA">
        <w:rPr>
          <w:sz w:val="20"/>
          <w:szCs w:val="20"/>
        </w:rPr>
        <w:t xml:space="preserve"> </w:t>
      </w:r>
      <w:proofErr w:type="gramStart"/>
      <w:r w:rsidRPr="003E19FA">
        <w:rPr>
          <w:sz w:val="20"/>
          <w:szCs w:val="20"/>
        </w:rPr>
        <w:t>OCC Initial Comments at 4.</w:t>
      </w:r>
      <w:proofErr w:type="gramEnd"/>
      <w:r w:rsidRPr="003E19FA">
        <w:rPr>
          <w:sz w:val="20"/>
          <w:szCs w:val="20"/>
        </w:rPr>
        <w:t xml:space="preserve">  </w:t>
      </w:r>
      <w:proofErr w:type="gramStart"/>
      <w:r w:rsidRPr="003E19FA">
        <w:rPr>
          <w:rFonts w:cs="Arial"/>
          <w:sz w:val="20"/>
          <w:szCs w:val="20"/>
        </w:rPr>
        <w:t>OPAE Initial Comments at 9.</w:t>
      </w:r>
      <w:proofErr w:type="gramEnd"/>
    </w:p>
  </w:footnote>
  <w:footnote w:id="18">
    <w:p w:rsidR="00203E66" w:rsidRPr="005772F5" w:rsidRDefault="00203E66" w:rsidP="00203E66">
      <w:pPr>
        <w:spacing w:line="240" w:lineRule="auto"/>
        <w:rPr>
          <w:rFonts w:cs="Arial"/>
          <w:sz w:val="18"/>
          <w:szCs w:val="18"/>
        </w:rPr>
      </w:pPr>
      <w:r w:rsidRPr="003E19FA">
        <w:rPr>
          <w:rStyle w:val="FootnoteReference"/>
          <w:sz w:val="20"/>
          <w:szCs w:val="20"/>
        </w:rPr>
        <w:footnoteRef/>
      </w:r>
      <w:r w:rsidRPr="003E19FA">
        <w:rPr>
          <w:sz w:val="20"/>
          <w:szCs w:val="20"/>
        </w:rPr>
        <w:t xml:space="preserve"> </w:t>
      </w:r>
      <w:r w:rsidRPr="003E19FA">
        <w:rPr>
          <w:rFonts w:cs="Arial"/>
          <w:sz w:val="20"/>
          <w:szCs w:val="20"/>
        </w:rPr>
        <w:t xml:space="preserve">For instance, in Venezuela customers pay gasoline prices of less than10 cents per gallon. However, gasoline prices are low in Venezuela not because the gasoline producers in Venezuela are more efficient or more innovative; rather gasoline prices in Venezuela are low because they are subsidized. See </w:t>
      </w:r>
      <w:r w:rsidRPr="003E19FA">
        <w:rPr>
          <w:rFonts w:cs="Arial"/>
          <w:i/>
          <w:sz w:val="20"/>
          <w:szCs w:val="20"/>
        </w:rPr>
        <w:t xml:space="preserve">Almost Free Gas Comes at a High Cost, </w:t>
      </w:r>
      <w:r w:rsidRPr="003E19FA">
        <w:rPr>
          <w:rFonts w:cs="Arial"/>
          <w:sz w:val="20"/>
          <w:szCs w:val="20"/>
        </w:rPr>
        <w:t>The</w:t>
      </w:r>
      <w:r w:rsidRPr="003E19FA">
        <w:rPr>
          <w:rFonts w:cs="Arial"/>
          <w:i/>
          <w:sz w:val="20"/>
          <w:szCs w:val="20"/>
        </w:rPr>
        <w:t xml:space="preserve"> </w:t>
      </w:r>
      <w:r w:rsidRPr="003E19FA">
        <w:rPr>
          <w:rFonts w:cs="Arial"/>
          <w:sz w:val="20"/>
          <w:szCs w:val="20"/>
        </w:rPr>
        <w:t xml:space="preserve">Wall Street Journal (April 12, 2013).  </w:t>
      </w:r>
      <w:r w:rsidRPr="003E19FA">
        <w:rPr>
          <w:sz w:val="20"/>
          <w:szCs w:val="20"/>
        </w:rPr>
        <w:t>http://online.wsj.com/article/SB10001424127887324000704578386771059515346.html</w:t>
      </w:r>
    </w:p>
  </w:footnote>
  <w:footnote w:id="19">
    <w:p w:rsidR="00944149" w:rsidRDefault="00944149">
      <w:pPr>
        <w:pStyle w:val="FootnoteText"/>
      </w:pPr>
      <w:r>
        <w:rPr>
          <w:rStyle w:val="FootnoteReference"/>
        </w:rPr>
        <w:footnoteRef/>
      </w:r>
      <w:r>
        <w:t xml:space="preserve"> </w:t>
      </w:r>
      <w:proofErr w:type="gramStart"/>
      <w:r>
        <w:t>OCC Initial Comments at 9.</w:t>
      </w:r>
      <w:proofErr w:type="gramEnd"/>
    </w:p>
  </w:footnote>
  <w:footnote w:id="20">
    <w:p w:rsidR="0010784F" w:rsidRPr="00ED2F19" w:rsidRDefault="0010784F">
      <w:pPr>
        <w:pStyle w:val="FootnoteText"/>
      </w:pPr>
      <w:r w:rsidRPr="00ED2F19">
        <w:rPr>
          <w:rStyle w:val="FootnoteReference"/>
        </w:rPr>
        <w:footnoteRef/>
      </w:r>
      <w:r w:rsidRPr="00ED2F19">
        <w:t xml:space="preserve"> </w:t>
      </w:r>
      <w:proofErr w:type="gramStart"/>
      <w:r w:rsidRPr="00ED2F19">
        <w:t>IGS Initial Comments at 13.</w:t>
      </w:r>
      <w:proofErr w:type="gramEnd"/>
    </w:p>
  </w:footnote>
  <w:footnote w:id="21">
    <w:p w:rsidR="00ED2F19" w:rsidRDefault="00ED2F19">
      <w:pPr>
        <w:pStyle w:val="FootnoteText"/>
      </w:pPr>
      <w:r w:rsidRPr="00ED2F19">
        <w:rPr>
          <w:rStyle w:val="FootnoteReference"/>
        </w:rPr>
        <w:footnoteRef/>
      </w:r>
      <w:r w:rsidRPr="00ED2F19">
        <w:t xml:space="preserve"> </w:t>
      </w:r>
      <w:r w:rsidRPr="00ED2F19">
        <w:rPr>
          <w:rFonts w:cs="Arial"/>
        </w:rPr>
        <w:t>Not only are subsidies contrary to the purpose of time-differentiated pricing, it is also contrary to Ohio law</w:t>
      </w:r>
      <w:r w:rsidR="00E453AC">
        <w:rPr>
          <w:rFonts w:cs="Arial"/>
        </w:rPr>
        <w:t>.</w:t>
      </w:r>
      <w:r w:rsidRPr="00ED2F19">
        <w:rPr>
          <w:rFonts w:cs="Arial"/>
        </w:rPr>
        <w:t xml:space="preserve"> See R.C. 4928.02(H).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1242"/>
    <w:multiLevelType w:val="hybridMultilevel"/>
    <w:tmpl w:val="41F6E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104B8B"/>
    <w:multiLevelType w:val="hybridMultilevel"/>
    <w:tmpl w:val="FC7E288E"/>
    <w:lvl w:ilvl="0" w:tplc="67908D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640780"/>
    <w:multiLevelType w:val="hybridMultilevel"/>
    <w:tmpl w:val="B1CC7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AE34E9"/>
    <w:multiLevelType w:val="hybridMultilevel"/>
    <w:tmpl w:val="8D9ABF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907017"/>
    <w:multiLevelType w:val="hybridMultilevel"/>
    <w:tmpl w:val="93B2B210"/>
    <w:lvl w:ilvl="0" w:tplc="B574CE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8D842DC"/>
    <w:multiLevelType w:val="hybridMultilevel"/>
    <w:tmpl w:val="8558F290"/>
    <w:lvl w:ilvl="0" w:tplc="28C8E9D4">
      <w:start w:val="1"/>
      <w:numFmt w:val="upperRoman"/>
      <w:lvlText w:val="%1."/>
      <w:lvlJc w:val="left"/>
      <w:pPr>
        <w:ind w:left="1080" w:hanging="720"/>
      </w:pPr>
      <w:rPr>
        <w:rFonts w:hint="default"/>
      </w:rPr>
    </w:lvl>
    <w:lvl w:ilvl="1" w:tplc="EDE64F56">
      <w:start w:val="1"/>
      <w:numFmt w:val="lowerLetter"/>
      <w:lvlText w:val="%2."/>
      <w:lvlJc w:val="left"/>
      <w:pPr>
        <w:ind w:left="1440" w:hanging="360"/>
      </w:pPr>
    </w:lvl>
    <w:lvl w:ilvl="2" w:tplc="11AE8AAA">
      <w:start w:val="1"/>
      <w:numFmt w:val="lowerRoman"/>
      <w:lvlText w:val="%3."/>
      <w:lvlJc w:val="right"/>
      <w:pPr>
        <w:ind w:left="2160" w:hanging="180"/>
      </w:pPr>
    </w:lvl>
    <w:lvl w:ilvl="3" w:tplc="1A7A0E12">
      <w:start w:val="1"/>
      <w:numFmt w:val="decimal"/>
      <w:lvlText w:val="%4."/>
      <w:lvlJc w:val="left"/>
      <w:pPr>
        <w:ind w:left="2880" w:hanging="360"/>
      </w:pPr>
    </w:lvl>
    <w:lvl w:ilvl="4" w:tplc="2A520354">
      <w:start w:val="1"/>
      <w:numFmt w:val="lowerLetter"/>
      <w:lvlText w:val="%5."/>
      <w:lvlJc w:val="left"/>
      <w:pPr>
        <w:ind w:left="3600" w:hanging="360"/>
      </w:pPr>
    </w:lvl>
    <w:lvl w:ilvl="5" w:tplc="11B8308E">
      <w:start w:val="1"/>
      <w:numFmt w:val="lowerRoman"/>
      <w:lvlText w:val="%6."/>
      <w:lvlJc w:val="right"/>
      <w:pPr>
        <w:ind w:left="4320" w:hanging="180"/>
      </w:pPr>
    </w:lvl>
    <w:lvl w:ilvl="6" w:tplc="0FE88B60">
      <w:start w:val="1"/>
      <w:numFmt w:val="decimal"/>
      <w:lvlText w:val="%7."/>
      <w:lvlJc w:val="left"/>
      <w:pPr>
        <w:ind w:left="5040" w:hanging="360"/>
      </w:pPr>
    </w:lvl>
    <w:lvl w:ilvl="7" w:tplc="7F1A8266">
      <w:start w:val="1"/>
      <w:numFmt w:val="lowerLetter"/>
      <w:lvlText w:val="%8."/>
      <w:lvlJc w:val="left"/>
      <w:pPr>
        <w:ind w:left="5760" w:hanging="360"/>
      </w:pPr>
    </w:lvl>
    <w:lvl w:ilvl="8" w:tplc="E05852FE">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00C"/>
    <w:rsid w:val="00086EFB"/>
    <w:rsid w:val="00093567"/>
    <w:rsid w:val="000E0B06"/>
    <w:rsid w:val="000F708D"/>
    <w:rsid w:val="0010784F"/>
    <w:rsid w:val="00121CF4"/>
    <w:rsid w:val="00175538"/>
    <w:rsid w:val="0018700C"/>
    <w:rsid w:val="00203BC9"/>
    <w:rsid w:val="00203E66"/>
    <w:rsid w:val="00265976"/>
    <w:rsid w:val="002717E1"/>
    <w:rsid w:val="002D521A"/>
    <w:rsid w:val="00300F60"/>
    <w:rsid w:val="003053C9"/>
    <w:rsid w:val="00320263"/>
    <w:rsid w:val="003736C5"/>
    <w:rsid w:val="00390E9A"/>
    <w:rsid w:val="00393A2D"/>
    <w:rsid w:val="003A499F"/>
    <w:rsid w:val="003B154C"/>
    <w:rsid w:val="003D69E7"/>
    <w:rsid w:val="003E19FA"/>
    <w:rsid w:val="003E637C"/>
    <w:rsid w:val="003E6F03"/>
    <w:rsid w:val="003F2C4D"/>
    <w:rsid w:val="00401DCF"/>
    <w:rsid w:val="00432227"/>
    <w:rsid w:val="00462C49"/>
    <w:rsid w:val="00540B7E"/>
    <w:rsid w:val="005772F5"/>
    <w:rsid w:val="005843C8"/>
    <w:rsid w:val="00591A8C"/>
    <w:rsid w:val="005965A2"/>
    <w:rsid w:val="005E789A"/>
    <w:rsid w:val="00604ABF"/>
    <w:rsid w:val="00616313"/>
    <w:rsid w:val="00623089"/>
    <w:rsid w:val="00650672"/>
    <w:rsid w:val="006515F3"/>
    <w:rsid w:val="00671C65"/>
    <w:rsid w:val="006B7464"/>
    <w:rsid w:val="006C39A6"/>
    <w:rsid w:val="006D49C2"/>
    <w:rsid w:val="00700B44"/>
    <w:rsid w:val="007066D9"/>
    <w:rsid w:val="00717A93"/>
    <w:rsid w:val="00720F5E"/>
    <w:rsid w:val="007545D6"/>
    <w:rsid w:val="00766FFF"/>
    <w:rsid w:val="00787630"/>
    <w:rsid w:val="007B2432"/>
    <w:rsid w:val="00806D44"/>
    <w:rsid w:val="00821387"/>
    <w:rsid w:val="008213A1"/>
    <w:rsid w:val="00822D7A"/>
    <w:rsid w:val="00831FE0"/>
    <w:rsid w:val="008A7890"/>
    <w:rsid w:val="008B5D58"/>
    <w:rsid w:val="009201F9"/>
    <w:rsid w:val="00944149"/>
    <w:rsid w:val="00972FB9"/>
    <w:rsid w:val="00982F1D"/>
    <w:rsid w:val="009A03A7"/>
    <w:rsid w:val="009D730A"/>
    <w:rsid w:val="009E03FA"/>
    <w:rsid w:val="009F724D"/>
    <w:rsid w:val="00A3029F"/>
    <w:rsid w:val="00A3221D"/>
    <w:rsid w:val="00A40067"/>
    <w:rsid w:val="00A4060F"/>
    <w:rsid w:val="00A60F09"/>
    <w:rsid w:val="00AC57FD"/>
    <w:rsid w:val="00AE3784"/>
    <w:rsid w:val="00B149ED"/>
    <w:rsid w:val="00B2128B"/>
    <w:rsid w:val="00B26C60"/>
    <w:rsid w:val="00B27415"/>
    <w:rsid w:val="00BA26FF"/>
    <w:rsid w:val="00BE6A48"/>
    <w:rsid w:val="00BF60FE"/>
    <w:rsid w:val="00C35444"/>
    <w:rsid w:val="00C54EB0"/>
    <w:rsid w:val="00C73E8B"/>
    <w:rsid w:val="00CA5AE3"/>
    <w:rsid w:val="00CC4743"/>
    <w:rsid w:val="00CD2E9F"/>
    <w:rsid w:val="00D02947"/>
    <w:rsid w:val="00D34931"/>
    <w:rsid w:val="00D37143"/>
    <w:rsid w:val="00D62EA5"/>
    <w:rsid w:val="00D67E9F"/>
    <w:rsid w:val="00D87457"/>
    <w:rsid w:val="00DC24F8"/>
    <w:rsid w:val="00DF35BF"/>
    <w:rsid w:val="00DF64C6"/>
    <w:rsid w:val="00E44C2E"/>
    <w:rsid w:val="00E453AC"/>
    <w:rsid w:val="00E479DE"/>
    <w:rsid w:val="00E54030"/>
    <w:rsid w:val="00E63590"/>
    <w:rsid w:val="00E734BB"/>
    <w:rsid w:val="00ED2F19"/>
    <w:rsid w:val="00EF4AC6"/>
    <w:rsid w:val="00F10932"/>
    <w:rsid w:val="00F36F51"/>
    <w:rsid w:val="00F734B9"/>
    <w:rsid w:val="00F81600"/>
    <w:rsid w:val="00FA5834"/>
    <w:rsid w:val="00FB2696"/>
    <w:rsid w:val="00FB5090"/>
    <w:rsid w:val="00FF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8700C"/>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18700C"/>
    <w:rPr>
      <w:rFonts w:ascii="Times New Roman" w:eastAsia="Times New Roman" w:hAnsi="Times New Roman" w:cs="Times New Roman"/>
      <w:b/>
      <w:sz w:val="24"/>
      <w:szCs w:val="20"/>
    </w:rPr>
  </w:style>
  <w:style w:type="paragraph" w:styleId="Footer">
    <w:name w:val="footer"/>
    <w:basedOn w:val="Normal"/>
    <w:link w:val="FooterChar"/>
    <w:uiPriority w:val="99"/>
    <w:unhideWhenUsed/>
    <w:rsid w:val="0018700C"/>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18700C"/>
    <w:rPr>
      <w:rFonts w:eastAsiaTheme="minorEastAsia"/>
    </w:rPr>
  </w:style>
  <w:style w:type="paragraph" w:styleId="ListParagraph">
    <w:name w:val="List Paragraph"/>
    <w:basedOn w:val="Normal"/>
    <w:uiPriority w:val="34"/>
    <w:qFormat/>
    <w:rsid w:val="0018700C"/>
    <w:pPr>
      <w:ind w:left="720"/>
      <w:contextualSpacing/>
    </w:pPr>
  </w:style>
  <w:style w:type="paragraph" w:styleId="FootnoteText">
    <w:name w:val="footnote text"/>
    <w:basedOn w:val="Normal"/>
    <w:link w:val="FootnoteTextChar"/>
    <w:uiPriority w:val="99"/>
    <w:semiHidden/>
    <w:unhideWhenUsed/>
    <w:rsid w:val="00A406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60F"/>
    <w:rPr>
      <w:sz w:val="20"/>
      <w:szCs w:val="20"/>
    </w:rPr>
  </w:style>
  <w:style w:type="character" w:styleId="FootnoteReference">
    <w:name w:val="footnote reference"/>
    <w:basedOn w:val="DefaultParagraphFont"/>
    <w:uiPriority w:val="99"/>
    <w:semiHidden/>
    <w:unhideWhenUsed/>
    <w:rsid w:val="00A4060F"/>
    <w:rPr>
      <w:vertAlign w:val="superscript"/>
    </w:rPr>
  </w:style>
  <w:style w:type="character" w:styleId="Hyperlink">
    <w:name w:val="Hyperlink"/>
    <w:basedOn w:val="DefaultParagraphFont"/>
    <w:uiPriority w:val="99"/>
    <w:semiHidden/>
    <w:unhideWhenUsed/>
    <w:rsid w:val="00086EFB"/>
    <w:rPr>
      <w:color w:val="0000FF"/>
      <w:u w:val="single"/>
    </w:rPr>
  </w:style>
  <w:style w:type="paragraph" w:styleId="Header">
    <w:name w:val="header"/>
    <w:basedOn w:val="Normal"/>
    <w:link w:val="HeaderChar"/>
    <w:uiPriority w:val="99"/>
    <w:unhideWhenUsed/>
    <w:rsid w:val="00C35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444"/>
  </w:style>
  <w:style w:type="paragraph" w:styleId="BalloonText">
    <w:name w:val="Balloon Text"/>
    <w:basedOn w:val="Normal"/>
    <w:link w:val="BalloonTextChar"/>
    <w:uiPriority w:val="99"/>
    <w:semiHidden/>
    <w:unhideWhenUsed/>
    <w:rsid w:val="00806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D44"/>
    <w:rPr>
      <w:rFonts w:ascii="Tahoma" w:hAnsi="Tahoma" w:cs="Tahoma"/>
      <w:sz w:val="16"/>
      <w:szCs w:val="16"/>
    </w:rPr>
  </w:style>
  <w:style w:type="character" w:styleId="CommentReference">
    <w:name w:val="annotation reference"/>
    <w:basedOn w:val="DefaultParagraphFont"/>
    <w:uiPriority w:val="99"/>
    <w:semiHidden/>
    <w:unhideWhenUsed/>
    <w:rsid w:val="003053C9"/>
    <w:rPr>
      <w:sz w:val="16"/>
      <w:szCs w:val="16"/>
    </w:rPr>
  </w:style>
  <w:style w:type="paragraph" w:styleId="CommentText">
    <w:name w:val="annotation text"/>
    <w:basedOn w:val="Normal"/>
    <w:link w:val="CommentTextChar"/>
    <w:uiPriority w:val="99"/>
    <w:semiHidden/>
    <w:unhideWhenUsed/>
    <w:rsid w:val="003053C9"/>
    <w:pPr>
      <w:spacing w:line="240" w:lineRule="auto"/>
    </w:pPr>
    <w:rPr>
      <w:sz w:val="20"/>
      <w:szCs w:val="20"/>
    </w:rPr>
  </w:style>
  <w:style w:type="character" w:customStyle="1" w:styleId="CommentTextChar">
    <w:name w:val="Comment Text Char"/>
    <w:basedOn w:val="DefaultParagraphFont"/>
    <w:link w:val="CommentText"/>
    <w:uiPriority w:val="99"/>
    <w:semiHidden/>
    <w:rsid w:val="003053C9"/>
    <w:rPr>
      <w:sz w:val="20"/>
      <w:szCs w:val="20"/>
    </w:rPr>
  </w:style>
  <w:style w:type="paragraph" w:styleId="CommentSubject">
    <w:name w:val="annotation subject"/>
    <w:basedOn w:val="CommentText"/>
    <w:next w:val="CommentText"/>
    <w:link w:val="CommentSubjectChar"/>
    <w:uiPriority w:val="99"/>
    <w:semiHidden/>
    <w:unhideWhenUsed/>
    <w:rsid w:val="003053C9"/>
    <w:rPr>
      <w:b/>
      <w:bCs/>
    </w:rPr>
  </w:style>
  <w:style w:type="character" w:customStyle="1" w:styleId="CommentSubjectChar">
    <w:name w:val="Comment Subject Char"/>
    <w:basedOn w:val="CommentTextChar"/>
    <w:link w:val="CommentSubject"/>
    <w:uiPriority w:val="99"/>
    <w:semiHidden/>
    <w:rsid w:val="003053C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8700C"/>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18700C"/>
    <w:rPr>
      <w:rFonts w:ascii="Times New Roman" w:eastAsia="Times New Roman" w:hAnsi="Times New Roman" w:cs="Times New Roman"/>
      <w:b/>
      <w:sz w:val="24"/>
      <w:szCs w:val="20"/>
    </w:rPr>
  </w:style>
  <w:style w:type="paragraph" w:styleId="Footer">
    <w:name w:val="footer"/>
    <w:basedOn w:val="Normal"/>
    <w:link w:val="FooterChar"/>
    <w:uiPriority w:val="99"/>
    <w:unhideWhenUsed/>
    <w:rsid w:val="0018700C"/>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18700C"/>
    <w:rPr>
      <w:rFonts w:eastAsiaTheme="minorEastAsia"/>
    </w:rPr>
  </w:style>
  <w:style w:type="paragraph" w:styleId="ListParagraph">
    <w:name w:val="List Paragraph"/>
    <w:basedOn w:val="Normal"/>
    <w:uiPriority w:val="34"/>
    <w:qFormat/>
    <w:rsid w:val="0018700C"/>
    <w:pPr>
      <w:ind w:left="720"/>
      <w:contextualSpacing/>
    </w:pPr>
  </w:style>
  <w:style w:type="paragraph" w:styleId="FootnoteText">
    <w:name w:val="footnote text"/>
    <w:basedOn w:val="Normal"/>
    <w:link w:val="FootnoteTextChar"/>
    <w:uiPriority w:val="99"/>
    <w:semiHidden/>
    <w:unhideWhenUsed/>
    <w:rsid w:val="00A406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60F"/>
    <w:rPr>
      <w:sz w:val="20"/>
      <w:szCs w:val="20"/>
    </w:rPr>
  </w:style>
  <w:style w:type="character" w:styleId="FootnoteReference">
    <w:name w:val="footnote reference"/>
    <w:basedOn w:val="DefaultParagraphFont"/>
    <w:uiPriority w:val="99"/>
    <w:semiHidden/>
    <w:unhideWhenUsed/>
    <w:rsid w:val="00A4060F"/>
    <w:rPr>
      <w:vertAlign w:val="superscript"/>
    </w:rPr>
  </w:style>
  <w:style w:type="character" w:styleId="Hyperlink">
    <w:name w:val="Hyperlink"/>
    <w:basedOn w:val="DefaultParagraphFont"/>
    <w:uiPriority w:val="99"/>
    <w:semiHidden/>
    <w:unhideWhenUsed/>
    <w:rsid w:val="00086EFB"/>
    <w:rPr>
      <w:color w:val="0000FF"/>
      <w:u w:val="single"/>
    </w:rPr>
  </w:style>
  <w:style w:type="paragraph" w:styleId="Header">
    <w:name w:val="header"/>
    <w:basedOn w:val="Normal"/>
    <w:link w:val="HeaderChar"/>
    <w:uiPriority w:val="99"/>
    <w:unhideWhenUsed/>
    <w:rsid w:val="00C35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444"/>
  </w:style>
  <w:style w:type="paragraph" w:styleId="BalloonText">
    <w:name w:val="Balloon Text"/>
    <w:basedOn w:val="Normal"/>
    <w:link w:val="BalloonTextChar"/>
    <w:uiPriority w:val="99"/>
    <w:semiHidden/>
    <w:unhideWhenUsed/>
    <w:rsid w:val="00806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D44"/>
    <w:rPr>
      <w:rFonts w:ascii="Tahoma" w:hAnsi="Tahoma" w:cs="Tahoma"/>
      <w:sz w:val="16"/>
      <w:szCs w:val="16"/>
    </w:rPr>
  </w:style>
  <w:style w:type="character" w:styleId="CommentReference">
    <w:name w:val="annotation reference"/>
    <w:basedOn w:val="DefaultParagraphFont"/>
    <w:uiPriority w:val="99"/>
    <w:semiHidden/>
    <w:unhideWhenUsed/>
    <w:rsid w:val="003053C9"/>
    <w:rPr>
      <w:sz w:val="16"/>
      <w:szCs w:val="16"/>
    </w:rPr>
  </w:style>
  <w:style w:type="paragraph" w:styleId="CommentText">
    <w:name w:val="annotation text"/>
    <w:basedOn w:val="Normal"/>
    <w:link w:val="CommentTextChar"/>
    <w:uiPriority w:val="99"/>
    <w:semiHidden/>
    <w:unhideWhenUsed/>
    <w:rsid w:val="003053C9"/>
    <w:pPr>
      <w:spacing w:line="240" w:lineRule="auto"/>
    </w:pPr>
    <w:rPr>
      <w:sz w:val="20"/>
      <w:szCs w:val="20"/>
    </w:rPr>
  </w:style>
  <w:style w:type="character" w:customStyle="1" w:styleId="CommentTextChar">
    <w:name w:val="Comment Text Char"/>
    <w:basedOn w:val="DefaultParagraphFont"/>
    <w:link w:val="CommentText"/>
    <w:uiPriority w:val="99"/>
    <w:semiHidden/>
    <w:rsid w:val="003053C9"/>
    <w:rPr>
      <w:sz w:val="20"/>
      <w:szCs w:val="20"/>
    </w:rPr>
  </w:style>
  <w:style w:type="paragraph" w:styleId="CommentSubject">
    <w:name w:val="annotation subject"/>
    <w:basedOn w:val="CommentText"/>
    <w:next w:val="CommentText"/>
    <w:link w:val="CommentSubjectChar"/>
    <w:uiPriority w:val="99"/>
    <w:semiHidden/>
    <w:unhideWhenUsed/>
    <w:rsid w:val="003053C9"/>
    <w:rPr>
      <w:b/>
      <w:bCs/>
    </w:rPr>
  </w:style>
  <w:style w:type="character" w:customStyle="1" w:styleId="CommentSubjectChar">
    <w:name w:val="Comment Subject Char"/>
    <w:basedOn w:val="CommentTextChar"/>
    <w:link w:val="CommentSubject"/>
    <w:uiPriority w:val="99"/>
    <w:semiHidden/>
    <w:rsid w:val="003053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research.stlouisfed.org/fred2/series/TXNGSP?cid=27326" TargetMode="External"/><Relationship Id="rId2" Type="http://schemas.openxmlformats.org/officeDocument/2006/relationships/hyperlink" Target="http://money.cnn.com/gallery/news/economy/2013/06/12/fastest-growing-states/2.html" TargetMode="External"/><Relationship Id="rId1" Type="http://schemas.openxmlformats.org/officeDocument/2006/relationships/hyperlink" Target="http://www.puco.ohio.gov/puco/?LinkServID=07ECCC22-E8B3-39E3-D6243E2482FA17CF" TargetMode="External"/><Relationship Id="rId5" Type="http://schemas.openxmlformats.org/officeDocument/2006/relationships/hyperlink" Target="http://www.treia.org/assets/documents/reports-and-studies/puc.scopeofcompetitionreport2011.elec.pdf" TargetMode="External"/><Relationship Id="rId4" Type="http://schemas.openxmlformats.org/officeDocument/2006/relationships/hyperlink" Target="http://www.eia.gov/electricity/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9A0F8-6F45-4822-ACCF-843FDB899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2316</Words>
  <Characters>13203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IMAGE</cp:lastModifiedBy>
  <cp:revision>2</cp:revision>
  <cp:lastPrinted>2013-07-22T18:40:00Z</cp:lastPrinted>
  <dcterms:created xsi:type="dcterms:W3CDTF">2013-07-22T18:52:00Z</dcterms:created>
  <dcterms:modified xsi:type="dcterms:W3CDTF">2013-07-22T18:52:00Z</dcterms:modified>
</cp:coreProperties>
</file>