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BEFORE</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rPr>
          <w:rFonts w:ascii="Times New Roman" w:hAnsi="Times New Roman" w:cs="Times New Roman"/>
          <w:sz w:val="26"/>
          <w:szCs w:val="26"/>
        </w:rPr>
      </w:pPr>
    </w:p>
    <w:tbl>
      <w:tblPr>
        <w:tblW w:w="8762" w:type="dxa"/>
        <w:tblLook w:val="04A0" w:firstRow="1" w:lastRow="0" w:firstColumn="1" w:lastColumn="0" w:noHBand="0" w:noVBand="1"/>
      </w:tblPr>
      <w:tblGrid>
        <w:gridCol w:w="4518"/>
        <w:gridCol w:w="360"/>
        <w:gridCol w:w="3884"/>
      </w:tblGrid>
      <w:tr w:rsidR="00933CA6" w:rsidRPr="00933CA6" w:rsidTr="00933CA6">
        <w:tc>
          <w:tcPr>
            <w:tcW w:w="4518" w:type="dxa"/>
            <w:shd w:val="clear" w:color="auto" w:fill="auto"/>
          </w:tcPr>
          <w:p w:rsidR="00933CA6" w:rsidRPr="00E45456" w:rsidRDefault="00933CA6" w:rsidP="00E45456">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the Establishment of a Charge Pursuant to Revised Code Section 4909.18.</w:t>
            </w:r>
          </w:p>
        </w:tc>
        <w:tc>
          <w:tcPr>
            <w:tcW w:w="360" w:type="dxa"/>
          </w:tcPr>
          <w:p w:rsidR="00933CA6" w:rsidRPr="00933CA6" w:rsidRDefault="00933CA6" w:rsidP="00933CA6">
            <w:pPr>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933CA6" w:rsidRPr="00933CA6" w:rsidRDefault="00933CA6" w:rsidP="00933CA6">
            <w:pPr>
              <w:spacing w:after="0" w:line="240" w:lineRule="auto"/>
              <w:ind w:left="-288"/>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12-2400-EL-UNC</w:t>
            </w:r>
          </w:p>
        </w:tc>
      </w:tr>
      <w:tr w:rsidR="00933CA6" w:rsidRPr="00933CA6" w:rsidTr="00933CA6">
        <w:tc>
          <w:tcPr>
            <w:tcW w:w="4518" w:type="dxa"/>
            <w:shd w:val="clear" w:color="auto" w:fill="auto"/>
          </w:tcPr>
          <w:p w:rsidR="00933CA6" w:rsidRPr="00E45456" w:rsidRDefault="00933CA6" w:rsidP="00E45456">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Approval to Change Certain Accounting Methods.</w:t>
            </w:r>
          </w:p>
          <w:p w:rsidR="00933CA6" w:rsidRPr="00E45456" w:rsidRDefault="00933CA6" w:rsidP="00E45456">
            <w:pPr>
              <w:pStyle w:val="NoSpacing"/>
              <w:rPr>
                <w:rFonts w:ascii="Times New Roman" w:hAnsi="Times New Roman" w:cs="Times New Roman"/>
                <w:sz w:val="26"/>
                <w:szCs w:val="26"/>
              </w:rPr>
            </w:pPr>
          </w:p>
          <w:p w:rsidR="00933CA6" w:rsidRPr="00E45456" w:rsidRDefault="00933CA6" w:rsidP="00E45456">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the Approval of a Tariff for New Service.</w:t>
            </w:r>
          </w:p>
        </w:tc>
        <w:tc>
          <w:tcPr>
            <w:tcW w:w="360" w:type="dxa"/>
          </w:tcPr>
          <w:p w:rsidR="00933CA6" w:rsidRPr="00933CA6" w:rsidRDefault="00933CA6" w:rsidP="00933CA6">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p w:rsidR="00933CA6" w:rsidRPr="00933CA6" w:rsidRDefault="00933CA6" w:rsidP="00933CA6">
            <w:pPr>
              <w:spacing w:after="0" w:line="240" w:lineRule="auto"/>
              <w:rPr>
                <w:rFonts w:ascii="Times New Roman" w:hAnsi="Times New Roman" w:cs="Times New Roman"/>
                <w:sz w:val="26"/>
                <w:szCs w:val="26"/>
              </w:rPr>
            </w:pPr>
          </w:p>
          <w:p w:rsidR="00933CA6" w:rsidRPr="00933CA6" w:rsidRDefault="00933CA6" w:rsidP="00933CA6">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933CA6" w:rsidRPr="00933CA6" w:rsidRDefault="00933CA6" w:rsidP="00933CA6">
            <w:pPr>
              <w:spacing w:after="0" w:line="240" w:lineRule="auto"/>
              <w:ind w:left="-288"/>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12-2401-EL-AAM</w:t>
            </w: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12-2402-EL-ATA</w:t>
            </w:r>
          </w:p>
        </w:tc>
      </w:tr>
    </w:tbl>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933CA6" w:rsidRPr="00933CA6" w:rsidRDefault="00933CA6" w:rsidP="00933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INITIAL </w:t>
      </w:r>
      <w:r w:rsidRPr="00933CA6">
        <w:rPr>
          <w:rFonts w:ascii="Times New Roman" w:hAnsi="Times New Roman" w:cs="Times New Roman"/>
          <w:b/>
          <w:sz w:val="28"/>
          <w:szCs w:val="28"/>
        </w:rPr>
        <w:t xml:space="preserve">COMMENTS </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SUBMITTED ON BEHALF OF THE STAFF OF</w:t>
      </w:r>
    </w:p>
    <w:p w:rsidR="00933CA6" w:rsidRPr="00933CA6" w:rsidRDefault="00933CA6" w:rsidP="00933CA6">
      <w:pPr>
        <w:spacing w:after="0" w:line="240" w:lineRule="auto"/>
        <w:jc w:val="center"/>
        <w:rPr>
          <w:rFonts w:ascii="Times New Roman" w:hAnsi="Times New Roman" w:cs="Times New Roman"/>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933CA6" w:rsidRPr="00933CA6" w:rsidRDefault="00933CA6" w:rsidP="00933CA6">
      <w:pPr>
        <w:spacing w:after="0" w:line="240" w:lineRule="auto"/>
        <w:ind w:left="4320"/>
        <w:rPr>
          <w:rFonts w:ascii="Times New Roman" w:hAnsi="Times New Roman"/>
          <w:b/>
          <w:sz w:val="26"/>
          <w:szCs w:val="26"/>
        </w:rPr>
      </w:pPr>
      <w:r w:rsidRPr="00933CA6">
        <w:rPr>
          <w:rFonts w:ascii="Times New Roman" w:hAnsi="Times New Roman"/>
          <w:b/>
          <w:sz w:val="26"/>
          <w:szCs w:val="26"/>
        </w:rPr>
        <w:t xml:space="preserve">Michael DeWine </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Ohio Attorney General</w:t>
      </w:r>
    </w:p>
    <w:p w:rsidR="00933CA6" w:rsidRPr="00933CA6" w:rsidRDefault="00933CA6" w:rsidP="00933CA6">
      <w:pPr>
        <w:spacing w:after="0" w:line="240" w:lineRule="auto"/>
        <w:ind w:left="4320"/>
        <w:rPr>
          <w:rFonts w:ascii="Times New Roman" w:hAnsi="Times New Roman"/>
          <w:sz w:val="26"/>
          <w:szCs w:val="26"/>
        </w:rPr>
      </w:pP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b/>
          <w:sz w:val="26"/>
          <w:szCs w:val="26"/>
        </w:rPr>
        <w:t>William L. Wright</w:t>
      </w:r>
    </w:p>
    <w:p w:rsidR="00933CA6" w:rsidRPr="00933CA6" w:rsidRDefault="00933CA6" w:rsidP="00933CA6">
      <w:pPr>
        <w:spacing w:after="0" w:line="240" w:lineRule="auto"/>
        <w:ind w:left="4320"/>
        <w:rPr>
          <w:rFonts w:ascii="Times New Roman" w:hAnsi="Times New Roman"/>
          <w:b/>
          <w:sz w:val="26"/>
          <w:szCs w:val="26"/>
        </w:rPr>
      </w:pPr>
      <w:r w:rsidRPr="00933CA6">
        <w:rPr>
          <w:rFonts w:ascii="Times New Roman" w:hAnsi="Times New Roman"/>
          <w:sz w:val="26"/>
          <w:szCs w:val="26"/>
        </w:rPr>
        <w:t>Section Chief</w:t>
      </w:r>
    </w:p>
    <w:p w:rsidR="00933CA6" w:rsidRPr="00933CA6" w:rsidRDefault="00933CA6" w:rsidP="00933CA6">
      <w:pPr>
        <w:spacing w:after="0" w:line="240" w:lineRule="auto"/>
        <w:ind w:left="4320"/>
        <w:rPr>
          <w:rFonts w:ascii="Times New Roman" w:hAnsi="Times New Roman"/>
          <w:sz w:val="26"/>
          <w:szCs w:val="26"/>
        </w:rPr>
      </w:pPr>
    </w:p>
    <w:p w:rsidR="00933CA6" w:rsidRDefault="00933CA6" w:rsidP="00933CA6">
      <w:pPr>
        <w:spacing w:after="0" w:line="240" w:lineRule="auto"/>
        <w:ind w:left="4320"/>
        <w:rPr>
          <w:rFonts w:ascii="Times New Roman" w:hAnsi="Times New Roman"/>
          <w:b/>
          <w:sz w:val="26"/>
          <w:szCs w:val="26"/>
        </w:rPr>
      </w:pPr>
      <w:r w:rsidRPr="00933CA6">
        <w:rPr>
          <w:rFonts w:ascii="Times New Roman" w:hAnsi="Times New Roman"/>
          <w:b/>
          <w:sz w:val="26"/>
          <w:szCs w:val="26"/>
        </w:rPr>
        <w:t>Steven L. Beeler</w:t>
      </w:r>
    </w:p>
    <w:p w:rsidR="00933CA6" w:rsidRPr="00933CA6" w:rsidRDefault="00933CA6" w:rsidP="00933CA6">
      <w:pPr>
        <w:spacing w:after="0" w:line="240" w:lineRule="auto"/>
        <w:ind w:left="4320"/>
        <w:rPr>
          <w:rFonts w:ascii="Times New Roman" w:hAnsi="Times New Roman"/>
          <w:b/>
          <w:sz w:val="26"/>
          <w:szCs w:val="26"/>
        </w:rPr>
      </w:pPr>
      <w:r>
        <w:rPr>
          <w:rFonts w:ascii="Times New Roman" w:hAnsi="Times New Roman"/>
          <w:b/>
          <w:sz w:val="26"/>
          <w:szCs w:val="26"/>
        </w:rPr>
        <w:t>John H. Jones</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Assistant Attorney</w:t>
      </w:r>
      <w:r>
        <w:rPr>
          <w:rFonts w:ascii="Times New Roman" w:hAnsi="Times New Roman"/>
          <w:sz w:val="26"/>
          <w:szCs w:val="26"/>
        </w:rPr>
        <w:t>s</w:t>
      </w:r>
      <w:r w:rsidRPr="00933CA6">
        <w:rPr>
          <w:rFonts w:ascii="Times New Roman" w:hAnsi="Times New Roman"/>
          <w:sz w:val="26"/>
          <w:szCs w:val="26"/>
        </w:rPr>
        <w:t xml:space="preserve"> General</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Public Utilities Section</w:t>
      </w:r>
    </w:p>
    <w:p w:rsidR="00933CA6" w:rsidRPr="00933CA6" w:rsidRDefault="00933CA6" w:rsidP="00933CA6">
      <w:pPr>
        <w:spacing w:after="0" w:line="240" w:lineRule="auto"/>
        <w:ind w:left="4320"/>
        <w:rPr>
          <w:rFonts w:ascii="Times New Roman" w:hAnsi="Times New Roman"/>
          <w:sz w:val="26"/>
          <w:szCs w:val="26"/>
        </w:rPr>
      </w:pPr>
      <w:proofErr w:type="gramStart"/>
      <w:r w:rsidRPr="00933CA6">
        <w:rPr>
          <w:rFonts w:ascii="Times New Roman" w:hAnsi="Times New Roman"/>
          <w:sz w:val="26"/>
          <w:szCs w:val="26"/>
        </w:rPr>
        <w:t>180 East Broad Street, 6</w:t>
      </w:r>
      <w:r w:rsidRPr="00933CA6">
        <w:rPr>
          <w:rFonts w:ascii="Times New Roman" w:hAnsi="Times New Roman"/>
          <w:sz w:val="26"/>
          <w:szCs w:val="26"/>
          <w:vertAlign w:val="superscript"/>
        </w:rPr>
        <w:t>th</w:t>
      </w:r>
      <w:r w:rsidRPr="00933CA6">
        <w:rPr>
          <w:rFonts w:ascii="Times New Roman" w:hAnsi="Times New Roman"/>
          <w:sz w:val="26"/>
          <w:szCs w:val="26"/>
        </w:rPr>
        <w:t xml:space="preserve"> Fl.</w:t>
      </w:r>
      <w:proofErr w:type="gramEnd"/>
      <w:r w:rsidRPr="00933CA6">
        <w:rPr>
          <w:rFonts w:ascii="Times New Roman" w:hAnsi="Times New Roman"/>
          <w:sz w:val="26"/>
          <w:szCs w:val="26"/>
        </w:rPr>
        <w:t xml:space="preserve"> </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Columbus, OH  43215</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614.466.4395 (telephone)</w:t>
      </w:r>
    </w:p>
    <w:p w:rsidR="00933CA6" w:rsidRPr="00933CA6" w:rsidRDefault="00933CA6" w:rsidP="00933CA6">
      <w:pPr>
        <w:spacing w:after="0" w:line="240" w:lineRule="auto"/>
        <w:ind w:left="4320"/>
        <w:jc w:val="both"/>
        <w:rPr>
          <w:rFonts w:ascii="Times New Roman" w:hAnsi="Times New Roman" w:cs="Times New Roman"/>
          <w:sz w:val="26"/>
          <w:szCs w:val="26"/>
        </w:rPr>
      </w:pPr>
      <w:r w:rsidRPr="00933CA6">
        <w:rPr>
          <w:rFonts w:ascii="Times New Roman" w:hAnsi="Times New Roman" w:cs="Times New Roman"/>
          <w:sz w:val="26"/>
          <w:szCs w:val="26"/>
        </w:rPr>
        <w:t>614.644.8764 (fax)</w:t>
      </w:r>
    </w:p>
    <w:p w:rsidR="00933CA6" w:rsidRDefault="00B639BD" w:rsidP="00933CA6">
      <w:pPr>
        <w:spacing w:after="0" w:line="240" w:lineRule="auto"/>
        <w:ind w:left="4320"/>
        <w:jc w:val="both"/>
        <w:rPr>
          <w:rFonts w:ascii="Times New Roman" w:hAnsi="Times New Roman" w:cs="Times New Roman"/>
          <w:color w:val="0000FF"/>
          <w:sz w:val="26"/>
          <w:szCs w:val="26"/>
          <w:u w:val="single"/>
        </w:rPr>
      </w:pPr>
      <w:hyperlink r:id="rId9" w:history="1">
        <w:r w:rsidR="00933CA6" w:rsidRPr="00933CA6">
          <w:rPr>
            <w:rFonts w:ascii="Times New Roman" w:hAnsi="Times New Roman" w:cs="Times New Roman"/>
            <w:color w:val="0000FF"/>
            <w:sz w:val="26"/>
            <w:szCs w:val="26"/>
            <w:u w:val="single"/>
          </w:rPr>
          <w:t>steven.beeler@puc.state.oh.us</w:t>
        </w:r>
      </w:hyperlink>
    </w:p>
    <w:p w:rsidR="00933CA6" w:rsidRPr="00933CA6" w:rsidRDefault="00933CA6" w:rsidP="00933CA6">
      <w:pPr>
        <w:spacing w:after="0" w:line="240" w:lineRule="auto"/>
        <w:ind w:left="4320"/>
        <w:jc w:val="both"/>
        <w:rPr>
          <w:rFonts w:ascii="Times New Roman" w:hAnsi="Times New Roman" w:cs="Times New Roman"/>
          <w:color w:val="0000FF"/>
          <w:sz w:val="26"/>
          <w:szCs w:val="26"/>
          <w:u w:val="single"/>
        </w:rPr>
      </w:pPr>
      <w:r>
        <w:rPr>
          <w:rFonts w:ascii="Times New Roman" w:hAnsi="Times New Roman" w:cs="Times New Roman"/>
          <w:color w:val="0000FF"/>
          <w:sz w:val="26"/>
          <w:szCs w:val="26"/>
          <w:u w:val="single"/>
        </w:rPr>
        <w:t>john.jones@puc.state.oh.us</w:t>
      </w:r>
    </w:p>
    <w:p w:rsidR="00933CA6" w:rsidRPr="00933CA6" w:rsidRDefault="00933CA6" w:rsidP="00933CA6">
      <w:pPr>
        <w:spacing w:after="0" w:line="240" w:lineRule="auto"/>
        <w:jc w:val="both"/>
        <w:rPr>
          <w:rFonts w:ascii="Times New Roman" w:hAnsi="Times New Roman" w:cs="Times New Roman"/>
          <w:color w:val="0000FF"/>
          <w:sz w:val="26"/>
          <w:szCs w:val="26"/>
          <w:u w:val="single"/>
        </w:rPr>
      </w:pPr>
    </w:p>
    <w:p w:rsidR="00933CA6" w:rsidRPr="00933CA6" w:rsidRDefault="00632F5A" w:rsidP="00933CA6">
      <w:pPr>
        <w:jc w:val="both"/>
        <w:rPr>
          <w:rFonts w:ascii="Times New Roman" w:hAnsi="Times New Roman" w:cs="Times New Roman"/>
          <w:sz w:val="26"/>
          <w:szCs w:val="26"/>
        </w:rPr>
      </w:pPr>
      <w:r>
        <w:rPr>
          <w:rFonts w:ascii="Times New Roman" w:hAnsi="Times New Roman" w:cs="Times New Roman"/>
          <w:sz w:val="26"/>
          <w:szCs w:val="26"/>
        </w:rPr>
        <w:t>Date Submitted: January 2, 2013</w:t>
      </w:r>
    </w:p>
    <w:p w:rsidR="00933CA6" w:rsidRPr="00933CA6" w:rsidRDefault="00933CA6" w:rsidP="00933CA6">
      <w:pPr>
        <w:rPr>
          <w:rFonts w:ascii="Times New Roman" w:hAnsi="Times New Roman" w:cs="Times New Roman"/>
          <w:sz w:val="26"/>
          <w:szCs w:val="26"/>
        </w:rPr>
        <w:sectPr w:rsidR="00933CA6" w:rsidRPr="00933CA6" w:rsidSect="00933CA6">
          <w:footerReference w:type="default" r:id="rId10"/>
          <w:headerReference w:type="first" r:id="rId11"/>
          <w:pgSz w:w="12240" w:h="15840"/>
          <w:pgMar w:top="1440" w:right="1440" w:bottom="1440" w:left="1440" w:header="720" w:footer="720" w:gutter="0"/>
          <w:cols w:space="720"/>
          <w:titlePg/>
          <w:docGrid w:linePitch="360"/>
        </w:sectPr>
      </w:pPr>
    </w:p>
    <w:p w:rsidR="00F60FAA" w:rsidRDefault="00F60FAA" w:rsidP="00DD0DDD">
      <w:pPr>
        <w:pStyle w:val="TOC1"/>
        <w:rPr>
          <w:rFonts w:eastAsiaTheme="minorEastAsia"/>
        </w:rPr>
      </w:pPr>
      <w:r>
        <w:rPr>
          <w:rFonts w:cs="Times New Roman"/>
          <w:b/>
          <w:szCs w:val="26"/>
        </w:rPr>
        <w:lastRenderedPageBreak/>
        <w:fldChar w:fldCharType="begin"/>
      </w:r>
      <w:r>
        <w:rPr>
          <w:rFonts w:cs="Times New Roman"/>
          <w:b/>
          <w:szCs w:val="26"/>
        </w:rPr>
        <w:instrText xml:space="preserve"> TOC \o "1-3" \u </w:instrText>
      </w:r>
      <w:r>
        <w:rPr>
          <w:rFonts w:cs="Times New Roman"/>
          <w:b/>
          <w:szCs w:val="26"/>
        </w:rPr>
        <w:fldChar w:fldCharType="separate"/>
      </w:r>
      <w:r>
        <w:t>I.</w:t>
      </w:r>
      <w:r>
        <w:rPr>
          <w:rFonts w:eastAsiaTheme="minorEastAsia"/>
        </w:rPr>
        <w:tab/>
      </w:r>
      <w:r>
        <w:t>INTRODUCTION</w:t>
      </w:r>
      <w:r>
        <w:tab/>
      </w:r>
      <w:r>
        <w:fldChar w:fldCharType="begin"/>
      </w:r>
      <w:r>
        <w:instrText xml:space="preserve"> PAGEREF _Toc343779865 \h </w:instrText>
      </w:r>
      <w:r>
        <w:fldChar w:fldCharType="separate"/>
      </w:r>
      <w:r>
        <w:t>2</w:t>
      </w:r>
      <w:r>
        <w:fldChar w:fldCharType="end"/>
      </w:r>
    </w:p>
    <w:p w:rsidR="00F60FAA" w:rsidRDefault="00F60FAA" w:rsidP="00DD0DDD">
      <w:pPr>
        <w:pStyle w:val="TOC1"/>
        <w:rPr>
          <w:rFonts w:eastAsiaTheme="minorEastAsia"/>
        </w:rPr>
      </w:pPr>
      <w:r>
        <w:t>II.</w:t>
      </w:r>
      <w:r>
        <w:rPr>
          <w:rFonts w:eastAsiaTheme="minorEastAsia"/>
        </w:rPr>
        <w:tab/>
      </w:r>
      <w:r>
        <w:t>BACKGROUND AND RELATED CASES</w:t>
      </w:r>
      <w:r>
        <w:tab/>
      </w:r>
      <w:r>
        <w:fldChar w:fldCharType="begin"/>
      </w:r>
      <w:r>
        <w:instrText xml:space="preserve"> PAGEREF _Toc343779866 \h </w:instrText>
      </w:r>
      <w:r>
        <w:fldChar w:fldCharType="separate"/>
      </w:r>
      <w:r>
        <w:t>3</w:t>
      </w:r>
      <w:r>
        <w:fldChar w:fldCharType="end"/>
      </w:r>
    </w:p>
    <w:p w:rsidR="00F60FAA" w:rsidRDefault="00F60FAA" w:rsidP="00F60FAA">
      <w:pPr>
        <w:pStyle w:val="TOC2"/>
        <w:rPr>
          <w:rFonts w:eastAsiaTheme="minorEastAsia"/>
          <w:noProof/>
        </w:rPr>
      </w:pPr>
      <w:r>
        <w:rPr>
          <w:noProof/>
        </w:rPr>
        <w:t>A.</w:t>
      </w:r>
      <w:r>
        <w:rPr>
          <w:rFonts w:eastAsiaTheme="minorEastAsia"/>
          <w:noProof/>
        </w:rPr>
        <w:tab/>
      </w:r>
      <w:r>
        <w:rPr>
          <w:noProof/>
        </w:rPr>
        <w:t>Duke’s Current Application</w:t>
      </w:r>
      <w:r>
        <w:rPr>
          <w:noProof/>
        </w:rPr>
        <w:tab/>
      </w:r>
      <w:r>
        <w:rPr>
          <w:noProof/>
        </w:rPr>
        <w:fldChar w:fldCharType="begin"/>
      </w:r>
      <w:r>
        <w:rPr>
          <w:noProof/>
        </w:rPr>
        <w:instrText xml:space="preserve"> PAGEREF _Toc343779867 \h </w:instrText>
      </w:r>
      <w:r>
        <w:rPr>
          <w:noProof/>
        </w:rPr>
      </w:r>
      <w:r>
        <w:rPr>
          <w:noProof/>
        </w:rPr>
        <w:fldChar w:fldCharType="separate"/>
      </w:r>
      <w:r>
        <w:rPr>
          <w:noProof/>
        </w:rPr>
        <w:t>3</w:t>
      </w:r>
      <w:r>
        <w:rPr>
          <w:noProof/>
        </w:rPr>
        <w:fldChar w:fldCharType="end"/>
      </w:r>
    </w:p>
    <w:p w:rsidR="00F60FAA" w:rsidRDefault="00F60FAA" w:rsidP="00F60FAA">
      <w:pPr>
        <w:pStyle w:val="TOC2"/>
        <w:rPr>
          <w:rFonts w:eastAsiaTheme="minorEastAsia"/>
          <w:noProof/>
        </w:rPr>
      </w:pPr>
      <w:r>
        <w:rPr>
          <w:noProof/>
        </w:rPr>
        <w:t>B.</w:t>
      </w:r>
      <w:r>
        <w:rPr>
          <w:rFonts w:eastAsiaTheme="minorEastAsia"/>
          <w:noProof/>
        </w:rPr>
        <w:tab/>
      </w:r>
      <w:r>
        <w:rPr>
          <w:noProof/>
        </w:rPr>
        <w:t>Duke’s 2011 ESP Stipulation</w:t>
      </w:r>
      <w:r>
        <w:rPr>
          <w:noProof/>
        </w:rPr>
        <w:tab/>
      </w:r>
      <w:r>
        <w:rPr>
          <w:noProof/>
        </w:rPr>
        <w:fldChar w:fldCharType="begin"/>
      </w:r>
      <w:r>
        <w:rPr>
          <w:noProof/>
        </w:rPr>
        <w:instrText xml:space="preserve"> PAGEREF _Toc343779868 \h </w:instrText>
      </w:r>
      <w:r>
        <w:rPr>
          <w:noProof/>
        </w:rPr>
      </w:r>
      <w:r>
        <w:rPr>
          <w:noProof/>
        </w:rPr>
        <w:fldChar w:fldCharType="separate"/>
      </w:r>
      <w:r>
        <w:rPr>
          <w:noProof/>
        </w:rPr>
        <w:t>4</w:t>
      </w:r>
      <w:r>
        <w:rPr>
          <w:noProof/>
        </w:rPr>
        <w:fldChar w:fldCharType="end"/>
      </w:r>
    </w:p>
    <w:p w:rsidR="00F60FAA" w:rsidRDefault="00F60FAA" w:rsidP="00F60FAA">
      <w:pPr>
        <w:pStyle w:val="TOC2"/>
        <w:rPr>
          <w:rFonts w:eastAsiaTheme="minorEastAsia"/>
          <w:noProof/>
        </w:rPr>
      </w:pPr>
      <w:r>
        <w:rPr>
          <w:noProof/>
        </w:rPr>
        <w:t>C.</w:t>
      </w:r>
      <w:r>
        <w:rPr>
          <w:rFonts w:eastAsiaTheme="minorEastAsia"/>
          <w:noProof/>
        </w:rPr>
        <w:tab/>
      </w:r>
      <w:r>
        <w:rPr>
          <w:noProof/>
        </w:rPr>
        <w:t>Duke’s 2011 Transmission Case Stipulation</w:t>
      </w:r>
      <w:r>
        <w:rPr>
          <w:noProof/>
        </w:rPr>
        <w:tab/>
      </w:r>
      <w:r>
        <w:rPr>
          <w:noProof/>
        </w:rPr>
        <w:fldChar w:fldCharType="begin"/>
      </w:r>
      <w:r>
        <w:rPr>
          <w:noProof/>
        </w:rPr>
        <w:instrText xml:space="preserve"> PAGEREF _Toc343779869 \h </w:instrText>
      </w:r>
      <w:r>
        <w:rPr>
          <w:noProof/>
        </w:rPr>
      </w:r>
      <w:r>
        <w:rPr>
          <w:noProof/>
        </w:rPr>
        <w:fldChar w:fldCharType="separate"/>
      </w:r>
      <w:r>
        <w:rPr>
          <w:noProof/>
        </w:rPr>
        <w:t>6</w:t>
      </w:r>
      <w:r>
        <w:rPr>
          <w:noProof/>
        </w:rPr>
        <w:fldChar w:fldCharType="end"/>
      </w:r>
    </w:p>
    <w:p w:rsidR="00F60FAA" w:rsidRDefault="00F60FAA" w:rsidP="00F60FAA">
      <w:pPr>
        <w:pStyle w:val="TOC2"/>
        <w:rPr>
          <w:rFonts w:eastAsiaTheme="minorEastAsia"/>
          <w:noProof/>
        </w:rPr>
      </w:pPr>
      <w:r>
        <w:rPr>
          <w:noProof/>
        </w:rPr>
        <w:t>D.</w:t>
      </w:r>
      <w:r>
        <w:rPr>
          <w:rFonts w:eastAsiaTheme="minorEastAsia"/>
          <w:noProof/>
        </w:rPr>
        <w:tab/>
      </w:r>
      <w:r>
        <w:rPr>
          <w:noProof/>
        </w:rPr>
        <w:t>AEP’s Capacity and ESP Cases</w:t>
      </w:r>
      <w:r>
        <w:rPr>
          <w:noProof/>
        </w:rPr>
        <w:tab/>
      </w:r>
      <w:r>
        <w:rPr>
          <w:noProof/>
        </w:rPr>
        <w:fldChar w:fldCharType="begin"/>
      </w:r>
      <w:r>
        <w:rPr>
          <w:noProof/>
        </w:rPr>
        <w:instrText xml:space="preserve"> PAGEREF _Toc343779870 \h </w:instrText>
      </w:r>
      <w:r>
        <w:rPr>
          <w:noProof/>
        </w:rPr>
      </w:r>
      <w:r>
        <w:rPr>
          <w:noProof/>
        </w:rPr>
        <w:fldChar w:fldCharType="separate"/>
      </w:r>
      <w:r>
        <w:rPr>
          <w:noProof/>
        </w:rPr>
        <w:t>7</w:t>
      </w:r>
      <w:r>
        <w:rPr>
          <w:noProof/>
        </w:rPr>
        <w:fldChar w:fldCharType="end"/>
      </w:r>
    </w:p>
    <w:p w:rsidR="00F60FAA" w:rsidRDefault="00F60FAA" w:rsidP="00F60FAA">
      <w:pPr>
        <w:pStyle w:val="TOC2"/>
        <w:rPr>
          <w:rFonts w:eastAsiaTheme="minorEastAsia"/>
          <w:noProof/>
        </w:rPr>
      </w:pPr>
      <w:r>
        <w:rPr>
          <w:noProof/>
        </w:rPr>
        <w:t>E.</w:t>
      </w:r>
      <w:r>
        <w:rPr>
          <w:rFonts w:eastAsiaTheme="minorEastAsia"/>
          <w:noProof/>
        </w:rPr>
        <w:tab/>
      </w:r>
      <w:r>
        <w:rPr>
          <w:noProof/>
        </w:rPr>
        <w:t>Summary</w:t>
      </w:r>
      <w:r>
        <w:rPr>
          <w:noProof/>
        </w:rPr>
        <w:tab/>
      </w:r>
      <w:r>
        <w:rPr>
          <w:noProof/>
        </w:rPr>
        <w:fldChar w:fldCharType="begin"/>
      </w:r>
      <w:r>
        <w:rPr>
          <w:noProof/>
        </w:rPr>
        <w:instrText xml:space="preserve"> PAGEREF _Toc343779871 \h </w:instrText>
      </w:r>
      <w:r>
        <w:rPr>
          <w:noProof/>
        </w:rPr>
      </w:r>
      <w:r>
        <w:rPr>
          <w:noProof/>
        </w:rPr>
        <w:fldChar w:fldCharType="separate"/>
      </w:r>
      <w:r>
        <w:rPr>
          <w:noProof/>
        </w:rPr>
        <w:t>8</w:t>
      </w:r>
      <w:r>
        <w:rPr>
          <w:noProof/>
        </w:rPr>
        <w:fldChar w:fldCharType="end"/>
      </w:r>
    </w:p>
    <w:p w:rsidR="00F60FAA" w:rsidRDefault="00F60FAA">
      <w:pPr>
        <w:pStyle w:val="TOC1"/>
        <w:rPr>
          <w:rFonts w:eastAsiaTheme="minorEastAsia"/>
        </w:rPr>
      </w:pPr>
      <w:r>
        <w:t xml:space="preserve">II. </w:t>
      </w:r>
      <w:r>
        <w:rPr>
          <w:rFonts w:eastAsiaTheme="minorEastAsia"/>
        </w:rPr>
        <w:tab/>
      </w:r>
      <w:r>
        <w:t>ARGUMENT</w:t>
      </w:r>
      <w:r>
        <w:tab/>
      </w:r>
      <w:r>
        <w:fldChar w:fldCharType="begin"/>
      </w:r>
      <w:r>
        <w:instrText xml:space="preserve"> PAGEREF _Toc343779872 \h </w:instrText>
      </w:r>
      <w:r>
        <w:fldChar w:fldCharType="separate"/>
      </w:r>
      <w:r>
        <w:t>9</w:t>
      </w:r>
      <w:r>
        <w:fldChar w:fldCharType="end"/>
      </w:r>
    </w:p>
    <w:p w:rsidR="00F60FAA" w:rsidRDefault="00F60FAA" w:rsidP="00F60FAA">
      <w:pPr>
        <w:pStyle w:val="TOC2"/>
        <w:rPr>
          <w:rFonts w:eastAsiaTheme="minorEastAsia"/>
          <w:noProof/>
        </w:rPr>
      </w:pPr>
      <w:r>
        <w:rPr>
          <w:noProof/>
        </w:rPr>
        <w:t>A.</w:t>
      </w:r>
      <w:r>
        <w:rPr>
          <w:rFonts w:eastAsiaTheme="minorEastAsia"/>
          <w:noProof/>
        </w:rPr>
        <w:tab/>
      </w:r>
      <w:r>
        <w:rPr>
          <w:noProof/>
        </w:rPr>
        <w:t>Duke’s Application ignores to the ESP Stipulation by asking the Commission to ignore the capacity pricing terms of the Stipulation in favor of a cost-based capacity charge.</w:t>
      </w:r>
      <w:r>
        <w:rPr>
          <w:noProof/>
        </w:rPr>
        <w:tab/>
      </w:r>
      <w:r>
        <w:rPr>
          <w:noProof/>
        </w:rPr>
        <w:fldChar w:fldCharType="begin"/>
      </w:r>
      <w:r>
        <w:rPr>
          <w:noProof/>
        </w:rPr>
        <w:instrText xml:space="preserve"> PAGEREF _Toc343779873 \h </w:instrText>
      </w:r>
      <w:r>
        <w:rPr>
          <w:noProof/>
        </w:rPr>
      </w:r>
      <w:r>
        <w:rPr>
          <w:noProof/>
        </w:rPr>
        <w:fldChar w:fldCharType="separate"/>
      </w:r>
      <w:r>
        <w:rPr>
          <w:noProof/>
        </w:rPr>
        <w:t>9</w:t>
      </w:r>
      <w:r>
        <w:rPr>
          <w:noProof/>
        </w:rPr>
        <w:fldChar w:fldCharType="end"/>
      </w:r>
    </w:p>
    <w:p w:rsidR="00F60FAA" w:rsidRDefault="00F60FAA" w:rsidP="00F60FAA">
      <w:pPr>
        <w:pStyle w:val="TOC3"/>
        <w:rPr>
          <w:rFonts w:eastAsiaTheme="minorEastAsia"/>
          <w:noProof/>
        </w:rPr>
      </w:pPr>
      <w:r>
        <w:rPr>
          <w:noProof/>
        </w:rPr>
        <w:t>1.</w:t>
      </w:r>
      <w:r>
        <w:rPr>
          <w:rFonts w:eastAsiaTheme="minorEastAsia"/>
          <w:noProof/>
        </w:rPr>
        <w:tab/>
      </w:r>
      <w:r>
        <w:rPr>
          <w:noProof/>
        </w:rPr>
        <w:t>Settlement Process Integrity</w:t>
      </w:r>
      <w:r>
        <w:rPr>
          <w:noProof/>
        </w:rPr>
        <w:tab/>
      </w:r>
      <w:r>
        <w:rPr>
          <w:noProof/>
        </w:rPr>
        <w:fldChar w:fldCharType="begin"/>
      </w:r>
      <w:r>
        <w:rPr>
          <w:noProof/>
        </w:rPr>
        <w:instrText xml:space="preserve"> PAGEREF _Toc343779874 \h </w:instrText>
      </w:r>
      <w:r>
        <w:rPr>
          <w:noProof/>
        </w:rPr>
      </w:r>
      <w:r>
        <w:rPr>
          <w:noProof/>
        </w:rPr>
        <w:fldChar w:fldCharType="separate"/>
      </w:r>
      <w:r>
        <w:rPr>
          <w:noProof/>
        </w:rPr>
        <w:t>9</w:t>
      </w:r>
      <w:r>
        <w:rPr>
          <w:noProof/>
        </w:rPr>
        <w:fldChar w:fldCharType="end"/>
      </w:r>
    </w:p>
    <w:p w:rsidR="00F60FAA" w:rsidRDefault="00F60FAA" w:rsidP="00F60FAA">
      <w:pPr>
        <w:pStyle w:val="TOC3"/>
        <w:rPr>
          <w:rFonts w:eastAsiaTheme="minorEastAsia"/>
          <w:noProof/>
        </w:rPr>
      </w:pPr>
      <w:r>
        <w:rPr>
          <w:noProof/>
        </w:rPr>
        <w:t>2.</w:t>
      </w:r>
      <w:r>
        <w:rPr>
          <w:rFonts w:eastAsiaTheme="minorEastAsia"/>
          <w:noProof/>
        </w:rPr>
        <w:tab/>
      </w:r>
      <w:r>
        <w:rPr>
          <w:noProof/>
        </w:rPr>
        <w:t>Public Policy</w:t>
      </w:r>
      <w:r>
        <w:rPr>
          <w:noProof/>
        </w:rPr>
        <w:tab/>
      </w:r>
      <w:r>
        <w:rPr>
          <w:noProof/>
        </w:rPr>
        <w:fldChar w:fldCharType="begin"/>
      </w:r>
      <w:r>
        <w:rPr>
          <w:noProof/>
        </w:rPr>
        <w:instrText xml:space="preserve"> PAGEREF _Toc343779875 \h </w:instrText>
      </w:r>
      <w:r>
        <w:rPr>
          <w:noProof/>
        </w:rPr>
      </w:r>
      <w:r>
        <w:rPr>
          <w:noProof/>
        </w:rPr>
        <w:fldChar w:fldCharType="separate"/>
      </w:r>
      <w:r>
        <w:rPr>
          <w:noProof/>
        </w:rPr>
        <w:t>11</w:t>
      </w:r>
      <w:r>
        <w:rPr>
          <w:noProof/>
        </w:rPr>
        <w:fldChar w:fldCharType="end"/>
      </w:r>
    </w:p>
    <w:p w:rsidR="00F60FAA" w:rsidRDefault="00F60FAA" w:rsidP="00F60FAA">
      <w:pPr>
        <w:pStyle w:val="TOC2"/>
        <w:rPr>
          <w:rFonts w:eastAsiaTheme="minorEastAsia"/>
          <w:noProof/>
        </w:rPr>
      </w:pPr>
      <w:r>
        <w:rPr>
          <w:noProof/>
        </w:rPr>
        <w:t>B.</w:t>
      </w:r>
      <w:r>
        <w:rPr>
          <w:rFonts w:eastAsiaTheme="minorEastAsia"/>
          <w:noProof/>
        </w:rPr>
        <w:tab/>
      </w:r>
      <w:r>
        <w:rPr>
          <w:noProof/>
        </w:rPr>
        <w:t>Duke failed to timely apply for rehearing of the Commission order approving the Stipulation and failed to timely file an appeal.</w:t>
      </w:r>
      <w:r>
        <w:rPr>
          <w:noProof/>
        </w:rPr>
        <w:tab/>
      </w:r>
      <w:r>
        <w:rPr>
          <w:noProof/>
        </w:rPr>
        <w:fldChar w:fldCharType="begin"/>
      </w:r>
      <w:r>
        <w:rPr>
          <w:noProof/>
        </w:rPr>
        <w:instrText xml:space="preserve"> PAGEREF _Toc343779876 \h </w:instrText>
      </w:r>
      <w:r>
        <w:rPr>
          <w:noProof/>
        </w:rPr>
      </w:r>
      <w:r>
        <w:rPr>
          <w:noProof/>
        </w:rPr>
        <w:fldChar w:fldCharType="separate"/>
      </w:r>
      <w:r>
        <w:rPr>
          <w:noProof/>
        </w:rPr>
        <w:t>13</w:t>
      </w:r>
      <w:r>
        <w:rPr>
          <w:noProof/>
        </w:rPr>
        <w:fldChar w:fldCharType="end"/>
      </w:r>
    </w:p>
    <w:p w:rsidR="00F60FAA" w:rsidRDefault="00F60FAA" w:rsidP="00F60FAA">
      <w:pPr>
        <w:pStyle w:val="TOC2"/>
        <w:rPr>
          <w:rFonts w:eastAsiaTheme="minorEastAsia"/>
          <w:noProof/>
        </w:rPr>
      </w:pPr>
      <w:r>
        <w:rPr>
          <w:noProof/>
        </w:rPr>
        <w:t>C.</w:t>
      </w:r>
      <w:r>
        <w:rPr>
          <w:rFonts w:eastAsiaTheme="minorEastAsia"/>
          <w:noProof/>
        </w:rPr>
        <w:tab/>
      </w:r>
      <w:r>
        <w:rPr>
          <w:noProof/>
        </w:rPr>
        <w:t xml:space="preserve">The doctrines of </w:t>
      </w:r>
      <w:r w:rsidRPr="00AF3778">
        <w:rPr>
          <w:i/>
          <w:noProof/>
        </w:rPr>
        <w:t>res judicata</w:t>
      </w:r>
      <w:r>
        <w:rPr>
          <w:noProof/>
        </w:rPr>
        <w:t xml:space="preserve"> and collateral estoppel preclude Duke from re-litigating the ESP where it agreed to RPM-based capacity pricing for CRES suppliers.</w:t>
      </w:r>
      <w:r>
        <w:rPr>
          <w:noProof/>
        </w:rPr>
        <w:tab/>
      </w:r>
      <w:r>
        <w:rPr>
          <w:noProof/>
        </w:rPr>
        <w:fldChar w:fldCharType="begin"/>
      </w:r>
      <w:r>
        <w:rPr>
          <w:noProof/>
        </w:rPr>
        <w:instrText xml:space="preserve"> PAGEREF _Toc343779877 \h </w:instrText>
      </w:r>
      <w:r>
        <w:rPr>
          <w:noProof/>
        </w:rPr>
      </w:r>
      <w:r>
        <w:rPr>
          <w:noProof/>
        </w:rPr>
        <w:fldChar w:fldCharType="separate"/>
      </w:r>
      <w:r>
        <w:rPr>
          <w:noProof/>
        </w:rPr>
        <w:t>14</w:t>
      </w:r>
      <w:r>
        <w:rPr>
          <w:noProof/>
        </w:rPr>
        <w:fldChar w:fldCharType="end"/>
      </w:r>
    </w:p>
    <w:p w:rsidR="00F60FAA" w:rsidRDefault="00F60FAA">
      <w:pPr>
        <w:pStyle w:val="TOC1"/>
        <w:tabs>
          <w:tab w:val="left" w:pos="660"/>
        </w:tabs>
        <w:rPr>
          <w:rFonts w:eastAsiaTheme="minorEastAsia"/>
        </w:rPr>
      </w:pPr>
      <w:r>
        <w:t xml:space="preserve">III. </w:t>
      </w:r>
      <w:r>
        <w:rPr>
          <w:rFonts w:eastAsiaTheme="minorEastAsia"/>
        </w:rPr>
        <w:tab/>
      </w:r>
      <w:r>
        <w:t>CONCLUSION</w:t>
      </w:r>
      <w:r>
        <w:tab/>
      </w:r>
      <w:r>
        <w:fldChar w:fldCharType="begin"/>
      </w:r>
      <w:r>
        <w:instrText xml:space="preserve"> PAGEREF _Toc343779878 \h </w:instrText>
      </w:r>
      <w:r>
        <w:fldChar w:fldCharType="separate"/>
      </w:r>
      <w:r>
        <w:t>18</w:t>
      </w:r>
      <w:r>
        <w:fldChar w:fldCharType="end"/>
      </w:r>
    </w:p>
    <w:p w:rsidR="00F60FAA" w:rsidRDefault="00F60FAA">
      <w:pPr>
        <w:pStyle w:val="TOC1"/>
        <w:rPr>
          <w:rFonts w:eastAsiaTheme="minorEastAsia"/>
        </w:rPr>
      </w:pPr>
      <w:r>
        <w:t>CERTIFICATE OF SERVICE</w:t>
      </w:r>
      <w:r>
        <w:tab/>
      </w:r>
      <w:r>
        <w:fldChar w:fldCharType="begin"/>
      </w:r>
      <w:r>
        <w:instrText xml:space="preserve"> PAGEREF _Toc343779879 \h </w:instrText>
      </w:r>
      <w:r>
        <w:fldChar w:fldCharType="separate"/>
      </w:r>
      <w:r>
        <w:t>19</w:t>
      </w:r>
      <w:r>
        <w:fldChar w:fldCharType="end"/>
      </w:r>
    </w:p>
    <w:p w:rsidR="00F60FAA" w:rsidRDefault="00F60FAA" w:rsidP="00933CA6">
      <w:pPr>
        <w:rPr>
          <w:rFonts w:ascii="Times New Roman" w:hAnsi="Times New Roman" w:cs="Times New Roman"/>
          <w:b/>
          <w:sz w:val="26"/>
          <w:szCs w:val="26"/>
        </w:rPr>
      </w:pPr>
      <w:r>
        <w:rPr>
          <w:rFonts w:ascii="Times New Roman" w:hAnsi="Times New Roman" w:cs="Times New Roman"/>
          <w:b/>
          <w:sz w:val="26"/>
          <w:szCs w:val="26"/>
        </w:rPr>
        <w:fldChar w:fldCharType="end"/>
      </w:r>
    </w:p>
    <w:p w:rsidR="00F60FAA" w:rsidRPr="00933CA6" w:rsidRDefault="00F60FAA" w:rsidP="00933CA6">
      <w:pPr>
        <w:rPr>
          <w:rFonts w:ascii="Times New Roman" w:hAnsi="Times New Roman" w:cs="Times New Roman"/>
          <w:b/>
          <w:sz w:val="26"/>
          <w:szCs w:val="26"/>
        </w:rPr>
        <w:sectPr w:rsidR="00F60FAA" w:rsidRPr="00933CA6" w:rsidSect="00933CA6">
          <w:headerReference w:type="default" r:id="rId12"/>
          <w:footerReference w:type="default" r:id="rId13"/>
          <w:headerReference w:type="first" r:id="rId14"/>
          <w:pgSz w:w="12240" w:h="15840"/>
          <w:pgMar w:top="1440" w:right="1440" w:bottom="1440" w:left="1440" w:header="720" w:footer="720" w:gutter="0"/>
          <w:pgNumType w:fmt="lowerRoman" w:start="1"/>
          <w:cols w:space="720"/>
          <w:titlePg/>
          <w:docGrid w:linePitch="360"/>
        </w:sectPr>
      </w:pP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lastRenderedPageBreak/>
        <w:t>BEFORE</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rPr>
          <w:rFonts w:ascii="Times New Roman" w:hAnsi="Times New Roman" w:cs="Times New Roman"/>
          <w:sz w:val="26"/>
          <w:szCs w:val="26"/>
        </w:rPr>
      </w:pPr>
    </w:p>
    <w:tbl>
      <w:tblPr>
        <w:tblW w:w="8762" w:type="dxa"/>
        <w:tblLook w:val="04A0" w:firstRow="1" w:lastRow="0" w:firstColumn="1" w:lastColumn="0" w:noHBand="0" w:noVBand="1"/>
      </w:tblPr>
      <w:tblGrid>
        <w:gridCol w:w="4518"/>
        <w:gridCol w:w="360"/>
        <w:gridCol w:w="3884"/>
      </w:tblGrid>
      <w:tr w:rsidR="00933CA6" w:rsidRPr="00933CA6" w:rsidTr="00933CA6">
        <w:tc>
          <w:tcPr>
            <w:tcW w:w="4518" w:type="dxa"/>
            <w:shd w:val="clear" w:color="auto" w:fill="auto"/>
          </w:tcPr>
          <w:p w:rsidR="00933CA6" w:rsidRPr="00BA6FB3" w:rsidRDefault="00933CA6" w:rsidP="00BA6FB3">
            <w:pPr>
              <w:pStyle w:val="NoSpacing"/>
              <w:rPr>
                <w:rFonts w:ascii="Times New Roman" w:hAnsi="Times New Roman" w:cs="Times New Roman"/>
                <w:sz w:val="26"/>
                <w:szCs w:val="26"/>
              </w:rPr>
            </w:pPr>
            <w:r w:rsidRPr="00BA6FB3">
              <w:rPr>
                <w:rFonts w:ascii="Times New Roman" w:hAnsi="Times New Roman" w:cs="Times New Roman"/>
                <w:sz w:val="26"/>
                <w:szCs w:val="26"/>
              </w:rPr>
              <w:t>In the Matter of the Application of Duke Energy Ohio, Inc., for the Establishment of a Charge Pursuant to Revised Code Section 4909.18.</w:t>
            </w:r>
          </w:p>
        </w:tc>
        <w:tc>
          <w:tcPr>
            <w:tcW w:w="360" w:type="dxa"/>
          </w:tcPr>
          <w:p w:rsidR="00933CA6" w:rsidRPr="00933CA6" w:rsidRDefault="00933CA6" w:rsidP="00933CA6">
            <w:pPr>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933CA6" w:rsidRPr="00933CA6" w:rsidRDefault="00933CA6" w:rsidP="00933CA6">
            <w:pPr>
              <w:spacing w:after="0" w:line="240" w:lineRule="auto"/>
              <w:ind w:left="-288"/>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12-2400-EL-UNC</w:t>
            </w:r>
          </w:p>
        </w:tc>
      </w:tr>
      <w:tr w:rsidR="00933CA6" w:rsidRPr="00933CA6" w:rsidTr="00933CA6">
        <w:tc>
          <w:tcPr>
            <w:tcW w:w="4518" w:type="dxa"/>
            <w:shd w:val="clear" w:color="auto" w:fill="auto"/>
          </w:tcPr>
          <w:p w:rsidR="00933CA6" w:rsidRPr="00BA6FB3" w:rsidRDefault="00933CA6" w:rsidP="00BA6FB3">
            <w:pPr>
              <w:pStyle w:val="NoSpacing"/>
              <w:rPr>
                <w:rFonts w:ascii="Times New Roman" w:hAnsi="Times New Roman" w:cs="Times New Roman"/>
                <w:sz w:val="26"/>
                <w:szCs w:val="26"/>
              </w:rPr>
            </w:pPr>
            <w:r w:rsidRPr="00BA6FB3">
              <w:rPr>
                <w:rFonts w:ascii="Times New Roman" w:hAnsi="Times New Roman" w:cs="Times New Roman"/>
                <w:sz w:val="26"/>
                <w:szCs w:val="26"/>
              </w:rPr>
              <w:t>In the Matter of the Application of Duke Energy Ohio, Inc., for Approval to Change Certain Accounting Methods.</w:t>
            </w:r>
          </w:p>
          <w:p w:rsidR="00933CA6" w:rsidRPr="00BA6FB3" w:rsidRDefault="00933CA6" w:rsidP="00BA6FB3">
            <w:pPr>
              <w:pStyle w:val="NoSpacing"/>
              <w:rPr>
                <w:rFonts w:ascii="Times New Roman" w:hAnsi="Times New Roman" w:cs="Times New Roman"/>
                <w:sz w:val="26"/>
                <w:szCs w:val="26"/>
              </w:rPr>
            </w:pPr>
          </w:p>
          <w:p w:rsidR="00933CA6" w:rsidRPr="00BA6FB3" w:rsidRDefault="00933CA6" w:rsidP="00BA6FB3">
            <w:pPr>
              <w:pStyle w:val="NoSpacing"/>
              <w:rPr>
                <w:rFonts w:ascii="Times New Roman" w:hAnsi="Times New Roman" w:cs="Times New Roman"/>
                <w:sz w:val="26"/>
                <w:szCs w:val="26"/>
              </w:rPr>
            </w:pPr>
            <w:r w:rsidRPr="00BA6FB3">
              <w:rPr>
                <w:rFonts w:ascii="Times New Roman" w:hAnsi="Times New Roman" w:cs="Times New Roman"/>
                <w:sz w:val="26"/>
                <w:szCs w:val="26"/>
              </w:rPr>
              <w:t>In the Matter of the Application of Duke Energy Ohio, Inc., for the Approval of a Tariff for New Service.</w:t>
            </w:r>
          </w:p>
        </w:tc>
        <w:tc>
          <w:tcPr>
            <w:tcW w:w="360" w:type="dxa"/>
          </w:tcPr>
          <w:p w:rsidR="00933CA6" w:rsidRPr="00933CA6" w:rsidRDefault="00933CA6" w:rsidP="00933CA6">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p w:rsidR="00933CA6" w:rsidRPr="00933CA6" w:rsidRDefault="00933CA6" w:rsidP="00933CA6">
            <w:pPr>
              <w:spacing w:after="0" w:line="240" w:lineRule="auto"/>
              <w:rPr>
                <w:rFonts w:ascii="Times New Roman" w:hAnsi="Times New Roman" w:cs="Times New Roman"/>
                <w:sz w:val="26"/>
                <w:szCs w:val="26"/>
              </w:rPr>
            </w:pPr>
          </w:p>
          <w:p w:rsidR="00933CA6" w:rsidRPr="00933CA6" w:rsidRDefault="00933CA6" w:rsidP="00933CA6">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933CA6" w:rsidRPr="00933CA6" w:rsidRDefault="00933CA6" w:rsidP="00933CA6">
            <w:pPr>
              <w:spacing w:after="0" w:line="240" w:lineRule="auto"/>
              <w:ind w:left="-288"/>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12-2401-EL-AAM</w:t>
            </w: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12-2402-EL-ATA</w:t>
            </w:r>
          </w:p>
        </w:tc>
      </w:tr>
    </w:tbl>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933CA6" w:rsidRPr="00933CA6" w:rsidRDefault="00933CA6" w:rsidP="00933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INITIAL</w:t>
      </w:r>
      <w:r w:rsidRPr="00933CA6">
        <w:rPr>
          <w:rFonts w:ascii="Times New Roman" w:hAnsi="Times New Roman" w:cs="Times New Roman"/>
          <w:b/>
          <w:sz w:val="28"/>
          <w:szCs w:val="28"/>
        </w:rPr>
        <w:t xml:space="preserve"> COMMENTS </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SUBMITTED ON BEHALF OF THE STAFF OF</w:t>
      </w:r>
    </w:p>
    <w:p w:rsidR="00933CA6" w:rsidRPr="00933CA6" w:rsidRDefault="00933CA6" w:rsidP="00933CA6">
      <w:pPr>
        <w:spacing w:after="0" w:line="240" w:lineRule="auto"/>
        <w:jc w:val="center"/>
        <w:rPr>
          <w:rFonts w:ascii="Times New Roman" w:hAnsi="Times New Roman" w:cs="Times New Roman"/>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F14C58" w:rsidRPr="00E1073B" w:rsidRDefault="00E1073B" w:rsidP="006167D8">
      <w:pPr>
        <w:pStyle w:val="Heading1"/>
      </w:pPr>
      <w:bookmarkStart w:id="0" w:name="_Toc339013414"/>
      <w:bookmarkStart w:id="1" w:name="_Toc343779865"/>
      <w:r>
        <w:t>I.</w:t>
      </w:r>
      <w:r>
        <w:tab/>
      </w:r>
      <w:r w:rsidR="00933CA6" w:rsidRPr="00E1073B">
        <w:t>INTRODUCTION</w:t>
      </w:r>
      <w:bookmarkEnd w:id="0"/>
      <w:bookmarkEnd w:id="1"/>
      <w:r w:rsidR="00CB5161" w:rsidRPr="00E1073B">
        <w:t xml:space="preserve"> </w:t>
      </w:r>
    </w:p>
    <w:p w:rsidR="007A0CED" w:rsidRPr="007B1ABF" w:rsidRDefault="00AD654F" w:rsidP="00263A62">
      <w:pPr>
        <w:pStyle w:val="Textstyle"/>
      </w:pPr>
      <w:r w:rsidRPr="007B1ABF">
        <w:t>In</w:t>
      </w:r>
      <w:r w:rsidR="007B1ABF">
        <w:t xml:space="preserve"> October </w:t>
      </w:r>
      <w:r w:rsidRPr="007B1ABF">
        <w:t xml:space="preserve">2011, </w:t>
      </w:r>
      <w:r w:rsidR="007B1ABF">
        <w:t>Duke Energy Ohio Inc. (“Duke”)</w:t>
      </w:r>
      <w:r w:rsidRPr="007B1ABF">
        <w:t xml:space="preserve"> and 30 parties</w:t>
      </w:r>
      <w:r w:rsidR="007B1ABF">
        <w:t>, including</w:t>
      </w:r>
      <w:r w:rsidRPr="007B1ABF">
        <w:t xml:space="preserve"> </w:t>
      </w:r>
      <w:r w:rsidR="007B1ABF">
        <w:t>Staff</w:t>
      </w:r>
      <w:r w:rsidR="00A4262F">
        <w:t xml:space="preserve"> and members of each customer class</w:t>
      </w:r>
      <w:r w:rsidR="007B1ABF">
        <w:t>, signed a Stipulation</w:t>
      </w:r>
      <w:r w:rsidRPr="007B1ABF">
        <w:t xml:space="preserve"> resolving Duke’s electric security plan</w:t>
      </w:r>
      <w:r w:rsidR="007B1ABF">
        <w:t xml:space="preserve"> case</w:t>
      </w:r>
      <w:r w:rsidR="00551DEF">
        <w:t xml:space="preserve"> </w:t>
      </w:r>
      <w:r w:rsidR="00551DEF" w:rsidRPr="007B1ABF">
        <w:t>(“ESP”)</w:t>
      </w:r>
      <w:r w:rsidRPr="007B1ABF">
        <w:t>.</w:t>
      </w:r>
      <w:r w:rsidR="00632F5A" w:rsidRPr="007B1ABF">
        <w:rPr>
          <w:rStyle w:val="FootnoteReference"/>
        </w:rPr>
        <w:footnoteReference w:id="1"/>
      </w:r>
      <w:r w:rsidRPr="007B1ABF">
        <w:t xml:space="preserve"> </w:t>
      </w:r>
      <w:r w:rsidR="00F14C58" w:rsidRPr="007B1ABF">
        <w:t xml:space="preserve"> </w:t>
      </w:r>
      <w:r w:rsidR="007B1ABF">
        <w:t>The</w:t>
      </w:r>
      <w:r w:rsidR="00551DEF">
        <w:t xml:space="preserve"> stipulated ESP</w:t>
      </w:r>
      <w:r w:rsidRPr="007B1ABF">
        <w:t xml:space="preserve"> established the rates</w:t>
      </w:r>
      <w:r w:rsidR="007B1ABF">
        <w:t xml:space="preserve"> for residential, com</w:t>
      </w:r>
      <w:r w:rsidR="00275FA9">
        <w:softHyphen/>
      </w:r>
      <w:r w:rsidR="007B1ABF">
        <w:t>mercial, and industrial customer</w:t>
      </w:r>
      <w:r w:rsidR="00A4262F">
        <w:t>s</w:t>
      </w:r>
      <w:r w:rsidR="007B1ABF">
        <w:t xml:space="preserve"> in</w:t>
      </w:r>
      <w:r w:rsidRPr="007B1ABF">
        <w:t xml:space="preserve"> Duke’s service area to b</w:t>
      </w:r>
      <w:r w:rsidR="007B1ABF">
        <w:t>e paid over a three year period</w:t>
      </w:r>
      <w:r w:rsidR="00A4262F">
        <w:t xml:space="preserve"> ending in May</w:t>
      </w:r>
      <w:r w:rsidRPr="007B1ABF">
        <w:t xml:space="preserve"> 2015. </w:t>
      </w:r>
      <w:r w:rsidR="007B1ABF">
        <w:t xml:space="preserve"> </w:t>
      </w:r>
      <w:r w:rsidR="00A4262F">
        <w:t xml:space="preserve">As part of </w:t>
      </w:r>
      <w:r w:rsidR="007B1ABF">
        <w:t>the</w:t>
      </w:r>
      <w:r w:rsidR="00F35BF4">
        <w:t xml:space="preserve"> ESP Stipulation</w:t>
      </w:r>
      <w:r w:rsidR="00A4262F">
        <w:t xml:space="preserve"> terms, the parties agreed that </w:t>
      </w:r>
      <w:r w:rsidR="00A4262F">
        <w:lastRenderedPageBreak/>
        <w:t>Duke was permitted</w:t>
      </w:r>
      <w:r w:rsidRPr="007B1ABF">
        <w:t xml:space="preserve"> to collect $330 million from customers for its Electric Stability Service Charge (“ESSC”)</w:t>
      </w:r>
      <w:r w:rsidR="00F35BF4">
        <w:t xml:space="preserve"> settling the issue</w:t>
      </w:r>
      <w:r w:rsidR="00C75351">
        <w:t xml:space="preserve"> of</w:t>
      </w:r>
      <w:r w:rsidR="00F35BF4">
        <w:t xml:space="preserve"> Duke’s capacity revenues.    </w:t>
      </w:r>
      <w:r w:rsidRPr="007B1ABF">
        <w:t xml:space="preserve"> </w:t>
      </w:r>
    </w:p>
    <w:p w:rsidR="00AD654F" w:rsidRDefault="00E74D6D" w:rsidP="00263A62">
      <w:pPr>
        <w:pStyle w:val="Textstyle"/>
      </w:pPr>
      <w:r>
        <w:t>I</w:t>
      </w:r>
      <w:r w:rsidR="00AD654F" w:rsidRPr="007B1ABF">
        <w:t xml:space="preserve">n August 2012, </w:t>
      </w:r>
      <w:r w:rsidR="00F35BF4">
        <w:t xml:space="preserve">however, </w:t>
      </w:r>
      <w:r w:rsidR="00AD654F" w:rsidRPr="007B1ABF">
        <w:t>Duke filed an application</w:t>
      </w:r>
      <w:r w:rsidR="00A4262F">
        <w:t xml:space="preserve"> in this case</w:t>
      </w:r>
      <w:r w:rsidR="00AD654F" w:rsidRPr="007B1ABF">
        <w:t xml:space="preserve"> seek</w:t>
      </w:r>
      <w:r w:rsidR="00A4262F">
        <w:t>ing</w:t>
      </w:r>
      <w:r w:rsidR="00F35BF4">
        <w:t xml:space="preserve"> to modify the ESP Stipulation by charging</w:t>
      </w:r>
      <w:r w:rsidR="00AD654F" w:rsidRPr="007B1ABF">
        <w:t xml:space="preserve"> an additional $776 million</w:t>
      </w:r>
      <w:r w:rsidR="00E1073B">
        <w:t xml:space="preserve"> </w:t>
      </w:r>
      <w:r w:rsidR="00C75351">
        <w:t>in</w:t>
      </w:r>
      <w:r w:rsidR="00E1073B" w:rsidRPr="007B1ABF">
        <w:t xml:space="preserve"> capacity revenues from its retail customers</w:t>
      </w:r>
      <w:r w:rsidR="00AD654F" w:rsidRPr="007B1ABF">
        <w:t xml:space="preserve">. </w:t>
      </w:r>
      <w:r w:rsidR="00A4262F">
        <w:t xml:space="preserve"> </w:t>
      </w:r>
      <w:r w:rsidR="00E1073B">
        <w:t>Duke’s new</w:t>
      </w:r>
      <w:r w:rsidR="00C75351">
        <w:t xml:space="preserve"> proposal ignore</w:t>
      </w:r>
      <w:r w:rsidR="00A06E0A">
        <w:t>s prior</w:t>
      </w:r>
      <w:r w:rsidR="00AD654F" w:rsidRPr="007B1ABF">
        <w:t xml:space="preserve"> settlement</w:t>
      </w:r>
      <w:r w:rsidR="00A4262F">
        <w:t xml:space="preserve"> agreement</w:t>
      </w:r>
      <w:r w:rsidR="00A06E0A">
        <w:t>s</w:t>
      </w:r>
      <w:r w:rsidR="00A4262F">
        <w:t>,</w:t>
      </w:r>
      <w:r w:rsidR="00EE3034">
        <w:t xml:space="preserve"> defies</w:t>
      </w:r>
      <w:r w:rsidR="00AD654F" w:rsidRPr="007B1ABF">
        <w:t xml:space="preserve"> state pol</w:t>
      </w:r>
      <w:r w:rsidR="00E1073B">
        <w:t>icies supporting settlements, and undermines</w:t>
      </w:r>
      <w:r w:rsidR="00AD654F" w:rsidRPr="007B1ABF">
        <w:t xml:space="preserve"> the finality </w:t>
      </w:r>
      <w:r w:rsidR="00E1073B">
        <w:t>of the Public Utilities Com</w:t>
      </w:r>
      <w:r w:rsidR="00275FA9">
        <w:softHyphen/>
      </w:r>
      <w:r w:rsidR="00E1073B">
        <w:t>mission of Ohio’s (</w:t>
      </w:r>
      <w:r w:rsidR="00275FA9">
        <w:t>“</w:t>
      </w:r>
      <w:r w:rsidR="00E1073B">
        <w:t>Commission</w:t>
      </w:r>
      <w:r w:rsidR="000E6143">
        <w:t>’s</w:t>
      </w:r>
      <w:r w:rsidR="00275FA9">
        <w:t>”</w:t>
      </w:r>
      <w:r w:rsidR="00E1073B">
        <w:t xml:space="preserve">) orders.  </w:t>
      </w:r>
      <w:r w:rsidR="00AD654F" w:rsidRPr="007B1ABF">
        <w:t>Duke’s application should be</w:t>
      </w:r>
      <w:r w:rsidR="00E1073B">
        <w:t xml:space="preserve"> denied</w:t>
      </w:r>
      <w:r w:rsidR="00AD654F" w:rsidRPr="007B1ABF">
        <w:t>.</w:t>
      </w:r>
    </w:p>
    <w:p w:rsidR="00AD654F" w:rsidRDefault="00A06E0A" w:rsidP="006167D8">
      <w:pPr>
        <w:pStyle w:val="Heading1"/>
      </w:pPr>
      <w:bookmarkStart w:id="2" w:name="_Toc343779866"/>
      <w:r>
        <w:t>II.</w:t>
      </w:r>
      <w:r>
        <w:tab/>
      </w:r>
      <w:r w:rsidR="003E2230">
        <w:t xml:space="preserve">BACKGROUND </w:t>
      </w:r>
      <w:r w:rsidR="00991BF1">
        <w:t>AND RELATED CASES</w:t>
      </w:r>
      <w:bookmarkEnd w:id="2"/>
    </w:p>
    <w:p w:rsidR="00E74D6D" w:rsidRPr="006167D8" w:rsidRDefault="00E74D6D" w:rsidP="00263A62">
      <w:pPr>
        <w:pStyle w:val="Heading2"/>
      </w:pPr>
      <w:bookmarkStart w:id="3" w:name="_Toc343779867"/>
      <w:r w:rsidRPr="006167D8">
        <w:t xml:space="preserve">Duke’s </w:t>
      </w:r>
      <w:r w:rsidR="00A47440" w:rsidRPr="006167D8">
        <w:t xml:space="preserve">Current </w:t>
      </w:r>
      <w:r w:rsidRPr="006167D8">
        <w:t>Application</w:t>
      </w:r>
      <w:bookmarkEnd w:id="3"/>
      <w:r w:rsidRPr="006167D8">
        <w:t xml:space="preserve">  </w:t>
      </w:r>
    </w:p>
    <w:p w:rsidR="00E74D6D" w:rsidRPr="007B1ABF" w:rsidRDefault="00E74D6D" w:rsidP="00263A62">
      <w:pPr>
        <w:pStyle w:val="Textstyle"/>
      </w:pPr>
      <w:r w:rsidRPr="007B1ABF">
        <w:t>Duke</w:t>
      </w:r>
      <w:r>
        <w:t>’s current</w:t>
      </w:r>
      <w:r w:rsidRPr="007B1ABF">
        <w:t xml:space="preserve"> Application</w:t>
      </w:r>
      <w:r>
        <w:t xml:space="preserve"> asks</w:t>
      </w:r>
      <w:r w:rsidRPr="007B1ABF">
        <w:t xml:space="preserve"> to collect from customers an additional $776 million of capacity revenues. </w:t>
      </w:r>
      <w:r w:rsidR="00A06E0A">
        <w:t xml:space="preserve"> </w:t>
      </w:r>
      <w:r w:rsidR="00445E0D">
        <w:t>Duke seeks</w:t>
      </w:r>
      <w:r w:rsidRPr="007B1ABF">
        <w:t xml:space="preserve"> a Commission Order</w:t>
      </w:r>
      <w:r w:rsidR="00EA6DCD">
        <w:t xml:space="preserve"> that: (1) establishes</w:t>
      </w:r>
      <w:r w:rsidRPr="007B1ABF">
        <w:t xml:space="preserve"> a cost</w:t>
      </w:r>
      <w:r w:rsidR="00445E0D">
        <w:t>-based charge for its capacity;</w:t>
      </w:r>
      <w:r w:rsidR="00EA6DCD">
        <w:t xml:space="preserve"> (2) authorizes a</w:t>
      </w:r>
      <w:r w:rsidRPr="007B1ABF">
        <w:t xml:space="preserve"> defer</w:t>
      </w:r>
      <w:r w:rsidR="00EA6DCD">
        <w:t>ral for</w:t>
      </w:r>
      <w:r w:rsidRPr="007B1ABF">
        <w:t xml:space="preserve"> the difference between the revenues currently being charge</w:t>
      </w:r>
      <w:r w:rsidR="00445E0D">
        <w:t>d and its cost of capacity; and</w:t>
      </w:r>
      <w:r w:rsidR="00EA6DCD">
        <w:t xml:space="preserve"> (3) approves</w:t>
      </w:r>
      <w:r w:rsidRPr="007B1ABF">
        <w:t xml:space="preserve"> a new place</w:t>
      </w:r>
      <w:r w:rsidR="00275FA9">
        <w:softHyphen/>
      </w:r>
      <w:r w:rsidRPr="007B1ABF">
        <w:t>holde</w:t>
      </w:r>
      <w:r w:rsidR="00445E0D">
        <w:t xml:space="preserve">r tariff to allow </w:t>
      </w:r>
      <w:r w:rsidRPr="007B1ABF">
        <w:t>future re</w:t>
      </w:r>
      <w:r w:rsidR="00445E0D">
        <w:t>covery of the deferred amounts.</w:t>
      </w:r>
      <w:r w:rsidRPr="007B1ABF">
        <w:rPr>
          <w:rStyle w:val="FootnoteReference"/>
        </w:rPr>
        <w:footnoteReference w:id="2"/>
      </w:r>
      <w:r w:rsidRPr="007B1ABF">
        <w:t xml:space="preserve">  </w:t>
      </w:r>
    </w:p>
    <w:p w:rsidR="00E74D6D" w:rsidRPr="00E74D6D" w:rsidRDefault="00E74D6D" w:rsidP="00263A62">
      <w:pPr>
        <w:pStyle w:val="Textstyle"/>
      </w:pPr>
      <w:r w:rsidRPr="007B1ABF">
        <w:t>Duke</w:t>
      </w:r>
      <w:r w:rsidR="00A06E0A">
        <w:t xml:space="preserve"> states</w:t>
      </w:r>
      <w:r w:rsidRPr="007B1ABF">
        <w:t xml:space="preserve"> that it will request approval to begin collecting the deferred amounts, plus carrying charges, in a subsequent proceeding, with the application being filed no later than March 1, 2013.</w:t>
      </w:r>
      <w:r w:rsidRPr="007B1ABF">
        <w:rPr>
          <w:rStyle w:val="FootnoteReference"/>
        </w:rPr>
        <w:footnoteReference w:id="3"/>
      </w:r>
      <w:r w:rsidRPr="007B1ABF">
        <w:t xml:space="preserve">  Duke</w:t>
      </w:r>
      <w:r w:rsidR="00A06E0A">
        <w:t xml:space="preserve"> asks</w:t>
      </w:r>
      <w:r w:rsidR="00EA6DCD">
        <w:t xml:space="preserve"> that its A</w:t>
      </w:r>
      <w:r w:rsidRPr="007B1ABF">
        <w:t>pplication should be approved without a hearing.</w:t>
      </w:r>
      <w:r w:rsidRPr="007B1ABF">
        <w:rPr>
          <w:rStyle w:val="FootnoteReference"/>
        </w:rPr>
        <w:footnoteReference w:id="4"/>
      </w:r>
      <w:r w:rsidR="00E53264">
        <w:t xml:space="preserve">  </w:t>
      </w:r>
    </w:p>
    <w:p w:rsidR="00BB38A4" w:rsidRPr="00E74D6D" w:rsidRDefault="006B5263" w:rsidP="00263A62">
      <w:pPr>
        <w:pStyle w:val="Heading2"/>
      </w:pPr>
      <w:bookmarkStart w:id="4" w:name="_Toc343779868"/>
      <w:r w:rsidRPr="00E74D6D">
        <w:lastRenderedPageBreak/>
        <w:t>Duke’s</w:t>
      </w:r>
      <w:r w:rsidR="008C41EF" w:rsidRPr="00E74D6D">
        <w:t xml:space="preserve"> </w:t>
      </w:r>
      <w:r w:rsidR="00A47440">
        <w:t xml:space="preserve">2011 </w:t>
      </w:r>
      <w:r w:rsidR="008C41EF" w:rsidRPr="00E74D6D">
        <w:t>ESP Stipulation</w:t>
      </w:r>
      <w:bookmarkEnd w:id="4"/>
      <w:r w:rsidR="004A72E3" w:rsidRPr="00E74D6D">
        <w:t xml:space="preserve"> </w:t>
      </w:r>
    </w:p>
    <w:p w:rsidR="007A0CED" w:rsidRPr="007B1ABF" w:rsidRDefault="00E1073B" w:rsidP="00263A62">
      <w:pPr>
        <w:pStyle w:val="Textstyle"/>
        <w:rPr>
          <w:color w:val="000000"/>
        </w:rPr>
      </w:pPr>
      <w:r>
        <w:t>In June</w:t>
      </w:r>
      <w:r w:rsidR="00AD654F" w:rsidRPr="007B1ABF">
        <w:t xml:space="preserve"> 2011, Duke filed an application for authority to establish a standard service offer (“SSO”) in the form of an electric security plan</w:t>
      </w:r>
      <w:r w:rsidR="00F35BF4">
        <w:t xml:space="preserve"> </w:t>
      </w:r>
      <w:r w:rsidR="00F35BF4" w:rsidRPr="007B1ABF">
        <w:t>(“ESP”)</w:t>
      </w:r>
      <w:r w:rsidR="00AD654F" w:rsidRPr="007B1ABF">
        <w:t>.</w:t>
      </w:r>
      <w:r w:rsidR="00632F5A" w:rsidRPr="007B1ABF">
        <w:rPr>
          <w:rStyle w:val="FootnoteReference"/>
        </w:rPr>
        <w:footnoteReference w:id="5"/>
      </w:r>
      <w:r w:rsidR="00062C65">
        <w:t xml:space="preserve"> </w:t>
      </w:r>
      <w:r w:rsidR="00F35BF4">
        <w:t xml:space="preserve"> </w:t>
      </w:r>
      <w:r w:rsidR="00062C65">
        <w:t>In that</w:t>
      </w:r>
      <w:r w:rsidR="00F35BF4">
        <w:t xml:space="preserve"> ESP</w:t>
      </w:r>
      <w:r w:rsidR="00062C65">
        <w:t xml:space="preserve"> </w:t>
      </w:r>
      <w:r w:rsidR="00EA6DCD">
        <w:t>A</w:t>
      </w:r>
      <w:r w:rsidR="00AD654F" w:rsidRPr="007B1ABF">
        <w:t>ppli</w:t>
      </w:r>
      <w:r w:rsidR="00275FA9">
        <w:softHyphen/>
      </w:r>
      <w:r w:rsidR="00AD654F" w:rsidRPr="007B1ABF">
        <w:t xml:space="preserve">cation, Duke proposed to collect its costs of providing capacity to all </w:t>
      </w:r>
      <w:r w:rsidR="00AD654F" w:rsidRPr="007B1ABF">
        <w:rPr>
          <w:color w:val="000000"/>
        </w:rPr>
        <w:t>customers in its territory, plus a reasonable rate of return, on a non-</w:t>
      </w:r>
      <w:proofErr w:type="spellStart"/>
      <w:r w:rsidR="00AD654F" w:rsidRPr="007B1ABF">
        <w:rPr>
          <w:color w:val="000000"/>
        </w:rPr>
        <w:t>bypassable</w:t>
      </w:r>
      <w:proofErr w:type="spellEnd"/>
      <w:r w:rsidR="00AD654F" w:rsidRPr="007B1ABF">
        <w:rPr>
          <w:color w:val="000000"/>
        </w:rPr>
        <w:t xml:space="preserve"> basis.</w:t>
      </w:r>
      <w:r w:rsidR="00632F5A" w:rsidRPr="007B1ABF">
        <w:rPr>
          <w:rStyle w:val="FootnoteReference"/>
          <w:color w:val="000000"/>
        </w:rPr>
        <w:footnoteReference w:id="6"/>
      </w:r>
      <w:r w:rsidR="00AD654F" w:rsidRPr="007B1ABF">
        <w:rPr>
          <w:color w:val="000000"/>
        </w:rPr>
        <w:t xml:space="preserve"> </w:t>
      </w:r>
      <w:r w:rsidR="00F97594" w:rsidRPr="007B1ABF">
        <w:rPr>
          <w:color w:val="000000"/>
        </w:rPr>
        <w:t xml:space="preserve"> </w:t>
      </w:r>
      <w:r w:rsidR="00AD654F" w:rsidRPr="007B1ABF">
        <w:rPr>
          <w:color w:val="000000"/>
        </w:rPr>
        <w:t>Duke proposed that the cost of its capacity would be based on its election to provide capacity in PJM as a</w:t>
      </w:r>
      <w:r w:rsidR="00062C65">
        <w:rPr>
          <w:color w:val="000000"/>
        </w:rPr>
        <w:t xml:space="preserve"> cost-based</w:t>
      </w:r>
      <w:r w:rsidR="00AD654F" w:rsidRPr="007B1ABF">
        <w:rPr>
          <w:color w:val="000000"/>
        </w:rPr>
        <w:t xml:space="preserve"> Fixed Resource Requirement (“FRR”) entity who self</w:t>
      </w:r>
      <w:r w:rsidR="00F97594" w:rsidRPr="007B1ABF">
        <w:rPr>
          <w:color w:val="000000"/>
        </w:rPr>
        <w:t>-</w:t>
      </w:r>
      <w:r w:rsidR="00062C65">
        <w:rPr>
          <w:color w:val="000000"/>
        </w:rPr>
        <w:t>supplies all of its</w:t>
      </w:r>
      <w:r w:rsidR="00AD654F" w:rsidRPr="007B1ABF">
        <w:rPr>
          <w:color w:val="000000"/>
        </w:rPr>
        <w:t xml:space="preserve"> capacity</w:t>
      </w:r>
      <w:r w:rsidR="00062C65">
        <w:rPr>
          <w:color w:val="000000"/>
        </w:rPr>
        <w:t>,</w:t>
      </w:r>
      <w:r w:rsidR="00AD654F" w:rsidRPr="007B1ABF">
        <w:rPr>
          <w:color w:val="000000"/>
        </w:rPr>
        <w:t xml:space="preserve"> as opposed to the market-based Reliability Pricing Model (“RPM”) auction rate for capacity provided to CRES providers to serve</w:t>
      </w:r>
      <w:r w:rsidR="00062C65">
        <w:rPr>
          <w:color w:val="000000"/>
        </w:rPr>
        <w:t xml:space="preserve"> its</w:t>
      </w:r>
      <w:r w:rsidR="00AD654F" w:rsidRPr="007B1ABF">
        <w:rPr>
          <w:color w:val="000000"/>
        </w:rPr>
        <w:t xml:space="preserve"> shopping load. </w:t>
      </w:r>
    </w:p>
    <w:p w:rsidR="007A0CED" w:rsidRPr="00420B0F" w:rsidRDefault="00420B0F" w:rsidP="00263A62">
      <w:pPr>
        <w:pStyle w:val="Textstyle"/>
      </w:pPr>
      <w:r>
        <w:t>I</w:t>
      </w:r>
      <w:r w:rsidR="00AD654F" w:rsidRPr="007B1ABF">
        <w:t xml:space="preserve">n its </w:t>
      </w:r>
      <w:r>
        <w:t>ESP Application</w:t>
      </w:r>
      <w:r w:rsidR="00AD654F" w:rsidRPr="007B1ABF">
        <w:t>, Duke relied upon the PJM Reliability Assurance Agree</w:t>
      </w:r>
      <w:r w:rsidR="00275FA9">
        <w:softHyphen/>
      </w:r>
      <w:r w:rsidR="00AD654F" w:rsidRPr="007B1ABF">
        <w:t>ment (</w:t>
      </w:r>
      <w:r w:rsidR="008C4A80">
        <w:t>“</w:t>
      </w:r>
      <w:r w:rsidR="00AD654F" w:rsidRPr="007B1ABF">
        <w:t>RAA</w:t>
      </w:r>
      <w:r w:rsidR="008C4A80">
        <w:t>”</w:t>
      </w:r>
      <w:r w:rsidR="00AD654F" w:rsidRPr="007B1ABF">
        <w:t>) as legal authority for the Commission to establish a cost</w:t>
      </w:r>
      <w:r w:rsidR="00F97594" w:rsidRPr="007B1ABF">
        <w:t>-</w:t>
      </w:r>
      <w:r w:rsidR="00AD654F" w:rsidRPr="007B1ABF">
        <w:t>based rate as th</w:t>
      </w:r>
      <w:r w:rsidR="00275FA9">
        <w:t>e state compensation mechanism.</w:t>
      </w:r>
      <w:r w:rsidR="00632F5A" w:rsidRPr="007B1ABF">
        <w:rPr>
          <w:rStyle w:val="FootnoteReference"/>
          <w:color w:val="000000"/>
        </w:rPr>
        <w:footnoteReference w:id="7"/>
      </w:r>
      <w:r w:rsidR="00AD654F" w:rsidRPr="007B1ABF">
        <w:t xml:space="preserve"> </w:t>
      </w:r>
      <w:r>
        <w:t xml:space="preserve"> Duke witness Trent</w:t>
      </w:r>
      <w:r w:rsidR="00AD654F" w:rsidRPr="007B1ABF">
        <w:t xml:space="preserve"> explained</w:t>
      </w:r>
      <w:r w:rsidR="00EA6DCD">
        <w:t xml:space="preserve"> in his testimony</w:t>
      </w:r>
      <w:r w:rsidR="00AD654F" w:rsidRPr="007B1ABF">
        <w:t xml:space="preserve"> </w:t>
      </w:r>
      <w:r w:rsidR="00EA6DCD">
        <w:t>that Duke’s</w:t>
      </w:r>
      <w:r w:rsidR="00AD654F" w:rsidRPr="007B1ABF">
        <w:t xml:space="preserve"> proposal for a cost-based capacity charg</w:t>
      </w:r>
      <w:r>
        <w:t>e was authorized by the PJM RAA</w:t>
      </w:r>
      <w:r w:rsidR="00AD654F" w:rsidRPr="007B1ABF">
        <w:rPr>
          <w:color w:val="212121"/>
        </w:rPr>
        <w:t>.</w:t>
      </w:r>
      <w:r w:rsidR="00632F5A" w:rsidRPr="007B1ABF">
        <w:rPr>
          <w:rStyle w:val="FootnoteReference"/>
          <w:color w:val="212121"/>
        </w:rPr>
        <w:footnoteReference w:id="8"/>
      </w:r>
      <w:r w:rsidR="00AD654F" w:rsidRPr="007B1ABF">
        <w:rPr>
          <w:color w:val="212121"/>
        </w:rPr>
        <w:t xml:space="preserve"> </w:t>
      </w:r>
      <w:r w:rsidR="00F97594" w:rsidRPr="007B1ABF">
        <w:rPr>
          <w:color w:val="212121"/>
        </w:rPr>
        <w:t xml:space="preserve"> </w:t>
      </w:r>
    </w:p>
    <w:p w:rsidR="00934BBF" w:rsidRPr="003B5FEE" w:rsidRDefault="00EA6DCD" w:rsidP="00263A62">
      <w:pPr>
        <w:pStyle w:val="Textstyle"/>
      </w:pPr>
      <w:r>
        <w:t>Lengthy s</w:t>
      </w:r>
      <w:r w:rsidR="00420B0F">
        <w:t>ettlement negotiations significantly modified</w:t>
      </w:r>
      <w:r w:rsidR="00AD654F" w:rsidRPr="007B1ABF">
        <w:t xml:space="preserve"> Duke’s </w:t>
      </w:r>
      <w:r w:rsidR="00F35BF4">
        <w:t xml:space="preserve">original </w:t>
      </w:r>
      <w:r>
        <w:t xml:space="preserve">ESP </w:t>
      </w:r>
      <w:r w:rsidR="00AD654F" w:rsidRPr="007B1ABF">
        <w:t>pro</w:t>
      </w:r>
      <w:r w:rsidR="00275FA9">
        <w:softHyphen/>
      </w:r>
      <w:r w:rsidR="00AD654F" w:rsidRPr="007B1ABF">
        <w:t>posal, including its plan to charge</w:t>
      </w:r>
      <w:r w:rsidR="00AD654F" w:rsidRPr="007B1ABF">
        <w:rPr>
          <w:color w:val="212121"/>
        </w:rPr>
        <w:t xml:space="preserve"> </w:t>
      </w:r>
      <w:r>
        <w:rPr>
          <w:color w:val="212121"/>
        </w:rPr>
        <w:t>Competitive Retail Electric Service (“</w:t>
      </w:r>
      <w:r w:rsidR="00AD654F" w:rsidRPr="007B1ABF">
        <w:t>CRES</w:t>
      </w:r>
      <w:r>
        <w:t>”)</w:t>
      </w:r>
      <w:r w:rsidR="00AD654F" w:rsidRPr="007B1ABF">
        <w:t xml:space="preserve"> provid</w:t>
      </w:r>
      <w:r w:rsidR="00275FA9">
        <w:softHyphen/>
      </w:r>
      <w:r w:rsidR="00AD654F" w:rsidRPr="007B1ABF">
        <w:t>ers for capacity needed to serve shopping</w:t>
      </w:r>
      <w:r w:rsidR="00AD654F" w:rsidRPr="007B1ABF">
        <w:rPr>
          <w:color w:val="212121"/>
        </w:rPr>
        <w:t xml:space="preserve"> </w:t>
      </w:r>
      <w:r w:rsidR="00AD654F" w:rsidRPr="007B1ABF">
        <w:t xml:space="preserve">customers. </w:t>
      </w:r>
      <w:r w:rsidR="00420B0F">
        <w:t xml:space="preserve"> </w:t>
      </w:r>
      <w:r w:rsidR="00F35BF4">
        <w:t>The</w:t>
      </w:r>
      <w:r w:rsidR="00AD654F" w:rsidRPr="007B1ABF">
        <w:t xml:space="preserve"> Stipulation was supported by </w:t>
      </w:r>
      <w:r w:rsidR="00AD654F" w:rsidRPr="007B1ABF">
        <w:lastRenderedPageBreak/>
        <w:t>Duke and</w:t>
      </w:r>
      <w:r w:rsidR="00AD654F" w:rsidRPr="007B1ABF">
        <w:rPr>
          <w:color w:val="212121"/>
        </w:rPr>
        <w:t xml:space="preserve"> </w:t>
      </w:r>
      <w:r w:rsidR="00420B0F">
        <w:t>30 of the 34 parties</w:t>
      </w:r>
      <w:r w:rsidR="00AD654F" w:rsidRPr="007B1ABF">
        <w:t xml:space="preserve"> in the proceeding.</w:t>
      </w:r>
      <w:r w:rsidR="00632F5A" w:rsidRPr="007B1ABF">
        <w:rPr>
          <w:rStyle w:val="FootnoteReference"/>
          <w:color w:val="000000"/>
        </w:rPr>
        <w:footnoteReference w:id="9"/>
      </w:r>
      <w:r w:rsidR="00BB38A4">
        <w:t xml:space="preserve">  A</w:t>
      </w:r>
      <w:r w:rsidR="00F97594" w:rsidRPr="007B1ABF">
        <w:rPr>
          <w:color w:val="212121"/>
        </w:rPr>
        <w:t xml:space="preserve"> </w:t>
      </w:r>
      <w:r>
        <w:t xml:space="preserve">major ESP </w:t>
      </w:r>
      <w:r w:rsidR="00BB38A4">
        <w:t>settlement term, as it relates to this</w:t>
      </w:r>
      <w:r>
        <w:t xml:space="preserve"> current</w:t>
      </w:r>
      <w:r w:rsidR="00BB38A4">
        <w:t xml:space="preserve"> proceeding,</w:t>
      </w:r>
      <w:r>
        <w:t xml:space="preserve"> established</w:t>
      </w:r>
      <w:r w:rsidR="00AD654F" w:rsidRPr="007B1ABF">
        <w:rPr>
          <w:color w:val="212121"/>
        </w:rPr>
        <w:t xml:space="preserve"> </w:t>
      </w:r>
      <w:r w:rsidR="00AD654F" w:rsidRPr="007B1ABF">
        <w:t>t</w:t>
      </w:r>
      <w:r>
        <w:t>he wholesale capacity charge for Duke to charge</w:t>
      </w:r>
      <w:r w:rsidR="00AD654F" w:rsidRPr="007B1ABF">
        <w:t xml:space="preserve"> CRES providers. </w:t>
      </w:r>
      <w:r w:rsidR="00097334">
        <w:t xml:space="preserve"> </w:t>
      </w:r>
      <w:r w:rsidR="00AD654F" w:rsidRPr="007B1ABF">
        <w:t>Instead of the cost-based capacity</w:t>
      </w:r>
      <w:r w:rsidR="00632F5A" w:rsidRPr="007B1ABF">
        <w:rPr>
          <w:color w:val="212121"/>
        </w:rPr>
        <w:t xml:space="preserve"> </w:t>
      </w:r>
      <w:r w:rsidR="00AD654F" w:rsidRPr="007B1ABF">
        <w:t>charge that had been pro</w:t>
      </w:r>
      <w:r w:rsidR="00275FA9">
        <w:softHyphen/>
      </w:r>
      <w:r w:rsidR="00AD654F" w:rsidRPr="007B1ABF">
        <w:t>posed in Duke’s ESP Application, the Stipulation expressly adopted capacity priced at RPM prices</w:t>
      </w:r>
      <w:r w:rsidR="008C41EF">
        <w:t>.</w:t>
      </w:r>
      <w:r w:rsidR="00632F5A" w:rsidRPr="007B1ABF">
        <w:rPr>
          <w:rStyle w:val="FootnoteReference"/>
        </w:rPr>
        <w:footnoteReference w:id="10"/>
      </w:r>
      <w:r w:rsidR="00AD654F" w:rsidRPr="007B1ABF">
        <w:t xml:space="preserve"> </w:t>
      </w:r>
      <w:r w:rsidR="008C41EF">
        <w:t xml:space="preserve"> </w:t>
      </w:r>
      <w:r w:rsidR="00AD654F" w:rsidRPr="007B1ABF">
        <w:t xml:space="preserve">Duke Witness </w:t>
      </w:r>
      <w:proofErr w:type="spellStart"/>
      <w:r w:rsidR="00AD654F" w:rsidRPr="007B1ABF">
        <w:t>Janson</w:t>
      </w:r>
      <w:proofErr w:type="spellEnd"/>
      <w:r w:rsidR="00AD654F" w:rsidRPr="007B1ABF">
        <w:t>,</w:t>
      </w:r>
      <w:r w:rsidR="00F875B2">
        <w:t xml:space="preserve"> in her testimony</w:t>
      </w:r>
      <w:r w:rsidR="00AD654F" w:rsidRPr="007B1ABF">
        <w:t xml:space="preserve"> in support of the Stipulation</w:t>
      </w:r>
      <w:r w:rsidR="003B5FEE">
        <w:t>,</w:t>
      </w:r>
      <w:r w:rsidR="008C41EF">
        <w:t xml:space="preserve"> con</w:t>
      </w:r>
      <w:r w:rsidR="00275FA9">
        <w:softHyphen/>
      </w:r>
      <w:r w:rsidR="008C41EF">
        <w:t>firmed</w:t>
      </w:r>
      <w:r w:rsidR="00AD654F" w:rsidRPr="007B1ABF">
        <w:t xml:space="preserve"> that Duke agreed to be compensated fo</w:t>
      </w:r>
      <w:r w:rsidR="008C41EF">
        <w:t>r capacity based on RPM prices.</w:t>
      </w:r>
      <w:r w:rsidR="00DC512C" w:rsidRPr="007B1ABF">
        <w:rPr>
          <w:rStyle w:val="FootnoteReference"/>
        </w:rPr>
        <w:footnoteReference w:id="11"/>
      </w:r>
      <w:r w:rsidR="00AD654F" w:rsidRPr="007B1ABF">
        <w:t xml:space="preserve"> </w:t>
      </w:r>
      <w:r w:rsidR="00F97594" w:rsidRPr="007B1ABF">
        <w:t xml:space="preserve"> </w:t>
      </w:r>
      <w:r w:rsidR="00BB38A4">
        <w:t>T</w:t>
      </w:r>
      <w:r w:rsidR="00AD654F" w:rsidRPr="007B1ABF">
        <w:t>he</w:t>
      </w:r>
      <w:r>
        <w:t xml:space="preserve"> </w:t>
      </w:r>
      <w:r w:rsidR="00BB38A4">
        <w:t>Stip</w:t>
      </w:r>
      <w:r w:rsidR="00275FA9">
        <w:softHyphen/>
      </w:r>
      <w:r w:rsidR="00BB38A4">
        <w:t>ulation</w:t>
      </w:r>
      <w:r w:rsidR="00F875B2">
        <w:t xml:space="preserve"> language</w:t>
      </w:r>
      <w:r w:rsidR="00AD654F" w:rsidRPr="007B1ABF">
        <w:t xml:space="preserve"> and</w:t>
      </w:r>
      <w:r w:rsidR="00BB38A4">
        <w:t xml:space="preserve"> Duke</w:t>
      </w:r>
      <w:r w:rsidR="003B5FEE">
        <w:t xml:space="preserve"> Testimony</w:t>
      </w:r>
      <w:r w:rsidR="00BB38A4">
        <w:t xml:space="preserve"> establish</w:t>
      </w:r>
      <w:r w:rsidR="00AD654F" w:rsidRPr="007B1ABF">
        <w:t xml:space="preserve"> that Duke agreed to provide capacity for its</w:t>
      </w:r>
      <w:r>
        <w:t xml:space="preserve"> FRR</w:t>
      </w:r>
      <w:r w:rsidR="00AD654F" w:rsidRPr="007B1ABF">
        <w:t xml:space="preserve"> obligation based on the PJM reliability pricing model.</w:t>
      </w:r>
      <w:r w:rsidR="00F97594" w:rsidRPr="007B1ABF">
        <w:t xml:space="preserve"> </w:t>
      </w:r>
      <w:r w:rsidR="00AD654F" w:rsidRPr="007B1ABF">
        <w:t xml:space="preserve"> </w:t>
      </w:r>
    </w:p>
    <w:p w:rsidR="00934BBF" w:rsidRPr="007B1ABF" w:rsidRDefault="00EA6DCD" w:rsidP="00263A62">
      <w:pPr>
        <w:pStyle w:val="Textstyle"/>
      </w:pPr>
      <w:r>
        <w:t>To balance</w:t>
      </w:r>
      <w:r w:rsidR="008C41EF">
        <w:t xml:space="preserve"> low RPM pricing, t</w:t>
      </w:r>
      <w:r w:rsidR="00AD654F" w:rsidRPr="007B1ABF">
        <w:t>he Signatory Parties agreed to pay Duke $110 mi</w:t>
      </w:r>
      <w:r>
        <w:t>l</w:t>
      </w:r>
      <w:r w:rsidR="00275FA9">
        <w:softHyphen/>
      </w:r>
      <w:r>
        <w:t xml:space="preserve">lion per year for three years </w:t>
      </w:r>
      <w:r w:rsidR="00AD654F" w:rsidRPr="007B1ABF">
        <w:t>to provide stability and certainty regarding Duke’s provision of retail electric service as an FRR entity while conti</w:t>
      </w:r>
      <w:r w:rsidR="00E53264">
        <w:t xml:space="preserve">nuing </w:t>
      </w:r>
      <w:r>
        <w:t>to operate under an ESP.</w:t>
      </w:r>
      <w:r w:rsidR="00E53264">
        <w:t xml:space="preserve">  </w:t>
      </w:r>
      <w:r w:rsidR="00AD654F" w:rsidRPr="007B1ABF">
        <w:t>The Stipulation created a non-</w:t>
      </w:r>
      <w:proofErr w:type="spellStart"/>
      <w:r w:rsidR="00AD654F" w:rsidRPr="007B1ABF">
        <w:t>bypassable</w:t>
      </w:r>
      <w:proofErr w:type="spellEnd"/>
      <w:r w:rsidR="00AD654F" w:rsidRPr="007B1ABF">
        <w:t xml:space="preserve"> Electric Service Stability Charge Rider (</w:t>
      </w:r>
      <w:r>
        <w:t>“</w:t>
      </w:r>
      <w:r w:rsidR="00AD654F" w:rsidRPr="007B1ABF">
        <w:t>ESSC</w:t>
      </w:r>
      <w:r>
        <w:t>”</w:t>
      </w:r>
      <w:r w:rsidR="008C41EF">
        <w:t xml:space="preserve">) to collect this $330 million.  Duke </w:t>
      </w:r>
      <w:r w:rsidR="00AD654F" w:rsidRPr="007B1ABF">
        <w:t>testified that the ESSC was in</w:t>
      </w:r>
      <w:r w:rsidR="002857D4" w:rsidRPr="007B1ABF">
        <w:t>tended to protect the Com</w:t>
      </w:r>
      <w:r w:rsidR="00275FA9">
        <w:softHyphen/>
      </w:r>
      <w:r w:rsidR="002857D4" w:rsidRPr="007B1ABF">
        <w:t xml:space="preserve">pany’s </w:t>
      </w:r>
      <w:r w:rsidR="00AD654F" w:rsidRPr="007B1ABF">
        <w:t>financial integrity and ensure that the overall revenue</w:t>
      </w:r>
      <w:r w:rsidR="002857D4" w:rsidRPr="007B1ABF">
        <w:t xml:space="preserve">s under the ESP are adequate to </w:t>
      </w:r>
      <w:r w:rsidR="00AD654F" w:rsidRPr="007B1ABF">
        <w:t>compensate Duke for providing its SSO.</w:t>
      </w:r>
      <w:r w:rsidR="00DC512C" w:rsidRPr="007B1ABF">
        <w:rPr>
          <w:rStyle w:val="FootnoteReference"/>
        </w:rPr>
        <w:footnoteReference w:id="12"/>
      </w:r>
      <w:r w:rsidR="00AD654F" w:rsidRPr="007B1ABF">
        <w:t xml:space="preserve"> </w:t>
      </w:r>
      <w:r w:rsidR="00F97594" w:rsidRPr="007B1ABF">
        <w:t xml:space="preserve"> </w:t>
      </w:r>
      <w:r w:rsidR="00F875B2">
        <w:t xml:space="preserve">In other words, </w:t>
      </w:r>
      <w:r w:rsidR="00F875B2" w:rsidRPr="007B1ABF">
        <w:t xml:space="preserve">Duke gave up its right to collect wholesale capacity revenues from CRES providers for shopping load based on its </w:t>
      </w:r>
      <w:r w:rsidR="00F875B2" w:rsidRPr="007B1ABF">
        <w:lastRenderedPageBreak/>
        <w:t>embedded costs of capacity</w:t>
      </w:r>
      <w:r w:rsidR="00F875B2">
        <w:t xml:space="preserve"> in exchange</w:t>
      </w:r>
      <w:r w:rsidR="00F875B2" w:rsidRPr="007B1ABF">
        <w:t xml:space="preserve"> </w:t>
      </w:r>
      <w:r w:rsidR="00F875B2">
        <w:t xml:space="preserve">for </w:t>
      </w:r>
      <w:r w:rsidR="00AD654F" w:rsidRPr="007B1ABF">
        <w:t>RPM capacity revenues plus the $330 mil</w:t>
      </w:r>
      <w:r w:rsidR="00275FA9">
        <w:softHyphen/>
      </w:r>
      <w:r w:rsidR="00AD654F" w:rsidRPr="007B1ABF">
        <w:t>li</w:t>
      </w:r>
      <w:r w:rsidR="00F875B2">
        <w:t>on ESSC</w:t>
      </w:r>
      <w:r w:rsidR="002857D4" w:rsidRPr="007B1ABF">
        <w:t xml:space="preserve">. </w:t>
      </w:r>
    </w:p>
    <w:p w:rsidR="00DC512C" w:rsidRPr="009245FF" w:rsidRDefault="00F875B2" w:rsidP="00263A62">
      <w:pPr>
        <w:pStyle w:val="Textstyle"/>
      </w:pPr>
      <w:r>
        <w:t xml:space="preserve">The Commission </w:t>
      </w:r>
      <w:r w:rsidR="00AD654F" w:rsidRPr="007B1ABF">
        <w:t>adop</w:t>
      </w:r>
      <w:r w:rsidR="002857D4" w:rsidRPr="007B1ABF">
        <w:t>ted the Duke Stipulation</w:t>
      </w:r>
      <w:r w:rsidR="008C4A80">
        <w:t xml:space="preserve"> with minor revisions and</w:t>
      </w:r>
      <w:r w:rsidR="00F97594" w:rsidRPr="007B1ABF">
        <w:t xml:space="preserve"> </w:t>
      </w:r>
      <w:r w:rsidR="008C4A80">
        <w:t xml:space="preserve">found that </w:t>
      </w:r>
      <w:r w:rsidR="008C4A80" w:rsidRPr="00E65BFD">
        <w:t>the stipulated ESP</w:t>
      </w:r>
      <w:r w:rsidR="00AD654F" w:rsidRPr="00E65BFD">
        <w:t xml:space="preserve"> was more favorab</w:t>
      </w:r>
      <w:r w:rsidR="008C4A80" w:rsidRPr="00E65BFD">
        <w:t>le in the aggregate than an MRO.</w:t>
      </w:r>
      <w:r w:rsidR="00DC512C" w:rsidRPr="00E65BFD">
        <w:rPr>
          <w:rStyle w:val="FootnoteReference"/>
        </w:rPr>
        <w:footnoteReference w:id="13"/>
      </w:r>
      <w:r w:rsidR="008C4A80" w:rsidRPr="00E65BFD">
        <w:t xml:space="preserve">  Duke did not file an application for rehearing.</w:t>
      </w:r>
      <w:r w:rsidR="00E65BFD" w:rsidRPr="00E65BFD">
        <w:t xml:space="preserve">  </w:t>
      </w:r>
      <w:r w:rsidR="003B5FEE">
        <w:t>T</w:t>
      </w:r>
      <w:r w:rsidR="00E65BFD" w:rsidRPr="00E65BFD">
        <w:t>he</w:t>
      </w:r>
      <w:r w:rsidR="00E65BFD">
        <w:t xml:space="preserve"> Commission has already</w:t>
      </w:r>
      <w:r w:rsidR="00E65BFD" w:rsidRPr="00E65BFD">
        <w:t xml:space="preserve"> approved</w:t>
      </w:r>
      <w:r w:rsidR="00E65BFD">
        <w:t xml:space="preserve"> an</w:t>
      </w:r>
      <w:r w:rsidR="00E65BFD" w:rsidRPr="00E65BFD">
        <w:t xml:space="preserve"> SSO auction schedule</w:t>
      </w:r>
      <w:r w:rsidR="00E65BFD">
        <w:t xml:space="preserve"> and issued</w:t>
      </w:r>
      <w:r w:rsidR="00E65BFD" w:rsidRPr="00E65BFD">
        <w:t xml:space="preserve"> orders accepting t</w:t>
      </w:r>
      <w:r w:rsidR="00E65BFD">
        <w:t xml:space="preserve">he results </w:t>
      </w:r>
      <w:r w:rsidR="00F85A85">
        <w:t>of three</w:t>
      </w:r>
      <w:r w:rsidR="00E65BFD">
        <w:t xml:space="preserve"> SSO auctions—</w:t>
      </w:r>
      <w:r w:rsidR="00E65BFD" w:rsidRPr="00E65BFD">
        <w:t>Dec</w:t>
      </w:r>
      <w:r w:rsidR="00E65BFD">
        <w:t>ember</w:t>
      </w:r>
      <w:r w:rsidR="00E65BFD" w:rsidRPr="00E65BFD">
        <w:t xml:space="preserve"> 2011, May 2012, and Nov</w:t>
      </w:r>
      <w:r w:rsidR="00E65BFD">
        <w:t>ember</w:t>
      </w:r>
      <w:r w:rsidR="00E65BFD" w:rsidRPr="00E65BFD">
        <w:t xml:space="preserve"> 2012.</w:t>
      </w:r>
      <w:r w:rsidR="00E65BFD">
        <w:rPr>
          <w:rStyle w:val="FootnoteReference"/>
        </w:rPr>
        <w:footnoteReference w:id="14"/>
      </w:r>
      <w:r w:rsidR="00E65BFD" w:rsidRPr="00E65BFD">
        <w:t xml:space="preserve">  </w:t>
      </w:r>
      <w:r w:rsidR="009245FF" w:rsidRPr="00E65BFD">
        <w:t xml:space="preserve">Duke cannot </w:t>
      </w:r>
      <w:r w:rsidR="00E65BFD" w:rsidRPr="00E65BFD">
        <w:t xml:space="preserve">now </w:t>
      </w:r>
      <w:r w:rsidR="009245FF" w:rsidRPr="00E65BFD">
        <w:t>modify the capac</w:t>
      </w:r>
      <w:r w:rsidR="00275FA9">
        <w:softHyphen/>
      </w:r>
      <w:r w:rsidR="009245FF" w:rsidRPr="00E65BFD">
        <w:t>ity pricing mechanism in the Stipulation.</w:t>
      </w:r>
      <w:r w:rsidR="009245FF" w:rsidRPr="007B1ABF">
        <w:t xml:space="preserve"> </w:t>
      </w:r>
    </w:p>
    <w:p w:rsidR="00AD654F" w:rsidRPr="007B1ABF" w:rsidRDefault="006B5263" w:rsidP="00263A62">
      <w:pPr>
        <w:pStyle w:val="Heading2"/>
      </w:pPr>
      <w:bookmarkStart w:id="5" w:name="_Toc343779869"/>
      <w:r>
        <w:t>Duke’s</w:t>
      </w:r>
      <w:r w:rsidR="008C41EF">
        <w:t xml:space="preserve"> </w:t>
      </w:r>
      <w:r w:rsidR="00A47440">
        <w:t xml:space="preserve">2011 </w:t>
      </w:r>
      <w:r w:rsidR="008C41EF">
        <w:t>Transmission Case Stipulation</w:t>
      </w:r>
      <w:bookmarkEnd w:id="5"/>
      <w:r w:rsidR="00BC046E">
        <w:t xml:space="preserve"> </w:t>
      </w:r>
    </w:p>
    <w:p w:rsidR="002857D4" w:rsidRPr="009245FF" w:rsidRDefault="006B5263" w:rsidP="00263A62">
      <w:pPr>
        <w:pStyle w:val="Textstyle"/>
      </w:pPr>
      <w:r>
        <w:t>In April</w:t>
      </w:r>
      <w:r w:rsidR="00AD654F" w:rsidRPr="007B1ABF">
        <w:t xml:space="preserve"> 2011, Duke filed an application </w:t>
      </w:r>
      <w:r w:rsidR="002857D4" w:rsidRPr="007B1ABF">
        <w:t>at the</w:t>
      </w:r>
      <w:r>
        <w:t xml:space="preserve"> Commission</w:t>
      </w:r>
      <w:r w:rsidR="002857D4" w:rsidRPr="007B1ABF">
        <w:t xml:space="preserve"> seeking approval to </w:t>
      </w:r>
      <w:r w:rsidR="00AD654F" w:rsidRPr="007B1ABF">
        <w:t>establish a base transmission rider and a regional transm</w:t>
      </w:r>
      <w:r w:rsidR="002857D4" w:rsidRPr="007B1ABF">
        <w:t xml:space="preserve">ission organization rider. </w:t>
      </w:r>
      <w:r>
        <w:t xml:space="preserve"> In this case, </w:t>
      </w:r>
      <w:r w:rsidR="00AD654F" w:rsidRPr="007B1ABF">
        <w:t>Duke sought approv</w:t>
      </w:r>
      <w:r w:rsidR="002857D4" w:rsidRPr="007B1ABF">
        <w:t xml:space="preserve">al to transfer from the Midwest </w:t>
      </w:r>
      <w:r w:rsidR="00AD654F" w:rsidRPr="007B1ABF">
        <w:t>Independent System Operator (“MISO”) to PJM.</w:t>
      </w:r>
      <w:r w:rsidR="00D266A8">
        <w:t xml:space="preserve">  The Signatory Parties in that case—</w:t>
      </w:r>
      <w:r w:rsidR="00D266A8" w:rsidRPr="007B1ABF">
        <w:t>Duke, Staff, OCC,</w:t>
      </w:r>
      <w:r w:rsidR="00D266A8">
        <w:t xml:space="preserve"> and OEG—</w:t>
      </w:r>
      <w:r w:rsidR="002857D4" w:rsidRPr="007B1ABF">
        <w:t xml:space="preserve">filed </w:t>
      </w:r>
      <w:r w:rsidR="00AD654F" w:rsidRPr="007B1ABF">
        <w:t>a Stipulation</w:t>
      </w:r>
      <w:r w:rsidR="00D266A8">
        <w:t xml:space="preserve"> where Duke</w:t>
      </w:r>
      <w:r w:rsidR="00AD654F" w:rsidRPr="007B1ABF">
        <w:t xml:space="preserve"> a</w:t>
      </w:r>
      <w:r w:rsidR="002857D4" w:rsidRPr="007B1ABF">
        <w:t>greed not to seek FERC approval</w:t>
      </w:r>
      <w:r w:rsidR="00AD654F" w:rsidRPr="007B1ABF">
        <w:t xml:space="preserve"> of a wholesale capac</w:t>
      </w:r>
      <w:r w:rsidR="002857D4" w:rsidRPr="007B1ABF">
        <w:t xml:space="preserve">ity charge based upon its costs </w:t>
      </w:r>
      <w:r w:rsidR="00AD654F" w:rsidRPr="007B1ABF">
        <w:t>as a FRR entity</w:t>
      </w:r>
      <w:r w:rsidR="00D266A8" w:rsidRPr="00D266A8">
        <w:t xml:space="preserve"> </w:t>
      </w:r>
      <w:r w:rsidR="00D266A8" w:rsidRPr="007B1ABF">
        <w:t>for the period between January 1, 2</w:t>
      </w:r>
      <w:r w:rsidR="009245FF">
        <w:t>012 and May 31, 2016</w:t>
      </w:r>
      <w:r w:rsidR="00AD654F" w:rsidRPr="007B1ABF">
        <w:t>.</w:t>
      </w:r>
      <w:r w:rsidR="00DC512C" w:rsidRPr="007B1ABF">
        <w:rPr>
          <w:rStyle w:val="FootnoteReference"/>
        </w:rPr>
        <w:footnoteReference w:id="15"/>
      </w:r>
      <w:r w:rsidR="00AD654F" w:rsidRPr="007B1ABF">
        <w:t xml:space="preserve"> </w:t>
      </w:r>
      <w:r w:rsidR="003B5FEE">
        <w:t xml:space="preserve"> </w:t>
      </w:r>
      <w:r>
        <w:t>The Commission</w:t>
      </w:r>
      <w:r w:rsidR="00D266A8">
        <w:t xml:space="preserve"> approved the Stipulation</w:t>
      </w:r>
      <w:r w:rsidR="00AD654F" w:rsidRPr="007B1ABF">
        <w:t>.</w:t>
      </w:r>
      <w:r w:rsidR="00DC512C" w:rsidRPr="007B1ABF">
        <w:rPr>
          <w:rStyle w:val="FootnoteReference"/>
        </w:rPr>
        <w:footnoteReference w:id="16"/>
      </w:r>
      <w:r w:rsidR="00AD654F" w:rsidRPr="007B1ABF">
        <w:t xml:space="preserve"> </w:t>
      </w:r>
      <w:r w:rsidR="009245FF">
        <w:t xml:space="preserve"> </w:t>
      </w:r>
      <w:r w:rsidR="003B5FEE">
        <w:t xml:space="preserve">Like the ESP Stipulation, </w:t>
      </w:r>
      <w:r w:rsidR="009245FF" w:rsidRPr="007B1ABF">
        <w:t>Duke</w:t>
      </w:r>
      <w:r w:rsidR="009245FF">
        <w:t xml:space="preserve"> cannot</w:t>
      </w:r>
      <w:r w:rsidR="009245FF" w:rsidRPr="007B1ABF">
        <w:t xml:space="preserve"> modify</w:t>
      </w:r>
      <w:r w:rsidR="009245FF">
        <w:t xml:space="preserve"> this approved</w:t>
      </w:r>
      <w:r w:rsidR="009245FF" w:rsidRPr="007B1ABF">
        <w:t xml:space="preserve"> Stipulation</w:t>
      </w:r>
      <w:r w:rsidR="003B5FEE">
        <w:t xml:space="preserve"> either</w:t>
      </w:r>
      <w:r w:rsidR="009245FF" w:rsidRPr="007B1ABF">
        <w:t xml:space="preserve">. </w:t>
      </w:r>
    </w:p>
    <w:p w:rsidR="00AD654F" w:rsidRPr="004A72E3" w:rsidRDefault="00F875B2" w:rsidP="00263A62">
      <w:pPr>
        <w:pStyle w:val="Heading2"/>
      </w:pPr>
      <w:bookmarkStart w:id="6" w:name="_Toc343779870"/>
      <w:r w:rsidRPr="004A72E3">
        <w:lastRenderedPageBreak/>
        <w:t>AEP</w:t>
      </w:r>
      <w:r w:rsidR="00433068" w:rsidRPr="004A72E3">
        <w:t>’s</w:t>
      </w:r>
      <w:r w:rsidRPr="004A72E3">
        <w:t xml:space="preserve"> Capacity</w:t>
      </w:r>
      <w:r w:rsidR="003C217C">
        <w:t xml:space="preserve"> and ESP</w:t>
      </w:r>
      <w:r w:rsidRPr="004A72E3">
        <w:t xml:space="preserve"> Case</w:t>
      </w:r>
      <w:r w:rsidR="00CF2218">
        <w:t>s</w:t>
      </w:r>
      <w:bookmarkEnd w:id="6"/>
      <w:r w:rsidR="004A72E3" w:rsidRPr="004A72E3">
        <w:t xml:space="preserve"> </w:t>
      </w:r>
    </w:p>
    <w:p w:rsidR="00CF2218" w:rsidRDefault="003B5FEE" w:rsidP="00263A62">
      <w:pPr>
        <w:pStyle w:val="Textstyle"/>
      </w:pPr>
      <w:r>
        <w:t xml:space="preserve">Duke was well aware of the capacity pricing issue.  </w:t>
      </w:r>
      <w:r w:rsidR="00AD654F" w:rsidRPr="007B1ABF">
        <w:t>In November 2010, American Electric Power Service</w:t>
      </w:r>
      <w:r w:rsidR="002857D4" w:rsidRPr="007B1ABF">
        <w:t xml:space="preserve"> Corporation (“AEPSC”) </w:t>
      </w:r>
      <w:r w:rsidR="00AD654F" w:rsidRPr="007B1ABF">
        <w:t xml:space="preserve">filed an application at </w:t>
      </w:r>
      <w:r w:rsidR="00F953FE">
        <w:t xml:space="preserve">the </w:t>
      </w:r>
      <w:r w:rsidR="00AD654F" w:rsidRPr="007B1ABF">
        <w:t>FERC seeking to establish a</w:t>
      </w:r>
      <w:r w:rsidR="002857D4" w:rsidRPr="007B1ABF">
        <w:t xml:space="preserve"> rate that would compensate</w:t>
      </w:r>
      <w:r w:rsidR="004A72E3">
        <w:t xml:space="preserve"> AEP Ohio</w:t>
      </w:r>
      <w:r w:rsidR="00AD654F" w:rsidRPr="007B1ABF">
        <w:t xml:space="preserve"> for its cost of providing CRES pro</w:t>
      </w:r>
      <w:r w:rsidR="00275FA9">
        <w:softHyphen/>
      </w:r>
      <w:r w:rsidR="00DC512C" w:rsidRPr="007B1ABF">
        <w:t xml:space="preserve">viders capacity to serve retail </w:t>
      </w:r>
      <w:r w:rsidR="00AD654F" w:rsidRPr="007B1ABF">
        <w:t>customers in AEP Ohio’s service territory.</w:t>
      </w:r>
      <w:r w:rsidR="00DC512C" w:rsidRPr="007B1ABF">
        <w:rPr>
          <w:rStyle w:val="FootnoteReference"/>
        </w:rPr>
        <w:footnoteReference w:id="17"/>
      </w:r>
      <w:r w:rsidR="00AD654F" w:rsidRPr="007B1ABF">
        <w:t xml:space="preserve"> </w:t>
      </w:r>
      <w:r w:rsidR="004A72E3">
        <w:t xml:space="preserve"> In that </w:t>
      </w:r>
      <w:r>
        <w:t xml:space="preserve">case, </w:t>
      </w:r>
      <w:r w:rsidR="00AD654F" w:rsidRPr="007B1ABF">
        <w:t>AEPSC so</w:t>
      </w:r>
      <w:r w:rsidR="002857D4" w:rsidRPr="007B1ABF">
        <w:t xml:space="preserve">ught an increase from the RAA’s </w:t>
      </w:r>
      <w:r w:rsidR="00AD654F" w:rsidRPr="007B1ABF">
        <w:t>default RPM based pricing to cost-based pricing, using</w:t>
      </w:r>
      <w:r w:rsidR="002857D4" w:rsidRPr="007B1ABF">
        <w:t xml:space="preserve"> AEP Ohio’s fully embedded cost </w:t>
      </w:r>
      <w:r w:rsidR="00AD654F" w:rsidRPr="007B1ABF">
        <w:t xml:space="preserve">of capacity. </w:t>
      </w:r>
      <w:r w:rsidR="004A72E3">
        <w:t xml:space="preserve"> </w:t>
      </w:r>
      <w:r w:rsidRPr="007B1ABF">
        <w:t>Duke intervene</w:t>
      </w:r>
      <w:r>
        <w:t>d in that case.</w:t>
      </w:r>
      <w:r w:rsidRPr="004A72E3">
        <w:rPr>
          <w:rStyle w:val="FootnoteReference"/>
        </w:rPr>
        <w:t xml:space="preserve"> </w:t>
      </w:r>
      <w:r w:rsidRPr="007B1ABF">
        <w:rPr>
          <w:rStyle w:val="FootnoteReference"/>
        </w:rPr>
        <w:footnoteReference w:id="18"/>
      </w:r>
    </w:p>
    <w:p w:rsidR="00934BBF" w:rsidRPr="007B1ABF" w:rsidRDefault="00CF2218" w:rsidP="00263A62">
      <w:pPr>
        <w:pStyle w:val="Textstyle"/>
      </w:pPr>
      <w:r>
        <w:t>In December 2010, the Commission</w:t>
      </w:r>
      <w:r w:rsidR="002857D4" w:rsidRPr="007B1ABF">
        <w:t xml:space="preserve"> </w:t>
      </w:r>
      <w:r w:rsidR="00AD654F" w:rsidRPr="007B1ABF">
        <w:t>opened up an investigation to review the impact</w:t>
      </w:r>
      <w:r>
        <w:t xml:space="preserve"> of</w:t>
      </w:r>
      <w:r w:rsidR="002857D4" w:rsidRPr="007B1ABF">
        <w:t xml:space="preserve"> AEP Ohio’s capacity </w:t>
      </w:r>
      <w:r w:rsidR="00AD654F" w:rsidRPr="007B1ABF">
        <w:t>charges.</w:t>
      </w:r>
      <w:r w:rsidR="00DC512C" w:rsidRPr="007B1ABF">
        <w:rPr>
          <w:rStyle w:val="FootnoteReference"/>
        </w:rPr>
        <w:footnoteReference w:id="19"/>
      </w:r>
      <w:r w:rsidR="00AD654F" w:rsidRPr="007B1ABF">
        <w:t xml:space="preserve"> </w:t>
      </w:r>
      <w:r>
        <w:t xml:space="preserve"> </w:t>
      </w:r>
      <w:r w:rsidR="00AD654F" w:rsidRPr="007B1ABF">
        <w:t>Duke Energy Retail Sales, L.L.</w:t>
      </w:r>
      <w:r w:rsidR="002857D4" w:rsidRPr="007B1ABF">
        <w:t xml:space="preserve">C., filed a </w:t>
      </w:r>
      <w:r w:rsidR="00AD654F" w:rsidRPr="007B1ABF">
        <w:t>motion to intervene in that case before the Commission.</w:t>
      </w:r>
      <w:r w:rsidR="00DC512C" w:rsidRPr="007B1ABF">
        <w:rPr>
          <w:rStyle w:val="FootnoteReference"/>
        </w:rPr>
        <w:footnoteReference w:id="20"/>
      </w:r>
      <w:r w:rsidR="002857D4" w:rsidRPr="007B1ABF">
        <w:t xml:space="preserve"> </w:t>
      </w:r>
    </w:p>
    <w:p w:rsidR="00934BBF" w:rsidRPr="007B1ABF" w:rsidRDefault="00CF2218" w:rsidP="00263A62">
      <w:pPr>
        <w:pStyle w:val="Textstyle"/>
      </w:pPr>
      <w:r>
        <w:t xml:space="preserve">In January 2011, </w:t>
      </w:r>
      <w:r w:rsidR="00F953FE">
        <w:t xml:space="preserve">the </w:t>
      </w:r>
      <w:r w:rsidR="00AD654F" w:rsidRPr="007B1ABF">
        <w:t>FERC rejected AEPSC’s rate application</w:t>
      </w:r>
      <w:r>
        <w:t>,</w:t>
      </w:r>
      <w:r w:rsidR="00DC512C" w:rsidRPr="007B1ABF">
        <w:rPr>
          <w:rStyle w:val="FootnoteReference"/>
        </w:rPr>
        <w:footnoteReference w:id="21"/>
      </w:r>
      <w:r w:rsidR="00AD654F" w:rsidRPr="007B1ABF">
        <w:t xml:space="preserve"> AEPSC sought rehearing</w:t>
      </w:r>
      <w:r>
        <w:t>,</w:t>
      </w:r>
      <w:r w:rsidR="00DC512C" w:rsidRPr="007B1ABF">
        <w:rPr>
          <w:rStyle w:val="FootnoteReference"/>
        </w:rPr>
        <w:footnoteReference w:id="22"/>
      </w:r>
      <w:r>
        <w:t xml:space="preserve"> and in </w:t>
      </w:r>
      <w:r w:rsidR="002857D4" w:rsidRPr="007B1ABF">
        <w:t xml:space="preserve">April 2011, AEPSC filed a </w:t>
      </w:r>
      <w:r w:rsidR="00AD654F" w:rsidRPr="007B1ABF">
        <w:t xml:space="preserve">Section 206 Complaint with </w:t>
      </w:r>
      <w:r w:rsidR="00F953FE">
        <w:t xml:space="preserve">the </w:t>
      </w:r>
      <w:r w:rsidR="00AD654F" w:rsidRPr="007B1ABF">
        <w:t xml:space="preserve">FERC to </w:t>
      </w:r>
      <w:r w:rsidR="00AD654F" w:rsidRPr="007B1ABF">
        <w:lastRenderedPageBreak/>
        <w:t>clarify the circumstances under which</w:t>
      </w:r>
      <w:r w:rsidR="002857D4" w:rsidRPr="007B1ABF">
        <w:t xml:space="preserve"> </w:t>
      </w:r>
      <w:r w:rsidR="00AD654F" w:rsidRPr="007B1ABF">
        <w:t>AEPSC may request a</w:t>
      </w:r>
      <w:r w:rsidR="002857D4" w:rsidRPr="007B1ABF">
        <w:t xml:space="preserve"> </w:t>
      </w:r>
      <w:r w:rsidR="00AD654F" w:rsidRPr="007B1ABF">
        <w:t>cost-based capacity rate from FERC that would be c</w:t>
      </w:r>
      <w:r w:rsidR="002857D4" w:rsidRPr="007B1ABF">
        <w:t xml:space="preserve">harged to CRES providers in its </w:t>
      </w:r>
      <w:r w:rsidR="00AD654F" w:rsidRPr="007B1ABF">
        <w:t>service territory.</w:t>
      </w:r>
      <w:r w:rsidR="00DC512C" w:rsidRPr="007B1ABF">
        <w:rPr>
          <w:rStyle w:val="FootnoteReference"/>
        </w:rPr>
        <w:footnoteReference w:id="23"/>
      </w:r>
      <w:r w:rsidR="00AD654F" w:rsidRPr="007B1ABF">
        <w:t xml:space="preserve"> </w:t>
      </w:r>
      <w:r w:rsidR="00F953FE">
        <w:t xml:space="preserve"> </w:t>
      </w:r>
      <w:r w:rsidR="00AD654F" w:rsidRPr="007B1ABF">
        <w:t>Duke Energy Corpora</w:t>
      </w:r>
      <w:r w:rsidR="002857D4" w:rsidRPr="007B1ABF">
        <w:t>tion</w:t>
      </w:r>
      <w:r w:rsidR="00F953FE">
        <w:t xml:space="preserve"> intervened in the</w:t>
      </w:r>
      <w:r w:rsidR="002857D4" w:rsidRPr="007B1ABF">
        <w:t xml:space="preserve"> </w:t>
      </w:r>
      <w:r w:rsidR="00F953FE">
        <w:t xml:space="preserve">complaint dockets, which </w:t>
      </w:r>
      <w:r w:rsidR="003B5FEE">
        <w:t xml:space="preserve">currently </w:t>
      </w:r>
      <w:r w:rsidR="00F953FE">
        <w:t>remain</w:t>
      </w:r>
      <w:r w:rsidR="002857D4" w:rsidRPr="007B1ABF">
        <w:t xml:space="preserve"> pending at the FERC. </w:t>
      </w:r>
    </w:p>
    <w:p w:rsidR="003C217C" w:rsidRDefault="003C217C" w:rsidP="00263A62">
      <w:pPr>
        <w:pStyle w:val="Textstyle"/>
      </w:pPr>
      <w:r>
        <w:t>In July 2012, the Commission</w:t>
      </w:r>
      <w:r w:rsidRPr="007B1ABF">
        <w:t xml:space="preserve"> issued an Order in AEP Ohio’s Capacity Charge case.</w:t>
      </w:r>
      <w:r w:rsidRPr="007B1ABF">
        <w:rPr>
          <w:rStyle w:val="FootnoteReference"/>
        </w:rPr>
        <w:footnoteReference w:id="24"/>
      </w:r>
      <w:r w:rsidRPr="007B1ABF">
        <w:t xml:space="preserve"> </w:t>
      </w:r>
      <w:r>
        <w:t xml:space="preserve"> </w:t>
      </w:r>
      <w:r w:rsidRPr="007B1ABF">
        <w:t>The</w:t>
      </w:r>
      <w:r>
        <w:t xml:space="preserve"> Commission</w:t>
      </w:r>
      <w:r w:rsidRPr="007B1ABF">
        <w:t xml:space="preserve"> determined that AEP Ohio’s embedded cost of capacity is $188</w:t>
      </w:r>
      <w:r>
        <w:t>.88/MW-day;</w:t>
      </w:r>
      <w:r w:rsidRPr="007B1ABF">
        <w:rPr>
          <w:rStyle w:val="FootnoteReference"/>
        </w:rPr>
        <w:footnoteReference w:id="25"/>
      </w:r>
      <w:r w:rsidRPr="007B1ABF">
        <w:t xml:space="preserve"> AEP Ohio will provide capacity to CRE</w:t>
      </w:r>
      <w:r>
        <w:t>S providers at RPM;</w:t>
      </w:r>
      <w:r w:rsidRPr="007B1ABF">
        <w:rPr>
          <w:rStyle w:val="FootnoteReference"/>
        </w:rPr>
        <w:footnoteReference w:id="26"/>
      </w:r>
      <w:r>
        <w:t xml:space="preserve"> and</w:t>
      </w:r>
      <w:r w:rsidRPr="007B1ABF">
        <w:t xml:space="preserve"> A</w:t>
      </w:r>
      <w:r>
        <w:t>EP Ohio may</w:t>
      </w:r>
      <w:r w:rsidRPr="007B1ABF">
        <w:t xml:space="preserve"> defer the difference between $188.88/MW-day and the RPM-based cost of cap</w:t>
      </w:r>
      <w:r>
        <w:t>acity for subsequent collection</w:t>
      </w:r>
      <w:r w:rsidRPr="007B1ABF">
        <w:t>.</w:t>
      </w:r>
      <w:r w:rsidRPr="007B1ABF">
        <w:rPr>
          <w:rStyle w:val="FootnoteReference"/>
        </w:rPr>
        <w:footnoteReference w:id="27"/>
      </w:r>
      <w:r>
        <w:t xml:space="preserve">  In August 2012,</w:t>
      </w:r>
      <w:r w:rsidRPr="007B1ABF">
        <w:t xml:space="preserve"> the</w:t>
      </w:r>
      <w:r>
        <w:t xml:space="preserve"> Commission</w:t>
      </w:r>
      <w:r w:rsidRPr="007B1ABF">
        <w:t xml:space="preserve"> issued its deci</w:t>
      </w:r>
      <w:r w:rsidR="00275FA9">
        <w:softHyphen/>
      </w:r>
      <w:r w:rsidRPr="007B1ABF">
        <w:t>sion in AEP Ohio’s electric security plan proceeding</w:t>
      </w:r>
      <w:r w:rsidR="009245FF" w:rsidRPr="009245FF">
        <w:t xml:space="preserve"> </w:t>
      </w:r>
      <w:r w:rsidR="009245FF">
        <w:t>approving</w:t>
      </w:r>
      <w:r w:rsidR="009245FF" w:rsidRPr="007B1ABF">
        <w:t xml:space="preserve"> </w:t>
      </w:r>
      <w:r w:rsidR="009245FF">
        <w:t>a Retail Stability Rider that</w:t>
      </w:r>
      <w:r w:rsidR="009245FF" w:rsidRPr="007B1ABF">
        <w:t xml:space="preserve"> will generate</w:t>
      </w:r>
      <w:r w:rsidR="009245FF">
        <w:t xml:space="preserve"> approximately</w:t>
      </w:r>
      <w:r w:rsidR="009245FF" w:rsidRPr="007B1ABF">
        <w:t xml:space="preserve"> $508 millio</w:t>
      </w:r>
      <w:r w:rsidR="009245FF">
        <w:t>n over three years for AEP Ohio</w:t>
      </w:r>
      <w:r w:rsidRPr="007B1ABF">
        <w:t>.</w:t>
      </w:r>
      <w:r w:rsidRPr="007B1ABF">
        <w:rPr>
          <w:rStyle w:val="FootnoteReference"/>
        </w:rPr>
        <w:footnoteReference w:id="28"/>
      </w:r>
      <w:r w:rsidRPr="007B1ABF">
        <w:t xml:space="preserve">  </w:t>
      </w:r>
    </w:p>
    <w:p w:rsidR="00A06E0A" w:rsidRPr="006167D8" w:rsidRDefault="00A06E0A" w:rsidP="00263A62">
      <w:pPr>
        <w:pStyle w:val="Heading2"/>
      </w:pPr>
      <w:bookmarkStart w:id="7" w:name="_Toc343779871"/>
      <w:r w:rsidRPr="006167D8">
        <w:lastRenderedPageBreak/>
        <w:t>Summary</w:t>
      </w:r>
      <w:bookmarkEnd w:id="7"/>
    </w:p>
    <w:p w:rsidR="006167D8" w:rsidRPr="00445E0D" w:rsidRDefault="00E74D6D" w:rsidP="00263A62">
      <w:pPr>
        <w:pStyle w:val="Textstyle"/>
      </w:pPr>
      <w:r>
        <w:t>R</w:t>
      </w:r>
      <w:r w:rsidR="009245FF">
        <w:t>ather than pursuing a</w:t>
      </w:r>
      <w:r w:rsidR="002857D4" w:rsidRPr="007B1ABF">
        <w:t xml:space="preserve"> claim for cost-based pricing </w:t>
      </w:r>
      <w:r w:rsidR="00AD654F" w:rsidRPr="007B1ABF">
        <w:t xml:space="preserve">for capacity as the state compensation mechanism, Duke </w:t>
      </w:r>
      <w:r w:rsidR="00F953FE">
        <w:t>settled its ESP case agreeing</w:t>
      </w:r>
      <w:r w:rsidR="002857D4" w:rsidRPr="007B1ABF">
        <w:t xml:space="preserve"> </w:t>
      </w:r>
      <w:r w:rsidR="00AD654F" w:rsidRPr="007B1ABF">
        <w:t>to RPM pricing plus the $330 million</w:t>
      </w:r>
      <w:r w:rsidR="00F953FE">
        <w:t xml:space="preserve"> ESSC rider a</w:t>
      </w:r>
      <w:r w:rsidR="002857D4" w:rsidRPr="007B1ABF">
        <w:t>nd</w:t>
      </w:r>
      <w:r w:rsidR="00AD654F" w:rsidRPr="007B1ABF">
        <w:t xml:space="preserve"> </w:t>
      </w:r>
      <w:r w:rsidR="002857D4" w:rsidRPr="007B1ABF">
        <w:t>settled</w:t>
      </w:r>
      <w:r w:rsidR="00F953FE">
        <w:t xml:space="preserve"> its</w:t>
      </w:r>
      <w:r w:rsidR="002857D4" w:rsidRPr="007B1ABF">
        <w:t xml:space="preserve"> </w:t>
      </w:r>
      <w:r w:rsidR="00F953FE" w:rsidRPr="007B1ABF">
        <w:t>MISO/PJM transfer case</w:t>
      </w:r>
      <w:r w:rsidR="00F953FE">
        <w:t xml:space="preserve"> agreeing</w:t>
      </w:r>
      <w:r w:rsidR="002857D4" w:rsidRPr="007B1ABF">
        <w:t xml:space="preserve"> not to seek </w:t>
      </w:r>
      <w:r w:rsidR="00AD654F" w:rsidRPr="007B1ABF">
        <w:t>FERC approval of</w:t>
      </w:r>
      <w:r w:rsidR="002857D4" w:rsidRPr="007B1ABF">
        <w:t xml:space="preserve"> cost-based pricing for its FRR </w:t>
      </w:r>
      <w:r w:rsidR="00AD654F" w:rsidRPr="007B1ABF">
        <w:t>obligations under the PJM RAA.</w:t>
      </w:r>
      <w:r w:rsidR="00A53C7D" w:rsidRPr="007B1ABF">
        <w:rPr>
          <w:rStyle w:val="FootnoteReference"/>
        </w:rPr>
        <w:footnoteReference w:id="29"/>
      </w:r>
      <w:r w:rsidR="002857D4" w:rsidRPr="007B1ABF">
        <w:t xml:space="preserve"> </w:t>
      </w:r>
      <w:r w:rsidR="00275FA9">
        <w:t xml:space="preserve"> </w:t>
      </w:r>
      <w:r w:rsidR="0014231E">
        <w:t>Yet</w:t>
      </w:r>
      <w:r w:rsidR="00AD654F" w:rsidRPr="007B1ABF">
        <w:t xml:space="preserve"> Duke</w:t>
      </w:r>
      <w:r>
        <w:t xml:space="preserve"> </w:t>
      </w:r>
      <w:r w:rsidR="00A06E0A">
        <w:t xml:space="preserve">now </w:t>
      </w:r>
      <w:r>
        <w:t>wants</w:t>
      </w:r>
      <w:r w:rsidR="00AD654F" w:rsidRPr="007B1ABF">
        <w:t xml:space="preserve"> AE</w:t>
      </w:r>
      <w:r w:rsidR="002857D4" w:rsidRPr="007B1ABF">
        <w:t>P Ohio’s</w:t>
      </w:r>
      <w:r>
        <w:t xml:space="preserve"> deal</w:t>
      </w:r>
      <w:r w:rsidR="002857D4" w:rsidRPr="007B1ABF">
        <w:t xml:space="preserve">. </w:t>
      </w:r>
      <w:r>
        <w:t xml:space="preserve"> </w:t>
      </w:r>
      <w:r w:rsidR="00AD654F" w:rsidRPr="007B1ABF">
        <w:t>Unlike AEP Ohio who continued to take the risk of litiga</w:t>
      </w:r>
      <w:r w:rsidR="002857D4" w:rsidRPr="007B1ABF">
        <w:t>tion, Duke</w:t>
      </w:r>
      <w:r w:rsidR="00914964">
        <w:t xml:space="preserve"> opted for</w:t>
      </w:r>
      <w:r w:rsidR="0014231E">
        <w:t xml:space="preserve"> regulatory certainty in</w:t>
      </w:r>
      <w:r w:rsidR="00A06E0A">
        <w:t xml:space="preserve"> </w:t>
      </w:r>
      <w:r w:rsidR="0014231E">
        <w:t>settling the</w:t>
      </w:r>
      <w:r w:rsidR="002857D4" w:rsidRPr="007B1ABF">
        <w:t xml:space="preserve"> two </w:t>
      </w:r>
      <w:r w:rsidR="00AD654F" w:rsidRPr="007B1ABF">
        <w:t xml:space="preserve">proceedings. </w:t>
      </w:r>
      <w:r>
        <w:t xml:space="preserve"> </w:t>
      </w:r>
      <w:r w:rsidR="00AD654F" w:rsidRPr="007B1ABF">
        <w:t>Those</w:t>
      </w:r>
      <w:r w:rsidR="00445E0D">
        <w:t xml:space="preserve"> two</w:t>
      </w:r>
      <w:r w:rsidR="00AD654F" w:rsidRPr="007B1ABF">
        <w:t xml:space="preserve"> sti</w:t>
      </w:r>
      <w:r w:rsidR="002857D4" w:rsidRPr="007B1ABF">
        <w:t xml:space="preserve">pulations were reached </w:t>
      </w:r>
      <w:r w:rsidR="00AD654F" w:rsidRPr="007B1ABF">
        <w:t>well after AEP Ohio filed</w:t>
      </w:r>
      <w:r w:rsidR="002857D4" w:rsidRPr="007B1ABF">
        <w:t xml:space="preserve"> proceedings at the state and </w:t>
      </w:r>
      <w:r w:rsidR="00AD654F" w:rsidRPr="007B1ABF">
        <w:t>federal levels</w:t>
      </w:r>
      <w:r w:rsidR="00445E0D">
        <w:t xml:space="preserve"> regarding the exact same issues.</w:t>
      </w:r>
      <w:r w:rsidR="00AD654F" w:rsidRPr="007B1ABF">
        <w:t xml:space="preserve"> </w:t>
      </w:r>
      <w:r w:rsidR="00A47440">
        <w:t xml:space="preserve"> Through those</w:t>
      </w:r>
      <w:r w:rsidR="00445E0D">
        <w:t xml:space="preserve"> S</w:t>
      </w:r>
      <w:r w:rsidR="002857D4" w:rsidRPr="007B1ABF">
        <w:t xml:space="preserve">tipulations Duke chose to </w:t>
      </w:r>
      <w:r w:rsidR="00AD654F" w:rsidRPr="007B1ABF">
        <w:t>resolve the wholesale capacity pricing issue by accepti</w:t>
      </w:r>
      <w:r w:rsidR="002857D4" w:rsidRPr="007B1ABF">
        <w:t xml:space="preserve">ng RPM priced capacity plus the </w:t>
      </w:r>
      <w:r w:rsidR="00AD654F" w:rsidRPr="007B1ABF">
        <w:t>$330 million ESSC, foregoing any challenges to the wh</w:t>
      </w:r>
      <w:r w:rsidR="002857D4" w:rsidRPr="007B1ABF">
        <w:t xml:space="preserve">olesale capacity pricing at the </w:t>
      </w:r>
      <w:r w:rsidR="00AD654F" w:rsidRPr="007B1ABF">
        <w:t>state an</w:t>
      </w:r>
      <w:r w:rsidR="00BC046E">
        <w:t>d federal level.</w:t>
      </w:r>
      <w:r w:rsidR="00EE3034">
        <w:t xml:space="preserve">  </w:t>
      </w:r>
      <w:r w:rsidR="00A06E0A" w:rsidRPr="007B1ABF">
        <w:t xml:space="preserve">Duke’s </w:t>
      </w:r>
      <w:r w:rsidR="00551DEF">
        <w:t xml:space="preserve">current </w:t>
      </w:r>
      <w:r w:rsidR="00A06E0A" w:rsidRPr="007B1ABF">
        <w:t>application</w:t>
      </w:r>
      <w:r w:rsidR="00445E0D">
        <w:t xml:space="preserve"> is improper</w:t>
      </w:r>
      <w:r w:rsidR="00A06E0A" w:rsidRPr="007B1ABF">
        <w:t xml:space="preserve"> should be</w:t>
      </w:r>
      <w:r w:rsidR="00A06E0A">
        <w:t xml:space="preserve"> denied</w:t>
      </w:r>
      <w:r w:rsidR="00A06E0A" w:rsidRPr="007B1ABF">
        <w:t>.</w:t>
      </w:r>
    </w:p>
    <w:p w:rsidR="00AD654F" w:rsidRPr="007B1ABF" w:rsidRDefault="00AD654F" w:rsidP="006167D8">
      <w:pPr>
        <w:pStyle w:val="Heading1"/>
      </w:pPr>
      <w:bookmarkStart w:id="8" w:name="_Toc343779872"/>
      <w:r w:rsidRPr="007B1ABF">
        <w:t xml:space="preserve">II. </w:t>
      </w:r>
      <w:r w:rsidR="007B1ABF">
        <w:tab/>
      </w:r>
      <w:r w:rsidRPr="007B1ABF">
        <w:t>ARGUMENT</w:t>
      </w:r>
      <w:bookmarkEnd w:id="8"/>
    </w:p>
    <w:p w:rsidR="00E07D19" w:rsidRPr="006167D8" w:rsidRDefault="001B6A58" w:rsidP="00263A62">
      <w:pPr>
        <w:pStyle w:val="Heading2"/>
        <w:numPr>
          <w:ilvl w:val="0"/>
          <w:numId w:val="10"/>
        </w:numPr>
      </w:pPr>
      <w:bookmarkStart w:id="9" w:name="_Toc343779873"/>
      <w:r w:rsidRPr="006167D8">
        <w:t>Duke’s Application</w:t>
      </w:r>
      <w:r w:rsidR="00C75351" w:rsidRPr="006167D8">
        <w:t xml:space="preserve"> ignores to the ESP Stipulation by</w:t>
      </w:r>
      <w:r w:rsidRPr="006167D8">
        <w:t xml:space="preserve"> asking the Commis</w:t>
      </w:r>
      <w:r w:rsidR="00275FA9">
        <w:softHyphen/>
      </w:r>
      <w:r w:rsidRPr="006167D8">
        <w:t>sion to ignore the capacity p</w:t>
      </w:r>
      <w:r w:rsidR="003B5FEE" w:rsidRPr="006167D8">
        <w:t>ricing terms of the Stipulation</w:t>
      </w:r>
      <w:r w:rsidRPr="006167D8">
        <w:t xml:space="preserve"> in favor of a cost-based capacity charge.</w:t>
      </w:r>
      <w:bookmarkEnd w:id="9"/>
      <w:r w:rsidRPr="006167D8">
        <w:t xml:space="preserve">  </w:t>
      </w:r>
    </w:p>
    <w:p w:rsidR="001B6A58" w:rsidRPr="001B6A58" w:rsidRDefault="001B6A58" w:rsidP="00C30CF1">
      <w:pPr>
        <w:pStyle w:val="Heading3"/>
      </w:pPr>
      <w:bookmarkStart w:id="10" w:name="_Toc343779874"/>
      <w:r>
        <w:t>Settlement Process Integrity</w:t>
      </w:r>
      <w:bookmarkEnd w:id="10"/>
    </w:p>
    <w:p w:rsidR="00C322B0" w:rsidRDefault="001B6A58" w:rsidP="00263A62">
      <w:pPr>
        <w:pStyle w:val="Textstyle"/>
      </w:pPr>
      <w:r w:rsidRPr="001B6A58">
        <w:t>The Commission should enforce the terms of the Duke ESP Stipulation that priced capacity at RPM</w:t>
      </w:r>
      <w:r w:rsidR="00EA0F7E">
        <w:t xml:space="preserve"> and provided Duke with an ESSC </w:t>
      </w:r>
      <w:r w:rsidRPr="001B6A58">
        <w:t>Rider worth $330 Million.</w:t>
      </w:r>
      <w:r>
        <w:t xml:space="preserve">  </w:t>
      </w:r>
      <w:r w:rsidR="00E53264" w:rsidRPr="007B1ABF">
        <w:t>Duke is</w:t>
      </w:r>
      <w:r w:rsidR="00C75351">
        <w:t xml:space="preserve"> ignoring</w:t>
      </w:r>
      <w:r w:rsidR="00E53264">
        <w:t xml:space="preserve"> a</w:t>
      </w:r>
      <w:r w:rsidR="00E53264" w:rsidRPr="007B1ABF">
        <w:t xml:space="preserve"> term of the</w:t>
      </w:r>
      <w:r w:rsidR="00E53264">
        <w:t xml:space="preserve"> ESP Stipulation by asking</w:t>
      </w:r>
      <w:r w:rsidR="00E53264" w:rsidRPr="007B1ABF">
        <w:t xml:space="preserve"> the Commission to</w:t>
      </w:r>
      <w:r w:rsidR="00E53264">
        <w:t xml:space="preserve"> ignore</w:t>
      </w:r>
      <w:r w:rsidR="00E53264" w:rsidRPr="007B1ABF">
        <w:t xml:space="preserve"> the capacity </w:t>
      </w:r>
      <w:r w:rsidR="00E53264" w:rsidRPr="007B1ABF">
        <w:lastRenderedPageBreak/>
        <w:t>pricing</w:t>
      </w:r>
      <w:r w:rsidR="00E53264">
        <w:t xml:space="preserve"> terms</w:t>
      </w:r>
      <w:r w:rsidR="003B5FEE">
        <w:t xml:space="preserve"> of the </w:t>
      </w:r>
      <w:r w:rsidR="00A47440">
        <w:t xml:space="preserve">ESP </w:t>
      </w:r>
      <w:r w:rsidR="003B5FEE">
        <w:t>Stipulation</w:t>
      </w:r>
      <w:r w:rsidR="00E53264" w:rsidRPr="007B1ABF">
        <w:t xml:space="preserve"> in favor of a cost-based capacity charge. </w:t>
      </w:r>
      <w:r w:rsidR="00E53264">
        <w:t xml:space="preserve"> </w:t>
      </w:r>
      <w:r w:rsidR="00C322B0">
        <w:t>Duke</w:t>
      </w:r>
      <w:r w:rsidR="00C322B0" w:rsidRPr="007B1ABF">
        <w:t xml:space="preserve"> </w:t>
      </w:r>
      <w:r w:rsidR="003E2B83">
        <w:t xml:space="preserve">improperly </w:t>
      </w:r>
      <w:r w:rsidR="00C322B0" w:rsidRPr="007B1ABF">
        <w:t>undermine</w:t>
      </w:r>
      <w:r w:rsidR="00C322B0">
        <w:t>s</w:t>
      </w:r>
      <w:r w:rsidR="00C322B0" w:rsidRPr="007B1ABF">
        <w:t xml:space="preserve"> the </w:t>
      </w:r>
      <w:r w:rsidR="003E2B83">
        <w:t xml:space="preserve">negotiated </w:t>
      </w:r>
      <w:r w:rsidR="00C322B0" w:rsidRPr="007B1ABF">
        <w:t>Stipulation.</w:t>
      </w:r>
      <w:r w:rsidR="00C322B0">
        <w:t xml:space="preserve">  </w:t>
      </w:r>
      <w:r w:rsidR="00CE274A">
        <w:t>The Commission must</w:t>
      </w:r>
      <w:r w:rsidR="00CE274A" w:rsidRPr="007B1ABF">
        <w:t xml:space="preserve"> affirm the integrity of the settlement process</w:t>
      </w:r>
      <w:r w:rsidR="00CE274A">
        <w:t xml:space="preserve"> and</w:t>
      </w:r>
      <w:r w:rsidR="00CE274A" w:rsidRPr="007B1ABF">
        <w:t xml:space="preserve"> Parties are entitled to rely on the Commission to enforce the provisions of the ESP Stipulation that it approved less than a year ago. </w:t>
      </w:r>
      <w:r w:rsidR="00CE274A">
        <w:t xml:space="preserve"> </w:t>
      </w:r>
      <w:r w:rsidR="00CE274A" w:rsidRPr="007B1ABF">
        <w:t>As the Commission has</w:t>
      </w:r>
      <w:r w:rsidR="00CE274A">
        <w:t xml:space="preserve"> recognized</w:t>
      </w:r>
      <w:r w:rsidR="00CE274A" w:rsidRPr="007B1ABF">
        <w:t>, parties must keep their commitments made in stipulations.</w:t>
      </w:r>
      <w:r w:rsidR="00CE274A" w:rsidRPr="007B1ABF">
        <w:rPr>
          <w:rStyle w:val="FootnoteReference"/>
        </w:rPr>
        <w:footnoteReference w:id="30"/>
      </w:r>
      <w:r w:rsidR="00CE274A" w:rsidRPr="007B1ABF">
        <w:t xml:space="preserve">  </w:t>
      </w:r>
      <w:r w:rsidR="00E53264">
        <w:t>T</w:t>
      </w:r>
      <w:r w:rsidR="00AD654F" w:rsidRPr="007B1ABF">
        <w:t>he</w:t>
      </w:r>
      <w:r w:rsidR="00E53264">
        <w:t xml:space="preserve"> ESP</w:t>
      </w:r>
      <w:r w:rsidR="00AD654F" w:rsidRPr="007B1ABF">
        <w:t xml:space="preserve"> Stipulation</w:t>
      </w:r>
      <w:r w:rsidR="00E53264">
        <w:t xml:space="preserve"> states:</w:t>
      </w:r>
      <w:r w:rsidR="00E07D19" w:rsidRPr="007B1ABF">
        <w:t xml:space="preserve"> </w:t>
      </w:r>
    </w:p>
    <w:p w:rsidR="00E53264" w:rsidRDefault="00E07D19" w:rsidP="00263A62">
      <w:pPr>
        <w:pStyle w:val="Blockquote"/>
      </w:pPr>
      <w:r w:rsidRPr="007B1ABF">
        <w:t xml:space="preserve">[a]t any hearing and in </w:t>
      </w:r>
      <w:r w:rsidR="00AD654F" w:rsidRPr="007B1ABF">
        <w:t>any docu</w:t>
      </w:r>
      <w:r w:rsidR="00AC57E1">
        <w:t>ments or briefs filed with the C</w:t>
      </w:r>
      <w:r w:rsidR="00AD654F" w:rsidRPr="007B1ABF">
        <w:t>ommission in r</w:t>
      </w:r>
      <w:r w:rsidRPr="007B1ABF">
        <w:t xml:space="preserve">espect of the Stipulation, each </w:t>
      </w:r>
      <w:r w:rsidR="00AD654F" w:rsidRPr="007B1ABF">
        <w:t>Signatory Party agrees to support the Stipulation and do nothing, directly or indirectly, t</w:t>
      </w:r>
      <w:r w:rsidRPr="007B1ABF">
        <w:t xml:space="preserve">o </w:t>
      </w:r>
      <w:r w:rsidR="00AD654F" w:rsidRPr="007B1ABF">
        <w:t>undermine the Stipulation***.”</w:t>
      </w:r>
      <w:r w:rsidR="00F97594" w:rsidRPr="007B1ABF">
        <w:rPr>
          <w:rStyle w:val="FootnoteReference"/>
        </w:rPr>
        <w:footnoteReference w:id="31"/>
      </w:r>
      <w:r w:rsidR="00F97594" w:rsidRPr="007B1ABF">
        <w:t xml:space="preserve"> </w:t>
      </w:r>
      <w:r w:rsidR="00AD654F" w:rsidRPr="007B1ABF">
        <w:t xml:space="preserve"> </w:t>
      </w:r>
    </w:p>
    <w:p w:rsidR="00E53264" w:rsidRDefault="00E53264" w:rsidP="00E53264">
      <w:pPr>
        <w:autoSpaceDE w:val="0"/>
        <w:autoSpaceDN w:val="0"/>
        <w:adjustRightInd w:val="0"/>
        <w:spacing w:after="0" w:line="240" w:lineRule="auto"/>
        <w:ind w:firstLine="720"/>
        <w:rPr>
          <w:rFonts w:ascii="Times New Roman" w:hAnsi="Times New Roman" w:cs="Times New Roman"/>
          <w:sz w:val="26"/>
          <w:szCs w:val="26"/>
        </w:rPr>
      </w:pPr>
    </w:p>
    <w:p w:rsidR="00C322B0" w:rsidRPr="00263A62" w:rsidRDefault="00AD654F" w:rsidP="00263A62">
      <w:pPr>
        <w:rPr>
          <w:rFonts w:ascii="Times New Roman" w:hAnsi="Times New Roman" w:cs="Times New Roman"/>
          <w:sz w:val="26"/>
          <w:szCs w:val="26"/>
        </w:rPr>
      </w:pPr>
      <w:r w:rsidRPr="00263A62">
        <w:rPr>
          <w:rFonts w:ascii="Times New Roman" w:hAnsi="Times New Roman" w:cs="Times New Roman"/>
          <w:sz w:val="26"/>
          <w:szCs w:val="26"/>
        </w:rPr>
        <w:t>The Stipulation also</w:t>
      </w:r>
      <w:r w:rsidR="00E53264" w:rsidRPr="00263A62">
        <w:rPr>
          <w:rFonts w:ascii="Times New Roman" w:hAnsi="Times New Roman" w:cs="Times New Roman"/>
          <w:sz w:val="26"/>
          <w:szCs w:val="26"/>
        </w:rPr>
        <w:t xml:space="preserve"> states that</w:t>
      </w:r>
      <w:r w:rsidR="00C322B0" w:rsidRPr="00263A62">
        <w:rPr>
          <w:rFonts w:ascii="Times New Roman" w:hAnsi="Times New Roman" w:cs="Times New Roman"/>
          <w:sz w:val="26"/>
          <w:szCs w:val="26"/>
        </w:rPr>
        <w:t>:</w:t>
      </w:r>
      <w:r w:rsidR="00E53264" w:rsidRPr="00263A62">
        <w:rPr>
          <w:rFonts w:ascii="Times New Roman" w:hAnsi="Times New Roman" w:cs="Times New Roman"/>
          <w:sz w:val="26"/>
          <w:szCs w:val="26"/>
        </w:rPr>
        <w:t xml:space="preserve"> </w:t>
      </w:r>
    </w:p>
    <w:p w:rsidR="00934BBF" w:rsidRDefault="00E53264" w:rsidP="00263A62">
      <w:pPr>
        <w:pStyle w:val="Blockquote"/>
      </w:pPr>
      <w:proofErr w:type="gramStart"/>
      <w:r>
        <w:t>each</w:t>
      </w:r>
      <w:proofErr w:type="gramEnd"/>
      <w:r w:rsidR="00E07D19" w:rsidRPr="007B1ABF">
        <w:t xml:space="preserve"> Signatory Party </w:t>
      </w:r>
      <w:r w:rsidR="00AD654F" w:rsidRPr="007B1ABF">
        <w:t>agrees to support the reasonableness of the Stipulation, an</w:t>
      </w:r>
      <w:r w:rsidR="00E07D19" w:rsidRPr="007B1ABF">
        <w:t xml:space="preserve">d “take no position contrary to </w:t>
      </w:r>
      <w:r w:rsidR="00AD654F" w:rsidRPr="007B1ABF">
        <w:t xml:space="preserve">the support for the reasonableness of the ESP and this Stipulation in any </w:t>
      </w:r>
      <w:r w:rsidR="00E07D19" w:rsidRPr="007B1ABF">
        <w:t xml:space="preserve">appeal from the </w:t>
      </w:r>
      <w:r w:rsidR="00AD654F" w:rsidRPr="007B1ABF">
        <w:t>Commission’s adoption and/or enforcement of this ESP and this Stipulation.”</w:t>
      </w:r>
      <w:r w:rsidR="00F97594" w:rsidRPr="007B1ABF">
        <w:rPr>
          <w:rStyle w:val="FootnoteReference"/>
        </w:rPr>
        <w:footnoteReference w:id="32"/>
      </w:r>
      <w:r w:rsidR="00E07D19" w:rsidRPr="007B1ABF">
        <w:t xml:space="preserve"> </w:t>
      </w:r>
    </w:p>
    <w:p w:rsidR="00934BBF" w:rsidRPr="00263A62" w:rsidRDefault="00AD654F" w:rsidP="00263A62">
      <w:pPr>
        <w:spacing w:after="0" w:line="480" w:lineRule="auto"/>
        <w:rPr>
          <w:rFonts w:ascii="Times New Roman" w:hAnsi="Times New Roman" w:cs="Times New Roman"/>
          <w:sz w:val="26"/>
          <w:szCs w:val="26"/>
        </w:rPr>
      </w:pPr>
      <w:r w:rsidRPr="00263A62">
        <w:rPr>
          <w:rFonts w:ascii="Times New Roman" w:hAnsi="Times New Roman" w:cs="Times New Roman"/>
          <w:sz w:val="26"/>
          <w:szCs w:val="26"/>
        </w:rPr>
        <w:t xml:space="preserve">Duke’s </w:t>
      </w:r>
      <w:r w:rsidR="00A47440" w:rsidRPr="00263A62">
        <w:rPr>
          <w:rFonts w:ascii="Times New Roman" w:hAnsi="Times New Roman" w:cs="Times New Roman"/>
          <w:sz w:val="26"/>
          <w:szCs w:val="26"/>
        </w:rPr>
        <w:t xml:space="preserve">current </w:t>
      </w:r>
      <w:r w:rsidRPr="00263A62">
        <w:rPr>
          <w:rFonts w:ascii="Times New Roman" w:hAnsi="Times New Roman" w:cs="Times New Roman"/>
          <w:sz w:val="26"/>
          <w:szCs w:val="26"/>
        </w:rPr>
        <w:t>filing</w:t>
      </w:r>
      <w:r w:rsidR="00A47440" w:rsidRPr="00263A62">
        <w:rPr>
          <w:rFonts w:ascii="Times New Roman" w:hAnsi="Times New Roman" w:cs="Times New Roman"/>
          <w:sz w:val="26"/>
          <w:szCs w:val="26"/>
        </w:rPr>
        <w:t xml:space="preserve"> regarding</w:t>
      </w:r>
      <w:r w:rsidRPr="00263A62">
        <w:rPr>
          <w:rFonts w:ascii="Times New Roman" w:hAnsi="Times New Roman" w:cs="Times New Roman"/>
          <w:sz w:val="26"/>
          <w:szCs w:val="26"/>
        </w:rPr>
        <w:t xml:space="preserve"> cost-based pricing of capacity is c</w:t>
      </w:r>
      <w:r w:rsidR="00E07D19" w:rsidRPr="00263A62">
        <w:rPr>
          <w:rFonts w:ascii="Times New Roman" w:hAnsi="Times New Roman" w:cs="Times New Roman"/>
          <w:sz w:val="26"/>
          <w:szCs w:val="26"/>
        </w:rPr>
        <w:t>ontrary to the Stipula</w:t>
      </w:r>
      <w:r w:rsidR="00275FA9">
        <w:rPr>
          <w:rFonts w:ascii="Times New Roman" w:hAnsi="Times New Roman" w:cs="Times New Roman"/>
          <w:sz w:val="26"/>
          <w:szCs w:val="26"/>
        </w:rPr>
        <w:softHyphen/>
      </w:r>
      <w:r w:rsidR="00E07D19" w:rsidRPr="00263A62">
        <w:rPr>
          <w:rFonts w:ascii="Times New Roman" w:hAnsi="Times New Roman" w:cs="Times New Roman"/>
          <w:sz w:val="26"/>
          <w:szCs w:val="26"/>
        </w:rPr>
        <w:t xml:space="preserve">tion, and </w:t>
      </w:r>
      <w:r w:rsidRPr="00263A62">
        <w:rPr>
          <w:rFonts w:ascii="Times New Roman" w:hAnsi="Times New Roman" w:cs="Times New Roman"/>
          <w:sz w:val="26"/>
          <w:szCs w:val="26"/>
        </w:rPr>
        <w:t>seeks to</w:t>
      </w:r>
      <w:r w:rsidR="00C75351" w:rsidRPr="00263A62">
        <w:rPr>
          <w:rFonts w:ascii="Times New Roman" w:hAnsi="Times New Roman" w:cs="Times New Roman"/>
          <w:sz w:val="26"/>
          <w:szCs w:val="26"/>
        </w:rPr>
        <w:t xml:space="preserve"> ignore</w:t>
      </w:r>
      <w:r w:rsidR="003E2B83" w:rsidRPr="00263A62">
        <w:rPr>
          <w:rFonts w:ascii="Times New Roman" w:hAnsi="Times New Roman" w:cs="Times New Roman"/>
          <w:sz w:val="26"/>
          <w:szCs w:val="26"/>
        </w:rPr>
        <w:t xml:space="preserve"> </w:t>
      </w:r>
      <w:r w:rsidR="00E07D19" w:rsidRPr="00263A62">
        <w:rPr>
          <w:rFonts w:ascii="Times New Roman" w:hAnsi="Times New Roman" w:cs="Times New Roman"/>
          <w:sz w:val="26"/>
          <w:szCs w:val="26"/>
        </w:rPr>
        <w:t xml:space="preserve">the Stipulation. </w:t>
      </w:r>
      <w:r w:rsidR="003E2B83" w:rsidRPr="00263A62">
        <w:rPr>
          <w:rFonts w:ascii="Times New Roman" w:hAnsi="Times New Roman" w:cs="Times New Roman"/>
          <w:sz w:val="26"/>
          <w:szCs w:val="26"/>
        </w:rPr>
        <w:t xml:space="preserve"> </w:t>
      </w:r>
      <w:r w:rsidRPr="00263A62">
        <w:rPr>
          <w:rFonts w:ascii="Times New Roman" w:hAnsi="Times New Roman" w:cs="Times New Roman"/>
          <w:sz w:val="26"/>
          <w:szCs w:val="26"/>
        </w:rPr>
        <w:t xml:space="preserve">The </w:t>
      </w:r>
      <w:r w:rsidR="00551DEF" w:rsidRPr="00263A62">
        <w:rPr>
          <w:rFonts w:ascii="Times New Roman" w:hAnsi="Times New Roman" w:cs="Times New Roman"/>
          <w:sz w:val="26"/>
          <w:szCs w:val="26"/>
        </w:rPr>
        <w:t xml:space="preserve">ESP </w:t>
      </w:r>
      <w:r w:rsidRPr="00263A62">
        <w:rPr>
          <w:rFonts w:ascii="Times New Roman" w:hAnsi="Times New Roman" w:cs="Times New Roman"/>
          <w:sz w:val="26"/>
          <w:szCs w:val="26"/>
        </w:rPr>
        <w:t>Stipu</w:t>
      </w:r>
      <w:r w:rsidR="00C75351" w:rsidRPr="00263A62">
        <w:rPr>
          <w:rFonts w:ascii="Times New Roman" w:hAnsi="Times New Roman" w:cs="Times New Roman"/>
          <w:sz w:val="26"/>
          <w:szCs w:val="26"/>
        </w:rPr>
        <w:t>lation should be enforced, not ignored</w:t>
      </w:r>
      <w:r w:rsidR="000B04F4" w:rsidRPr="00263A62">
        <w:rPr>
          <w:rFonts w:ascii="Times New Roman" w:hAnsi="Times New Roman" w:cs="Times New Roman"/>
          <w:sz w:val="26"/>
          <w:szCs w:val="26"/>
        </w:rPr>
        <w:t xml:space="preserve">. </w:t>
      </w:r>
      <w:r w:rsidR="003E2230" w:rsidRPr="00263A62">
        <w:rPr>
          <w:rFonts w:ascii="Times New Roman" w:hAnsi="Times New Roman" w:cs="Times New Roman"/>
          <w:sz w:val="26"/>
          <w:szCs w:val="26"/>
        </w:rPr>
        <w:t xml:space="preserve"> </w:t>
      </w:r>
      <w:r w:rsidR="000B04F4" w:rsidRPr="00263A62">
        <w:rPr>
          <w:rFonts w:ascii="Times New Roman" w:hAnsi="Times New Roman" w:cs="Times New Roman"/>
          <w:sz w:val="26"/>
          <w:szCs w:val="26"/>
        </w:rPr>
        <w:t>The</w:t>
      </w:r>
      <w:r w:rsidR="00E07D19" w:rsidRPr="00263A62">
        <w:rPr>
          <w:rFonts w:ascii="Times New Roman" w:hAnsi="Times New Roman" w:cs="Times New Roman"/>
          <w:sz w:val="26"/>
          <w:szCs w:val="26"/>
        </w:rPr>
        <w:t xml:space="preserve"> Commission</w:t>
      </w:r>
      <w:r w:rsidR="000B04F4" w:rsidRPr="00263A62">
        <w:rPr>
          <w:rFonts w:ascii="Times New Roman" w:hAnsi="Times New Roman" w:cs="Times New Roman"/>
          <w:sz w:val="26"/>
          <w:szCs w:val="26"/>
        </w:rPr>
        <w:t xml:space="preserve"> has</w:t>
      </w:r>
      <w:r w:rsidR="003E2230" w:rsidRPr="00263A62">
        <w:rPr>
          <w:rFonts w:ascii="Times New Roman" w:hAnsi="Times New Roman" w:cs="Times New Roman"/>
          <w:sz w:val="26"/>
          <w:szCs w:val="26"/>
        </w:rPr>
        <w:t xml:space="preserve"> enforced</w:t>
      </w:r>
      <w:r w:rsidRPr="00263A62">
        <w:rPr>
          <w:rFonts w:ascii="Times New Roman" w:hAnsi="Times New Roman" w:cs="Times New Roman"/>
          <w:sz w:val="26"/>
          <w:szCs w:val="26"/>
        </w:rPr>
        <w:t xml:space="preserve"> Stipulations whe</w:t>
      </w:r>
      <w:r w:rsidR="00E07D19" w:rsidRPr="00263A62">
        <w:rPr>
          <w:rFonts w:ascii="Times New Roman" w:hAnsi="Times New Roman" w:cs="Times New Roman"/>
          <w:sz w:val="26"/>
          <w:szCs w:val="26"/>
        </w:rPr>
        <w:t xml:space="preserve">n parties, including Duke, have </w:t>
      </w:r>
      <w:r w:rsidRPr="00263A62">
        <w:rPr>
          <w:rFonts w:ascii="Times New Roman" w:hAnsi="Times New Roman" w:cs="Times New Roman"/>
          <w:sz w:val="26"/>
          <w:szCs w:val="26"/>
        </w:rPr>
        <w:t>disregarded the terms of a stipulation and instead so</w:t>
      </w:r>
      <w:r w:rsidR="00E07D19" w:rsidRPr="00263A62">
        <w:rPr>
          <w:rFonts w:ascii="Times New Roman" w:hAnsi="Times New Roman" w:cs="Times New Roman"/>
          <w:sz w:val="26"/>
          <w:szCs w:val="26"/>
        </w:rPr>
        <w:t xml:space="preserve">ught remedies or relief that is </w:t>
      </w:r>
      <w:r w:rsidRPr="00263A62">
        <w:rPr>
          <w:rFonts w:ascii="Times New Roman" w:hAnsi="Times New Roman" w:cs="Times New Roman"/>
          <w:sz w:val="26"/>
          <w:szCs w:val="26"/>
        </w:rPr>
        <w:t>con</w:t>
      </w:r>
      <w:r w:rsidR="00275FA9">
        <w:rPr>
          <w:rFonts w:ascii="Times New Roman" w:hAnsi="Times New Roman" w:cs="Times New Roman"/>
          <w:sz w:val="26"/>
          <w:szCs w:val="26"/>
        </w:rPr>
        <w:softHyphen/>
      </w:r>
      <w:r w:rsidRPr="00263A62">
        <w:rPr>
          <w:rFonts w:ascii="Times New Roman" w:hAnsi="Times New Roman" w:cs="Times New Roman"/>
          <w:sz w:val="26"/>
          <w:szCs w:val="26"/>
        </w:rPr>
        <w:lastRenderedPageBreak/>
        <w:t>trary to a stipulation.</w:t>
      </w:r>
      <w:r w:rsidR="00F97594" w:rsidRPr="00263A62">
        <w:rPr>
          <w:rStyle w:val="FootnoteReference"/>
          <w:rFonts w:ascii="Times New Roman" w:hAnsi="Times New Roman" w:cs="Times New Roman"/>
          <w:sz w:val="26"/>
          <w:szCs w:val="26"/>
        </w:rPr>
        <w:footnoteReference w:id="33"/>
      </w:r>
      <w:r w:rsidR="00F97594" w:rsidRPr="00263A62">
        <w:rPr>
          <w:rFonts w:ascii="Times New Roman" w:hAnsi="Times New Roman" w:cs="Times New Roman"/>
          <w:sz w:val="26"/>
          <w:szCs w:val="26"/>
        </w:rPr>
        <w:t xml:space="preserve"> </w:t>
      </w:r>
      <w:r w:rsidRPr="00263A62">
        <w:rPr>
          <w:rFonts w:ascii="Times New Roman" w:hAnsi="Times New Roman" w:cs="Times New Roman"/>
          <w:sz w:val="26"/>
          <w:szCs w:val="26"/>
        </w:rPr>
        <w:t xml:space="preserve"> The Commission value</w:t>
      </w:r>
      <w:r w:rsidR="00E07D19" w:rsidRPr="00263A62">
        <w:rPr>
          <w:rFonts w:ascii="Times New Roman" w:hAnsi="Times New Roman" w:cs="Times New Roman"/>
          <w:sz w:val="26"/>
          <w:szCs w:val="26"/>
        </w:rPr>
        <w:t xml:space="preserve">s stipulations and has acted to </w:t>
      </w:r>
      <w:r w:rsidR="003B5FEE" w:rsidRPr="00263A62">
        <w:rPr>
          <w:rFonts w:ascii="Times New Roman" w:hAnsi="Times New Roman" w:cs="Times New Roman"/>
          <w:sz w:val="26"/>
          <w:szCs w:val="26"/>
        </w:rPr>
        <w:t>preserve the integrity of</w:t>
      </w:r>
      <w:r w:rsidRPr="00263A62">
        <w:rPr>
          <w:rFonts w:ascii="Times New Roman" w:hAnsi="Times New Roman" w:cs="Times New Roman"/>
          <w:sz w:val="26"/>
          <w:szCs w:val="26"/>
        </w:rPr>
        <w:t xml:space="preserve"> stipulations on many occasions.</w:t>
      </w:r>
      <w:r w:rsidR="00F97594" w:rsidRPr="00263A62">
        <w:rPr>
          <w:rStyle w:val="FootnoteReference"/>
          <w:rFonts w:ascii="Times New Roman" w:hAnsi="Times New Roman" w:cs="Times New Roman"/>
          <w:sz w:val="26"/>
          <w:szCs w:val="26"/>
        </w:rPr>
        <w:footnoteReference w:id="34"/>
      </w:r>
      <w:r w:rsidR="00F97594" w:rsidRPr="00263A62">
        <w:rPr>
          <w:rFonts w:ascii="Times New Roman" w:hAnsi="Times New Roman" w:cs="Times New Roman"/>
          <w:sz w:val="26"/>
          <w:szCs w:val="26"/>
        </w:rPr>
        <w:t xml:space="preserve"> </w:t>
      </w:r>
      <w:r w:rsidR="00E07D19" w:rsidRPr="00263A62">
        <w:rPr>
          <w:rFonts w:ascii="Times New Roman" w:hAnsi="Times New Roman" w:cs="Times New Roman"/>
          <w:sz w:val="26"/>
          <w:szCs w:val="26"/>
        </w:rPr>
        <w:t xml:space="preserve"> </w:t>
      </w:r>
      <w:r w:rsidR="00203FA7" w:rsidRPr="00263A62">
        <w:rPr>
          <w:rFonts w:ascii="Times New Roman" w:hAnsi="Times New Roman" w:cs="Times New Roman"/>
          <w:sz w:val="26"/>
          <w:szCs w:val="26"/>
        </w:rPr>
        <w:t xml:space="preserve"> To</w:t>
      </w:r>
      <w:r w:rsidR="00EA0F7E" w:rsidRPr="00263A62">
        <w:rPr>
          <w:rFonts w:ascii="Times New Roman" w:hAnsi="Times New Roman" w:cs="Times New Roman"/>
          <w:sz w:val="26"/>
          <w:szCs w:val="26"/>
        </w:rPr>
        <w:t xml:space="preserve"> allow Duke to m</w:t>
      </w:r>
      <w:r w:rsidR="003B5FEE" w:rsidRPr="00263A62">
        <w:rPr>
          <w:rFonts w:ascii="Times New Roman" w:hAnsi="Times New Roman" w:cs="Times New Roman"/>
          <w:sz w:val="26"/>
          <w:szCs w:val="26"/>
        </w:rPr>
        <w:t>odify the ESP Stipula</w:t>
      </w:r>
      <w:r w:rsidR="00275FA9">
        <w:rPr>
          <w:rFonts w:ascii="Times New Roman" w:hAnsi="Times New Roman" w:cs="Times New Roman"/>
          <w:sz w:val="26"/>
          <w:szCs w:val="26"/>
        </w:rPr>
        <w:softHyphen/>
      </w:r>
      <w:r w:rsidR="003B5FEE" w:rsidRPr="00263A62">
        <w:rPr>
          <w:rFonts w:ascii="Times New Roman" w:hAnsi="Times New Roman" w:cs="Times New Roman"/>
          <w:sz w:val="26"/>
          <w:szCs w:val="26"/>
        </w:rPr>
        <w:t>tion now invites</w:t>
      </w:r>
      <w:r w:rsidR="00EA0F7E" w:rsidRPr="00263A62">
        <w:rPr>
          <w:rFonts w:ascii="Times New Roman" w:hAnsi="Times New Roman" w:cs="Times New Roman"/>
          <w:sz w:val="26"/>
          <w:szCs w:val="26"/>
        </w:rPr>
        <w:t xml:space="preserve"> the reopening of</w:t>
      </w:r>
      <w:r w:rsidR="00203FA7" w:rsidRPr="00263A62">
        <w:rPr>
          <w:rFonts w:ascii="Times New Roman" w:hAnsi="Times New Roman" w:cs="Times New Roman"/>
          <w:sz w:val="26"/>
          <w:szCs w:val="26"/>
        </w:rPr>
        <w:t xml:space="preserve"> every settled case</w:t>
      </w:r>
      <w:r w:rsidR="00EA0F7E" w:rsidRPr="00263A62">
        <w:rPr>
          <w:rFonts w:ascii="Times New Roman" w:hAnsi="Times New Roman" w:cs="Times New Roman"/>
          <w:sz w:val="26"/>
          <w:szCs w:val="26"/>
        </w:rPr>
        <w:t xml:space="preserve"> when</w:t>
      </w:r>
      <w:r w:rsidR="00203FA7" w:rsidRPr="00263A62">
        <w:rPr>
          <w:rFonts w:ascii="Times New Roman" w:hAnsi="Times New Roman" w:cs="Times New Roman"/>
          <w:sz w:val="26"/>
          <w:szCs w:val="26"/>
        </w:rPr>
        <w:t xml:space="preserve"> any party</w:t>
      </w:r>
      <w:r w:rsidR="00EA0F7E" w:rsidRPr="00263A62">
        <w:rPr>
          <w:rFonts w:ascii="Times New Roman" w:hAnsi="Times New Roman" w:cs="Times New Roman"/>
          <w:sz w:val="26"/>
          <w:szCs w:val="26"/>
        </w:rPr>
        <w:t xml:space="preserve"> is dissatisfied</w:t>
      </w:r>
      <w:r w:rsidR="00203FA7" w:rsidRPr="00263A62">
        <w:rPr>
          <w:rFonts w:ascii="Times New Roman" w:hAnsi="Times New Roman" w:cs="Times New Roman"/>
          <w:sz w:val="26"/>
          <w:szCs w:val="26"/>
        </w:rPr>
        <w:t xml:space="preserve">.  </w:t>
      </w:r>
    </w:p>
    <w:p w:rsidR="00934BBF" w:rsidRDefault="00AD654F" w:rsidP="00263A62">
      <w:pPr>
        <w:pStyle w:val="Textstyle"/>
      </w:pPr>
      <w:r w:rsidRPr="007B1ABF">
        <w:t xml:space="preserve">The Signatory Parties to the Duke ESP </w:t>
      </w:r>
      <w:r w:rsidR="00E07D19" w:rsidRPr="007B1ABF">
        <w:t>Stipulation seek to enforce the entire</w:t>
      </w:r>
      <w:r w:rsidR="003E2230">
        <w:t xml:space="preserve"> ESP </w:t>
      </w:r>
      <w:proofErr w:type="gramStart"/>
      <w:r w:rsidR="00E07D19" w:rsidRPr="007B1ABF">
        <w:t>Stipulation,</w:t>
      </w:r>
      <w:proofErr w:type="gramEnd"/>
      <w:r w:rsidR="00E07D19" w:rsidRPr="007B1ABF">
        <w:t xml:space="preserve"> including </w:t>
      </w:r>
      <w:r w:rsidRPr="007B1ABF">
        <w:t xml:space="preserve">the term providing for </w:t>
      </w:r>
      <w:r w:rsidR="00E07D19" w:rsidRPr="007B1ABF">
        <w:t xml:space="preserve">RPM based capacity pricing. </w:t>
      </w:r>
      <w:r w:rsidR="00E53264">
        <w:t xml:space="preserve"> </w:t>
      </w:r>
      <w:r w:rsidR="00E07D19" w:rsidRPr="007B1ABF">
        <w:t xml:space="preserve">The </w:t>
      </w:r>
      <w:r w:rsidR="003E2230">
        <w:t>Stipula</w:t>
      </w:r>
      <w:r w:rsidR="00275FA9">
        <w:softHyphen/>
      </w:r>
      <w:r w:rsidR="003E2230">
        <w:t>tion is a settlement package</w:t>
      </w:r>
      <w:r w:rsidR="00CE274A">
        <w:t xml:space="preserve"> and</w:t>
      </w:r>
      <w:r w:rsidRPr="007B1ABF">
        <w:t xml:space="preserve"> states that it represents “an agreement by all Parties </w:t>
      </w:r>
      <w:r w:rsidRPr="003E2230">
        <w:rPr>
          <w:bCs/>
        </w:rPr>
        <w:t>to a</w:t>
      </w:r>
      <w:r w:rsidR="00E07D19" w:rsidRPr="003E2230">
        <w:t xml:space="preserve"> </w:t>
      </w:r>
      <w:r w:rsidRPr="003E2230">
        <w:rPr>
          <w:bCs/>
        </w:rPr>
        <w:t>package</w:t>
      </w:r>
      <w:r w:rsidRPr="007B1ABF">
        <w:rPr>
          <w:b/>
          <w:bCs/>
        </w:rPr>
        <w:t xml:space="preserve"> </w:t>
      </w:r>
      <w:r w:rsidRPr="007B1ABF">
        <w:t>of provisions rather than an agreement to ea</w:t>
      </w:r>
      <w:r w:rsidR="00E07D19" w:rsidRPr="007B1ABF">
        <w:t xml:space="preserve">ch of the individual provisions </w:t>
      </w:r>
      <w:r w:rsidRPr="007B1ABF">
        <w:t>within the Stipulation.”</w:t>
      </w:r>
      <w:r w:rsidR="00F14C58" w:rsidRPr="007B1ABF">
        <w:rPr>
          <w:rStyle w:val="FootnoteReference"/>
        </w:rPr>
        <w:footnoteReference w:id="35"/>
      </w:r>
      <w:r w:rsidR="00F14C58" w:rsidRPr="007B1ABF">
        <w:t xml:space="preserve"> </w:t>
      </w:r>
      <w:r w:rsidRPr="007B1ABF">
        <w:t xml:space="preserve"> </w:t>
      </w:r>
      <w:r w:rsidR="00CE274A">
        <w:t>It is improper for D</w:t>
      </w:r>
      <w:r w:rsidRPr="007B1ABF">
        <w:t>uke</w:t>
      </w:r>
      <w:r w:rsidR="00CE274A">
        <w:t xml:space="preserve"> to</w:t>
      </w:r>
      <w:r w:rsidRPr="007B1ABF">
        <w:t xml:space="preserve"> separa</w:t>
      </w:r>
      <w:r w:rsidR="00F14C58" w:rsidRPr="007B1ABF">
        <w:t xml:space="preserve">te the capacity price provision </w:t>
      </w:r>
      <w:r w:rsidRPr="007B1ABF">
        <w:t xml:space="preserve">of the Stipulation from the rest of the settlement </w:t>
      </w:r>
      <w:r w:rsidRPr="003E2230">
        <w:rPr>
          <w:bCs/>
        </w:rPr>
        <w:t>package</w:t>
      </w:r>
      <w:r w:rsidR="00E07D19" w:rsidRPr="007B1ABF">
        <w:t>.</w:t>
      </w:r>
      <w:r w:rsidR="007E15E1">
        <w:t xml:space="preserve">  </w:t>
      </w:r>
      <w:r w:rsidR="003B5FEE">
        <w:t xml:space="preserve">And </w:t>
      </w:r>
      <w:r w:rsidR="00C75351">
        <w:t>Duke ignore</w:t>
      </w:r>
      <w:r w:rsidR="007E15E1">
        <w:t>s</w:t>
      </w:r>
      <w:r w:rsidR="007E15E1" w:rsidRPr="007B1ABF">
        <w:t xml:space="preserve"> the</w:t>
      </w:r>
      <w:r w:rsidR="007E15E1">
        <w:t xml:space="preserve"> ESP Stipulation by asking</w:t>
      </w:r>
      <w:r w:rsidR="007E15E1" w:rsidRPr="007B1ABF">
        <w:t xml:space="preserve"> the Commission to</w:t>
      </w:r>
      <w:r w:rsidR="007E15E1">
        <w:t xml:space="preserve"> ignore</w:t>
      </w:r>
      <w:r w:rsidR="007E15E1" w:rsidRPr="007B1ABF">
        <w:t xml:space="preserve"> the capacity pricing</w:t>
      </w:r>
      <w:r w:rsidR="007E15E1">
        <w:t xml:space="preserve"> terms</w:t>
      </w:r>
      <w:r w:rsidR="003B5FEE">
        <w:t xml:space="preserve"> of the Stipula</w:t>
      </w:r>
      <w:r w:rsidR="00275FA9">
        <w:softHyphen/>
      </w:r>
      <w:r w:rsidR="003B5FEE">
        <w:t>tion</w:t>
      </w:r>
      <w:r w:rsidR="007E15E1" w:rsidRPr="007B1ABF">
        <w:t xml:space="preserve"> in favor of a cost-based capacity charge. </w:t>
      </w:r>
      <w:r w:rsidR="007E15E1">
        <w:t xml:space="preserve"> </w:t>
      </w:r>
      <w:r w:rsidR="00E07D19" w:rsidRPr="007B1ABF">
        <w:t xml:space="preserve"> </w:t>
      </w:r>
    </w:p>
    <w:p w:rsidR="00203FA7" w:rsidRPr="001B6A58" w:rsidRDefault="007E15E1" w:rsidP="00C30CF1">
      <w:pPr>
        <w:pStyle w:val="Heading3"/>
      </w:pPr>
      <w:bookmarkStart w:id="11" w:name="_Toc343779875"/>
      <w:r w:rsidRPr="001B6A58">
        <w:t>Public Policy</w:t>
      </w:r>
      <w:bookmarkEnd w:id="11"/>
      <w:r w:rsidRPr="001B6A58">
        <w:t xml:space="preserve"> </w:t>
      </w:r>
    </w:p>
    <w:p w:rsidR="00F85A85" w:rsidRDefault="007E15E1" w:rsidP="00263A62">
      <w:pPr>
        <w:pStyle w:val="Textstyle"/>
      </w:pPr>
      <w:r>
        <w:t>S</w:t>
      </w:r>
      <w:r w:rsidR="00AD654F" w:rsidRPr="007B1ABF">
        <w:t>trong public policy r</w:t>
      </w:r>
      <w:r>
        <w:t>easons</w:t>
      </w:r>
      <w:r w:rsidR="00E07D19" w:rsidRPr="007B1ABF">
        <w:t xml:space="preserve"> support upholding the </w:t>
      </w:r>
      <w:r w:rsidR="00AD654F" w:rsidRPr="007B1ABF">
        <w:t>Sti</w:t>
      </w:r>
      <w:r w:rsidR="00551DEF">
        <w:t>pulation reached in Duke’s ESP p</w:t>
      </w:r>
      <w:r w:rsidR="00AD654F" w:rsidRPr="007B1ABF">
        <w:t xml:space="preserve">roceeding. </w:t>
      </w:r>
      <w:r w:rsidR="00062C65">
        <w:t xml:space="preserve"> </w:t>
      </w:r>
      <w:r w:rsidR="00F85A85">
        <w:t xml:space="preserve">First, </w:t>
      </w:r>
      <w:r>
        <w:t>Duke’s current Application</w:t>
      </w:r>
      <w:r w:rsidR="00E07D19" w:rsidRPr="007B1ABF">
        <w:t xml:space="preserve"> </w:t>
      </w:r>
      <w:r w:rsidR="00AD654F" w:rsidRPr="007B1ABF">
        <w:t xml:space="preserve">would require customers to </w:t>
      </w:r>
      <w:r>
        <w:t xml:space="preserve">pay an additional $776 million </w:t>
      </w:r>
      <w:r w:rsidR="00E07D19" w:rsidRPr="007B1ABF">
        <w:t>despite the fact</w:t>
      </w:r>
      <w:r w:rsidR="0014231E">
        <w:t xml:space="preserve"> that Duke</w:t>
      </w:r>
      <w:r w:rsidR="00AD654F" w:rsidRPr="007B1ABF">
        <w:t xml:space="preserve"> negotiated a settlement</w:t>
      </w:r>
      <w:r w:rsidR="0014231E">
        <w:t xml:space="preserve"> with all cus</w:t>
      </w:r>
      <w:r w:rsidR="00275FA9">
        <w:softHyphen/>
      </w:r>
      <w:r w:rsidR="0014231E">
        <w:t>tomer classes for much less</w:t>
      </w:r>
      <w:r w:rsidR="00551DEF">
        <w:t xml:space="preserve"> concerning</w:t>
      </w:r>
      <w:r w:rsidR="00AD654F" w:rsidRPr="007B1ABF">
        <w:t xml:space="preserve"> the same issues.</w:t>
      </w:r>
      <w:r w:rsidR="00F14C58" w:rsidRPr="007B1ABF">
        <w:t xml:space="preserve"> </w:t>
      </w:r>
      <w:r w:rsidR="0014231E">
        <w:t xml:space="preserve"> The </w:t>
      </w:r>
      <w:r w:rsidR="005C3BE5">
        <w:t xml:space="preserve">drastic </w:t>
      </w:r>
      <w:r w:rsidR="0014231E">
        <w:t xml:space="preserve">ESP modifications </w:t>
      </w:r>
      <w:r w:rsidR="0014231E">
        <w:lastRenderedPageBreak/>
        <w:t>affect</w:t>
      </w:r>
      <w:r w:rsidR="00E07D19" w:rsidRPr="007B1ABF">
        <w:t xml:space="preserve"> the Commission’s ability under </w:t>
      </w:r>
      <w:r w:rsidR="00AD654F" w:rsidRPr="007B1ABF">
        <w:t>R.C. 4928.02(A) to ensure reasonably priced elec</w:t>
      </w:r>
      <w:r w:rsidR="00275FA9">
        <w:softHyphen/>
      </w:r>
      <w:r w:rsidR="00AD654F" w:rsidRPr="007B1ABF">
        <w:t>tric service is made available to</w:t>
      </w:r>
      <w:r w:rsidR="00F85A85">
        <w:t xml:space="preserve"> all consumers in this State.</w:t>
      </w:r>
    </w:p>
    <w:p w:rsidR="00F85A85" w:rsidRPr="00F85A85" w:rsidRDefault="00F85A85" w:rsidP="00263A62">
      <w:pPr>
        <w:pStyle w:val="Textstyle"/>
      </w:pPr>
      <w:r w:rsidRPr="00F85A85">
        <w:t>Second, the Commission has already approved an SSO auction schedule the cur</w:t>
      </w:r>
      <w:r w:rsidR="00275FA9">
        <w:softHyphen/>
      </w:r>
      <w:r w:rsidRPr="00F85A85">
        <w:t>rent Duke ESP and issued orders accepting the results of three SSO auctions—December 2011, May 2012, and November 2012.</w:t>
      </w:r>
      <w:r w:rsidRPr="00F85A85">
        <w:rPr>
          <w:rStyle w:val="FootnoteReference"/>
        </w:rPr>
        <w:footnoteReference w:id="36"/>
      </w:r>
      <w:r w:rsidRPr="00F85A85">
        <w:t xml:space="preserve">  With the auc</w:t>
      </w:r>
      <w:r w:rsidR="00EA4886">
        <w:t>tions well underway, Duke should not</w:t>
      </w:r>
      <w:r w:rsidRPr="00F85A85">
        <w:t xml:space="preserve"> now, over a year later, modify the capacity pricing mechanism in the Stipulation.  </w:t>
      </w:r>
      <w:r>
        <w:t>The C</w:t>
      </w:r>
      <w:r w:rsidRPr="00F85A85">
        <w:t>ommission considered Duke’s</w:t>
      </w:r>
      <w:r>
        <w:t xml:space="preserve"> cost of capacity</w:t>
      </w:r>
      <w:r w:rsidRPr="00F85A85">
        <w:t xml:space="preserve"> and the spin-off of generation </w:t>
      </w:r>
      <w:r w:rsidRPr="00551DEF">
        <w:rPr>
          <w:bCs/>
          <w:i/>
        </w:rPr>
        <w:t>in total</w:t>
      </w:r>
      <w:r w:rsidRPr="00F85A85">
        <w:t xml:space="preserve"> before issuing</w:t>
      </w:r>
      <w:r w:rsidR="00551DEF">
        <w:t xml:space="preserve"> the Order in Duke’s</w:t>
      </w:r>
      <w:r w:rsidRPr="00F85A85">
        <w:t xml:space="preserve"> ESP.  It make</w:t>
      </w:r>
      <w:r>
        <w:t>s no</w:t>
      </w:r>
      <w:r w:rsidRPr="00F85A85">
        <w:t xml:space="preserve"> sense for Duke to come</w:t>
      </w:r>
      <w:r w:rsidR="00EA4886">
        <w:t xml:space="preserve"> back</w:t>
      </w:r>
      <w:r w:rsidRPr="00F85A85">
        <w:t xml:space="preserve"> a year later and ask for capacity compensation</w:t>
      </w:r>
      <w:r>
        <w:t xml:space="preserve"> modification</w:t>
      </w:r>
      <w:r w:rsidRPr="00F85A85">
        <w:t>.</w:t>
      </w:r>
    </w:p>
    <w:p w:rsidR="00934BBF" w:rsidRPr="007B1ABF" w:rsidRDefault="00F85A85" w:rsidP="00263A62">
      <w:pPr>
        <w:pStyle w:val="Textstyle"/>
        <w:rPr>
          <w:i/>
          <w:iCs/>
        </w:rPr>
      </w:pPr>
      <w:r>
        <w:t>Third, t</w:t>
      </w:r>
      <w:r w:rsidR="0014231E">
        <w:t>he Commission</w:t>
      </w:r>
      <w:r w:rsidR="00AD654F" w:rsidRPr="007B1ABF">
        <w:t xml:space="preserve"> should respect the precedent</w:t>
      </w:r>
      <w:r w:rsidR="00E07D19" w:rsidRPr="007B1ABF">
        <w:t>ial value of all its decisions.</w:t>
      </w:r>
      <w:r w:rsidR="0014231E">
        <w:t xml:space="preserve">  Upholding stipulations</w:t>
      </w:r>
      <w:r w:rsidR="00E07D19" w:rsidRPr="007B1ABF">
        <w:t xml:space="preserve"> </w:t>
      </w:r>
      <w:r w:rsidR="00AD654F" w:rsidRPr="007B1ABF">
        <w:t>provide</w:t>
      </w:r>
      <w:r w:rsidR="0014231E">
        <w:t>s</w:t>
      </w:r>
      <w:r w:rsidR="00AD654F" w:rsidRPr="007B1ABF">
        <w:t xml:space="preserve"> regulatory certainty</w:t>
      </w:r>
      <w:r w:rsidR="005C3BE5">
        <w:t xml:space="preserve"> for Ohio customers and investors</w:t>
      </w:r>
      <w:r w:rsidR="00AD654F" w:rsidRPr="007B1ABF">
        <w:t xml:space="preserve">. </w:t>
      </w:r>
      <w:r w:rsidR="005C3BE5">
        <w:t xml:space="preserve"> </w:t>
      </w:r>
      <w:r w:rsidR="00220B82">
        <w:t>T</w:t>
      </w:r>
      <w:r w:rsidR="00AD654F" w:rsidRPr="007B1ABF">
        <w:t>he Commission</w:t>
      </w:r>
      <w:r w:rsidR="00220B82">
        <w:t xml:space="preserve"> should</w:t>
      </w:r>
      <w:r w:rsidR="00AD654F" w:rsidRPr="007B1ABF">
        <w:t xml:space="preserve"> not depart</w:t>
      </w:r>
      <w:r w:rsidR="00220B82">
        <w:t xml:space="preserve"> from</w:t>
      </w:r>
      <w:r w:rsidR="00AD654F" w:rsidRPr="007B1ABF">
        <w:t xml:space="preserve"> </w:t>
      </w:r>
      <w:r w:rsidR="005C3BE5" w:rsidRPr="007B1ABF">
        <w:t>previous decisions</w:t>
      </w:r>
      <w:r w:rsidR="00AD654F" w:rsidRPr="007B1ABF">
        <w:t xml:space="preserve"> without a clear need. </w:t>
      </w:r>
      <w:r w:rsidR="00220B82">
        <w:t xml:space="preserve"> </w:t>
      </w:r>
      <w:r w:rsidR="00551DEF">
        <w:t>T</w:t>
      </w:r>
      <w:r w:rsidR="00AD654F" w:rsidRPr="007B1ABF">
        <w:t>he Ohio Supreme Court</w:t>
      </w:r>
      <w:r w:rsidR="00551DEF">
        <w:t xml:space="preserve"> has</w:t>
      </w:r>
      <w:r w:rsidR="00AD654F" w:rsidRPr="007B1ABF">
        <w:t xml:space="preserve"> stated:</w:t>
      </w:r>
      <w:r w:rsidR="00E07D19" w:rsidRPr="007B1ABF">
        <w:rPr>
          <w:i/>
          <w:iCs/>
        </w:rPr>
        <w:t xml:space="preserve"> </w:t>
      </w:r>
    </w:p>
    <w:p w:rsidR="00934BBF" w:rsidRPr="007B1ABF" w:rsidRDefault="00AD654F" w:rsidP="00263A62">
      <w:pPr>
        <w:pStyle w:val="Blockquote"/>
        <w:rPr>
          <w:i/>
          <w:iCs/>
        </w:rPr>
      </w:pPr>
      <w:r w:rsidRPr="007B1ABF">
        <w:t>Although the Commission should be willing to change its position</w:t>
      </w:r>
      <w:r w:rsidR="00E07D19" w:rsidRPr="007B1ABF">
        <w:rPr>
          <w:i/>
          <w:iCs/>
        </w:rPr>
        <w:t xml:space="preserve"> </w:t>
      </w:r>
      <w:r w:rsidRPr="007B1ABF">
        <w:t>when the need therefore is clear and it is shown that prior decisions</w:t>
      </w:r>
      <w:r w:rsidR="00E07D19" w:rsidRPr="007B1ABF">
        <w:rPr>
          <w:i/>
          <w:iCs/>
        </w:rPr>
        <w:t xml:space="preserve"> </w:t>
      </w:r>
      <w:r w:rsidR="005C3BE5">
        <w:t xml:space="preserve">are in error, it </w:t>
      </w:r>
      <w:r w:rsidRPr="007B1ABF">
        <w:t>should also respect its own precedents in its</w:t>
      </w:r>
      <w:r w:rsidR="00E07D19" w:rsidRPr="007B1ABF">
        <w:rPr>
          <w:i/>
          <w:iCs/>
        </w:rPr>
        <w:t xml:space="preserve"> </w:t>
      </w:r>
      <w:r w:rsidR="005C3BE5">
        <w:t xml:space="preserve">decisions to assure the </w:t>
      </w:r>
      <w:r w:rsidRPr="007B1ABF">
        <w:t>predictability which is essential in all areas</w:t>
      </w:r>
      <w:r w:rsidR="00E07D19" w:rsidRPr="007B1ABF">
        <w:rPr>
          <w:i/>
          <w:iCs/>
        </w:rPr>
        <w:t xml:space="preserve"> </w:t>
      </w:r>
      <w:r w:rsidRPr="007B1ABF">
        <w:t>of the law, including administrative law.</w:t>
      </w:r>
      <w:r w:rsidR="00551DEF">
        <w:rPr>
          <w:rStyle w:val="FootnoteReference"/>
        </w:rPr>
        <w:footnoteReference w:id="37"/>
      </w:r>
      <w:r w:rsidR="00E07D19" w:rsidRPr="007B1ABF">
        <w:rPr>
          <w:i/>
          <w:iCs/>
        </w:rPr>
        <w:t xml:space="preserve"> </w:t>
      </w:r>
    </w:p>
    <w:p w:rsidR="00E07D19" w:rsidRPr="007B1ABF" w:rsidRDefault="00AD654F" w:rsidP="00263A62">
      <w:pPr>
        <w:spacing w:after="0" w:line="480" w:lineRule="auto"/>
        <w:rPr>
          <w:rFonts w:ascii="Times New Roman" w:hAnsi="Times New Roman" w:cs="Times New Roman"/>
          <w:sz w:val="26"/>
          <w:szCs w:val="26"/>
        </w:rPr>
      </w:pPr>
      <w:r w:rsidRPr="007B1ABF">
        <w:rPr>
          <w:rFonts w:ascii="Times New Roman" w:hAnsi="Times New Roman" w:cs="Times New Roman"/>
          <w:sz w:val="26"/>
          <w:szCs w:val="26"/>
        </w:rPr>
        <w:t xml:space="preserve">Sound regulation should not discourage dispute-resolution through settlement. </w:t>
      </w:r>
      <w:r w:rsidR="00220B82">
        <w:rPr>
          <w:rFonts w:ascii="Times New Roman" w:hAnsi="Times New Roman" w:cs="Times New Roman"/>
          <w:sz w:val="26"/>
          <w:szCs w:val="26"/>
        </w:rPr>
        <w:t xml:space="preserve"> </w:t>
      </w:r>
      <w:r w:rsidRPr="007B1ABF">
        <w:rPr>
          <w:rFonts w:ascii="Times New Roman" w:hAnsi="Times New Roman" w:cs="Times New Roman"/>
          <w:sz w:val="26"/>
          <w:szCs w:val="26"/>
        </w:rPr>
        <w:t>Settle</w:t>
      </w:r>
      <w:r w:rsidR="00275FA9">
        <w:rPr>
          <w:rFonts w:ascii="Times New Roman" w:hAnsi="Times New Roman" w:cs="Times New Roman"/>
          <w:sz w:val="26"/>
          <w:szCs w:val="26"/>
        </w:rPr>
        <w:softHyphen/>
      </w:r>
      <w:r w:rsidRPr="007B1ABF">
        <w:rPr>
          <w:rFonts w:ascii="Times New Roman" w:hAnsi="Times New Roman" w:cs="Times New Roman"/>
          <w:sz w:val="26"/>
          <w:szCs w:val="26"/>
        </w:rPr>
        <w:t>ment may also bring about regulatory certainty that</w:t>
      </w:r>
      <w:r w:rsidR="00E07D19" w:rsidRPr="00263A62">
        <w:rPr>
          <w:rFonts w:ascii="Times New Roman" w:hAnsi="Times New Roman" w:cs="Times New Roman"/>
          <w:sz w:val="26"/>
          <w:szCs w:val="26"/>
        </w:rPr>
        <w:t xml:space="preserve"> </w:t>
      </w:r>
      <w:r w:rsidRPr="007B1ABF">
        <w:rPr>
          <w:rFonts w:ascii="Times New Roman" w:hAnsi="Times New Roman" w:cs="Times New Roman"/>
          <w:sz w:val="26"/>
          <w:szCs w:val="26"/>
        </w:rPr>
        <w:t xml:space="preserve">may otherwise be delayed until the </w:t>
      </w:r>
      <w:r w:rsidRPr="007B1ABF">
        <w:rPr>
          <w:rFonts w:ascii="Times New Roman" w:hAnsi="Times New Roman" w:cs="Times New Roman"/>
          <w:sz w:val="26"/>
          <w:szCs w:val="26"/>
        </w:rPr>
        <w:lastRenderedPageBreak/>
        <w:t>ter</w:t>
      </w:r>
      <w:r w:rsidR="00551DEF">
        <w:rPr>
          <w:rFonts w:ascii="Times New Roman" w:hAnsi="Times New Roman" w:cs="Times New Roman"/>
          <w:sz w:val="26"/>
          <w:szCs w:val="26"/>
        </w:rPr>
        <w:t>mination of all litigation</w:t>
      </w:r>
      <w:r w:rsidR="00275FA9">
        <w:rPr>
          <w:rFonts w:ascii="Times New Roman" w:hAnsi="Times New Roman" w:cs="Times New Roman"/>
          <w:sz w:val="26"/>
          <w:szCs w:val="26"/>
        </w:rPr>
        <w:t xml:space="preserve">.  </w:t>
      </w:r>
      <w:r w:rsidR="00551DEF">
        <w:rPr>
          <w:rFonts w:ascii="Times New Roman" w:hAnsi="Times New Roman" w:cs="Times New Roman"/>
          <w:sz w:val="26"/>
          <w:szCs w:val="26"/>
        </w:rPr>
        <w:t>Overall</w:t>
      </w:r>
      <w:r w:rsidRPr="007B1ABF">
        <w:rPr>
          <w:rFonts w:ascii="Times New Roman" w:hAnsi="Times New Roman" w:cs="Times New Roman"/>
          <w:sz w:val="26"/>
          <w:szCs w:val="26"/>
        </w:rPr>
        <w:t>, because there is the</w:t>
      </w:r>
      <w:r w:rsidR="00E07D19" w:rsidRPr="00263A62">
        <w:rPr>
          <w:rFonts w:ascii="Times New Roman" w:hAnsi="Times New Roman" w:cs="Times New Roman"/>
          <w:sz w:val="26"/>
          <w:szCs w:val="26"/>
        </w:rPr>
        <w:t xml:space="preserve"> </w:t>
      </w:r>
      <w:r w:rsidRPr="007B1ABF">
        <w:rPr>
          <w:rFonts w:ascii="Times New Roman" w:hAnsi="Times New Roman" w:cs="Times New Roman"/>
          <w:sz w:val="26"/>
          <w:szCs w:val="26"/>
        </w:rPr>
        <w:t>potential for cost savings and regulatory certainty, the</w:t>
      </w:r>
      <w:r w:rsidR="00220B82">
        <w:rPr>
          <w:rFonts w:ascii="Times New Roman" w:hAnsi="Times New Roman" w:cs="Times New Roman"/>
          <w:sz w:val="26"/>
          <w:szCs w:val="26"/>
        </w:rPr>
        <w:t xml:space="preserve"> Commission</w:t>
      </w:r>
      <w:r w:rsidRPr="007B1ABF">
        <w:rPr>
          <w:rFonts w:ascii="Times New Roman" w:hAnsi="Times New Roman" w:cs="Times New Roman"/>
          <w:sz w:val="26"/>
          <w:szCs w:val="26"/>
        </w:rPr>
        <w:t xml:space="preserve"> should</w:t>
      </w:r>
      <w:r w:rsidR="00220B82">
        <w:rPr>
          <w:rFonts w:ascii="Times New Roman" w:hAnsi="Times New Roman" w:cs="Times New Roman"/>
          <w:sz w:val="26"/>
          <w:szCs w:val="26"/>
        </w:rPr>
        <w:t xml:space="preserve"> en</w:t>
      </w:r>
      <w:r w:rsidRPr="007B1ABF">
        <w:rPr>
          <w:rFonts w:ascii="Times New Roman" w:hAnsi="Times New Roman" w:cs="Times New Roman"/>
          <w:sz w:val="26"/>
          <w:szCs w:val="26"/>
        </w:rPr>
        <w:t>courage</w:t>
      </w:r>
      <w:r w:rsidR="00E07D19" w:rsidRPr="00263A62">
        <w:rPr>
          <w:rFonts w:ascii="Times New Roman" w:hAnsi="Times New Roman" w:cs="Times New Roman"/>
          <w:sz w:val="26"/>
          <w:szCs w:val="26"/>
        </w:rPr>
        <w:t xml:space="preserve"> </w:t>
      </w:r>
      <w:r w:rsidR="00220B82">
        <w:rPr>
          <w:rFonts w:ascii="Times New Roman" w:hAnsi="Times New Roman" w:cs="Times New Roman"/>
          <w:sz w:val="26"/>
          <w:szCs w:val="26"/>
        </w:rPr>
        <w:t>settlement</w:t>
      </w:r>
      <w:r w:rsidRPr="007B1ABF">
        <w:rPr>
          <w:rFonts w:ascii="Times New Roman" w:hAnsi="Times New Roman" w:cs="Times New Roman"/>
          <w:sz w:val="26"/>
          <w:szCs w:val="26"/>
        </w:rPr>
        <w:t>.</w:t>
      </w:r>
    </w:p>
    <w:p w:rsidR="00AD654F" w:rsidRPr="007B1ABF" w:rsidRDefault="00220B82" w:rsidP="00263A62">
      <w:pPr>
        <w:pStyle w:val="Heading2"/>
      </w:pPr>
      <w:bookmarkStart w:id="12" w:name="_Toc343779876"/>
      <w:r>
        <w:t>D</w:t>
      </w:r>
      <w:r w:rsidRPr="007B1ABF">
        <w:t>uke failed to tim</w:t>
      </w:r>
      <w:r>
        <w:t>ely apply for rehearing of the Commission order approving the S</w:t>
      </w:r>
      <w:r w:rsidRPr="007B1ABF">
        <w:t>tipulation and failed to timely file an appeal.</w:t>
      </w:r>
      <w:bookmarkEnd w:id="12"/>
      <w:r w:rsidRPr="007B1ABF">
        <w:t xml:space="preserve"> </w:t>
      </w:r>
    </w:p>
    <w:p w:rsidR="0033297B" w:rsidRDefault="00473E54" w:rsidP="00263A62">
      <w:pPr>
        <w:pStyle w:val="Textstyle"/>
      </w:pPr>
      <w:r w:rsidRPr="007B1ABF">
        <w:t>The Commission should treat the application as a late-filed application for rehearing.</w:t>
      </w:r>
      <w:r>
        <w:t xml:space="preserve">  </w:t>
      </w:r>
      <w:r>
        <w:rPr>
          <w:bCs/>
        </w:rPr>
        <w:t>T</w:t>
      </w:r>
      <w:r w:rsidR="00220B82" w:rsidRPr="00220B82">
        <w:rPr>
          <w:bCs/>
        </w:rPr>
        <w:t>he C</w:t>
      </w:r>
      <w:r w:rsidR="00220B82">
        <w:rPr>
          <w:bCs/>
        </w:rPr>
        <w:t>ommission</w:t>
      </w:r>
      <w:r>
        <w:rPr>
          <w:bCs/>
        </w:rPr>
        <w:t>, therefore,</w:t>
      </w:r>
      <w:r w:rsidR="00220B82">
        <w:rPr>
          <w:bCs/>
        </w:rPr>
        <w:t xml:space="preserve"> lacks jurisdiction to entertain D</w:t>
      </w:r>
      <w:r w:rsidR="00220B82" w:rsidRPr="00220B82">
        <w:rPr>
          <w:bCs/>
        </w:rPr>
        <w:t>uke’s belated request for rehearing.</w:t>
      </w:r>
      <w:r w:rsidR="00220B82">
        <w:rPr>
          <w:b/>
          <w:bCs/>
        </w:rPr>
        <w:t xml:space="preserve">  </w:t>
      </w:r>
      <w:r w:rsidR="0033297B">
        <w:t>R.C. 4903.10 states that:</w:t>
      </w:r>
    </w:p>
    <w:p w:rsidR="0033297B" w:rsidRDefault="006D52DC" w:rsidP="00263A62">
      <w:pPr>
        <w:pStyle w:val="Blockquote"/>
      </w:pPr>
      <w:r>
        <w:rPr>
          <w:lang w:val="en"/>
        </w:rPr>
        <w:t>***</w:t>
      </w:r>
      <w:r w:rsidR="0033297B" w:rsidRPr="0033297B">
        <w:rPr>
          <w:lang w:val="en"/>
        </w:rPr>
        <w:t>any party who has entered an appearance in person or by counsel in the proceeding may apply for a rehearing in respect to any matters determined in the proceeding</w:t>
      </w:r>
      <w:r w:rsidR="00275FA9" w:rsidRPr="0033297B">
        <w:rPr>
          <w:lang w:val="en"/>
        </w:rPr>
        <w:t xml:space="preserve">.  </w:t>
      </w:r>
      <w:r w:rsidR="0033297B" w:rsidRPr="0033297B">
        <w:rPr>
          <w:lang w:val="en"/>
        </w:rPr>
        <w:t>Such application shall be filed within thirty days after the entry of the order upon the journal of the commission</w:t>
      </w:r>
      <w:r w:rsidR="00E07D19" w:rsidRPr="0033297B">
        <w:t>.</w:t>
      </w:r>
      <w:r w:rsidR="0033297B">
        <w:rPr>
          <w:rStyle w:val="FootnoteReference"/>
        </w:rPr>
        <w:footnoteReference w:id="38"/>
      </w:r>
      <w:r w:rsidR="00E07D19" w:rsidRPr="0033297B">
        <w:t xml:space="preserve"> </w:t>
      </w:r>
    </w:p>
    <w:p w:rsidR="00A86616" w:rsidRDefault="005B6533" w:rsidP="0033297B">
      <w:pPr>
        <w:autoSpaceDE w:val="0"/>
        <w:autoSpaceDN w:val="0"/>
        <w:adjustRightInd w:val="0"/>
        <w:spacing w:after="0" w:line="480" w:lineRule="auto"/>
        <w:rPr>
          <w:rFonts w:ascii="Times New Roman" w:hAnsi="Times New Roman" w:cs="Times New Roman"/>
          <w:sz w:val="26"/>
          <w:szCs w:val="26"/>
        </w:rPr>
      </w:pPr>
      <w:r>
        <w:rPr>
          <w:rFonts w:ascii="Times New Roman" w:hAnsi="Times New Roman" w:cs="Times New Roman"/>
          <w:sz w:val="26"/>
          <w:szCs w:val="26"/>
        </w:rPr>
        <w:t>Duke did not file an</w:t>
      </w:r>
      <w:r w:rsidR="006D52DC">
        <w:rPr>
          <w:rFonts w:ascii="Times New Roman" w:hAnsi="Times New Roman" w:cs="Times New Roman"/>
          <w:sz w:val="26"/>
          <w:szCs w:val="26"/>
        </w:rPr>
        <w:t xml:space="preserve"> application for rehearing at all in the Duke ESP proceeding.  Thus, Duke</w:t>
      </w:r>
      <w:r w:rsidR="006D52DC" w:rsidRPr="007B1ABF">
        <w:rPr>
          <w:rFonts w:ascii="Times New Roman" w:hAnsi="Times New Roman" w:cs="Times New Roman"/>
          <w:sz w:val="26"/>
          <w:szCs w:val="26"/>
        </w:rPr>
        <w:t xml:space="preserve"> did not apply for rehearing within the thirty-day period of the statute.</w:t>
      </w:r>
      <w:r w:rsidR="00A86616">
        <w:rPr>
          <w:rFonts w:ascii="Times New Roman" w:hAnsi="Times New Roman" w:cs="Times New Roman"/>
          <w:sz w:val="26"/>
          <w:szCs w:val="26"/>
        </w:rPr>
        <w:t xml:space="preserve">  T</w:t>
      </w:r>
      <w:r w:rsidR="00AD654F" w:rsidRPr="007B1ABF">
        <w:rPr>
          <w:rFonts w:ascii="Times New Roman" w:hAnsi="Times New Roman" w:cs="Times New Roman"/>
          <w:sz w:val="26"/>
          <w:szCs w:val="26"/>
        </w:rPr>
        <w:t>he statute</w:t>
      </w:r>
      <w:r w:rsidR="00A86616">
        <w:rPr>
          <w:rFonts w:ascii="Times New Roman" w:hAnsi="Times New Roman" w:cs="Times New Roman"/>
          <w:sz w:val="26"/>
          <w:szCs w:val="26"/>
        </w:rPr>
        <w:t xml:space="preserve"> further states</w:t>
      </w:r>
      <w:r w:rsidR="00AD654F" w:rsidRPr="007B1ABF">
        <w:rPr>
          <w:rFonts w:ascii="Times New Roman" w:hAnsi="Times New Roman" w:cs="Times New Roman"/>
          <w:sz w:val="26"/>
          <w:szCs w:val="26"/>
        </w:rPr>
        <w:t xml:space="preserve"> that</w:t>
      </w:r>
      <w:r w:rsidR="00A86616">
        <w:rPr>
          <w:rFonts w:ascii="Times New Roman" w:hAnsi="Times New Roman" w:cs="Times New Roman"/>
          <w:sz w:val="26"/>
          <w:szCs w:val="26"/>
        </w:rPr>
        <w:t>:</w:t>
      </w:r>
    </w:p>
    <w:p w:rsidR="00A86616" w:rsidRDefault="00AD654F" w:rsidP="00263A62">
      <w:pPr>
        <w:pStyle w:val="Blockquote"/>
      </w:pPr>
      <w:r w:rsidRPr="007B1ABF">
        <w:t xml:space="preserve">[n]o cause of action arising out </w:t>
      </w:r>
      <w:r w:rsidR="00E07D19" w:rsidRPr="007B1ABF">
        <w:t>of any order of the commis</w:t>
      </w:r>
      <w:r w:rsidR="00275FA9">
        <w:softHyphen/>
      </w:r>
      <w:r w:rsidR="00E07D19" w:rsidRPr="007B1ABF">
        <w:t xml:space="preserve">sion, </w:t>
      </w:r>
      <w:r w:rsidRPr="007B1ABF">
        <w:t>other than in support of the order, shall accrue in an</w:t>
      </w:r>
      <w:r w:rsidR="00E07D19" w:rsidRPr="007B1ABF">
        <w:t xml:space="preserve">y court to any person, firm, or </w:t>
      </w:r>
      <w:r w:rsidRPr="007B1ABF">
        <w:t>corporation unless such person, firm, or corporation has m</w:t>
      </w:r>
      <w:r w:rsidR="00E07D19" w:rsidRPr="007B1ABF">
        <w:t xml:space="preserve">ade a proper application to the </w:t>
      </w:r>
      <w:r w:rsidR="00A86616">
        <w:t>commission for rehearing.</w:t>
      </w:r>
      <w:r w:rsidR="00A86616">
        <w:rPr>
          <w:rStyle w:val="FootnoteReference"/>
        </w:rPr>
        <w:footnoteReference w:id="39"/>
      </w:r>
      <w:r w:rsidR="0033297B" w:rsidRPr="007B1ABF">
        <w:t xml:space="preserve"> </w:t>
      </w:r>
    </w:p>
    <w:p w:rsidR="00D11235" w:rsidRPr="007B1ABF" w:rsidRDefault="006D52DC" w:rsidP="00263A62">
      <w:pPr>
        <w:autoSpaceDE w:val="0"/>
        <w:autoSpaceDN w:val="0"/>
        <w:adjustRightInd w:val="0"/>
        <w:spacing w:after="0" w:line="480" w:lineRule="auto"/>
        <w:rPr>
          <w:rFonts w:ascii="Times New Roman" w:hAnsi="Times New Roman" w:cs="Times New Roman"/>
          <w:sz w:val="26"/>
          <w:szCs w:val="26"/>
        </w:rPr>
      </w:pPr>
      <w:r>
        <w:rPr>
          <w:rFonts w:ascii="Times New Roman" w:hAnsi="Times New Roman" w:cs="Times New Roman"/>
          <w:sz w:val="26"/>
          <w:szCs w:val="26"/>
        </w:rPr>
        <w:t>A proper application meets</w:t>
      </w:r>
      <w:r w:rsidR="00E07D19" w:rsidRPr="007B1ABF">
        <w:rPr>
          <w:rFonts w:ascii="Times New Roman" w:hAnsi="Times New Roman" w:cs="Times New Roman"/>
          <w:sz w:val="26"/>
          <w:szCs w:val="26"/>
        </w:rPr>
        <w:t xml:space="preserve"> the </w:t>
      </w:r>
      <w:r w:rsidR="00AD654F" w:rsidRPr="007B1ABF">
        <w:rPr>
          <w:rFonts w:ascii="Times New Roman" w:hAnsi="Times New Roman" w:cs="Times New Roman"/>
          <w:sz w:val="26"/>
          <w:szCs w:val="26"/>
        </w:rPr>
        <w:t>thirty-day</w:t>
      </w:r>
      <w:r w:rsidR="00E07D19" w:rsidRPr="007B1ABF">
        <w:rPr>
          <w:rFonts w:ascii="Times New Roman" w:hAnsi="Times New Roman" w:cs="Times New Roman"/>
          <w:sz w:val="26"/>
          <w:szCs w:val="26"/>
        </w:rPr>
        <w:t xml:space="preserve"> deadline fo</w:t>
      </w:r>
      <w:r>
        <w:rPr>
          <w:rFonts w:ascii="Times New Roman" w:hAnsi="Times New Roman" w:cs="Times New Roman"/>
          <w:sz w:val="26"/>
          <w:szCs w:val="26"/>
        </w:rPr>
        <w:t xml:space="preserve">r rehearing.  Duke failed to meet this deadline requirement. </w:t>
      </w:r>
      <w:r w:rsidR="00E07D19" w:rsidRPr="007B1ABF">
        <w:rPr>
          <w:rFonts w:ascii="Times New Roman" w:hAnsi="Times New Roman" w:cs="Times New Roman"/>
          <w:sz w:val="26"/>
          <w:szCs w:val="26"/>
        </w:rPr>
        <w:t xml:space="preserve"> </w:t>
      </w:r>
    </w:p>
    <w:p w:rsidR="00D11235" w:rsidRPr="007B1ABF" w:rsidRDefault="006D52DC" w:rsidP="00263A62">
      <w:pPr>
        <w:pStyle w:val="Textstyle"/>
      </w:pPr>
      <w:r>
        <w:t xml:space="preserve">It seems that </w:t>
      </w:r>
      <w:r w:rsidR="00AD654F" w:rsidRPr="007B1ABF">
        <w:t>Duke is now seeking rehe</w:t>
      </w:r>
      <w:r w:rsidR="00E07D19" w:rsidRPr="007B1ABF">
        <w:t xml:space="preserve">aring of the Commission’s </w:t>
      </w:r>
      <w:r>
        <w:t xml:space="preserve">ESP </w:t>
      </w:r>
      <w:r w:rsidR="00E07D19" w:rsidRPr="007B1ABF">
        <w:t>Order</w:t>
      </w:r>
      <w:r>
        <w:t xml:space="preserve"> through this</w:t>
      </w:r>
      <w:r w:rsidR="00AD654F" w:rsidRPr="007B1ABF">
        <w:t xml:space="preserve"> new Application</w:t>
      </w:r>
      <w:r w:rsidR="00E07D19" w:rsidRPr="007B1ABF">
        <w:t xml:space="preserve">. </w:t>
      </w:r>
      <w:r>
        <w:t xml:space="preserve"> </w:t>
      </w:r>
      <w:r w:rsidR="00E07D19" w:rsidRPr="007B1ABF">
        <w:t xml:space="preserve">Duke </w:t>
      </w:r>
      <w:r w:rsidR="00AD654F" w:rsidRPr="007B1ABF">
        <w:t>is asking the</w:t>
      </w:r>
      <w:r>
        <w:t xml:space="preserve"> Commission</w:t>
      </w:r>
      <w:r w:rsidR="005B6533">
        <w:t xml:space="preserve"> to</w:t>
      </w:r>
      <w:r w:rsidR="00AD654F" w:rsidRPr="007B1ABF">
        <w:t xml:space="preserve"> reconsider</w:t>
      </w:r>
      <w:r w:rsidR="005B6533">
        <w:t xml:space="preserve"> capacity </w:t>
      </w:r>
      <w:r w:rsidR="005B6533">
        <w:lastRenderedPageBreak/>
        <w:t>pricing—</w:t>
      </w:r>
      <w:r>
        <w:t>a significant term of the</w:t>
      </w:r>
      <w:r w:rsidR="00473E54">
        <w:t xml:space="preserve"> ESP</w:t>
      </w:r>
      <w:r>
        <w:t xml:space="preserve"> Stipulation</w:t>
      </w:r>
      <w:r w:rsidR="00AD654F" w:rsidRPr="007B1ABF">
        <w:t xml:space="preserve">. </w:t>
      </w:r>
      <w:r>
        <w:t xml:space="preserve"> </w:t>
      </w:r>
      <w:r w:rsidR="00AD654F" w:rsidRPr="007B1ABF">
        <w:t>The Stipulation adopted a capacity pricin</w:t>
      </w:r>
      <w:r w:rsidR="00E07D19" w:rsidRPr="007B1ABF">
        <w:t xml:space="preserve">g </w:t>
      </w:r>
      <w:r w:rsidR="00AD654F" w:rsidRPr="007B1ABF">
        <w:t xml:space="preserve">methodology based on RPM pricing. </w:t>
      </w:r>
      <w:r w:rsidR="00473E54">
        <w:t xml:space="preserve"> </w:t>
      </w:r>
      <w:r w:rsidR="00AD654F" w:rsidRPr="007B1ABF">
        <w:t xml:space="preserve">Duke </w:t>
      </w:r>
      <w:r w:rsidR="00473E54">
        <w:t xml:space="preserve">now </w:t>
      </w:r>
      <w:r w:rsidR="00AD654F" w:rsidRPr="007B1ABF">
        <w:t>seeks rehearing</w:t>
      </w:r>
      <w:r w:rsidR="00F14C58" w:rsidRPr="007B1ABF">
        <w:t xml:space="preserve"> on the basis that </w:t>
      </w:r>
      <w:r w:rsidR="00AD654F" w:rsidRPr="007B1ABF">
        <w:t>the capacity should instead be priced on an embedded cost</w:t>
      </w:r>
      <w:r w:rsidR="00E07D19" w:rsidRPr="007B1ABF">
        <w:t xml:space="preserve"> basis when it had negotiated a </w:t>
      </w:r>
      <w:r w:rsidR="00AD654F" w:rsidRPr="007B1ABF">
        <w:t>different result with full knowledge of the alternatives.</w:t>
      </w:r>
      <w:r>
        <w:t xml:space="preserve"> </w:t>
      </w:r>
      <w:r w:rsidR="00473E54">
        <w:t xml:space="preserve"> Duke was</w:t>
      </w:r>
      <w:r w:rsidR="00F53D74">
        <w:t xml:space="preserve"> well</w:t>
      </w:r>
      <w:r w:rsidR="00473E54">
        <w:t xml:space="preserve"> aware</w:t>
      </w:r>
      <w:r w:rsidR="00E07D19" w:rsidRPr="007B1ABF">
        <w:t xml:space="preserve"> that AEP Ohio </w:t>
      </w:r>
      <w:r w:rsidR="00AD654F" w:rsidRPr="007B1ABF">
        <w:t>was contesting identical issues befo</w:t>
      </w:r>
      <w:r w:rsidR="00E07D19" w:rsidRPr="007B1ABF">
        <w:t>re this Commission and the FERC</w:t>
      </w:r>
      <w:r w:rsidR="00F53D74">
        <w:t xml:space="preserve"> the</w:t>
      </w:r>
      <w:r w:rsidR="00AD654F" w:rsidRPr="007B1ABF">
        <w:t xml:space="preserve"> same time that Duke entered into the</w:t>
      </w:r>
      <w:r w:rsidR="00473E54">
        <w:t xml:space="preserve"> ESP</w:t>
      </w:r>
      <w:r w:rsidR="00AD654F" w:rsidRPr="007B1ABF">
        <w:t xml:space="preserve"> Stipulat</w:t>
      </w:r>
      <w:r w:rsidR="00E07D19" w:rsidRPr="007B1ABF">
        <w:t>ion.</w:t>
      </w:r>
      <w:r w:rsidR="00F53D74">
        <w:t xml:space="preserve">  Again, </w:t>
      </w:r>
      <w:r w:rsidR="00F53D74" w:rsidRPr="007B1ABF">
        <w:t>Duke</w:t>
      </w:r>
      <w:r w:rsidR="00F53D74">
        <w:t xml:space="preserve"> opted for regulatory cer</w:t>
      </w:r>
      <w:r w:rsidR="00275FA9">
        <w:softHyphen/>
      </w:r>
      <w:r w:rsidR="00F53D74">
        <w:t>tainty by settling its</w:t>
      </w:r>
      <w:r w:rsidR="00F53D74" w:rsidRPr="007B1ABF">
        <w:t xml:space="preserve"> proceedings</w:t>
      </w:r>
      <w:r w:rsidR="00F53D74">
        <w:t>.</w:t>
      </w:r>
    </w:p>
    <w:p w:rsidR="00E07D19" w:rsidRPr="007B1ABF" w:rsidRDefault="00AD654F" w:rsidP="00D11235">
      <w:pPr>
        <w:autoSpaceDE w:val="0"/>
        <w:autoSpaceDN w:val="0"/>
        <w:adjustRightInd w:val="0"/>
        <w:spacing w:after="0" w:line="480" w:lineRule="auto"/>
        <w:ind w:firstLine="720"/>
        <w:rPr>
          <w:rFonts w:ascii="Times New Roman" w:hAnsi="Times New Roman" w:cs="Times New Roman"/>
          <w:sz w:val="26"/>
          <w:szCs w:val="26"/>
        </w:rPr>
      </w:pPr>
      <w:r w:rsidRPr="007B1ABF">
        <w:rPr>
          <w:rFonts w:ascii="Times New Roman" w:hAnsi="Times New Roman" w:cs="Times New Roman"/>
          <w:sz w:val="26"/>
          <w:szCs w:val="26"/>
        </w:rPr>
        <w:t>Duke cannot avoid the requirements of the law</w:t>
      </w:r>
      <w:r w:rsidRPr="007B1ABF">
        <w:rPr>
          <w:rFonts w:ascii="Times New Roman" w:hAnsi="Times New Roman" w:cs="Times New Roman"/>
          <w:b/>
          <w:bCs/>
          <w:sz w:val="26"/>
          <w:szCs w:val="26"/>
        </w:rPr>
        <w:t xml:space="preserve"> </w:t>
      </w:r>
      <w:r w:rsidR="00E07D19" w:rsidRPr="007B1ABF">
        <w:rPr>
          <w:rFonts w:ascii="Times New Roman" w:hAnsi="Times New Roman" w:cs="Times New Roman"/>
          <w:sz w:val="26"/>
          <w:szCs w:val="26"/>
        </w:rPr>
        <w:t xml:space="preserve">by calling its filing an </w:t>
      </w:r>
      <w:r w:rsidR="00473E54">
        <w:rPr>
          <w:rFonts w:ascii="Times New Roman" w:hAnsi="Times New Roman" w:cs="Times New Roman"/>
          <w:sz w:val="26"/>
          <w:szCs w:val="26"/>
        </w:rPr>
        <w:t>Application to establish a new service.</w:t>
      </w:r>
      <w:r w:rsidR="00473E54" w:rsidRPr="00473E54">
        <w:rPr>
          <w:rStyle w:val="FootnoteReference"/>
          <w:rFonts w:ascii="Times New Roman" w:hAnsi="Times New Roman" w:cs="Times New Roman"/>
          <w:sz w:val="26"/>
          <w:szCs w:val="26"/>
        </w:rPr>
        <w:t xml:space="preserve"> </w:t>
      </w:r>
      <w:r w:rsidR="00473E54" w:rsidRPr="007B1ABF">
        <w:rPr>
          <w:rStyle w:val="FootnoteReference"/>
          <w:rFonts w:ascii="Times New Roman" w:hAnsi="Times New Roman" w:cs="Times New Roman"/>
          <w:sz w:val="26"/>
          <w:szCs w:val="26"/>
        </w:rPr>
        <w:footnoteReference w:id="40"/>
      </w:r>
      <w:r w:rsidR="00F14C58" w:rsidRPr="007B1ABF">
        <w:rPr>
          <w:rFonts w:ascii="Times New Roman" w:hAnsi="Times New Roman" w:cs="Times New Roman"/>
          <w:b/>
          <w:bCs/>
          <w:sz w:val="26"/>
          <w:szCs w:val="26"/>
        </w:rPr>
        <w:t xml:space="preserve"> </w:t>
      </w:r>
      <w:r w:rsidRPr="007B1ABF">
        <w:rPr>
          <w:rFonts w:ascii="Times New Roman" w:hAnsi="Times New Roman" w:cs="Times New Roman"/>
          <w:b/>
          <w:bCs/>
          <w:sz w:val="26"/>
          <w:szCs w:val="26"/>
        </w:rPr>
        <w:t xml:space="preserve"> </w:t>
      </w:r>
      <w:r w:rsidR="00473E54">
        <w:rPr>
          <w:rFonts w:ascii="Times New Roman" w:hAnsi="Times New Roman" w:cs="Times New Roman"/>
          <w:bCs/>
          <w:sz w:val="26"/>
          <w:szCs w:val="26"/>
        </w:rPr>
        <w:t>Duke’s Application is</w:t>
      </w:r>
      <w:r w:rsidRPr="007B1ABF">
        <w:rPr>
          <w:rFonts w:ascii="Times New Roman" w:hAnsi="Times New Roman" w:cs="Times New Roman"/>
          <w:sz w:val="26"/>
          <w:szCs w:val="26"/>
        </w:rPr>
        <w:t xml:space="preserve"> an unti</w:t>
      </w:r>
      <w:r w:rsidR="00E07D19" w:rsidRPr="007B1ABF">
        <w:rPr>
          <w:rFonts w:ascii="Times New Roman" w:hAnsi="Times New Roman" w:cs="Times New Roman"/>
          <w:sz w:val="26"/>
          <w:szCs w:val="26"/>
        </w:rPr>
        <w:t xml:space="preserve">mely application for rehearing. </w:t>
      </w:r>
      <w:r w:rsidR="00473E54">
        <w:rPr>
          <w:rFonts w:ascii="Times New Roman" w:hAnsi="Times New Roman" w:cs="Times New Roman"/>
          <w:sz w:val="26"/>
          <w:szCs w:val="26"/>
        </w:rPr>
        <w:t xml:space="preserve"> W</w:t>
      </w:r>
      <w:r w:rsidRPr="007B1ABF">
        <w:rPr>
          <w:rFonts w:ascii="Times New Roman" w:hAnsi="Times New Roman" w:cs="Times New Roman"/>
          <w:sz w:val="26"/>
          <w:szCs w:val="26"/>
        </w:rPr>
        <w:t>here no application for rehearing is filed within th</w:t>
      </w:r>
      <w:r w:rsidR="00E07D19" w:rsidRPr="007B1ABF">
        <w:rPr>
          <w:rFonts w:ascii="Times New Roman" w:hAnsi="Times New Roman" w:cs="Times New Roman"/>
          <w:sz w:val="26"/>
          <w:szCs w:val="26"/>
        </w:rPr>
        <w:t xml:space="preserve">irty days as required, the </w:t>
      </w:r>
      <w:r w:rsidRPr="007B1ABF">
        <w:rPr>
          <w:rFonts w:ascii="Times New Roman" w:hAnsi="Times New Roman" w:cs="Times New Roman"/>
          <w:sz w:val="26"/>
          <w:szCs w:val="26"/>
        </w:rPr>
        <w:t>Commis</w:t>
      </w:r>
      <w:r w:rsidR="00275FA9">
        <w:rPr>
          <w:rFonts w:ascii="Times New Roman" w:hAnsi="Times New Roman" w:cs="Times New Roman"/>
          <w:sz w:val="26"/>
          <w:szCs w:val="26"/>
        </w:rPr>
        <w:softHyphen/>
      </w:r>
      <w:r w:rsidRPr="007B1ABF">
        <w:rPr>
          <w:rFonts w:ascii="Times New Roman" w:hAnsi="Times New Roman" w:cs="Times New Roman"/>
          <w:sz w:val="26"/>
          <w:szCs w:val="26"/>
        </w:rPr>
        <w:t>sion has no power to entertain it.</w:t>
      </w:r>
      <w:r w:rsidR="00F14C58" w:rsidRPr="007B1ABF">
        <w:rPr>
          <w:rStyle w:val="FootnoteReference"/>
          <w:rFonts w:ascii="Times New Roman" w:hAnsi="Times New Roman" w:cs="Times New Roman"/>
          <w:sz w:val="26"/>
          <w:szCs w:val="26"/>
        </w:rPr>
        <w:footnoteReference w:id="41"/>
      </w:r>
      <w:r w:rsidR="00F14C58" w:rsidRPr="007B1ABF">
        <w:rPr>
          <w:rFonts w:ascii="Times New Roman" w:hAnsi="Times New Roman" w:cs="Times New Roman"/>
          <w:b/>
          <w:bCs/>
          <w:sz w:val="26"/>
          <w:szCs w:val="26"/>
        </w:rPr>
        <w:t xml:space="preserve"> </w:t>
      </w:r>
      <w:r w:rsidRPr="007B1ABF">
        <w:rPr>
          <w:rFonts w:ascii="Times New Roman" w:hAnsi="Times New Roman" w:cs="Times New Roman"/>
          <w:b/>
          <w:bCs/>
          <w:sz w:val="26"/>
          <w:szCs w:val="26"/>
        </w:rPr>
        <w:t xml:space="preserve"> </w:t>
      </w:r>
      <w:r w:rsidRPr="007B1ABF">
        <w:rPr>
          <w:rFonts w:ascii="Times New Roman" w:hAnsi="Times New Roman" w:cs="Times New Roman"/>
          <w:sz w:val="26"/>
          <w:szCs w:val="26"/>
        </w:rPr>
        <w:t>Thus, the</w:t>
      </w:r>
      <w:r w:rsidR="00E07D19" w:rsidRPr="007B1ABF">
        <w:rPr>
          <w:rFonts w:ascii="Times New Roman" w:hAnsi="Times New Roman" w:cs="Times New Roman"/>
          <w:sz w:val="26"/>
          <w:szCs w:val="26"/>
        </w:rPr>
        <w:t xml:space="preserve"> Commission fundamentally lacks </w:t>
      </w:r>
      <w:r w:rsidR="00473E54">
        <w:rPr>
          <w:rFonts w:ascii="Times New Roman" w:hAnsi="Times New Roman" w:cs="Times New Roman"/>
          <w:sz w:val="26"/>
          <w:szCs w:val="26"/>
        </w:rPr>
        <w:t>jurisdic</w:t>
      </w:r>
      <w:r w:rsidR="00275FA9">
        <w:rPr>
          <w:rFonts w:ascii="Times New Roman" w:hAnsi="Times New Roman" w:cs="Times New Roman"/>
          <w:sz w:val="26"/>
          <w:szCs w:val="26"/>
        </w:rPr>
        <w:softHyphen/>
      </w:r>
      <w:r w:rsidR="00473E54">
        <w:rPr>
          <w:rFonts w:ascii="Times New Roman" w:hAnsi="Times New Roman" w:cs="Times New Roman"/>
          <w:sz w:val="26"/>
          <w:szCs w:val="26"/>
        </w:rPr>
        <w:t>tion on this matter and must</w:t>
      </w:r>
      <w:r w:rsidRPr="007B1ABF">
        <w:rPr>
          <w:rFonts w:ascii="Times New Roman" w:hAnsi="Times New Roman" w:cs="Times New Roman"/>
          <w:sz w:val="26"/>
          <w:szCs w:val="26"/>
        </w:rPr>
        <w:t xml:space="preserve"> </w:t>
      </w:r>
      <w:r w:rsidR="00473E54">
        <w:rPr>
          <w:rFonts w:ascii="Times New Roman" w:hAnsi="Times New Roman" w:cs="Times New Roman"/>
          <w:sz w:val="26"/>
          <w:szCs w:val="26"/>
        </w:rPr>
        <w:t>deny or dismiss Duke’s A</w:t>
      </w:r>
      <w:r w:rsidRPr="007B1ABF">
        <w:rPr>
          <w:rFonts w:ascii="Times New Roman" w:hAnsi="Times New Roman" w:cs="Times New Roman"/>
          <w:sz w:val="26"/>
          <w:szCs w:val="26"/>
        </w:rPr>
        <w:t>pplication.</w:t>
      </w:r>
    </w:p>
    <w:p w:rsidR="00AD654F" w:rsidRPr="007B1ABF" w:rsidRDefault="00472B47" w:rsidP="00263A62">
      <w:pPr>
        <w:pStyle w:val="Heading2"/>
      </w:pPr>
      <w:bookmarkStart w:id="13" w:name="_Toc343779877"/>
      <w:r>
        <w:t>T</w:t>
      </w:r>
      <w:r w:rsidR="00473E54" w:rsidRPr="007B1ABF">
        <w:t xml:space="preserve">he doctrines of </w:t>
      </w:r>
      <w:r w:rsidR="00473E54" w:rsidRPr="00275FA9">
        <w:rPr>
          <w:i/>
        </w:rPr>
        <w:t>res judicata</w:t>
      </w:r>
      <w:r w:rsidR="00473E54" w:rsidRPr="007B1ABF">
        <w:t xml:space="preserve"> and collateral estoppel </w:t>
      </w:r>
      <w:r>
        <w:t>preclude</w:t>
      </w:r>
      <w:r w:rsidRPr="007B1ABF">
        <w:t xml:space="preserve"> </w:t>
      </w:r>
      <w:r>
        <w:t>D</w:t>
      </w:r>
      <w:r w:rsidRPr="007B1ABF">
        <w:t>uke</w:t>
      </w:r>
      <w:r>
        <w:t xml:space="preserve"> </w:t>
      </w:r>
      <w:r w:rsidR="00473E54" w:rsidRPr="007B1ABF">
        <w:t>from</w:t>
      </w:r>
      <w:r>
        <w:t xml:space="preserve"> re-litigating the</w:t>
      </w:r>
      <w:r w:rsidR="00473E54">
        <w:t xml:space="preserve"> ESP where it agreed to RPM-</w:t>
      </w:r>
      <w:r w:rsidR="00473E54" w:rsidRPr="007B1ABF">
        <w:t>based capacity pricing for</w:t>
      </w:r>
      <w:r w:rsidR="00473E54">
        <w:t xml:space="preserve"> CRES</w:t>
      </w:r>
      <w:r w:rsidR="00473E54" w:rsidRPr="007B1ABF">
        <w:t xml:space="preserve"> suppliers.</w:t>
      </w:r>
      <w:bookmarkEnd w:id="13"/>
    </w:p>
    <w:p w:rsidR="00A60CA2" w:rsidRDefault="00996488" w:rsidP="00A60CA2">
      <w:pPr>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Duke is precluded from re-liti</w:t>
      </w:r>
      <w:r w:rsidR="004722DB">
        <w:rPr>
          <w:rFonts w:ascii="Times New Roman" w:hAnsi="Times New Roman" w:cs="Times New Roman"/>
          <w:sz w:val="26"/>
          <w:szCs w:val="26"/>
        </w:rPr>
        <w:t xml:space="preserve">gating the ESP capacity pricing.  </w:t>
      </w:r>
      <w:r w:rsidR="007E4F50">
        <w:rPr>
          <w:rFonts w:ascii="Times New Roman" w:hAnsi="Times New Roman" w:cs="Times New Roman"/>
          <w:sz w:val="26"/>
          <w:szCs w:val="26"/>
        </w:rPr>
        <w:t>T</w:t>
      </w:r>
      <w:r w:rsidR="00AD654F" w:rsidRPr="007B1ABF">
        <w:rPr>
          <w:rFonts w:ascii="Times New Roman" w:hAnsi="Times New Roman" w:cs="Times New Roman"/>
          <w:sz w:val="26"/>
          <w:szCs w:val="26"/>
        </w:rPr>
        <w:t>he Commissi</w:t>
      </w:r>
      <w:r w:rsidR="00E07D19" w:rsidRPr="007B1ABF">
        <w:rPr>
          <w:rFonts w:ascii="Times New Roman" w:hAnsi="Times New Roman" w:cs="Times New Roman"/>
          <w:sz w:val="26"/>
          <w:szCs w:val="26"/>
        </w:rPr>
        <w:t>on</w:t>
      </w:r>
      <w:r w:rsidR="007E4F50">
        <w:rPr>
          <w:rFonts w:ascii="Times New Roman" w:hAnsi="Times New Roman" w:cs="Times New Roman"/>
          <w:sz w:val="26"/>
          <w:szCs w:val="26"/>
        </w:rPr>
        <w:t xml:space="preserve"> </w:t>
      </w:r>
      <w:r>
        <w:rPr>
          <w:rFonts w:ascii="Times New Roman" w:hAnsi="Times New Roman" w:cs="Times New Roman"/>
          <w:sz w:val="26"/>
          <w:szCs w:val="26"/>
        </w:rPr>
        <w:t>should reject</w:t>
      </w:r>
      <w:r w:rsidR="00AD654F" w:rsidRPr="007B1ABF">
        <w:rPr>
          <w:rFonts w:ascii="Times New Roman" w:hAnsi="Times New Roman" w:cs="Times New Roman"/>
          <w:sz w:val="26"/>
          <w:szCs w:val="26"/>
        </w:rPr>
        <w:t xml:space="preserve"> cases when part</w:t>
      </w:r>
      <w:r w:rsidR="00F14C58" w:rsidRPr="007B1ABF">
        <w:rPr>
          <w:rFonts w:ascii="Times New Roman" w:hAnsi="Times New Roman" w:cs="Times New Roman"/>
          <w:sz w:val="26"/>
          <w:szCs w:val="26"/>
        </w:rPr>
        <w:t>ies try to re-litigate</w:t>
      </w:r>
      <w:r w:rsidR="00AD654F" w:rsidRPr="007B1ABF">
        <w:rPr>
          <w:rFonts w:ascii="Times New Roman" w:hAnsi="Times New Roman" w:cs="Times New Roman"/>
          <w:sz w:val="26"/>
          <w:szCs w:val="26"/>
        </w:rPr>
        <w:t xml:space="preserve"> final judgment</w:t>
      </w:r>
      <w:r>
        <w:rPr>
          <w:rFonts w:ascii="Times New Roman" w:hAnsi="Times New Roman" w:cs="Times New Roman"/>
          <w:sz w:val="26"/>
          <w:szCs w:val="26"/>
        </w:rPr>
        <w:t>s under the</w:t>
      </w:r>
      <w:r w:rsidR="00AD654F" w:rsidRPr="007B1ABF">
        <w:rPr>
          <w:rFonts w:ascii="Times New Roman" w:hAnsi="Times New Roman" w:cs="Times New Roman"/>
          <w:sz w:val="26"/>
          <w:szCs w:val="26"/>
        </w:rPr>
        <w:t xml:space="preserve"> judicial</w:t>
      </w:r>
      <w:r>
        <w:rPr>
          <w:rFonts w:ascii="Times New Roman" w:hAnsi="Times New Roman" w:cs="Times New Roman"/>
          <w:sz w:val="26"/>
          <w:szCs w:val="26"/>
        </w:rPr>
        <w:t xml:space="preserve"> doc</w:t>
      </w:r>
      <w:r w:rsidR="00275FA9">
        <w:rPr>
          <w:rFonts w:ascii="Times New Roman" w:hAnsi="Times New Roman" w:cs="Times New Roman"/>
          <w:sz w:val="26"/>
          <w:szCs w:val="26"/>
        </w:rPr>
        <w:softHyphen/>
      </w:r>
      <w:r>
        <w:rPr>
          <w:rFonts w:ascii="Times New Roman" w:hAnsi="Times New Roman" w:cs="Times New Roman"/>
          <w:sz w:val="26"/>
          <w:szCs w:val="26"/>
        </w:rPr>
        <w:t xml:space="preserve">trines of </w:t>
      </w:r>
      <w:r w:rsidR="004722DB" w:rsidRPr="00275FA9">
        <w:rPr>
          <w:rFonts w:ascii="Times New Roman" w:hAnsi="Times New Roman" w:cs="Times New Roman"/>
          <w:i/>
          <w:sz w:val="26"/>
          <w:szCs w:val="26"/>
        </w:rPr>
        <w:t>res judicata</w:t>
      </w:r>
      <w:r w:rsidR="004722DB">
        <w:rPr>
          <w:rFonts w:ascii="Times New Roman" w:hAnsi="Times New Roman" w:cs="Times New Roman"/>
          <w:sz w:val="26"/>
          <w:szCs w:val="26"/>
        </w:rPr>
        <w:t xml:space="preserve"> and collateral estoppel.</w:t>
      </w:r>
      <w:r w:rsidR="00A60CA2">
        <w:rPr>
          <w:rFonts w:ascii="Times New Roman" w:hAnsi="Times New Roman" w:cs="Times New Roman"/>
          <w:sz w:val="26"/>
          <w:szCs w:val="26"/>
        </w:rPr>
        <w:t xml:space="preserve">  As such, the Commission should reject Duke’s application here. </w:t>
      </w:r>
      <w:r w:rsidR="00AD654F" w:rsidRPr="007B1ABF">
        <w:rPr>
          <w:rFonts w:ascii="Times New Roman" w:hAnsi="Times New Roman" w:cs="Times New Roman"/>
          <w:sz w:val="26"/>
          <w:szCs w:val="26"/>
        </w:rPr>
        <w:t xml:space="preserve"> </w:t>
      </w:r>
    </w:p>
    <w:p w:rsidR="00A47440" w:rsidRPr="007B1ABF" w:rsidRDefault="00A47440" w:rsidP="00A47440">
      <w:pPr>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Under the doctrine of </w:t>
      </w:r>
      <w:r w:rsidRPr="00275FA9">
        <w:rPr>
          <w:rFonts w:ascii="Times New Roman" w:hAnsi="Times New Roman" w:cs="Times New Roman"/>
          <w:i/>
          <w:sz w:val="26"/>
          <w:szCs w:val="26"/>
        </w:rPr>
        <w:t>res judicata</w:t>
      </w:r>
      <w:r>
        <w:rPr>
          <w:rFonts w:ascii="Times New Roman" w:hAnsi="Times New Roman" w:cs="Times New Roman"/>
          <w:sz w:val="26"/>
          <w:szCs w:val="26"/>
        </w:rPr>
        <w:t>, t</w:t>
      </w:r>
      <w:r w:rsidR="009F3F6B">
        <w:rPr>
          <w:rFonts w:ascii="Times New Roman" w:hAnsi="Times New Roman" w:cs="Times New Roman"/>
          <w:sz w:val="26"/>
          <w:szCs w:val="26"/>
        </w:rPr>
        <w:t>he Commission’s “valid final judgment ren</w:t>
      </w:r>
      <w:r w:rsidR="00275FA9">
        <w:rPr>
          <w:rFonts w:ascii="Times New Roman" w:hAnsi="Times New Roman" w:cs="Times New Roman"/>
          <w:sz w:val="26"/>
          <w:szCs w:val="26"/>
        </w:rPr>
        <w:softHyphen/>
      </w:r>
      <w:r w:rsidR="009F3F6B">
        <w:rPr>
          <w:rFonts w:ascii="Times New Roman" w:hAnsi="Times New Roman" w:cs="Times New Roman"/>
          <w:sz w:val="26"/>
          <w:szCs w:val="26"/>
        </w:rPr>
        <w:t>dered upon the merits</w:t>
      </w:r>
      <w:r w:rsidR="00AD654F" w:rsidRPr="007B1ABF">
        <w:rPr>
          <w:rFonts w:ascii="Times New Roman" w:hAnsi="Times New Roman" w:cs="Times New Roman"/>
          <w:sz w:val="26"/>
          <w:szCs w:val="26"/>
        </w:rPr>
        <w:t xml:space="preserve"> bars all subsequent actions based upon any claim</w:t>
      </w:r>
      <w:r w:rsidR="00E07D19" w:rsidRPr="007B1ABF">
        <w:rPr>
          <w:rFonts w:ascii="Times New Roman" w:hAnsi="Times New Roman" w:cs="Times New Roman"/>
          <w:sz w:val="26"/>
          <w:szCs w:val="26"/>
        </w:rPr>
        <w:t xml:space="preserve"> arising out of the transaction </w:t>
      </w:r>
      <w:r w:rsidR="00AD654F" w:rsidRPr="007B1ABF">
        <w:rPr>
          <w:rFonts w:ascii="Times New Roman" w:hAnsi="Times New Roman" w:cs="Times New Roman"/>
          <w:sz w:val="26"/>
          <w:szCs w:val="26"/>
        </w:rPr>
        <w:t>or occurrence tha</w:t>
      </w:r>
      <w:r w:rsidR="00E07D19" w:rsidRPr="007B1ABF">
        <w:rPr>
          <w:rFonts w:ascii="Times New Roman" w:hAnsi="Times New Roman" w:cs="Times New Roman"/>
          <w:sz w:val="26"/>
          <w:szCs w:val="26"/>
        </w:rPr>
        <w:t xml:space="preserve">t was the subject matter of the </w:t>
      </w:r>
      <w:r w:rsidR="00AD654F" w:rsidRPr="007B1ABF">
        <w:rPr>
          <w:rFonts w:ascii="Times New Roman" w:hAnsi="Times New Roman" w:cs="Times New Roman"/>
          <w:sz w:val="26"/>
          <w:szCs w:val="26"/>
        </w:rPr>
        <w:t>previous action.”</w:t>
      </w:r>
      <w:r w:rsidR="00934BBF" w:rsidRPr="007B1ABF">
        <w:rPr>
          <w:rStyle w:val="FootnoteReference"/>
          <w:rFonts w:ascii="Times New Roman" w:hAnsi="Times New Roman" w:cs="Times New Roman"/>
          <w:sz w:val="26"/>
          <w:szCs w:val="26"/>
        </w:rPr>
        <w:footnoteReference w:id="42"/>
      </w:r>
      <w:r w:rsidR="00934BBF" w:rsidRPr="007B1ABF">
        <w:rPr>
          <w:rFonts w:ascii="Times New Roman" w:hAnsi="Times New Roman" w:cs="Times New Roman"/>
          <w:sz w:val="26"/>
          <w:szCs w:val="26"/>
        </w:rPr>
        <w:t xml:space="preserve"> </w:t>
      </w:r>
      <w:r w:rsidR="00AD654F" w:rsidRPr="007B1ABF">
        <w:rPr>
          <w:rFonts w:ascii="Times New Roman" w:hAnsi="Times New Roman" w:cs="Times New Roman"/>
          <w:sz w:val="26"/>
          <w:szCs w:val="26"/>
        </w:rPr>
        <w:t xml:space="preserve"> </w:t>
      </w:r>
      <w:r w:rsidRPr="007B1ABF">
        <w:rPr>
          <w:rFonts w:ascii="Times New Roman" w:hAnsi="Times New Roman" w:cs="Times New Roman"/>
          <w:sz w:val="26"/>
          <w:szCs w:val="26"/>
        </w:rPr>
        <w:t xml:space="preserve">The Supreme Court of Ohio has stated that: </w:t>
      </w:r>
    </w:p>
    <w:p w:rsidR="00A47440" w:rsidRDefault="00A47440" w:rsidP="00263A62">
      <w:pPr>
        <w:pStyle w:val="Blockquote"/>
      </w:pPr>
      <w:r w:rsidRPr="007B1ABF">
        <w:t>A party can not re-litigate matters which he might have inter</w:t>
      </w:r>
      <w:r w:rsidR="00275FA9">
        <w:softHyphen/>
      </w:r>
      <w:r w:rsidRPr="007B1ABF">
        <w:t>posed, but failed to do in a prior action between the same parties or their privies, in reference to the same subject mat</w:t>
      </w:r>
      <w:r w:rsidR="00275FA9">
        <w:softHyphen/>
      </w:r>
      <w:r w:rsidRPr="007B1ABF">
        <w:t>ter</w:t>
      </w:r>
      <w:r w:rsidR="00275FA9" w:rsidRPr="007B1ABF">
        <w:t xml:space="preserve">.  </w:t>
      </w:r>
      <w:r w:rsidRPr="007B1ABF">
        <w:t>And if one of the parties failed to introduce matters for the consideration of the court that he might have done, he will be presumed to have waived his right to do so.</w:t>
      </w:r>
      <w:r w:rsidRPr="007B1ABF">
        <w:rPr>
          <w:rStyle w:val="FootnoteReference"/>
        </w:rPr>
        <w:footnoteReference w:id="43"/>
      </w:r>
      <w:r w:rsidRPr="007B1ABF">
        <w:t xml:space="preserve">  </w:t>
      </w:r>
    </w:p>
    <w:p w:rsidR="00D11235" w:rsidRPr="007B1ABF" w:rsidRDefault="00AD654F" w:rsidP="00A47440">
      <w:pPr>
        <w:autoSpaceDE w:val="0"/>
        <w:autoSpaceDN w:val="0"/>
        <w:adjustRightInd w:val="0"/>
        <w:spacing w:after="0" w:line="480" w:lineRule="auto"/>
        <w:ind w:firstLine="720"/>
        <w:rPr>
          <w:rFonts w:ascii="Times New Roman" w:hAnsi="Times New Roman" w:cs="Times New Roman"/>
          <w:sz w:val="26"/>
          <w:szCs w:val="26"/>
        </w:rPr>
      </w:pPr>
      <w:r w:rsidRPr="007B1ABF">
        <w:rPr>
          <w:rFonts w:ascii="Times New Roman" w:hAnsi="Times New Roman" w:cs="Times New Roman"/>
          <w:sz w:val="26"/>
          <w:szCs w:val="26"/>
        </w:rPr>
        <w:t xml:space="preserve">While </w:t>
      </w:r>
      <w:r w:rsidRPr="00263A62">
        <w:rPr>
          <w:rFonts w:ascii="Times New Roman" w:hAnsi="Times New Roman" w:cs="Times New Roman"/>
          <w:i/>
          <w:sz w:val="26"/>
          <w:szCs w:val="26"/>
        </w:rPr>
        <w:t>res judicata</w:t>
      </w:r>
      <w:r w:rsidRPr="007B1ABF">
        <w:rPr>
          <w:rFonts w:ascii="Times New Roman" w:hAnsi="Times New Roman" w:cs="Times New Roman"/>
          <w:sz w:val="26"/>
          <w:szCs w:val="26"/>
        </w:rPr>
        <w:t xml:space="preserve"> pertains to re-litigating a cause</w:t>
      </w:r>
      <w:r w:rsidR="00E07D19" w:rsidRPr="007B1ABF">
        <w:rPr>
          <w:rFonts w:ascii="Times New Roman" w:hAnsi="Times New Roman" w:cs="Times New Roman"/>
          <w:sz w:val="26"/>
          <w:szCs w:val="26"/>
        </w:rPr>
        <w:t xml:space="preserve"> of action, collateral estoppel </w:t>
      </w:r>
      <w:r w:rsidRPr="007B1ABF">
        <w:rPr>
          <w:rFonts w:ascii="Times New Roman" w:hAnsi="Times New Roman" w:cs="Times New Roman"/>
          <w:sz w:val="26"/>
          <w:szCs w:val="26"/>
        </w:rPr>
        <w:t xml:space="preserve">pertains to re-litigating </w:t>
      </w:r>
      <w:r w:rsidRPr="007B1ABF">
        <w:rPr>
          <w:rFonts w:ascii="Times New Roman" w:hAnsi="Times New Roman" w:cs="Times New Roman"/>
          <w:i/>
          <w:iCs/>
          <w:sz w:val="26"/>
          <w:szCs w:val="26"/>
        </w:rPr>
        <w:t xml:space="preserve">issues </w:t>
      </w:r>
      <w:r w:rsidRPr="007B1ABF">
        <w:rPr>
          <w:rFonts w:ascii="Times New Roman" w:hAnsi="Times New Roman" w:cs="Times New Roman"/>
          <w:sz w:val="26"/>
          <w:szCs w:val="26"/>
        </w:rPr>
        <w:t>in a later case involving a diffe</w:t>
      </w:r>
      <w:r w:rsidR="00E07D19" w:rsidRPr="007B1ABF">
        <w:rPr>
          <w:rFonts w:ascii="Times New Roman" w:hAnsi="Times New Roman" w:cs="Times New Roman"/>
          <w:sz w:val="26"/>
          <w:szCs w:val="26"/>
        </w:rPr>
        <w:t xml:space="preserve">rent cause of action. </w:t>
      </w:r>
      <w:r w:rsidR="00E2654F">
        <w:rPr>
          <w:rFonts w:ascii="Times New Roman" w:hAnsi="Times New Roman" w:cs="Times New Roman"/>
          <w:sz w:val="26"/>
          <w:szCs w:val="26"/>
        </w:rPr>
        <w:t xml:space="preserve"> </w:t>
      </w:r>
      <w:r w:rsidR="00E07D19" w:rsidRPr="007B1ABF">
        <w:rPr>
          <w:rFonts w:ascii="Times New Roman" w:hAnsi="Times New Roman" w:cs="Times New Roman"/>
          <w:sz w:val="26"/>
          <w:szCs w:val="26"/>
        </w:rPr>
        <w:t xml:space="preserve">The </w:t>
      </w:r>
      <w:r w:rsidRPr="007B1ABF">
        <w:rPr>
          <w:rFonts w:ascii="Times New Roman" w:hAnsi="Times New Roman" w:cs="Times New Roman"/>
          <w:sz w:val="26"/>
          <w:szCs w:val="26"/>
        </w:rPr>
        <w:t>Supre</w:t>
      </w:r>
      <w:r w:rsidR="004722DB">
        <w:rPr>
          <w:rFonts w:ascii="Times New Roman" w:hAnsi="Times New Roman" w:cs="Times New Roman"/>
          <w:sz w:val="26"/>
          <w:szCs w:val="26"/>
        </w:rPr>
        <w:t xml:space="preserve">me Court of Ohio characterized </w:t>
      </w:r>
      <w:r w:rsidRPr="007B1ABF">
        <w:rPr>
          <w:rFonts w:ascii="Times New Roman" w:hAnsi="Times New Roman" w:cs="Times New Roman"/>
          <w:sz w:val="26"/>
          <w:szCs w:val="26"/>
        </w:rPr>
        <w:t>collateral es</w:t>
      </w:r>
      <w:r w:rsidR="004722DB">
        <w:rPr>
          <w:rFonts w:ascii="Times New Roman" w:hAnsi="Times New Roman" w:cs="Times New Roman"/>
          <w:sz w:val="26"/>
          <w:szCs w:val="26"/>
        </w:rPr>
        <w:t>toppel</w:t>
      </w:r>
      <w:r w:rsidRPr="007B1ABF">
        <w:rPr>
          <w:rFonts w:ascii="Times New Roman" w:hAnsi="Times New Roman" w:cs="Times New Roman"/>
          <w:sz w:val="26"/>
          <w:szCs w:val="26"/>
        </w:rPr>
        <w:t xml:space="preserve"> </w:t>
      </w:r>
      <w:r w:rsidR="00E07D19" w:rsidRPr="007B1ABF">
        <w:rPr>
          <w:rFonts w:ascii="Times New Roman" w:hAnsi="Times New Roman" w:cs="Times New Roman"/>
          <w:sz w:val="26"/>
          <w:szCs w:val="26"/>
        </w:rPr>
        <w:t xml:space="preserve">as precluding the re-litigation </w:t>
      </w:r>
      <w:r w:rsidRPr="007B1ABF">
        <w:rPr>
          <w:rFonts w:ascii="Times New Roman" w:hAnsi="Times New Roman" w:cs="Times New Roman"/>
          <w:sz w:val="26"/>
          <w:szCs w:val="26"/>
        </w:rPr>
        <w:t>of an issue that has been “actually and necessarily litigate</w:t>
      </w:r>
      <w:r w:rsidR="00934BBF" w:rsidRPr="007B1ABF">
        <w:rPr>
          <w:rFonts w:ascii="Times New Roman" w:hAnsi="Times New Roman" w:cs="Times New Roman"/>
          <w:sz w:val="26"/>
          <w:szCs w:val="26"/>
        </w:rPr>
        <w:t xml:space="preserve">d and determined in a prior </w:t>
      </w:r>
      <w:r w:rsidRPr="007B1ABF">
        <w:rPr>
          <w:rFonts w:ascii="Times New Roman" w:hAnsi="Times New Roman" w:cs="Times New Roman"/>
          <w:sz w:val="26"/>
          <w:szCs w:val="26"/>
        </w:rPr>
        <w:t>action.”</w:t>
      </w:r>
      <w:r w:rsidR="00934BBF" w:rsidRPr="007B1ABF">
        <w:rPr>
          <w:rStyle w:val="FootnoteReference"/>
          <w:rFonts w:ascii="Times New Roman" w:hAnsi="Times New Roman" w:cs="Times New Roman"/>
          <w:sz w:val="26"/>
          <w:szCs w:val="26"/>
        </w:rPr>
        <w:footnoteReference w:id="44"/>
      </w:r>
      <w:r w:rsidR="00934BBF" w:rsidRPr="007B1ABF">
        <w:rPr>
          <w:rFonts w:ascii="Times New Roman" w:hAnsi="Times New Roman" w:cs="Times New Roman"/>
          <w:sz w:val="26"/>
          <w:szCs w:val="26"/>
        </w:rPr>
        <w:t xml:space="preserve"> </w:t>
      </w:r>
      <w:r w:rsidRPr="007B1ABF">
        <w:rPr>
          <w:rFonts w:ascii="Times New Roman" w:hAnsi="Times New Roman" w:cs="Times New Roman"/>
          <w:sz w:val="26"/>
          <w:szCs w:val="26"/>
        </w:rPr>
        <w:t xml:space="preserve"> “When an issue of fact or law is actually liti</w:t>
      </w:r>
      <w:r w:rsidR="00E07D19" w:rsidRPr="007B1ABF">
        <w:rPr>
          <w:rFonts w:ascii="Times New Roman" w:hAnsi="Times New Roman" w:cs="Times New Roman"/>
          <w:sz w:val="26"/>
          <w:szCs w:val="26"/>
        </w:rPr>
        <w:t xml:space="preserve">gated and determined by a valid </w:t>
      </w:r>
      <w:r w:rsidRPr="007B1ABF">
        <w:rPr>
          <w:rFonts w:ascii="Times New Roman" w:hAnsi="Times New Roman" w:cs="Times New Roman"/>
          <w:sz w:val="26"/>
          <w:szCs w:val="26"/>
        </w:rPr>
        <w:t xml:space="preserve">and final judgment, and the determination is essential to </w:t>
      </w:r>
      <w:r w:rsidR="00E07D19" w:rsidRPr="007B1ABF">
        <w:rPr>
          <w:rFonts w:ascii="Times New Roman" w:hAnsi="Times New Roman" w:cs="Times New Roman"/>
          <w:sz w:val="26"/>
          <w:szCs w:val="26"/>
        </w:rPr>
        <w:t xml:space="preserve">the judgment, the determination </w:t>
      </w:r>
      <w:r w:rsidRPr="007B1ABF">
        <w:rPr>
          <w:rFonts w:ascii="Times New Roman" w:hAnsi="Times New Roman" w:cs="Times New Roman"/>
          <w:sz w:val="26"/>
          <w:szCs w:val="26"/>
        </w:rPr>
        <w:t>is conclusive in a subsequent action between the pa</w:t>
      </w:r>
      <w:r w:rsidR="00E07D19" w:rsidRPr="007B1ABF">
        <w:rPr>
          <w:rFonts w:ascii="Times New Roman" w:hAnsi="Times New Roman" w:cs="Times New Roman"/>
          <w:sz w:val="26"/>
          <w:szCs w:val="26"/>
        </w:rPr>
        <w:t xml:space="preserve">rties, whether on the same or a </w:t>
      </w:r>
      <w:r w:rsidRPr="007B1ABF">
        <w:rPr>
          <w:rFonts w:ascii="Times New Roman" w:hAnsi="Times New Roman" w:cs="Times New Roman"/>
          <w:sz w:val="26"/>
          <w:szCs w:val="26"/>
        </w:rPr>
        <w:t>differ</w:t>
      </w:r>
      <w:r w:rsidR="00275FA9">
        <w:rPr>
          <w:rFonts w:ascii="Times New Roman" w:hAnsi="Times New Roman" w:cs="Times New Roman"/>
          <w:sz w:val="26"/>
          <w:szCs w:val="26"/>
        </w:rPr>
        <w:softHyphen/>
      </w:r>
      <w:r w:rsidRPr="007B1ABF">
        <w:rPr>
          <w:rFonts w:ascii="Times New Roman" w:hAnsi="Times New Roman" w:cs="Times New Roman"/>
          <w:sz w:val="26"/>
          <w:szCs w:val="26"/>
        </w:rPr>
        <w:t>ent claim.”</w:t>
      </w:r>
      <w:r w:rsidR="00D11235" w:rsidRPr="007B1ABF">
        <w:rPr>
          <w:rStyle w:val="FootnoteReference"/>
          <w:rFonts w:ascii="Times New Roman" w:hAnsi="Times New Roman" w:cs="Times New Roman"/>
          <w:sz w:val="26"/>
          <w:szCs w:val="26"/>
        </w:rPr>
        <w:footnoteReference w:id="45"/>
      </w:r>
    </w:p>
    <w:p w:rsidR="004722DB" w:rsidRDefault="004722DB" w:rsidP="00D11235">
      <w:pPr>
        <w:autoSpaceDE w:val="0"/>
        <w:autoSpaceDN w:val="0"/>
        <w:adjustRightInd w:val="0"/>
        <w:spacing w:after="0" w:line="480" w:lineRule="auto"/>
        <w:ind w:firstLine="720"/>
        <w:rPr>
          <w:rFonts w:ascii="Times New Roman" w:hAnsi="Times New Roman" w:cs="Times New Roman"/>
          <w:sz w:val="26"/>
          <w:szCs w:val="26"/>
        </w:rPr>
      </w:pPr>
      <w:r w:rsidRPr="00275FA9">
        <w:rPr>
          <w:rFonts w:ascii="Times New Roman" w:hAnsi="Times New Roman" w:cs="Times New Roman"/>
          <w:i/>
          <w:sz w:val="26"/>
          <w:szCs w:val="26"/>
        </w:rPr>
        <w:lastRenderedPageBreak/>
        <w:t>Res judicata</w:t>
      </w:r>
      <w:r>
        <w:rPr>
          <w:rFonts w:ascii="Times New Roman" w:hAnsi="Times New Roman" w:cs="Times New Roman"/>
          <w:sz w:val="26"/>
          <w:szCs w:val="26"/>
        </w:rPr>
        <w:t xml:space="preserve"> and collateral estoppel both</w:t>
      </w:r>
      <w:r w:rsidR="00AD654F" w:rsidRPr="007B1ABF">
        <w:rPr>
          <w:rFonts w:ascii="Times New Roman" w:hAnsi="Times New Roman" w:cs="Times New Roman"/>
          <w:sz w:val="26"/>
          <w:szCs w:val="26"/>
        </w:rPr>
        <w:t xml:space="preserve"> apply to </w:t>
      </w:r>
      <w:r>
        <w:rPr>
          <w:rFonts w:ascii="Times New Roman" w:hAnsi="Times New Roman" w:cs="Times New Roman"/>
          <w:sz w:val="26"/>
          <w:szCs w:val="26"/>
        </w:rPr>
        <w:t>Commission proceedings</w:t>
      </w:r>
      <w:r w:rsidR="00AD654F" w:rsidRPr="007B1ABF">
        <w:rPr>
          <w:rFonts w:ascii="Times New Roman" w:hAnsi="Times New Roman" w:cs="Times New Roman"/>
          <w:sz w:val="26"/>
          <w:szCs w:val="26"/>
        </w:rPr>
        <w:t>.</w:t>
      </w:r>
      <w:r w:rsidR="00D11235" w:rsidRPr="007B1ABF">
        <w:rPr>
          <w:rStyle w:val="FootnoteReference"/>
          <w:rFonts w:ascii="Times New Roman" w:hAnsi="Times New Roman" w:cs="Times New Roman"/>
          <w:sz w:val="26"/>
          <w:szCs w:val="26"/>
        </w:rPr>
        <w:footnoteReference w:id="46"/>
      </w:r>
      <w:r w:rsidR="00F53D74">
        <w:rPr>
          <w:rFonts w:ascii="Times New Roman" w:hAnsi="Times New Roman" w:cs="Times New Roman"/>
          <w:sz w:val="26"/>
          <w:szCs w:val="26"/>
        </w:rPr>
        <w:t xml:space="preserve">  </w:t>
      </w:r>
      <w:r>
        <w:rPr>
          <w:rFonts w:ascii="Times New Roman" w:hAnsi="Times New Roman" w:cs="Times New Roman"/>
          <w:sz w:val="26"/>
          <w:szCs w:val="26"/>
        </w:rPr>
        <w:t>T</w:t>
      </w:r>
      <w:r w:rsidR="00E07D19" w:rsidRPr="007B1ABF">
        <w:rPr>
          <w:rFonts w:ascii="Times New Roman" w:hAnsi="Times New Roman" w:cs="Times New Roman"/>
          <w:sz w:val="26"/>
          <w:szCs w:val="26"/>
        </w:rPr>
        <w:t xml:space="preserve">he </w:t>
      </w:r>
      <w:r>
        <w:rPr>
          <w:rFonts w:ascii="Times New Roman" w:hAnsi="Times New Roman" w:cs="Times New Roman"/>
          <w:sz w:val="26"/>
          <w:szCs w:val="26"/>
        </w:rPr>
        <w:t xml:space="preserve">Supreme </w:t>
      </w:r>
      <w:r w:rsidR="00AD654F" w:rsidRPr="007B1ABF">
        <w:rPr>
          <w:rFonts w:ascii="Times New Roman" w:hAnsi="Times New Roman" w:cs="Times New Roman"/>
          <w:sz w:val="26"/>
          <w:szCs w:val="26"/>
        </w:rPr>
        <w:t>Court</w:t>
      </w:r>
      <w:r>
        <w:rPr>
          <w:rFonts w:ascii="Times New Roman" w:hAnsi="Times New Roman" w:cs="Times New Roman"/>
          <w:sz w:val="26"/>
          <w:szCs w:val="26"/>
        </w:rPr>
        <w:t xml:space="preserve"> of Ohio has stated that:</w:t>
      </w:r>
      <w:r w:rsidR="00AD654F" w:rsidRPr="007B1ABF">
        <w:rPr>
          <w:rFonts w:ascii="Times New Roman" w:hAnsi="Times New Roman" w:cs="Times New Roman"/>
          <w:sz w:val="26"/>
          <w:szCs w:val="26"/>
        </w:rPr>
        <w:t xml:space="preserve"> </w:t>
      </w:r>
    </w:p>
    <w:p w:rsidR="004722DB" w:rsidRDefault="00AD654F" w:rsidP="00275FA9">
      <w:pPr>
        <w:pStyle w:val="Blockquote"/>
      </w:pPr>
      <w:proofErr w:type="gramStart"/>
      <w:r w:rsidRPr="007B1ABF">
        <w:t>where</w:t>
      </w:r>
      <w:proofErr w:type="gramEnd"/>
      <w:r w:rsidRPr="007B1ABF">
        <w:t xml:space="preserve"> an administrative proceeding is of a judicial nature and where t</w:t>
      </w:r>
      <w:r w:rsidR="00E07D19" w:rsidRPr="007B1ABF">
        <w:t xml:space="preserve">he parties </w:t>
      </w:r>
      <w:r w:rsidRPr="007B1ABF">
        <w:t xml:space="preserve">have had an ample opportunity to litigate the issues </w:t>
      </w:r>
      <w:r w:rsidR="00E07D19" w:rsidRPr="007B1ABF">
        <w:t xml:space="preserve">involved in the proceeding, the </w:t>
      </w:r>
      <w:r w:rsidRPr="007B1ABF">
        <w:t>doctrine of collat</w:t>
      </w:r>
      <w:r w:rsidR="00275FA9">
        <w:softHyphen/>
      </w:r>
      <w:r w:rsidRPr="007B1ABF">
        <w:t>eral estoppel may be used to bar l</w:t>
      </w:r>
      <w:r w:rsidR="00E07D19" w:rsidRPr="007B1ABF">
        <w:t xml:space="preserve">itigation of issues in a second </w:t>
      </w:r>
      <w:r w:rsidRPr="007B1ABF">
        <w:t>administrative proceeding.”</w:t>
      </w:r>
      <w:r w:rsidR="00D11235" w:rsidRPr="007B1ABF">
        <w:rPr>
          <w:rStyle w:val="FootnoteReference"/>
        </w:rPr>
        <w:footnoteReference w:id="47"/>
      </w:r>
      <w:r w:rsidR="00D11235" w:rsidRPr="007B1ABF">
        <w:t xml:space="preserve"> </w:t>
      </w:r>
      <w:r w:rsidRPr="007B1ABF">
        <w:t xml:space="preserve"> </w:t>
      </w:r>
    </w:p>
    <w:p w:rsidR="00E07D19" w:rsidRPr="007B1ABF" w:rsidRDefault="00AD654F" w:rsidP="00F26476">
      <w:pPr>
        <w:autoSpaceDE w:val="0"/>
        <w:autoSpaceDN w:val="0"/>
        <w:adjustRightInd w:val="0"/>
        <w:spacing w:after="0" w:line="480" w:lineRule="auto"/>
        <w:rPr>
          <w:rFonts w:ascii="Times New Roman" w:hAnsi="Times New Roman" w:cs="Times New Roman"/>
          <w:sz w:val="26"/>
          <w:szCs w:val="26"/>
        </w:rPr>
      </w:pPr>
      <w:r w:rsidRPr="007B1ABF">
        <w:rPr>
          <w:rFonts w:ascii="Times New Roman" w:hAnsi="Times New Roman" w:cs="Times New Roman"/>
          <w:sz w:val="26"/>
          <w:szCs w:val="26"/>
        </w:rPr>
        <w:t xml:space="preserve">The Court has also held that the doctrine of </w:t>
      </w:r>
      <w:r w:rsidRPr="00275FA9">
        <w:rPr>
          <w:rFonts w:ascii="Times New Roman" w:hAnsi="Times New Roman" w:cs="Times New Roman"/>
          <w:i/>
          <w:sz w:val="26"/>
          <w:szCs w:val="26"/>
        </w:rPr>
        <w:t>r</w:t>
      </w:r>
      <w:r w:rsidR="00E07D19" w:rsidRPr="00275FA9">
        <w:rPr>
          <w:rFonts w:ascii="Times New Roman" w:hAnsi="Times New Roman" w:cs="Times New Roman"/>
          <w:i/>
          <w:sz w:val="26"/>
          <w:szCs w:val="26"/>
        </w:rPr>
        <w:t>es judicata</w:t>
      </w:r>
      <w:r w:rsidR="00E07D19" w:rsidRPr="007B1ABF">
        <w:rPr>
          <w:rFonts w:ascii="Times New Roman" w:hAnsi="Times New Roman" w:cs="Times New Roman"/>
          <w:sz w:val="26"/>
          <w:szCs w:val="26"/>
        </w:rPr>
        <w:t xml:space="preserve"> </w:t>
      </w:r>
      <w:r w:rsidRPr="007B1ABF">
        <w:rPr>
          <w:rFonts w:ascii="Times New Roman" w:hAnsi="Times New Roman" w:cs="Times New Roman"/>
          <w:sz w:val="26"/>
          <w:szCs w:val="26"/>
        </w:rPr>
        <w:t>may be used to bar litigation of issues in a second</w:t>
      </w:r>
      <w:r w:rsidR="00E07D19" w:rsidRPr="007B1ABF">
        <w:rPr>
          <w:rFonts w:ascii="Times New Roman" w:hAnsi="Times New Roman" w:cs="Times New Roman"/>
          <w:sz w:val="26"/>
          <w:szCs w:val="26"/>
        </w:rPr>
        <w:t xml:space="preserve"> administrative proceeding</w:t>
      </w:r>
      <w:r w:rsidR="00275FA9" w:rsidRPr="007B1ABF">
        <w:rPr>
          <w:rFonts w:ascii="Times New Roman" w:hAnsi="Times New Roman" w:cs="Times New Roman"/>
          <w:sz w:val="26"/>
          <w:szCs w:val="26"/>
        </w:rPr>
        <w:t xml:space="preserve">.  </w:t>
      </w:r>
      <w:r w:rsidR="00E07D19" w:rsidRPr="007B1ABF">
        <w:rPr>
          <w:rFonts w:ascii="Times New Roman" w:hAnsi="Times New Roman" w:cs="Times New Roman"/>
          <w:sz w:val="26"/>
          <w:szCs w:val="26"/>
        </w:rPr>
        <w:t xml:space="preserve">The </w:t>
      </w:r>
      <w:r w:rsidRPr="007B1ABF">
        <w:rPr>
          <w:rFonts w:ascii="Times New Roman" w:hAnsi="Times New Roman" w:cs="Times New Roman"/>
          <w:sz w:val="26"/>
          <w:szCs w:val="26"/>
        </w:rPr>
        <w:t>doctrine can also be applied in cases concluded by settlement.</w:t>
      </w:r>
      <w:r w:rsidR="00D11235" w:rsidRPr="007B1ABF">
        <w:rPr>
          <w:rStyle w:val="FootnoteReference"/>
          <w:rFonts w:ascii="Times New Roman" w:hAnsi="Times New Roman" w:cs="Times New Roman"/>
          <w:sz w:val="26"/>
          <w:szCs w:val="26"/>
        </w:rPr>
        <w:footnoteReference w:id="48"/>
      </w:r>
      <w:r w:rsidR="00D11235" w:rsidRPr="007B1ABF">
        <w:rPr>
          <w:rFonts w:ascii="Times New Roman" w:hAnsi="Times New Roman" w:cs="Times New Roman"/>
          <w:sz w:val="26"/>
          <w:szCs w:val="26"/>
        </w:rPr>
        <w:t xml:space="preserve"> </w:t>
      </w:r>
      <w:r w:rsidR="00E07D19" w:rsidRPr="007B1ABF">
        <w:rPr>
          <w:rFonts w:ascii="Times New Roman" w:hAnsi="Times New Roman" w:cs="Times New Roman"/>
          <w:sz w:val="26"/>
          <w:szCs w:val="26"/>
        </w:rPr>
        <w:t xml:space="preserve"> </w:t>
      </w:r>
      <w:r w:rsidRPr="007B1ABF">
        <w:rPr>
          <w:rFonts w:ascii="Times New Roman" w:hAnsi="Times New Roman" w:cs="Times New Roman"/>
          <w:sz w:val="26"/>
          <w:szCs w:val="26"/>
        </w:rPr>
        <w:t xml:space="preserve">The Duke ESP Proceeding was judicial in </w:t>
      </w:r>
      <w:r w:rsidR="00E07D19" w:rsidRPr="007B1ABF">
        <w:rPr>
          <w:rFonts w:ascii="Times New Roman" w:hAnsi="Times New Roman" w:cs="Times New Roman"/>
          <w:sz w:val="26"/>
          <w:szCs w:val="26"/>
        </w:rPr>
        <w:t>nature and pro</w:t>
      </w:r>
      <w:r w:rsidR="00275FA9">
        <w:rPr>
          <w:rFonts w:ascii="Times New Roman" w:hAnsi="Times New Roman" w:cs="Times New Roman"/>
          <w:sz w:val="26"/>
          <w:szCs w:val="26"/>
        </w:rPr>
        <w:softHyphen/>
      </w:r>
      <w:r w:rsidR="00E07D19" w:rsidRPr="007B1ABF">
        <w:rPr>
          <w:rFonts w:ascii="Times New Roman" w:hAnsi="Times New Roman" w:cs="Times New Roman"/>
          <w:sz w:val="26"/>
          <w:szCs w:val="26"/>
        </w:rPr>
        <w:t xml:space="preserve">vided parties </w:t>
      </w:r>
      <w:r w:rsidR="004722DB">
        <w:rPr>
          <w:rFonts w:ascii="Times New Roman" w:hAnsi="Times New Roman" w:cs="Times New Roman"/>
          <w:sz w:val="26"/>
          <w:szCs w:val="26"/>
        </w:rPr>
        <w:t xml:space="preserve">with </w:t>
      </w:r>
      <w:r w:rsidR="00F26476">
        <w:rPr>
          <w:rFonts w:ascii="Times New Roman" w:hAnsi="Times New Roman" w:cs="Times New Roman"/>
          <w:sz w:val="26"/>
          <w:szCs w:val="26"/>
        </w:rPr>
        <w:t>notice of hearing</w:t>
      </w:r>
      <w:r w:rsidRPr="007B1ABF">
        <w:rPr>
          <w:rFonts w:ascii="Times New Roman" w:hAnsi="Times New Roman" w:cs="Times New Roman"/>
          <w:sz w:val="26"/>
          <w:szCs w:val="26"/>
        </w:rPr>
        <w:t xml:space="preserve"> and</w:t>
      </w:r>
      <w:r w:rsidR="00A60CA2">
        <w:rPr>
          <w:rFonts w:ascii="Times New Roman" w:hAnsi="Times New Roman" w:cs="Times New Roman"/>
          <w:sz w:val="26"/>
          <w:szCs w:val="26"/>
        </w:rPr>
        <w:t xml:space="preserve"> ample</w:t>
      </w:r>
      <w:r w:rsidR="00E07D19" w:rsidRPr="007B1ABF">
        <w:rPr>
          <w:rFonts w:ascii="Times New Roman" w:hAnsi="Times New Roman" w:cs="Times New Roman"/>
          <w:sz w:val="26"/>
          <w:szCs w:val="26"/>
        </w:rPr>
        <w:t xml:space="preserve"> opportunity to introduce </w:t>
      </w:r>
      <w:r w:rsidR="004722DB">
        <w:rPr>
          <w:rFonts w:ascii="Times New Roman" w:hAnsi="Times New Roman" w:cs="Times New Roman"/>
          <w:sz w:val="26"/>
          <w:szCs w:val="26"/>
        </w:rPr>
        <w:t>evidence.  T</w:t>
      </w:r>
      <w:r w:rsidRPr="007B1ABF">
        <w:rPr>
          <w:rFonts w:ascii="Times New Roman" w:hAnsi="Times New Roman" w:cs="Times New Roman"/>
          <w:sz w:val="26"/>
          <w:szCs w:val="26"/>
        </w:rPr>
        <w:t>he</w:t>
      </w:r>
      <w:r w:rsidR="004722DB">
        <w:rPr>
          <w:rFonts w:ascii="Times New Roman" w:hAnsi="Times New Roman" w:cs="Times New Roman"/>
          <w:sz w:val="26"/>
          <w:szCs w:val="26"/>
        </w:rPr>
        <w:t xml:space="preserve"> Commission</w:t>
      </w:r>
      <w:r w:rsidR="00A60CA2">
        <w:rPr>
          <w:rFonts w:ascii="Times New Roman" w:hAnsi="Times New Roman" w:cs="Times New Roman"/>
          <w:sz w:val="26"/>
          <w:szCs w:val="26"/>
        </w:rPr>
        <w:t xml:space="preserve"> then</w:t>
      </w:r>
      <w:r w:rsidRPr="007B1ABF">
        <w:rPr>
          <w:rFonts w:ascii="Times New Roman" w:hAnsi="Times New Roman" w:cs="Times New Roman"/>
          <w:sz w:val="26"/>
          <w:szCs w:val="26"/>
        </w:rPr>
        <w:t xml:space="preserve"> acted in its judicial capacity i</w:t>
      </w:r>
      <w:r w:rsidR="00E07D19" w:rsidRPr="007B1ABF">
        <w:rPr>
          <w:rFonts w:ascii="Times New Roman" w:hAnsi="Times New Roman" w:cs="Times New Roman"/>
          <w:sz w:val="26"/>
          <w:szCs w:val="26"/>
        </w:rPr>
        <w:t>n resolving the ESP Proceeding.</w:t>
      </w:r>
      <w:r w:rsidR="004722DB">
        <w:rPr>
          <w:rFonts w:ascii="Times New Roman" w:hAnsi="Times New Roman" w:cs="Times New Roman"/>
          <w:sz w:val="26"/>
          <w:szCs w:val="26"/>
        </w:rPr>
        <w:t xml:space="preserve">  There</w:t>
      </w:r>
      <w:r w:rsidR="00275FA9">
        <w:rPr>
          <w:rFonts w:ascii="Times New Roman" w:hAnsi="Times New Roman" w:cs="Times New Roman"/>
          <w:sz w:val="26"/>
          <w:szCs w:val="26"/>
        </w:rPr>
        <w:softHyphen/>
      </w:r>
      <w:r w:rsidR="004722DB">
        <w:rPr>
          <w:rFonts w:ascii="Times New Roman" w:hAnsi="Times New Roman" w:cs="Times New Roman"/>
          <w:sz w:val="26"/>
          <w:szCs w:val="26"/>
        </w:rPr>
        <w:t>fore</w:t>
      </w:r>
      <w:r w:rsidRPr="007B1ABF">
        <w:rPr>
          <w:rFonts w:ascii="Times New Roman" w:hAnsi="Times New Roman" w:cs="Times New Roman"/>
          <w:sz w:val="26"/>
          <w:szCs w:val="26"/>
        </w:rPr>
        <w:t xml:space="preserve">, collateral estoppel and </w:t>
      </w:r>
      <w:r w:rsidRPr="00275FA9">
        <w:rPr>
          <w:rFonts w:ascii="Times New Roman" w:hAnsi="Times New Roman" w:cs="Times New Roman"/>
          <w:i/>
          <w:sz w:val="26"/>
          <w:szCs w:val="26"/>
        </w:rPr>
        <w:t>res judicata</w:t>
      </w:r>
      <w:r w:rsidR="00E07D19" w:rsidRPr="007B1ABF">
        <w:rPr>
          <w:rFonts w:ascii="Times New Roman" w:hAnsi="Times New Roman" w:cs="Times New Roman"/>
          <w:sz w:val="26"/>
          <w:szCs w:val="26"/>
        </w:rPr>
        <w:t xml:space="preserve"> bar litigation of these </w:t>
      </w:r>
      <w:r w:rsidRPr="007B1ABF">
        <w:rPr>
          <w:rFonts w:ascii="Times New Roman" w:hAnsi="Times New Roman" w:cs="Times New Roman"/>
          <w:sz w:val="26"/>
          <w:szCs w:val="26"/>
        </w:rPr>
        <w:t>same issues in a second administrative proceeding.</w:t>
      </w:r>
      <w:r w:rsidR="00D11235" w:rsidRPr="007B1ABF">
        <w:rPr>
          <w:rStyle w:val="FootnoteReference"/>
          <w:rFonts w:ascii="Times New Roman" w:hAnsi="Times New Roman" w:cs="Times New Roman"/>
          <w:sz w:val="26"/>
          <w:szCs w:val="26"/>
        </w:rPr>
        <w:footnoteReference w:id="49"/>
      </w:r>
    </w:p>
    <w:p w:rsidR="00D11235" w:rsidRPr="007B1ABF" w:rsidRDefault="00F26476" w:rsidP="009A1F07">
      <w:pPr>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T</w:t>
      </w:r>
      <w:r w:rsidR="00AD654F" w:rsidRPr="007B1ABF">
        <w:rPr>
          <w:rFonts w:ascii="Times New Roman" w:hAnsi="Times New Roman" w:cs="Times New Roman"/>
          <w:sz w:val="26"/>
          <w:szCs w:val="26"/>
        </w:rPr>
        <w:t xml:space="preserve">o apply the doctrine of </w:t>
      </w:r>
      <w:r w:rsidR="00AD654F" w:rsidRPr="00275FA9">
        <w:rPr>
          <w:rFonts w:ascii="Times New Roman" w:hAnsi="Times New Roman" w:cs="Times New Roman"/>
          <w:i/>
          <w:sz w:val="26"/>
          <w:szCs w:val="26"/>
        </w:rPr>
        <w:t>res judicata</w:t>
      </w:r>
      <w:r w:rsidR="00AD654F" w:rsidRPr="007B1ABF">
        <w:rPr>
          <w:rFonts w:ascii="Times New Roman" w:hAnsi="Times New Roman" w:cs="Times New Roman"/>
          <w:sz w:val="26"/>
          <w:szCs w:val="26"/>
        </w:rPr>
        <w:t xml:space="preserve"> and </w:t>
      </w:r>
      <w:r w:rsidR="00E07D19" w:rsidRPr="007B1ABF">
        <w:rPr>
          <w:rFonts w:ascii="Times New Roman" w:hAnsi="Times New Roman" w:cs="Times New Roman"/>
          <w:sz w:val="26"/>
          <w:szCs w:val="26"/>
        </w:rPr>
        <w:t xml:space="preserve">collateral estoppel, </w:t>
      </w:r>
      <w:r w:rsidR="00AD654F" w:rsidRPr="007B1ABF">
        <w:rPr>
          <w:rFonts w:ascii="Times New Roman" w:hAnsi="Times New Roman" w:cs="Times New Roman"/>
          <w:sz w:val="26"/>
          <w:szCs w:val="26"/>
        </w:rPr>
        <w:t>both the parties and issues in the two proceedings have to be the same.</w:t>
      </w:r>
      <w:r w:rsidR="00D11235" w:rsidRPr="007B1ABF">
        <w:rPr>
          <w:rStyle w:val="FootnoteReference"/>
          <w:rFonts w:ascii="Times New Roman" w:hAnsi="Times New Roman" w:cs="Times New Roman"/>
          <w:sz w:val="26"/>
          <w:szCs w:val="26"/>
        </w:rPr>
        <w:footnoteReference w:id="50"/>
      </w:r>
      <w:r w:rsidR="00D11235" w:rsidRPr="007B1ABF">
        <w:rPr>
          <w:rFonts w:ascii="Times New Roman" w:hAnsi="Times New Roman" w:cs="Times New Roman"/>
          <w:sz w:val="26"/>
          <w:szCs w:val="26"/>
        </w:rPr>
        <w:t xml:space="preserve"> </w:t>
      </w:r>
      <w:r w:rsidR="00AD654F" w:rsidRPr="007B1ABF">
        <w:rPr>
          <w:rFonts w:ascii="Times New Roman" w:hAnsi="Times New Roman" w:cs="Times New Roman"/>
          <w:sz w:val="26"/>
          <w:szCs w:val="26"/>
        </w:rPr>
        <w:t xml:space="preserve"> </w:t>
      </w:r>
      <w:r w:rsidR="00E07D19" w:rsidRPr="007B1ABF">
        <w:rPr>
          <w:rFonts w:ascii="Times New Roman" w:hAnsi="Times New Roman" w:cs="Times New Roman"/>
          <w:sz w:val="26"/>
          <w:szCs w:val="26"/>
        </w:rPr>
        <w:t>In</w:t>
      </w:r>
      <w:r w:rsidR="009A1F07">
        <w:rPr>
          <w:rFonts w:ascii="Times New Roman" w:hAnsi="Times New Roman" w:cs="Times New Roman"/>
          <w:sz w:val="26"/>
          <w:szCs w:val="26"/>
        </w:rPr>
        <w:t xml:space="preserve"> present proceeding</w:t>
      </w:r>
      <w:r w:rsidR="00AD654F" w:rsidRPr="007B1ABF">
        <w:rPr>
          <w:rFonts w:ascii="Times New Roman" w:hAnsi="Times New Roman" w:cs="Times New Roman"/>
          <w:sz w:val="26"/>
          <w:szCs w:val="26"/>
        </w:rPr>
        <w:t>, each</w:t>
      </w:r>
      <w:r w:rsidR="009A1F07">
        <w:rPr>
          <w:rFonts w:ascii="Times New Roman" w:hAnsi="Times New Roman" w:cs="Times New Roman"/>
          <w:sz w:val="26"/>
          <w:szCs w:val="26"/>
        </w:rPr>
        <w:t xml:space="preserve"> require</w:t>
      </w:r>
      <w:r w:rsidR="00275FA9">
        <w:rPr>
          <w:rFonts w:ascii="Times New Roman" w:hAnsi="Times New Roman" w:cs="Times New Roman"/>
          <w:sz w:val="26"/>
          <w:szCs w:val="26"/>
        </w:rPr>
        <w:softHyphen/>
      </w:r>
      <w:r w:rsidR="009A1F07">
        <w:rPr>
          <w:rFonts w:ascii="Times New Roman" w:hAnsi="Times New Roman" w:cs="Times New Roman"/>
          <w:sz w:val="26"/>
          <w:szCs w:val="26"/>
        </w:rPr>
        <w:t>ment is satisfied</w:t>
      </w:r>
      <w:r w:rsidR="00AD654F" w:rsidRPr="007B1ABF">
        <w:rPr>
          <w:rFonts w:ascii="Times New Roman" w:hAnsi="Times New Roman" w:cs="Times New Roman"/>
          <w:sz w:val="26"/>
          <w:szCs w:val="26"/>
        </w:rPr>
        <w:t xml:space="preserve">. </w:t>
      </w:r>
      <w:r>
        <w:rPr>
          <w:rFonts w:ascii="Times New Roman" w:hAnsi="Times New Roman" w:cs="Times New Roman"/>
          <w:sz w:val="26"/>
          <w:szCs w:val="26"/>
        </w:rPr>
        <w:t xml:space="preserve"> </w:t>
      </w:r>
      <w:r w:rsidR="00AD654F" w:rsidRPr="007B1ABF">
        <w:rPr>
          <w:rFonts w:ascii="Times New Roman" w:hAnsi="Times New Roman" w:cs="Times New Roman"/>
          <w:sz w:val="26"/>
          <w:szCs w:val="26"/>
        </w:rPr>
        <w:t>Duke</w:t>
      </w:r>
      <w:r>
        <w:rPr>
          <w:rFonts w:ascii="Times New Roman" w:hAnsi="Times New Roman" w:cs="Times New Roman"/>
          <w:sz w:val="26"/>
          <w:szCs w:val="26"/>
        </w:rPr>
        <w:t xml:space="preserve"> </w:t>
      </w:r>
      <w:r w:rsidR="00E07D19" w:rsidRPr="007B1ABF">
        <w:rPr>
          <w:rFonts w:ascii="Times New Roman" w:hAnsi="Times New Roman" w:cs="Times New Roman"/>
          <w:sz w:val="26"/>
          <w:szCs w:val="26"/>
        </w:rPr>
        <w:t xml:space="preserve">is the </w:t>
      </w:r>
      <w:r>
        <w:rPr>
          <w:rFonts w:ascii="Times New Roman" w:hAnsi="Times New Roman" w:cs="Times New Roman"/>
          <w:sz w:val="26"/>
          <w:szCs w:val="26"/>
        </w:rPr>
        <w:t>same party</w:t>
      </w:r>
      <w:r w:rsidR="009A1F07">
        <w:rPr>
          <w:rFonts w:ascii="Times New Roman" w:hAnsi="Times New Roman" w:cs="Times New Roman"/>
          <w:sz w:val="26"/>
          <w:szCs w:val="26"/>
        </w:rPr>
        <w:t xml:space="preserve"> </w:t>
      </w:r>
      <w:r w:rsidR="000C78DF">
        <w:rPr>
          <w:rFonts w:ascii="Times New Roman" w:hAnsi="Times New Roman" w:cs="Times New Roman"/>
          <w:sz w:val="26"/>
          <w:szCs w:val="26"/>
        </w:rPr>
        <w:t>(</w:t>
      </w:r>
      <w:r w:rsidR="009A1F07">
        <w:rPr>
          <w:rFonts w:ascii="Times New Roman" w:hAnsi="Times New Roman" w:cs="Times New Roman"/>
          <w:sz w:val="26"/>
          <w:szCs w:val="26"/>
        </w:rPr>
        <w:t>the applicant</w:t>
      </w:r>
      <w:r w:rsidR="000C78DF">
        <w:rPr>
          <w:rFonts w:ascii="Times New Roman" w:hAnsi="Times New Roman" w:cs="Times New Roman"/>
          <w:sz w:val="26"/>
          <w:szCs w:val="26"/>
        </w:rPr>
        <w:t>) in both proceedings</w:t>
      </w:r>
      <w:r w:rsidR="009A1F07">
        <w:rPr>
          <w:rFonts w:ascii="Times New Roman" w:hAnsi="Times New Roman" w:cs="Times New Roman"/>
          <w:sz w:val="26"/>
          <w:szCs w:val="26"/>
        </w:rPr>
        <w:t xml:space="preserve"> and</w:t>
      </w:r>
      <w:r w:rsidR="00E07D19" w:rsidRPr="007B1ABF">
        <w:rPr>
          <w:rFonts w:ascii="Times New Roman" w:hAnsi="Times New Roman" w:cs="Times New Roman"/>
          <w:sz w:val="26"/>
          <w:szCs w:val="26"/>
        </w:rPr>
        <w:t xml:space="preserve"> the </w:t>
      </w:r>
      <w:r w:rsidR="000C78DF">
        <w:rPr>
          <w:rFonts w:ascii="Times New Roman" w:hAnsi="Times New Roman" w:cs="Times New Roman"/>
          <w:sz w:val="26"/>
          <w:szCs w:val="26"/>
        </w:rPr>
        <w:t>issue</w:t>
      </w:r>
      <w:r w:rsidR="009A1F07">
        <w:rPr>
          <w:rFonts w:ascii="Times New Roman" w:hAnsi="Times New Roman" w:cs="Times New Roman"/>
          <w:sz w:val="26"/>
          <w:szCs w:val="26"/>
        </w:rPr>
        <w:t xml:space="preserve"> </w:t>
      </w:r>
      <w:r w:rsidR="000C78DF">
        <w:rPr>
          <w:rFonts w:ascii="Times New Roman" w:hAnsi="Times New Roman" w:cs="Times New Roman"/>
          <w:sz w:val="26"/>
          <w:szCs w:val="26"/>
        </w:rPr>
        <w:t>(capacity compensation) is</w:t>
      </w:r>
      <w:r w:rsidR="00AD654F" w:rsidRPr="007B1ABF">
        <w:rPr>
          <w:rFonts w:ascii="Times New Roman" w:hAnsi="Times New Roman" w:cs="Times New Roman"/>
          <w:sz w:val="26"/>
          <w:szCs w:val="26"/>
        </w:rPr>
        <w:t xml:space="preserve"> also the same</w:t>
      </w:r>
      <w:r w:rsidR="000C78DF">
        <w:rPr>
          <w:rFonts w:ascii="Times New Roman" w:hAnsi="Times New Roman" w:cs="Times New Roman"/>
          <w:sz w:val="26"/>
          <w:szCs w:val="26"/>
        </w:rPr>
        <w:t xml:space="preserve"> as it was in the ESP proceeding</w:t>
      </w:r>
      <w:r w:rsidR="009A1F07">
        <w:rPr>
          <w:rFonts w:ascii="Times New Roman" w:hAnsi="Times New Roman" w:cs="Times New Roman"/>
          <w:sz w:val="26"/>
          <w:szCs w:val="26"/>
        </w:rPr>
        <w:t xml:space="preserve">.  </w:t>
      </w:r>
      <w:r w:rsidR="00AD654F" w:rsidRPr="007B1ABF">
        <w:rPr>
          <w:rFonts w:ascii="Times New Roman" w:hAnsi="Times New Roman" w:cs="Times New Roman"/>
          <w:sz w:val="26"/>
          <w:szCs w:val="26"/>
        </w:rPr>
        <w:t>Duke agree</w:t>
      </w:r>
      <w:r w:rsidR="00E07D19" w:rsidRPr="007B1ABF">
        <w:rPr>
          <w:rFonts w:ascii="Times New Roman" w:hAnsi="Times New Roman" w:cs="Times New Roman"/>
          <w:sz w:val="26"/>
          <w:szCs w:val="26"/>
        </w:rPr>
        <w:t xml:space="preserve">d to accept pricing for its FRR capacity based on the </w:t>
      </w:r>
      <w:r w:rsidR="00AD654F" w:rsidRPr="007B1ABF">
        <w:rPr>
          <w:rFonts w:ascii="Times New Roman" w:hAnsi="Times New Roman" w:cs="Times New Roman"/>
          <w:sz w:val="26"/>
          <w:szCs w:val="26"/>
        </w:rPr>
        <w:t>fixed zonal capacity pric</w:t>
      </w:r>
      <w:r w:rsidR="009A1F07">
        <w:rPr>
          <w:rFonts w:ascii="Times New Roman" w:hAnsi="Times New Roman" w:cs="Times New Roman"/>
          <w:sz w:val="26"/>
          <w:szCs w:val="26"/>
        </w:rPr>
        <w:t xml:space="preserve">e set </w:t>
      </w:r>
      <w:r w:rsidR="009A1F07">
        <w:rPr>
          <w:rFonts w:ascii="Times New Roman" w:hAnsi="Times New Roman" w:cs="Times New Roman"/>
          <w:sz w:val="26"/>
          <w:szCs w:val="26"/>
        </w:rPr>
        <w:lastRenderedPageBreak/>
        <w:t>under the PJM RPM process;</w:t>
      </w:r>
      <w:r w:rsidR="00D11235" w:rsidRPr="007B1ABF">
        <w:rPr>
          <w:rStyle w:val="FootnoteReference"/>
          <w:rFonts w:ascii="Times New Roman" w:hAnsi="Times New Roman" w:cs="Times New Roman"/>
          <w:sz w:val="26"/>
          <w:szCs w:val="26"/>
        </w:rPr>
        <w:footnoteReference w:id="51"/>
      </w:r>
      <w:r w:rsidR="009A1F07">
        <w:rPr>
          <w:rFonts w:ascii="Times New Roman" w:hAnsi="Times New Roman" w:cs="Times New Roman"/>
          <w:sz w:val="26"/>
          <w:szCs w:val="26"/>
        </w:rPr>
        <w:t xml:space="preserve"> t</w:t>
      </w:r>
      <w:r w:rsidR="00E07D19" w:rsidRPr="007B1ABF">
        <w:rPr>
          <w:rFonts w:ascii="Times New Roman" w:hAnsi="Times New Roman" w:cs="Times New Roman"/>
          <w:sz w:val="26"/>
          <w:szCs w:val="26"/>
        </w:rPr>
        <w:t>he</w:t>
      </w:r>
      <w:r>
        <w:rPr>
          <w:rFonts w:ascii="Times New Roman" w:hAnsi="Times New Roman" w:cs="Times New Roman"/>
          <w:sz w:val="26"/>
          <w:szCs w:val="26"/>
        </w:rPr>
        <w:t xml:space="preserve"> Commission</w:t>
      </w:r>
      <w:r w:rsidR="00E07D19" w:rsidRPr="007B1ABF">
        <w:rPr>
          <w:rFonts w:ascii="Times New Roman" w:hAnsi="Times New Roman" w:cs="Times New Roman"/>
          <w:sz w:val="26"/>
          <w:szCs w:val="26"/>
        </w:rPr>
        <w:t xml:space="preserve"> adopted that </w:t>
      </w:r>
      <w:r w:rsidR="00AD654F" w:rsidRPr="007B1ABF">
        <w:rPr>
          <w:rFonts w:ascii="Times New Roman" w:hAnsi="Times New Roman" w:cs="Times New Roman"/>
          <w:sz w:val="26"/>
          <w:szCs w:val="26"/>
        </w:rPr>
        <w:t>Stipul</w:t>
      </w:r>
      <w:r w:rsidR="009A1F07">
        <w:rPr>
          <w:rFonts w:ascii="Times New Roman" w:hAnsi="Times New Roman" w:cs="Times New Roman"/>
          <w:sz w:val="26"/>
          <w:szCs w:val="26"/>
        </w:rPr>
        <w:t>ation in November 2011; and now</w:t>
      </w:r>
      <w:r w:rsidR="00AD654F" w:rsidRPr="007B1ABF">
        <w:rPr>
          <w:rFonts w:ascii="Times New Roman" w:hAnsi="Times New Roman" w:cs="Times New Roman"/>
          <w:sz w:val="26"/>
          <w:szCs w:val="26"/>
        </w:rPr>
        <w:t xml:space="preserve"> </w:t>
      </w:r>
      <w:r w:rsidR="00E07D19" w:rsidRPr="007B1ABF">
        <w:rPr>
          <w:rFonts w:ascii="Times New Roman" w:hAnsi="Times New Roman" w:cs="Times New Roman"/>
          <w:sz w:val="26"/>
          <w:szCs w:val="26"/>
        </w:rPr>
        <w:t xml:space="preserve">Duke is </w:t>
      </w:r>
      <w:r w:rsidR="00AD654F" w:rsidRPr="007B1ABF">
        <w:rPr>
          <w:rFonts w:ascii="Times New Roman" w:hAnsi="Times New Roman" w:cs="Times New Roman"/>
          <w:sz w:val="26"/>
          <w:szCs w:val="26"/>
        </w:rPr>
        <w:t>attempting to re-litigate the FRR capacity pricing portio</w:t>
      </w:r>
      <w:r w:rsidR="009A1F07">
        <w:rPr>
          <w:rFonts w:ascii="Times New Roman" w:hAnsi="Times New Roman" w:cs="Times New Roman"/>
          <w:sz w:val="26"/>
          <w:szCs w:val="26"/>
        </w:rPr>
        <w:t>n of its ESP by asking the Commission</w:t>
      </w:r>
      <w:r w:rsidR="00E07D19" w:rsidRPr="007B1ABF">
        <w:rPr>
          <w:rFonts w:ascii="Times New Roman" w:hAnsi="Times New Roman" w:cs="Times New Roman"/>
          <w:sz w:val="26"/>
          <w:szCs w:val="26"/>
        </w:rPr>
        <w:t xml:space="preserve"> </w:t>
      </w:r>
      <w:r w:rsidR="00AD654F" w:rsidRPr="007B1ABF">
        <w:rPr>
          <w:rFonts w:ascii="Times New Roman" w:hAnsi="Times New Roman" w:cs="Times New Roman"/>
          <w:sz w:val="26"/>
          <w:szCs w:val="26"/>
        </w:rPr>
        <w:t>to set a cost based charge for capacity for an overlappi</w:t>
      </w:r>
      <w:r w:rsidR="00E07D19" w:rsidRPr="007B1ABF">
        <w:rPr>
          <w:rFonts w:ascii="Times New Roman" w:hAnsi="Times New Roman" w:cs="Times New Roman"/>
          <w:sz w:val="26"/>
          <w:szCs w:val="26"/>
        </w:rPr>
        <w:t xml:space="preserve">ng time period of Aug. 29, 2012 </w:t>
      </w:r>
      <w:r w:rsidR="00AD654F" w:rsidRPr="007B1ABF">
        <w:rPr>
          <w:rFonts w:ascii="Times New Roman" w:hAnsi="Times New Roman" w:cs="Times New Roman"/>
          <w:sz w:val="26"/>
          <w:szCs w:val="26"/>
        </w:rPr>
        <w:t>through May 31, 2015.</w:t>
      </w:r>
      <w:r w:rsidR="009A1F07">
        <w:rPr>
          <w:rFonts w:ascii="Times New Roman" w:hAnsi="Times New Roman" w:cs="Times New Roman"/>
          <w:sz w:val="26"/>
          <w:szCs w:val="26"/>
        </w:rPr>
        <w:t xml:space="preserve"> </w:t>
      </w:r>
      <w:r w:rsidR="00A60CA2">
        <w:rPr>
          <w:rFonts w:ascii="Times New Roman" w:hAnsi="Times New Roman" w:cs="Times New Roman"/>
          <w:sz w:val="26"/>
          <w:szCs w:val="26"/>
        </w:rPr>
        <w:t xml:space="preserve"> </w:t>
      </w:r>
      <w:r w:rsidR="009A1F07">
        <w:rPr>
          <w:rFonts w:ascii="Times New Roman" w:hAnsi="Times New Roman" w:cs="Times New Roman"/>
          <w:sz w:val="26"/>
          <w:szCs w:val="26"/>
        </w:rPr>
        <w:t>T</w:t>
      </w:r>
      <w:r w:rsidR="00AD654F" w:rsidRPr="007B1ABF">
        <w:rPr>
          <w:rFonts w:ascii="Times New Roman" w:hAnsi="Times New Roman" w:cs="Times New Roman"/>
          <w:sz w:val="26"/>
          <w:szCs w:val="26"/>
        </w:rPr>
        <w:t>he Commission sh</w:t>
      </w:r>
      <w:r w:rsidR="009A1F07">
        <w:rPr>
          <w:rFonts w:ascii="Times New Roman" w:hAnsi="Times New Roman" w:cs="Times New Roman"/>
          <w:sz w:val="26"/>
          <w:szCs w:val="26"/>
        </w:rPr>
        <w:t>ould reject</w:t>
      </w:r>
      <w:r w:rsidR="00E07D19" w:rsidRPr="007B1ABF">
        <w:rPr>
          <w:rFonts w:ascii="Times New Roman" w:hAnsi="Times New Roman" w:cs="Times New Roman"/>
          <w:sz w:val="26"/>
          <w:szCs w:val="26"/>
        </w:rPr>
        <w:t xml:space="preserve"> Duke’s Application. </w:t>
      </w:r>
    </w:p>
    <w:p w:rsidR="00D11235" w:rsidRPr="007B1ABF" w:rsidRDefault="00A60CA2" w:rsidP="00D11235">
      <w:pPr>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When considering these judicial doctrines, the Commission</w:t>
      </w:r>
      <w:r w:rsidR="00AD654F" w:rsidRPr="007B1ABF">
        <w:rPr>
          <w:rFonts w:ascii="Times New Roman" w:hAnsi="Times New Roman" w:cs="Times New Roman"/>
          <w:sz w:val="26"/>
          <w:szCs w:val="26"/>
        </w:rPr>
        <w:t xml:space="preserve"> has</w:t>
      </w:r>
      <w:r>
        <w:rPr>
          <w:rFonts w:ascii="Times New Roman" w:hAnsi="Times New Roman" w:cs="Times New Roman"/>
          <w:sz w:val="26"/>
          <w:szCs w:val="26"/>
        </w:rPr>
        <w:t xml:space="preserve"> generally focused on</w:t>
      </w:r>
      <w:r w:rsidR="00E07D19" w:rsidRPr="007B1ABF">
        <w:rPr>
          <w:rFonts w:ascii="Times New Roman" w:hAnsi="Times New Roman" w:cs="Times New Roman"/>
          <w:sz w:val="26"/>
          <w:szCs w:val="26"/>
        </w:rPr>
        <w:t xml:space="preserve"> whether parties </w:t>
      </w:r>
      <w:r w:rsidR="00AD654F" w:rsidRPr="007B1ABF">
        <w:rPr>
          <w:rFonts w:ascii="Times New Roman" w:hAnsi="Times New Roman" w:cs="Times New Roman"/>
          <w:sz w:val="26"/>
          <w:szCs w:val="26"/>
        </w:rPr>
        <w:t>have been afforded one fair opportunity to litigate a cla</w:t>
      </w:r>
      <w:r>
        <w:rPr>
          <w:rFonts w:ascii="Times New Roman" w:hAnsi="Times New Roman" w:cs="Times New Roman"/>
          <w:sz w:val="26"/>
          <w:szCs w:val="26"/>
        </w:rPr>
        <w:t>im or issue.  The Commission</w:t>
      </w:r>
      <w:r w:rsidR="00E07D19" w:rsidRPr="007B1ABF">
        <w:rPr>
          <w:rFonts w:ascii="Times New Roman" w:hAnsi="Times New Roman" w:cs="Times New Roman"/>
          <w:sz w:val="26"/>
          <w:szCs w:val="26"/>
        </w:rPr>
        <w:t xml:space="preserve"> has noted </w:t>
      </w:r>
      <w:r w:rsidR="00AD654F" w:rsidRPr="007B1ABF">
        <w:rPr>
          <w:rFonts w:ascii="Times New Roman" w:hAnsi="Times New Roman" w:cs="Times New Roman"/>
          <w:sz w:val="26"/>
          <w:szCs w:val="26"/>
        </w:rPr>
        <w:t>that it is guided by the following general policy cons</w:t>
      </w:r>
      <w:r w:rsidR="00E07D19" w:rsidRPr="007B1ABF">
        <w:rPr>
          <w:rFonts w:ascii="Times New Roman" w:hAnsi="Times New Roman" w:cs="Times New Roman"/>
          <w:sz w:val="26"/>
          <w:szCs w:val="26"/>
        </w:rPr>
        <w:t>idera</w:t>
      </w:r>
      <w:r w:rsidR="00275FA9">
        <w:rPr>
          <w:rFonts w:ascii="Times New Roman" w:hAnsi="Times New Roman" w:cs="Times New Roman"/>
          <w:sz w:val="26"/>
          <w:szCs w:val="26"/>
        </w:rPr>
        <w:softHyphen/>
      </w:r>
      <w:r w:rsidR="00E07D19" w:rsidRPr="007B1ABF">
        <w:rPr>
          <w:rFonts w:ascii="Times New Roman" w:hAnsi="Times New Roman" w:cs="Times New Roman"/>
          <w:sz w:val="26"/>
          <w:szCs w:val="26"/>
        </w:rPr>
        <w:t xml:space="preserve">tions: (1) fairness to the </w:t>
      </w:r>
      <w:r w:rsidR="00AD654F" w:rsidRPr="007B1ABF">
        <w:rPr>
          <w:rFonts w:ascii="Times New Roman" w:hAnsi="Times New Roman" w:cs="Times New Roman"/>
          <w:sz w:val="26"/>
          <w:szCs w:val="26"/>
        </w:rPr>
        <w:t>prevailing party requires that it not be subjected to the e</w:t>
      </w:r>
      <w:r w:rsidR="00E07D19" w:rsidRPr="007B1ABF">
        <w:rPr>
          <w:rFonts w:ascii="Times New Roman" w:hAnsi="Times New Roman" w:cs="Times New Roman"/>
          <w:sz w:val="26"/>
          <w:szCs w:val="26"/>
        </w:rPr>
        <w:t xml:space="preserve">xpense and potential harassment </w:t>
      </w:r>
      <w:r w:rsidR="00AD654F" w:rsidRPr="007B1ABF">
        <w:rPr>
          <w:rFonts w:ascii="Times New Roman" w:hAnsi="Times New Roman" w:cs="Times New Roman"/>
          <w:sz w:val="26"/>
          <w:szCs w:val="26"/>
        </w:rPr>
        <w:t>associated with re-litigating matters which were, or sh</w:t>
      </w:r>
      <w:r w:rsidR="00E07D19" w:rsidRPr="007B1ABF">
        <w:rPr>
          <w:rFonts w:ascii="Times New Roman" w:hAnsi="Times New Roman" w:cs="Times New Roman"/>
          <w:sz w:val="26"/>
          <w:szCs w:val="26"/>
        </w:rPr>
        <w:t xml:space="preserve">ould have been, litigated in an </w:t>
      </w:r>
      <w:r w:rsidR="00AD654F" w:rsidRPr="007B1ABF">
        <w:rPr>
          <w:rFonts w:ascii="Times New Roman" w:hAnsi="Times New Roman" w:cs="Times New Roman"/>
          <w:sz w:val="26"/>
          <w:szCs w:val="26"/>
        </w:rPr>
        <w:t>earlier action, and (2) judicial economy requires that litig</w:t>
      </w:r>
      <w:r w:rsidR="00E07D19" w:rsidRPr="007B1ABF">
        <w:rPr>
          <w:rFonts w:ascii="Times New Roman" w:hAnsi="Times New Roman" w:cs="Times New Roman"/>
          <w:sz w:val="26"/>
          <w:szCs w:val="26"/>
        </w:rPr>
        <w:t xml:space="preserve">ation arising from a particular </w:t>
      </w:r>
      <w:r w:rsidR="00AD654F" w:rsidRPr="007B1ABF">
        <w:rPr>
          <w:rFonts w:ascii="Times New Roman" w:hAnsi="Times New Roman" w:cs="Times New Roman"/>
          <w:sz w:val="26"/>
          <w:szCs w:val="26"/>
        </w:rPr>
        <w:t>controversy not be continued indefinitely.</w:t>
      </w:r>
      <w:r w:rsidR="00D11235" w:rsidRPr="007B1ABF">
        <w:rPr>
          <w:rStyle w:val="FootnoteReference"/>
          <w:rFonts w:ascii="Times New Roman" w:hAnsi="Times New Roman" w:cs="Times New Roman"/>
          <w:sz w:val="26"/>
          <w:szCs w:val="26"/>
        </w:rPr>
        <w:footnoteReference w:id="52"/>
      </w:r>
      <w:r w:rsidR="00D11235" w:rsidRPr="007B1ABF">
        <w:rPr>
          <w:rFonts w:ascii="Times New Roman" w:hAnsi="Times New Roman" w:cs="Times New Roman"/>
          <w:sz w:val="26"/>
          <w:szCs w:val="26"/>
        </w:rPr>
        <w:t xml:space="preserve"> </w:t>
      </w:r>
      <w:r w:rsidR="00E07D19" w:rsidRPr="007B1ABF">
        <w:rPr>
          <w:rFonts w:ascii="Times New Roman" w:hAnsi="Times New Roman" w:cs="Times New Roman"/>
          <w:sz w:val="26"/>
          <w:szCs w:val="26"/>
        </w:rPr>
        <w:t xml:space="preserve"> </w:t>
      </w:r>
    </w:p>
    <w:p w:rsidR="00E07D19" w:rsidRPr="000C78DF" w:rsidRDefault="00AD654F" w:rsidP="000C78DF">
      <w:pPr>
        <w:autoSpaceDE w:val="0"/>
        <w:autoSpaceDN w:val="0"/>
        <w:adjustRightInd w:val="0"/>
        <w:spacing w:after="0" w:line="480" w:lineRule="auto"/>
        <w:ind w:firstLine="720"/>
        <w:rPr>
          <w:rFonts w:ascii="Times New Roman" w:hAnsi="Times New Roman" w:cs="Times New Roman"/>
          <w:sz w:val="26"/>
          <w:szCs w:val="26"/>
        </w:rPr>
      </w:pPr>
      <w:r w:rsidRPr="007B1ABF">
        <w:rPr>
          <w:rFonts w:ascii="Times New Roman" w:hAnsi="Times New Roman" w:cs="Times New Roman"/>
          <w:sz w:val="26"/>
          <w:szCs w:val="26"/>
        </w:rPr>
        <w:t>Duke</w:t>
      </w:r>
      <w:r w:rsidR="00A60CA2">
        <w:rPr>
          <w:rFonts w:ascii="Times New Roman" w:hAnsi="Times New Roman" w:cs="Times New Roman"/>
          <w:sz w:val="26"/>
          <w:szCs w:val="26"/>
        </w:rPr>
        <w:t xml:space="preserve"> had a</w:t>
      </w:r>
      <w:r w:rsidRPr="007B1ABF">
        <w:rPr>
          <w:rFonts w:ascii="Times New Roman" w:hAnsi="Times New Roman" w:cs="Times New Roman"/>
          <w:sz w:val="26"/>
          <w:szCs w:val="26"/>
        </w:rPr>
        <w:t xml:space="preserve"> fair opportunity to liti</w:t>
      </w:r>
      <w:r w:rsidR="00E07D19" w:rsidRPr="007B1ABF">
        <w:rPr>
          <w:rFonts w:ascii="Times New Roman" w:hAnsi="Times New Roman" w:cs="Times New Roman"/>
          <w:sz w:val="26"/>
          <w:szCs w:val="26"/>
        </w:rPr>
        <w:t xml:space="preserve">gate how its capacity should be </w:t>
      </w:r>
      <w:r w:rsidRPr="007B1ABF">
        <w:rPr>
          <w:rFonts w:ascii="Times New Roman" w:hAnsi="Times New Roman" w:cs="Times New Roman"/>
          <w:sz w:val="26"/>
          <w:szCs w:val="26"/>
        </w:rPr>
        <w:t>priced when it filed its ESP application.</w:t>
      </w:r>
      <w:r w:rsidR="00A60CA2">
        <w:rPr>
          <w:rFonts w:ascii="Times New Roman" w:hAnsi="Times New Roman" w:cs="Times New Roman"/>
          <w:sz w:val="26"/>
          <w:szCs w:val="26"/>
        </w:rPr>
        <w:t xml:space="preserve">  Duke</w:t>
      </w:r>
      <w:r w:rsidRPr="007B1ABF">
        <w:rPr>
          <w:rFonts w:ascii="Times New Roman" w:hAnsi="Times New Roman" w:cs="Times New Roman"/>
          <w:sz w:val="26"/>
          <w:szCs w:val="26"/>
        </w:rPr>
        <w:t xml:space="preserve"> </w:t>
      </w:r>
      <w:r w:rsidR="00C437EF">
        <w:rPr>
          <w:rFonts w:ascii="Times New Roman" w:hAnsi="Times New Roman" w:cs="Times New Roman"/>
          <w:sz w:val="26"/>
          <w:szCs w:val="26"/>
        </w:rPr>
        <w:t>relied</w:t>
      </w:r>
      <w:r w:rsidR="00A60CA2">
        <w:rPr>
          <w:rFonts w:ascii="Times New Roman" w:hAnsi="Times New Roman" w:cs="Times New Roman"/>
          <w:sz w:val="26"/>
          <w:szCs w:val="26"/>
        </w:rPr>
        <w:t xml:space="preserve"> on</w:t>
      </w:r>
      <w:r w:rsidR="00C437EF">
        <w:rPr>
          <w:rFonts w:ascii="Times New Roman" w:hAnsi="Times New Roman" w:cs="Times New Roman"/>
          <w:sz w:val="26"/>
          <w:szCs w:val="26"/>
        </w:rPr>
        <w:t xml:space="preserve"> the legal authority of</w:t>
      </w:r>
      <w:r w:rsidR="00A60CA2">
        <w:rPr>
          <w:rFonts w:ascii="Times New Roman" w:hAnsi="Times New Roman" w:cs="Times New Roman"/>
          <w:sz w:val="26"/>
          <w:szCs w:val="26"/>
        </w:rPr>
        <w:t xml:space="preserve"> </w:t>
      </w:r>
      <w:r w:rsidRPr="007B1ABF">
        <w:rPr>
          <w:rFonts w:ascii="Times New Roman" w:hAnsi="Times New Roman" w:cs="Times New Roman"/>
          <w:sz w:val="26"/>
          <w:szCs w:val="26"/>
        </w:rPr>
        <w:t>Section 8.1 of the PJM RAA as part of its ESP</w:t>
      </w:r>
      <w:r w:rsidR="00C437EF">
        <w:rPr>
          <w:rFonts w:ascii="Times New Roman" w:hAnsi="Times New Roman" w:cs="Times New Roman"/>
          <w:sz w:val="26"/>
          <w:szCs w:val="26"/>
        </w:rPr>
        <w:t>; and it relies on that same legal authority here</w:t>
      </w:r>
      <w:r w:rsidR="00275FA9" w:rsidRPr="007B1ABF">
        <w:rPr>
          <w:rFonts w:ascii="Times New Roman" w:hAnsi="Times New Roman" w:cs="Times New Roman"/>
          <w:sz w:val="26"/>
          <w:szCs w:val="26"/>
        </w:rPr>
        <w:t xml:space="preserve">.  </w:t>
      </w:r>
      <w:r w:rsidRPr="007B1ABF">
        <w:rPr>
          <w:rFonts w:ascii="Times New Roman" w:hAnsi="Times New Roman" w:cs="Times New Roman"/>
          <w:sz w:val="26"/>
          <w:szCs w:val="26"/>
        </w:rPr>
        <w:t>The fac</w:t>
      </w:r>
      <w:r w:rsidR="00E07D19" w:rsidRPr="007B1ABF">
        <w:rPr>
          <w:rFonts w:ascii="Times New Roman" w:hAnsi="Times New Roman" w:cs="Times New Roman"/>
          <w:sz w:val="26"/>
          <w:szCs w:val="26"/>
        </w:rPr>
        <w:t xml:space="preserve">ts are the same, the law is the </w:t>
      </w:r>
      <w:r w:rsidRPr="007B1ABF">
        <w:rPr>
          <w:rFonts w:ascii="Times New Roman" w:hAnsi="Times New Roman" w:cs="Times New Roman"/>
          <w:sz w:val="26"/>
          <w:szCs w:val="26"/>
        </w:rPr>
        <w:t>same</w:t>
      </w:r>
      <w:r w:rsidR="00C437EF">
        <w:rPr>
          <w:rFonts w:ascii="Times New Roman" w:hAnsi="Times New Roman" w:cs="Times New Roman"/>
          <w:sz w:val="26"/>
          <w:szCs w:val="26"/>
        </w:rPr>
        <w:t>,</w:t>
      </w:r>
      <w:r w:rsidRPr="007B1ABF">
        <w:rPr>
          <w:rFonts w:ascii="Times New Roman" w:hAnsi="Times New Roman" w:cs="Times New Roman"/>
          <w:sz w:val="26"/>
          <w:szCs w:val="26"/>
        </w:rPr>
        <w:t xml:space="preserve"> and the parties are the same. </w:t>
      </w:r>
      <w:r w:rsidR="00C437EF">
        <w:rPr>
          <w:rFonts w:ascii="Times New Roman" w:hAnsi="Times New Roman" w:cs="Times New Roman"/>
          <w:sz w:val="26"/>
          <w:szCs w:val="26"/>
        </w:rPr>
        <w:t xml:space="preserve"> Duke was fully aware of the</w:t>
      </w:r>
      <w:r w:rsidR="00E07D19" w:rsidRPr="007B1ABF">
        <w:rPr>
          <w:rFonts w:ascii="Times New Roman" w:hAnsi="Times New Roman" w:cs="Times New Roman"/>
          <w:sz w:val="26"/>
          <w:szCs w:val="26"/>
        </w:rPr>
        <w:t xml:space="preserve"> capacity</w:t>
      </w:r>
      <w:r w:rsidR="00C437EF">
        <w:rPr>
          <w:rFonts w:ascii="Times New Roman" w:hAnsi="Times New Roman" w:cs="Times New Roman"/>
          <w:sz w:val="26"/>
          <w:szCs w:val="26"/>
        </w:rPr>
        <w:t xml:space="preserve"> pricing issue</w:t>
      </w:r>
      <w:r w:rsidRPr="007B1ABF">
        <w:rPr>
          <w:rFonts w:ascii="Times New Roman" w:hAnsi="Times New Roman" w:cs="Times New Roman"/>
          <w:sz w:val="26"/>
          <w:szCs w:val="26"/>
        </w:rPr>
        <w:t xml:space="preserve"> because AEP Ohio was litigating</w:t>
      </w:r>
      <w:r w:rsidR="00C437EF">
        <w:rPr>
          <w:rFonts w:ascii="Times New Roman" w:hAnsi="Times New Roman" w:cs="Times New Roman"/>
          <w:sz w:val="26"/>
          <w:szCs w:val="26"/>
        </w:rPr>
        <w:t xml:space="preserve"> the issue</w:t>
      </w:r>
      <w:r w:rsidR="00E07D19" w:rsidRPr="007B1ABF">
        <w:rPr>
          <w:rFonts w:ascii="Times New Roman" w:hAnsi="Times New Roman" w:cs="Times New Roman"/>
          <w:sz w:val="26"/>
          <w:szCs w:val="26"/>
        </w:rPr>
        <w:t xml:space="preserve"> at both the federal and </w:t>
      </w:r>
      <w:r w:rsidRPr="007B1ABF">
        <w:rPr>
          <w:rFonts w:ascii="Times New Roman" w:hAnsi="Times New Roman" w:cs="Times New Roman"/>
          <w:sz w:val="26"/>
          <w:szCs w:val="26"/>
        </w:rPr>
        <w:t xml:space="preserve">state levels. </w:t>
      </w:r>
      <w:r w:rsidR="00C437EF">
        <w:rPr>
          <w:rFonts w:ascii="Times New Roman" w:hAnsi="Times New Roman" w:cs="Times New Roman"/>
          <w:sz w:val="26"/>
          <w:szCs w:val="26"/>
        </w:rPr>
        <w:t xml:space="preserve"> </w:t>
      </w:r>
      <w:r w:rsidRPr="007B1ABF">
        <w:rPr>
          <w:rFonts w:ascii="Times New Roman" w:hAnsi="Times New Roman" w:cs="Times New Roman"/>
          <w:sz w:val="26"/>
          <w:szCs w:val="26"/>
        </w:rPr>
        <w:t>Duke fully exercised its rights</w:t>
      </w:r>
      <w:r w:rsidR="00C437EF">
        <w:rPr>
          <w:rFonts w:ascii="Times New Roman" w:hAnsi="Times New Roman" w:cs="Times New Roman"/>
          <w:sz w:val="26"/>
          <w:szCs w:val="26"/>
        </w:rPr>
        <w:t xml:space="preserve"> by</w:t>
      </w:r>
      <w:r w:rsidR="00E07D19" w:rsidRPr="007B1ABF">
        <w:rPr>
          <w:rFonts w:ascii="Times New Roman" w:hAnsi="Times New Roman" w:cs="Times New Roman"/>
          <w:sz w:val="26"/>
          <w:szCs w:val="26"/>
        </w:rPr>
        <w:t xml:space="preserve"> agreeing to a</w:t>
      </w:r>
      <w:r w:rsidR="00C437EF">
        <w:rPr>
          <w:rFonts w:ascii="Times New Roman" w:hAnsi="Times New Roman" w:cs="Times New Roman"/>
          <w:sz w:val="26"/>
          <w:szCs w:val="26"/>
        </w:rPr>
        <w:t>n ESP</w:t>
      </w:r>
      <w:r w:rsidR="00E07D19" w:rsidRPr="007B1ABF">
        <w:rPr>
          <w:rFonts w:ascii="Times New Roman" w:hAnsi="Times New Roman" w:cs="Times New Roman"/>
          <w:sz w:val="26"/>
          <w:szCs w:val="26"/>
        </w:rPr>
        <w:t xml:space="preserve"> Settlement</w:t>
      </w:r>
      <w:r w:rsidR="00C437EF">
        <w:rPr>
          <w:rFonts w:ascii="Times New Roman" w:hAnsi="Times New Roman" w:cs="Times New Roman"/>
          <w:sz w:val="26"/>
          <w:szCs w:val="26"/>
        </w:rPr>
        <w:t xml:space="preserve"> and urged</w:t>
      </w:r>
      <w:r w:rsidR="00D11235" w:rsidRPr="007B1ABF">
        <w:rPr>
          <w:rFonts w:ascii="Times New Roman" w:hAnsi="Times New Roman" w:cs="Times New Roman"/>
          <w:sz w:val="26"/>
          <w:szCs w:val="26"/>
        </w:rPr>
        <w:t xml:space="preserve"> the </w:t>
      </w:r>
      <w:r w:rsidRPr="007B1ABF">
        <w:rPr>
          <w:rFonts w:ascii="Times New Roman" w:hAnsi="Times New Roman" w:cs="Times New Roman"/>
          <w:sz w:val="26"/>
          <w:szCs w:val="26"/>
        </w:rPr>
        <w:t>Commission to adopt the Settlement</w:t>
      </w:r>
      <w:r w:rsidR="00C437EF">
        <w:rPr>
          <w:rFonts w:ascii="Times New Roman" w:hAnsi="Times New Roman" w:cs="Times New Roman"/>
          <w:sz w:val="26"/>
          <w:szCs w:val="26"/>
        </w:rPr>
        <w:t xml:space="preserve"> through supporting testimony and supporting </w:t>
      </w:r>
      <w:r w:rsidR="00C437EF">
        <w:rPr>
          <w:rFonts w:ascii="Times New Roman" w:hAnsi="Times New Roman" w:cs="Times New Roman"/>
          <w:sz w:val="26"/>
          <w:szCs w:val="26"/>
        </w:rPr>
        <w:lastRenderedPageBreak/>
        <w:t>briefs</w:t>
      </w:r>
      <w:r w:rsidRPr="007B1ABF">
        <w:rPr>
          <w:rFonts w:ascii="Times New Roman" w:hAnsi="Times New Roman" w:cs="Times New Roman"/>
          <w:sz w:val="26"/>
          <w:szCs w:val="26"/>
        </w:rPr>
        <w:t xml:space="preserve">. </w:t>
      </w:r>
      <w:r w:rsidR="00C437EF">
        <w:rPr>
          <w:rFonts w:ascii="Times New Roman" w:hAnsi="Times New Roman" w:cs="Times New Roman"/>
          <w:sz w:val="26"/>
          <w:szCs w:val="26"/>
        </w:rPr>
        <w:t xml:space="preserve"> </w:t>
      </w:r>
      <w:r w:rsidR="00E17434">
        <w:rPr>
          <w:rFonts w:ascii="Times New Roman" w:hAnsi="Times New Roman" w:cs="Times New Roman"/>
          <w:sz w:val="26"/>
          <w:szCs w:val="26"/>
        </w:rPr>
        <w:t>The</w:t>
      </w:r>
      <w:r w:rsidRPr="007B1ABF">
        <w:rPr>
          <w:rFonts w:ascii="Times New Roman" w:hAnsi="Times New Roman" w:cs="Times New Roman"/>
          <w:sz w:val="26"/>
          <w:szCs w:val="26"/>
        </w:rPr>
        <w:t xml:space="preserve"> Settlem</w:t>
      </w:r>
      <w:r w:rsidR="00E07D19" w:rsidRPr="007B1ABF">
        <w:rPr>
          <w:rFonts w:ascii="Times New Roman" w:hAnsi="Times New Roman" w:cs="Times New Roman"/>
          <w:sz w:val="26"/>
          <w:szCs w:val="26"/>
        </w:rPr>
        <w:t>ent</w:t>
      </w:r>
      <w:r w:rsidRPr="007B1ABF">
        <w:rPr>
          <w:rFonts w:ascii="Times New Roman" w:hAnsi="Times New Roman" w:cs="Times New Roman"/>
          <w:sz w:val="26"/>
          <w:szCs w:val="26"/>
        </w:rPr>
        <w:t xml:space="preserve"> gave Duke $</w:t>
      </w:r>
      <w:r w:rsidR="00E07D19" w:rsidRPr="007B1ABF">
        <w:rPr>
          <w:rFonts w:ascii="Times New Roman" w:hAnsi="Times New Roman" w:cs="Times New Roman"/>
          <w:sz w:val="26"/>
          <w:szCs w:val="26"/>
        </w:rPr>
        <w:t xml:space="preserve">330 million in revenues for the </w:t>
      </w:r>
      <w:r w:rsidR="00E17434">
        <w:rPr>
          <w:rFonts w:ascii="Times New Roman" w:hAnsi="Times New Roman" w:cs="Times New Roman"/>
          <w:sz w:val="26"/>
          <w:szCs w:val="26"/>
        </w:rPr>
        <w:t>ESSC and</w:t>
      </w:r>
      <w:r w:rsidRPr="007B1ABF">
        <w:rPr>
          <w:rFonts w:ascii="Times New Roman" w:hAnsi="Times New Roman" w:cs="Times New Roman"/>
          <w:sz w:val="26"/>
          <w:szCs w:val="26"/>
        </w:rPr>
        <w:t xml:space="preserve"> Duke’s customers have been paying this ESSC rider. </w:t>
      </w:r>
      <w:r w:rsidR="00C437EF">
        <w:rPr>
          <w:rFonts w:ascii="Times New Roman" w:hAnsi="Times New Roman" w:cs="Times New Roman"/>
          <w:sz w:val="26"/>
          <w:szCs w:val="26"/>
        </w:rPr>
        <w:t xml:space="preserve"> </w:t>
      </w:r>
      <w:r w:rsidR="000C78DF">
        <w:rPr>
          <w:rFonts w:ascii="Times New Roman" w:hAnsi="Times New Roman" w:cs="Times New Roman"/>
          <w:sz w:val="26"/>
          <w:szCs w:val="26"/>
        </w:rPr>
        <w:t xml:space="preserve">It was a fair settlement.  </w:t>
      </w:r>
      <w:r w:rsidR="00E17434">
        <w:rPr>
          <w:rFonts w:ascii="Times New Roman" w:hAnsi="Times New Roman" w:cs="Times New Roman"/>
          <w:sz w:val="26"/>
          <w:szCs w:val="26"/>
        </w:rPr>
        <w:t>The other</w:t>
      </w:r>
      <w:r w:rsidRPr="007B1ABF">
        <w:rPr>
          <w:rFonts w:ascii="Times New Roman" w:hAnsi="Times New Roman" w:cs="Times New Roman"/>
          <w:sz w:val="26"/>
          <w:szCs w:val="26"/>
        </w:rPr>
        <w:t xml:space="preserve"> signa</w:t>
      </w:r>
      <w:r w:rsidR="00275FA9">
        <w:rPr>
          <w:rFonts w:ascii="Times New Roman" w:hAnsi="Times New Roman" w:cs="Times New Roman"/>
          <w:sz w:val="26"/>
          <w:szCs w:val="26"/>
        </w:rPr>
        <w:softHyphen/>
      </w:r>
      <w:r w:rsidRPr="007B1ABF">
        <w:rPr>
          <w:rFonts w:ascii="Times New Roman" w:hAnsi="Times New Roman" w:cs="Times New Roman"/>
          <w:sz w:val="26"/>
          <w:szCs w:val="26"/>
        </w:rPr>
        <w:t>tory parties</w:t>
      </w:r>
      <w:r w:rsidR="00E17434">
        <w:rPr>
          <w:rFonts w:ascii="Times New Roman" w:hAnsi="Times New Roman" w:cs="Times New Roman"/>
          <w:sz w:val="26"/>
          <w:szCs w:val="26"/>
        </w:rPr>
        <w:t xml:space="preserve"> to the ESP</w:t>
      </w:r>
      <w:r w:rsidR="000C78DF">
        <w:rPr>
          <w:rFonts w:ascii="Times New Roman" w:hAnsi="Times New Roman" w:cs="Times New Roman"/>
          <w:sz w:val="26"/>
          <w:szCs w:val="26"/>
        </w:rPr>
        <w:t xml:space="preserve"> should not have to</w:t>
      </w:r>
      <w:r w:rsidRPr="007B1ABF">
        <w:rPr>
          <w:rFonts w:ascii="Times New Roman" w:hAnsi="Times New Roman" w:cs="Times New Roman"/>
          <w:sz w:val="26"/>
          <w:szCs w:val="26"/>
        </w:rPr>
        <w:t xml:space="preserve"> re</w:t>
      </w:r>
      <w:r w:rsidR="000C78DF">
        <w:rPr>
          <w:rFonts w:ascii="Times New Roman" w:hAnsi="Times New Roman" w:cs="Times New Roman"/>
          <w:sz w:val="26"/>
          <w:szCs w:val="26"/>
        </w:rPr>
        <w:t>-litigate</w:t>
      </w:r>
      <w:r w:rsidR="00E07D19" w:rsidRPr="007B1ABF">
        <w:rPr>
          <w:rFonts w:ascii="Times New Roman" w:hAnsi="Times New Roman" w:cs="Times New Roman"/>
          <w:sz w:val="26"/>
          <w:szCs w:val="26"/>
        </w:rPr>
        <w:t xml:space="preserve"> matters which were </w:t>
      </w:r>
      <w:r w:rsidRPr="007B1ABF">
        <w:rPr>
          <w:rFonts w:ascii="Times New Roman" w:hAnsi="Times New Roman" w:cs="Times New Roman"/>
          <w:sz w:val="26"/>
          <w:szCs w:val="26"/>
        </w:rPr>
        <w:t>litigated and set</w:t>
      </w:r>
      <w:r w:rsidR="00275FA9">
        <w:rPr>
          <w:rFonts w:ascii="Times New Roman" w:hAnsi="Times New Roman" w:cs="Times New Roman"/>
          <w:sz w:val="26"/>
          <w:szCs w:val="26"/>
        </w:rPr>
        <w:softHyphen/>
      </w:r>
      <w:r w:rsidRPr="007B1ABF">
        <w:rPr>
          <w:rFonts w:ascii="Times New Roman" w:hAnsi="Times New Roman" w:cs="Times New Roman"/>
          <w:sz w:val="26"/>
          <w:szCs w:val="26"/>
        </w:rPr>
        <w:t xml:space="preserve">tled previously. </w:t>
      </w:r>
      <w:r w:rsidR="000C78DF">
        <w:rPr>
          <w:rFonts w:ascii="Times New Roman" w:hAnsi="Times New Roman" w:cs="Times New Roman"/>
          <w:sz w:val="26"/>
          <w:szCs w:val="26"/>
        </w:rPr>
        <w:t xml:space="preserve"> </w:t>
      </w:r>
      <w:r w:rsidRPr="007B1ABF">
        <w:rPr>
          <w:rFonts w:ascii="Times New Roman" w:hAnsi="Times New Roman" w:cs="Times New Roman"/>
          <w:sz w:val="26"/>
          <w:szCs w:val="26"/>
        </w:rPr>
        <w:t>Judicial economy requir</w:t>
      </w:r>
      <w:r w:rsidR="00E07D19" w:rsidRPr="007B1ABF">
        <w:rPr>
          <w:rFonts w:ascii="Times New Roman" w:hAnsi="Times New Roman" w:cs="Times New Roman"/>
          <w:sz w:val="26"/>
          <w:szCs w:val="26"/>
        </w:rPr>
        <w:t xml:space="preserve">es </w:t>
      </w:r>
      <w:r w:rsidRPr="007B1ABF">
        <w:rPr>
          <w:rFonts w:ascii="Times New Roman" w:hAnsi="Times New Roman" w:cs="Times New Roman"/>
          <w:sz w:val="26"/>
          <w:szCs w:val="26"/>
        </w:rPr>
        <w:t>Duke’s ESP not</w:t>
      </w:r>
      <w:r w:rsidR="000C78DF">
        <w:rPr>
          <w:rFonts w:ascii="Times New Roman" w:hAnsi="Times New Roman" w:cs="Times New Roman"/>
          <w:sz w:val="26"/>
          <w:szCs w:val="26"/>
        </w:rPr>
        <w:t xml:space="preserve"> be re-litigated</w:t>
      </w:r>
      <w:r w:rsidRPr="007B1ABF">
        <w:rPr>
          <w:rFonts w:ascii="Times New Roman" w:hAnsi="Times New Roman" w:cs="Times New Roman"/>
          <w:sz w:val="26"/>
          <w:szCs w:val="26"/>
        </w:rPr>
        <w:t xml:space="preserve">. </w:t>
      </w:r>
      <w:r w:rsidR="000C78DF">
        <w:rPr>
          <w:rFonts w:ascii="Times New Roman" w:hAnsi="Times New Roman" w:cs="Times New Roman"/>
          <w:sz w:val="26"/>
          <w:szCs w:val="26"/>
        </w:rPr>
        <w:t xml:space="preserve"> </w:t>
      </w:r>
      <w:r w:rsidRPr="007B1ABF">
        <w:rPr>
          <w:rFonts w:ascii="Times New Roman" w:hAnsi="Times New Roman" w:cs="Times New Roman"/>
          <w:sz w:val="26"/>
          <w:szCs w:val="26"/>
        </w:rPr>
        <w:t>Duke’s</w:t>
      </w:r>
      <w:r w:rsidR="000C78DF">
        <w:rPr>
          <w:rFonts w:ascii="Times New Roman" w:hAnsi="Times New Roman" w:cs="Times New Roman"/>
          <w:sz w:val="26"/>
          <w:szCs w:val="26"/>
        </w:rPr>
        <w:t xml:space="preserve"> cur</w:t>
      </w:r>
      <w:r w:rsidR="00275FA9">
        <w:rPr>
          <w:rFonts w:ascii="Times New Roman" w:hAnsi="Times New Roman" w:cs="Times New Roman"/>
          <w:sz w:val="26"/>
          <w:szCs w:val="26"/>
        </w:rPr>
        <w:softHyphen/>
      </w:r>
      <w:r w:rsidR="000C78DF">
        <w:rPr>
          <w:rFonts w:ascii="Times New Roman" w:hAnsi="Times New Roman" w:cs="Times New Roman"/>
          <w:sz w:val="26"/>
          <w:szCs w:val="26"/>
        </w:rPr>
        <w:t>rent application should be denied</w:t>
      </w:r>
      <w:r w:rsidRPr="007B1ABF">
        <w:rPr>
          <w:rFonts w:ascii="Times New Roman" w:hAnsi="Times New Roman" w:cs="Times New Roman"/>
          <w:sz w:val="26"/>
          <w:szCs w:val="26"/>
        </w:rPr>
        <w:t>.</w:t>
      </w:r>
    </w:p>
    <w:p w:rsidR="00AD654F" w:rsidRPr="007B1ABF" w:rsidRDefault="00AD654F" w:rsidP="00DF0E98">
      <w:pPr>
        <w:pStyle w:val="Heading1"/>
        <w:ind w:left="0" w:firstLine="0"/>
      </w:pPr>
      <w:bookmarkStart w:id="14" w:name="_Toc343779878"/>
      <w:r w:rsidRPr="007B1ABF">
        <w:t xml:space="preserve">III. </w:t>
      </w:r>
      <w:r w:rsidR="00275FA9">
        <w:tab/>
      </w:r>
      <w:r w:rsidRPr="007B1ABF">
        <w:t>CONCLUSION</w:t>
      </w:r>
      <w:bookmarkEnd w:id="14"/>
    </w:p>
    <w:p w:rsidR="00CD6D41" w:rsidRDefault="00C75351" w:rsidP="00CD6D41">
      <w:pPr>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Duke’s application ignore</w:t>
      </w:r>
      <w:r w:rsidR="00EA4886">
        <w:rPr>
          <w:rFonts w:ascii="Times New Roman" w:hAnsi="Times New Roman" w:cs="Times New Roman"/>
          <w:sz w:val="26"/>
          <w:szCs w:val="26"/>
        </w:rPr>
        <w:t>s prior</w:t>
      </w:r>
      <w:r w:rsidR="00EA4886" w:rsidRPr="007B1ABF">
        <w:rPr>
          <w:rFonts w:ascii="Times New Roman" w:hAnsi="Times New Roman" w:cs="Times New Roman"/>
          <w:sz w:val="26"/>
          <w:szCs w:val="26"/>
        </w:rPr>
        <w:t xml:space="preserve"> settlement</w:t>
      </w:r>
      <w:r w:rsidR="00EA4886">
        <w:rPr>
          <w:rFonts w:ascii="Times New Roman" w:hAnsi="Times New Roman" w:cs="Times New Roman"/>
          <w:sz w:val="26"/>
          <w:szCs w:val="26"/>
        </w:rPr>
        <w:t xml:space="preserve"> agreements,</w:t>
      </w:r>
      <w:r w:rsidR="00EE3034">
        <w:rPr>
          <w:rFonts w:ascii="Times New Roman" w:hAnsi="Times New Roman" w:cs="Times New Roman"/>
          <w:sz w:val="26"/>
          <w:szCs w:val="26"/>
        </w:rPr>
        <w:t xml:space="preserve"> defies</w:t>
      </w:r>
      <w:r w:rsidR="00EA4886" w:rsidRPr="007B1ABF">
        <w:rPr>
          <w:rFonts w:ascii="Times New Roman" w:hAnsi="Times New Roman" w:cs="Times New Roman"/>
          <w:sz w:val="26"/>
          <w:szCs w:val="26"/>
        </w:rPr>
        <w:t xml:space="preserve"> state pol</w:t>
      </w:r>
      <w:r w:rsidR="00EA4886">
        <w:rPr>
          <w:rFonts w:ascii="Times New Roman" w:hAnsi="Times New Roman" w:cs="Times New Roman"/>
          <w:sz w:val="26"/>
          <w:szCs w:val="26"/>
        </w:rPr>
        <w:t>icies sup</w:t>
      </w:r>
      <w:r w:rsidR="00275FA9">
        <w:rPr>
          <w:rFonts w:ascii="Times New Roman" w:hAnsi="Times New Roman" w:cs="Times New Roman"/>
          <w:sz w:val="26"/>
          <w:szCs w:val="26"/>
        </w:rPr>
        <w:softHyphen/>
      </w:r>
      <w:r w:rsidR="00EA4886">
        <w:rPr>
          <w:rFonts w:ascii="Times New Roman" w:hAnsi="Times New Roman" w:cs="Times New Roman"/>
          <w:sz w:val="26"/>
          <w:szCs w:val="26"/>
        </w:rPr>
        <w:t>porting settlements, and undermines</w:t>
      </w:r>
      <w:r w:rsidR="00EA4886" w:rsidRPr="007B1ABF">
        <w:rPr>
          <w:rFonts w:ascii="Times New Roman" w:hAnsi="Times New Roman" w:cs="Times New Roman"/>
          <w:sz w:val="26"/>
          <w:szCs w:val="26"/>
        </w:rPr>
        <w:t xml:space="preserve"> the finality </w:t>
      </w:r>
      <w:r w:rsidR="00EA4886">
        <w:rPr>
          <w:rFonts w:ascii="Times New Roman" w:hAnsi="Times New Roman" w:cs="Times New Roman"/>
          <w:sz w:val="26"/>
          <w:szCs w:val="26"/>
        </w:rPr>
        <w:t xml:space="preserve">of the Public Utilities orders.  </w:t>
      </w:r>
      <w:r w:rsidR="006C27CC">
        <w:rPr>
          <w:rFonts w:ascii="Times New Roman" w:hAnsi="Times New Roman" w:cs="Times New Roman"/>
          <w:sz w:val="26"/>
          <w:szCs w:val="26"/>
        </w:rPr>
        <w:t>The</w:t>
      </w:r>
      <w:r w:rsidR="00EA4886">
        <w:rPr>
          <w:rFonts w:ascii="Times New Roman" w:hAnsi="Times New Roman" w:cs="Times New Roman"/>
          <w:sz w:val="26"/>
          <w:szCs w:val="26"/>
        </w:rPr>
        <w:t xml:space="preserve"> appli</w:t>
      </w:r>
      <w:r w:rsidR="00275FA9">
        <w:rPr>
          <w:rFonts w:ascii="Times New Roman" w:hAnsi="Times New Roman" w:cs="Times New Roman"/>
          <w:sz w:val="26"/>
          <w:szCs w:val="26"/>
        </w:rPr>
        <w:softHyphen/>
      </w:r>
      <w:r w:rsidR="00EA4886">
        <w:rPr>
          <w:rFonts w:ascii="Times New Roman" w:hAnsi="Times New Roman" w:cs="Times New Roman"/>
          <w:sz w:val="26"/>
          <w:szCs w:val="26"/>
        </w:rPr>
        <w:t>cation, if approved,</w:t>
      </w:r>
      <w:r w:rsidR="00E07D19" w:rsidRPr="007B1ABF">
        <w:rPr>
          <w:rFonts w:ascii="Times New Roman" w:hAnsi="Times New Roman" w:cs="Times New Roman"/>
          <w:sz w:val="26"/>
          <w:szCs w:val="26"/>
        </w:rPr>
        <w:t xml:space="preserve"> will</w:t>
      </w:r>
      <w:r w:rsidR="00EA4886">
        <w:rPr>
          <w:rFonts w:ascii="Times New Roman" w:hAnsi="Times New Roman" w:cs="Times New Roman"/>
          <w:sz w:val="26"/>
          <w:szCs w:val="26"/>
        </w:rPr>
        <w:t xml:space="preserve"> unreasonably</w:t>
      </w:r>
      <w:r w:rsidR="00E07D19" w:rsidRPr="007B1ABF">
        <w:rPr>
          <w:rFonts w:ascii="Times New Roman" w:hAnsi="Times New Roman" w:cs="Times New Roman"/>
          <w:sz w:val="26"/>
          <w:szCs w:val="26"/>
        </w:rPr>
        <w:t xml:space="preserve"> cost Ohio customers $776 </w:t>
      </w:r>
      <w:r w:rsidR="00AD654F" w:rsidRPr="007B1ABF">
        <w:rPr>
          <w:rFonts w:ascii="Times New Roman" w:hAnsi="Times New Roman" w:cs="Times New Roman"/>
          <w:sz w:val="26"/>
          <w:szCs w:val="26"/>
        </w:rPr>
        <w:t>million dollars</w:t>
      </w:r>
      <w:r w:rsidR="00EA4886">
        <w:rPr>
          <w:rFonts w:ascii="Times New Roman" w:hAnsi="Times New Roman" w:cs="Times New Roman"/>
          <w:sz w:val="26"/>
          <w:szCs w:val="26"/>
        </w:rPr>
        <w:t xml:space="preserve"> when parties had</w:t>
      </w:r>
      <w:r w:rsidR="00AD654F" w:rsidRPr="007B1ABF">
        <w:rPr>
          <w:rFonts w:ascii="Times New Roman" w:hAnsi="Times New Roman" w:cs="Times New Roman"/>
          <w:sz w:val="26"/>
          <w:szCs w:val="26"/>
        </w:rPr>
        <w:t xml:space="preserve"> negotiated a lower amount be paid for</w:t>
      </w:r>
      <w:r w:rsidR="00E07D19" w:rsidRPr="007B1ABF">
        <w:rPr>
          <w:rFonts w:ascii="Times New Roman" w:hAnsi="Times New Roman" w:cs="Times New Roman"/>
          <w:sz w:val="26"/>
          <w:szCs w:val="26"/>
        </w:rPr>
        <w:t xml:space="preserve"> the </w:t>
      </w:r>
      <w:r w:rsidR="00AD654F" w:rsidRPr="007B1ABF">
        <w:rPr>
          <w:rFonts w:ascii="Times New Roman" w:hAnsi="Times New Roman" w:cs="Times New Roman"/>
          <w:sz w:val="26"/>
          <w:szCs w:val="26"/>
        </w:rPr>
        <w:t>same capacity that is the subject of Duke’s Applicatio</w:t>
      </w:r>
      <w:r w:rsidR="00E07D19" w:rsidRPr="007B1ABF">
        <w:rPr>
          <w:rFonts w:ascii="Times New Roman" w:hAnsi="Times New Roman" w:cs="Times New Roman"/>
          <w:sz w:val="26"/>
          <w:szCs w:val="26"/>
        </w:rPr>
        <w:t>n</w:t>
      </w:r>
      <w:r w:rsidR="00275FA9" w:rsidRPr="007B1ABF">
        <w:rPr>
          <w:rFonts w:ascii="Times New Roman" w:hAnsi="Times New Roman" w:cs="Times New Roman"/>
          <w:sz w:val="26"/>
          <w:szCs w:val="26"/>
        </w:rPr>
        <w:t xml:space="preserve">.  </w:t>
      </w:r>
      <w:r w:rsidR="00E07D19" w:rsidRPr="007B1ABF">
        <w:rPr>
          <w:rFonts w:ascii="Times New Roman" w:hAnsi="Times New Roman" w:cs="Times New Roman"/>
          <w:sz w:val="26"/>
          <w:szCs w:val="26"/>
        </w:rPr>
        <w:t xml:space="preserve">The Commission should reject </w:t>
      </w:r>
      <w:r w:rsidR="00AD654F" w:rsidRPr="007B1ABF">
        <w:rPr>
          <w:rFonts w:ascii="Times New Roman" w:hAnsi="Times New Roman" w:cs="Times New Roman"/>
          <w:sz w:val="26"/>
          <w:szCs w:val="26"/>
        </w:rPr>
        <w:t>Duke’s Application and preserve the in</w:t>
      </w:r>
      <w:r w:rsidR="00E07D19" w:rsidRPr="007B1ABF">
        <w:rPr>
          <w:rFonts w:ascii="Times New Roman" w:hAnsi="Times New Roman" w:cs="Times New Roman"/>
          <w:sz w:val="26"/>
          <w:szCs w:val="26"/>
        </w:rPr>
        <w:t>tegrity of the</w:t>
      </w:r>
      <w:r w:rsidR="00EA4886">
        <w:rPr>
          <w:rFonts w:ascii="Times New Roman" w:hAnsi="Times New Roman" w:cs="Times New Roman"/>
          <w:sz w:val="26"/>
          <w:szCs w:val="26"/>
        </w:rPr>
        <w:t xml:space="preserve"> ESP</w:t>
      </w:r>
      <w:r w:rsidR="00E07D19" w:rsidRPr="007B1ABF">
        <w:rPr>
          <w:rFonts w:ascii="Times New Roman" w:hAnsi="Times New Roman" w:cs="Times New Roman"/>
          <w:sz w:val="26"/>
          <w:szCs w:val="26"/>
        </w:rPr>
        <w:t xml:space="preserve"> Stipulation</w:t>
      </w:r>
      <w:r w:rsidR="00AD654F" w:rsidRPr="007B1ABF">
        <w:rPr>
          <w:rFonts w:ascii="Times New Roman" w:hAnsi="Times New Roman" w:cs="Times New Roman"/>
          <w:sz w:val="26"/>
          <w:szCs w:val="26"/>
        </w:rPr>
        <w:t>.</w:t>
      </w:r>
    </w:p>
    <w:p w:rsidR="00933CA6" w:rsidRPr="007B1ABF" w:rsidRDefault="00933CA6" w:rsidP="00C36830">
      <w:pPr>
        <w:autoSpaceDE w:val="0"/>
        <w:autoSpaceDN w:val="0"/>
        <w:adjustRightInd w:val="0"/>
        <w:spacing w:after="0" w:line="480" w:lineRule="auto"/>
        <w:ind w:left="3600" w:firstLine="720"/>
        <w:rPr>
          <w:rFonts w:ascii="Times New Roman" w:hAnsi="Times New Roman" w:cs="Times New Roman"/>
          <w:sz w:val="26"/>
          <w:szCs w:val="26"/>
        </w:rPr>
      </w:pPr>
      <w:r w:rsidRPr="007B1ABF">
        <w:rPr>
          <w:rFonts w:ascii="Times New Roman" w:hAnsi="Times New Roman" w:cs="Times New Roman"/>
          <w:sz w:val="26"/>
          <w:szCs w:val="26"/>
        </w:rPr>
        <w:t>Respectfully Submitted,</w:t>
      </w:r>
    </w:p>
    <w:p w:rsidR="00933CA6" w:rsidRPr="007B1ABF" w:rsidRDefault="00933CA6" w:rsidP="00933CA6">
      <w:pPr>
        <w:spacing w:after="0" w:line="240" w:lineRule="auto"/>
        <w:ind w:left="4320"/>
        <w:rPr>
          <w:rFonts w:ascii="Times New Roman" w:hAnsi="Times New Roman" w:cs="Times New Roman"/>
          <w:b/>
          <w:sz w:val="26"/>
          <w:szCs w:val="26"/>
        </w:rPr>
      </w:pPr>
      <w:r w:rsidRPr="007B1ABF">
        <w:rPr>
          <w:rFonts w:ascii="Times New Roman" w:hAnsi="Times New Roman" w:cs="Times New Roman"/>
          <w:b/>
          <w:sz w:val="26"/>
          <w:szCs w:val="26"/>
        </w:rPr>
        <w:t xml:space="preserve">Michael DeWine </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Ohio Attorney General</w:t>
      </w:r>
    </w:p>
    <w:p w:rsidR="00933CA6" w:rsidRPr="007B1ABF" w:rsidRDefault="00933CA6" w:rsidP="00933CA6">
      <w:pPr>
        <w:spacing w:after="0" w:line="240" w:lineRule="auto"/>
        <w:ind w:left="4320"/>
        <w:rPr>
          <w:rFonts w:ascii="Times New Roman" w:hAnsi="Times New Roman" w:cs="Times New Roman"/>
          <w:sz w:val="26"/>
          <w:szCs w:val="26"/>
        </w:rPr>
      </w:pP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b/>
          <w:sz w:val="26"/>
          <w:szCs w:val="26"/>
        </w:rPr>
        <w:t>William L. Wright</w:t>
      </w:r>
    </w:p>
    <w:p w:rsidR="00551DEF" w:rsidRDefault="00933CA6" w:rsidP="00C36830">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Section Chief</w:t>
      </w:r>
    </w:p>
    <w:p w:rsidR="00C36830" w:rsidRPr="00551DEF" w:rsidRDefault="00C36830" w:rsidP="00C36830">
      <w:pPr>
        <w:spacing w:after="0" w:line="240" w:lineRule="auto"/>
        <w:ind w:left="4320"/>
        <w:rPr>
          <w:rFonts w:ascii="Times New Roman" w:hAnsi="Times New Roman" w:cs="Times New Roman"/>
          <w:sz w:val="26"/>
          <w:szCs w:val="26"/>
        </w:rPr>
      </w:pPr>
    </w:p>
    <w:p w:rsidR="00933CA6" w:rsidRPr="007B1ABF" w:rsidRDefault="00933CA6" w:rsidP="00933CA6">
      <w:pPr>
        <w:tabs>
          <w:tab w:val="left" w:pos="9360"/>
        </w:tabs>
        <w:spacing w:after="0" w:line="240" w:lineRule="auto"/>
        <w:ind w:left="4320"/>
        <w:rPr>
          <w:rFonts w:ascii="Times New Roman" w:hAnsi="Times New Roman" w:cs="Times New Roman"/>
          <w:sz w:val="26"/>
          <w:szCs w:val="26"/>
          <w:u w:val="single"/>
        </w:rPr>
      </w:pPr>
      <w:r w:rsidRPr="007B1ABF">
        <w:rPr>
          <w:rFonts w:ascii="Times New Roman" w:hAnsi="Times New Roman" w:cs="Times New Roman"/>
          <w:sz w:val="26"/>
          <w:szCs w:val="26"/>
          <w:u w:val="single"/>
        </w:rPr>
        <w:t xml:space="preserve">/s/ </w:t>
      </w:r>
      <w:r w:rsidRPr="00131840">
        <w:rPr>
          <w:rFonts w:ascii="Viner Hand ITC" w:hAnsi="Viner Hand ITC" w:cs="Times New Roman"/>
          <w:sz w:val="32"/>
          <w:szCs w:val="32"/>
          <w:u w:val="single"/>
        </w:rPr>
        <w:t>Steven L. Beeler</w:t>
      </w:r>
      <w:r w:rsidRPr="007B1ABF">
        <w:rPr>
          <w:rFonts w:ascii="Times New Roman" w:hAnsi="Times New Roman" w:cs="Times New Roman"/>
          <w:sz w:val="26"/>
          <w:szCs w:val="26"/>
          <w:u w:val="single"/>
        </w:rPr>
        <w:tab/>
      </w:r>
    </w:p>
    <w:p w:rsidR="00933CA6" w:rsidRPr="007B1ABF" w:rsidRDefault="00933CA6" w:rsidP="00933CA6">
      <w:pPr>
        <w:spacing w:after="0" w:line="240" w:lineRule="auto"/>
        <w:ind w:left="4320"/>
        <w:rPr>
          <w:rFonts w:ascii="Times New Roman" w:hAnsi="Times New Roman" w:cs="Times New Roman"/>
          <w:b/>
          <w:sz w:val="26"/>
          <w:szCs w:val="26"/>
        </w:rPr>
      </w:pPr>
      <w:r w:rsidRPr="007B1ABF">
        <w:rPr>
          <w:rFonts w:ascii="Times New Roman" w:hAnsi="Times New Roman" w:cs="Times New Roman"/>
          <w:b/>
          <w:sz w:val="26"/>
          <w:szCs w:val="26"/>
        </w:rPr>
        <w:t>Steven L. Beeler</w:t>
      </w:r>
    </w:p>
    <w:p w:rsidR="000D7745" w:rsidRPr="007B1ABF" w:rsidRDefault="000D7745" w:rsidP="00933CA6">
      <w:pPr>
        <w:spacing w:after="0" w:line="240" w:lineRule="auto"/>
        <w:ind w:left="4320"/>
        <w:rPr>
          <w:rFonts w:ascii="Times New Roman" w:hAnsi="Times New Roman" w:cs="Times New Roman"/>
          <w:b/>
          <w:sz w:val="26"/>
          <w:szCs w:val="26"/>
        </w:rPr>
      </w:pPr>
      <w:r w:rsidRPr="007B1ABF">
        <w:rPr>
          <w:rFonts w:ascii="Times New Roman" w:hAnsi="Times New Roman" w:cs="Times New Roman"/>
          <w:b/>
          <w:sz w:val="26"/>
          <w:szCs w:val="26"/>
        </w:rPr>
        <w:t>John H. Jones</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Assistant Attorney</w:t>
      </w:r>
      <w:r w:rsidR="000D7745" w:rsidRPr="007B1ABF">
        <w:rPr>
          <w:rFonts w:ascii="Times New Roman" w:hAnsi="Times New Roman" w:cs="Times New Roman"/>
          <w:sz w:val="26"/>
          <w:szCs w:val="26"/>
        </w:rPr>
        <w:t>s</w:t>
      </w:r>
      <w:r w:rsidRPr="007B1ABF">
        <w:rPr>
          <w:rFonts w:ascii="Times New Roman" w:hAnsi="Times New Roman" w:cs="Times New Roman"/>
          <w:sz w:val="26"/>
          <w:szCs w:val="26"/>
        </w:rPr>
        <w:t xml:space="preserve"> General</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Public Utilities Section</w:t>
      </w:r>
    </w:p>
    <w:p w:rsidR="00933CA6" w:rsidRPr="007B1ABF" w:rsidRDefault="00933CA6" w:rsidP="00933CA6">
      <w:pPr>
        <w:spacing w:after="0" w:line="240" w:lineRule="auto"/>
        <w:ind w:left="4320"/>
        <w:rPr>
          <w:rFonts w:ascii="Times New Roman" w:hAnsi="Times New Roman" w:cs="Times New Roman"/>
          <w:sz w:val="26"/>
          <w:szCs w:val="26"/>
        </w:rPr>
      </w:pPr>
      <w:proofErr w:type="gramStart"/>
      <w:r w:rsidRPr="007B1ABF">
        <w:rPr>
          <w:rFonts w:ascii="Times New Roman" w:hAnsi="Times New Roman" w:cs="Times New Roman"/>
          <w:sz w:val="26"/>
          <w:szCs w:val="26"/>
        </w:rPr>
        <w:t>180 East Broad Street, 6</w:t>
      </w:r>
      <w:r w:rsidRPr="007B1ABF">
        <w:rPr>
          <w:rFonts w:ascii="Times New Roman" w:hAnsi="Times New Roman" w:cs="Times New Roman"/>
          <w:sz w:val="26"/>
          <w:szCs w:val="26"/>
          <w:vertAlign w:val="superscript"/>
        </w:rPr>
        <w:t>th</w:t>
      </w:r>
      <w:r w:rsidRPr="007B1ABF">
        <w:rPr>
          <w:rFonts w:ascii="Times New Roman" w:hAnsi="Times New Roman" w:cs="Times New Roman"/>
          <w:sz w:val="26"/>
          <w:szCs w:val="26"/>
        </w:rPr>
        <w:t xml:space="preserve"> Fl.</w:t>
      </w:r>
      <w:proofErr w:type="gramEnd"/>
      <w:r w:rsidRPr="007B1ABF">
        <w:rPr>
          <w:rFonts w:ascii="Times New Roman" w:hAnsi="Times New Roman" w:cs="Times New Roman"/>
          <w:sz w:val="26"/>
          <w:szCs w:val="26"/>
        </w:rPr>
        <w:t xml:space="preserve"> </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Columbus, OH  43215</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614.466.4395 (telephone)</w:t>
      </w:r>
    </w:p>
    <w:p w:rsidR="00933CA6" w:rsidRPr="007B1ABF" w:rsidRDefault="00B639BD" w:rsidP="00933CA6">
      <w:pPr>
        <w:spacing w:after="0" w:line="240" w:lineRule="auto"/>
        <w:ind w:left="4320"/>
        <w:jc w:val="both"/>
        <w:rPr>
          <w:rFonts w:ascii="Times New Roman" w:hAnsi="Times New Roman" w:cs="Times New Roman"/>
          <w:color w:val="0000FF"/>
          <w:sz w:val="26"/>
          <w:szCs w:val="26"/>
          <w:u w:val="single"/>
        </w:rPr>
      </w:pPr>
      <w:hyperlink r:id="rId15" w:history="1">
        <w:r w:rsidR="00933CA6" w:rsidRPr="007B1ABF">
          <w:rPr>
            <w:rFonts w:ascii="Times New Roman" w:hAnsi="Times New Roman" w:cs="Times New Roman"/>
            <w:color w:val="0000FF"/>
            <w:sz w:val="26"/>
            <w:szCs w:val="26"/>
            <w:u w:val="single"/>
          </w:rPr>
          <w:t>steven.beeler@puc.state.oh.us</w:t>
        </w:r>
      </w:hyperlink>
    </w:p>
    <w:p w:rsidR="00933CA6" w:rsidRPr="00CD6D41" w:rsidRDefault="000D7745" w:rsidP="00CD6D41">
      <w:pPr>
        <w:spacing w:after="0" w:line="240" w:lineRule="auto"/>
        <w:ind w:left="4320"/>
        <w:jc w:val="both"/>
        <w:rPr>
          <w:rFonts w:ascii="Times New Roman" w:hAnsi="Times New Roman" w:cs="Times New Roman"/>
          <w:sz w:val="26"/>
          <w:szCs w:val="26"/>
        </w:rPr>
      </w:pPr>
      <w:r w:rsidRPr="007B1ABF">
        <w:rPr>
          <w:rFonts w:ascii="Times New Roman" w:hAnsi="Times New Roman" w:cs="Times New Roman"/>
          <w:color w:val="0000FF"/>
          <w:sz w:val="26"/>
          <w:szCs w:val="26"/>
          <w:u w:val="single"/>
        </w:rPr>
        <w:t>john.jones@puc.state.oh.us</w:t>
      </w:r>
      <w:r w:rsidR="00933CA6" w:rsidRPr="007B1ABF">
        <w:rPr>
          <w:rFonts w:ascii="Times New Roman" w:hAnsi="Times New Roman" w:cs="Times New Roman"/>
          <w:b/>
          <w:sz w:val="26"/>
          <w:szCs w:val="26"/>
        </w:rPr>
        <w:br w:type="page"/>
      </w:r>
    </w:p>
    <w:p w:rsidR="00933CA6" w:rsidRPr="00933CA6" w:rsidRDefault="00933CA6" w:rsidP="00275FA9">
      <w:pPr>
        <w:pStyle w:val="Heading1"/>
        <w:jc w:val="center"/>
      </w:pPr>
      <w:bookmarkStart w:id="15" w:name="_Toc317248255"/>
      <w:bookmarkStart w:id="16" w:name="_Toc339013424"/>
      <w:bookmarkStart w:id="17" w:name="_Toc343779879"/>
      <w:r w:rsidRPr="00933CA6">
        <w:lastRenderedPageBreak/>
        <w:t>CERTIFICATE OF SERVICE</w:t>
      </w:r>
      <w:bookmarkEnd w:id="15"/>
      <w:bookmarkEnd w:id="16"/>
      <w:bookmarkEnd w:id="17"/>
    </w:p>
    <w:p w:rsidR="00933CA6" w:rsidRPr="00933CA6" w:rsidRDefault="00933CA6" w:rsidP="00933CA6">
      <w:pPr>
        <w:spacing w:after="0" w:line="480" w:lineRule="auto"/>
        <w:rPr>
          <w:rFonts w:ascii="Times New Roman" w:hAnsi="Times New Roman" w:cs="Times New Roman"/>
          <w:sz w:val="26"/>
          <w:szCs w:val="26"/>
        </w:rPr>
      </w:pPr>
      <w:r w:rsidRPr="00933CA6">
        <w:rPr>
          <w:rFonts w:ascii="Times New Roman" w:hAnsi="Times New Roman" w:cs="Times New Roman"/>
          <w:sz w:val="26"/>
          <w:szCs w:val="26"/>
        </w:rPr>
        <w:tab/>
        <w:t xml:space="preserve">I hereby certify that a true copy of the foregoing </w:t>
      </w:r>
      <w:r w:rsidR="000D7745">
        <w:rPr>
          <w:rFonts w:ascii="Times New Roman" w:hAnsi="Times New Roman" w:cs="Times New Roman"/>
          <w:b/>
          <w:sz w:val="26"/>
          <w:szCs w:val="26"/>
        </w:rPr>
        <w:t>Initial</w:t>
      </w:r>
      <w:r w:rsidRPr="00933CA6">
        <w:rPr>
          <w:rFonts w:ascii="Times New Roman" w:hAnsi="Times New Roman" w:cs="Times New Roman"/>
          <w:sz w:val="26"/>
          <w:szCs w:val="26"/>
        </w:rPr>
        <w:t xml:space="preserve"> </w:t>
      </w:r>
      <w:r w:rsidRPr="00933CA6">
        <w:rPr>
          <w:rFonts w:ascii="Times New Roman" w:hAnsi="Times New Roman" w:cs="Times New Roman"/>
          <w:b/>
          <w:sz w:val="26"/>
          <w:szCs w:val="26"/>
        </w:rPr>
        <w:t xml:space="preserve">Comments </w:t>
      </w:r>
      <w:r w:rsidRPr="00933CA6">
        <w:rPr>
          <w:rFonts w:ascii="Times New Roman" w:hAnsi="Times New Roman" w:cs="Times New Roman"/>
          <w:sz w:val="26"/>
          <w:szCs w:val="26"/>
        </w:rPr>
        <w:t>submitted on behalf of the Staff of the Public Utilities Commission of Ohio was served by elec</w:t>
      </w:r>
      <w:r w:rsidRPr="00933CA6">
        <w:rPr>
          <w:rFonts w:ascii="Times New Roman" w:hAnsi="Times New Roman" w:cs="Times New Roman"/>
          <w:sz w:val="26"/>
          <w:szCs w:val="26"/>
        </w:rPr>
        <w:softHyphen/>
        <w:t>tronic mail upon the foll</w:t>
      </w:r>
      <w:r w:rsidR="000D7745">
        <w:rPr>
          <w:rFonts w:ascii="Times New Roman" w:hAnsi="Times New Roman" w:cs="Times New Roman"/>
          <w:sz w:val="26"/>
          <w:szCs w:val="26"/>
        </w:rPr>
        <w:t xml:space="preserve">owing parties of record, this </w:t>
      </w:r>
      <w:r w:rsidR="00632F5A">
        <w:rPr>
          <w:rFonts w:ascii="Times New Roman" w:hAnsi="Times New Roman" w:cs="Times New Roman"/>
          <w:sz w:val="26"/>
          <w:szCs w:val="26"/>
        </w:rPr>
        <w:t>2</w:t>
      </w:r>
      <w:r w:rsidR="00632F5A">
        <w:rPr>
          <w:rFonts w:ascii="Times New Roman" w:hAnsi="Times New Roman" w:cs="Times New Roman"/>
          <w:sz w:val="26"/>
          <w:szCs w:val="26"/>
          <w:vertAlign w:val="superscript"/>
        </w:rPr>
        <w:t>nd</w:t>
      </w:r>
      <w:r w:rsidR="00632F5A">
        <w:rPr>
          <w:rFonts w:ascii="Times New Roman" w:hAnsi="Times New Roman" w:cs="Times New Roman"/>
          <w:sz w:val="26"/>
          <w:szCs w:val="26"/>
        </w:rPr>
        <w:t xml:space="preserve"> </w:t>
      </w:r>
      <w:r w:rsidR="000D7745">
        <w:rPr>
          <w:rFonts w:ascii="Times New Roman" w:hAnsi="Times New Roman" w:cs="Times New Roman"/>
          <w:sz w:val="26"/>
          <w:szCs w:val="26"/>
        </w:rPr>
        <w:t>day of January, 2013</w:t>
      </w:r>
      <w:r w:rsidRPr="00933CA6">
        <w:rPr>
          <w:rFonts w:ascii="Times New Roman" w:hAnsi="Times New Roman" w:cs="Times New Roman"/>
          <w:sz w:val="26"/>
          <w:szCs w:val="26"/>
        </w:rPr>
        <w:t>.</w:t>
      </w:r>
    </w:p>
    <w:p w:rsidR="00933CA6" w:rsidRPr="00933CA6" w:rsidRDefault="00933CA6" w:rsidP="00933CA6">
      <w:pPr>
        <w:spacing w:after="0" w:line="480" w:lineRule="auto"/>
        <w:rPr>
          <w:rFonts w:ascii="Times New Roman" w:hAnsi="Times New Roman" w:cs="Times New Roman"/>
          <w:sz w:val="26"/>
          <w:szCs w:val="26"/>
        </w:rPr>
      </w:pPr>
    </w:p>
    <w:p w:rsidR="00933CA6" w:rsidRPr="00933CA6" w:rsidRDefault="00933CA6" w:rsidP="00933CA6">
      <w:pPr>
        <w:tabs>
          <w:tab w:val="left" w:pos="9360"/>
        </w:tabs>
        <w:spacing w:after="0" w:line="240" w:lineRule="auto"/>
        <w:ind w:left="4320"/>
        <w:rPr>
          <w:rFonts w:ascii="Viner Hand ITC" w:hAnsi="Viner Hand ITC" w:cs="Arial"/>
          <w:sz w:val="32"/>
          <w:szCs w:val="32"/>
          <w:u w:val="single"/>
        </w:rPr>
      </w:pPr>
      <w:r w:rsidRPr="00933CA6">
        <w:rPr>
          <w:rFonts w:ascii="Viner Hand ITC" w:hAnsi="Viner Hand ITC" w:cs="Arial"/>
          <w:sz w:val="32"/>
          <w:szCs w:val="32"/>
          <w:u w:val="single"/>
        </w:rPr>
        <w:t>/s/ Steven L. Beeler</w:t>
      </w:r>
      <w:r w:rsidRPr="00933CA6">
        <w:rPr>
          <w:rFonts w:ascii="Viner Hand ITC" w:hAnsi="Viner Hand ITC" w:cs="Arial"/>
          <w:sz w:val="32"/>
          <w:szCs w:val="32"/>
          <w:u w:val="single"/>
        </w:rPr>
        <w:tab/>
      </w:r>
    </w:p>
    <w:p w:rsidR="00933CA6" w:rsidRPr="00933CA6" w:rsidRDefault="00933CA6" w:rsidP="00933CA6">
      <w:pPr>
        <w:spacing w:after="0" w:line="240" w:lineRule="auto"/>
        <w:ind w:left="4320"/>
        <w:rPr>
          <w:rFonts w:ascii="Times New Roman" w:hAnsi="Times New Roman"/>
          <w:b/>
          <w:sz w:val="26"/>
          <w:szCs w:val="26"/>
        </w:rPr>
      </w:pPr>
      <w:r w:rsidRPr="00933CA6">
        <w:rPr>
          <w:rFonts w:ascii="Times New Roman" w:hAnsi="Times New Roman"/>
          <w:b/>
          <w:sz w:val="26"/>
          <w:szCs w:val="26"/>
        </w:rPr>
        <w:t>Steven L. Beeler</w:t>
      </w:r>
    </w:p>
    <w:p w:rsidR="00933CA6" w:rsidRPr="00933CA6" w:rsidRDefault="00933CA6" w:rsidP="00933CA6">
      <w:pPr>
        <w:spacing w:after="0" w:line="240" w:lineRule="auto"/>
        <w:ind w:left="4320"/>
        <w:jc w:val="both"/>
        <w:rPr>
          <w:rFonts w:ascii="Times New Roman" w:hAnsi="Times New Roman" w:cs="Times New Roman"/>
          <w:sz w:val="26"/>
          <w:szCs w:val="26"/>
        </w:rPr>
      </w:pPr>
      <w:r w:rsidRPr="00933CA6">
        <w:rPr>
          <w:rFonts w:ascii="Times New Roman" w:hAnsi="Times New Roman" w:cs="Times New Roman"/>
          <w:sz w:val="26"/>
          <w:szCs w:val="26"/>
        </w:rPr>
        <w:t>Assistant Attorney General</w:t>
      </w:r>
    </w:p>
    <w:p w:rsidR="00C30CF1" w:rsidRDefault="00C30CF1" w:rsidP="00933CA6">
      <w:pPr>
        <w:spacing w:after="0" w:line="240" w:lineRule="auto"/>
        <w:jc w:val="both"/>
        <w:rPr>
          <w:rFonts w:ascii="Times New Roman" w:hAnsi="Times New Roman" w:cs="Times New Roman"/>
          <w:b/>
          <w:sz w:val="26"/>
          <w:szCs w:val="26"/>
        </w:rPr>
      </w:pPr>
    </w:p>
    <w:p w:rsidR="00933CA6" w:rsidRPr="00933CA6" w:rsidRDefault="00933CA6" w:rsidP="00933CA6">
      <w:pPr>
        <w:spacing w:after="0" w:line="240" w:lineRule="auto"/>
        <w:jc w:val="both"/>
        <w:rPr>
          <w:rFonts w:ascii="Times New Roman" w:hAnsi="Times New Roman" w:cs="Times New Roman"/>
          <w:b/>
          <w:sz w:val="26"/>
          <w:szCs w:val="26"/>
        </w:rPr>
      </w:pPr>
      <w:r w:rsidRPr="00933CA6">
        <w:rPr>
          <w:rFonts w:ascii="Times New Roman" w:hAnsi="Times New Roman" w:cs="Times New Roman"/>
          <w:b/>
          <w:sz w:val="26"/>
          <w:szCs w:val="26"/>
        </w:rPr>
        <w:t>PARTIES OF RECORD:</w:t>
      </w:r>
    </w:p>
    <w:p w:rsidR="00933CA6" w:rsidRPr="00445E0D" w:rsidRDefault="00933CA6" w:rsidP="00933CA6">
      <w:pPr>
        <w:spacing w:after="0" w:line="240" w:lineRule="auto"/>
        <w:jc w:val="both"/>
        <w:rPr>
          <w:rFonts w:ascii="Times New Roman" w:hAnsi="Times New Roman" w:cs="Times New Roman"/>
          <w:b/>
          <w:sz w:val="26"/>
          <w:szCs w:val="26"/>
        </w:rPr>
      </w:pPr>
    </w:p>
    <w:p w:rsidR="000D7745" w:rsidRPr="00445E0D" w:rsidRDefault="000D7745" w:rsidP="000D7745">
      <w:pPr>
        <w:autoSpaceDE w:val="0"/>
        <w:autoSpaceDN w:val="0"/>
        <w:adjustRightInd w:val="0"/>
        <w:spacing w:after="0" w:line="240" w:lineRule="auto"/>
        <w:rPr>
          <w:rFonts w:ascii="Times New Roman" w:hAnsi="Times New Roman" w:cs="Times New Roman"/>
          <w:color w:val="0000FF"/>
          <w:sz w:val="26"/>
          <w:szCs w:val="26"/>
        </w:rPr>
        <w:sectPr w:rsidR="000D7745" w:rsidRPr="00445E0D">
          <w:pgSz w:w="12240" w:h="15840"/>
          <w:pgMar w:top="1440" w:right="1440" w:bottom="1440" w:left="1440" w:header="720" w:footer="720" w:gutter="0"/>
          <w:cols w:space="720"/>
          <w:docGrid w:linePitch="360"/>
        </w:sectPr>
      </w:pP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lastRenderedPageBreak/>
        <w:t>sam@mwncmh.com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fdarr@mwncmh.com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joliker@mwncmh.com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mpritchard@mwncmh.com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cmooney2@columbus.rr.com</w:t>
      </w:r>
    </w:p>
    <w:p w:rsidR="003E4899"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dhart@douglasehart.com</w:t>
      </w:r>
    </w:p>
    <w:p w:rsidR="003E4899" w:rsidRPr="003E4899" w:rsidRDefault="003E4899" w:rsidP="003E4899">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grady@occ.state.oh.us</w:t>
      </w:r>
    </w:p>
    <w:p w:rsidR="003E4899" w:rsidRPr="003E4899" w:rsidRDefault="003E4899" w:rsidP="003E4899">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kern@occ.state.oh.us</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haydenm@firstenergycorp.com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jlang@calfee.com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lmcbride@calfee.com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talexander@calfee.com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bojko@carpenterlipps.com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dakutik@jonesday.com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aehaedt@jonesday.com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jbentine@amppartners.org</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jouett.brenzel@cinbell.com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mjsatterwhite@aep.com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kosterkamp@ralaw.com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asonderman@keglerbrown.com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mkimbrough@keglerbrown.com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wmassey@cov.com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asonderman@keglerbrown.com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mkimbrough@keglerbrown.com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wmassey@cov.com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BarthRoyer@aol.com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lastRenderedPageBreak/>
        <w:t>Amy.spiller@duke-energy.com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Jeanne.kingery@duke-energy.com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Elizabeth.watts@duke-energy.com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Rocco.DAscenzo@duke-energy.com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dboehm@BKLlawfirm.com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mkurtz@BKLlawfirm.com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jkyler@BKLlawfirm.com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F35BF4">
        <w:rPr>
          <w:rFonts w:ascii="Times New Roman" w:hAnsi="Times New Roman" w:cs="Times New Roman"/>
          <w:color w:val="0000FF"/>
          <w:sz w:val="26"/>
          <w:szCs w:val="26"/>
        </w:rPr>
        <w:t>tobrien@bricker.com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tsiwo@bricker.com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mwarnock@bricker.com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Gary.A.Jeffries@dom.com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aaragona@eimerstahl.com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dstahl@eimerstahl.com</w:t>
      </w:r>
    </w:p>
    <w:p w:rsidR="000D7745" w:rsidRPr="003E4899" w:rsidRDefault="000D7745" w:rsidP="000D7745">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ssolberg@eimerstahl.com</w:t>
      </w:r>
    </w:p>
    <w:p w:rsidR="003E4899" w:rsidRPr="003E4899" w:rsidRDefault="003E4899" w:rsidP="003E4899">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Rdc_law@swbell.net</w:t>
      </w:r>
    </w:p>
    <w:p w:rsidR="003E4899" w:rsidRPr="003E4899" w:rsidRDefault="003E4899" w:rsidP="003E4899">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jejadwin@aep.com</w:t>
      </w:r>
    </w:p>
    <w:p w:rsidR="003E4899" w:rsidRPr="003E4899" w:rsidRDefault="003E4899" w:rsidP="003E4899">
      <w:pPr>
        <w:autoSpaceDE w:val="0"/>
        <w:autoSpaceDN w:val="0"/>
        <w:adjustRightInd w:val="0"/>
        <w:spacing w:after="0" w:line="240" w:lineRule="auto"/>
        <w:rPr>
          <w:rFonts w:ascii="Times New Roman" w:hAnsi="Times New Roman" w:cs="Times New Roman"/>
          <w:color w:val="0000FF"/>
          <w:sz w:val="26"/>
          <w:szCs w:val="26"/>
        </w:rPr>
      </w:pPr>
      <w:r w:rsidRPr="003E4899">
        <w:rPr>
          <w:rFonts w:ascii="Times New Roman" w:hAnsi="Times New Roman" w:cs="Times New Roman"/>
          <w:color w:val="0000FF"/>
          <w:sz w:val="26"/>
          <w:szCs w:val="26"/>
        </w:rPr>
        <w:t>yalami@aep.com</w:t>
      </w:r>
    </w:p>
    <w:p w:rsidR="000D7745" w:rsidRPr="00F35BF4" w:rsidRDefault="000D7745" w:rsidP="000D7745">
      <w:pPr>
        <w:autoSpaceDE w:val="0"/>
        <w:autoSpaceDN w:val="0"/>
        <w:adjustRightInd w:val="0"/>
        <w:spacing w:after="0" w:line="240" w:lineRule="auto"/>
        <w:rPr>
          <w:rFonts w:ascii="Times New Roman" w:hAnsi="Times New Roman" w:cs="Times New Roman"/>
          <w:color w:val="000000"/>
          <w:sz w:val="26"/>
          <w:szCs w:val="26"/>
        </w:rPr>
      </w:pPr>
    </w:p>
    <w:p w:rsidR="00933CA6" w:rsidRPr="00F35BF4" w:rsidRDefault="000D7745" w:rsidP="00B639BD">
      <w:pPr>
        <w:autoSpaceDE w:val="0"/>
        <w:autoSpaceDN w:val="0"/>
        <w:adjustRightInd w:val="0"/>
        <w:spacing w:after="0" w:line="240" w:lineRule="auto"/>
        <w:rPr>
          <w:rFonts w:ascii="Times New Roman" w:hAnsi="Times New Roman" w:cs="Times New Roman"/>
          <w:sz w:val="26"/>
          <w:szCs w:val="26"/>
        </w:rPr>
      </w:pPr>
      <w:r w:rsidRPr="00F35BF4">
        <w:rPr>
          <w:rFonts w:ascii="Times New Roman" w:hAnsi="Times New Roman" w:cs="Times New Roman"/>
          <w:color w:val="000000"/>
          <w:sz w:val="26"/>
          <w:szCs w:val="26"/>
        </w:rPr>
        <w:t xml:space="preserve">AEs: </w:t>
      </w:r>
      <w:r w:rsidR="00B639BD">
        <w:rPr>
          <w:rFonts w:ascii="Times New Roman" w:hAnsi="Times New Roman" w:cs="Times New Roman"/>
          <w:color w:val="0000FF"/>
          <w:sz w:val="26"/>
          <w:szCs w:val="26"/>
        </w:rPr>
        <w:t>-</w:t>
      </w:r>
      <w:bookmarkStart w:id="18" w:name="_GoBack"/>
      <w:bookmarkEnd w:id="18"/>
    </w:p>
    <w:sectPr w:rsidR="00933CA6" w:rsidRPr="00F35BF4" w:rsidSect="000D774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72" w:rsidRDefault="00546572" w:rsidP="00933CA6">
      <w:pPr>
        <w:spacing w:after="0" w:line="240" w:lineRule="auto"/>
      </w:pPr>
      <w:r>
        <w:separator/>
      </w:r>
    </w:p>
  </w:endnote>
  <w:endnote w:type="continuationSeparator" w:id="0">
    <w:p w:rsidR="00546572" w:rsidRDefault="00546572" w:rsidP="0093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80093"/>
      <w:docPartObj>
        <w:docPartGallery w:val="Page Numbers (Bottom of Page)"/>
        <w:docPartUnique/>
      </w:docPartObj>
    </w:sdtPr>
    <w:sdtEndPr>
      <w:rPr>
        <w:noProof/>
      </w:rPr>
    </w:sdtEndPr>
    <w:sdtContent>
      <w:p w:rsidR="00F60FAA" w:rsidRDefault="00F60F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0FAA" w:rsidRDefault="00F60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56011"/>
      <w:docPartObj>
        <w:docPartGallery w:val="Page Numbers (Bottom of Page)"/>
        <w:docPartUnique/>
      </w:docPartObj>
    </w:sdtPr>
    <w:sdtEndPr>
      <w:rPr>
        <w:noProof/>
      </w:rPr>
    </w:sdtEndPr>
    <w:sdtContent>
      <w:p w:rsidR="00F60FAA" w:rsidRDefault="00F60FAA" w:rsidP="00933CA6">
        <w:pPr>
          <w:pStyle w:val="Footer"/>
          <w:jc w:val="center"/>
        </w:pPr>
        <w:r>
          <w:fldChar w:fldCharType="begin"/>
        </w:r>
        <w:r>
          <w:instrText xml:space="preserve"> PAGE   \* MERGEFORMAT </w:instrText>
        </w:r>
        <w:r>
          <w:fldChar w:fldCharType="separate"/>
        </w:r>
        <w:r w:rsidR="00B639BD">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72" w:rsidRDefault="00546572" w:rsidP="00933CA6">
      <w:pPr>
        <w:spacing w:after="0" w:line="240" w:lineRule="auto"/>
      </w:pPr>
      <w:r>
        <w:separator/>
      </w:r>
    </w:p>
  </w:footnote>
  <w:footnote w:type="continuationSeparator" w:id="0">
    <w:p w:rsidR="00546572" w:rsidRDefault="00546572" w:rsidP="00933CA6">
      <w:pPr>
        <w:spacing w:after="0" w:line="240" w:lineRule="auto"/>
      </w:pPr>
      <w:r>
        <w:continuationSeparator/>
      </w:r>
    </w:p>
  </w:footnote>
  <w:footnote w:id="1">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ab/>
      </w:r>
      <w:r w:rsidRPr="00DF0E98">
        <w:rPr>
          <w:rFonts w:cs="Times New Roman"/>
          <w:sz w:val="24"/>
          <w:szCs w:val="24"/>
        </w:rPr>
        <w:tab/>
      </w:r>
      <w:r w:rsidRPr="00DF0E98">
        <w:rPr>
          <w:rFonts w:cs="Times New Roman"/>
          <w:i/>
          <w:sz w:val="24"/>
          <w:szCs w:val="24"/>
        </w:rPr>
        <w:t>In the Matter of the Application of Duke Energy Ohio for Authority to Establish a Standard Service Offer Pursuant to Section 4928.143, Revised Code, in the Form of an Electric Security Plan, Accounting Modifications and Tariffs for Generation Service,</w:t>
      </w:r>
      <w:r w:rsidRPr="00DF0E98">
        <w:rPr>
          <w:rFonts w:cs="Times New Roman"/>
          <w:sz w:val="24"/>
          <w:szCs w:val="24"/>
        </w:rPr>
        <w:t xml:space="preserve"> Case Nos. 11-3549-EL-SSO, </w:t>
      </w:r>
      <w:r w:rsidRPr="00DF0E98">
        <w:rPr>
          <w:rFonts w:cs="Times New Roman"/>
          <w:i/>
          <w:sz w:val="24"/>
          <w:szCs w:val="24"/>
        </w:rPr>
        <w:t>et al.,</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Stipula</w:t>
      </w:r>
      <w:r w:rsidRPr="00DF0E98">
        <w:rPr>
          <w:rFonts w:cs="Times New Roman"/>
          <w:sz w:val="24"/>
          <w:szCs w:val="24"/>
        </w:rPr>
        <w:softHyphen/>
        <w:t>tion and Recommendation</w:t>
      </w:r>
      <w:r w:rsidR="00DF0E98">
        <w:rPr>
          <w:rFonts w:cs="Times New Roman"/>
          <w:sz w:val="24"/>
          <w:szCs w:val="24"/>
        </w:rPr>
        <w:t>)</w:t>
      </w:r>
      <w:r w:rsidRPr="00DF0E98">
        <w:rPr>
          <w:rFonts w:cs="Times New Roman"/>
          <w:sz w:val="24"/>
          <w:szCs w:val="24"/>
        </w:rPr>
        <w:t xml:space="preserve"> (Oct. 24, 2011) (“Duke ESP Proceeding”).  </w:t>
      </w:r>
    </w:p>
  </w:footnote>
  <w:footnote w:id="2">
    <w:p w:rsidR="00F60FAA" w:rsidRPr="00DF0E98" w:rsidRDefault="00F60FAA" w:rsidP="00C30CF1">
      <w:pPr>
        <w:pStyle w:val="FootnoteText"/>
        <w:rPr>
          <w:rFonts w:cs="Times New Roman"/>
          <w:sz w:val="24"/>
          <w:szCs w:val="24"/>
        </w:rPr>
      </w:pPr>
      <w:r w:rsidRPr="00DF0E98">
        <w:rPr>
          <w:rStyle w:val="FootnoteReference"/>
          <w:rFonts w:cs="Times New Roman"/>
          <w:sz w:val="24"/>
          <w:szCs w:val="24"/>
          <w:vertAlign w:val="baseline"/>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sz w:val="24"/>
          <w:szCs w:val="24"/>
        </w:rPr>
        <w:t>Application at ¶2.</w:t>
      </w:r>
      <w:proofErr w:type="gramEnd"/>
    </w:p>
  </w:footnote>
  <w:footnote w:id="3">
    <w:p w:rsidR="00F60FAA" w:rsidRPr="00DF0E98" w:rsidRDefault="00F60FAA" w:rsidP="00C30CF1">
      <w:pPr>
        <w:pStyle w:val="FootnoteText"/>
        <w:rPr>
          <w:rFonts w:cs="Times New Roman"/>
          <w:sz w:val="24"/>
          <w:szCs w:val="24"/>
        </w:rPr>
      </w:pPr>
      <w:r w:rsidRPr="00DF0E98">
        <w:rPr>
          <w:rStyle w:val="FootnoteReference"/>
          <w:rFonts w:cs="Times New Roman"/>
          <w:sz w:val="24"/>
          <w:szCs w:val="24"/>
          <w:vertAlign w:val="baseline"/>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sz w:val="24"/>
          <w:szCs w:val="24"/>
        </w:rPr>
        <w:t>Id</w:t>
      </w:r>
      <w:r w:rsidRPr="00DF0E98">
        <w:rPr>
          <w:rFonts w:cs="Times New Roman"/>
          <w:sz w:val="24"/>
          <w:szCs w:val="24"/>
        </w:rPr>
        <w:t>. at ¶17.</w:t>
      </w:r>
      <w:proofErr w:type="gramEnd"/>
    </w:p>
  </w:footnote>
  <w:footnote w:id="4">
    <w:p w:rsidR="00F60FAA" w:rsidRPr="00DF0E98" w:rsidRDefault="00F60FAA" w:rsidP="00263A62">
      <w:pPr>
        <w:pStyle w:val="FootnoteText"/>
        <w:rPr>
          <w:rFonts w:cs="Times New Roman"/>
          <w:sz w:val="24"/>
          <w:szCs w:val="24"/>
        </w:rPr>
      </w:pPr>
      <w:r w:rsidRPr="00DF0E98">
        <w:rPr>
          <w:rStyle w:val="FootnoteReference"/>
          <w:rFonts w:cs="Times New Roman"/>
          <w:sz w:val="24"/>
          <w:szCs w:val="24"/>
          <w:vertAlign w:val="baseline"/>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sz w:val="24"/>
          <w:szCs w:val="24"/>
        </w:rPr>
        <w:t>Id</w:t>
      </w:r>
      <w:r w:rsidRPr="00DF0E98">
        <w:rPr>
          <w:rFonts w:cs="Times New Roman"/>
          <w:sz w:val="24"/>
          <w:szCs w:val="24"/>
        </w:rPr>
        <w:t>. at ¶12.</w:t>
      </w:r>
      <w:proofErr w:type="gramEnd"/>
    </w:p>
  </w:footnote>
  <w:footnote w:id="5">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Duke ESP Proceeding</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Application</w:t>
      </w:r>
      <w:r w:rsidR="00DF0E98">
        <w:rPr>
          <w:rFonts w:cs="Times New Roman"/>
          <w:sz w:val="24"/>
          <w:szCs w:val="24"/>
        </w:rPr>
        <w:t>)</w:t>
      </w:r>
      <w:r w:rsidRPr="00DF0E98">
        <w:rPr>
          <w:rFonts w:cs="Times New Roman"/>
          <w:sz w:val="24"/>
          <w:szCs w:val="24"/>
        </w:rPr>
        <w:t xml:space="preserve"> (June 20, 2011).</w:t>
      </w:r>
      <w:r w:rsidRPr="00DF0E98">
        <w:rPr>
          <w:rFonts w:cs="Times New Roman"/>
          <w:color w:val="000000"/>
          <w:sz w:val="24"/>
          <w:szCs w:val="24"/>
        </w:rPr>
        <w:t xml:space="preserve"> </w:t>
      </w:r>
    </w:p>
  </w:footnote>
  <w:footnote w:id="6">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color w:val="000000"/>
          <w:sz w:val="24"/>
          <w:szCs w:val="24"/>
        </w:rPr>
        <w:t>Id</w:t>
      </w:r>
      <w:r w:rsidRPr="00DF0E98">
        <w:rPr>
          <w:rFonts w:cs="Times New Roman"/>
          <w:color w:val="000000"/>
          <w:sz w:val="24"/>
          <w:szCs w:val="24"/>
        </w:rPr>
        <w:t>. at 26; Volume 1 at 10.</w:t>
      </w:r>
      <w:proofErr w:type="gramEnd"/>
    </w:p>
  </w:footnote>
  <w:footnote w:id="7">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color w:val="000000"/>
          <w:sz w:val="24"/>
          <w:szCs w:val="24"/>
        </w:rPr>
        <w:t>Id</w:t>
      </w:r>
      <w:r w:rsidRPr="00DF0E98">
        <w:rPr>
          <w:rFonts w:cs="Times New Roman"/>
          <w:color w:val="000000"/>
          <w:sz w:val="24"/>
          <w:szCs w:val="24"/>
        </w:rPr>
        <w:t xml:space="preserve">. at 25-26. </w:t>
      </w:r>
    </w:p>
  </w:footnote>
  <w:footnote w:id="8">
    <w:p w:rsidR="00F60FAA" w:rsidRPr="00DF0E98" w:rsidRDefault="00F60FAA" w:rsidP="00263A62">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color w:val="000000"/>
          <w:sz w:val="24"/>
          <w:szCs w:val="24"/>
        </w:rPr>
        <w:t>Duke ESP Proceeding</w:t>
      </w:r>
      <w:r w:rsidRPr="00DF0E98">
        <w:rPr>
          <w:rFonts w:cs="Times New Roman"/>
          <w:color w:val="000000"/>
          <w:sz w:val="24"/>
          <w:szCs w:val="24"/>
        </w:rPr>
        <w:t xml:space="preserve"> </w:t>
      </w:r>
      <w:r w:rsidR="00DF0E98">
        <w:rPr>
          <w:rFonts w:cs="Times New Roman"/>
          <w:color w:val="000000"/>
          <w:sz w:val="24"/>
          <w:szCs w:val="24"/>
        </w:rPr>
        <w:t>(</w:t>
      </w:r>
      <w:r w:rsidRPr="00DF0E98">
        <w:rPr>
          <w:rFonts w:cs="Times New Roman"/>
          <w:color w:val="000000"/>
          <w:sz w:val="24"/>
          <w:szCs w:val="24"/>
        </w:rPr>
        <w:t>Direct Testimony of Keith Trent at 5-6</w:t>
      </w:r>
      <w:r w:rsidR="00DF0E98">
        <w:rPr>
          <w:rFonts w:cs="Times New Roman"/>
          <w:color w:val="000000"/>
          <w:sz w:val="24"/>
          <w:szCs w:val="24"/>
        </w:rPr>
        <w:t>)</w:t>
      </w:r>
      <w:r w:rsidRPr="00DF0E98">
        <w:rPr>
          <w:rFonts w:cs="Times New Roman"/>
          <w:color w:val="000000"/>
          <w:sz w:val="24"/>
          <w:szCs w:val="24"/>
        </w:rPr>
        <w:t xml:space="preserve"> (June 20, 2011).</w:t>
      </w:r>
    </w:p>
  </w:footnote>
  <w:footnote w:id="9">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t>AEP Ohio and Dominion Retail, Inc. took no position with regard to the Stipulation.  Eagle Energy LLC also did not sign the Stipulation.</w:t>
      </w:r>
    </w:p>
  </w:footnote>
  <w:footnote w:id="10">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color w:val="000000"/>
          <w:sz w:val="24"/>
          <w:szCs w:val="24"/>
        </w:rPr>
        <w:t>Duke ESP Proceeding</w:t>
      </w:r>
      <w:r w:rsidRPr="00DF0E98">
        <w:rPr>
          <w:rFonts w:cs="Times New Roman"/>
          <w:color w:val="000000"/>
          <w:sz w:val="24"/>
          <w:szCs w:val="24"/>
        </w:rPr>
        <w:t xml:space="preserve"> </w:t>
      </w:r>
      <w:r w:rsidR="00DF0E98">
        <w:rPr>
          <w:rFonts w:cs="Times New Roman"/>
          <w:color w:val="000000"/>
          <w:sz w:val="24"/>
          <w:szCs w:val="24"/>
        </w:rPr>
        <w:t>(</w:t>
      </w:r>
      <w:r w:rsidRPr="00DF0E98">
        <w:rPr>
          <w:rFonts w:cs="Times New Roman"/>
          <w:color w:val="000000"/>
          <w:sz w:val="24"/>
          <w:szCs w:val="24"/>
        </w:rPr>
        <w:t>Direct Testimony of Keith Trent at 6-7</w:t>
      </w:r>
      <w:r w:rsidR="00DF0E98">
        <w:rPr>
          <w:rFonts w:cs="Times New Roman"/>
          <w:color w:val="000000"/>
          <w:sz w:val="24"/>
          <w:szCs w:val="24"/>
        </w:rPr>
        <w:t>)</w:t>
      </w:r>
      <w:r w:rsidRPr="00DF0E98">
        <w:rPr>
          <w:rFonts w:cs="Times New Roman"/>
          <w:color w:val="000000"/>
          <w:sz w:val="24"/>
          <w:szCs w:val="24"/>
        </w:rPr>
        <w:t xml:space="preserve"> (June 20, 2011)</w:t>
      </w:r>
      <w:r w:rsidRPr="00DF0E98">
        <w:rPr>
          <w:rFonts w:cs="Times New Roman"/>
          <w:sz w:val="24"/>
          <w:szCs w:val="24"/>
        </w:rPr>
        <w:t>.</w:t>
      </w:r>
    </w:p>
  </w:footnote>
  <w:footnote w:id="11">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Duke ESP Proceeding</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 xml:space="preserve">Supplemental Testimony of Witness </w:t>
      </w:r>
      <w:proofErr w:type="spellStart"/>
      <w:r w:rsidRPr="00DF0E98">
        <w:rPr>
          <w:rFonts w:cs="Times New Roman"/>
          <w:sz w:val="24"/>
          <w:szCs w:val="24"/>
        </w:rPr>
        <w:t>Janson</w:t>
      </w:r>
      <w:proofErr w:type="spellEnd"/>
      <w:r w:rsidRPr="00DF0E98">
        <w:rPr>
          <w:rFonts w:cs="Times New Roman"/>
          <w:sz w:val="24"/>
          <w:szCs w:val="24"/>
        </w:rPr>
        <w:t xml:space="preserve"> at 4-5</w:t>
      </w:r>
      <w:r w:rsidR="00DF0E98">
        <w:rPr>
          <w:rFonts w:cs="Times New Roman"/>
          <w:sz w:val="24"/>
          <w:szCs w:val="24"/>
        </w:rPr>
        <w:t>)</w:t>
      </w:r>
      <w:r w:rsidRPr="00DF0E98">
        <w:rPr>
          <w:rFonts w:cs="Times New Roman"/>
          <w:sz w:val="24"/>
          <w:szCs w:val="24"/>
        </w:rPr>
        <w:t xml:space="preserve"> (Oct. 28, 2011).</w:t>
      </w:r>
    </w:p>
  </w:footnote>
  <w:footnote w:id="12">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sz w:val="24"/>
          <w:szCs w:val="24"/>
        </w:rPr>
        <w:t xml:space="preserve">Id. </w:t>
      </w:r>
      <w:r w:rsidRPr="00DF0E98">
        <w:rPr>
          <w:rFonts w:cs="Times New Roman"/>
          <w:sz w:val="24"/>
          <w:szCs w:val="24"/>
        </w:rPr>
        <w:t>at 14.</w:t>
      </w:r>
      <w:proofErr w:type="gramEnd"/>
    </w:p>
  </w:footnote>
  <w:footnote w:id="13">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Duke ESP Proceeding</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Opinion and Order at 47-48</w:t>
      </w:r>
      <w:r w:rsidR="00DF0E98">
        <w:rPr>
          <w:rFonts w:cs="Times New Roman"/>
          <w:sz w:val="24"/>
          <w:szCs w:val="24"/>
        </w:rPr>
        <w:t>)</w:t>
      </w:r>
      <w:r w:rsidRPr="00DF0E98">
        <w:rPr>
          <w:rFonts w:cs="Times New Roman"/>
          <w:sz w:val="24"/>
          <w:szCs w:val="24"/>
        </w:rPr>
        <w:t xml:space="preserve"> (Nov. 22, 2011).</w:t>
      </w:r>
    </w:p>
  </w:footnote>
  <w:footnote w:id="14">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ab/>
        <w:t xml:space="preserve"> </w:t>
      </w:r>
      <w:r w:rsidRPr="00DF0E98">
        <w:rPr>
          <w:rFonts w:cs="Times New Roman"/>
          <w:sz w:val="24"/>
          <w:szCs w:val="24"/>
        </w:rPr>
        <w:tab/>
        <w:t xml:space="preserve">See, </w:t>
      </w:r>
      <w:r w:rsidRPr="00DF0E98">
        <w:rPr>
          <w:rFonts w:cs="Times New Roman"/>
          <w:i/>
          <w:sz w:val="24"/>
          <w:szCs w:val="24"/>
        </w:rPr>
        <w:t xml:space="preserve">In the Matter of the Procurement of Standard Service Offer Generation for Customers of Duke Energy Ohio, Inc., </w:t>
      </w:r>
      <w:r w:rsidRPr="00DF0E98">
        <w:rPr>
          <w:rFonts w:cs="Times New Roman"/>
          <w:sz w:val="24"/>
          <w:szCs w:val="24"/>
        </w:rPr>
        <w:t>Case No. 11-6000-EL-UNC.</w:t>
      </w:r>
    </w:p>
  </w:footnote>
  <w:footnote w:id="15">
    <w:p w:rsidR="00F60FAA" w:rsidRPr="00DF0E98" w:rsidRDefault="00F60FAA" w:rsidP="00C30CF1">
      <w:pPr>
        <w:pStyle w:val="FootnoteText"/>
        <w:rPr>
          <w:rFonts w:cs="Times New Roman"/>
          <w:i/>
          <w:iCs/>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iCs/>
          <w:sz w:val="24"/>
          <w:szCs w:val="24"/>
        </w:rPr>
        <w:t xml:space="preserve">In the Matter of the Application of Duke Energy Ohio, Inc. for Approval of the Establishment of Rider BTR and Rider RTO and Associated Tariffs, </w:t>
      </w:r>
      <w:r w:rsidRPr="00DF0E98">
        <w:rPr>
          <w:rFonts w:cs="Times New Roman"/>
          <w:sz w:val="24"/>
          <w:szCs w:val="24"/>
        </w:rPr>
        <w:t xml:space="preserve">Case Nos. 11-2641, et al. </w:t>
      </w:r>
      <w:r w:rsidR="00DF0E98">
        <w:rPr>
          <w:rFonts w:cs="Times New Roman"/>
          <w:sz w:val="24"/>
          <w:szCs w:val="24"/>
        </w:rPr>
        <w:t>(</w:t>
      </w:r>
      <w:r w:rsidRPr="00DF0E98">
        <w:rPr>
          <w:rFonts w:cs="Times New Roman"/>
          <w:sz w:val="24"/>
          <w:szCs w:val="24"/>
        </w:rPr>
        <w:t>Stipulation at</w:t>
      </w:r>
      <w:r w:rsidRPr="00DF0E98">
        <w:rPr>
          <w:rFonts w:cs="Times New Roman"/>
          <w:i/>
          <w:iCs/>
          <w:sz w:val="24"/>
          <w:szCs w:val="24"/>
        </w:rPr>
        <w:t xml:space="preserve"> </w:t>
      </w:r>
      <w:r w:rsidRPr="00DF0E98">
        <w:rPr>
          <w:rFonts w:cs="Times New Roman"/>
          <w:sz w:val="24"/>
          <w:szCs w:val="24"/>
        </w:rPr>
        <w:t>¶20</w:t>
      </w:r>
      <w:r w:rsidR="00DF0E98">
        <w:rPr>
          <w:rFonts w:cs="Times New Roman"/>
          <w:sz w:val="24"/>
          <w:szCs w:val="24"/>
        </w:rPr>
        <w:t>)</w:t>
      </w:r>
      <w:r w:rsidRPr="00DF0E98">
        <w:rPr>
          <w:rFonts w:cs="Times New Roman"/>
          <w:sz w:val="24"/>
          <w:szCs w:val="24"/>
        </w:rPr>
        <w:t xml:space="preserve"> (Apr. 26, 2012).</w:t>
      </w:r>
    </w:p>
  </w:footnote>
  <w:footnote w:id="16">
    <w:p w:rsidR="00F60FAA" w:rsidRPr="00DF0E98" w:rsidRDefault="00F60FAA" w:rsidP="00C30CF1">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ab/>
        <w:t xml:space="preserve"> </w:t>
      </w:r>
      <w:r w:rsidRPr="00DF0E98">
        <w:rPr>
          <w:rFonts w:cs="Times New Roman"/>
          <w:sz w:val="24"/>
          <w:szCs w:val="24"/>
        </w:rPr>
        <w:tab/>
      </w:r>
      <w:r w:rsidRPr="00DF0E98">
        <w:rPr>
          <w:rFonts w:cs="Times New Roman"/>
          <w:i/>
          <w:sz w:val="24"/>
          <w:szCs w:val="24"/>
        </w:rPr>
        <w:t>Id</w:t>
      </w:r>
      <w:r w:rsidR="00DF0E98">
        <w:rPr>
          <w:rFonts w:cs="Times New Roman"/>
          <w:sz w:val="24"/>
          <w:szCs w:val="24"/>
        </w:rPr>
        <w:t>. (</w:t>
      </w:r>
      <w:r w:rsidRPr="00DF0E98">
        <w:rPr>
          <w:rFonts w:cs="Times New Roman"/>
          <w:sz w:val="24"/>
          <w:szCs w:val="24"/>
        </w:rPr>
        <w:t>Opinion and Order at 14-16</w:t>
      </w:r>
      <w:r w:rsidR="00DF0E98">
        <w:rPr>
          <w:rFonts w:cs="Times New Roman"/>
          <w:sz w:val="24"/>
          <w:szCs w:val="24"/>
        </w:rPr>
        <w:t>)</w:t>
      </w:r>
      <w:r w:rsidRPr="00DF0E98">
        <w:rPr>
          <w:rFonts w:cs="Times New Roman"/>
          <w:sz w:val="24"/>
          <w:szCs w:val="24"/>
        </w:rPr>
        <w:t xml:space="preserve"> (May 25, 2011).</w:t>
      </w:r>
    </w:p>
  </w:footnote>
  <w:footnote w:id="17">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iCs/>
          <w:sz w:val="24"/>
          <w:szCs w:val="24"/>
        </w:rPr>
        <w:t>American Electric Power Service Corporation</w:t>
      </w:r>
      <w:r w:rsidRPr="00DF0E98">
        <w:rPr>
          <w:rFonts w:cs="Times New Roman"/>
          <w:sz w:val="24"/>
          <w:szCs w:val="24"/>
        </w:rPr>
        <w:t xml:space="preserve">, Docket No. ER11-2183, </w:t>
      </w:r>
      <w:r w:rsidR="00DF0E98">
        <w:rPr>
          <w:rFonts w:cs="Times New Roman"/>
          <w:sz w:val="24"/>
          <w:szCs w:val="24"/>
        </w:rPr>
        <w:t>(</w:t>
      </w:r>
      <w:r w:rsidRPr="00DF0E98">
        <w:rPr>
          <w:rFonts w:cs="Times New Roman"/>
          <w:sz w:val="24"/>
          <w:szCs w:val="24"/>
        </w:rPr>
        <w:t>Application</w:t>
      </w:r>
      <w:r w:rsidR="00DF0E98">
        <w:rPr>
          <w:rFonts w:cs="Times New Roman"/>
          <w:sz w:val="24"/>
          <w:szCs w:val="24"/>
        </w:rPr>
        <w:t>)</w:t>
      </w:r>
      <w:r w:rsidRPr="00DF0E98">
        <w:rPr>
          <w:rFonts w:cs="Times New Roman"/>
          <w:sz w:val="24"/>
          <w:szCs w:val="24"/>
        </w:rPr>
        <w:t xml:space="preserve"> (Nov. 24, 2010).</w:t>
      </w:r>
    </w:p>
  </w:footnote>
  <w:footnote w:id="18">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Id</w:t>
      </w:r>
      <w:r w:rsidRPr="00DF0E98">
        <w:rPr>
          <w:rFonts w:cs="Times New Roman"/>
          <w:sz w:val="24"/>
          <w:szCs w:val="24"/>
        </w:rPr>
        <w:t>., Duke Motion to Intervene (Dec. 10, 2010).</w:t>
      </w:r>
    </w:p>
  </w:footnote>
  <w:footnote w:id="19">
    <w:p w:rsidR="00F60FAA" w:rsidRPr="00DF0E98" w:rsidRDefault="00F60FAA" w:rsidP="00CB5946">
      <w:pPr>
        <w:pStyle w:val="FootnoteText"/>
        <w:rPr>
          <w:rFonts w:cs="Times New Roman"/>
          <w:i/>
          <w:iCs/>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iCs/>
          <w:sz w:val="24"/>
          <w:szCs w:val="24"/>
        </w:rPr>
        <w:t>In the Matter of the Commission Review of the Capacity Charges of Ohio Power Company and Columbus Southern Power Company</w:t>
      </w:r>
      <w:r w:rsidRPr="00DF0E98">
        <w:rPr>
          <w:rFonts w:cs="Times New Roman"/>
          <w:sz w:val="24"/>
          <w:szCs w:val="24"/>
        </w:rPr>
        <w:t>, Case No. 10-2929-EL-UNC, Entry (Dec. 8, 2010).</w:t>
      </w:r>
    </w:p>
  </w:footnote>
  <w:footnote w:id="20">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Id</w:t>
      </w:r>
      <w:r w:rsidRPr="00DF0E98">
        <w:rPr>
          <w:rFonts w:cs="Times New Roman"/>
          <w:sz w:val="24"/>
          <w:szCs w:val="24"/>
        </w:rPr>
        <w:t>., Duke Motion to Intervene (Jan. 11, 2011).</w:t>
      </w:r>
    </w:p>
  </w:footnote>
  <w:footnote w:id="21">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iCs/>
          <w:sz w:val="24"/>
          <w:szCs w:val="24"/>
        </w:rPr>
        <w:t>American Electric Power Service Corporation</w:t>
      </w:r>
      <w:r w:rsidRPr="00DF0E98">
        <w:rPr>
          <w:rFonts w:cs="Times New Roman"/>
          <w:sz w:val="24"/>
          <w:szCs w:val="24"/>
        </w:rPr>
        <w:t xml:space="preserve">, Docket No. </w:t>
      </w:r>
      <w:proofErr w:type="gramStart"/>
      <w:r w:rsidRPr="00DF0E98">
        <w:rPr>
          <w:rFonts w:cs="Times New Roman"/>
          <w:sz w:val="24"/>
          <w:szCs w:val="24"/>
        </w:rPr>
        <w:t>ER11-2183,</w:t>
      </w:r>
      <w:r w:rsidR="00DF0E98">
        <w:rPr>
          <w:rFonts w:cs="Times New Roman"/>
          <w:sz w:val="24"/>
          <w:szCs w:val="24"/>
        </w:rPr>
        <w:t xml:space="preserve"> </w:t>
      </w:r>
      <w:r w:rsidRPr="00DF0E98">
        <w:rPr>
          <w:rFonts w:cs="Times New Roman"/>
          <w:sz w:val="24"/>
          <w:szCs w:val="24"/>
        </w:rPr>
        <w:t>Order Rejecting Formula Rate Proposal, 134 FERC ¶61,039 (2011).</w:t>
      </w:r>
      <w:proofErr w:type="gramEnd"/>
    </w:p>
  </w:footnote>
  <w:footnote w:id="22">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i/>
          <w:sz w:val="24"/>
          <w:szCs w:val="24"/>
        </w:rPr>
        <w:tab/>
      </w:r>
      <w:r w:rsidRPr="00DF0E98">
        <w:rPr>
          <w:rFonts w:cs="Times New Roman"/>
          <w:i/>
          <w:sz w:val="24"/>
          <w:szCs w:val="24"/>
        </w:rPr>
        <w:tab/>
        <w:t>Id</w:t>
      </w:r>
      <w:r w:rsidRPr="00DF0E98">
        <w:rPr>
          <w:rFonts w:cs="Times New Roman"/>
          <w:sz w:val="24"/>
          <w:szCs w:val="24"/>
        </w:rPr>
        <w:t>., Request for Rehearing of AEPSC (Feb. 22, 2011).</w:t>
      </w:r>
    </w:p>
  </w:footnote>
  <w:footnote w:id="23">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American Electric Power Service Corporation v. PJM Interconnection,</w:t>
      </w:r>
      <w:r w:rsidR="00DF0E98">
        <w:rPr>
          <w:rFonts w:cs="Times New Roman"/>
          <w:sz w:val="24"/>
          <w:szCs w:val="24"/>
        </w:rPr>
        <w:t xml:space="preserve"> Docket No. EL-32</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Com</w:t>
      </w:r>
      <w:r w:rsidRPr="00DF0E98">
        <w:rPr>
          <w:rFonts w:cs="Times New Roman"/>
          <w:sz w:val="24"/>
          <w:szCs w:val="24"/>
        </w:rPr>
        <w:softHyphen/>
        <w:t>plaint</w:t>
      </w:r>
      <w:r w:rsidR="00DF0E98">
        <w:rPr>
          <w:rFonts w:cs="Times New Roman"/>
          <w:sz w:val="24"/>
          <w:szCs w:val="24"/>
        </w:rPr>
        <w:t>)</w:t>
      </w:r>
      <w:r w:rsidRPr="00DF0E98">
        <w:rPr>
          <w:rFonts w:cs="Times New Roman"/>
          <w:sz w:val="24"/>
          <w:szCs w:val="24"/>
        </w:rPr>
        <w:t xml:space="preserve"> (Apr. 4, 2011). </w:t>
      </w:r>
    </w:p>
  </w:footnote>
  <w:footnote w:id="24">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In the Matter of the Commission Review of the Capacity Charges of Ohio Power Company and Columbus Southern Power Company,</w:t>
      </w:r>
      <w:r w:rsidRPr="00DF0E98">
        <w:rPr>
          <w:rFonts w:cs="Times New Roman"/>
          <w:sz w:val="24"/>
          <w:szCs w:val="24"/>
        </w:rPr>
        <w:t xml:space="preserve"> Case No. 10-2929-EL-UNC, </w:t>
      </w:r>
      <w:r w:rsidR="00DF0E98">
        <w:rPr>
          <w:rFonts w:cs="Times New Roman"/>
          <w:sz w:val="24"/>
          <w:szCs w:val="24"/>
        </w:rPr>
        <w:t>(</w:t>
      </w:r>
      <w:r w:rsidRPr="00DF0E98">
        <w:rPr>
          <w:rFonts w:cs="Times New Roman"/>
          <w:sz w:val="24"/>
          <w:szCs w:val="24"/>
        </w:rPr>
        <w:t>Opinion and Order</w:t>
      </w:r>
      <w:r w:rsidR="00DF0E98">
        <w:rPr>
          <w:rFonts w:cs="Times New Roman"/>
          <w:sz w:val="24"/>
          <w:szCs w:val="24"/>
        </w:rPr>
        <w:t>)</w:t>
      </w:r>
      <w:r w:rsidRPr="00DF0E98">
        <w:rPr>
          <w:rFonts w:cs="Times New Roman"/>
          <w:sz w:val="24"/>
          <w:szCs w:val="24"/>
        </w:rPr>
        <w:t xml:space="preserve"> (July 2, 2012).</w:t>
      </w:r>
    </w:p>
  </w:footnote>
  <w:footnote w:id="25">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sz w:val="24"/>
          <w:szCs w:val="24"/>
        </w:rPr>
        <w:t>Id</w:t>
      </w:r>
      <w:r w:rsidRPr="00DF0E98">
        <w:rPr>
          <w:rFonts w:cs="Times New Roman"/>
          <w:sz w:val="24"/>
          <w:szCs w:val="24"/>
        </w:rPr>
        <w:t>. at 35.</w:t>
      </w:r>
      <w:proofErr w:type="gramEnd"/>
    </w:p>
  </w:footnote>
  <w:footnote w:id="26">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sz w:val="24"/>
          <w:szCs w:val="24"/>
        </w:rPr>
        <w:t>Id</w:t>
      </w:r>
      <w:r w:rsidRPr="00DF0E98">
        <w:rPr>
          <w:rFonts w:cs="Times New Roman"/>
          <w:sz w:val="24"/>
          <w:szCs w:val="24"/>
        </w:rPr>
        <w:t>. at 23.</w:t>
      </w:r>
      <w:proofErr w:type="gramEnd"/>
    </w:p>
  </w:footnote>
  <w:footnote w:id="27">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Id</w:t>
      </w:r>
      <w:r w:rsidRPr="00DF0E98">
        <w:rPr>
          <w:rFonts w:cs="Times New Roman"/>
          <w:sz w:val="24"/>
          <w:szCs w:val="24"/>
        </w:rPr>
        <w:t xml:space="preserve">. at 23-24. </w:t>
      </w:r>
    </w:p>
  </w:footnote>
  <w:footnote w:id="28">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In the Matter of the Application of Columbus Southern Power Company and Ohio Power Com</w:t>
      </w:r>
      <w:r w:rsidRPr="00DF0E98">
        <w:rPr>
          <w:rFonts w:cs="Times New Roman"/>
          <w:i/>
          <w:sz w:val="24"/>
          <w:szCs w:val="24"/>
        </w:rPr>
        <w:softHyphen/>
        <w:t>pany for Authority to Establish a Standard Service Offer Pursuant to Section 4928.143, Revised Code, in the form of an Electric Security Plan,</w:t>
      </w:r>
      <w:r w:rsidR="00DF0E98">
        <w:rPr>
          <w:rFonts w:cs="Times New Roman"/>
          <w:sz w:val="24"/>
          <w:szCs w:val="24"/>
        </w:rPr>
        <w:t xml:space="preserve"> Case Nos. 11-346-EL-SSO, et al.</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Opinion and Order at 36</w:t>
      </w:r>
      <w:r w:rsidR="00DF0E98">
        <w:rPr>
          <w:rFonts w:cs="Times New Roman"/>
          <w:sz w:val="24"/>
          <w:szCs w:val="24"/>
        </w:rPr>
        <w:t>)</w:t>
      </w:r>
      <w:r w:rsidRPr="00DF0E98">
        <w:rPr>
          <w:rFonts w:cs="Times New Roman"/>
          <w:sz w:val="24"/>
          <w:szCs w:val="24"/>
        </w:rPr>
        <w:t xml:space="preserve"> (Aug. 8, 2012).</w:t>
      </w:r>
    </w:p>
  </w:footnote>
  <w:footnote w:id="29">
    <w:p w:rsidR="00F60FAA" w:rsidRPr="00DF0E98" w:rsidRDefault="00F60FAA" w:rsidP="00263A62">
      <w:pPr>
        <w:pStyle w:val="FootnoteText"/>
        <w:rPr>
          <w:rFonts w:cs="Times New Roman"/>
          <w:i/>
          <w:iCs/>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In the Matter of the Application of Duke Energy Ohio, Inc. for Approval of the Establishment of Rider BTR and Rider RTO and Associated Tariffs,</w:t>
      </w:r>
      <w:r w:rsidRPr="00DF0E98">
        <w:rPr>
          <w:rFonts w:cs="Times New Roman"/>
          <w:sz w:val="24"/>
          <w:szCs w:val="24"/>
        </w:rPr>
        <w:t xml:space="preserve"> Case Nos. 11-2641, </w:t>
      </w:r>
      <w:r w:rsidRPr="00DF0E98">
        <w:rPr>
          <w:rFonts w:cs="Times New Roman"/>
          <w:i/>
          <w:sz w:val="24"/>
          <w:szCs w:val="24"/>
        </w:rPr>
        <w:t>et al.</w:t>
      </w:r>
    </w:p>
  </w:footnote>
  <w:footnote w:id="30">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t xml:space="preserve">See, e.g., </w:t>
      </w:r>
      <w:r w:rsidRPr="00DF0E98">
        <w:rPr>
          <w:rFonts w:cs="Times New Roman"/>
          <w:i/>
          <w:sz w:val="24"/>
          <w:szCs w:val="24"/>
        </w:rPr>
        <w:t>In the Matter of the 1995 Electric Long Term Forecast Report of the Cincinnati Gas &amp; Electric Company,</w:t>
      </w:r>
      <w:r w:rsidRPr="00DF0E98">
        <w:rPr>
          <w:rFonts w:cs="Times New Roman"/>
          <w:sz w:val="24"/>
          <w:szCs w:val="24"/>
        </w:rPr>
        <w:t xml:space="preserve"> Case Nos. 95-203-EL-FOR, </w:t>
      </w:r>
      <w:r w:rsidRPr="00DF0E98">
        <w:rPr>
          <w:rFonts w:cs="Times New Roman"/>
          <w:i/>
          <w:sz w:val="24"/>
          <w:szCs w:val="24"/>
        </w:rPr>
        <w:t>et al.</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Opinion and Order at 49-50</w:t>
      </w:r>
      <w:r w:rsidR="00DF0E98">
        <w:rPr>
          <w:rFonts w:cs="Times New Roman"/>
          <w:sz w:val="24"/>
          <w:szCs w:val="24"/>
        </w:rPr>
        <w:t>)</w:t>
      </w:r>
      <w:r w:rsidRPr="00DF0E98">
        <w:rPr>
          <w:rFonts w:cs="Times New Roman"/>
          <w:sz w:val="24"/>
          <w:szCs w:val="24"/>
        </w:rPr>
        <w:t xml:space="preserve"> (Dec. 19, 1996).</w:t>
      </w:r>
    </w:p>
  </w:footnote>
  <w:footnote w:id="31">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Duke ESP Proceeding,</w:t>
      </w:r>
      <w:r w:rsidRPr="00DF0E98">
        <w:rPr>
          <w:rFonts w:cs="Times New Roman"/>
          <w:sz w:val="24"/>
          <w:szCs w:val="24"/>
        </w:rPr>
        <w:t xml:space="preserve"> Stipulation at 41.</w:t>
      </w:r>
    </w:p>
  </w:footnote>
  <w:footnote w:id="32">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Id</w:t>
      </w:r>
      <w:r w:rsidRPr="00DF0E98">
        <w:rPr>
          <w:rFonts w:cs="Times New Roman"/>
          <w:sz w:val="24"/>
          <w:szCs w:val="24"/>
        </w:rPr>
        <w:t>.</w:t>
      </w:r>
    </w:p>
  </w:footnote>
  <w:footnote w:id="33">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 xml:space="preserve">In the Matter of the Report of Duke Energy Ohio, Inc. Concerning its Energy Efficiency and Peak Demand Reduction Programs and Portfolio Plan, </w:t>
      </w:r>
      <w:r w:rsidR="00DF0E98">
        <w:rPr>
          <w:rFonts w:cs="Times New Roman"/>
          <w:sz w:val="24"/>
          <w:szCs w:val="24"/>
        </w:rPr>
        <w:t>Case No. 09-1999-EL-FOR</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Opinion and Order at 15</w:t>
      </w:r>
      <w:r w:rsidR="00DF0E98">
        <w:rPr>
          <w:rFonts w:cs="Times New Roman"/>
          <w:sz w:val="24"/>
          <w:szCs w:val="24"/>
        </w:rPr>
        <w:t>)</w:t>
      </w:r>
      <w:r w:rsidRPr="00DF0E98">
        <w:rPr>
          <w:rFonts w:cs="Times New Roman"/>
          <w:sz w:val="24"/>
          <w:szCs w:val="24"/>
        </w:rPr>
        <w:t xml:space="preserve"> (Dec. 15, 2010); </w:t>
      </w:r>
      <w:r w:rsidRPr="00DF0E98">
        <w:rPr>
          <w:rFonts w:cs="Times New Roman"/>
          <w:i/>
          <w:sz w:val="24"/>
          <w:szCs w:val="24"/>
        </w:rPr>
        <w:t>Id</w:t>
      </w:r>
      <w:r w:rsidR="00DF0E98">
        <w:rPr>
          <w:rFonts w:cs="Times New Roman"/>
          <w:sz w:val="24"/>
          <w:szCs w:val="24"/>
        </w:rPr>
        <w:t>.</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Entry on Rehearing at ¶9</w:t>
      </w:r>
      <w:r w:rsidR="00DF0E98">
        <w:rPr>
          <w:rFonts w:cs="Times New Roman"/>
          <w:sz w:val="24"/>
          <w:szCs w:val="24"/>
        </w:rPr>
        <w:t>)</w:t>
      </w:r>
      <w:r w:rsidRPr="00DF0E98">
        <w:rPr>
          <w:rFonts w:cs="Times New Roman"/>
          <w:sz w:val="24"/>
          <w:szCs w:val="24"/>
        </w:rPr>
        <w:t xml:space="preserve"> (Feb. 9, 2011).</w:t>
      </w:r>
    </w:p>
  </w:footnote>
  <w:footnote w:id="34">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In the Matter of the Application of The Cincinnati Gas &amp; Electric Company for an Increase in Its Rates for Gas Service to All Jurisdictional Customers,</w:t>
      </w:r>
      <w:r w:rsidR="00DF0E98">
        <w:rPr>
          <w:rFonts w:cs="Times New Roman"/>
          <w:sz w:val="24"/>
          <w:szCs w:val="24"/>
        </w:rPr>
        <w:t xml:space="preserve"> Case No. 95-656-GA-AIR</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Opinion and Order at 33-38</w:t>
      </w:r>
      <w:r w:rsidR="00DF0E98">
        <w:rPr>
          <w:rFonts w:cs="Times New Roman"/>
          <w:sz w:val="24"/>
          <w:szCs w:val="24"/>
        </w:rPr>
        <w:t>)</w:t>
      </w:r>
      <w:r w:rsidRPr="00DF0E98">
        <w:rPr>
          <w:rFonts w:cs="Times New Roman"/>
          <w:sz w:val="24"/>
          <w:szCs w:val="24"/>
        </w:rPr>
        <w:t xml:space="preserve"> (Dec. 12, 1996).</w:t>
      </w:r>
    </w:p>
  </w:footnote>
  <w:footnote w:id="35">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Id</w:t>
      </w:r>
      <w:r w:rsidRPr="00DF0E98">
        <w:rPr>
          <w:rFonts w:cs="Times New Roman"/>
          <w:sz w:val="24"/>
          <w:szCs w:val="24"/>
        </w:rPr>
        <w:t>. at 2-3.</w:t>
      </w:r>
    </w:p>
  </w:footnote>
  <w:footnote w:id="36">
    <w:p w:rsidR="00F60FAA" w:rsidRPr="00DF0E98" w:rsidRDefault="00F60FAA" w:rsidP="00CB5946">
      <w:pPr>
        <w:pStyle w:val="FootnoteText"/>
        <w:rPr>
          <w:rFonts w:cs="Times New Roman"/>
          <w:sz w:val="24"/>
          <w:szCs w:val="24"/>
        </w:rPr>
      </w:pPr>
      <w:r w:rsidRPr="00DF0E98">
        <w:rPr>
          <w:rStyle w:val="FootnoteReference"/>
          <w:rFonts w:cs="Times New Roman"/>
          <w:sz w:val="24"/>
          <w:szCs w:val="24"/>
          <w:vertAlign w:val="baseline"/>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t xml:space="preserve">See, </w:t>
      </w:r>
      <w:r w:rsidRPr="00DF0E98">
        <w:rPr>
          <w:rFonts w:cs="Times New Roman"/>
          <w:i/>
          <w:sz w:val="24"/>
          <w:szCs w:val="24"/>
        </w:rPr>
        <w:t>In the Matter of the Procurement of Standard Service Offer Generation for Customers of Duke Energy Ohio, Inc.,</w:t>
      </w:r>
      <w:r w:rsidRPr="00DF0E98">
        <w:rPr>
          <w:rFonts w:cs="Times New Roman"/>
          <w:sz w:val="24"/>
          <w:szCs w:val="24"/>
        </w:rPr>
        <w:t xml:space="preserve"> Case No. 11-6000-EL-UNC.</w:t>
      </w:r>
    </w:p>
  </w:footnote>
  <w:footnote w:id="37">
    <w:p w:rsidR="00F60FAA" w:rsidRPr="00DF0E98" w:rsidRDefault="00F60FAA" w:rsidP="00CB5946">
      <w:pPr>
        <w:pStyle w:val="FootnoteText"/>
        <w:rPr>
          <w:rFonts w:cs="Times New Roman"/>
          <w:sz w:val="24"/>
          <w:szCs w:val="24"/>
        </w:rPr>
      </w:pPr>
      <w:r w:rsidRPr="00DF0E98">
        <w:rPr>
          <w:rStyle w:val="FootnoteReference"/>
          <w:rFonts w:cs="Times New Roman"/>
          <w:sz w:val="24"/>
          <w:szCs w:val="24"/>
          <w:vertAlign w:val="baseline"/>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sz w:val="24"/>
          <w:szCs w:val="24"/>
        </w:rPr>
        <w:t>Ohio Consumers’ Counsel v. Public Util. Comm.</w:t>
      </w:r>
      <w:r w:rsidRPr="00DF0E98">
        <w:rPr>
          <w:rFonts w:cs="Times New Roman"/>
          <w:sz w:val="24"/>
          <w:szCs w:val="24"/>
        </w:rPr>
        <w:t xml:space="preserve"> (1984), 10 Ohio St.3d 49; 461 N.E.2d 303.</w:t>
      </w:r>
      <w:proofErr w:type="gramEnd"/>
    </w:p>
  </w:footnote>
  <w:footnote w:id="38">
    <w:p w:rsidR="00F60FAA" w:rsidRPr="00DF0E98" w:rsidRDefault="00F60FAA" w:rsidP="00CB5946">
      <w:pPr>
        <w:pStyle w:val="FootnoteText"/>
        <w:rPr>
          <w:rFonts w:cs="Times New Roman"/>
          <w:sz w:val="24"/>
          <w:szCs w:val="24"/>
        </w:rPr>
      </w:pPr>
      <w:r w:rsidRPr="00DF0E98">
        <w:rPr>
          <w:rStyle w:val="FootnoteReference"/>
          <w:rFonts w:cs="Times New Roman"/>
          <w:sz w:val="24"/>
          <w:szCs w:val="24"/>
          <w:vertAlign w:val="baseline"/>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sz w:val="24"/>
          <w:szCs w:val="24"/>
        </w:rPr>
        <w:t>R.C. 4903.10.</w:t>
      </w:r>
      <w:proofErr w:type="gramEnd"/>
    </w:p>
  </w:footnote>
  <w:footnote w:id="39">
    <w:p w:rsidR="00F60FAA" w:rsidRPr="00DF0E98" w:rsidRDefault="00F60FAA" w:rsidP="00CB5946">
      <w:pPr>
        <w:pStyle w:val="FootnoteText"/>
        <w:rPr>
          <w:rFonts w:cs="Times New Roman"/>
          <w:sz w:val="24"/>
          <w:szCs w:val="24"/>
        </w:rPr>
      </w:pPr>
      <w:r w:rsidRPr="00DF0E98">
        <w:rPr>
          <w:rStyle w:val="FootnoteReference"/>
          <w:rFonts w:cs="Times New Roman"/>
          <w:sz w:val="24"/>
          <w:szCs w:val="24"/>
          <w:vertAlign w:val="baseline"/>
        </w:rPr>
        <w:footnoteRef/>
      </w:r>
      <w:r w:rsidRPr="00DF0E98">
        <w:rPr>
          <w:rFonts w:cs="Times New Roman"/>
          <w:sz w:val="24"/>
          <w:szCs w:val="24"/>
        </w:rPr>
        <w:tab/>
      </w:r>
      <w:r w:rsidRPr="00DF0E98">
        <w:rPr>
          <w:rFonts w:cs="Times New Roman"/>
          <w:sz w:val="24"/>
          <w:szCs w:val="24"/>
        </w:rPr>
        <w:tab/>
      </w:r>
      <w:r w:rsidRPr="00DF0E98">
        <w:rPr>
          <w:rFonts w:cs="Times New Roman"/>
          <w:i/>
          <w:sz w:val="24"/>
          <w:szCs w:val="24"/>
        </w:rPr>
        <w:t>Id</w:t>
      </w:r>
      <w:r w:rsidRPr="00DF0E98">
        <w:rPr>
          <w:rFonts w:cs="Times New Roman"/>
          <w:sz w:val="24"/>
          <w:szCs w:val="24"/>
        </w:rPr>
        <w:t>.</w:t>
      </w:r>
    </w:p>
  </w:footnote>
  <w:footnote w:id="40">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t xml:space="preserve">See, e.g., </w:t>
      </w:r>
      <w:r w:rsidRPr="00DF0E98">
        <w:rPr>
          <w:rFonts w:cs="Times New Roman"/>
          <w:i/>
          <w:sz w:val="24"/>
          <w:szCs w:val="24"/>
        </w:rPr>
        <w:t>In the Matter of the Application of Ohio Edison Company, The Cleveland Electric Illum</w:t>
      </w:r>
      <w:r w:rsidRPr="00DF0E98">
        <w:rPr>
          <w:rFonts w:cs="Times New Roman"/>
          <w:i/>
          <w:sz w:val="24"/>
          <w:szCs w:val="24"/>
        </w:rPr>
        <w:softHyphen/>
        <w:t>inating Company and the Toledo Edison Company for Approval of a New Rider and Revision of an Existing Rider,</w:t>
      </w:r>
      <w:r w:rsidRPr="00DF0E98">
        <w:rPr>
          <w:rFonts w:cs="Times New Roman"/>
          <w:sz w:val="24"/>
          <w:szCs w:val="24"/>
        </w:rPr>
        <w:t xml:space="preserve"> Case No. 10-176-EL-ATA, </w:t>
      </w:r>
      <w:r w:rsidR="00DF0E98">
        <w:rPr>
          <w:rFonts w:cs="Times New Roman"/>
          <w:sz w:val="24"/>
          <w:szCs w:val="24"/>
        </w:rPr>
        <w:t>(</w:t>
      </w:r>
      <w:r w:rsidRPr="00DF0E98">
        <w:rPr>
          <w:rFonts w:cs="Times New Roman"/>
          <w:sz w:val="24"/>
          <w:szCs w:val="24"/>
        </w:rPr>
        <w:t>Entry at ¶ 15</w:t>
      </w:r>
      <w:r w:rsidR="00DF0E98">
        <w:rPr>
          <w:rFonts w:cs="Times New Roman"/>
          <w:sz w:val="24"/>
          <w:szCs w:val="24"/>
        </w:rPr>
        <w:t>)</w:t>
      </w:r>
      <w:r w:rsidRPr="00DF0E98">
        <w:rPr>
          <w:rFonts w:cs="Times New Roman"/>
          <w:sz w:val="24"/>
          <w:szCs w:val="24"/>
        </w:rPr>
        <w:t xml:space="preserve"> (Dec. 22, 2012).</w:t>
      </w:r>
    </w:p>
  </w:footnote>
  <w:footnote w:id="41">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sz w:val="24"/>
          <w:szCs w:val="24"/>
        </w:rPr>
        <w:t>Greer v. Pub.</w:t>
      </w:r>
      <w:proofErr w:type="gramEnd"/>
      <w:r w:rsidRPr="00DF0E98">
        <w:rPr>
          <w:rFonts w:cs="Times New Roman"/>
          <w:i/>
          <w:sz w:val="24"/>
          <w:szCs w:val="24"/>
        </w:rPr>
        <w:t xml:space="preserve"> Util. Comm.</w:t>
      </w:r>
      <w:r w:rsidRPr="00DF0E98">
        <w:rPr>
          <w:rFonts w:cs="Times New Roman"/>
          <w:sz w:val="24"/>
          <w:szCs w:val="24"/>
        </w:rPr>
        <w:t xml:space="preserve"> (1961), 172 Ohio St. 361, </w:t>
      </w:r>
      <w:proofErr w:type="gramStart"/>
      <w:r w:rsidRPr="00DF0E98">
        <w:rPr>
          <w:rFonts w:cs="Times New Roman"/>
          <w:sz w:val="24"/>
          <w:szCs w:val="24"/>
        </w:rPr>
        <w:t>176 N.E.2d 416</w:t>
      </w:r>
      <w:proofErr w:type="gramEnd"/>
      <w:r w:rsidRPr="00DF0E98">
        <w:rPr>
          <w:rFonts w:cs="Times New Roman"/>
          <w:sz w:val="24"/>
          <w:szCs w:val="24"/>
        </w:rPr>
        <w:t>.</w:t>
      </w:r>
    </w:p>
  </w:footnote>
  <w:footnote w:id="42">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008D1C10" w:rsidRPr="00DF0E98">
        <w:rPr>
          <w:rFonts w:cs="Times New Roman"/>
          <w:sz w:val="24"/>
          <w:szCs w:val="24"/>
        </w:rPr>
        <w:tab/>
      </w:r>
      <w:proofErr w:type="gramStart"/>
      <w:r w:rsidRPr="00DF0E98">
        <w:rPr>
          <w:rFonts w:cs="Times New Roman"/>
          <w:i/>
          <w:sz w:val="24"/>
          <w:szCs w:val="24"/>
        </w:rPr>
        <w:t xml:space="preserve">Grava v. Parkman </w:t>
      </w:r>
      <w:proofErr w:type="spellStart"/>
      <w:r w:rsidRPr="00DF0E98">
        <w:rPr>
          <w:rFonts w:cs="Times New Roman"/>
          <w:i/>
          <w:sz w:val="24"/>
          <w:szCs w:val="24"/>
        </w:rPr>
        <w:t>Tshp</w:t>
      </w:r>
      <w:proofErr w:type="spellEnd"/>
      <w:r w:rsidRPr="00DF0E98">
        <w:rPr>
          <w:rFonts w:cs="Times New Roman"/>
          <w:i/>
          <w:sz w:val="24"/>
          <w:szCs w:val="24"/>
        </w:rPr>
        <w:t>.</w:t>
      </w:r>
      <w:r w:rsidRPr="00DF0E98">
        <w:rPr>
          <w:rFonts w:cs="Times New Roman"/>
          <w:sz w:val="24"/>
          <w:szCs w:val="24"/>
        </w:rPr>
        <w:t xml:space="preserve"> (1995), 73 Ohio St.3d 379, 653 N.E.2d 226, syllabus.</w:t>
      </w:r>
      <w:proofErr w:type="gramEnd"/>
      <w:r w:rsidRPr="00DF0E98">
        <w:rPr>
          <w:rFonts w:cs="Times New Roman"/>
          <w:sz w:val="24"/>
          <w:szCs w:val="24"/>
        </w:rPr>
        <w:t xml:space="preserve"> </w:t>
      </w:r>
    </w:p>
  </w:footnote>
  <w:footnote w:id="43">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i/>
          <w:iCs/>
          <w:sz w:val="24"/>
          <w:szCs w:val="24"/>
        </w:rPr>
        <w:tab/>
      </w:r>
      <w:r w:rsidR="008D1C10" w:rsidRPr="00DF0E98">
        <w:rPr>
          <w:rFonts w:cs="Times New Roman"/>
          <w:i/>
          <w:iCs/>
          <w:sz w:val="24"/>
          <w:szCs w:val="24"/>
        </w:rPr>
        <w:tab/>
      </w:r>
      <w:proofErr w:type="gramStart"/>
      <w:r w:rsidRPr="00DF0E98">
        <w:rPr>
          <w:rFonts w:cs="Times New Roman"/>
          <w:i/>
          <w:iCs/>
          <w:sz w:val="24"/>
          <w:szCs w:val="24"/>
        </w:rPr>
        <w:t xml:space="preserve">Covington and Cincinnati Bridge Co. v. Sargent </w:t>
      </w:r>
      <w:r w:rsidRPr="00DF0E98">
        <w:rPr>
          <w:rFonts w:cs="Times New Roman"/>
          <w:sz w:val="24"/>
          <w:szCs w:val="24"/>
        </w:rPr>
        <w:t>(1875), 27 Ohio St. 233, 237-38.</w:t>
      </w:r>
      <w:proofErr w:type="gramEnd"/>
      <w:r w:rsidRPr="00DF0E98">
        <w:rPr>
          <w:rFonts w:cs="Times New Roman"/>
          <w:sz w:val="24"/>
          <w:szCs w:val="24"/>
        </w:rPr>
        <w:t xml:space="preserve"> </w:t>
      </w:r>
    </w:p>
  </w:footnote>
  <w:footnote w:id="44">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iCs/>
          <w:sz w:val="24"/>
          <w:szCs w:val="24"/>
        </w:rPr>
        <w:t xml:space="preserve">New Winchester Gardens, Ltd. v. Franklin </w:t>
      </w:r>
      <w:proofErr w:type="spellStart"/>
      <w:r w:rsidRPr="00DF0E98">
        <w:rPr>
          <w:rFonts w:cs="Times New Roman"/>
          <w:i/>
          <w:iCs/>
          <w:sz w:val="24"/>
          <w:szCs w:val="24"/>
        </w:rPr>
        <w:t>Cty</w:t>
      </w:r>
      <w:proofErr w:type="spellEnd"/>
      <w:r w:rsidRPr="00DF0E98">
        <w:rPr>
          <w:rFonts w:cs="Times New Roman"/>
          <w:i/>
          <w:iCs/>
          <w:sz w:val="24"/>
          <w:szCs w:val="24"/>
        </w:rPr>
        <w:t>.</w:t>
      </w:r>
      <w:proofErr w:type="gramEnd"/>
      <w:r w:rsidRPr="00DF0E98">
        <w:rPr>
          <w:rFonts w:cs="Times New Roman"/>
          <w:i/>
          <w:iCs/>
          <w:sz w:val="24"/>
          <w:szCs w:val="24"/>
        </w:rPr>
        <w:t xml:space="preserve"> </w:t>
      </w:r>
      <w:proofErr w:type="spellStart"/>
      <w:proofErr w:type="gramStart"/>
      <w:r w:rsidRPr="00DF0E98">
        <w:rPr>
          <w:rFonts w:cs="Times New Roman"/>
          <w:i/>
          <w:iCs/>
          <w:sz w:val="24"/>
          <w:szCs w:val="24"/>
        </w:rPr>
        <w:t>Brd</w:t>
      </w:r>
      <w:proofErr w:type="spellEnd"/>
      <w:r w:rsidRPr="00DF0E98">
        <w:rPr>
          <w:rFonts w:cs="Times New Roman"/>
          <w:i/>
          <w:iCs/>
          <w:sz w:val="24"/>
          <w:szCs w:val="24"/>
        </w:rPr>
        <w:t>.</w:t>
      </w:r>
      <w:proofErr w:type="gramEnd"/>
      <w:r w:rsidRPr="00DF0E98">
        <w:rPr>
          <w:rFonts w:cs="Times New Roman"/>
          <w:i/>
          <w:iCs/>
          <w:sz w:val="24"/>
          <w:szCs w:val="24"/>
        </w:rPr>
        <w:t xml:space="preserve"> </w:t>
      </w:r>
      <w:proofErr w:type="gramStart"/>
      <w:r w:rsidRPr="00DF0E98">
        <w:rPr>
          <w:rFonts w:cs="Times New Roman"/>
          <w:i/>
          <w:iCs/>
          <w:sz w:val="24"/>
          <w:szCs w:val="24"/>
        </w:rPr>
        <w:t xml:space="preserve">Of Revision </w:t>
      </w:r>
      <w:r w:rsidRPr="00DF0E98">
        <w:rPr>
          <w:rFonts w:cs="Times New Roman"/>
          <w:sz w:val="24"/>
          <w:szCs w:val="24"/>
        </w:rPr>
        <w:t>(1997), 80 Ohio St.3d 36, 41, 684 N.E.2d 312.</w:t>
      </w:r>
      <w:proofErr w:type="gramEnd"/>
    </w:p>
  </w:footnote>
  <w:footnote w:id="45">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t>Restatement of the Law, Second, Judgments, Section 27.</w:t>
      </w:r>
    </w:p>
  </w:footnote>
  <w:footnote w:id="46">
    <w:p w:rsidR="00F60FAA" w:rsidRPr="00DF0E98" w:rsidRDefault="00F60FAA" w:rsidP="00CB5946">
      <w:pPr>
        <w:pStyle w:val="FootnoteText"/>
        <w:rPr>
          <w:rFonts w:cs="Times New Roman"/>
          <w:i/>
          <w:iCs/>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iCs/>
          <w:sz w:val="24"/>
          <w:szCs w:val="24"/>
        </w:rPr>
        <w:t xml:space="preserve">Superior’s Brand Meats, Inc. v </w:t>
      </w:r>
      <w:proofErr w:type="spellStart"/>
      <w:r w:rsidRPr="00DF0E98">
        <w:rPr>
          <w:rFonts w:cs="Times New Roman"/>
          <w:i/>
          <w:iCs/>
          <w:sz w:val="24"/>
          <w:szCs w:val="24"/>
        </w:rPr>
        <w:t>Lindle</w:t>
      </w:r>
      <w:proofErr w:type="spellEnd"/>
      <w:r w:rsidRPr="00DF0E98">
        <w:rPr>
          <w:rFonts w:cs="Times New Roman"/>
          <w:i/>
          <w:iCs/>
          <w:sz w:val="24"/>
          <w:szCs w:val="24"/>
        </w:rPr>
        <w:t xml:space="preserve"> </w:t>
      </w:r>
      <w:r w:rsidRPr="00DF0E98">
        <w:rPr>
          <w:rFonts w:cs="Times New Roman"/>
          <w:sz w:val="24"/>
          <w:szCs w:val="24"/>
        </w:rPr>
        <w:t>(1980), 62 Ohio St.2d 133, 403 N.E.2d 996, syllabus.</w:t>
      </w:r>
      <w:proofErr w:type="gramEnd"/>
      <w:r w:rsidRPr="00DF0E98">
        <w:rPr>
          <w:rFonts w:cs="Times New Roman"/>
          <w:sz w:val="24"/>
          <w:szCs w:val="24"/>
        </w:rPr>
        <w:t xml:space="preserve"> </w:t>
      </w:r>
    </w:p>
  </w:footnote>
  <w:footnote w:id="47">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00DF0E98">
        <w:rPr>
          <w:rFonts w:cs="Times New Roman"/>
          <w:i/>
          <w:iCs/>
          <w:sz w:val="24"/>
          <w:szCs w:val="24"/>
        </w:rPr>
        <w:t>Id.</w:t>
      </w:r>
    </w:p>
  </w:footnote>
  <w:footnote w:id="48">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proofErr w:type="gramStart"/>
      <w:r w:rsidRPr="00DF0E98">
        <w:rPr>
          <w:rFonts w:cs="Times New Roman"/>
          <w:i/>
          <w:iCs/>
          <w:sz w:val="24"/>
          <w:szCs w:val="24"/>
        </w:rPr>
        <w:t xml:space="preserve">Scott v. East Cleveland </w:t>
      </w:r>
      <w:r w:rsidRPr="00DF0E98">
        <w:rPr>
          <w:rFonts w:cs="Times New Roman"/>
          <w:sz w:val="24"/>
          <w:szCs w:val="24"/>
        </w:rPr>
        <w:t>(1984), 16 Ohio App. 3d 429, 476 (Ct. App.).</w:t>
      </w:r>
      <w:proofErr w:type="gramEnd"/>
    </w:p>
  </w:footnote>
  <w:footnote w:id="49">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iCs/>
          <w:sz w:val="24"/>
          <w:szCs w:val="24"/>
        </w:rPr>
        <w:t>Superior’s Brand Meats, Inc. v. Lindley</w:t>
      </w:r>
      <w:r w:rsidRPr="00DF0E98">
        <w:rPr>
          <w:rFonts w:cs="Times New Roman"/>
          <w:sz w:val="24"/>
          <w:szCs w:val="24"/>
        </w:rPr>
        <w:t xml:space="preserve">, 62 Ohio St.2d at 135. </w:t>
      </w:r>
    </w:p>
  </w:footnote>
  <w:footnote w:id="50">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iCs/>
          <w:sz w:val="24"/>
          <w:szCs w:val="24"/>
        </w:rPr>
        <w:t xml:space="preserve">Whitehead v. Gen. Tel. Co. </w:t>
      </w:r>
      <w:r w:rsidRPr="00DF0E98">
        <w:rPr>
          <w:rFonts w:cs="Times New Roman"/>
          <w:sz w:val="24"/>
          <w:szCs w:val="24"/>
        </w:rPr>
        <w:t xml:space="preserve">(1969), </w:t>
      </w:r>
      <w:proofErr w:type="gramStart"/>
      <w:r w:rsidRPr="00DF0E98">
        <w:rPr>
          <w:rFonts w:cs="Times New Roman"/>
          <w:sz w:val="24"/>
          <w:szCs w:val="24"/>
        </w:rPr>
        <w:t>20 Ohio St.2d 108, 112</w:t>
      </w:r>
      <w:proofErr w:type="gramEnd"/>
      <w:r w:rsidRPr="00DF0E98">
        <w:rPr>
          <w:rFonts w:cs="Times New Roman"/>
          <w:sz w:val="24"/>
          <w:szCs w:val="24"/>
        </w:rPr>
        <w:t>.</w:t>
      </w:r>
    </w:p>
  </w:footnote>
  <w:footnote w:id="51">
    <w:p w:rsidR="00F60FAA" w:rsidRPr="00DF0E98" w:rsidRDefault="00F60FAA" w:rsidP="00CB5946">
      <w:pPr>
        <w:pStyle w:val="FootnoteText"/>
        <w:rPr>
          <w:rFonts w:cs="Times New Roman"/>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r>
      <w:r w:rsidRPr="00DF0E98">
        <w:rPr>
          <w:rFonts w:cs="Times New Roman"/>
          <w:i/>
          <w:sz w:val="24"/>
          <w:szCs w:val="24"/>
        </w:rPr>
        <w:t>Duke ESP Proceeding</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Stipulation at Section</w:t>
      </w:r>
      <w:r w:rsidR="00DF0E98">
        <w:rPr>
          <w:rFonts w:cs="Times New Roman"/>
          <w:sz w:val="24"/>
          <w:szCs w:val="24"/>
        </w:rPr>
        <w:t>s I.B,</w:t>
      </w:r>
      <w:r w:rsidRPr="00DF0E98">
        <w:rPr>
          <w:rFonts w:cs="Times New Roman"/>
          <w:sz w:val="24"/>
          <w:szCs w:val="24"/>
        </w:rPr>
        <w:t xml:space="preserve"> II.B.</w:t>
      </w:r>
      <w:r w:rsidR="00DF0E98">
        <w:rPr>
          <w:rFonts w:cs="Times New Roman"/>
          <w:sz w:val="24"/>
          <w:szCs w:val="24"/>
        </w:rPr>
        <w:t>)</w:t>
      </w:r>
    </w:p>
  </w:footnote>
  <w:footnote w:id="52">
    <w:p w:rsidR="00F60FAA" w:rsidRPr="00DF0E98" w:rsidRDefault="00F60FAA" w:rsidP="00CB5946">
      <w:pPr>
        <w:pStyle w:val="FootnoteText"/>
        <w:rPr>
          <w:rFonts w:cs="Times New Roman"/>
          <w:i/>
          <w:iCs/>
          <w:sz w:val="24"/>
          <w:szCs w:val="24"/>
        </w:rPr>
      </w:pPr>
      <w:r w:rsidRPr="00DF0E98">
        <w:rPr>
          <w:rStyle w:val="FootnoteReference"/>
          <w:rFonts w:cs="Times New Roman"/>
          <w:sz w:val="24"/>
          <w:szCs w:val="24"/>
        </w:rPr>
        <w:footnoteRef/>
      </w:r>
      <w:r w:rsidRPr="00DF0E98">
        <w:rPr>
          <w:rFonts w:cs="Times New Roman"/>
          <w:sz w:val="24"/>
          <w:szCs w:val="24"/>
        </w:rPr>
        <w:t xml:space="preserve"> </w:t>
      </w:r>
      <w:r w:rsidRPr="00DF0E98">
        <w:rPr>
          <w:rFonts w:cs="Times New Roman"/>
          <w:sz w:val="24"/>
          <w:szCs w:val="24"/>
        </w:rPr>
        <w:tab/>
      </w:r>
      <w:r w:rsidRPr="00DF0E98">
        <w:rPr>
          <w:rFonts w:cs="Times New Roman"/>
          <w:sz w:val="24"/>
          <w:szCs w:val="24"/>
        </w:rPr>
        <w:tab/>
        <w:t xml:space="preserve">See, e.g., </w:t>
      </w:r>
      <w:r w:rsidRPr="00DF0E98">
        <w:rPr>
          <w:rFonts w:cs="Times New Roman"/>
          <w:i/>
          <w:iCs/>
          <w:sz w:val="24"/>
          <w:szCs w:val="24"/>
        </w:rPr>
        <w:t>In the Matter of the Regulation of the Electric Fuel Component Contained Within the Rate Schedules of The Toledo Edison Company and Related Matters</w:t>
      </w:r>
      <w:r w:rsidR="00DF0E98">
        <w:rPr>
          <w:rFonts w:cs="Times New Roman"/>
          <w:sz w:val="24"/>
          <w:szCs w:val="24"/>
        </w:rPr>
        <w:t>, Case No. 86-05-EL-EFC</w:t>
      </w:r>
      <w:r w:rsidRPr="00DF0E98">
        <w:rPr>
          <w:rFonts w:cs="Times New Roman"/>
          <w:sz w:val="24"/>
          <w:szCs w:val="24"/>
        </w:rPr>
        <w:t xml:space="preserve"> </w:t>
      </w:r>
      <w:r w:rsidR="00DF0E98">
        <w:rPr>
          <w:rFonts w:cs="Times New Roman"/>
          <w:sz w:val="24"/>
          <w:szCs w:val="24"/>
        </w:rPr>
        <w:t>(</w:t>
      </w:r>
      <w:r w:rsidRPr="00DF0E98">
        <w:rPr>
          <w:rFonts w:cs="Times New Roman"/>
          <w:sz w:val="24"/>
          <w:szCs w:val="24"/>
        </w:rPr>
        <w:t>Entry at ¶5</w:t>
      </w:r>
      <w:r w:rsidR="00DF0E98">
        <w:rPr>
          <w:rFonts w:cs="Times New Roman"/>
          <w:sz w:val="24"/>
          <w:szCs w:val="24"/>
        </w:rPr>
        <w:t>)</w:t>
      </w:r>
      <w:r w:rsidRPr="00DF0E98">
        <w:rPr>
          <w:rFonts w:cs="Times New Roman"/>
          <w:i/>
          <w:iCs/>
          <w:sz w:val="24"/>
          <w:szCs w:val="24"/>
        </w:rPr>
        <w:t xml:space="preserve"> </w:t>
      </w:r>
      <w:r w:rsidRPr="00DF0E98">
        <w:rPr>
          <w:rFonts w:cs="Times New Roman"/>
          <w:sz w:val="24"/>
          <w:szCs w:val="24"/>
        </w:rPr>
        <w:t xml:space="preserve">(Nov. 10, 1986).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AA" w:rsidRPr="00EA7804" w:rsidRDefault="00F60FAA" w:rsidP="00933CA6">
    <w:pPr>
      <w:pStyle w:val="Header"/>
      <w:jc w:val="center"/>
      <w:rPr>
        <w:rFonts w:ascii="Arial" w:hAnsi="Arial" w:cs="Arial"/>
        <w:b/>
        <w:color w:val="FF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AA" w:rsidRDefault="00F60FAA" w:rsidP="00933CA6">
    <w:pPr>
      <w:pStyle w:val="Header"/>
      <w:jc w:val="right"/>
      <w:rPr>
        <w:b/>
        <w:sz w:val="28"/>
        <w:szCs w:val="28"/>
      </w:rPr>
    </w:pPr>
  </w:p>
  <w:p w:rsidR="00F60FAA" w:rsidRPr="002B0FA8" w:rsidRDefault="00F60FAA" w:rsidP="00933CA6">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AA" w:rsidRDefault="00F60FAA" w:rsidP="00933CA6">
    <w:pPr>
      <w:pStyle w:val="Header"/>
      <w:jc w:val="center"/>
      <w:rPr>
        <w:b/>
        <w:sz w:val="28"/>
        <w:szCs w:val="28"/>
      </w:rPr>
    </w:pPr>
    <w:r>
      <w:rPr>
        <w:b/>
        <w:sz w:val="28"/>
        <w:szCs w:val="28"/>
      </w:rPr>
      <w:t>TABLE OF CONTENTS</w:t>
    </w:r>
  </w:p>
  <w:p w:rsidR="00F60FAA" w:rsidRDefault="00F60FAA" w:rsidP="00933CA6">
    <w:pPr>
      <w:pStyle w:val="Header"/>
      <w:jc w:val="right"/>
      <w:rPr>
        <w:b/>
        <w:sz w:val="28"/>
        <w:szCs w:val="28"/>
      </w:rPr>
    </w:pPr>
    <w:r>
      <w:rPr>
        <w:b/>
        <w:sz w:val="28"/>
        <w:szCs w:val="28"/>
      </w:rPr>
      <w:t>Page</w:t>
    </w:r>
  </w:p>
  <w:p w:rsidR="00F60FAA" w:rsidRDefault="00F60FAA" w:rsidP="00933CA6">
    <w:pPr>
      <w:pStyle w:val="Header"/>
      <w:jc w:val="right"/>
      <w:rPr>
        <w:b/>
        <w:sz w:val="28"/>
        <w:szCs w:val="28"/>
      </w:rPr>
    </w:pPr>
  </w:p>
  <w:p w:rsidR="00F60FAA" w:rsidRPr="00326194" w:rsidRDefault="00F60FAA" w:rsidP="00933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44E06C"/>
    <w:lvl w:ilvl="0">
      <w:start w:val="1"/>
      <w:numFmt w:val="decimal"/>
      <w:lvlText w:val="%1."/>
      <w:lvlJc w:val="left"/>
      <w:pPr>
        <w:tabs>
          <w:tab w:val="num" w:pos="1800"/>
        </w:tabs>
        <w:ind w:left="1800" w:hanging="360"/>
      </w:pPr>
    </w:lvl>
  </w:abstractNum>
  <w:abstractNum w:abstractNumId="1">
    <w:nsid w:val="FFFFFF7D"/>
    <w:multiLevelType w:val="singleLevel"/>
    <w:tmpl w:val="D1F40968"/>
    <w:lvl w:ilvl="0">
      <w:start w:val="1"/>
      <w:numFmt w:val="decimal"/>
      <w:lvlText w:val="%1."/>
      <w:lvlJc w:val="left"/>
      <w:pPr>
        <w:tabs>
          <w:tab w:val="num" w:pos="1440"/>
        </w:tabs>
        <w:ind w:left="1440" w:hanging="360"/>
      </w:pPr>
    </w:lvl>
  </w:abstractNum>
  <w:abstractNum w:abstractNumId="2">
    <w:nsid w:val="FFFFFF7E"/>
    <w:multiLevelType w:val="singleLevel"/>
    <w:tmpl w:val="5E3CC248"/>
    <w:lvl w:ilvl="0">
      <w:start w:val="1"/>
      <w:numFmt w:val="decimal"/>
      <w:lvlText w:val="%1."/>
      <w:lvlJc w:val="left"/>
      <w:pPr>
        <w:tabs>
          <w:tab w:val="num" w:pos="1080"/>
        </w:tabs>
        <w:ind w:left="1080" w:hanging="360"/>
      </w:pPr>
    </w:lvl>
  </w:abstractNum>
  <w:abstractNum w:abstractNumId="3">
    <w:nsid w:val="FFFFFF7F"/>
    <w:multiLevelType w:val="singleLevel"/>
    <w:tmpl w:val="284424BA"/>
    <w:lvl w:ilvl="0">
      <w:start w:val="1"/>
      <w:numFmt w:val="decimal"/>
      <w:lvlText w:val="%1."/>
      <w:lvlJc w:val="left"/>
      <w:pPr>
        <w:tabs>
          <w:tab w:val="num" w:pos="720"/>
        </w:tabs>
        <w:ind w:left="720" w:hanging="360"/>
      </w:pPr>
    </w:lvl>
  </w:abstractNum>
  <w:abstractNum w:abstractNumId="4">
    <w:nsid w:val="FFFFFF80"/>
    <w:multiLevelType w:val="singleLevel"/>
    <w:tmpl w:val="BB0403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F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1499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E45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78FD46"/>
    <w:lvl w:ilvl="0">
      <w:start w:val="1"/>
      <w:numFmt w:val="decimal"/>
      <w:lvlText w:val="%1."/>
      <w:lvlJc w:val="left"/>
      <w:pPr>
        <w:tabs>
          <w:tab w:val="num" w:pos="360"/>
        </w:tabs>
        <w:ind w:left="360" w:hanging="360"/>
      </w:pPr>
    </w:lvl>
  </w:abstractNum>
  <w:abstractNum w:abstractNumId="9">
    <w:nsid w:val="FFFFFF89"/>
    <w:multiLevelType w:val="singleLevel"/>
    <w:tmpl w:val="272AF6A2"/>
    <w:lvl w:ilvl="0">
      <w:start w:val="1"/>
      <w:numFmt w:val="bullet"/>
      <w:lvlText w:val=""/>
      <w:lvlJc w:val="left"/>
      <w:pPr>
        <w:tabs>
          <w:tab w:val="num" w:pos="360"/>
        </w:tabs>
        <w:ind w:left="360" w:hanging="360"/>
      </w:pPr>
      <w:rPr>
        <w:rFonts w:ascii="Symbol" w:hAnsi="Symbol" w:hint="default"/>
      </w:rPr>
    </w:lvl>
  </w:abstractNum>
  <w:abstractNum w:abstractNumId="10">
    <w:nsid w:val="08537B67"/>
    <w:multiLevelType w:val="hybridMultilevel"/>
    <w:tmpl w:val="6332E860"/>
    <w:lvl w:ilvl="0" w:tplc="769EF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AB029A8"/>
    <w:multiLevelType w:val="hybridMultilevel"/>
    <w:tmpl w:val="B19E996C"/>
    <w:lvl w:ilvl="0" w:tplc="F58CB4F2">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2D5771"/>
    <w:multiLevelType w:val="hybridMultilevel"/>
    <w:tmpl w:val="B7500F30"/>
    <w:lvl w:ilvl="0" w:tplc="0FE6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8E4C16"/>
    <w:multiLevelType w:val="hybridMultilevel"/>
    <w:tmpl w:val="B1660AAA"/>
    <w:lvl w:ilvl="0" w:tplc="373EC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360EE"/>
    <w:multiLevelType w:val="hybridMultilevel"/>
    <w:tmpl w:val="DB1439C6"/>
    <w:lvl w:ilvl="0" w:tplc="E7E24EBC">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5A6E6B"/>
    <w:multiLevelType w:val="hybridMultilevel"/>
    <w:tmpl w:val="8990FF7C"/>
    <w:lvl w:ilvl="0" w:tplc="AE047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466B4"/>
    <w:multiLevelType w:val="hybridMultilevel"/>
    <w:tmpl w:val="AE187B48"/>
    <w:lvl w:ilvl="0" w:tplc="F050BD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1E513F"/>
    <w:multiLevelType w:val="hybridMultilevel"/>
    <w:tmpl w:val="0CF676B8"/>
    <w:lvl w:ilvl="0" w:tplc="D61EC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0C2EB1"/>
    <w:multiLevelType w:val="hybridMultilevel"/>
    <w:tmpl w:val="9F4A526A"/>
    <w:lvl w:ilvl="0" w:tplc="40DA3E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D771F61"/>
    <w:multiLevelType w:val="hybridMultilevel"/>
    <w:tmpl w:val="06E026BE"/>
    <w:lvl w:ilvl="0" w:tplc="CF7EB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16"/>
  </w:num>
  <w:num w:numId="5">
    <w:abstractNumId w:val="10"/>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14"/>
    <w:lvlOverride w:ilvl="0">
      <w:startOverride w:val="1"/>
    </w:lvlOverride>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A6"/>
    <w:rsid w:val="000075D2"/>
    <w:rsid w:val="00062C65"/>
    <w:rsid w:val="00097334"/>
    <w:rsid w:val="000B04F4"/>
    <w:rsid w:val="000B4DBD"/>
    <w:rsid w:val="000C78DF"/>
    <w:rsid w:val="000D7745"/>
    <w:rsid w:val="000E6143"/>
    <w:rsid w:val="00131840"/>
    <w:rsid w:val="0014231E"/>
    <w:rsid w:val="001B572A"/>
    <w:rsid w:val="001B6A58"/>
    <w:rsid w:val="00203FA7"/>
    <w:rsid w:val="00220B82"/>
    <w:rsid w:val="00263A62"/>
    <w:rsid w:val="00275FA9"/>
    <w:rsid w:val="00281498"/>
    <w:rsid w:val="002857D4"/>
    <w:rsid w:val="00296261"/>
    <w:rsid w:val="002A1115"/>
    <w:rsid w:val="002F591B"/>
    <w:rsid w:val="0033297B"/>
    <w:rsid w:val="003B5FEE"/>
    <w:rsid w:val="003C217C"/>
    <w:rsid w:val="003E2230"/>
    <w:rsid w:val="003E2B83"/>
    <w:rsid w:val="003E4899"/>
    <w:rsid w:val="00420B0F"/>
    <w:rsid w:val="00433068"/>
    <w:rsid w:val="00445E0D"/>
    <w:rsid w:val="004722DB"/>
    <w:rsid w:val="00472B47"/>
    <w:rsid w:val="00473E54"/>
    <w:rsid w:val="004A72E3"/>
    <w:rsid w:val="00546572"/>
    <w:rsid w:val="00551DEF"/>
    <w:rsid w:val="005B6533"/>
    <w:rsid w:val="005C3BE5"/>
    <w:rsid w:val="005D5129"/>
    <w:rsid w:val="006167D8"/>
    <w:rsid w:val="00632F5A"/>
    <w:rsid w:val="006968A7"/>
    <w:rsid w:val="006B5263"/>
    <w:rsid w:val="006C27CC"/>
    <w:rsid w:val="006D52DC"/>
    <w:rsid w:val="00712D30"/>
    <w:rsid w:val="007A0CED"/>
    <w:rsid w:val="007B1ABF"/>
    <w:rsid w:val="007B7083"/>
    <w:rsid w:val="007E15E1"/>
    <w:rsid w:val="007E4F50"/>
    <w:rsid w:val="007F43A6"/>
    <w:rsid w:val="008C41EF"/>
    <w:rsid w:val="008C4A80"/>
    <w:rsid w:val="008D1C10"/>
    <w:rsid w:val="00900AC3"/>
    <w:rsid w:val="00914964"/>
    <w:rsid w:val="009245FF"/>
    <w:rsid w:val="00933CA6"/>
    <w:rsid w:val="00934BBF"/>
    <w:rsid w:val="00940097"/>
    <w:rsid w:val="00966256"/>
    <w:rsid w:val="00991BF1"/>
    <w:rsid w:val="00996488"/>
    <w:rsid w:val="009A0D16"/>
    <w:rsid w:val="009A1F07"/>
    <w:rsid w:val="009C702B"/>
    <w:rsid w:val="009D27B0"/>
    <w:rsid w:val="009F3F6B"/>
    <w:rsid w:val="00A06E0A"/>
    <w:rsid w:val="00A0729F"/>
    <w:rsid w:val="00A4262F"/>
    <w:rsid w:val="00A47440"/>
    <w:rsid w:val="00A53C7D"/>
    <w:rsid w:val="00A60CA2"/>
    <w:rsid w:val="00A86616"/>
    <w:rsid w:val="00AA28D7"/>
    <w:rsid w:val="00AC57E1"/>
    <w:rsid w:val="00AD654F"/>
    <w:rsid w:val="00B639BD"/>
    <w:rsid w:val="00B850E9"/>
    <w:rsid w:val="00BA6FB3"/>
    <w:rsid w:val="00BB38A4"/>
    <w:rsid w:val="00BC046E"/>
    <w:rsid w:val="00BE6EEE"/>
    <w:rsid w:val="00C30CF1"/>
    <w:rsid w:val="00C322B0"/>
    <w:rsid w:val="00C36830"/>
    <w:rsid w:val="00C437EF"/>
    <w:rsid w:val="00C738F9"/>
    <w:rsid w:val="00C75351"/>
    <w:rsid w:val="00C809B5"/>
    <w:rsid w:val="00CB5161"/>
    <w:rsid w:val="00CB5946"/>
    <w:rsid w:val="00CD6D41"/>
    <w:rsid w:val="00CE274A"/>
    <w:rsid w:val="00CF2218"/>
    <w:rsid w:val="00D11235"/>
    <w:rsid w:val="00D266A8"/>
    <w:rsid w:val="00DC512C"/>
    <w:rsid w:val="00DD0DDD"/>
    <w:rsid w:val="00DF0E98"/>
    <w:rsid w:val="00E07D19"/>
    <w:rsid w:val="00E1073B"/>
    <w:rsid w:val="00E17434"/>
    <w:rsid w:val="00E2654F"/>
    <w:rsid w:val="00E45456"/>
    <w:rsid w:val="00E53264"/>
    <w:rsid w:val="00E65BFD"/>
    <w:rsid w:val="00E74D6D"/>
    <w:rsid w:val="00E76475"/>
    <w:rsid w:val="00EA0F7E"/>
    <w:rsid w:val="00EA4886"/>
    <w:rsid w:val="00EA6DCD"/>
    <w:rsid w:val="00EE3034"/>
    <w:rsid w:val="00EF0B99"/>
    <w:rsid w:val="00F14C58"/>
    <w:rsid w:val="00F26476"/>
    <w:rsid w:val="00F35BF4"/>
    <w:rsid w:val="00F53D74"/>
    <w:rsid w:val="00F60FAA"/>
    <w:rsid w:val="00F85A85"/>
    <w:rsid w:val="00F875B2"/>
    <w:rsid w:val="00F953FE"/>
    <w:rsid w:val="00F9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1"/>
  </w:style>
  <w:style w:type="paragraph" w:styleId="Heading1">
    <w:name w:val="heading 1"/>
    <w:basedOn w:val="Normal"/>
    <w:next w:val="Normal"/>
    <w:link w:val="Heading1Char"/>
    <w:autoRedefine/>
    <w:uiPriority w:val="9"/>
    <w:qFormat/>
    <w:rsid w:val="00275FA9"/>
    <w:pPr>
      <w:keepNext/>
      <w:keepLines/>
      <w:spacing w:before="240" w:after="240" w:line="240" w:lineRule="auto"/>
      <w:ind w:left="720" w:hanging="720"/>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autoRedefine/>
    <w:uiPriority w:val="9"/>
    <w:unhideWhenUsed/>
    <w:qFormat/>
    <w:rsid w:val="00263A62"/>
    <w:pPr>
      <w:keepNext/>
      <w:keepLines/>
      <w:numPr>
        <w:numId w:val="9"/>
      </w:numPr>
      <w:spacing w:before="360" w:after="240" w:line="240" w:lineRule="auto"/>
      <w:ind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263A62"/>
    <w:pPr>
      <w:keepNext/>
      <w:keepLines/>
      <w:numPr>
        <w:numId w:val="11"/>
      </w:numPr>
      <w:spacing w:before="360" w:after="240" w:line="240" w:lineRule="auto"/>
      <w:ind w:left="2160" w:right="720" w:hanging="720"/>
      <w:outlineLvl w:val="2"/>
    </w:pPr>
    <w:rPr>
      <w:rFonts w:ascii="Times New Roman" w:eastAsiaTheme="majorEastAsia" w:hAnsi="Times New Roman"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19"/>
    <w:pPr>
      <w:ind w:left="720"/>
      <w:contextualSpacing/>
    </w:pPr>
  </w:style>
  <w:style w:type="paragraph" w:styleId="Header">
    <w:name w:val="header"/>
    <w:basedOn w:val="Normal"/>
    <w:link w:val="Head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33CA6"/>
    <w:rPr>
      <w:rFonts w:ascii="Times New Roman" w:hAnsi="Times New Roman"/>
      <w:sz w:val="24"/>
    </w:rPr>
  </w:style>
  <w:style w:type="paragraph" w:styleId="Footer">
    <w:name w:val="footer"/>
    <w:basedOn w:val="Normal"/>
    <w:link w:val="Foot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33CA6"/>
    <w:rPr>
      <w:rFonts w:ascii="Times New Roman" w:hAnsi="Times New Roman"/>
      <w:sz w:val="24"/>
    </w:rPr>
  </w:style>
  <w:style w:type="paragraph" w:styleId="BalloonText">
    <w:name w:val="Balloon Text"/>
    <w:basedOn w:val="Normal"/>
    <w:link w:val="BalloonTextChar"/>
    <w:uiPriority w:val="99"/>
    <w:semiHidden/>
    <w:unhideWhenUsed/>
    <w:rsid w:val="0093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A6"/>
    <w:rPr>
      <w:rFonts w:ascii="Tahoma" w:hAnsi="Tahoma" w:cs="Tahoma"/>
      <w:sz w:val="16"/>
      <w:szCs w:val="16"/>
    </w:rPr>
  </w:style>
  <w:style w:type="paragraph" w:styleId="FootnoteText">
    <w:name w:val="footnote text"/>
    <w:basedOn w:val="Normal"/>
    <w:link w:val="FootnoteTextChar"/>
    <w:autoRedefine/>
    <w:uiPriority w:val="99"/>
    <w:unhideWhenUsed/>
    <w:rsid w:val="00263A62"/>
    <w:pPr>
      <w:tabs>
        <w:tab w:val="left" w:pos="720"/>
      </w:tabs>
      <w:spacing w:before="240" w:after="240" w:line="240" w:lineRule="auto"/>
      <w:ind w:left="720" w:hanging="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263A62"/>
    <w:rPr>
      <w:rFonts w:ascii="Times New Roman" w:hAnsi="Times New Roman"/>
      <w:sz w:val="20"/>
      <w:szCs w:val="20"/>
    </w:rPr>
  </w:style>
  <w:style w:type="character" w:styleId="FootnoteReference">
    <w:name w:val="footnote reference"/>
    <w:basedOn w:val="DefaultParagraphFont"/>
    <w:uiPriority w:val="99"/>
    <w:semiHidden/>
    <w:unhideWhenUsed/>
    <w:rsid w:val="00632F5A"/>
    <w:rPr>
      <w:vertAlign w:val="superscript"/>
    </w:rPr>
  </w:style>
  <w:style w:type="paragraph" w:styleId="NoSpacing">
    <w:name w:val="No Spacing"/>
    <w:uiPriority w:val="1"/>
    <w:qFormat/>
    <w:rsid w:val="00E45456"/>
    <w:pPr>
      <w:spacing w:after="0" w:line="240" w:lineRule="auto"/>
    </w:pPr>
  </w:style>
  <w:style w:type="character" w:styleId="Hyperlink">
    <w:name w:val="Hyperlink"/>
    <w:basedOn w:val="DefaultParagraphFont"/>
    <w:uiPriority w:val="99"/>
    <w:unhideWhenUsed/>
    <w:rsid w:val="003E4899"/>
    <w:rPr>
      <w:color w:val="0000FF" w:themeColor="hyperlink"/>
      <w:u w:val="single"/>
    </w:rPr>
  </w:style>
  <w:style w:type="character" w:customStyle="1" w:styleId="Heading1Char">
    <w:name w:val="Heading 1 Char"/>
    <w:basedOn w:val="DefaultParagraphFont"/>
    <w:link w:val="Heading1"/>
    <w:uiPriority w:val="9"/>
    <w:rsid w:val="00275FA9"/>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263A6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263A62"/>
    <w:rPr>
      <w:rFonts w:ascii="Times New Roman" w:eastAsiaTheme="majorEastAsia" w:hAnsi="Times New Roman" w:cstheme="majorBidi"/>
      <w:b/>
      <w:bCs/>
      <w:sz w:val="26"/>
    </w:rPr>
  </w:style>
  <w:style w:type="paragraph" w:styleId="TOCHeading">
    <w:name w:val="TOC Heading"/>
    <w:basedOn w:val="Heading1"/>
    <w:next w:val="Normal"/>
    <w:uiPriority w:val="39"/>
    <w:semiHidden/>
    <w:unhideWhenUsed/>
    <w:qFormat/>
    <w:rsid w:val="00EF0B99"/>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DD0DDD"/>
    <w:pPr>
      <w:tabs>
        <w:tab w:val="right" w:leader="dot" w:pos="9350"/>
      </w:tabs>
      <w:spacing w:before="240" w:after="240" w:line="240" w:lineRule="auto"/>
      <w:ind w:left="720" w:right="1440" w:hanging="720"/>
    </w:pPr>
    <w:rPr>
      <w:rFonts w:ascii="Times New Roman" w:hAnsi="Times New Roman"/>
      <w:noProof/>
      <w:sz w:val="26"/>
    </w:rPr>
  </w:style>
  <w:style w:type="paragraph" w:styleId="TOC2">
    <w:name w:val="toc 2"/>
    <w:basedOn w:val="Normal"/>
    <w:next w:val="Normal"/>
    <w:autoRedefine/>
    <w:uiPriority w:val="39"/>
    <w:unhideWhenUsed/>
    <w:qFormat/>
    <w:rsid w:val="00F60FAA"/>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qFormat/>
    <w:rsid w:val="00DD0DDD"/>
    <w:pPr>
      <w:tabs>
        <w:tab w:val="right" w:leader="dot" w:pos="9346"/>
      </w:tabs>
      <w:spacing w:before="240" w:after="240" w:line="240" w:lineRule="auto"/>
      <w:ind w:left="2160" w:right="720" w:hanging="720"/>
    </w:pPr>
    <w:rPr>
      <w:rFonts w:ascii="Times New Roman" w:hAnsi="Times New Roman"/>
      <w:sz w:val="26"/>
    </w:rPr>
  </w:style>
  <w:style w:type="paragraph" w:customStyle="1" w:styleId="Textstyle">
    <w:name w:val="Text style"/>
    <w:basedOn w:val="Normal"/>
    <w:rsid w:val="00263A62"/>
    <w:pPr>
      <w:autoSpaceDE w:val="0"/>
      <w:autoSpaceDN w:val="0"/>
      <w:adjustRightInd w:val="0"/>
      <w:spacing w:after="0" w:line="480" w:lineRule="auto"/>
      <w:ind w:firstLine="720"/>
    </w:pPr>
    <w:rPr>
      <w:rFonts w:ascii="Times New Roman" w:hAnsi="Times New Roman" w:cs="Times New Roman"/>
      <w:sz w:val="26"/>
      <w:szCs w:val="26"/>
    </w:rPr>
  </w:style>
  <w:style w:type="paragraph" w:customStyle="1" w:styleId="Blockquote">
    <w:name w:val="Block quote"/>
    <w:basedOn w:val="Normal"/>
    <w:autoRedefine/>
    <w:rsid w:val="00263A62"/>
    <w:pPr>
      <w:autoSpaceDE w:val="0"/>
      <w:autoSpaceDN w:val="0"/>
      <w:adjustRightInd w:val="0"/>
      <w:spacing w:after="240" w:line="240" w:lineRule="auto"/>
      <w:ind w:left="1440" w:right="1440"/>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1"/>
  </w:style>
  <w:style w:type="paragraph" w:styleId="Heading1">
    <w:name w:val="heading 1"/>
    <w:basedOn w:val="Normal"/>
    <w:next w:val="Normal"/>
    <w:link w:val="Heading1Char"/>
    <w:autoRedefine/>
    <w:uiPriority w:val="9"/>
    <w:qFormat/>
    <w:rsid w:val="00275FA9"/>
    <w:pPr>
      <w:keepNext/>
      <w:keepLines/>
      <w:spacing w:before="240" w:after="240" w:line="240" w:lineRule="auto"/>
      <w:ind w:left="720" w:hanging="720"/>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autoRedefine/>
    <w:uiPriority w:val="9"/>
    <w:unhideWhenUsed/>
    <w:qFormat/>
    <w:rsid w:val="00263A62"/>
    <w:pPr>
      <w:keepNext/>
      <w:keepLines/>
      <w:numPr>
        <w:numId w:val="9"/>
      </w:numPr>
      <w:spacing w:before="360" w:after="240" w:line="240" w:lineRule="auto"/>
      <w:ind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263A62"/>
    <w:pPr>
      <w:keepNext/>
      <w:keepLines/>
      <w:numPr>
        <w:numId w:val="11"/>
      </w:numPr>
      <w:spacing w:before="360" w:after="240" w:line="240" w:lineRule="auto"/>
      <w:ind w:left="2160" w:right="720" w:hanging="720"/>
      <w:outlineLvl w:val="2"/>
    </w:pPr>
    <w:rPr>
      <w:rFonts w:ascii="Times New Roman" w:eastAsiaTheme="majorEastAsia" w:hAnsi="Times New Roman"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19"/>
    <w:pPr>
      <w:ind w:left="720"/>
      <w:contextualSpacing/>
    </w:pPr>
  </w:style>
  <w:style w:type="paragraph" w:styleId="Header">
    <w:name w:val="header"/>
    <w:basedOn w:val="Normal"/>
    <w:link w:val="Head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33CA6"/>
    <w:rPr>
      <w:rFonts w:ascii="Times New Roman" w:hAnsi="Times New Roman"/>
      <w:sz w:val="24"/>
    </w:rPr>
  </w:style>
  <w:style w:type="paragraph" w:styleId="Footer">
    <w:name w:val="footer"/>
    <w:basedOn w:val="Normal"/>
    <w:link w:val="Foot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33CA6"/>
    <w:rPr>
      <w:rFonts w:ascii="Times New Roman" w:hAnsi="Times New Roman"/>
      <w:sz w:val="24"/>
    </w:rPr>
  </w:style>
  <w:style w:type="paragraph" w:styleId="BalloonText">
    <w:name w:val="Balloon Text"/>
    <w:basedOn w:val="Normal"/>
    <w:link w:val="BalloonTextChar"/>
    <w:uiPriority w:val="99"/>
    <w:semiHidden/>
    <w:unhideWhenUsed/>
    <w:rsid w:val="0093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A6"/>
    <w:rPr>
      <w:rFonts w:ascii="Tahoma" w:hAnsi="Tahoma" w:cs="Tahoma"/>
      <w:sz w:val="16"/>
      <w:szCs w:val="16"/>
    </w:rPr>
  </w:style>
  <w:style w:type="paragraph" w:styleId="FootnoteText">
    <w:name w:val="footnote text"/>
    <w:basedOn w:val="Normal"/>
    <w:link w:val="FootnoteTextChar"/>
    <w:autoRedefine/>
    <w:uiPriority w:val="99"/>
    <w:unhideWhenUsed/>
    <w:rsid w:val="00263A62"/>
    <w:pPr>
      <w:tabs>
        <w:tab w:val="left" w:pos="720"/>
      </w:tabs>
      <w:spacing w:before="240" w:after="240" w:line="240" w:lineRule="auto"/>
      <w:ind w:left="720" w:hanging="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263A62"/>
    <w:rPr>
      <w:rFonts w:ascii="Times New Roman" w:hAnsi="Times New Roman"/>
      <w:sz w:val="20"/>
      <w:szCs w:val="20"/>
    </w:rPr>
  </w:style>
  <w:style w:type="character" w:styleId="FootnoteReference">
    <w:name w:val="footnote reference"/>
    <w:basedOn w:val="DefaultParagraphFont"/>
    <w:uiPriority w:val="99"/>
    <w:semiHidden/>
    <w:unhideWhenUsed/>
    <w:rsid w:val="00632F5A"/>
    <w:rPr>
      <w:vertAlign w:val="superscript"/>
    </w:rPr>
  </w:style>
  <w:style w:type="paragraph" w:styleId="NoSpacing">
    <w:name w:val="No Spacing"/>
    <w:uiPriority w:val="1"/>
    <w:qFormat/>
    <w:rsid w:val="00E45456"/>
    <w:pPr>
      <w:spacing w:after="0" w:line="240" w:lineRule="auto"/>
    </w:pPr>
  </w:style>
  <w:style w:type="character" w:styleId="Hyperlink">
    <w:name w:val="Hyperlink"/>
    <w:basedOn w:val="DefaultParagraphFont"/>
    <w:uiPriority w:val="99"/>
    <w:unhideWhenUsed/>
    <w:rsid w:val="003E4899"/>
    <w:rPr>
      <w:color w:val="0000FF" w:themeColor="hyperlink"/>
      <w:u w:val="single"/>
    </w:rPr>
  </w:style>
  <w:style w:type="character" w:customStyle="1" w:styleId="Heading1Char">
    <w:name w:val="Heading 1 Char"/>
    <w:basedOn w:val="DefaultParagraphFont"/>
    <w:link w:val="Heading1"/>
    <w:uiPriority w:val="9"/>
    <w:rsid w:val="00275FA9"/>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263A6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263A62"/>
    <w:rPr>
      <w:rFonts w:ascii="Times New Roman" w:eastAsiaTheme="majorEastAsia" w:hAnsi="Times New Roman" w:cstheme="majorBidi"/>
      <w:b/>
      <w:bCs/>
      <w:sz w:val="26"/>
    </w:rPr>
  </w:style>
  <w:style w:type="paragraph" w:styleId="TOCHeading">
    <w:name w:val="TOC Heading"/>
    <w:basedOn w:val="Heading1"/>
    <w:next w:val="Normal"/>
    <w:uiPriority w:val="39"/>
    <w:semiHidden/>
    <w:unhideWhenUsed/>
    <w:qFormat/>
    <w:rsid w:val="00EF0B99"/>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DD0DDD"/>
    <w:pPr>
      <w:tabs>
        <w:tab w:val="right" w:leader="dot" w:pos="9350"/>
      </w:tabs>
      <w:spacing w:before="240" w:after="240" w:line="240" w:lineRule="auto"/>
      <w:ind w:left="720" w:right="1440" w:hanging="720"/>
    </w:pPr>
    <w:rPr>
      <w:rFonts w:ascii="Times New Roman" w:hAnsi="Times New Roman"/>
      <w:noProof/>
      <w:sz w:val="26"/>
    </w:rPr>
  </w:style>
  <w:style w:type="paragraph" w:styleId="TOC2">
    <w:name w:val="toc 2"/>
    <w:basedOn w:val="Normal"/>
    <w:next w:val="Normal"/>
    <w:autoRedefine/>
    <w:uiPriority w:val="39"/>
    <w:unhideWhenUsed/>
    <w:qFormat/>
    <w:rsid w:val="00F60FAA"/>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qFormat/>
    <w:rsid w:val="00DD0DDD"/>
    <w:pPr>
      <w:tabs>
        <w:tab w:val="right" w:leader="dot" w:pos="9346"/>
      </w:tabs>
      <w:spacing w:before="240" w:after="240" w:line="240" w:lineRule="auto"/>
      <w:ind w:left="2160" w:right="720" w:hanging="720"/>
    </w:pPr>
    <w:rPr>
      <w:rFonts w:ascii="Times New Roman" w:hAnsi="Times New Roman"/>
      <w:sz w:val="26"/>
    </w:rPr>
  </w:style>
  <w:style w:type="paragraph" w:customStyle="1" w:styleId="Textstyle">
    <w:name w:val="Text style"/>
    <w:basedOn w:val="Normal"/>
    <w:rsid w:val="00263A62"/>
    <w:pPr>
      <w:autoSpaceDE w:val="0"/>
      <w:autoSpaceDN w:val="0"/>
      <w:adjustRightInd w:val="0"/>
      <w:spacing w:after="0" w:line="480" w:lineRule="auto"/>
      <w:ind w:firstLine="720"/>
    </w:pPr>
    <w:rPr>
      <w:rFonts w:ascii="Times New Roman" w:hAnsi="Times New Roman" w:cs="Times New Roman"/>
      <w:sz w:val="26"/>
      <w:szCs w:val="26"/>
    </w:rPr>
  </w:style>
  <w:style w:type="paragraph" w:customStyle="1" w:styleId="Blockquote">
    <w:name w:val="Block quote"/>
    <w:basedOn w:val="Normal"/>
    <w:autoRedefine/>
    <w:rsid w:val="00263A62"/>
    <w:pPr>
      <w:autoSpaceDE w:val="0"/>
      <w:autoSpaceDN w:val="0"/>
      <w:adjustRightInd w:val="0"/>
      <w:spacing w:after="240" w:line="240" w:lineRule="auto"/>
      <w:ind w:left="1440" w:right="144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8500">
      <w:bodyDiv w:val="1"/>
      <w:marLeft w:val="0"/>
      <w:marRight w:val="0"/>
      <w:marTop w:val="0"/>
      <w:marBottom w:val="0"/>
      <w:divBdr>
        <w:top w:val="none" w:sz="0" w:space="0" w:color="auto"/>
        <w:left w:val="none" w:sz="0" w:space="0" w:color="auto"/>
        <w:bottom w:val="none" w:sz="0" w:space="0" w:color="auto"/>
        <w:right w:val="none" w:sz="0" w:space="0" w:color="auto"/>
      </w:divBdr>
    </w:div>
    <w:div w:id="943923663">
      <w:bodyDiv w:val="1"/>
      <w:marLeft w:val="0"/>
      <w:marRight w:val="0"/>
      <w:marTop w:val="0"/>
      <w:marBottom w:val="0"/>
      <w:divBdr>
        <w:top w:val="none" w:sz="0" w:space="0" w:color="auto"/>
        <w:left w:val="none" w:sz="0" w:space="0" w:color="auto"/>
        <w:bottom w:val="none" w:sz="0" w:space="0" w:color="auto"/>
        <w:right w:val="none" w:sz="0" w:space="0" w:color="auto"/>
      </w:divBdr>
    </w:div>
    <w:div w:id="14848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teven.beeler@puc.state.oh.u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ven.beeler@puc.state.oh.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2190-4D19-46D7-ADBE-9911A9D1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Beeler, Steven</dc:creator>
  <cp:lastModifiedBy>Scott, Tonnetta</cp:lastModifiedBy>
  <cp:revision>3</cp:revision>
  <dcterms:created xsi:type="dcterms:W3CDTF">2013-01-02T20:11:00Z</dcterms:created>
  <dcterms:modified xsi:type="dcterms:W3CDTF">2013-01-02T20:20:00Z</dcterms:modified>
</cp:coreProperties>
</file>