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03FB8" w14:textId="77777777" w:rsidR="008A2A27" w:rsidRDefault="008A2A27" w:rsidP="008A2A27">
      <w:pPr>
        <w:pStyle w:val="Title"/>
        <w:rPr>
          <w:szCs w:val="32"/>
        </w:rPr>
      </w:pPr>
      <w:bookmarkStart w:id="0" w:name="OLE_LINK1"/>
      <w:bookmarkStart w:id="1" w:name="OLE_LINK2"/>
      <w:bookmarkStart w:id="2" w:name="_GoBack"/>
      <w:bookmarkEnd w:id="2"/>
      <w:r>
        <w:rPr>
          <w:szCs w:val="32"/>
        </w:rPr>
        <w:t>Before</w:t>
      </w:r>
    </w:p>
    <w:p w14:paraId="204944E5" w14:textId="77777777" w:rsidR="008A2A27" w:rsidRDefault="008A2A27" w:rsidP="008A2A27">
      <w:pPr>
        <w:spacing w:line="240" w:lineRule="auto"/>
        <w:jc w:val="center"/>
        <w:rPr>
          <w:rFonts w:cs="Arial"/>
          <w:b/>
          <w:smallCaps/>
          <w:sz w:val="32"/>
          <w:szCs w:val="32"/>
        </w:rPr>
      </w:pPr>
      <w:r>
        <w:rPr>
          <w:rFonts w:cs="Arial"/>
          <w:b/>
          <w:smallCaps/>
          <w:sz w:val="32"/>
          <w:szCs w:val="32"/>
        </w:rPr>
        <w:t>The Public Utilities Commission of Ohio</w:t>
      </w:r>
    </w:p>
    <w:p w14:paraId="35E4D0DF" w14:textId="77777777" w:rsidR="008A2A27" w:rsidRDefault="008A2A27" w:rsidP="008A2A27">
      <w:pPr>
        <w:pStyle w:val="BodyTextIndent2"/>
        <w:ind w:left="0"/>
        <w:rPr>
          <w:sz w:val="24"/>
        </w:rPr>
      </w:pPr>
    </w:p>
    <w:p w14:paraId="262DC006" w14:textId="4497506F" w:rsidR="008A2A27" w:rsidRDefault="008A2A27" w:rsidP="008A2A27">
      <w:pPr>
        <w:pStyle w:val="BodyTextIndent2"/>
        <w:tabs>
          <w:tab w:val="left" w:pos="4320"/>
          <w:tab w:val="left" w:pos="5040"/>
        </w:tabs>
        <w:ind w:left="0"/>
        <w:rPr>
          <w:sz w:val="24"/>
        </w:rPr>
      </w:pPr>
    </w:p>
    <w:p w14:paraId="7BF58438" w14:textId="77777777" w:rsidR="006618E7" w:rsidRPr="00DB03BA" w:rsidRDefault="006618E7" w:rsidP="008A2A27">
      <w:pPr>
        <w:pStyle w:val="BodyTextIndent2"/>
        <w:tabs>
          <w:tab w:val="left" w:pos="4320"/>
          <w:tab w:val="left" w:pos="5040"/>
        </w:tabs>
        <w:ind w:left="0"/>
        <w:rPr>
          <w:sz w:val="24"/>
        </w:rPr>
      </w:pPr>
    </w:p>
    <w:p w14:paraId="7DC70053" w14:textId="139EA244" w:rsidR="008A2A27" w:rsidRDefault="008A2A27" w:rsidP="006618E7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DB03BA">
        <w:rPr>
          <w:rFonts w:cs="Arial"/>
          <w:bCs/>
        </w:rPr>
        <w:t xml:space="preserve">In the Matter of the </w:t>
      </w:r>
      <w:r>
        <w:rPr>
          <w:rFonts w:cs="Arial"/>
          <w:bCs/>
        </w:rPr>
        <w:t>Application of Ohio Edison</w:t>
      </w:r>
      <w:r>
        <w:rPr>
          <w:rFonts w:cs="Arial"/>
          <w:bCs/>
        </w:rPr>
        <w:tab/>
        <w:t>)</w:t>
      </w:r>
    </w:p>
    <w:p w14:paraId="715A0938" w14:textId="302479E4" w:rsidR="008A2A27" w:rsidRDefault="008A2A27" w:rsidP="006618E7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Company, The Cleveland Electric Illuminating</w:t>
      </w:r>
      <w:r>
        <w:rPr>
          <w:rFonts w:cs="Arial"/>
          <w:bCs/>
        </w:rPr>
        <w:tab/>
        <w:t>)</w:t>
      </w:r>
      <w:r>
        <w:rPr>
          <w:rFonts w:cs="Arial"/>
          <w:bCs/>
        </w:rPr>
        <w:tab/>
        <w:t>PUCO Case Nos.</w:t>
      </w:r>
      <w:r>
        <w:rPr>
          <w:rFonts w:cs="Arial"/>
          <w:bCs/>
        </w:rPr>
        <w:tab/>
        <w:t>12-2190-EL-POR</w:t>
      </w:r>
    </w:p>
    <w:p w14:paraId="3244B02F" w14:textId="7ECAEA3B" w:rsidR="008A2A27" w:rsidRDefault="008A2A27" w:rsidP="006618E7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Company, and The Toledo Edison Company</w:t>
      </w:r>
      <w:r>
        <w:rPr>
          <w:rFonts w:cs="Arial"/>
          <w:bCs/>
        </w:rPr>
        <w:tab/>
        <w:t>)</w:t>
      </w:r>
      <w:r w:rsidR="006618E7">
        <w:rPr>
          <w:rFonts w:cs="Arial"/>
          <w:bCs/>
        </w:rPr>
        <w:tab/>
      </w:r>
      <w:r w:rsidR="006618E7">
        <w:rPr>
          <w:rFonts w:cs="Arial"/>
          <w:bCs/>
        </w:rPr>
        <w:tab/>
        <w:t>12-2191-EL-POR</w:t>
      </w:r>
    </w:p>
    <w:p w14:paraId="23DE7353" w14:textId="4F414B15" w:rsidR="008A2A27" w:rsidRDefault="008A2A27" w:rsidP="006618E7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for Approval of Their Energy Efficiency and</w:t>
      </w:r>
      <w:r>
        <w:rPr>
          <w:rFonts w:cs="Arial"/>
          <w:bCs/>
        </w:rPr>
        <w:tab/>
        <w:t>)</w:t>
      </w:r>
      <w:r w:rsidR="006618E7">
        <w:rPr>
          <w:rFonts w:cs="Arial"/>
          <w:bCs/>
        </w:rPr>
        <w:tab/>
      </w:r>
      <w:r w:rsidR="006618E7">
        <w:rPr>
          <w:rFonts w:cs="Arial"/>
          <w:bCs/>
        </w:rPr>
        <w:tab/>
        <w:t>12-2192-EL-POR</w:t>
      </w:r>
    </w:p>
    <w:p w14:paraId="66FD6D0E" w14:textId="6C5AF482" w:rsidR="008A2A27" w:rsidRDefault="008A2A27" w:rsidP="006618E7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Peak Demand Reduction Program Plans</w:t>
      </w:r>
      <w:r>
        <w:rPr>
          <w:rFonts w:cs="Arial"/>
          <w:bCs/>
        </w:rPr>
        <w:tab/>
        <w:t>)</w:t>
      </w:r>
    </w:p>
    <w:p w14:paraId="55217C9C" w14:textId="79E5B502" w:rsidR="008A2A27" w:rsidRPr="00DB03BA" w:rsidRDefault="008A2A27" w:rsidP="006618E7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for 2013 Through 2015</w:t>
      </w:r>
      <w:r>
        <w:rPr>
          <w:rFonts w:cs="Arial"/>
          <w:bCs/>
        </w:rPr>
        <w:tab/>
        <w:t>)</w:t>
      </w:r>
    </w:p>
    <w:p w14:paraId="01F8EA3F" w14:textId="16EA5639" w:rsidR="008A2A27" w:rsidRDefault="008A2A27" w:rsidP="008A2A27">
      <w:pPr>
        <w:tabs>
          <w:tab w:val="left" w:pos="4680"/>
          <w:tab w:val="left" w:pos="5040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36FA8A45" w14:textId="77777777" w:rsidR="006618E7" w:rsidRPr="00DB03BA" w:rsidRDefault="006618E7" w:rsidP="008A2A27">
      <w:pPr>
        <w:tabs>
          <w:tab w:val="left" w:pos="4680"/>
          <w:tab w:val="left" w:pos="5040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11DB032E" w14:textId="77777777" w:rsidR="008A2A27" w:rsidRPr="0015430C" w:rsidRDefault="008A2A27" w:rsidP="008A2A27">
      <w:pPr>
        <w:autoSpaceDE w:val="0"/>
        <w:autoSpaceDN w:val="0"/>
        <w:adjustRightInd w:val="0"/>
        <w:spacing w:line="240" w:lineRule="auto"/>
        <w:rPr>
          <w:rFonts w:cs="Arial"/>
        </w:rPr>
      </w:pPr>
    </w:p>
    <w:bookmarkEnd w:id="0"/>
    <w:bookmarkEnd w:id="1"/>
    <w:p w14:paraId="3B6DDB42" w14:textId="77777777" w:rsidR="006511B2" w:rsidRPr="00DB03BA" w:rsidRDefault="006511B2" w:rsidP="006511B2">
      <w:pPr>
        <w:tabs>
          <w:tab w:val="left" w:pos="4680"/>
          <w:tab w:val="left" w:pos="5040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008133F2" w14:textId="77777777" w:rsidR="006511B2" w:rsidRDefault="006511B2" w:rsidP="006511B2">
      <w:pPr>
        <w:pBdr>
          <w:top w:val="single" w:sz="12" w:space="1" w:color="auto"/>
        </w:pBdr>
        <w:spacing w:line="240" w:lineRule="auto"/>
        <w:jc w:val="center"/>
        <w:rPr>
          <w:rFonts w:ascii="Arial Bold" w:hAnsi="Arial Bold"/>
          <w:b/>
          <w:smallCaps/>
          <w:sz w:val="28"/>
          <w:szCs w:val="28"/>
        </w:rPr>
      </w:pPr>
    </w:p>
    <w:p w14:paraId="77B26A88" w14:textId="77777777" w:rsidR="006511B2" w:rsidRPr="006511B2" w:rsidRDefault="006511B2" w:rsidP="006511B2">
      <w:pPr>
        <w:spacing w:line="240" w:lineRule="auto"/>
        <w:jc w:val="center"/>
        <w:rPr>
          <w:rFonts w:ascii="Arial Bold" w:hAnsi="Arial Bold"/>
          <w:b/>
          <w:smallCaps/>
          <w:sz w:val="32"/>
          <w:szCs w:val="32"/>
        </w:rPr>
      </w:pPr>
      <w:r w:rsidRPr="006511B2">
        <w:rPr>
          <w:rFonts w:ascii="Arial Bold" w:hAnsi="Arial Bold"/>
          <w:b/>
          <w:smallCaps/>
          <w:sz w:val="32"/>
          <w:szCs w:val="32"/>
        </w:rPr>
        <w:t>Industrial Energy Users-Ohio’s Memorandum Contra</w:t>
      </w:r>
    </w:p>
    <w:p w14:paraId="12ADD647" w14:textId="77777777" w:rsidR="006511B2" w:rsidRPr="006511B2" w:rsidRDefault="006511B2" w:rsidP="006511B2">
      <w:pPr>
        <w:spacing w:line="240" w:lineRule="auto"/>
        <w:jc w:val="center"/>
        <w:rPr>
          <w:rFonts w:ascii="Arial Bold" w:hAnsi="Arial Bold"/>
          <w:b/>
          <w:smallCaps/>
          <w:sz w:val="32"/>
          <w:szCs w:val="32"/>
        </w:rPr>
      </w:pPr>
      <w:r w:rsidRPr="006511B2">
        <w:rPr>
          <w:rFonts w:ascii="Arial Bold" w:hAnsi="Arial Bold"/>
          <w:b/>
          <w:smallCaps/>
          <w:sz w:val="32"/>
          <w:szCs w:val="32"/>
        </w:rPr>
        <w:t>to the Application for Rehearing Filed by the</w:t>
      </w:r>
    </w:p>
    <w:p w14:paraId="32020BFB" w14:textId="77777777" w:rsidR="006511B2" w:rsidRPr="006511B2" w:rsidRDefault="006511B2" w:rsidP="006511B2">
      <w:pPr>
        <w:spacing w:line="240" w:lineRule="auto"/>
        <w:jc w:val="center"/>
        <w:rPr>
          <w:rFonts w:ascii="Arial Bold" w:hAnsi="Arial Bold"/>
          <w:b/>
          <w:smallCaps/>
          <w:sz w:val="32"/>
          <w:szCs w:val="32"/>
        </w:rPr>
      </w:pPr>
      <w:r w:rsidRPr="006511B2">
        <w:rPr>
          <w:rFonts w:ascii="Arial Bold" w:hAnsi="Arial Bold"/>
          <w:b/>
          <w:smallCaps/>
          <w:sz w:val="32"/>
          <w:szCs w:val="32"/>
        </w:rPr>
        <w:t xml:space="preserve">Ohio Environmental Law &amp; Policy Center, </w:t>
      </w:r>
    </w:p>
    <w:p w14:paraId="139259C7" w14:textId="77777777" w:rsidR="006511B2" w:rsidRPr="006511B2" w:rsidRDefault="006511B2" w:rsidP="006511B2">
      <w:pPr>
        <w:spacing w:line="240" w:lineRule="auto"/>
        <w:jc w:val="center"/>
        <w:rPr>
          <w:rFonts w:ascii="Arial Bold" w:hAnsi="Arial Bold"/>
          <w:b/>
          <w:smallCaps/>
          <w:sz w:val="32"/>
          <w:szCs w:val="32"/>
        </w:rPr>
      </w:pPr>
      <w:r w:rsidRPr="006511B2">
        <w:rPr>
          <w:rFonts w:ascii="Arial Bold" w:hAnsi="Arial Bold"/>
          <w:b/>
          <w:smallCaps/>
          <w:sz w:val="32"/>
          <w:szCs w:val="32"/>
        </w:rPr>
        <w:t>Ohio Environmental Council and</w:t>
      </w:r>
    </w:p>
    <w:p w14:paraId="708AE69B" w14:textId="77777777" w:rsidR="006511B2" w:rsidRPr="006511B2" w:rsidRDefault="006511B2" w:rsidP="006511B2">
      <w:pPr>
        <w:spacing w:line="240" w:lineRule="auto"/>
        <w:jc w:val="center"/>
        <w:rPr>
          <w:rFonts w:ascii="Arial Bold" w:hAnsi="Arial Bold"/>
          <w:b/>
          <w:smallCaps/>
          <w:sz w:val="32"/>
          <w:szCs w:val="32"/>
        </w:rPr>
      </w:pPr>
      <w:r w:rsidRPr="006511B2">
        <w:rPr>
          <w:rFonts w:ascii="Arial Bold" w:hAnsi="Arial Bold"/>
          <w:b/>
          <w:smallCaps/>
          <w:sz w:val="32"/>
          <w:szCs w:val="32"/>
        </w:rPr>
        <w:t>Natural Resources Defense Council</w:t>
      </w:r>
    </w:p>
    <w:p w14:paraId="1BBDB4CF" w14:textId="77777777" w:rsidR="006511B2" w:rsidRPr="00E86B7B" w:rsidRDefault="006511B2" w:rsidP="006511B2">
      <w:pPr>
        <w:pStyle w:val="Title"/>
        <w:pBdr>
          <w:bottom w:val="single" w:sz="12" w:space="1" w:color="auto"/>
        </w:pBdr>
        <w:rPr>
          <w:sz w:val="28"/>
          <w:szCs w:val="28"/>
          <w:u w:val="single"/>
        </w:rPr>
      </w:pPr>
    </w:p>
    <w:p w14:paraId="57CE1D46" w14:textId="77777777" w:rsidR="006511B2" w:rsidRDefault="006511B2" w:rsidP="006511B2">
      <w:pPr>
        <w:pStyle w:val="Title"/>
        <w:rPr>
          <w:sz w:val="28"/>
          <w:u w:val="single"/>
        </w:rPr>
      </w:pPr>
    </w:p>
    <w:p w14:paraId="001ACDFB" w14:textId="77777777" w:rsidR="008A2A27" w:rsidRDefault="008A2A27" w:rsidP="008A2A27">
      <w:pPr>
        <w:pStyle w:val="Title"/>
        <w:rPr>
          <w:sz w:val="28"/>
          <w:u w:val="single"/>
        </w:rPr>
      </w:pPr>
    </w:p>
    <w:p w14:paraId="1F5CC2B1" w14:textId="14DE46A4" w:rsidR="008A2A27" w:rsidRDefault="008A2A27" w:rsidP="008A2A27">
      <w:pPr>
        <w:pStyle w:val="Title"/>
        <w:rPr>
          <w:sz w:val="28"/>
          <w:u w:val="single"/>
        </w:rPr>
      </w:pPr>
    </w:p>
    <w:p w14:paraId="255CCA63" w14:textId="6B1A2282" w:rsidR="00FB0B68" w:rsidRDefault="00FB0B68" w:rsidP="008A2A27">
      <w:pPr>
        <w:pStyle w:val="Title"/>
        <w:rPr>
          <w:sz w:val="28"/>
          <w:u w:val="single"/>
        </w:rPr>
      </w:pPr>
    </w:p>
    <w:p w14:paraId="64AAC684" w14:textId="068EA85F" w:rsidR="00006B3F" w:rsidRDefault="00006B3F" w:rsidP="008A2A27">
      <w:pPr>
        <w:pStyle w:val="Title"/>
        <w:rPr>
          <w:sz w:val="28"/>
          <w:u w:val="single"/>
        </w:rPr>
      </w:pPr>
    </w:p>
    <w:p w14:paraId="29DE0600" w14:textId="77777777" w:rsidR="00006B3F" w:rsidRDefault="00006B3F" w:rsidP="008A2A27">
      <w:pPr>
        <w:pStyle w:val="Title"/>
        <w:rPr>
          <w:sz w:val="28"/>
          <w:u w:val="single"/>
        </w:rPr>
      </w:pPr>
    </w:p>
    <w:p w14:paraId="6AD775DF" w14:textId="4598FE66" w:rsidR="006618E7" w:rsidRDefault="006618E7" w:rsidP="008A2A27">
      <w:pPr>
        <w:pStyle w:val="Title"/>
        <w:rPr>
          <w:sz w:val="28"/>
          <w:u w:val="single"/>
        </w:rPr>
      </w:pPr>
    </w:p>
    <w:p w14:paraId="19646513" w14:textId="77777777" w:rsidR="00006B3F" w:rsidRDefault="00006B3F" w:rsidP="008A2A27">
      <w:pPr>
        <w:pStyle w:val="Title"/>
        <w:rPr>
          <w:sz w:val="28"/>
          <w:u w:val="single"/>
        </w:rPr>
      </w:pPr>
    </w:p>
    <w:p w14:paraId="7C483B74" w14:textId="77777777" w:rsidR="008A2A27" w:rsidRDefault="008A2A27" w:rsidP="008A2A27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 w:rsidRPr="006F0994">
        <w:rPr>
          <w:rFonts w:ascii="Arial" w:hAnsi="Arial" w:cs="Arial"/>
          <w:bCs/>
        </w:rPr>
        <w:t>Frank P. Darr</w:t>
      </w:r>
      <w:r>
        <w:rPr>
          <w:rFonts w:ascii="Arial" w:hAnsi="Arial" w:cs="Arial"/>
          <w:b w:val="0"/>
          <w:bCs/>
        </w:rPr>
        <w:t xml:space="preserve"> (Reg. No. 0025469)</w:t>
      </w:r>
    </w:p>
    <w:p w14:paraId="7A1DD22A" w14:textId="77777777" w:rsidR="008A2A27" w:rsidRDefault="008A2A27" w:rsidP="008A2A27">
      <w:pPr>
        <w:tabs>
          <w:tab w:val="right" w:pos="8640"/>
        </w:tabs>
        <w:spacing w:line="240" w:lineRule="auto"/>
        <w:ind w:left="4320"/>
        <w:rPr>
          <w:rFonts w:cs="Arial"/>
        </w:rPr>
      </w:pPr>
      <w:r>
        <w:rPr>
          <w:rFonts w:cs="Arial"/>
        </w:rPr>
        <w:t xml:space="preserve">   (Counsel of Record)</w:t>
      </w:r>
    </w:p>
    <w:p w14:paraId="65148D5E" w14:textId="77777777" w:rsidR="008A2A27" w:rsidRDefault="008A2A27" w:rsidP="008A2A27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 w:rsidRPr="006F0994">
        <w:rPr>
          <w:rFonts w:ascii="Arial" w:hAnsi="Arial" w:cs="Arial"/>
          <w:bCs/>
        </w:rPr>
        <w:t>Matthew R. Pritchard</w:t>
      </w:r>
      <w:r>
        <w:rPr>
          <w:rFonts w:ascii="Arial" w:hAnsi="Arial" w:cs="Arial"/>
          <w:b w:val="0"/>
          <w:bCs/>
        </w:rPr>
        <w:t xml:space="preserve"> (Reg. No. 0088070)</w:t>
      </w:r>
    </w:p>
    <w:p w14:paraId="60802F94" w14:textId="77777777" w:rsidR="008A2A27" w:rsidRDefault="008A2A27" w:rsidP="008A2A27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14:paraId="30AE3834" w14:textId="77777777" w:rsidR="008A2A27" w:rsidRDefault="008A2A27" w:rsidP="008A2A27">
      <w:pPr>
        <w:pStyle w:val="BodyText3"/>
        <w:widowControl w:val="0"/>
        <w:ind w:left="4320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21 East State Street,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14:paraId="26AEEAE6" w14:textId="77777777" w:rsidR="008A2A27" w:rsidRDefault="008A2A27" w:rsidP="008A2A27">
      <w:pPr>
        <w:pStyle w:val="BodyText"/>
        <w:ind w:left="4320"/>
      </w:pPr>
      <w:r>
        <w:t>Columbus, OH  43215</w:t>
      </w:r>
    </w:p>
    <w:p w14:paraId="1F764263" w14:textId="77777777" w:rsidR="008A2A27" w:rsidRDefault="008A2A27" w:rsidP="008A2A27">
      <w:pPr>
        <w:pStyle w:val="BodyText"/>
        <w:ind w:left="4320"/>
      </w:pPr>
      <w:r>
        <w:t>Telephone:  (614) 469-8000</w:t>
      </w:r>
    </w:p>
    <w:p w14:paraId="16DD98B9" w14:textId="77777777" w:rsidR="008A2A27" w:rsidRDefault="008A2A27" w:rsidP="008A2A27">
      <w:pPr>
        <w:pStyle w:val="BodyText"/>
        <w:ind w:left="4320"/>
      </w:pPr>
      <w:r>
        <w:t>Telecopier:  (614) 469-4653</w:t>
      </w:r>
    </w:p>
    <w:p w14:paraId="4E38B2FE" w14:textId="77777777" w:rsidR="008A2A27" w:rsidRPr="00847C08" w:rsidRDefault="008A2A27" w:rsidP="008A2A27">
      <w:pPr>
        <w:pStyle w:val="BodyText"/>
        <w:ind w:left="4320"/>
      </w:pPr>
      <w:r w:rsidRPr="00847C08">
        <w:t>fdarr@mwncmh.com</w:t>
      </w:r>
    </w:p>
    <w:p w14:paraId="7037A68B" w14:textId="77777777" w:rsidR="008A2A27" w:rsidRPr="00847C08" w:rsidRDefault="008A2A27" w:rsidP="008A2A27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spacing w:line="240" w:lineRule="auto"/>
        <w:ind w:left="4320"/>
        <w:rPr>
          <w:rFonts w:eastAsia="Calibri" w:cs="Arial"/>
          <w:color w:val="000000"/>
        </w:rPr>
      </w:pPr>
      <w:r w:rsidRPr="00847C08">
        <w:rPr>
          <w:rFonts w:eastAsia="Calibri" w:cs="Arial"/>
          <w:color w:val="000000"/>
        </w:rPr>
        <w:t>(willing to accept service by e-mail)</w:t>
      </w:r>
    </w:p>
    <w:p w14:paraId="21FD0E65" w14:textId="77777777" w:rsidR="008A2A27" w:rsidRPr="00847C08" w:rsidRDefault="008A2A27" w:rsidP="008A2A27">
      <w:pPr>
        <w:pStyle w:val="BodyText"/>
        <w:ind w:left="4320"/>
      </w:pPr>
      <w:r w:rsidRPr="00847C08">
        <w:t>mpritchard@mwncmh.com</w:t>
      </w:r>
    </w:p>
    <w:p w14:paraId="041E01C0" w14:textId="77777777" w:rsidR="008A2A27" w:rsidRPr="00847C08" w:rsidRDefault="008A2A27" w:rsidP="008A2A27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spacing w:line="240" w:lineRule="auto"/>
        <w:ind w:left="4320"/>
        <w:rPr>
          <w:rFonts w:eastAsia="Calibri" w:cs="Arial"/>
          <w:color w:val="000000"/>
        </w:rPr>
      </w:pPr>
      <w:r w:rsidRPr="00847C08">
        <w:rPr>
          <w:rFonts w:eastAsia="Calibri" w:cs="Arial"/>
          <w:color w:val="000000"/>
        </w:rPr>
        <w:t>(willing to accept service by e-mail)</w:t>
      </w:r>
    </w:p>
    <w:p w14:paraId="0E35DA0D" w14:textId="77777777" w:rsidR="008A2A27" w:rsidRDefault="008A2A27" w:rsidP="008A2A27">
      <w:pPr>
        <w:tabs>
          <w:tab w:val="left" w:pos="4320"/>
          <w:tab w:val="right" w:pos="8640"/>
        </w:tabs>
        <w:spacing w:line="240" w:lineRule="auto"/>
      </w:pPr>
    </w:p>
    <w:p w14:paraId="42FADA26" w14:textId="78FB94A3" w:rsidR="008A2A27" w:rsidRPr="006F0994" w:rsidRDefault="008A2A27" w:rsidP="008A2A27">
      <w:pPr>
        <w:pStyle w:val="Title"/>
        <w:tabs>
          <w:tab w:val="left" w:pos="4320"/>
        </w:tabs>
        <w:ind w:left="4320" w:hanging="4320"/>
        <w:jc w:val="left"/>
        <w:rPr>
          <w:rFonts w:ascii="Arial Bold" w:hAnsi="Arial Bold"/>
          <w:sz w:val="24"/>
        </w:rPr>
        <w:sectPr w:rsidR="008A2A27" w:rsidRPr="006F0994" w:rsidSect="00006B3F">
          <w:footerReference w:type="even" r:id="rId8"/>
          <w:footerReference w:type="default" r:id="rId9"/>
          <w:footerReference w:type="first" r:id="rId10"/>
          <w:pgSz w:w="12240" w:h="15840" w:code="1"/>
          <w:pgMar w:top="1440" w:right="1440" w:bottom="720" w:left="1440" w:header="720" w:footer="504" w:gutter="0"/>
          <w:pgNumType w:start="1"/>
          <w:cols w:space="720"/>
          <w:titlePg/>
          <w:docGrid w:linePitch="326"/>
        </w:sectPr>
      </w:pPr>
      <w:r>
        <w:rPr>
          <w:rFonts w:ascii="Arial Bold" w:hAnsi="Arial Bold"/>
          <w:sz w:val="24"/>
        </w:rPr>
        <w:t>May 20, 2019</w:t>
      </w:r>
      <w:r w:rsidRPr="006F0994">
        <w:rPr>
          <w:rFonts w:ascii="Arial Bold" w:hAnsi="Arial Bold"/>
          <w:sz w:val="24"/>
        </w:rPr>
        <w:tab/>
      </w:r>
      <w:r>
        <w:rPr>
          <w:rFonts w:ascii="Arial Bold" w:hAnsi="Arial Bold"/>
          <w:sz w:val="24"/>
        </w:rPr>
        <w:t>Counsel</w:t>
      </w:r>
      <w:r w:rsidRPr="006F0994">
        <w:rPr>
          <w:rFonts w:ascii="Arial Bold" w:hAnsi="Arial Bold"/>
          <w:sz w:val="24"/>
        </w:rPr>
        <w:t xml:space="preserve"> for Industrial Energy Users-Ohio</w:t>
      </w:r>
    </w:p>
    <w:p w14:paraId="5D581CAE" w14:textId="77777777" w:rsidR="00E86B7B" w:rsidRPr="00E86B7B" w:rsidRDefault="00E86B7B" w:rsidP="00E86B7B">
      <w:pPr>
        <w:pStyle w:val="Title"/>
        <w:rPr>
          <w:sz w:val="28"/>
          <w:szCs w:val="28"/>
        </w:rPr>
      </w:pPr>
      <w:r w:rsidRPr="00E86B7B">
        <w:rPr>
          <w:sz w:val="28"/>
          <w:szCs w:val="28"/>
        </w:rPr>
        <w:lastRenderedPageBreak/>
        <w:t>Before</w:t>
      </w:r>
    </w:p>
    <w:p w14:paraId="185126D7" w14:textId="77777777" w:rsidR="00E86B7B" w:rsidRPr="00E86B7B" w:rsidRDefault="00E86B7B" w:rsidP="00E86B7B">
      <w:pPr>
        <w:spacing w:line="240" w:lineRule="auto"/>
        <w:jc w:val="center"/>
        <w:rPr>
          <w:rFonts w:cs="Arial"/>
          <w:b/>
          <w:smallCaps/>
          <w:sz w:val="28"/>
          <w:szCs w:val="28"/>
        </w:rPr>
      </w:pPr>
      <w:r w:rsidRPr="00E86B7B">
        <w:rPr>
          <w:rFonts w:cs="Arial"/>
          <w:b/>
          <w:smallCaps/>
          <w:sz w:val="28"/>
          <w:szCs w:val="28"/>
        </w:rPr>
        <w:t>The Public Utilities Commission of Ohio</w:t>
      </w:r>
    </w:p>
    <w:p w14:paraId="7C4BC198" w14:textId="77777777" w:rsidR="00E86B7B" w:rsidRPr="00E86B7B" w:rsidRDefault="00E86B7B" w:rsidP="00E86B7B">
      <w:pPr>
        <w:pStyle w:val="BodyTextIndent2"/>
        <w:ind w:left="0"/>
        <w:rPr>
          <w:sz w:val="28"/>
          <w:szCs w:val="28"/>
        </w:rPr>
      </w:pPr>
    </w:p>
    <w:p w14:paraId="014EECF8" w14:textId="77777777" w:rsidR="00E86B7B" w:rsidRDefault="00E86B7B" w:rsidP="00E86B7B">
      <w:pPr>
        <w:pStyle w:val="BodyTextIndent2"/>
        <w:tabs>
          <w:tab w:val="left" w:pos="4320"/>
          <w:tab w:val="left" w:pos="5040"/>
        </w:tabs>
        <w:ind w:left="0"/>
        <w:rPr>
          <w:sz w:val="24"/>
        </w:rPr>
      </w:pPr>
    </w:p>
    <w:p w14:paraId="3F5BA914" w14:textId="77777777" w:rsidR="00E86B7B" w:rsidRDefault="00E86B7B" w:rsidP="00E86B7B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 w:rsidRPr="00DB03BA">
        <w:rPr>
          <w:rFonts w:cs="Arial"/>
          <w:bCs/>
        </w:rPr>
        <w:t xml:space="preserve">In the Matter of the </w:t>
      </w:r>
      <w:r>
        <w:rPr>
          <w:rFonts w:cs="Arial"/>
          <w:bCs/>
        </w:rPr>
        <w:t>Application of Ohio Edison</w:t>
      </w:r>
      <w:r>
        <w:rPr>
          <w:rFonts w:cs="Arial"/>
          <w:bCs/>
        </w:rPr>
        <w:tab/>
        <w:t>)</w:t>
      </w:r>
    </w:p>
    <w:p w14:paraId="3A723E2E" w14:textId="77777777" w:rsidR="00E86B7B" w:rsidRDefault="00E86B7B" w:rsidP="00E86B7B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Company, The Cleveland Electric Illuminating</w:t>
      </w:r>
      <w:r>
        <w:rPr>
          <w:rFonts w:cs="Arial"/>
          <w:bCs/>
        </w:rPr>
        <w:tab/>
        <w:t>)</w:t>
      </w:r>
      <w:r>
        <w:rPr>
          <w:rFonts w:cs="Arial"/>
          <w:bCs/>
        </w:rPr>
        <w:tab/>
        <w:t>PUCO Case Nos.</w:t>
      </w:r>
      <w:r>
        <w:rPr>
          <w:rFonts w:cs="Arial"/>
          <w:bCs/>
        </w:rPr>
        <w:tab/>
        <w:t>12-2190-EL-POR</w:t>
      </w:r>
    </w:p>
    <w:p w14:paraId="4BC8435A" w14:textId="77777777" w:rsidR="00E86B7B" w:rsidRDefault="00E86B7B" w:rsidP="00E86B7B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Company, and The Toledo Edison Company</w:t>
      </w:r>
      <w:r>
        <w:rPr>
          <w:rFonts w:cs="Arial"/>
          <w:bCs/>
        </w:rPr>
        <w:tab/>
        <w:t>)</w:t>
      </w:r>
      <w:r>
        <w:rPr>
          <w:rFonts w:cs="Arial"/>
          <w:bCs/>
        </w:rPr>
        <w:tab/>
      </w:r>
      <w:r>
        <w:rPr>
          <w:rFonts w:cs="Arial"/>
          <w:bCs/>
        </w:rPr>
        <w:tab/>
        <w:t>12-2191-EL-POR</w:t>
      </w:r>
    </w:p>
    <w:p w14:paraId="5CCCA8F6" w14:textId="77777777" w:rsidR="00E86B7B" w:rsidRDefault="00E86B7B" w:rsidP="00E86B7B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for Approval of Their Energy Efficiency and</w:t>
      </w:r>
      <w:r>
        <w:rPr>
          <w:rFonts w:cs="Arial"/>
          <w:bCs/>
        </w:rPr>
        <w:tab/>
        <w:t>)</w:t>
      </w:r>
      <w:r>
        <w:rPr>
          <w:rFonts w:cs="Arial"/>
          <w:bCs/>
        </w:rPr>
        <w:tab/>
      </w:r>
      <w:r>
        <w:rPr>
          <w:rFonts w:cs="Arial"/>
          <w:bCs/>
        </w:rPr>
        <w:tab/>
        <w:t>12-2192-EL-POR</w:t>
      </w:r>
    </w:p>
    <w:p w14:paraId="327ADA55" w14:textId="77777777" w:rsidR="00E86B7B" w:rsidRDefault="00E86B7B" w:rsidP="00E86B7B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Peak Demand Reduction Program Plans</w:t>
      </w:r>
      <w:r>
        <w:rPr>
          <w:rFonts w:cs="Arial"/>
          <w:bCs/>
        </w:rPr>
        <w:tab/>
        <w:t>)</w:t>
      </w:r>
    </w:p>
    <w:p w14:paraId="2E16B71C" w14:textId="77777777" w:rsidR="00E86B7B" w:rsidRPr="00DB03BA" w:rsidRDefault="00E86B7B" w:rsidP="00E86B7B">
      <w:pPr>
        <w:tabs>
          <w:tab w:val="left" w:pos="5040"/>
          <w:tab w:val="left" w:pos="5400"/>
          <w:tab w:val="left" w:pos="7380"/>
        </w:tabs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>for 2013 Through 2015</w:t>
      </w:r>
      <w:r>
        <w:rPr>
          <w:rFonts w:cs="Arial"/>
          <w:bCs/>
        </w:rPr>
        <w:tab/>
        <w:t>)</w:t>
      </w:r>
    </w:p>
    <w:p w14:paraId="387B8AE8" w14:textId="77777777" w:rsidR="00E86B7B" w:rsidRDefault="00E86B7B" w:rsidP="00E86B7B">
      <w:pPr>
        <w:tabs>
          <w:tab w:val="left" w:pos="4680"/>
          <w:tab w:val="left" w:pos="5040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768CC909" w14:textId="77777777" w:rsidR="00E86B7B" w:rsidRPr="00DB03BA" w:rsidRDefault="00E86B7B" w:rsidP="00E86B7B">
      <w:pPr>
        <w:tabs>
          <w:tab w:val="left" w:pos="4680"/>
          <w:tab w:val="left" w:pos="5040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3BC9B545" w14:textId="77777777" w:rsidR="006511B2" w:rsidRDefault="006511B2" w:rsidP="006511B2">
      <w:pPr>
        <w:pBdr>
          <w:top w:val="single" w:sz="12" w:space="1" w:color="auto"/>
        </w:pBdr>
        <w:spacing w:line="240" w:lineRule="auto"/>
        <w:jc w:val="center"/>
        <w:rPr>
          <w:rFonts w:ascii="Arial Bold" w:hAnsi="Arial Bold"/>
          <w:b/>
          <w:smallCaps/>
          <w:sz w:val="28"/>
          <w:szCs w:val="28"/>
        </w:rPr>
      </w:pPr>
    </w:p>
    <w:p w14:paraId="730E5C34" w14:textId="78039074" w:rsidR="00E86B7B" w:rsidRPr="00E86B7B" w:rsidRDefault="00E86B7B" w:rsidP="00E86B7B">
      <w:pPr>
        <w:spacing w:line="240" w:lineRule="auto"/>
        <w:jc w:val="center"/>
        <w:rPr>
          <w:rFonts w:ascii="Arial Bold" w:hAnsi="Arial Bold"/>
          <w:b/>
          <w:smallCaps/>
          <w:sz w:val="28"/>
          <w:szCs w:val="28"/>
        </w:rPr>
      </w:pPr>
      <w:r w:rsidRPr="00E86B7B">
        <w:rPr>
          <w:rFonts w:ascii="Arial Bold" w:hAnsi="Arial Bold"/>
          <w:b/>
          <w:smallCaps/>
          <w:sz w:val="28"/>
          <w:szCs w:val="28"/>
        </w:rPr>
        <w:t>Industrial Energy Users-Ohio’s Memorandum Contra</w:t>
      </w:r>
    </w:p>
    <w:p w14:paraId="08F427D0" w14:textId="77777777" w:rsidR="00E86B7B" w:rsidRPr="00E86B7B" w:rsidRDefault="00E86B7B" w:rsidP="00E86B7B">
      <w:pPr>
        <w:spacing w:line="240" w:lineRule="auto"/>
        <w:jc w:val="center"/>
        <w:rPr>
          <w:rFonts w:ascii="Arial Bold" w:hAnsi="Arial Bold"/>
          <w:b/>
          <w:smallCaps/>
          <w:sz w:val="28"/>
          <w:szCs w:val="28"/>
        </w:rPr>
      </w:pPr>
      <w:r w:rsidRPr="00E86B7B">
        <w:rPr>
          <w:rFonts w:ascii="Arial Bold" w:hAnsi="Arial Bold"/>
          <w:b/>
          <w:smallCaps/>
          <w:sz w:val="28"/>
          <w:szCs w:val="28"/>
        </w:rPr>
        <w:t>to the Application for Rehearing Filed by the</w:t>
      </w:r>
    </w:p>
    <w:p w14:paraId="19A7FFDA" w14:textId="77777777" w:rsidR="00E86B7B" w:rsidRPr="00E86B7B" w:rsidRDefault="00E86B7B" w:rsidP="00E86B7B">
      <w:pPr>
        <w:spacing w:line="240" w:lineRule="auto"/>
        <w:jc w:val="center"/>
        <w:rPr>
          <w:rFonts w:ascii="Arial Bold" w:hAnsi="Arial Bold"/>
          <w:b/>
          <w:smallCaps/>
          <w:sz w:val="28"/>
          <w:szCs w:val="28"/>
        </w:rPr>
      </w:pPr>
      <w:r w:rsidRPr="00E86B7B">
        <w:rPr>
          <w:rFonts w:ascii="Arial Bold" w:hAnsi="Arial Bold"/>
          <w:b/>
          <w:smallCaps/>
          <w:sz w:val="28"/>
          <w:szCs w:val="28"/>
        </w:rPr>
        <w:t xml:space="preserve">Ohio Environmental Law &amp; Policy Center, </w:t>
      </w:r>
    </w:p>
    <w:p w14:paraId="5D0F04E4" w14:textId="77777777" w:rsidR="00E86B7B" w:rsidRPr="00E86B7B" w:rsidRDefault="00E86B7B" w:rsidP="00E86B7B">
      <w:pPr>
        <w:spacing w:line="240" w:lineRule="auto"/>
        <w:jc w:val="center"/>
        <w:rPr>
          <w:rFonts w:ascii="Arial Bold" w:hAnsi="Arial Bold"/>
          <w:b/>
          <w:smallCaps/>
          <w:sz w:val="28"/>
          <w:szCs w:val="28"/>
        </w:rPr>
      </w:pPr>
      <w:r w:rsidRPr="00E86B7B">
        <w:rPr>
          <w:rFonts w:ascii="Arial Bold" w:hAnsi="Arial Bold"/>
          <w:b/>
          <w:smallCaps/>
          <w:sz w:val="28"/>
          <w:szCs w:val="28"/>
        </w:rPr>
        <w:t>Ohio Environmental Council and</w:t>
      </w:r>
    </w:p>
    <w:p w14:paraId="243B8F99" w14:textId="77777777" w:rsidR="00E86B7B" w:rsidRPr="00E86B7B" w:rsidRDefault="00E86B7B" w:rsidP="00E86B7B">
      <w:pPr>
        <w:spacing w:line="240" w:lineRule="auto"/>
        <w:jc w:val="center"/>
        <w:rPr>
          <w:rFonts w:ascii="Arial Bold" w:hAnsi="Arial Bold"/>
          <w:b/>
          <w:smallCaps/>
          <w:sz w:val="28"/>
          <w:szCs w:val="28"/>
        </w:rPr>
      </w:pPr>
      <w:r w:rsidRPr="00E86B7B">
        <w:rPr>
          <w:rFonts w:ascii="Arial Bold" w:hAnsi="Arial Bold"/>
          <w:b/>
          <w:smallCaps/>
          <w:sz w:val="28"/>
          <w:szCs w:val="28"/>
        </w:rPr>
        <w:t>Natural Resources Defense Council</w:t>
      </w:r>
    </w:p>
    <w:p w14:paraId="1C00A239" w14:textId="77777777" w:rsidR="00E86B7B" w:rsidRPr="00E86B7B" w:rsidRDefault="00E86B7B" w:rsidP="00E86B7B">
      <w:pPr>
        <w:pStyle w:val="Title"/>
        <w:pBdr>
          <w:bottom w:val="single" w:sz="12" w:space="1" w:color="auto"/>
        </w:pBdr>
        <w:rPr>
          <w:sz w:val="28"/>
          <w:szCs w:val="28"/>
          <w:u w:val="single"/>
        </w:rPr>
      </w:pPr>
    </w:p>
    <w:p w14:paraId="5F5C1CAD" w14:textId="77777777" w:rsidR="00E86B7B" w:rsidRDefault="00E86B7B" w:rsidP="00E86B7B">
      <w:pPr>
        <w:pStyle w:val="Title"/>
        <w:rPr>
          <w:sz w:val="28"/>
          <w:u w:val="single"/>
        </w:rPr>
      </w:pPr>
    </w:p>
    <w:p w14:paraId="6BC50CFC" w14:textId="77777777" w:rsidR="00E86B7B" w:rsidRDefault="00E86B7B" w:rsidP="00E86B7B">
      <w:pPr>
        <w:pStyle w:val="Title"/>
        <w:rPr>
          <w:sz w:val="28"/>
          <w:u w:val="single"/>
        </w:rPr>
      </w:pPr>
    </w:p>
    <w:p w14:paraId="4ABDADA3" w14:textId="50EE9EF9" w:rsidR="003D1D4F" w:rsidRDefault="003D1D4F" w:rsidP="00006B3F">
      <w:pPr>
        <w:pStyle w:val="Heading1"/>
      </w:pPr>
      <w:r>
        <w:t>ARGUMENT</w:t>
      </w:r>
    </w:p>
    <w:p w14:paraId="4BA1D902" w14:textId="59B1F68E" w:rsidR="00B94B23" w:rsidRDefault="002E3FF1" w:rsidP="002E3FF1">
      <w:pPr>
        <w:ind w:firstLine="720"/>
      </w:pPr>
      <w:r>
        <w:t xml:space="preserve">The Environmental Law </w:t>
      </w:r>
      <w:r w:rsidR="00FB0B68">
        <w:t xml:space="preserve">&amp; </w:t>
      </w:r>
      <w:r>
        <w:t>Policy Center, Ohio Environmental Council, and Natural Resource</w:t>
      </w:r>
      <w:r w:rsidR="00FB0B68">
        <w:t>s</w:t>
      </w:r>
      <w:r>
        <w:t xml:space="preserve"> Defense Council (collectively, “</w:t>
      </w:r>
      <w:r w:rsidR="00DB14F9">
        <w:t>Environmental Advocates</w:t>
      </w:r>
      <w:r>
        <w:t>”)</w:t>
      </w:r>
      <w:r w:rsidR="00DB14F9">
        <w:t xml:space="preserve"> seek rehearing </w:t>
      </w:r>
      <w:r>
        <w:t>of the Public Utilities Commission of Ohio’s (“Commission”) Fifth Entry on Rehearing</w:t>
      </w:r>
      <w:r w:rsidR="001A6B6C">
        <w:t>.  The Environmental Advocates</w:t>
      </w:r>
      <w:r w:rsidR="00DB14F9">
        <w:t xml:space="preserve"> advance the claim that the Commission must exclude </w:t>
      </w:r>
      <w:r w:rsidR="00A349A1">
        <w:t xml:space="preserve">from the </w:t>
      </w:r>
      <w:r w:rsidR="00FB0B68">
        <w:t>energy efficiency and peak demand reduction (“</w:t>
      </w:r>
      <w:r w:rsidR="00DB14F9">
        <w:t>EE/PDR</w:t>
      </w:r>
      <w:r w:rsidR="00FB0B68">
        <w:t>”)</w:t>
      </w:r>
      <w:r w:rsidR="00DB14F9">
        <w:t xml:space="preserve"> </w:t>
      </w:r>
      <w:r w:rsidR="00A349A1">
        <w:t xml:space="preserve">compliance calculation </w:t>
      </w:r>
      <w:r w:rsidR="00DB14F9">
        <w:t xml:space="preserve">savings </w:t>
      </w:r>
      <w:r w:rsidR="00A349A1">
        <w:t xml:space="preserve">actually </w:t>
      </w:r>
      <w:r w:rsidR="00DB14F9">
        <w:t xml:space="preserve">achieved by </w:t>
      </w:r>
      <w:r w:rsidR="00B94B23">
        <w:t xml:space="preserve">customers electing to opt-out of the EE/PDR requirements under the provisions of </w:t>
      </w:r>
      <w:r w:rsidR="00DB14F9">
        <w:t xml:space="preserve">SB 310.  </w:t>
      </w:r>
      <w:r w:rsidR="00AB3D07">
        <w:t xml:space="preserve">Because the Commission correctly concluded </w:t>
      </w:r>
      <w:r w:rsidR="004C47DD">
        <w:t>i</w:t>
      </w:r>
      <w:r w:rsidR="00AB3D07">
        <w:t xml:space="preserve">n the Fifth Entry on </w:t>
      </w:r>
      <w:r w:rsidR="00AB3D07">
        <w:lastRenderedPageBreak/>
        <w:t>Rehearing that these savings should continue to be counted, the Commission should deny the application for rehearing of the Environmental Advocates.</w:t>
      </w:r>
      <w:r w:rsidR="00AB3D07">
        <w:rPr>
          <w:rStyle w:val="FootnoteReference"/>
        </w:rPr>
        <w:footnoteReference w:id="1"/>
      </w:r>
    </w:p>
    <w:p w14:paraId="1B0EF62C" w14:textId="4B59F52A" w:rsidR="00212A40" w:rsidRDefault="00AE2534">
      <w:r>
        <w:tab/>
      </w:r>
      <w:r w:rsidR="00AB3D07">
        <w:t xml:space="preserve">The calculation of </w:t>
      </w:r>
      <w:r w:rsidR="00EE106E">
        <w:t xml:space="preserve">the EE/PDR </w:t>
      </w:r>
      <w:r w:rsidR="00AB3D07">
        <w:t xml:space="preserve">savings </w:t>
      </w:r>
      <w:r w:rsidR="00EE106E">
        <w:t xml:space="preserve">at issue </w:t>
      </w:r>
      <w:r w:rsidR="00AB3D07">
        <w:t xml:space="preserve">is </w:t>
      </w:r>
      <w:r w:rsidR="00EE106E">
        <w:t>specified in</w:t>
      </w:r>
      <w:r w:rsidR="00AB3D07">
        <w:t xml:space="preserve"> statute.  </w:t>
      </w:r>
      <w:r>
        <w:t>R.C.</w:t>
      </w:r>
      <w:r w:rsidR="004C47DD">
        <w:t> </w:t>
      </w:r>
      <w:r>
        <w:t>4928.66</w:t>
      </w:r>
      <w:r w:rsidR="00AB3D07">
        <w:t>2</w:t>
      </w:r>
      <w:r>
        <w:t xml:space="preserve"> </w:t>
      </w:r>
      <w:r w:rsidR="004546FA">
        <w:t>requires that the Commission count all EE/PDR savings already approved by the Commission</w:t>
      </w:r>
      <w:r w:rsidR="00674BD0">
        <w:t xml:space="preserve"> (</w:t>
      </w:r>
      <w:r w:rsidR="00674BD0" w:rsidRPr="006E1A09">
        <w:rPr>
          <w:i/>
        </w:rPr>
        <w:t>e.g.</w:t>
      </w:r>
      <w:r w:rsidR="00674BD0">
        <w:t xml:space="preserve"> all savings committed under the mercantile customer application process and approved under the automatic approval process)</w:t>
      </w:r>
      <w:r w:rsidR="004546FA">
        <w:t xml:space="preserve">.  </w:t>
      </w:r>
      <w:r w:rsidR="00EE106E">
        <w:t>A</w:t>
      </w:r>
      <w:r>
        <w:t xml:space="preserve"> SB 310 </w:t>
      </w:r>
      <w:r w:rsidR="00FB0B68">
        <w:t>opt-out</w:t>
      </w:r>
      <w:r w:rsidR="00EE106E">
        <w:t xml:space="preserve"> customer’s savings that</w:t>
      </w:r>
      <w:r>
        <w:t xml:space="preserve"> </w:t>
      </w:r>
      <w:r w:rsidR="00EE106E">
        <w:t>ha</w:t>
      </w:r>
      <w:r w:rsidR="00674BD0">
        <w:t>ve</w:t>
      </w:r>
      <w:r w:rsidR="00EE106E">
        <w:t xml:space="preserve"> </w:t>
      </w:r>
      <w:r>
        <w:t>already</w:t>
      </w:r>
      <w:r w:rsidR="00EE106E">
        <w:t xml:space="preserve"> been</w:t>
      </w:r>
      <w:r>
        <w:t xml:space="preserve"> committed</w:t>
      </w:r>
      <w:r w:rsidR="00EE106E">
        <w:t xml:space="preserve"> and </w:t>
      </w:r>
      <w:r>
        <w:t>approved by the Commission “shall</w:t>
      </w:r>
      <w:r w:rsidR="0094349C">
        <w:t>,</w:t>
      </w:r>
      <w:r>
        <w:t xml:space="preserve">” as a matter of law, continue to be counted for </w:t>
      </w:r>
      <w:r w:rsidR="00FB0B68">
        <w:t xml:space="preserve">the </w:t>
      </w:r>
      <w:r>
        <w:t xml:space="preserve">“purpose of measuring and determining compliance” with the EE/PDR mandates.  </w:t>
      </w:r>
      <w:r w:rsidR="0094349C">
        <w:t xml:space="preserve">Simply stated, the General Assembly gave the Commission no discretion to exclude from the numerator of the compliance calculation EE/PDR savings </w:t>
      </w:r>
      <w:r w:rsidR="00A349A1">
        <w:t xml:space="preserve">committed by SB 310 opt-out customers and which have </w:t>
      </w:r>
      <w:r w:rsidR="0094349C">
        <w:t>already</w:t>
      </w:r>
      <w:r w:rsidR="00A349A1">
        <w:t xml:space="preserve"> been</w:t>
      </w:r>
      <w:r w:rsidR="0094349C">
        <w:t xml:space="preserve"> approved by the Commission.</w:t>
      </w:r>
    </w:p>
    <w:p w14:paraId="2806C4A9" w14:textId="1102FC40" w:rsidR="0094349C" w:rsidRDefault="0094349C">
      <w:r>
        <w:tab/>
        <w:t>The timing of the enactment of R.C. 4928.66</w:t>
      </w:r>
      <w:r w:rsidR="00FB0B68">
        <w:t>2</w:t>
      </w:r>
      <w:r>
        <w:t xml:space="preserve"> further undercuts the Environmental</w:t>
      </w:r>
      <w:r w:rsidR="00A349A1">
        <w:t xml:space="preserve"> A</w:t>
      </w:r>
      <w:r>
        <w:t>dvocates</w:t>
      </w:r>
      <w:r w:rsidR="00A349A1">
        <w:t>’</w:t>
      </w:r>
      <w:r>
        <w:t xml:space="preserve"> argument.  </w:t>
      </w:r>
      <w:r w:rsidR="00AB3D07">
        <w:t xml:space="preserve">The Environmental </w:t>
      </w:r>
      <w:r w:rsidR="00FB0B68">
        <w:t>A</w:t>
      </w:r>
      <w:r w:rsidR="00AB3D07">
        <w:t xml:space="preserve">dvocates assert that </w:t>
      </w:r>
      <w:r w:rsidR="00FB0B68">
        <w:t xml:space="preserve">a </w:t>
      </w:r>
      <w:r w:rsidR="00AB3D07">
        <w:t>customer’s EE/PDR savings should be removed from the numerator</w:t>
      </w:r>
      <w:r w:rsidR="00AB3D07" w:rsidRPr="003750C1">
        <w:t xml:space="preserve"> </w:t>
      </w:r>
      <w:r w:rsidR="00AB3D07">
        <w:t>because SB 310 requires the removal of a SB 310 o</w:t>
      </w:r>
      <w:r w:rsidR="00FB0B68">
        <w:t>p</w:t>
      </w:r>
      <w:r w:rsidR="00AB3D07">
        <w:t>t-out customer’s usage from the compliance baseline (denominator of calculation)</w:t>
      </w:r>
      <w:r>
        <w:t>.</w:t>
      </w:r>
      <w:r>
        <w:rPr>
          <w:rStyle w:val="FootnoteReference"/>
        </w:rPr>
        <w:footnoteReference w:id="2"/>
      </w:r>
      <w:r>
        <w:t xml:space="preserve">  </w:t>
      </w:r>
      <w:r w:rsidR="00AB3D07">
        <w:t>But, R.C. 4928.66</w:t>
      </w:r>
      <w:r w:rsidR="00FB0B68">
        <w:t>2</w:t>
      </w:r>
      <w:r w:rsidR="00AB3D07">
        <w:t xml:space="preserve"> prohibits the Commission from excluding EE/PDR savings already approved from the numerator of the compliance calculation.  The Commission must give full effect to the law; it cannot ignore this section </w:t>
      </w:r>
      <w:r w:rsidR="00674BD0">
        <w:t>based on the policy goals desired by the Environmental Advocates</w:t>
      </w:r>
      <w:r w:rsidR="00AB3D07">
        <w:t>.</w:t>
      </w:r>
    </w:p>
    <w:p w14:paraId="26B35698" w14:textId="7C17A9E4" w:rsidR="0094349C" w:rsidRDefault="0094349C">
      <w:r>
        <w:lastRenderedPageBreak/>
        <w:tab/>
        <w:t xml:space="preserve">Furthermore, the law has always required an </w:t>
      </w:r>
      <w:r w:rsidR="00FB0B68">
        <w:t>electric distribution utility (“</w:t>
      </w:r>
      <w:r>
        <w:t>EDU</w:t>
      </w:r>
      <w:r w:rsidR="00FB0B68">
        <w:t>”)</w:t>
      </w:r>
      <w:r>
        <w:t xml:space="preserve"> to </w:t>
      </w:r>
      <w:r w:rsidR="00B97D3C">
        <w:t>include in the numerator of the EE/PDR compliance calculation savings achieved outside of the portfolio plans.  Specifically, R.C. 4928.66(A)(2)(c) provides that compliance with the EE/PDR mandates</w:t>
      </w:r>
      <w:r w:rsidR="00674BD0">
        <w:t>:</w:t>
      </w:r>
      <w:r w:rsidR="00B97D3C">
        <w:t xml:space="preserve"> </w:t>
      </w:r>
    </w:p>
    <w:p w14:paraId="490DDED5" w14:textId="5BC2F71B" w:rsidR="00B97D3C" w:rsidRDefault="00B97D3C" w:rsidP="00B97D3C">
      <w:pPr>
        <w:spacing w:line="240" w:lineRule="auto"/>
        <w:ind w:left="720" w:right="720"/>
      </w:pPr>
      <w:r>
        <w:t>shall be measured by including the effects of all demand-response programs for mercantile customers of the subject electric distribution utility, all waste energy recovery systems and all combined heat and power systems, and all such mercantile customer-sited energy efficiency, including waste energy recovery and combined heat and power, and peak demand reduction programs, adjusted upward by the appropriate loss factors.</w:t>
      </w:r>
      <w:r w:rsidR="00C3460C">
        <w:rPr>
          <w:rStyle w:val="FootnoteReference"/>
        </w:rPr>
        <w:footnoteReference w:id="3"/>
      </w:r>
    </w:p>
    <w:p w14:paraId="342A7483" w14:textId="77777777" w:rsidR="00AE545B" w:rsidRDefault="00AE545B" w:rsidP="00AE545B">
      <w:pPr>
        <w:spacing w:line="240" w:lineRule="auto"/>
      </w:pPr>
    </w:p>
    <w:p w14:paraId="5BC484FA" w14:textId="53A75A7E" w:rsidR="00AE545B" w:rsidRDefault="00AE545B">
      <w:r>
        <w:t xml:space="preserve">SB 310 did not alter this provision.  </w:t>
      </w:r>
    </w:p>
    <w:p w14:paraId="1D2E5E4A" w14:textId="551F37A1" w:rsidR="00B97D3C" w:rsidRDefault="00AE545B" w:rsidP="006E1A09">
      <w:r>
        <w:tab/>
        <w:t xml:space="preserve">The law is clear as to what must be counted </w:t>
      </w:r>
      <w:r w:rsidR="00A349A1">
        <w:t xml:space="preserve">with respect to the EE/PDR savings achieved by SB </w:t>
      </w:r>
      <w:r w:rsidR="004A6C0B">
        <w:t>3</w:t>
      </w:r>
      <w:r w:rsidR="00A349A1">
        <w:t>10 opt-out customers</w:t>
      </w:r>
      <w:r>
        <w:t xml:space="preserve">.  </w:t>
      </w:r>
      <w:r w:rsidR="000E487E">
        <w:t>T</w:t>
      </w:r>
      <w:r>
        <w:t xml:space="preserve">he Commission shall </w:t>
      </w:r>
      <w:r w:rsidR="00674BD0">
        <w:t xml:space="preserve">continue to </w:t>
      </w:r>
      <w:r>
        <w:t xml:space="preserve">count all EE/PDR savings already </w:t>
      </w:r>
      <w:r w:rsidR="000E487E">
        <w:t xml:space="preserve">committed and </w:t>
      </w:r>
      <w:r>
        <w:t>approved.</w:t>
      </w:r>
      <w:r w:rsidR="006E1A09">
        <w:rPr>
          <w:rStyle w:val="FootnoteReference"/>
        </w:rPr>
        <w:footnoteReference w:id="4"/>
      </w:r>
      <w:r>
        <w:t xml:space="preserve">  </w:t>
      </w:r>
      <w:r w:rsidR="00C3460C">
        <w:t>Moreover, counting EE/PDR savings achieved outside of portfolio plans has been required since the creat</w:t>
      </w:r>
      <w:r w:rsidR="00CD73AB">
        <w:t>ion</w:t>
      </w:r>
      <w:r w:rsidR="00C3460C">
        <w:t xml:space="preserve"> of the EE/PDR mandates in 2008.  </w:t>
      </w:r>
      <w:r w:rsidR="00AB3D07">
        <w:t>The Environmental Advocates</w:t>
      </w:r>
      <w:r w:rsidR="006511B2">
        <w:t>’</w:t>
      </w:r>
      <w:r w:rsidR="00AB3D07">
        <w:t xml:space="preserve"> position is incompatible with the law and should be rejected.</w:t>
      </w:r>
    </w:p>
    <w:p w14:paraId="16E3ECD7" w14:textId="166CE2DB" w:rsidR="007D5810" w:rsidRPr="003D1D4F" w:rsidRDefault="007D5810" w:rsidP="00006B3F">
      <w:pPr>
        <w:pStyle w:val="Heading1"/>
      </w:pPr>
      <w:r w:rsidRPr="001A6B6C">
        <w:t>CONCLUSION</w:t>
      </w:r>
    </w:p>
    <w:p w14:paraId="4101B12C" w14:textId="5AE05498" w:rsidR="007D5810" w:rsidRDefault="007D5810" w:rsidP="006975F5">
      <w:r>
        <w:tab/>
        <w:t xml:space="preserve">The Environmental Advocates ask that the Commission exclude EE/PDR savings </w:t>
      </w:r>
      <w:r w:rsidR="008455FA">
        <w:t xml:space="preserve">committed by SB 310 opt-out customers </w:t>
      </w:r>
      <w:r>
        <w:t xml:space="preserve">from </w:t>
      </w:r>
      <w:r w:rsidR="003D1D4F">
        <w:t>counting towards compliance with the EE/PDR mandates.  Their argument is in direct conflict with R.C. 4928.66</w:t>
      </w:r>
      <w:r w:rsidR="006511B2">
        <w:t>2</w:t>
      </w:r>
      <w:r w:rsidR="003D1D4F">
        <w:t xml:space="preserve"> and R.C.</w:t>
      </w:r>
      <w:r w:rsidR="006511B2">
        <w:t> </w:t>
      </w:r>
      <w:r w:rsidR="003D1D4F">
        <w:t xml:space="preserve">4928.66(A)(2)(c).  Moreover, their position would needlessly increase the costs to </w:t>
      </w:r>
      <w:r w:rsidR="003D1D4F">
        <w:lastRenderedPageBreak/>
        <w:t>comply with the EE/PDR mandates.  Their application for rehearing seeks an unlawful and unreasonable result and should be denied.</w:t>
      </w:r>
    </w:p>
    <w:p w14:paraId="1A6F508B" w14:textId="77777777" w:rsidR="00E86B7B" w:rsidRDefault="00E86B7B" w:rsidP="00E86B7B">
      <w:pPr>
        <w:tabs>
          <w:tab w:val="left" w:pos="4320"/>
          <w:tab w:val="right" w:pos="8640"/>
        </w:tabs>
        <w:spacing w:line="240" w:lineRule="auto"/>
        <w:ind w:left="4320"/>
        <w:rPr>
          <w:rFonts w:eastAsia="Times New Roman" w:cs="Arial"/>
        </w:rPr>
      </w:pPr>
      <w:r>
        <w:rPr>
          <w:rFonts w:eastAsia="Times New Roman" w:cs="Arial"/>
        </w:rPr>
        <w:t>Respectfully submitted,</w:t>
      </w:r>
    </w:p>
    <w:p w14:paraId="3B71B306" w14:textId="77777777" w:rsidR="00E86B7B" w:rsidRDefault="00E86B7B" w:rsidP="00E86B7B">
      <w:pPr>
        <w:tabs>
          <w:tab w:val="left" w:pos="4320"/>
          <w:tab w:val="right" w:pos="8640"/>
        </w:tabs>
        <w:spacing w:line="240" w:lineRule="auto"/>
        <w:rPr>
          <w:rFonts w:eastAsia="Times New Roman" w:cs="Arial"/>
        </w:rPr>
      </w:pPr>
    </w:p>
    <w:p w14:paraId="13EDAE72" w14:textId="2DCA63AC" w:rsidR="00E86B7B" w:rsidRDefault="00E86B7B" w:rsidP="00E86B7B">
      <w:pPr>
        <w:tabs>
          <w:tab w:val="left" w:pos="4320"/>
          <w:tab w:val="right" w:pos="8640"/>
        </w:tabs>
        <w:spacing w:line="240" w:lineRule="auto"/>
        <w:ind w:left="4320"/>
        <w:rPr>
          <w:rFonts w:eastAsia="Times New Roman" w:cs="Arial"/>
          <w:i/>
        </w:rPr>
      </w:pPr>
      <w:r>
        <w:rPr>
          <w:rFonts w:eastAsia="Times New Roman" w:cs="Arial"/>
          <w:i/>
          <w:u w:val="single"/>
        </w:rPr>
        <w:t>/s/ Matthew R. Pritchard</w:t>
      </w:r>
      <w:r>
        <w:rPr>
          <w:rFonts w:eastAsia="Times New Roman" w:cs="Arial"/>
          <w:i/>
          <w:u w:val="single"/>
        </w:rPr>
        <w:tab/>
      </w:r>
    </w:p>
    <w:p w14:paraId="204A06E9" w14:textId="77777777" w:rsidR="00E86B7B" w:rsidRDefault="00E86B7B" w:rsidP="00E86B7B">
      <w:pPr>
        <w:widowControl w:val="0"/>
        <w:tabs>
          <w:tab w:val="left" w:pos="4320"/>
        </w:tabs>
        <w:spacing w:line="240" w:lineRule="auto"/>
        <w:ind w:left="4320"/>
        <w:rPr>
          <w:rFonts w:eastAsia="Times New Roman" w:cs="Arial"/>
          <w:bCs/>
          <w:szCs w:val="20"/>
        </w:rPr>
      </w:pPr>
      <w:r>
        <w:rPr>
          <w:rFonts w:eastAsia="Times New Roman" w:cs="Arial"/>
          <w:b/>
          <w:bCs/>
          <w:szCs w:val="20"/>
        </w:rPr>
        <w:t>Frank P. Darr</w:t>
      </w:r>
      <w:r>
        <w:rPr>
          <w:rFonts w:eastAsia="Times New Roman" w:cs="Arial"/>
          <w:bCs/>
          <w:szCs w:val="20"/>
        </w:rPr>
        <w:t xml:space="preserve"> (Reg. No. 0025469)</w:t>
      </w:r>
    </w:p>
    <w:p w14:paraId="52F7D4A9" w14:textId="77777777" w:rsidR="00E86B7B" w:rsidRDefault="00E86B7B" w:rsidP="00E86B7B">
      <w:pPr>
        <w:widowControl w:val="0"/>
        <w:tabs>
          <w:tab w:val="left" w:pos="4320"/>
        </w:tabs>
        <w:spacing w:line="240" w:lineRule="auto"/>
        <w:ind w:left="432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 xml:space="preserve">   (Counsel of Record)</w:t>
      </w:r>
    </w:p>
    <w:p w14:paraId="08A64432" w14:textId="77777777" w:rsidR="00E86B7B" w:rsidRDefault="00E86B7B" w:rsidP="00E86B7B">
      <w:pPr>
        <w:widowControl w:val="0"/>
        <w:tabs>
          <w:tab w:val="left" w:pos="4320"/>
        </w:tabs>
        <w:spacing w:line="240" w:lineRule="auto"/>
        <w:ind w:left="4320"/>
        <w:rPr>
          <w:rFonts w:eastAsia="Times New Roman" w:cs="Arial"/>
          <w:bCs/>
          <w:szCs w:val="20"/>
        </w:rPr>
      </w:pPr>
      <w:r>
        <w:rPr>
          <w:rFonts w:eastAsia="Times New Roman" w:cs="Arial"/>
          <w:b/>
          <w:bCs/>
          <w:szCs w:val="20"/>
        </w:rPr>
        <w:t>Matthew R. Pritchard</w:t>
      </w:r>
      <w:r>
        <w:rPr>
          <w:rFonts w:eastAsia="Times New Roman" w:cs="Arial"/>
          <w:bCs/>
          <w:szCs w:val="20"/>
        </w:rPr>
        <w:t xml:space="preserve"> (Reg. No. 0088070)</w:t>
      </w:r>
    </w:p>
    <w:p w14:paraId="6D92DBBF" w14:textId="77777777" w:rsidR="00E86B7B" w:rsidRDefault="00E86B7B" w:rsidP="00E86B7B">
      <w:pPr>
        <w:widowControl w:val="0"/>
        <w:tabs>
          <w:tab w:val="left" w:pos="4320"/>
        </w:tabs>
        <w:spacing w:line="240" w:lineRule="auto"/>
        <w:ind w:left="4320"/>
        <w:rPr>
          <w:rFonts w:eastAsia="Times New Roman" w:cs="Arial"/>
          <w:bCs/>
          <w:smallCaps/>
        </w:rPr>
      </w:pPr>
      <w:r>
        <w:rPr>
          <w:rFonts w:eastAsia="Times New Roman" w:cs="Arial"/>
          <w:bCs/>
          <w:smallCaps/>
        </w:rPr>
        <w:t>McNees Wallace &amp; Nurick LLC</w:t>
      </w:r>
    </w:p>
    <w:p w14:paraId="36052752" w14:textId="77777777" w:rsidR="00E86B7B" w:rsidRDefault="00E86B7B" w:rsidP="00E86B7B">
      <w:pPr>
        <w:widowControl w:val="0"/>
        <w:tabs>
          <w:tab w:val="left" w:pos="4320"/>
        </w:tabs>
        <w:spacing w:line="240" w:lineRule="auto"/>
        <w:ind w:left="432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21 East State Street, 17</w:t>
      </w:r>
      <w:r>
        <w:rPr>
          <w:rFonts w:eastAsia="Times New Roman" w:cs="Arial"/>
          <w:bCs/>
          <w:szCs w:val="20"/>
          <w:vertAlign w:val="superscript"/>
        </w:rPr>
        <w:t>TH</w:t>
      </w:r>
      <w:r>
        <w:rPr>
          <w:rFonts w:eastAsia="Times New Roman" w:cs="Arial"/>
          <w:bCs/>
          <w:szCs w:val="20"/>
        </w:rPr>
        <w:t xml:space="preserve"> Floor</w:t>
      </w:r>
    </w:p>
    <w:p w14:paraId="7EC25538" w14:textId="77777777" w:rsidR="00E86B7B" w:rsidRDefault="00E86B7B" w:rsidP="00E86B7B">
      <w:pPr>
        <w:tabs>
          <w:tab w:val="left" w:pos="4320"/>
        </w:tabs>
        <w:spacing w:line="240" w:lineRule="auto"/>
        <w:ind w:left="4320"/>
        <w:rPr>
          <w:rFonts w:eastAsia="Times New Roman" w:cs="Arial"/>
        </w:rPr>
      </w:pPr>
      <w:r>
        <w:rPr>
          <w:rFonts w:eastAsia="Times New Roman" w:cs="Arial"/>
        </w:rPr>
        <w:t>Columbus, OH  43215</w:t>
      </w:r>
    </w:p>
    <w:p w14:paraId="004C3CC9" w14:textId="77777777" w:rsidR="00E86B7B" w:rsidRDefault="00E86B7B" w:rsidP="00E86B7B">
      <w:pPr>
        <w:tabs>
          <w:tab w:val="left" w:pos="4320"/>
        </w:tabs>
        <w:spacing w:line="240" w:lineRule="auto"/>
        <w:ind w:left="4320"/>
        <w:rPr>
          <w:rFonts w:eastAsia="Times New Roman" w:cs="Arial"/>
        </w:rPr>
      </w:pPr>
      <w:r>
        <w:rPr>
          <w:rFonts w:eastAsia="Times New Roman" w:cs="Arial"/>
        </w:rPr>
        <w:t>Telephone:  (614) 469-8000</w:t>
      </w:r>
    </w:p>
    <w:p w14:paraId="07C48CD1" w14:textId="77777777" w:rsidR="00E86B7B" w:rsidRDefault="00E86B7B" w:rsidP="00E86B7B">
      <w:pPr>
        <w:tabs>
          <w:tab w:val="left" w:pos="4320"/>
        </w:tabs>
        <w:spacing w:line="240" w:lineRule="auto"/>
        <w:ind w:left="4320"/>
        <w:rPr>
          <w:rFonts w:eastAsia="Times New Roman" w:cs="Arial"/>
        </w:rPr>
      </w:pPr>
      <w:r>
        <w:rPr>
          <w:rFonts w:eastAsia="Times New Roman" w:cs="Arial"/>
        </w:rPr>
        <w:t>Telecopier:  (614) 469-4653</w:t>
      </w:r>
    </w:p>
    <w:p w14:paraId="1A5ADE55" w14:textId="77777777" w:rsidR="00E86B7B" w:rsidRDefault="00E86B7B" w:rsidP="00E86B7B">
      <w:pPr>
        <w:tabs>
          <w:tab w:val="left" w:pos="4320"/>
        </w:tabs>
        <w:spacing w:line="240" w:lineRule="auto"/>
        <w:ind w:left="4320"/>
        <w:rPr>
          <w:rFonts w:eastAsia="Times New Roman" w:cs="Arial"/>
        </w:rPr>
      </w:pPr>
      <w:r>
        <w:rPr>
          <w:rFonts w:eastAsia="Times New Roman" w:cs="Arial"/>
        </w:rPr>
        <w:t>fdarr@mcneeslaw.com</w:t>
      </w:r>
    </w:p>
    <w:p w14:paraId="2B1031C5" w14:textId="77777777" w:rsidR="00E86B7B" w:rsidRPr="006438F8" w:rsidRDefault="00E86B7B" w:rsidP="00E86B7B">
      <w:pPr>
        <w:tabs>
          <w:tab w:val="left" w:pos="4320"/>
        </w:tabs>
        <w:spacing w:line="240" w:lineRule="auto"/>
        <w:ind w:left="4320"/>
        <w:rPr>
          <w:rFonts w:eastAsia="Times New Roman" w:cs="Arial"/>
        </w:rPr>
      </w:pPr>
      <w:r>
        <w:rPr>
          <w:rFonts w:eastAsia="Times New Roman" w:cs="Arial"/>
        </w:rPr>
        <w:t>mpritchard@mcneeslaw.com</w:t>
      </w:r>
    </w:p>
    <w:p w14:paraId="2752276D" w14:textId="77777777" w:rsidR="00E86B7B" w:rsidRPr="00BE40AA" w:rsidRDefault="00E86B7B" w:rsidP="00E86B7B">
      <w:pPr>
        <w:tabs>
          <w:tab w:val="left" w:pos="4320"/>
          <w:tab w:val="right" w:pos="8640"/>
        </w:tabs>
        <w:spacing w:line="240" w:lineRule="auto"/>
        <w:rPr>
          <w:rFonts w:eastAsia="Times New Roman" w:cs="Arial"/>
        </w:rPr>
      </w:pPr>
    </w:p>
    <w:p w14:paraId="15BF3C0E" w14:textId="77777777" w:rsidR="00E86B7B" w:rsidRPr="00BE40AA" w:rsidRDefault="00E86B7B" w:rsidP="00E86B7B">
      <w:pPr>
        <w:tabs>
          <w:tab w:val="left" w:pos="4320"/>
        </w:tabs>
        <w:spacing w:line="240" w:lineRule="auto"/>
        <w:rPr>
          <w:rFonts w:eastAsia="Times New Roman" w:cs="Arial"/>
          <w:b/>
          <w:smallCaps/>
        </w:rPr>
      </w:pPr>
      <w:r w:rsidRPr="006438F8">
        <w:rPr>
          <w:rFonts w:eastAsia="Times New Roman" w:cs="Arial"/>
          <w:b/>
          <w:smallCaps/>
        </w:rPr>
        <w:tab/>
      </w:r>
      <w:r w:rsidRPr="00BE40AA">
        <w:rPr>
          <w:rFonts w:eastAsia="Times New Roman" w:cs="Arial"/>
          <w:b/>
          <w:smallCaps/>
        </w:rPr>
        <w:t>Counsel for Industrial Energy Users-Ohio</w:t>
      </w:r>
    </w:p>
    <w:p w14:paraId="646FB0CD" w14:textId="77777777" w:rsidR="00E86B7B" w:rsidRDefault="00E86B7B" w:rsidP="00E86B7B">
      <w:pPr>
        <w:rPr>
          <w:rFonts w:ascii="Arial Bold" w:eastAsia="Times New Roman" w:hAnsi="Arial Bold" w:cs="Arial"/>
          <w:b/>
          <w:smallCaps/>
        </w:rPr>
        <w:sectPr w:rsidR="00E86B7B" w:rsidSect="006511B2">
          <w:pgSz w:w="12240" w:h="15840" w:code="1"/>
          <w:pgMar w:top="1440" w:right="1440" w:bottom="1296" w:left="1440" w:header="720" w:footer="720" w:gutter="0"/>
          <w:pgNumType w:start="1"/>
          <w:cols w:space="720"/>
          <w:titlePg/>
          <w:docGrid w:linePitch="326"/>
        </w:sectPr>
      </w:pPr>
    </w:p>
    <w:p w14:paraId="2BDE8426" w14:textId="77777777" w:rsidR="00E86B7B" w:rsidRDefault="00E86B7B" w:rsidP="00E86B7B">
      <w:pPr>
        <w:tabs>
          <w:tab w:val="left" w:pos="2160"/>
          <w:tab w:val="left" w:pos="2280"/>
        </w:tabs>
        <w:jc w:val="center"/>
        <w:rPr>
          <w:rFonts w:cs="Arial"/>
          <w:b/>
          <w:smallCaps/>
          <w:sz w:val="28"/>
          <w:u w:val="single"/>
        </w:rPr>
      </w:pPr>
      <w:r>
        <w:rPr>
          <w:rFonts w:cs="Arial"/>
          <w:b/>
          <w:smallCaps/>
          <w:sz w:val="28"/>
          <w:u w:val="single"/>
        </w:rPr>
        <w:lastRenderedPageBreak/>
        <w:t>Certificate of Service</w:t>
      </w:r>
    </w:p>
    <w:p w14:paraId="12807588" w14:textId="77777777" w:rsidR="00E86B7B" w:rsidRDefault="00E86B7B" w:rsidP="00E86B7B">
      <w:pPr>
        <w:rPr>
          <w:rFonts w:cs="Arial"/>
        </w:rPr>
      </w:pPr>
    </w:p>
    <w:p w14:paraId="6529A012" w14:textId="77777777" w:rsidR="00E86B7B" w:rsidRDefault="00E86B7B" w:rsidP="00E86B7B">
      <w:pPr>
        <w:pStyle w:val="BodyText"/>
        <w:spacing w:line="480" w:lineRule="auto"/>
        <w:ind w:firstLine="720"/>
      </w:pPr>
      <w:r>
        <w:t xml:space="preserve">This pleading was filed with the Docketing Division on May 20, 2019.  In accordance with Rule 4901-1-05, Ohio Administrative Code, the Commission’s e-filing system will electronically serve notice of the filing of this document upon the interested parties.  </w:t>
      </w:r>
    </w:p>
    <w:p w14:paraId="08EEBF30" w14:textId="1279CF4E" w:rsidR="00E86B7B" w:rsidRDefault="00E86B7B" w:rsidP="00E86B7B">
      <w:pPr>
        <w:tabs>
          <w:tab w:val="center" w:pos="7200"/>
          <w:tab w:val="right" w:pos="9360"/>
        </w:tabs>
        <w:spacing w:line="240" w:lineRule="auto"/>
        <w:ind w:left="5040"/>
        <w:rPr>
          <w:rFonts w:cs="Arial"/>
          <w:i/>
          <w:u w:val="single"/>
        </w:rPr>
      </w:pPr>
      <w:r>
        <w:rPr>
          <w:rFonts w:eastAsia="Times New Roman" w:cs="Arial"/>
          <w:i/>
          <w:u w:val="single"/>
        </w:rPr>
        <w:t>/s/ Matthew R. Pritchard</w:t>
      </w:r>
      <w:r>
        <w:rPr>
          <w:rFonts w:cs="Arial"/>
          <w:i/>
          <w:u w:val="single"/>
        </w:rPr>
        <w:tab/>
      </w:r>
    </w:p>
    <w:p w14:paraId="78F6C03E" w14:textId="33E921F9" w:rsidR="00AB588A" w:rsidRDefault="00E86B7B" w:rsidP="00E86B7B">
      <w:pPr>
        <w:spacing w:line="240" w:lineRule="auto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Matthew R. Pritchard</w:t>
      </w:r>
    </w:p>
    <w:sectPr w:rsidR="00AB588A" w:rsidSect="006511B2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3527" w14:textId="77777777" w:rsidR="0094349C" w:rsidRDefault="0094349C" w:rsidP="0094349C">
      <w:pPr>
        <w:spacing w:line="240" w:lineRule="auto"/>
      </w:pPr>
      <w:r>
        <w:separator/>
      </w:r>
    </w:p>
  </w:endnote>
  <w:endnote w:type="continuationSeparator" w:id="0">
    <w:p w14:paraId="608F9D6F" w14:textId="77777777" w:rsidR="0094349C" w:rsidRDefault="0094349C" w:rsidP="00943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750C" w14:textId="77777777" w:rsidR="008A2A27" w:rsidRDefault="008A2A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A1A4F" w14:textId="77777777" w:rsidR="008A2A27" w:rsidRDefault="008A2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F4BA" w14:textId="3635DBD8" w:rsidR="008A2A27" w:rsidRPr="00E86B7B" w:rsidRDefault="00E86B7B" w:rsidP="00E86B7B">
    <w:pPr>
      <w:pStyle w:val="Footer"/>
      <w:tabs>
        <w:tab w:val="clear" w:pos="4320"/>
        <w:tab w:val="center" w:pos="4680"/>
      </w:tabs>
      <w:rPr>
        <w:rFonts w:ascii="Arial" w:hAnsi="Arial" w:cs="Arial"/>
      </w:rPr>
    </w:pPr>
    <w:r>
      <w:rPr>
        <w:rFonts w:ascii="Arial" w:hAnsi="Arial" w:cs="Arial"/>
        <w:noProof/>
        <w:sz w:val="16"/>
      </w:rPr>
      <w:t>{A6933988:1}</w:t>
    </w:r>
    <w:r>
      <w:rPr>
        <w:rFonts w:ascii="Arial" w:hAnsi="Arial" w:cs="Arial"/>
        <w:sz w:val="16"/>
      </w:rPr>
      <w:tab/>
    </w:r>
    <w:r w:rsidRPr="00E86B7B">
      <w:rPr>
        <w:rFonts w:ascii="Arial" w:hAnsi="Arial" w:cs="Arial"/>
        <w:sz w:val="22"/>
        <w:szCs w:val="22"/>
      </w:rPr>
      <w:fldChar w:fldCharType="begin"/>
    </w:r>
    <w:r w:rsidRPr="00E86B7B">
      <w:rPr>
        <w:rFonts w:ascii="Arial" w:hAnsi="Arial" w:cs="Arial"/>
        <w:sz w:val="22"/>
        <w:szCs w:val="22"/>
      </w:rPr>
      <w:instrText xml:space="preserve"> PAGE   \* MERGEFORMAT </w:instrText>
    </w:r>
    <w:r w:rsidRPr="00E86B7B">
      <w:rPr>
        <w:rFonts w:ascii="Arial" w:hAnsi="Arial" w:cs="Arial"/>
        <w:sz w:val="22"/>
        <w:szCs w:val="22"/>
      </w:rPr>
      <w:fldChar w:fldCharType="separate"/>
    </w:r>
    <w:r w:rsidRPr="00E86B7B">
      <w:rPr>
        <w:rFonts w:ascii="Arial" w:hAnsi="Arial" w:cs="Arial"/>
        <w:noProof/>
        <w:sz w:val="22"/>
        <w:szCs w:val="22"/>
      </w:rPr>
      <w:t>1</w:t>
    </w:r>
    <w:r w:rsidRPr="00E86B7B">
      <w:rPr>
        <w:rFonts w:ascii="Arial" w:hAnsi="Arial" w:cs="Arial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DD9FD" w14:textId="2AEFE141" w:rsidR="008A2A27" w:rsidRPr="00EA4071" w:rsidRDefault="00E86B7B" w:rsidP="00EA4071">
    <w:pPr>
      <w:pStyle w:val="Footer"/>
      <w:rPr>
        <w:rFonts w:ascii="Arial" w:hAnsi="Arial" w:cs="Arial"/>
      </w:rPr>
    </w:pPr>
    <w:r>
      <w:rPr>
        <w:rFonts w:ascii="Arial" w:hAnsi="Arial" w:cs="Arial"/>
        <w:noProof/>
        <w:vanish/>
        <w:sz w:val="16"/>
      </w:rPr>
      <w:t>{A6933988:1}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038B" w14:textId="77777777" w:rsidR="0094349C" w:rsidRDefault="0094349C" w:rsidP="0094349C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0A363DD" w14:textId="77777777" w:rsidR="0094349C" w:rsidRDefault="0094349C" w:rsidP="0094349C">
      <w:pPr>
        <w:spacing w:line="240" w:lineRule="auto"/>
      </w:pPr>
      <w:r>
        <w:continuationSeparator/>
      </w:r>
    </w:p>
  </w:footnote>
  <w:footnote w:id="1">
    <w:p w14:paraId="16AAE03F" w14:textId="6BE8D189" w:rsidR="00AB3D07" w:rsidRPr="004A6C0B" w:rsidRDefault="00AB3D07" w:rsidP="00AB3D07">
      <w:pPr>
        <w:pStyle w:val="FootnoteText"/>
      </w:pPr>
      <w:r>
        <w:rPr>
          <w:rStyle w:val="FootnoteReference"/>
        </w:rPr>
        <w:footnoteRef/>
      </w:r>
      <w:r>
        <w:t xml:space="preserve"> Fifth Entry on Rehearing at 5.  The Commission noted that to do otherwise would exclude cost-effective savings, some of which </w:t>
      </w:r>
      <w:r w:rsidR="004C47DD">
        <w:t xml:space="preserve">were </w:t>
      </w:r>
      <w:r>
        <w:t xml:space="preserve">already incentivized, and </w:t>
      </w:r>
      <w:r w:rsidR="004C47DD">
        <w:t>w</w:t>
      </w:r>
      <w:r w:rsidR="000E487E">
        <w:t>as</w:t>
      </w:r>
      <w:r w:rsidR="004C47DD">
        <w:t xml:space="preserve"> </w:t>
      </w:r>
      <w:r>
        <w:t xml:space="preserve">not in line with its increasing concern for the costs of compliance with the EE/PDR mandates.  </w:t>
      </w:r>
      <w:r>
        <w:rPr>
          <w:i/>
        </w:rPr>
        <w:t>Id.</w:t>
      </w:r>
      <w:r>
        <w:t xml:space="preserve">  </w:t>
      </w:r>
    </w:p>
  </w:footnote>
  <w:footnote w:id="2">
    <w:p w14:paraId="3469839D" w14:textId="77777777" w:rsidR="0094349C" w:rsidRPr="0094349C" w:rsidRDefault="009434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>Environmental Advocates Application for Rehearing at 1.</w:t>
      </w:r>
    </w:p>
  </w:footnote>
  <w:footnote w:id="3">
    <w:p w14:paraId="618EAE35" w14:textId="358E395A" w:rsidR="00C3460C" w:rsidRDefault="00C346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4117B">
        <w:t>Counting the EE/PDR savings of mercantile customers has existed since 2008; the language regarding waste energy recovery and combined heat and power was added in 2012.</w:t>
      </w:r>
    </w:p>
  </w:footnote>
  <w:footnote w:id="4">
    <w:p w14:paraId="4EEAF6C0" w14:textId="77777777" w:rsidR="006E1A09" w:rsidRDefault="006E1A09">
      <w:pPr>
        <w:pStyle w:val="FootnoteText"/>
      </w:pPr>
      <w:r>
        <w:rPr>
          <w:rStyle w:val="FootnoteReference"/>
        </w:rPr>
        <w:footnoteRef/>
      </w:r>
      <w:r>
        <w:t xml:space="preserve"> R.C. 4928.66</w:t>
      </w:r>
      <w:r w:rsidR="00FE3AA5">
        <w:t>2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E2BCE"/>
    <w:multiLevelType w:val="multilevel"/>
    <w:tmpl w:val="180E1D9E"/>
    <w:name w:val="PUCO Pleadings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caps w:val="0"/>
        <w:vanish w:val="0"/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b/>
        <w:caps w:val="0"/>
        <w:vanish w:val="0"/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vanish w:val="0"/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b/>
        <w:i/>
        <w:caps w:val="0"/>
        <w:vanish w:val="0"/>
        <w:color w:val="01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vanish w:val="0"/>
        <w:color w:val="01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vanish w:val="0"/>
        <w:color w:val="01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vanish w:val="0"/>
        <w:color w:val="01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vanish w:val="0"/>
        <w:color w:val="01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vanish w:val="0"/>
        <w:color w:val="01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dedNumberingSchemes" w:val="&lt;?xml version=&quot;1.0&quot; encoding=&quot;utf-16&quot;?&gt;&lt;ArrayOfAddedNumberingScheme xmlns:xsi=&quot;http://www.w3.org/2001/XMLSchema-instance&quot; xmlns:xsd=&quot;http://www.w3.org/2001/XMLSchema&quot;&gt;&lt;AddedNumberingScheme&gt;&lt;SelectedNumberingScheme&gt;&lt;LastUpdated&gt;0001-01-01T00:00:00&lt;/LastUpdated&gt;&lt;NumberingSchemeID&gt;1&lt;/NumberingSchemeID&gt;&lt;SortOrder&gt;0&lt;/SortOrder&gt;&lt;Name&gt;PUCO Pleadings&lt;/Name&gt;&lt;Description&gt;For PUCO pleadings&lt;/Description&gt;&lt;FilterID&gt;0&lt;/FilterID&gt;&lt;CustomTOCAttached&gt;false&lt;/CustomTOCAttached&gt;&lt;DefaultTOCSchemeID&gt;0&lt;/DefaultTOCSchemeID&gt;&lt;BitMapID&gt;2&lt;/BitMapID&gt;&lt;Hidden&gt;false&lt;/Hidden&gt;&lt;ListIndexUsed&gt;0&lt;/ListIndexUsed&gt;&lt;CapturedDocument&gt;C:\Users\1104\AppData\Local\Worldox\ZMS\031\19635\0029\A6871845.DOCX&lt;/CapturedDocument&gt;&lt;CreatedByEndUser&gt;true&lt;/CreatedByEndUser&gt;&lt;ConnectionType&gt;User&lt;/ConnectionType&gt;&lt;EnforceSchemeFont&gt;false&lt;/EnforceSchemeFont&gt;&lt;/SelectedNumberingScheme&gt;&lt;SelectedSchemeFilter&gt;&lt;LastUpdated&gt;0001-01-01T00:00:00&lt;/LastUpdated&gt;&lt;FilterID&gt;3&lt;/FilterID&gt;&lt;FilterName&gt;All Numbering Schemes&lt;/FilterName&gt;&lt;FilterNameFrench&gt;Tous les schémas de numérotation&lt;/FilterNameFrench&gt;&lt;UserDatabaseOnly&gt;false&lt;/UserDatabaseOnly&gt;&lt;Default&gt;true&lt;/Default&gt;&lt;SortPosition&gt;0&lt;/SortPosition&gt;&lt;/SelectedSchemeFilter&gt;&lt;SelectedNumberingSchemeOptions /&gt;&lt;Index&gt;1&lt;/Index&gt;&lt;/AddedNumberingScheme&gt;&lt;/ArrayOfAddedNumberingScheme&gt;"/>
    <w:docVar w:name="EnforceSchemeFont" w:val="True"/>
    <w:docVar w:name="LastSchemeChoice" w:val="PUCO Pleadings"/>
    <w:docVar w:name="LastSchemeUniqueID" w:val="1"/>
    <w:docVar w:name="LegacyNa" w:val="False"/>
  </w:docVars>
  <w:rsids>
    <w:rsidRoot w:val="00284A25"/>
    <w:rsid w:val="00006B3F"/>
    <w:rsid w:val="000E487E"/>
    <w:rsid w:val="00140597"/>
    <w:rsid w:val="00152216"/>
    <w:rsid w:val="00172841"/>
    <w:rsid w:val="001A6B6C"/>
    <w:rsid w:val="00212A40"/>
    <w:rsid w:val="00212CAB"/>
    <w:rsid w:val="00284A25"/>
    <w:rsid w:val="002B4F63"/>
    <w:rsid w:val="002E3496"/>
    <w:rsid w:val="002E3FF1"/>
    <w:rsid w:val="00335333"/>
    <w:rsid w:val="003D1D4F"/>
    <w:rsid w:val="003E7660"/>
    <w:rsid w:val="004546FA"/>
    <w:rsid w:val="004A6C0B"/>
    <w:rsid w:val="004C47DD"/>
    <w:rsid w:val="006511B2"/>
    <w:rsid w:val="006618E7"/>
    <w:rsid w:val="00674BD0"/>
    <w:rsid w:val="00694A65"/>
    <w:rsid w:val="006975F5"/>
    <w:rsid w:val="006E1A09"/>
    <w:rsid w:val="0075462F"/>
    <w:rsid w:val="007D5810"/>
    <w:rsid w:val="008455FA"/>
    <w:rsid w:val="008A2A27"/>
    <w:rsid w:val="008D0F04"/>
    <w:rsid w:val="0090713C"/>
    <w:rsid w:val="0094349C"/>
    <w:rsid w:val="009C2C31"/>
    <w:rsid w:val="009F31B1"/>
    <w:rsid w:val="00A25776"/>
    <w:rsid w:val="00A349A1"/>
    <w:rsid w:val="00AB3D07"/>
    <w:rsid w:val="00AB588A"/>
    <w:rsid w:val="00AD514E"/>
    <w:rsid w:val="00AE2534"/>
    <w:rsid w:val="00AE545B"/>
    <w:rsid w:val="00B94B23"/>
    <w:rsid w:val="00B97D3C"/>
    <w:rsid w:val="00C3460C"/>
    <w:rsid w:val="00CD73AB"/>
    <w:rsid w:val="00DB14F9"/>
    <w:rsid w:val="00E4117B"/>
    <w:rsid w:val="00E86B7B"/>
    <w:rsid w:val="00EE106E"/>
    <w:rsid w:val="00FB0B68"/>
    <w:rsid w:val="00FD4072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25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AB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6511B2"/>
    <w:pPr>
      <w:numPr>
        <w:numId w:val="1"/>
      </w:numPr>
      <w:spacing w:before="240" w:after="360" w:line="240" w:lineRule="auto"/>
      <w:outlineLvl w:val="0"/>
    </w:pPr>
    <w:rPr>
      <w:rFonts w:eastAsia="Times New Roman" w:cs="Arial"/>
      <w:b/>
      <w:caps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1B2"/>
    <w:pPr>
      <w:numPr>
        <w:ilvl w:val="1"/>
        <w:numId w:val="1"/>
      </w:numPr>
      <w:tabs>
        <w:tab w:val="left" w:pos="1440"/>
      </w:tabs>
      <w:spacing w:after="240"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1B2"/>
    <w:pPr>
      <w:numPr>
        <w:ilvl w:val="2"/>
        <w:numId w:val="1"/>
      </w:numPr>
      <w:tabs>
        <w:tab w:val="left" w:pos="2160"/>
      </w:tabs>
      <w:spacing w:after="24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1B2"/>
    <w:pPr>
      <w:numPr>
        <w:ilvl w:val="3"/>
        <w:numId w:val="1"/>
      </w:numPr>
      <w:tabs>
        <w:tab w:val="left" w:pos="2880"/>
      </w:tabs>
      <w:spacing w:after="240" w:line="240" w:lineRule="auto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1B2"/>
    <w:pPr>
      <w:numPr>
        <w:ilvl w:val="4"/>
        <w:numId w:val="1"/>
      </w:numPr>
      <w:tabs>
        <w:tab w:val="left" w:pos="3600"/>
      </w:tabs>
      <w:spacing w:after="24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1B2"/>
    <w:pPr>
      <w:numPr>
        <w:ilvl w:val="5"/>
        <w:numId w:val="1"/>
      </w:numPr>
      <w:tabs>
        <w:tab w:val="left" w:pos="4320"/>
      </w:tabs>
      <w:spacing w:after="24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1B2"/>
    <w:pPr>
      <w:numPr>
        <w:ilvl w:val="6"/>
        <w:numId w:val="1"/>
      </w:numPr>
      <w:tabs>
        <w:tab w:val="left" w:pos="5040"/>
      </w:tabs>
      <w:spacing w:after="240" w:line="240" w:lineRule="auto"/>
      <w:outlineLvl w:val="6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1B2"/>
    <w:pPr>
      <w:numPr>
        <w:ilvl w:val="7"/>
        <w:numId w:val="1"/>
      </w:numPr>
      <w:tabs>
        <w:tab w:val="left" w:pos="5760"/>
      </w:tabs>
      <w:spacing w:after="24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1B2"/>
    <w:pPr>
      <w:numPr>
        <w:ilvl w:val="8"/>
        <w:numId w:val="1"/>
      </w:numPr>
      <w:tabs>
        <w:tab w:val="left" w:pos="6480"/>
      </w:tabs>
      <w:spacing w:after="240" w:line="240" w:lineRule="auto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2CAB"/>
    <w:pPr>
      <w:spacing w:after="12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CAB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349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8A2A27"/>
    <w:rPr>
      <w:rFonts w:ascii="Arial" w:eastAsia="Times New Roman" w:hAnsi="Arial" w:cs="Arial"/>
      <w:b/>
      <w:cap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8A2A27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2A2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A2A27"/>
    <w:pPr>
      <w:spacing w:line="240" w:lineRule="auto"/>
    </w:pPr>
    <w:rPr>
      <w:rFonts w:eastAsia="Times New Roman" w:cs="Arial"/>
      <w:szCs w:val="24"/>
    </w:rPr>
  </w:style>
  <w:style w:type="character" w:customStyle="1" w:styleId="BodyTextChar">
    <w:name w:val="Body Text Char"/>
    <w:basedOn w:val="DefaultParagraphFont"/>
    <w:link w:val="BodyText"/>
    <w:rsid w:val="008A2A27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8A2A27"/>
  </w:style>
  <w:style w:type="paragraph" w:styleId="BodyText3">
    <w:name w:val="Body Text 3"/>
    <w:basedOn w:val="Normal"/>
    <w:link w:val="BodyText3Char"/>
    <w:rsid w:val="008A2A27"/>
    <w:pPr>
      <w:spacing w:line="240" w:lineRule="auto"/>
      <w:jc w:val="left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3Char">
    <w:name w:val="Body Text 3 Char"/>
    <w:basedOn w:val="DefaultParagraphFont"/>
    <w:link w:val="BodyText3"/>
    <w:rsid w:val="008A2A27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A2A27"/>
    <w:pPr>
      <w:spacing w:line="240" w:lineRule="auto"/>
      <w:jc w:val="center"/>
    </w:pPr>
    <w:rPr>
      <w:rFonts w:eastAsia="Times New Roman" w:cs="Arial"/>
      <w:b/>
      <w:smallCap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8A2A27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rsid w:val="008A2A27"/>
    <w:pPr>
      <w:spacing w:line="240" w:lineRule="auto"/>
      <w:ind w:left="4920"/>
    </w:pPr>
    <w:rPr>
      <w:rFonts w:eastAsia="Times New Roman" w:cs="Arial"/>
      <w:sz w:val="21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A2A27"/>
    <w:rPr>
      <w:rFonts w:ascii="Arial" w:eastAsia="Times New Roman" w:hAnsi="Arial" w:cs="Arial"/>
      <w:sz w:val="21"/>
      <w:szCs w:val="24"/>
    </w:rPr>
  </w:style>
  <w:style w:type="paragraph" w:styleId="Header">
    <w:name w:val="header"/>
    <w:basedOn w:val="Normal"/>
    <w:link w:val="HeaderChar"/>
    <w:rsid w:val="008A2A27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A2A2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1B2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1B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1B2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1B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1B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1B2"/>
    <w:rPr>
      <w:rFonts w:asciiTheme="majorHAnsi" w:eastAsiaTheme="majorEastAsia" w:hAnsiTheme="majorHAnsi" w:cstheme="majorBidi"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1B2"/>
    <w:rPr>
      <w:rFonts w:asciiTheme="majorHAnsi" w:eastAsiaTheme="majorEastAsia" w:hAnsiTheme="majorHAnsi" w:cstheme="majorBidi"/>
      <w:color w:val="404040" w:themeColor="text1" w:themeTint="BF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1B2"/>
    <w:rPr>
      <w:rFonts w:asciiTheme="majorHAnsi" w:eastAsiaTheme="majorEastAsia" w:hAnsiTheme="majorHAnsi" w:cstheme="majorBidi"/>
      <w:iCs/>
      <w:color w:val="404040" w:themeColor="text1" w:themeTint="B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1CA0-21AF-4E11-8E93-EE9E8F27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871</Words>
  <Characters>5128</Characters>
  <Application>Microsoft Office Word</Application>
  <DocSecurity>0</DocSecurity>
  <PresentationFormat>15|.DOCX</PresentationFormat>
  <Lines>144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Contra Rehearing (12-2190) (A6933988-2).DOCX</vt:lpstr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Contra Rehearing (12-2190) (A6933988-2).DOCX</dc:title>
  <dc:subject/>
  <dc:creator/>
  <cp:keywords/>
  <dc:description/>
  <cp:lastModifiedBy/>
  <cp:revision>1</cp:revision>
  <dcterms:created xsi:type="dcterms:W3CDTF">2019-05-20T18:38:00Z</dcterms:created>
  <dcterms:modified xsi:type="dcterms:W3CDTF">2019-05-20T18:38:00Z</dcterms:modified>
</cp:coreProperties>
</file>