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587A" w14:textId="77777777" w:rsidR="005A0D6B" w:rsidRPr="004F7151" w:rsidRDefault="005A0D6B" w:rsidP="005A0D6B">
      <w:pPr>
        <w:jc w:val="center"/>
        <w:rPr>
          <w:rFonts w:eastAsia="Times New Roman" w:cs="Arial"/>
          <w:b/>
          <w:smallCaps/>
          <w:sz w:val="32"/>
          <w:szCs w:val="32"/>
        </w:rPr>
      </w:pPr>
      <w:bookmarkStart w:id="0" w:name="OLE_LINK1"/>
      <w:bookmarkStart w:id="1" w:name="OLE_LINK2"/>
      <w:r w:rsidRPr="004F7151">
        <w:rPr>
          <w:rFonts w:eastAsia="Times New Roman" w:cs="Arial"/>
          <w:b/>
          <w:smallCaps/>
          <w:sz w:val="32"/>
          <w:szCs w:val="32"/>
        </w:rPr>
        <w:t>Before</w:t>
      </w:r>
    </w:p>
    <w:p w14:paraId="19920EB3" w14:textId="77777777" w:rsidR="005A0D6B" w:rsidRPr="004F7151" w:rsidRDefault="005A0D6B" w:rsidP="005A0D6B">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14:paraId="134A9C5B" w14:textId="77777777" w:rsidR="005A0D6B" w:rsidRPr="004F7151" w:rsidRDefault="005A0D6B" w:rsidP="005A0D6B">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5A0D6B" w:rsidRPr="004F7151" w14:paraId="6864ECB2" w14:textId="77777777" w:rsidTr="000B6563">
        <w:tc>
          <w:tcPr>
            <w:tcW w:w="4230" w:type="dxa"/>
            <w:hideMark/>
          </w:tcPr>
          <w:p w14:paraId="305D12CC" w14:textId="77777777" w:rsidR="005A0D6B" w:rsidRPr="004F7151" w:rsidRDefault="005A0D6B" w:rsidP="000B6563">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14:paraId="7DA6D760" w14:textId="77777777" w:rsidR="005A0D6B" w:rsidRPr="004F7151" w:rsidRDefault="005A0D6B" w:rsidP="000B6563">
            <w:pPr>
              <w:rPr>
                <w:rFonts w:eastAsia="Calibri" w:cs="Times New Roman"/>
              </w:rPr>
            </w:pPr>
            <w:r w:rsidRPr="004F7151">
              <w:rPr>
                <w:rFonts w:eastAsia="Calibri" w:cs="Times New Roman"/>
              </w:rPr>
              <w:t>)</w:t>
            </w:r>
          </w:p>
          <w:p w14:paraId="04A171B8" w14:textId="77777777" w:rsidR="005A0D6B" w:rsidRPr="004F7151" w:rsidRDefault="005A0D6B" w:rsidP="000B6563">
            <w:pPr>
              <w:rPr>
                <w:rFonts w:eastAsia="Calibri" w:cs="Times New Roman"/>
              </w:rPr>
            </w:pPr>
            <w:r w:rsidRPr="004F7151">
              <w:rPr>
                <w:rFonts w:eastAsia="Calibri" w:cs="Times New Roman"/>
              </w:rPr>
              <w:t>)</w:t>
            </w:r>
          </w:p>
          <w:p w14:paraId="40944C6D" w14:textId="77777777" w:rsidR="005A0D6B" w:rsidRDefault="005A0D6B" w:rsidP="000B6563">
            <w:pPr>
              <w:rPr>
                <w:rFonts w:eastAsia="Calibri" w:cs="Times New Roman"/>
              </w:rPr>
            </w:pPr>
            <w:r w:rsidRPr="004F7151">
              <w:rPr>
                <w:rFonts w:eastAsia="Calibri" w:cs="Times New Roman"/>
              </w:rPr>
              <w:t>)</w:t>
            </w:r>
          </w:p>
          <w:p w14:paraId="1444CE5D" w14:textId="77777777" w:rsidR="005A0D6B" w:rsidRPr="004F7151" w:rsidRDefault="005A0D6B" w:rsidP="000B6563">
            <w:pPr>
              <w:rPr>
                <w:rFonts w:eastAsia="Calibri" w:cs="Times New Roman"/>
              </w:rPr>
            </w:pPr>
            <w:r>
              <w:rPr>
                <w:rFonts w:eastAsia="Calibri" w:cs="Times New Roman"/>
              </w:rPr>
              <w:t>)</w:t>
            </w:r>
          </w:p>
        </w:tc>
        <w:tc>
          <w:tcPr>
            <w:tcW w:w="4576" w:type="dxa"/>
          </w:tcPr>
          <w:p w14:paraId="2EAD7451" w14:textId="77777777" w:rsidR="005A0D6B" w:rsidRPr="004F7151" w:rsidRDefault="005A0D6B" w:rsidP="000B6563">
            <w:pPr>
              <w:rPr>
                <w:rFonts w:eastAsia="Calibri" w:cs="Times New Roman"/>
              </w:rPr>
            </w:pPr>
          </w:p>
          <w:p w14:paraId="4F54198C" w14:textId="77777777" w:rsidR="005A0D6B" w:rsidRPr="004F7151" w:rsidRDefault="005A0D6B" w:rsidP="000B6563">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14:paraId="02D94488" w14:textId="77777777" w:rsidR="005A0D6B" w:rsidRPr="004F7151" w:rsidRDefault="005A0D6B" w:rsidP="005A0D6B">
      <w:pPr>
        <w:tabs>
          <w:tab w:val="left" w:pos="5040"/>
        </w:tabs>
        <w:jc w:val="both"/>
        <w:rPr>
          <w:rFonts w:eastAsia="Times New Roman" w:cs="Arial"/>
        </w:rPr>
      </w:pPr>
    </w:p>
    <w:p w14:paraId="6426BD0B" w14:textId="77777777" w:rsidR="005A0D6B" w:rsidRPr="00176FBC" w:rsidRDefault="005A0D6B" w:rsidP="005A0D6B">
      <w:pPr>
        <w:keepNext/>
        <w:pBdr>
          <w:top w:val="single" w:sz="12" w:space="1" w:color="auto"/>
        </w:pBdr>
        <w:tabs>
          <w:tab w:val="left" w:pos="7320"/>
        </w:tabs>
        <w:jc w:val="center"/>
        <w:outlineLvl w:val="0"/>
        <w:rPr>
          <w:rFonts w:eastAsia="Times New Roman" w:cs="Arial"/>
          <w:b/>
          <w:smallCaps/>
          <w:szCs w:val="28"/>
        </w:rPr>
      </w:pPr>
    </w:p>
    <w:bookmarkEnd w:id="0"/>
    <w:bookmarkEnd w:id="1"/>
    <w:p w14:paraId="55BFDC99" w14:textId="6CA8B6CC" w:rsidR="005A0D6B" w:rsidRPr="005A0D6B" w:rsidRDefault="005A0D6B" w:rsidP="005A0D6B">
      <w:pPr>
        <w:jc w:val="center"/>
        <w:rPr>
          <w:rFonts w:ascii="Arial Bold" w:hAnsi="Arial Bold"/>
          <w:b/>
          <w:smallCaps/>
          <w:sz w:val="28"/>
        </w:rPr>
      </w:pPr>
      <w:r w:rsidRPr="005A0D6B">
        <w:rPr>
          <w:rFonts w:ascii="Arial Bold" w:hAnsi="Arial Bold"/>
          <w:b/>
          <w:smallCaps/>
          <w:sz w:val="28"/>
        </w:rPr>
        <w:t xml:space="preserve">Memorandum Opposing </w:t>
      </w:r>
      <w:r w:rsidR="00DF2EC6">
        <w:rPr>
          <w:rFonts w:ascii="Arial Bold" w:hAnsi="Arial Bold"/>
          <w:b/>
          <w:smallCaps/>
          <w:sz w:val="28"/>
        </w:rPr>
        <w:t xml:space="preserve">the </w:t>
      </w:r>
      <w:r w:rsidRPr="005A0D6B">
        <w:rPr>
          <w:rFonts w:ascii="Arial Bold" w:hAnsi="Arial Bold"/>
          <w:b/>
          <w:smallCaps/>
          <w:sz w:val="28"/>
        </w:rPr>
        <w:t xml:space="preserve">Joint Application for Rehearing of </w:t>
      </w:r>
      <w:r>
        <w:rPr>
          <w:rFonts w:ascii="Arial Bold" w:hAnsi="Arial Bold"/>
          <w:b/>
          <w:smallCaps/>
          <w:sz w:val="28"/>
        </w:rPr>
        <w:br/>
      </w:r>
      <w:r w:rsidRPr="005A0D6B">
        <w:rPr>
          <w:rFonts w:ascii="Arial Bold" w:hAnsi="Arial Bold"/>
          <w:b/>
          <w:smallCaps/>
          <w:sz w:val="28"/>
        </w:rPr>
        <w:t>Ohio Power Company, Ohio Edison Company, The Dayton Power and Light Company, Duke Energy Ohio, Inc., The Cleveland Electric Illuminating Company, and The Toledo Edison Company</w:t>
      </w:r>
    </w:p>
    <w:p w14:paraId="6B0380D6" w14:textId="77777777" w:rsidR="005A0D6B" w:rsidRPr="00176FBC" w:rsidRDefault="005A0D6B" w:rsidP="005A0D6B">
      <w:pPr>
        <w:jc w:val="center"/>
        <w:rPr>
          <w:rFonts w:eastAsia="Times New Roman" w:cs="Arial"/>
          <w:smallCaps/>
          <w:szCs w:val="28"/>
          <w:u w:val="single"/>
        </w:rPr>
      </w:pPr>
    </w:p>
    <w:p w14:paraId="3C7EB046" w14:textId="77777777" w:rsidR="005A0D6B" w:rsidRPr="004F7151" w:rsidRDefault="005A0D6B" w:rsidP="005A0D6B">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633D4D56" w14:textId="77777777" w:rsidR="005A0D6B" w:rsidRPr="004F7151" w:rsidRDefault="005A0D6B" w:rsidP="005A0D6B">
      <w:pPr>
        <w:jc w:val="center"/>
        <w:rPr>
          <w:rFonts w:eastAsia="Times New Roman" w:cs="Arial"/>
          <w:b/>
          <w:smallCaps/>
          <w:sz w:val="28"/>
          <w:szCs w:val="28"/>
          <w:u w:val="single"/>
        </w:rPr>
      </w:pPr>
    </w:p>
    <w:p w14:paraId="41CCC943" w14:textId="77777777" w:rsidR="005A0D6B" w:rsidRDefault="005A0D6B" w:rsidP="005A0D6B">
      <w:pPr>
        <w:tabs>
          <w:tab w:val="left" w:pos="720"/>
          <w:tab w:val="left" w:pos="4320"/>
          <w:tab w:val="right" w:pos="8640"/>
        </w:tabs>
        <w:ind w:left="4320"/>
        <w:rPr>
          <w:rFonts w:eastAsia="Calibri" w:cs="Arial"/>
        </w:rPr>
      </w:pPr>
    </w:p>
    <w:p w14:paraId="6851F431" w14:textId="77777777" w:rsidR="005A0D6B" w:rsidRDefault="005A0D6B" w:rsidP="005A0D6B">
      <w:pPr>
        <w:tabs>
          <w:tab w:val="left" w:pos="720"/>
          <w:tab w:val="left" w:pos="4320"/>
          <w:tab w:val="right" w:pos="8640"/>
        </w:tabs>
        <w:ind w:left="4320"/>
        <w:rPr>
          <w:rFonts w:eastAsia="Calibri" w:cs="Arial"/>
        </w:rPr>
      </w:pPr>
    </w:p>
    <w:p w14:paraId="2B11E860" w14:textId="77777777" w:rsidR="005A0D6B" w:rsidRDefault="005A0D6B" w:rsidP="005A0D6B">
      <w:pPr>
        <w:tabs>
          <w:tab w:val="left" w:pos="720"/>
          <w:tab w:val="left" w:pos="4320"/>
          <w:tab w:val="right" w:pos="8640"/>
        </w:tabs>
        <w:ind w:left="4320"/>
        <w:rPr>
          <w:rFonts w:eastAsia="Calibri" w:cs="Arial"/>
        </w:rPr>
      </w:pPr>
    </w:p>
    <w:p w14:paraId="690C65EB" w14:textId="77777777" w:rsidR="005A0D6B" w:rsidRDefault="005A0D6B" w:rsidP="005A0D6B">
      <w:pPr>
        <w:tabs>
          <w:tab w:val="left" w:pos="720"/>
          <w:tab w:val="left" w:pos="4320"/>
          <w:tab w:val="right" w:pos="8640"/>
        </w:tabs>
        <w:ind w:left="4320"/>
        <w:rPr>
          <w:rFonts w:eastAsia="Calibri" w:cs="Arial"/>
        </w:rPr>
      </w:pPr>
    </w:p>
    <w:p w14:paraId="1BAEC74F" w14:textId="77777777" w:rsidR="005A0D6B" w:rsidRDefault="005A0D6B" w:rsidP="005A0D6B">
      <w:pPr>
        <w:tabs>
          <w:tab w:val="left" w:pos="720"/>
          <w:tab w:val="left" w:pos="4320"/>
          <w:tab w:val="right" w:pos="8640"/>
        </w:tabs>
        <w:ind w:left="4320"/>
        <w:rPr>
          <w:rFonts w:eastAsia="Calibri" w:cs="Arial"/>
        </w:rPr>
      </w:pPr>
    </w:p>
    <w:p w14:paraId="1B20DA7F" w14:textId="77777777" w:rsidR="005A0D6B" w:rsidRDefault="005A0D6B" w:rsidP="005A0D6B">
      <w:pPr>
        <w:tabs>
          <w:tab w:val="left" w:pos="720"/>
          <w:tab w:val="left" w:pos="4320"/>
          <w:tab w:val="right" w:pos="8640"/>
        </w:tabs>
        <w:ind w:left="4320"/>
        <w:rPr>
          <w:rFonts w:eastAsia="Calibri" w:cs="Arial"/>
        </w:rPr>
      </w:pPr>
    </w:p>
    <w:p w14:paraId="63188471" w14:textId="77777777" w:rsidR="005A0D6B" w:rsidRDefault="005A0D6B" w:rsidP="005A0D6B">
      <w:pPr>
        <w:tabs>
          <w:tab w:val="left" w:pos="720"/>
          <w:tab w:val="left" w:pos="4320"/>
          <w:tab w:val="right" w:pos="8640"/>
        </w:tabs>
        <w:ind w:left="4320"/>
        <w:rPr>
          <w:rFonts w:eastAsia="Calibri" w:cs="Arial"/>
        </w:rPr>
      </w:pPr>
    </w:p>
    <w:p w14:paraId="36BA0735" w14:textId="77777777" w:rsidR="009C0A92" w:rsidRDefault="009C0A92" w:rsidP="005A0D6B">
      <w:pPr>
        <w:tabs>
          <w:tab w:val="left" w:pos="720"/>
          <w:tab w:val="left" w:pos="4320"/>
          <w:tab w:val="right" w:pos="8640"/>
        </w:tabs>
        <w:ind w:left="4320"/>
        <w:rPr>
          <w:rFonts w:eastAsia="Calibri" w:cs="Arial"/>
        </w:rPr>
      </w:pPr>
    </w:p>
    <w:p w14:paraId="524382A3" w14:textId="77777777" w:rsidR="005A0D6B" w:rsidRDefault="005A0D6B" w:rsidP="005A0D6B">
      <w:pPr>
        <w:tabs>
          <w:tab w:val="left" w:pos="720"/>
          <w:tab w:val="left" w:pos="4320"/>
          <w:tab w:val="right" w:pos="8640"/>
        </w:tabs>
        <w:ind w:left="4320"/>
        <w:rPr>
          <w:rFonts w:eastAsia="Calibri" w:cs="Arial"/>
        </w:rPr>
      </w:pPr>
    </w:p>
    <w:p w14:paraId="02F78960" w14:textId="77777777" w:rsidR="005A0D6B" w:rsidRDefault="005A0D6B" w:rsidP="005A0D6B">
      <w:pPr>
        <w:tabs>
          <w:tab w:val="left" w:pos="720"/>
          <w:tab w:val="left" w:pos="4320"/>
          <w:tab w:val="right" w:pos="8640"/>
        </w:tabs>
        <w:ind w:left="4320"/>
        <w:rPr>
          <w:rFonts w:eastAsia="Calibri" w:cs="Arial"/>
        </w:rPr>
      </w:pPr>
    </w:p>
    <w:p w14:paraId="6D5DD966" w14:textId="77777777" w:rsidR="005A0D6B" w:rsidRDefault="005A0D6B" w:rsidP="005A0D6B">
      <w:pPr>
        <w:tabs>
          <w:tab w:val="left" w:pos="720"/>
          <w:tab w:val="left" w:pos="4320"/>
          <w:tab w:val="right" w:pos="8640"/>
        </w:tabs>
        <w:ind w:left="4320"/>
        <w:rPr>
          <w:rFonts w:eastAsia="Calibri" w:cs="Arial"/>
        </w:rPr>
      </w:pPr>
    </w:p>
    <w:p w14:paraId="446A20BB" w14:textId="77777777" w:rsidR="005A0D6B" w:rsidRDefault="005A0D6B" w:rsidP="005A0D6B">
      <w:pPr>
        <w:tabs>
          <w:tab w:val="left" w:pos="720"/>
          <w:tab w:val="left" w:pos="4320"/>
          <w:tab w:val="right" w:pos="8640"/>
        </w:tabs>
        <w:ind w:left="4320"/>
        <w:rPr>
          <w:rFonts w:eastAsia="Calibri" w:cs="Arial"/>
        </w:rPr>
      </w:pPr>
    </w:p>
    <w:p w14:paraId="36768E76" w14:textId="77777777" w:rsidR="005A0D6B" w:rsidRDefault="005A0D6B" w:rsidP="005A0D6B">
      <w:pPr>
        <w:tabs>
          <w:tab w:val="left" w:pos="720"/>
          <w:tab w:val="left" w:pos="4320"/>
          <w:tab w:val="right" w:pos="8640"/>
        </w:tabs>
        <w:ind w:left="4320"/>
        <w:rPr>
          <w:rFonts w:eastAsia="Calibri" w:cs="Arial"/>
        </w:rPr>
      </w:pPr>
    </w:p>
    <w:p w14:paraId="7D440740" w14:textId="77777777" w:rsidR="005A0D6B" w:rsidRDefault="005A0D6B" w:rsidP="005A0D6B">
      <w:pPr>
        <w:tabs>
          <w:tab w:val="left" w:pos="720"/>
          <w:tab w:val="left" w:pos="4320"/>
          <w:tab w:val="right" w:pos="8640"/>
        </w:tabs>
        <w:ind w:left="4320"/>
        <w:rPr>
          <w:rFonts w:eastAsia="Calibri" w:cs="Arial"/>
        </w:rPr>
      </w:pPr>
    </w:p>
    <w:p w14:paraId="35D71FE8" w14:textId="77777777" w:rsidR="005A0D6B" w:rsidRDefault="005A0D6B" w:rsidP="005A0D6B">
      <w:pPr>
        <w:pStyle w:val="BodyText3"/>
        <w:widowControl w:val="0"/>
        <w:ind w:left="4320"/>
        <w:jc w:val="both"/>
        <w:rPr>
          <w:rFonts w:ascii="Arial" w:hAnsi="Arial" w:cs="Arial"/>
          <w:b w:val="0"/>
          <w:bCs/>
        </w:rPr>
      </w:pPr>
      <w:r w:rsidRPr="00AC359B">
        <w:rPr>
          <w:rFonts w:ascii="Arial" w:hAnsi="Arial" w:cs="Arial"/>
          <w:bCs/>
        </w:rPr>
        <w:t>Frank P. Darr</w:t>
      </w:r>
      <w:r>
        <w:rPr>
          <w:rFonts w:ascii="Arial" w:hAnsi="Arial" w:cs="Arial"/>
          <w:b w:val="0"/>
          <w:bCs/>
        </w:rPr>
        <w:t xml:space="preserve"> (Reg. No. 0025469)</w:t>
      </w:r>
    </w:p>
    <w:p w14:paraId="18EFD24A" w14:textId="77777777" w:rsidR="005A0D6B" w:rsidRDefault="005A0D6B" w:rsidP="005A0D6B">
      <w:pPr>
        <w:tabs>
          <w:tab w:val="right" w:pos="8640"/>
        </w:tabs>
        <w:ind w:left="4320"/>
        <w:jc w:val="both"/>
        <w:rPr>
          <w:rFonts w:cs="Arial"/>
        </w:rPr>
      </w:pPr>
      <w:r>
        <w:rPr>
          <w:rFonts w:cs="Arial"/>
        </w:rPr>
        <w:t xml:space="preserve">   (Counsel of Record)</w:t>
      </w:r>
    </w:p>
    <w:p w14:paraId="43630D8A" w14:textId="77777777" w:rsidR="005A0D6B" w:rsidRDefault="005A0D6B" w:rsidP="005A0D6B">
      <w:pPr>
        <w:pStyle w:val="BodyText3"/>
        <w:widowControl w:val="0"/>
        <w:ind w:left="4320"/>
        <w:jc w:val="both"/>
        <w:rPr>
          <w:rFonts w:ascii="Arial" w:hAnsi="Arial" w:cs="Arial"/>
          <w:b w:val="0"/>
          <w:bCs/>
        </w:rPr>
      </w:pPr>
      <w:r w:rsidRPr="00AC359B">
        <w:rPr>
          <w:rFonts w:ascii="Arial" w:hAnsi="Arial" w:cs="Arial"/>
          <w:bCs/>
        </w:rPr>
        <w:t>Matthew R. Pritchard</w:t>
      </w:r>
      <w:r>
        <w:rPr>
          <w:rFonts w:ascii="Arial" w:hAnsi="Arial" w:cs="Arial"/>
          <w:b w:val="0"/>
          <w:bCs/>
        </w:rPr>
        <w:t xml:space="preserve"> (Reg. No. 0088070)</w:t>
      </w:r>
    </w:p>
    <w:p w14:paraId="4A0B4ADD" w14:textId="77777777" w:rsidR="005A0D6B" w:rsidRDefault="005A0D6B" w:rsidP="005A0D6B">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2E43D10F" w14:textId="77777777" w:rsidR="005A0D6B" w:rsidRDefault="005A0D6B" w:rsidP="005A0D6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AB7FEF1" w14:textId="77777777" w:rsidR="005A0D6B" w:rsidRDefault="005A0D6B" w:rsidP="005A0D6B">
      <w:pPr>
        <w:pStyle w:val="BodyText"/>
        <w:ind w:left="4320"/>
      </w:pPr>
      <w:r>
        <w:t>Columbus, OH  43215</w:t>
      </w:r>
    </w:p>
    <w:p w14:paraId="7FBC633A" w14:textId="77777777" w:rsidR="005A0D6B" w:rsidRDefault="005A0D6B" w:rsidP="005A0D6B">
      <w:pPr>
        <w:pStyle w:val="BodyText"/>
        <w:ind w:left="4320"/>
      </w:pPr>
      <w:r>
        <w:t>Telephone:  (614) 469-8000</w:t>
      </w:r>
    </w:p>
    <w:p w14:paraId="793795B0" w14:textId="77777777" w:rsidR="005A0D6B" w:rsidRDefault="005A0D6B" w:rsidP="005A0D6B">
      <w:pPr>
        <w:pStyle w:val="BodyText"/>
        <w:ind w:left="4320"/>
      </w:pPr>
      <w:r>
        <w:t>Telecopier:  (614) 469-4653</w:t>
      </w:r>
    </w:p>
    <w:p w14:paraId="6476773F" w14:textId="77777777" w:rsidR="005A0D6B" w:rsidRPr="00847C08" w:rsidRDefault="005A0D6B" w:rsidP="005A0D6B">
      <w:pPr>
        <w:pStyle w:val="BodyText"/>
        <w:ind w:left="4320"/>
      </w:pPr>
      <w:r w:rsidRPr="00847C08">
        <w:t>fdarr@mwncmh.com</w:t>
      </w:r>
    </w:p>
    <w:p w14:paraId="2FC9A4E6" w14:textId="77777777" w:rsidR="005A0D6B" w:rsidRPr="00847C08" w:rsidRDefault="005A0D6B" w:rsidP="005A0D6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847C08">
        <w:rPr>
          <w:rFonts w:eastAsia="Calibri" w:cs="Arial"/>
          <w:color w:val="000000"/>
        </w:rPr>
        <w:t>(willing to accept service by e-mail)</w:t>
      </w:r>
    </w:p>
    <w:p w14:paraId="65C7CC71" w14:textId="77777777" w:rsidR="005A0D6B" w:rsidRPr="00847C08" w:rsidRDefault="005A0D6B" w:rsidP="005A0D6B">
      <w:pPr>
        <w:pStyle w:val="BodyText"/>
        <w:ind w:left="4320"/>
      </w:pPr>
      <w:r w:rsidRPr="00847C08">
        <w:t>mpritchard@mwncmh.com</w:t>
      </w:r>
    </w:p>
    <w:p w14:paraId="3CFAF06E" w14:textId="77777777" w:rsidR="005A0D6B" w:rsidRPr="00847C08" w:rsidRDefault="005A0D6B" w:rsidP="005A0D6B">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847C08">
        <w:rPr>
          <w:rFonts w:eastAsia="Calibri" w:cs="Arial"/>
          <w:color w:val="000000"/>
        </w:rPr>
        <w:t>(willing to accept service by e-mail)</w:t>
      </w:r>
    </w:p>
    <w:p w14:paraId="01E67C97" w14:textId="77777777" w:rsidR="005A0D6B" w:rsidRPr="004F7151" w:rsidRDefault="005A0D6B" w:rsidP="005A0D6B">
      <w:pPr>
        <w:tabs>
          <w:tab w:val="left" w:pos="-1440"/>
          <w:tab w:val="left" w:pos="-720"/>
          <w:tab w:val="left" w:pos="5040"/>
          <w:tab w:val="center" w:pos="7200"/>
        </w:tabs>
        <w:overflowPunct w:val="0"/>
        <w:autoSpaceDE w:val="0"/>
        <w:autoSpaceDN w:val="0"/>
        <w:adjustRightInd w:val="0"/>
        <w:ind w:left="4230"/>
        <w:rPr>
          <w:rFonts w:eastAsia="Calibri" w:cs="Arial"/>
          <w:b/>
          <w:smallCaps/>
        </w:rPr>
      </w:pPr>
    </w:p>
    <w:p w14:paraId="02464B0E" w14:textId="1AB63F6B" w:rsidR="005A0D6B" w:rsidRDefault="005A0D6B" w:rsidP="005A0D6B">
      <w:pPr>
        <w:tabs>
          <w:tab w:val="left" w:pos="4230"/>
        </w:tabs>
        <w:rPr>
          <w:rFonts w:eastAsia="Calibri" w:cs="Arial"/>
          <w:b/>
          <w:smallCaps/>
        </w:rPr>
        <w:sectPr w:rsidR="005A0D6B" w:rsidSect="00C04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eastAsia="Calibri" w:cs="Arial"/>
          <w:b/>
          <w:smallCaps/>
        </w:rPr>
        <w:t xml:space="preserve">February </w:t>
      </w:r>
      <w:r w:rsidR="009D6FA8">
        <w:rPr>
          <w:rFonts w:eastAsia="Calibri" w:cs="Arial"/>
          <w:b/>
          <w:smallCaps/>
        </w:rPr>
        <w:t>20</w:t>
      </w:r>
      <w:r>
        <w:rPr>
          <w:rFonts w:eastAsia="Calibri" w:cs="Arial"/>
          <w:b/>
          <w:smallCaps/>
        </w:rPr>
        <w:t>, 2018</w:t>
      </w:r>
      <w:r w:rsidRPr="004F7151">
        <w:rPr>
          <w:rFonts w:eastAsia="Calibri" w:cs="Arial"/>
          <w:b/>
          <w:smallCaps/>
        </w:rPr>
        <w:tab/>
      </w:r>
      <w:r w:rsidR="00D03A1E">
        <w:rPr>
          <w:rFonts w:eastAsia="Calibri" w:cs="Arial"/>
          <w:b/>
          <w:smallCaps/>
        </w:rPr>
        <w:tab/>
      </w:r>
      <w:r w:rsidR="00D03A1E">
        <w:rPr>
          <w:rFonts w:ascii="Arial Bold" w:hAnsi="Arial Bold" w:cs="Arial"/>
          <w:b/>
          <w:smallCaps/>
        </w:rPr>
        <w:t xml:space="preserve">Counsel </w:t>
      </w:r>
      <w:r w:rsidRPr="004F7151">
        <w:rPr>
          <w:rFonts w:eastAsia="Calibri" w:cs="Arial"/>
          <w:b/>
          <w:smallCaps/>
        </w:rPr>
        <w:t xml:space="preserve">for </w:t>
      </w:r>
      <w:r>
        <w:rPr>
          <w:rFonts w:eastAsia="Calibri" w:cs="Arial"/>
          <w:b/>
          <w:smallCaps/>
        </w:rPr>
        <w:t>Industrial Energy Users-Ohio</w:t>
      </w:r>
    </w:p>
    <w:p w14:paraId="6DDF1DEA" w14:textId="77777777" w:rsidR="005A0D6B" w:rsidRPr="004F7151" w:rsidRDefault="005A0D6B" w:rsidP="005A0D6B">
      <w:pPr>
        <w:jc w:val="center"/>
        <w:rPr>
          <w:rFonts w:eastAsia="Times New Roman" w:cs="Arial"/>
          <w:b/>
          <w:smallCaps/>
          <w:sz w:val="32"/>
          <w:szCs w:val="32"/>
        </w:rPr>
      </w:pPr>
      <w:r w:rsidRPr="004F7151">
        <w:rPr>
          <w:rFonts w:eastAsia="Times New Roman" w:cs="Arial"/>
          <w:b/>
          <w:smallCaps/>
          <w:sz w:val="32"/>
          <w:szCs w:val="32"/>
        </w:rPr>
        <w:lastRenderedPageBreak/>
        <w:t>Before</w:t>
      </w:r>
    </w:p>
    <w:p w14:paraId="238B8B60" w14:textId="77777777" w:rsidR="005A0D6B" w:rsidRPr="004F7151" w:rsidRDefault="005A0D6B" w:rsidP="005A0D6B">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14:paraId="3B6EB4F9" w14:textId="77777777" w:rsidR="005A0D6B" w:rsidRPr="004F7151" w:rsidRDefault="005A0D6B" w:rsidP="005A0D6B">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5A0D6B" w:rsidRPr="004F7151" w14:paraId="180770B6" w14:textId="77777777" w:rsidTr="000B6563">
        <w:tc>
          <w:tcPr>
            <w:tcW w:w="4230" w:type="dxa"/>
            <w:hideMark/>
          </w:tcPr>
          <w:p w14:paraId="212178CB" w14:textId="77777777" w:rsidR="005A0D6B" w:rsidRPr="004F7151" w:rsidRDefault="005A0D6B" w:rsidP="000B6563">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14:paraId="1C23D066" w14:textId="77777777" w:rsidR="005A0D6B" w:rsidRPr="004F7151" w:rsidRDefault="005A0D6B" w:rsidP="000B6563">
            <w:pPr>
              <w:rPr>
                <w:rFonts w:eastAsia="Calibri" w:cs="Times New Roman"/>
              </w:rPr>
            </w:pPr>
            <w:r w:rsidRPr="004F7151">
              <w:rPr>
                <w:rFonts w:eastAsia="Calibri" w:cs="Times New Roman"/>
              </w:rPr>
              <w:t>)</w:t>
            </w:r>
          </w:p>
          <w:p w14:paraId="24FEABED" w14:textId="77777777" w:rsidR="005A0D6B" w:rsidRPr="004F7151" w:rsidRDefault="005A0D6B" w:rsidP="000B6563">
            <w:pPr>
              <w:rPr>
                <w:rFonts w:eastAsia="Calibri" w:cs="Times New Roman"/>
              </w:rPr>
            </w:pPr>
            <w:r w:rsidRPr="004F7151">
              <w:rPr>
                <w:rFonts w:eastAsia="Calibri" w:cs="Times New Roman"/>
              </w:rPr>
              <w:t>)</w:t>
            </w:r>
          </w:p>
          <w:p w14:paraId="591678E4" w14:textId="77777777" w:rsidR="005A0D6B" w:rsidRDefault="005A0D6B" w:rsidP="000B6563">
            <w:pPr>
              <w:rPr>
                <w:rFonts w:eastAsia="Calibri" w:cs="Times New Roman"/>
              </w:rPr>
            </w:pPr>
            <w:r w:rsidRPr="004F7151">
              <w:rPr>
                <w:rFonts w:eastAsia="Calibri" w:cs="Times New Roman"/>
              </w:rPr>
              <w:t>)</w:t>
            </w:r>
          </w:p>
          <w:p w14:paraId="4E289BD8" w14:textId="77777777" w:rsidR="005A0D6B" w:rsidRPr="004F7151" w:rsidRDefault="005A0D6B" w:rsidP="000B6563">
            <w:pPr>
              <w:rPr>
                <w:rFonts w:eastAsia="Calibri" w:cs="Times New Roman"/>
              </w:rPr>
            </w:pPr>
            <w:r>
              <w:rPr>
                <w:rFonts w:eastAsia="Calibri" w:cs="Times New Roman"/>
              </w:rPr>
              <w:t>)</w:t>
            </w:r>
          </w:p>
        </w:tc>
        <w:tc>
          <w:tcPr>
            <w:tcW w:w="4576" w:type="dxa"/>
          </w:tcPr>
          <w:p w14:paraId="06EF7F38" w14:textId="77777777" w:rsidR="005A0D6B" w:rsidRPr="004F7151" w:rsidRDefault="005A0D6B" w:rsidP="000B6563">
            <w:pPr>
              <w:rPr>
                <w:rFonts w:eastAsia="Calibri" w:cs="Times New Roman"/>
              </w:rPr>
            </w:pPr>
          </w:p>
          <w:p w14:paraId="2CF04157" w14:textId="77777777" w:rsidR="005A0D6B" w:rsidRPr="004F7151" w:rsidRDefault="005A0D6B" w:rsidP="000B6563">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14:paraId="707BC23E" w14:textId="77777777" w:rsidR="005A0D6B" w:rsidRPr="004F7151" w:rsidRDefault="005A0D6B" w:rsidP="005A0D6B">
      <w:pPr>
        <w:tabs>
          <w:tab w:val="left" w:pos="5040"/>
        </w:tabs>
        <w:jc w:val="both"/>
        <w:rPr>
          <w:rFonts w:eastAsia="Times New Roman" w:cs="Arial"/>
        </w:rPr>
      </w:pPr>
    </w:p>
    <w:p w14:paraId="56D7B357" w14:textId="77777777" w:rsidR="005A0D6B" w:rsidRPr="00176FBC" w:rsidRDefault="005A0D6B" w:rsidP="005A0D6B">
      <w:pPr>
        <w:keepNext/>
        <w:pBdr>
          <w:top w:val="single" w:sz="12" w:space="1" w:color="auto"/>
        </w:pBdr>
        <w:tabs>
          <w:tab w:val="left" w:pos="7320"/>
        </w:tabs>
        <w:jc w:val="center"/>
        <w:outlineLvl w:val="0"/>
        <w:rPr>
          <w:rFonts w:eastAsia="Times New Roman" w:cs="Arial"/>
          <w:b/>
          <w:smallCaps/>
          <w:szCs w:val="28"/>
        </w:rPr>
      </w:pPr>
    </w:p>
    <w:p w14:paraId="02C1B7CF" w14:textId="077E4E66" w:rsidR="005A0D6B" w:rsidRPr="005A0D6B" w:rsidRDefault="005A0D6B" w:rsidP="005A0D6B">
      <w:pPr>
        <w:jc w:val="center"/>
        <w:rPr>
          <w:rFonts w:ascii="Arial Bold" w:hAnsi="Arial Bold"/>
          <w:b/>
          <w:smallCaps/>
          <w:sz w:val="28"/>
        </w:rPr>
      </w:pPr>
      <w:r w:rsidRPr="005A0D6B">
        <w:rPr>
          <w:rFonts w:ascii="Arial Bold" w:hAnsi="Arial Bold"/>
          <w:b/>
          <w:smallCaps/>
          <w:sz w:val="28"/>
        </w:rPr>
        <w:t xml:space="preserve">Memorandum Opposing </w:t>
      </w:r>
      <w:bookmarkStart w:id="2" w:name="_Hlk506367576"/>
      <w:r w:rsidR="00851F0F">
        <w:rPr>
          <w:rFonts w:ascii="Arial Bold" w:hAnsi="Arial Bold"/>
          <w:b/>
          <w:smallCaps/>
          <w:sz w:val="28"/>
        </w:rPr>
        <w:t xml:space="preserve">the </w:t>
      </w:r>
      <w:r w:rsidRPr="005A0D6B">
        <w:rPr>
          <w:rFonts w:ascii="Arial Bold" w:hAnsi="Arial Bold"/>
          <w:b/>
          <w:smallCaps/>
          <w:sz w:val="28"/>
        </w:rPr>
        <w:t xml:space="preserve">Joint Application for Rehearing of </w:t>
      </w:r>
      <w:r>
        <w:rPr>
          <w:rFonts w:ascii="Arial Bold" w:hAnsi="Arial Bold"/>
          <w:b/>
          <w:smallCaps/>
          <w:sz w:val="28"/>
        </w:rPr>
        <w:br/>
      </w:r>
      <w:r w:rsidRPr="005A0D6B">
        <w:rPr>
          <w:rFonts w:ascii="Arial Bold" w:hAnsi="Arial Bold"/>
          <w:b/>
          <w:smallCaps/>
          <w:sz w:val="28"/>
        </w:rPr>
        <w:t>Ohio Power Company, Ohio Edison Company, The Dayton Power and Light Company, Duke Energy Ohio, Inc., The Cleveland Electric Illuminating Company, and The Toledo Edison Company</w:t>
      </w:r>
      <w:bookmarkEnd w:id="2"/>
    </w:p>
    <w:p w14:paraId="4A743E26" w14:textId="77777777" w:rsidR="005A0D6B" w:rsidRPr="00176FBC" w:rsidRDefault="005A0D6B" w:rsidP="005A0D6B">
      <w:pPr>
        <w:jc w:val="center"/>
        <w:rPr>
          <w:rFonts w:eastAsia="Times New Roman" w:cs="Arial"/>
          <w:smallCaps/>
          <w:szCs w:val="28"/>
          <w:u w:val="single"/>
        </w:rPr>
      </w:pPr>
    </w:p>
    <w:p w14:paraId="68811E14" w14:textId="77777777" w:rsidR="005A0D6B" w:rsidRPr="004F7151" w:rsidRDefault="005A0D6B" w:rsidP="005A0D6B">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5A251839" w14:textId="77777777" w:rsidR="006C191D" w:rsidRPr="006C191D" w:rsidRDefault="006C191D" w:rsidP="006C191D">
      <w:pPr>
        <w:pStyle w:val="ListParagraph"/>
        <w:numPr>
          <w:ilvl w:val="0"/>
          <w:numId w:val="2"/>
        </w:numPr>
        <w:spacing w:line="480" w:lineRule="auto"/>
        <w:ind w:hanging="720"/>
        <w:jc w:val="both"/>
        <w:rPr>
          <w:b/>
        </w:rPr>
      </w:pPr>
      <w:r w:rsidRPr="006C191D">
        <w:rPr>
          <w:b/>
        </w:rPr>
        <w:t>INTRODUCTION</w:t>
      </w:r>
    </w:p>
    <w:p w14:paraId="02900F63" w14:textId="5447C32D" w:rsidR="00C21780" w:rsidRDefault="00C21780" w:rsidP="005A0D6B">
      <w:pPr>
        <w:spacing w:line="480" w:lineRule="auto"/>
        <w:ind w:firstLine="720"/>
        <w:jc w:val="both"/>
      </w:pPr>
      <w:r>
        <w:t>On January 1, 2018, provisions of the Tax Cuts and Jobs Act of 2017 (</w:t>
      </w:r>
      <w:r w:rsidR="005A0D6B">
        <w:t>“</w:t>
      </w:r>
      <w:r>
        <w:t xml:space="preserve">TCJA”) became effective.  One of those provisions lowers the federal corporate income tax rate to 21%.  </w:t>
      </w:r>
    </w:p>
    <w:p w14:paraId="5775F979" w14:textId="2925EA04" w:rsidR="00C21780" w:rsidRDefault="00C21780" w:rsidP="005A0D6B">
      <w:pPr>
        <w:spacing w:line="480" w:lineRule="auto"/>
        <w:ind w:firstLine="720"/>
        <w:jc w:val="both"/>
      </w:pPr>
      <w:r>
        <w:t>The Public Utilities Commission of Ohio (“Commission”) opened this investigation on January 10, 2018 “to study the impacts of the [TCJA] on the Commission’s jurisdictional rate-regulated utilities, and determine the appropriate course of action to pass benefits on to ratepayers.”  Entry, ¶</w:t>
      </w:r>
      <w:r w:rsidR="005A0D6B">
        <w:t> </w:t>
      </w:r>
      <w:r>
        <w:t xml:space="preserve">1 (Jan. 10, 2018).  It also ordered all utilities to establish a deferred liability to record the estimated reduction in federal income tax.  </w:t>
      </w:r>
      <w:r w:rsidRPr="005A0D6B">
        <w:rPr>
          <w:i/>
        </w:rPr>
        <w:t>Id.</w:t>
      </w:r>
      <w:r>
        <w:t>, ¶</w:t>
      </w:r>
      <w:r w:rsidR="005A0D6B">
        <w:t> </w:t>
      </w:r>
      <w:r>
        <w:t>7.</w:t>
      </w:r>
    </w:p>
    <w:p w14:paraId="36DEACC7" w14:textId="58DD3AEF" w:rsidR="00C21780" w:rsidRDefault="00C21780" w:rsidP="00602601">
      <w:pPr>
        <w:spacing w:line="480" w:lineRule="auto"/>
        <w:ind w:firstLine="720"/>
        <w:jc w:val="both"/>
      </w:pPr>
      <w:r>
        <w:t xml:space="preserve">On February 9, 2018, </w:t>
      </w:r>
      <w:r w:rsidR="00FA2329">
        <w:t xml:space="preserve">the six </w:t>
      </w:r>
      <w:r w:rsidR="00851F0F">
        <w:t xml:space="preserve">rate regulated </w:t>
      </w:r>
      <w:r w:rsidR="00FA2329">
        <w:t xml:space="preserve">electric distribution utilities (“EDUs”), </w:t>
      </w:r>
      <w:r>
        <w:t>Ohio Power Company, Ohio Edison Company, The Dayton Power and Light Company, Duke Energy Ohio, Inc., The Cleveland Electric Illuminating Company, and The Toledo Edison Company</w:t>
      </w:r>
      <w:r w:rsidR="00FA2329">
        <w:t>,</w:t>
      </w:r>
      <w:r>
        <w:t xml:space="preserve"> </w:t>
      </w:r>
      <w:r w:rsidR="000E35AE">
        <w:t xml:space="preserve">jointly </w:t>
      </w:r>
      <w:r>
        <w:t>sought rehearing of the Commission’s Entry</w:t>
      </w:r>
      <w:r w:rsidR="0021726A">
        <w:t xml:space="preserve"> and present three assignments of error</w:t>
      </w:r>
      <w:r>
        <w:t xml:space="preserve">.  While the EDUs “agree </w:t>
      </w:r>
      <w:r w:rsidR="00FA2329">
        <w:t>that</w:t>
      </w:r>
      <w:r>
        <w:t xml:space="preserve"> it is necessary and appropriate” fo</w:t>
      </w:r>
      <w:r w:rsidR="00FA2329">
        <w:t>r</w:t>
      </w:r>
      <w:r>
        <w:t xml:space="preserve"> </w:t>
      </w:r>
      <w:r w:rsidR="00FA2329">
        <w:t>the</w:t>
      </w:r>
      <w:r>
        <w:t xml:space="preserve"> </w:t>
      </w:r>
      <w:r>
        <w:lastRenderedPageBreak/>
        <w:t>Commission to consider the effects of the TCJA</w:t>
      </w:r>
      <w:r w:rsidR="00366C3B">
        <w:t>, they seek</w:t>
      </w:r>
      <w:r w:rsidR="00602601">
        <w:t xml:space="preserve"> in the first two assignments of error either</w:t>
      </w:r>
      <w:r w:rsidR="00366C3B">
        <w:t xml:space="preserve"> clarification </w:t>
      </w:r>
      <w:r w:rsidR="00602601">
        <w:t>or</w:t>
      </w:r>
      <w:r w:rsidR="00366C3B">
        <w:t>, “if necessary,” modification of the Commission’s order directing the EDUs and other utilities to record a deferred liability so that this order “is without prejudice to the outcome of these proceedings</w:t>
      </w:r>
      <w:r w:rsidR="000E35AE">
        <w:t xml:space="preserve"> as well as any other rider or ratemaking proceeding</w:t>
      </w:r>
      <w:r w:rsidR="00366C3B">
        <w:t xml:space="preserve">.”  </w:t>
      </w:r>
      <w:r w:rsidR="002543FC" w:rsidRPr="002543FC">
        <w:t>Joint Application for Rehearing of Ohio Power Company, Ohio Edison Company, The Dayton Power and Light Company, Duke Energy Ohio, Inc., The Cleveland Electric Illuminating Company, and The Toledo Edison Company</w:t>
      </w:r>
      <w:r w:rsidR="002543FC">
        <w:t xml:space="preserve"> at 4 (Feb. 9, 2018) (“Application for Rehearing”).  </w:t>
      </w:r>
      <w:r w:rsidR="00602601">
        <w:t xml:space="preserve">In the third assignment of error, </w:t>
      </w:r>
      <w:r w:rsidR="0009186A">
        <w:t>t</w:t>
      </w:r>
      <w:r w:rsidR="007E6CCB">
        <w:t>he</w:t>
      </w:r>
      <w:r w:rsidR="00366C3B">
        <w:t xml:space="preserve"> Application for Rehearing seeks a determination that the </w:t>
      </w:r>
      <w:r w:rsidR="00602601">
        <w:t>order to record the estim</w:t>
      </w:r>
      <w:bookmarkStart w:id="3" w:name="_GoBack"/>
      <w:bookmarkEnd w:id="3"/>
      <w:r w:rsidR="00602601">
        <w:t>ated federal income tax savings</w:t>
      </w:r>
      <w:r w:rsidR="00366C3B">
        <w:t xml:space="preserve"> is unreasonable and unlawful </w:t>
      </w:r>
      <w:r w:rsidR="00E41E12">
        <w:t>if it is intended to form the basis to change base rates or riders</w:t>
      </w:r>
      <w:r w:rsidR="00366C3B">
        <w:t xml:space="preserve">.  </w:t>
      </w:r>
      <w:r w:rsidR="00366C3B" w:rsidRPr="00834ADC">
        <w:rPr>
          <w:i/>
        </w:rPr>
        <w:t>Id.</w:t>
      </w:r>
      <w:r w:rsidR="00366C3B">
        <w:t xml:space="preserve"> at </w:t>
      </w:r>
      <w:r w:rsidR="005154C8">
        <w:t>2</w:t>
      </w:r>
      <w:r w:rsidR="00602601">
        <w:t>.</w:t>
      </w:r>
    </w:p>
    <w:p w14:paraId="710C6F14" w14:textId="561151E3" w:rsidR="005154C8" w:rsidRDefault="00EA4726" w:rsidP="00834ADC">
      <w:pPr>
        <w:spacing w:line="480" w:lineRule="auto"/>
        <w:ind w:firstLine="720"/>
        <w:jc w:val="both"/>
      </w:pPr>
      <w:r>
        <w:t>The EDUs’ first and second assignments of error do not demonstrate that the order requiring the EDUs to track tax savings is unlawful or unreasonable.</w:t>
      </w:r>
      <w:r w:rsidR="0021726A">
        <w:t xml:space="preserve"> </w:t>
      </w:r>
      <w:r>
        <w:t xml:space="preserve">Further, none of the assignments of error is ripe for decision.  Accordingly, </w:t>
      </w:r>
      <w:r w:rsidR="0021726A">
        <w:t>the Commission should deny the EDUs’ Application for Rehearing.</w:t>
      </w:r>
    </w:p>
    <w:p w14:paraId="46873453" w14:textId="0FBA3157" w:rsidR="00F4254E" w:rsidRPr="00F4254E" w:rsidRDefault="00F4254E" w:rsidP="00F4254E">
      <w:pPr>
        <w:pStyle w:val="ListParagraph"/>
        <w:numPr>
          <w:ilvl w:val="0"/>
          <w:numId w:val="2"/>
        </w:numPr>
        <w:spacing w:line="480" w:lineRule="auto"/>
        <w:ind w:hanging="720"/>
        <w:jc w:val="both"/>
        <w:rPr>
          <w:b/>
        </w:rPr>
      </w:pPr>
      <w:r w:rsidRPr="00F4254E">
        <w:rPr>
          <w:b/>
        </w:rPr>
        <w:t>ARGUMENT</w:t>
      </w:r>
    </w:p>
    <w:p w14:paraId="4A3FD58D" w14:textId="47D3B761" w:rsidR="003B6EFE" w:rsidRPr="008C4067" w:rsidRDefault="000108E3" w:rsidP="003936B6">
      <w:pPr>
        <w:pStyle w:val="ListParagraph"/>
        <w:numPr>
          <w:ilvl w:val="0"/>
          <w:numId w:val="4"/>
        </w:numPr>
        <w:spacing w:after="240"/>
        <w:ind w:left="1440" w:hanging="720"/>
        <w:jc w:val="both"/>
        <w:rPr>
          <w:rFonts w:ascii="Arial Bold" w:hAnsi="Arial Bold"/>
          <w:b/>
        </w:rPr>
      </w:pPr>
      <w:r>
        <w:rPr>
          <w:rFonts w:ascii="Arial Bold" w:hAnsi="Arial Bold"/>
          <w:b/>
        </w:rPr>
        <w:t xml:space="preserve">Assignments of Error 1 and 2 do not </w:t>
      </w:r>
      <w:r w:rsidR="00EA4726">
        <w:rPr>
          <w:rFonts w:ascii="Arial Bold" w:hAnsi="Arial Bold"/>
          <w:b/>
        </w:rPr>
        <w:t>demonstrate that</w:t>
      </w:r>
      <w:r>
        <w:rPr>
          <w:rFonts w:ascii="Arial Bold" w:hAnsi="Arial Bold"/>
          <w:b/>
        </w:rPr>
        <w:t xml:space="preserve"> the Commission </w:t>
      </w:r>
      <w:r w:rsidR="00EA4726">
        <w:rPr>
          <w:rFonts w:ascii="Arial Bold" w:hAnsi="Arial Bold"/>
          <w:b/>
        </w:rPr>
        <w:t>order directing them to track tax savings is unlawful or unreasonable</w:t>
      </w:r>
    </w:p>
    <w:p w14:paraId="07769D0D" w14:textId="72EBCE8D" w:rsidR="000B56DD" w:rsidRDefault="000B56DD" w:rsidP="00834ADC">
      <w:pPr>
        <w:spacing w:line="480" w:lineRule="auto"/>
        <w:ind w:firstLine="720"/>
        <w:jc w:val="both"/>
      </w:pPr>
      <w:r w:rsidRPr="000B56DD">
        <w:t xml:space="preserve">A party seeking rehearing has the burden to demonstrate that the order is unreasonable or unlawful.  R.C. 4903.10.  Neither the first </w:t>
      </w:r>
      <w:r>
        <w:t>n</w:t>
      </w:r>
      <w:r w:rsidRPr="000B56DD">
        <w:t xml:space="preserve">or second assignment of error </w:t>
      </w:r>
      <w:r>
        <w:t>satisfies</w:t>
      </w:r>
      <w:r w:rsidRPr="000B56DD">
        <w:t xml:space="preserve"> that requirement.</w:t>
      </w:r>
    </w:p>
    <w:p w14:paraId="413587F6" w14:textId="47203583" w:rsidR="008E0741" w:rsidRDefault="00602601" w:rsidP="00834ADC">
      <w:pPr>
        <w:spacing w:line="480" w:lineRule="auto"/>
        <w:ind w:firstLine="720"/>
        <w:jc w:val="both"/>
      </w:pPr>
      <w:r>
        <w:t>In the first assignment of error, the EDUs</w:t>
      </w:r>
      <w:r w:rsidR="000108E3">
        <w:t xml:space="preserve"> seek </w:t>
      </w:r>
      <w:r>
        <w:t>a</w:t>
      </w:r>
      <w:r w:rsidR="000108E3">
        <w:t xml:space="preserve"> clarification that the order directing them to record tax savings is preliminary, </w:t>
      </w:r>
      <w:r w:rsidR="00C120D0">
        <w:t>temporary</w:t>
      </w:r>
      <w:r w:rsidR="0021726A">
        <w:t>,</w:t>
      </w:r>
      <w:r w:rsidR="000108E3">
        <w:t xml:space="preserve"> and without prejudice to the outcome of this or another proceeding</w:t>
      </w:r>
      <w:r w:rsidR="008201FE">
        <w:t xml:space="preserve"> and relates to retail rates.  </w:t>
      </w:r>
      <w:r w:rsidR="008201FE" w:rsidRPr="008201FE">
        <w:rPr>
          <w:i/>
        </w:rPr>
        <w:t>Id</w:t>
      </w:r>
      <w:r w:rsidR="008201FE">
        <w:t xml:space="preserve">. at 2.  </w:t>
      </w:r>
      <w:r w:rsidR="0063707F">
        <w:t xml:space="preserve">In the second assignment </w:t>
      </w:r>
      <w:r w:rsidR="0063707F">
        <w:lastRenderedPageBreak/>
        <w:t xml:space="preserve">of error, the EDUs seek clarification that the “directive does not predetermine the outcome of any future rate proceeding.”  </w:t>
      </w:r>
      <w:r w:rsidR="0063707F" w:rsidRPr="001C5B73">
        <w:rPr>
          <w:i/>
        </w:rPr>
        <w:t>Id.</w:t>
      </w:r>
      <w:r w:rsidR="0063707F">
        <w:t xml:space="preserve"> </w:t>
      </w:r>
    </w:p>
    <w:p w14:paraId="197C6109" w14:textId="187A99A2" w:rsidR="0063707F" w:rsidRDefault="0063707F" w:rsidP="000B56DD">
      <w:pPr>
        <w:spacing w:line="480" w:lineRule="auto"/>
        <w:ind w:firstLine="720"/>
        <w:jc w:val="both"/>
      </w:pPr>
      <w:r>
        <w:t xml:space="preserve">Both assignments of error are premised on the apparent concern that the Commission may require the EDUs to </w:t>
      </w:r>
      <w:r w:rsidR="00990DF7">
        <w:t xml:space="preserve">retroactively </w:t>
      </w:r>
      <w:r>
        <w:t>return tax savings to customers.  As they not</w:t>
      </w:r>
      <w:r w:rsidR="009E7DB8">
        <w:t>e</w:t>
      </w:r>
      <w:r>
        <w:t xml:space="preserve"> in support of the first</w:t>
      </w:r>
      <w:r w:rsidR="00E44848">
        <w:t xml:space="preserve"> assignment of error</w:t>
      </w:r>
      <w:r>
        <w:t xml:space="preserve">, their concern is the “retrospective” effect of the “directive.”  </w:t>
      </w:r>
      <w:r w:rsidRPr="00990DF7">
        <w:rPr>
          <w:i/>
        </w:rPr>
        <w:t>Id</w:t>
      </w:r>
      <w:r>
        <w:t xml:space="preserve">. at 5.  </w:t>
      </w:r>
      <w:r w:rsidR="00043EEA">
        <w:t>Similarly</w:t>
      </w:r>
      <w:r>
        <w:t xml:space="preserve">, they </w:t>
      </w:r>
      <w:r w:rsidR="00990DF7">
        <w:t>complain about the potential for</w:t>
      </w:r>
      <w:r>
        <w:t xml:space="preserve"> “retroactive ratemaking” in their argument in support of the second assignment of error.  </w:t>
      </w:r>
      <w:r w:rsidRPr="00990DF7">
        <w:rPr>
          <w:i/>
        </w:rPr>
        <w:t>Id</w:t>
      </w:r>
      <w:r>
        <w:t xml:space="preserve">. at 7.  </w:t>
      </w:r>
    </w:p>
    <w:p w14:paraId="372372F5" w14:textId="7CA90FFF" w:rsidR="00F85944" w:rsidRDefault="00844C9A" w:rsidP="001C5B73">
      <w:pPr>
        <w:spacing w:line="480" w:lineRule="auto"/>
        <w:ind w:firstLine="720"/>
        <w:jc w:val="both"/>
      </w:pPr>
      <w:r>
        <w:t xml:space="preserve">All parties share an interest in the Commission taking steps to address the tax law changes in a lawful and reasonable manner.  </w:t>
      </w:r>
      <w:r w:rsidR="00F85944">
        <w:t xml:space="preserve">If the Commission has erred in issuing an order regarding accounting changes, then the Commission should correct that error as it is permitted to do.  </w:t>
      </w:r>
      <w:r w:rsidR="00F85944" w:rsidRPr="00F85944">
        <w:rPr>
          <w:i/>
        </w:rPr>
        <w:t>In re Ohio Power Co</w:t>
      </w:r>
      <w:r w:rsidR="00F85944">
        <w:t>., 144 Ohio St.</w:t>
      </w:r>
      <w:r w:rsidR="00B617B0">
        <w:t xml:space="preserve"> </w:t>
      </w:r>
      <w:r w:rsidR="00F85944">
        <w:t xml:space="preserve">3d 1 (2015) (the Commission may alter its orders so long as the new order is lawful and reasonable).  </w:t>
      </w:r>
    </w:p>
    <w:p w14:paraId="78CC7667" w14:textId="4FFFCC1D" w:rsidR="00243C9C" w:rsidRDefault="00043EEA" w:rsidP="001C5B73">
      <w:pPr>
        <w:spacing w:line="480" w:lineRule="auto"/>
        <w:ind w:firstLine="720"/>
        <w:jc w:val="both"/>
      </w:pPr>
      <w:r>
        <w:t xml:space="preserve">The </w:t>
      </w:r>
      <w:r w:rsidR="00875E9C">
        <w:t xml:space="preserve">EDUs’ </w:t>
      </w:r>
      <w:r>
        <w:t xml:space="preserve">concerns about the order’s </w:t>
      </w:r>
      <w:r w:rsidR="00840707">
        <w:t xml:space="preserve">effects </w:t>
      </w:r>
      <w:r w:rsidR="00990DF7">
        <w:t>on past or future rates and revenue collections</w:t>
      </w:r>
      <w:r w:rsidR="00F85944">
        <w:t>, however,</w:t>
      </w:r>
      <w:r>
        <w:t xml:space="preserve"> do not demonstrate that the order is unreasonable or unlawful.  </w:t>
      </w:r>
      <w:r w:rsidR="009E7DB8">
        <w:t xml:space="preserve">As the Supreme Court of Ohio has stated in </w:t>
      </w:r>
      <w:r w:rsidR="009E7DB8" w:rsidRPr="008E0741">
        <w:rPr>
          <w:i/>
        </w:rPr>
        <w:t>Elyria Foundry Co. v. Public Utilities Commission of Ohio</w:t>
      </w:r>
      <w:r w:rsidR="009E7DB8">
        <w:t>, 114 Ohio St. 3d 305 (2007) (“</w:t>
      </w:r>
      <w:r w:rsidR="009E7DB8" w:rsidRPr="008201FE">
        <w:rPr>
          <w:i/>
        </w:rPr>
        <w:t>Elyria Foundry</w:t>
      </w:r>
      <w:r w:rsidR="009E7DB8">
        <w:t xml:space="preserve">”), an accounting order is distinct from a ratemaking order.  </w:t>
      </w:r>
      <w:r w:rsidR="00990DF7">
        <w:t>The accounting</w:t>
      </w:r>
      <w:r>
        <w:t xml:space="preserve"> order does not affect </w:t>
      </w:r>
      <w:r w:rsidR="00875E9C">
        <w:t xml:space="preserve">or predetermine </w:t>
      </w:r>
      <w:r>
        <w:t>rates</w:t>
      </w:r>
      <w:r w:rsidR="00E44848">
        <w:t>, retroactively or otherwise</w:t>
      </w:r>
      <w:r>
        <w:t>.</w:t>
      </w:r>
      <w:r w:rsidR="00844C9A">
        <w:t xml:space="preserve"> </w:t>
      </w:r>
      <w:r>
        <w:t xml:space="preserve"> </w:t>
      </w:r>
      <w:r w:rsidR="00844C9A">
        <w:t>While the EDUs may wish to have the Commission</w:t>
      </w:r>
      <w:r w:rsidR="00990DF7">
        <w:t xml:space="preserve"> self-impose premature</w:t>
      </w:r>
      <w:r w:rsidR="00844C9A">
        <w:t xml:space="preserve"> limit</w:t>
      </w:r>
      <w:r w:rsidR="00990DF7">
        <w:t>s on</w:t>
      </w:r>
      <w:r w:rsidR="00844C9A">
        <w:t xml:space="preserve"> the scope of </w:t>
      </w:r>
      <w:r w:rsidR="00990DF7">
        <w:t>this investigation</w:t>
      </w:r>
      <w:r w:rsidR="009E7DB8">
        <w:t>,</w:t>
      </w:r>
      <w:r w:rsidR="0042365E">
        <w:rPr>
          <w:rStyle w:val="FootnoteReference"/>
        </w:rPr>
        <w:footnoteReference w:id="1"/>
      </w:r>
      <w:r w:rsidR="009E7DB8">
        <w:t xml:space="preserve"> </w:t>
      </w:r>
      <w:r w:rsidR="00844C9A">
        <w:t>this Application for Rehearing fails to state a ground for the Commission to do so</w:t>
      </w:r>
      <w:r w:rsidR="000B56DD">
        <w:t>.  R.C. 4903.10.</w:t>
      </w:r>
    </w:p>
    <w:p w14:paraId="43F41BB3" w14:textId="56A16B72" w:rsidR="00985F21" w:rsidRPr="008E19EB" w:rsidRDefault="00985F21" w:rsidP="003936B6">
      <w:pPr>
        <w:pStyle w:val="ListParagraph"/>
        <w:numPr>
          <w:ilvl w:val="0"/>
          <w:numId w:val="4"/>
        </w:numPr>
        <w:spacing w:after="240"/>
        <w:ind w:left="1440" w:hanging="720"/>
        <w:jc w:val="both"/>
        <w:rPr>
          <w:b/>
        </w:rPr>
      </w:pPr>
      <w:r w:rsidRPr="008E19EB">
        <w:rPr>
          <w:b/>
        </w:rPr>
        <w:lastRenderedPageBreak/>
        <w:t>The assignment</w:t>
      </w:r>
      <w:r w:rsidR="009C2662">
        <w:rPr>
          <w:b/>
        </w:rPr>
        <w:t>s</w:t>
      </w:r>
      <w:r w:rsidRPr="008E19EB">
        <w:rPr>
          <w:b/>
        </w:rPr>
        <w:t xml:space="preserve"> of error </w:t>
      </w:r>
      <w:r w:rsidR="009C2662">
        <w:rPr>
          <w:b/>
        </w:rPr>
        <w:t>are</w:t>
      </w:r>
      <w:r w:rsidRPr="008E19EB">
        <w:rPr>
          <w:b/>
        </w:rPr>
        <w:t xml:space="preserve"> not ripe and should be </w:t>
      </w:r>
      <w:r w:rsidR="009C2662">
        <w:rPr>
          <w:b/>
        </w:rPr>
        <w:t>denied</w:t>
      </w:r>
    </w:p>
    <w:p w14:paraId="7196B05D" w14:textId="6E4DB219" w:rsidR="00EF635D" w:rsidRDefault="004B2EA6" w:rsidP="001C5B73">
      <w:pPr>
        <w:spacing w:line="480" w:lineRule="auto"/>
        <w:ind w:firstLine="720"/>
        <w:jc w:val="both"/>
      </w:pPr>
      <w:r>
        <w:t xml:space="preserve">In the first and second assignments of error, the EDUs attempt to constrain the scope of the “accounting directive” as a means of presenting their concerns regarding retroactive ratemaking.  </w:t>
      </w:r>
      <w:r w:rsidR="00AD6C2E">
        <w:t>In the</w:t>
      </w:r>
      <w:r w:rsidR="00406370">
        <w:t>ir third</w:t>
      </w:r>
      <w:r w:rsidR="00AD6C2E">
        <w:t xml:space="preserve"> </w:t>
      </w:r>
      <w:r w:rsidR="00E35E00">
        <w:t>assignment of error</w:t>
      </w:r>
      <w:r w:rsidR="00AD6C2E">
        <w:t>, the EDUs present arguments for rehearing based on the assumption that the “accounting directive … forms the basis for changing base rates or approved riders”</w:t>
      </w:r>
      <w:r>
        <w:t xml:space="preserve"> and seek to </w:t>
      </w:r>
      <w:r w:rsidR="009C2662">
        <w:t>frame the range of responses the Commission may direct in response to the tax rate reduction</w:t>
      </w:r>
      <w:r>
        <w:t>.</w:t>
      </w:r>
      <w:r w:rsidR="00AD6C2E">
        <w:t xml:space="preserve">  </w:t>
      </w:r>
      <w:r w:rsidR="00AD6C2E" w:rsidRPr="00A536C2">
        <w:t>Application for Rehearing</w:t>
      </w:r>
      <w:r w:rsidR="00AD6C2E">
        <w:t xml:space="preserve"> at 7.  </w:t>
      </w:r>
      <w:r w:rsidR="009C2662">
        <w:t>For example</w:t>
      </w:r>
      <w:r w:rsidR="001909C4">
        <w:t xml:space="preserve">, </w:t>
      </w:r>
      <w:r w:rsidR="009C2662">
        <w:t>the EDUs</w:t>
      </w:r>
      <w:r w:rsidR="00BD6FE2">
        <w:t xml:space="preserve"> </w:t>
      </w:r>
      <w:r w:rsidR="00D33403">
        <w:t xml:space="preserve">assert that </w:t>
      </w:r>
      <w:r w:rsidR="00840707">
        <w:t xml:space="preserve">the </w:t>
      </w:r>
      <w:r w:rsidR="00BD6FE2">
        <w:t xml:space="preserve">Commission’s authority to adjust existing tariffs </w:t>
      </w:r>
      <w:r w:rsidR="008E0741">
        <w:t>“</w:t>
      </w:r>
      <w:r w:rsidR="00BD6FE2">
        <w:t>may</w:t>
      </w:r>
      <w:r w:rsidR="00501989">
        <w:t>”</w:t>
      </w:r>
      <w:r w:rsidR="00BD6FE2">
        <w:t xml:space="preserve"> be limited based on</w:t>
      </w:r>
      <w:r w:rsidR="00DD79F5">
        <w:t xml:space="preserve"> the terms of the </w:t>
      </w:r>
      <w:r w:rsidR="008E0741">
        <w:t>authorization</w:t>
      </w:r>
      <w:r w:rsidR="00DD79F5">
        <w:t xml:space="preserve"> of a rider.  </w:t>
      </w:r>
      <w:r w:rsidR="00DD79F5" w:rsidRPr="007D0F0F">
        <w:rPr>
          <w:i/>
        </w:rPr>
        <w:t>Id.</w:t>
      </w:r>
      <w:r w:rsidR="00DD79F5">
        <w:t xml:space="preserve"> at 8.  </w:t>
      </w:r>
      <w:r w:rsidR="009C2662">
        <w:t>Further</w:t>
      </w:r>
      <w:r w:rsidR="00DD79F5">
        <w:t xml:space="preserve">, </w:t>
      </w:r>
      <w:r w:rsidR="001909C4">
        <w:t>t</w:t>
      </w:r>
      <w:r w:rsidR="00AD6C2E">
        <w:t xml:space="preserve">hey </w:t>
      </w:r>
      <w:r w:rsidR="00D33403">
        <w:t>assert</w:t>
      </w:r>
      <w:r w:rsidR="00AD6C2E">
        <w:t xml:space="preserve"> that “[i]t would violate the ESP </w:t>
      </w:r>
      <w:r w:rsidR="00532A03">
        <w:t>statute</w:t>
      </w:r>
      <w:r w:rsidR="00AD6C2E">
        <w:t xml:space="preserve"> to modify riders adopted in an ESP without the utility’s </w:t>
      </w:r>
      <w:r w:rsidR="00532A03">
        <w:t>consent</w:t>
      </w:r>
      <w:r w:rsidR="00AD6C2E">
        <w:t xml:space="preserve"> or outside </w:t>
      </w:r>
      <w:r w:rsidR="003E0862">
        <w:t xml:space="preserve">of </w:t>
      </w:r>
      <w:r w:rsidR="00AD6C2E">
        <w:t xml:space="preserve">the comprehensive ESP process.”  </w:t>
      </w:r>
      <w:r w:rsidR="00AD6C2E" w:rsidRPr="007D0F0F">
        <w:rPr>
          <w:i/>
        </w:rPr>
        <w:t>Id.</w:t>
      </w:r>
      <w:r w:rsidR="007D0F0F">
        <w:t xml:space="preserve"> </w:t>
      </w:r>
      <w:r w:rsidR="00AD6C2E">
        <w:t xml:space="preserve">at 9.  </w:t>
      </w:r>
      <w:r w:rsidR="009C2662">
        <w:t>Then,</w:t>
      </w:r>
      <w:r w:rsidR="00532A03">
        <w:t xml:space="preserve"> they assert that “[b]ase rates for EDUs can only be changed prospectively as part of a proceeding under R.C. 4909.18.</w:t>
      </w:r>
      <w:r w:rsidR="001909C4">
        <w:t xml:space="preserve">”  </w:t>
      </w:r>
      <w:r w:rsidR="001909C4" w:rsidRPr="007D0F0F">
        <w:rPr>
          <w:i/>
        </w:rPr>
        <w:t>Id.</w:t>
      </w:r>
      <w:r w:rsidR="007D0F0F">
        <w:t xml:space="preserve"> </w:t>
      </w:r>
      <w:r w:rsidR="001909C4">
        <w:t>at 9.</w:t>
      </w:r>
      <w:r w:rsidR="00DD79F5">
        <w:t xml:space="preserve">  Finally, they </w:t>
      </w:r>
      <w:r w:rsidR="00106004">
        <w:t>add</w:t>
      </w:r>
      <w:r w:rsidR="00DD79F5">
        <w:t xml:space="preserve"> that the “accounting directive” must be applied in a way that </w:t>
      </w:r>
      <w:r w:rsidR="00823402">
        <w:t xml:space="preserve">is </w:t>
      </w:r>
      <w:r w:rsidR="00DD79F5">
        <w:t>consistent with normalization rules</w:t>
      </w:r>
      <w:r w:rsidR="00823402">
        <w:t xml:space="preserve">. </w:t>
      </w:r>
      <w:r w:rsidR="00DD79F5">
        <w:t xml:space="preserve"> </w:t>
      </w:r>
      <w:r w:rsidR="00DD79F5" w:rsidRPr="007D0F0F">
        <w:rPr>
          <w:i/>
        </w:rPr>
        <w:t xml:space="preserve">Id. </w:t>
      </w:r>
      <w:r w:rsidR="00DD79F5">
        <w:t>at 11.</w:t>
      </w:r>
      <w:r w:rsidR="00DC19D9">
        <w:rPr>
          <w:rStyle w:val="FootnoteReference"/>
        </w:rPr>
        <w:footnoteReference w:id="2"/>
      </w:r>
    </w:p>
    <w:p w14:paraId="1AEE0F33" w14:textId="1FC58F52" w:rsidR="00406370" w:rsidRDefault="00823402" w:rsidP="00D8259E">
      <w:pPr>
        <w:spacing w:line="480" w:lineRule="auto"/>
        <w:ind w:firstLine="720"/>
        <w:jc w:val="both"/>
      </w:pPr>
      <w:r>
        <w:t>As discussed above, t</w:t>
      </w:r>
      <w:r w:rsidR="00D8259E">
        <w:t xml:space="preserve">he premise of the EDUs’ </w:t>
      </w:r>
      <w:r w:rsidR="009C2662">
        <w:t>Application for Rehearing</w:t>
      </w:r>
      <w:r>
        <w:t xml:space="preserve"> that the </w:t>
      </w:r>
      <w:r w:rsidR="00395F67">
        <w:t xml:space="preserve">“accounting directive” has </w:t>
      </w:r>
      <w:r w:rsidR="00F02D66">
        <w:t>a</w:t>
      </w:r>
      <w:r w:rsidR="00395F67">
        <w:t xml:space="preserve"> rate effect</w:t>
      </w:r>
      <w:r w:rsidR="00D8259E">
        <w:t xml:space="preserve"> is not correct.  </w:t>
      </w:r>
      <w:r w:rsidR="00501989">
        <w:t xml:space="preserve">As the EDUs themselves </w:t>
      </w:r>
      <w:r w:rsidR="00243C9C">
        <w:t>state</w:t>
      </w:r>
      <w:r w:rsidR="00501989">
        <w:t xml:space="preserve">, an order </w:t>
      </w:r>
      <w:r w:rsidR="00AC2D94">
        <w:t xml:space="preserve">directing </w:t>
      </w:r>
      <w:r w:rsidR="00756674">
        <w:t>them to track</w:t>
      </w:r>
      <w:r w:rsidR="00AC2D94">
        <w:t xml:space="preserve"> the tax savings</w:t>
      </w:r>
      <w:r w:rsidR="00501989">
        <w:t xml:space="preserve"> </w:t>
      </w:r>
      <w:r w:rsidR="00E35E00">
        <w:t xml:space="preserve">is not </w:t>
      </w:r>
      <w:r w:rsidR="008E19EB">
        <w:t>a ratemaking order</w:t>
      </w:r>
      <w:r w:rsidR="00501989">
        <w:t xml:space="preserve">.  </w:t>
      </w:r>
      <w:r w:rsidR="00D33403" w:rsidRPr="009D6FA8">
        <w:rPr>
          <w:i/>
        </w:rPr>
        <w:t>Id</w:t>
      </w:r>
      <w:r w:rsidR="00D33403">
        <w:t xml:space="preserve">. at 6.  </w:t>
      </w:r>
      <w:r w:rsidR="00756674">
        <w:t xml:space="preserve">Given that the </w:t>
      </w:r>
      <w:r w:rsidR="009D6FA8">
        <w:t>order directing the EDUs to track tax savings</w:t>
      </w:r>
      <w:r w:rsidR="00756674">
        <w:t xml:space="preserve"> has no rate effect</w:t>
      </w:r>
      <w:r w:rsidR="00243C9C">
        <w:t xml:space="preserve">, </w:t>
      </w:r>
      <w:r w:rsidR="00AC2D94">
        <w:t>t</w:t>
      </w:r>
      <w:r w:rsidR="00406370">
        <w:t xml:space="preserve">he Commission </w:t>
      </w:r>
      <w:r w:rsidR="00840707">
        <w:lastRenderedPageBreak/>
        <w:t xml:space="preserve">should </w:t>
      </w:r>
      <w:r w:rsidR="009D6FA8">
        <w:t>deny</w:t>
      </w:r>
      <w:r w:rsidR="009C2662">
        <w:t xml:space="preserve"> the Application for Rehearing</w:t>
      </w:r>
      <w:r w:rsidR="00756674">
        <w:t xml:space="preserve"> because </w:t>
      </w:r>
      <w:r w:rsidR="00306C3A">
        <w:t>the assignments of error</w:t>
      </w:r>
      <w:r w:rsidR="00756674">
        <w:t xml:space="preserve"> are not ripe</w:t>
      </w:r>
      <w:r w:rsidR="00306C3A">
        <w:t xml:space="preserve"> for decision</w:t>
      </w:r>
      <w:r w:rsidR="00406370">
        <w:t>.</w:t>
      </w:r>
    </w:p>
    <w:p w14:paraId="19922E88" w14:textId="22F80853" w:rsidR="008E19EB" w:rsidRDefault="008E19EB" w:rsidP="008E19EB">
      <w:pPr>
        <w:spacing w:line="480" w:lineRule="auto"/>
        <w:ind w:firstLine="720"/>
        <w:jc w:val="both"/>
      </w:pPr>
      <w:r>
        <w:t xml:space="preserve">Under the ripeness doctrine, a tribunal will not decide a matter if it is required to engage in abstract disagreements over administrative policies.  </w:t>
      </w:r>
      <w:r w:rsidRPr="00000941">
        <w:rPr>
          <w:i/>
        </w:rPr>
        <w:t>State ex rel. Elyria Foundry Co. v. Industrial Comm</w:t>
      </w:r>
      <w:r>
        <w:rPr>
          <w:i/>
        </w:rPr>
        <w:t>’</w:t>
      </w:r>
      <w:r w:rsidRPr="00000941">
        <w:rPr>
          <w:i/>
        </w:rPr>
        <w:t>n</w:t>
      </w:r>
      <w:r w:rsidRPr="006A7D69">
        <w:t>, 82 Ohio St. 3d 88</w:t>
      </w:r>
      <w:r>
        <w:t xml:space="preserve"> (1988).  </w:t>
      </w:r>
      <w:r w:rsidR="003936B6">
        <w:t>“</w:t>
      </w:r>
      <w:r w:rsidR="00C82623" w:rsidRPr="00C82623">
        <w:t>The basic principle of ripeness may be derived from the conclusion that judicial machinery should be conserved for problems which are real or present and imminent, not squandered on problems which are abstract or hypothetical or remote.</w:t>
      </w:r>
      <w:r w:rsidR="003936B6">
        <w:t>”</w:t>
      </w:r>
      <w:r w:rsidR="00C82623">
        <w:t xml:space="preserve">  </w:t>
      </w:r>
      <w:r w:rsidR="00C82623" w:rsidRPr="00C82623">
        <w:rPr>
          <w:i/>
        </w:rPr>
        <w:t>Euvard v. The Christ Hospital</w:t>
      </w:r>
      <w:r w:rsidR="00C82623">
        <w:t>, 141 Ohio App.</w:t>
      </w:r>
      <w:r w:rsidR="001601D7">
        <w:t xml:space="preserve"> </w:t>
      </w:r>
      <w:r w:rsidR="00C82623">
        <w:t>3d 572, 576 (2001) (internal quotation marks omitted).</w:t>
      </w:r>
    </w:p>
    <w:p w14:paraId="180FE26A" w14:textId="7BCD7F82" w:rsidR="008E19EB" w:rsidRDefault="008E19EB" w:rsidP="008E19EB">
      <w:pPr>
        <w:spacing w:line="480" w:lineRule="auto"/>
        <w:ind w:firstLine="720"/>
        <w:jc w:val="both"/>
      </w:pPr>
      <w:r>
        <w:t xml:space="preserve">The ripeness doctrine applies to </w:t>
      </w:r>
      <w:r w:rsidR="00C82623">
        <w:t xml:space="preserve">Commission </w:t>
      </w:r>
      <w:r>
        <w:t xml:space="preserve">proceedings.  </w:t>
      </w:r>
      <w:r w:rsidR="004305D6">
        <w:t>For example, i</w:t>
      </w:r>
      <w:r>
        <w:t xml:space="preserve">n a </w:t>
      </w:r>
      <w:r w:rsidR="00D8259E">
        <w:t xml:space="preserve">complaint </w:t>
      </w:r>
      <w:r>
        <w:t xml:space="preserve">case brought by Cincinnati Gas and Electric Company against a city that was initiating the process to set public way fees, </w:t>
      </w:r>
      <w:r w:rsidR="00B06FA3">
        <w:t xml:space="preserve">the utility included </w:t>
      </w:r>
      <w:r>
        <w:t xml:space="preserve">counts challenging </w:t>
      </w:r>
      <w:r w:rsidR="00756674">
        <w:t xml:space="preserve">the </w:t>
      </w:r>
      <w:r w:rsidR="00AC2D94">
        <w:t xml:space="preserve">anticipated </w:t>
      </w:r>
      <w:r>
        <w:t>fees</w:t>
      </w:r>
      <w:r w:rsidR="00B06FA3">
        <w:t xml:space="preserve">.  </w:t>
      </w:r>
      <w:r w:rsidR="00306C3A">
        <w:t xml:space="preserve">Because the </w:t>
      </w:r>
      <w:r w:rsidR="004305D6">
        <w:t>city</w:t>
      </w:r>
      <w:r w:rsidR="00306C3A">
        <w:t xml:space="preserve"> had not yet authorized the fees, t</w:t>
      </w:r>
      <w:r w:rsidR="00B06FA3">
        <w:t xml:space="preserve">he Commission concluded that those counts </w:t>
      </w:r>
      <w:r w:rsidR="00D8259E">
        <w:t>were</w:t>
      </w:r>
      <w:r>
        <w:t xml:space="preserve"> not ripe for decision</w:t>
      </w:r>
      <w:r w:rsidR="004634D7">
        <w:t>.  Because the counts were not ripe, the Commission</w:t>
      </w:r>
      <w:r>
        <w:t xml:space="preserve"> dismissed</w:t>
      </w:r>
      <w:r w:rsidR="004634D7">
        <w:t xml:space="preserve"> them</w:t>
      </w:r>
      <w:r>
        <w:t xml:space="preserve">.  </w:t>
      </w:r>
      <w:r w:rsidRPr="006A7D69">
        <w:rPr>
          <w:i/>
        </w:rPr>
        <w:t>In the Matter of the Complaint of the Cincinnati Gas and Electric Company v. City of Forest Park</w:t>
      </w:r>
      <w:r>
        <w:t xml:space="preserve">, Case No. 05-75-EL-PWC, Opinion and Order at 9 (Mar. 7, 2006).  </w:t>
      </w:r>
    </w:p>
    <w:p w14:paraId="0F624115" w14:textId="7EA0DD9C" w:rsidR="009C2662" w:rsidRDefault="008E19EB" w:rsidP="008E19EB">
      <w:pPr>
        <w:spacing w:line="480" w:lineRule="auto"/>
        <w:ind w:firstLine="720"/>
        <w:jc w:val="both"/>
      </w:pPr>
      <w:r>
        <w:t xml:space="preserve">Similarly, the </w:t>
      </w:r>
      <w:r w:rsidR="00D8259E">
        <w:t xml:space="preserve">EDUs’ third assignment of error </w:t>
      </w:r>
      <w:r w:rsidR="00B06FA3">
        <w:t>presents claims that are</w:t>
      </w:r>
      <w:r>
        <w:t xml:space="preserve"> not ripe for review. </w:t>
      </w:r>
      <w:r w:rsidR="00306C3A">
        <w:t>The</w:t>
      </w:r>
      <w:r>
        <w:t xml:space="preserve"> Commission ordered rate-regulated utilities to record as a deferred liability the estimated reduction in federal income tax resulting from the TCJA.  </w:t>
      </w:r>
      <w:r w:rsidR="00756674">
        <w:t>It did not order any change in rates or riders in the Entry, and w</w:t>
      </w:r>
      <w:r w:rsidR="00C82623">
        <w:t>hether</w:t>
      </w:r>
      <w:r>
        <w:t xml:space="preserve"> </w:t>
      </w:r>
      <w:r w:rsidR="00AC2D94">
        <w:t xml:space="preserve">the Commission </w:t>
      </w:r>
      <w:r w:rsidR="00756674">
        <w:t>will</w:t>
      </w:r>
      <w:r w:rsidR="00AC2D94">
        <w:t xml:space="preserve"> order a rate change or a modification of a rider for </w:t>
      </w:r>
      <w:r>
        <w:t xml:space="preserve">a particular company </w:t>
      </w:r>
      <w:r w:rsidR="00AC2D94">
        <w:t>is</w:t>
      </w:r>
      <w:r>
        <w:t xml:space="preserve"> </w:t>
      </w:r>
      <w:r w:rsidR="00AC2D94">
        <w:t>un</w:t>
      </w:r>
      <w:r>
        <w:t>certain</w:t>
      </w:r>
      <w:r w:rsidR="00C82623">
        <w:t xml:space="preserve"> if prior experience is any guide</w:t>
      </w:r>
      <w:r>
        <w:t xml:space="preserve">.  In </w:t>
      </w:r>
      <w:r w:rsidR="00AC2D94">
        <w:t xml:space="preserve">response to the Tax Reform Act of </w:t>
      </w:r>
      <w:r>
        <w:t>198</w:t>
      </w:r>
      <w:r w:rsidR="00EB66B6">
        <w:t>6</w:t>
      </w:r>
      <w:r>
        <w:t xml:space="preserve">, </w:t>
      </w:r>
      <w:r w:rsidR="00C82623">
        <w:t xml:space="preserve">for example, </w:t>
      </w:r>
      <w:r>
        <w:t xml:space="preserve">the Commission </w:t>
      </w:r>
      <w:r>
        <w:lastRenderedPageBreak/>
        <w:t xml:space="preserve">elected to exempt several utilities from rate adjustments for a variety of reasons.  </w:t>
      </w:r>
      <w:r w:rsidRPr="003936B6">
        <w:rPr>
          <w:i/>
        </w:rPr>
        <w:t>In the Matter of the Commission’s Investigation of the Financial Impact of the Tax Reform Act of 1986 on Regulated Ohio Utility Companies</w:t>
      </w:r>
      <w:r w:rsidRPr="003936B6">
        <w:t>, Case No. 87-831-AU-COI, Finding and Order (Sept. 9, 1987).</w:t>
      </w:r>
      <w:r>
        <w:t xml:space="preserve">  As no rate change </w:t>
      </w:r>
      <w:r w:rsidR="00EB66B6">
        <w:t>is</w:t>
      </w:r>
      <w:r>
        <w:t xml:space="preserve"> </w:t>
      </w:r>
      <w:r w:rsidR="00B06FA3">
        <w:t>ordered</w:t>
      </w:r>
      <w:r>
        <w:t xml:space="preserve"> in the Commission’s order opening this proceeding</w:t>
      </w:r>
      <w:r w:rsidR="00B06FA3">
        <w:t xml:space="preserve"> and orders directing future changes, prospective or retrospective, remains uncertain</w:t>
      </w:r>
      <w:r>
        <w:t xml:space="preserve">, the EDUs’ </w:t>
      </w:r>
      <w:r w:rsidR="00B54E61">
        <w:t xml:space="preserve">third assignment of error raises issues that are hypothetical, abstract, and remote.  </w:t>
      </w:r>
    </w:p>
    <w:p w14:paraId="23A20F2B" w14:textId="6B6EB602" w:rsidR="009A07FD" w:rsidRDefault="009C2662" w:rsidP="008E19EB">
      <w:pPr>
        <w:spacing w:line="480" w:lineRule="auto"/>
        <w:ind w:firstLine="720"/>
        <w:jc w:val="both"/>
      </w:pPr>
      <w:r>
        <w:t>Additionally, the EDUs will have opportunities to address the</w:t>
      </w:r>
      <w:r w:rsidR="009A07FD">
        <w:t xml:space="preserve"> effects of the</w:t>
      </w:r>
      <w:r>
        <w:t xml:space="preserve"> tax rate change </w:t>
      </w:r>
      <w:r w:rsidR="009A07FD">
        <w:t xml:space="preserve">on their rates </w:t>
      </w:r>
      <w:r>
        <w:t xml:space="preserve">in this and other proceedings.  In fact, the EDUs have presented nearly identical arguments regarding the effect of the tax rate change </w:t>
      </w:r>
      <w:r w:rsidR="004305D6">
        <w:t xml:space="preserve">on rates and riders </w:t>
      </w:r>
      <w:r>
        <w:t xml:space="preserve">in comments filed in this proceeding on February 15, 2018.  </w:t>
      </w:r>
      <w:r w:rsidR="006B1183">
        <w:t>For example, Ohio Power argued that changes in rates should be prospective only,</w:t>
      </w:r>
      <w:r w:rsidR="009A07FD">
        <w:t xml:space="preserve"> that</w:t>
      </w:r>
      <w:r w:rsidR="006B1183">
        <w:t xml:space="preserve"> changes in riders should conform to the requirements established in the ESP process, and that base rates should be changed only through base rate proceedings.  Comments of Ohio Power Company at 3-6 (Feb.</w:t>
      </w:r>
      <w:r w:rsidR="00F823EA">
        <w:t> </w:t>
      </w:r>
      <w:r w:rsidR="006B1183">
        <w:t>15, 2018).</w:t>
      </w:r>
      <w:r w:rsidR="009A07FD">
        <w:t xml:space="preserve">  </w:t>
      </w:r>
    </w:p>
    <w:p w14:paraId="49BDA64E" w14:textId="65F06B5D" w:rsidR="009A07FD" w:rsidRDefault="009A07FD" w:rsidP="008E19EB">
      <w:pPr>
        <w:spacing w:line="480" w:lineRule="auto"/>
        <w:ind w:firstLine="720"/>
        <w:jc w:val="both"/>
      </w:pPr>
      <w:r>
        <w:t xml:space="preserve">Further, the implementation of rate changes is in fact already being addressed in individual rate proceedings.  </w:t>
      </w:r>
      <w:r w:rsidRPr="009D3574">
        <w:rPr>
          <w:i/>
        </w:rPr>
        <w:t>See, e.g.,</w:t>
      </w:r>
      <w:r>
        <w:t xml:space="preserve"> </w:t>
      </w:r>
      <w:r w:rsidRPr="008064C5">
        <w:rPr>
          <w:i/>
        </w:rPr>
        <w:t>In the Matter of the Application of Ohio Gas Company for an Increase in Gas Distribution Rates</w:t>
      </w:r>
      <w:r>
        <w:t xml:space="preserve">, Case Nos. 17-1139-GA-AIR, </w:t>
      </w:r>
      <w:r w:rsidRPr="00F52A80">
        <w:rPr>
          <w:i/>
        </w:rPr>
        <w:t>et al.</w:t>
      </w:r>
      <w:r>
        <w:t xml:space="preserve">, Joint Stipulation and Recommendation (Jan. 26, 2018); </w:t>
      </w:r>
      <w:r w:rsidRPr="008064C5">
        <w:rPr>
          <w:i/>
        </w:rPr>
        <w:t>In the Matter of the Update to the Distribution Modernization Rider Contained in the Tariffs of Ohio Edison Company, The Cleveland Electric Illuminating Company, and The Toledo Edison Company</w:t>
      </w:r>
      <w:r>
        <w:t>, Case No.</w:t>
      </w:r>
      <w:r w:rsidR="00F823EA">
        <w:t> </w:t>
      </w:r>
      <w:r>
        <w:t xml:space="preserve">17-2280-EL-RDR, Staff Review and Recommendation (Feb. 1, 2018); </w:t>
      </w:r>
      <w:r w:rsidRPr="0014375E">
        <w:rPr>
          <w:i/>
        </w:rPr>
        <w:t xml:space="preserve">In the Matter of the Application of Duke Energy Ohio, Inc., for Approval to Modify Rider FBS and Rider </w:t>
      </w:r>
      <w:r w:rsidRPr="0014375E">
        <w:rPr>
          <w:i/>
        </w:rPr>
        <w:lastRenderedPageBreak/>
        <w:t>EFBS</w:t>
      </w:r>
      <w:r>
        <w:t>, Case No. 18-40-GA-RDR, Letter from Elizabeth H. Watts to Barcy McNeal (Feb.</w:t>
      </w:r>
      <w:r w:rsidR="00F823EA">
        <w:t> </w:t>
      </w:r>
      <w:r>
        <w:t xml:space="preserve">6, 2018) (seeking delay in rate adjustment because rates from Columbia Gas Transmission described in the application were subject to change due to the enactment of the TCJA).  The point is simple:  the EDUs will have multiple opportunities in this and other proceedings to address the concerns with the “accounting directive” when there </w:t>
      </w:r>
      <w:r w:rsidR="00306C3A">
        <w:t>are</w:t>
      </w:r>
      <w:r>
        <w:t xml:space="preserve"> concrete</w:t>
      </w:r>
      <w:r w:rsidR="00306C3A">
        <w:t xml:space="preserve"> factual and legal</w:t>
      </w:r>
      <w:r>
        <w:t xml:space="preserve"> issue</w:t>
      </w:r>
      <w:r w:rsidR="00306C3A">
        <w:t>s</w:t>
      </w:r>
      <w:r>
        <w:t xml:space="preserve"> before the Commission.  </w:t>
      </w:r>
      <w:r w:rsidR="00306C3A">
        <w:t>There is no need to address those issues in the abstract</w:t>
      </w:r>
      <w:r w:rsidR="00AE7CD3">
        <w:t xml:space="preserve"> </w:t>
      </w:r>
      <w:r w:rsidR="004305D6">
        <w:t>through a grant of rehearing</w:t>
      </w:r>
      <w:r w:rsidR="00AE7CD3">
        <w:t xml:space="preserve"> in this proceeding</w:t>
      </w:r>
      <w:r>
        <w:t>.</w:t>
      </w:r>
    </w:p>
    <w:p w14:paraId="6C4F1C41" w14:textId="54BF2328" w:rsidR="00E053DE" w:rsidRPr="00680677" w:rsidRDefault="00CB08A9" w:rsidP="00F36869">
      <w:pPr>
        <w:pStyle w:val="ListParagraph"/>
        <w:keepNext/>
        <w:numPr>
          <w:ilvl w:val="0"/>
          <w:numId w:val="2"/>
        </w:numPr>
        <w:spacing w:line="480" w:lineRule="auto"/>
        <w:ind w:hanging="720"/>
        <w:jc w:val="both"/>
        <w:rPr>
          <w:rFonts w:ascii="Arial Bold" w:hAnsi="Arial Bold"/>
          <w:b/>
          <w:caps/>
        </w:rPr>
      </w:pPr>
      <w:r w:rsidRPr="00680677">
        <w:rPr>
          <w:rFonts w:ascii="Arial Bold" w:hAnsi="Arial Bold"/>
          <w:b/>
          <w:caps/>
        </w:rPr>
        <w:t>Conclusion</w:t>
      </w:r>
    </w:p>
    <w:p w14:paraId="43B4A40D" w14:textId="7E6B6CBE" w:rsidR="00CB08A9" w:rsidRDefault="000E35AE" w:rsidP="006B408A">
      <w:pPr>
        <w:spacing w:line="480" w:lineRule="auto"/>
        <w:ind w:firstLine="720"/>
        <w:jc w:val="both"/>
      </w:pPr>
      <w:r>
        <w:t>The</w:t>
      </w:r>
      <w:r w:rsidR="00B54E61">
        <w:t xml:space="preserve"> EDUs’ </w:t>
      </w:r>
      <w:r>
        <w:t>A</w:t>
      </w:r>
      <w:r w:rsidR="00B54E61">
        <w:t xml:space="preserve">pplication for </w:t>
      </w:r>
      <w:r>
        <w:t>R</w:t>
      </w:r>
      <w:r w:rsidR="00B54E61">
        <w:t xml:space="preserve">ehearing does not provide </w:t>
      </w:r>
      <w:r w:rsidR="0007186E">
        <w:t>a reasoned</w:t>
      </w:r>
      <w:r w:rsidR="00B54E61">
        <w:t xml:space="preserve"> basis for clarification or rehearing of the Commission’s order for the EDUs to record the estimated reduction in federal income tax resulting from the TCJA.</w:t>
      </w:r>
      <w:r>
        <w:t xml:space="preserve">  Therefore, the Commission should deny </w:t>
      </w:r>
      <w:r w:rsidR="00AE7CD3">
        <w:t xml:space="preserve">the application for </w:t>
      </w:r>
      <w:r>
        <w:t>rehearing.</w:t>
      </w:r>
    </w:p>
    <w:p w14:paraId="07A62141" w14:textId="77777777" w:rsidR="00D03A1E" w:rsidRDefault="00D03A1E" w:rsidP="00D03A1E">
      <w:pPr>
        <w:tabs>
          <w:tab w:val="right" w:pos="8640"/>
        </w:tabs>
        <w:ind w:left="4320"/>
        <w:rPr>
          <w:rFonts w:cs="Arial"/>
        </w:rPr>
      </w:pPr>
      <w:r>
        <w:rPr>
          <w:rFonts w:cs="Arial"/>
        </w:rPr>
        <w:t>Respectfully submitted,</w:t>
      </w:r>
    </w:p>
    <w:p w14:paraId="0B566C5F" w14:textId="77777777" w:rsidR="00D03A1E" w:rsidRDefault="00D03A1E" w:rsidP="00D03A1E">
      <w:pPr>
        <w:tabs>
          <w:tab w:val="right" w:pos="8640"/>
        </w:tabs>
        <w:ind w:left="4320"/>
        <w:rPr>
          <w:rFonts w:cs="Arial"/>
        </w:rPr>
      </w:pPr>
    </w:p>
    <w:p w14:paraId="0D881D01" w14:textId="04EA7F52" w:rsidR="00D03A1E" w:rsidRDefault="00D03A1E" w:rsidP="00D03A1E">
      <w:pPr>
        <w:tabs>
          <w:tab w:val="right" w:pos="8640"/>
        </w:tabs>
        <w:ind w:left="4320"/>
        <w:rPr>
          <w:rFonts w:cs="Arial"/>
          <w:i/>
        </w:rPr>
      </w:pPr>
      <w:r w:rsidRPr="00054A11">
        <w:rPr>
          <w:rFonts w:cs="Arial"/>
          <w:i/>
          <w:u w:val="single"/>
        </w:rPr>
        <w:t xml:space="preserve">/s/ </w:t>
      </w:r>
      <w:r>
        <w:rPr>
          <w:rFonts w:cs="Arial"/>
          <w:i/>
          <w:u w:val="single"/>
        </w:rPr>
        <w:t>Frank P. Darr</w:t>
      </w:r>
      <w:r>
        <w:rPr>
          <w:rFonts w:cs="Arial"/>
          <w:i/>
          <w:u w:val="single"/>
        </w:rPr>
        <w:tab/>
      </w:r>
    </w:p>
    <w:p w14:paraId="39CD7473" w14:textId="77777777" w:rsidR="00D03A1E" w:rsidRDefault="00D03A1E" w:rsidP="00D03A1E">
      <w:pPr>
        <w:pStyle w:val="BodyText3"/>
        <w:widowControl w:val="0"/>
        <w:ind w:left="4320"/>
        <w:rPr>
          <w:rFonts w:ascii="Arial" w:hAnsi="Arial" w:cs="Arial"/>
          <w:b w:val="0"/>
          <w:bCs/>
        </w:rPr>
      </w:pPr>
      <w:r w:rsidRPr="00AD60FE">
        <w:rPr>
          <w:rFonts w:ascii="Arial" w:hAnsi="Arial" w:cs="Arial"/>
          <w:bCs/>
        </w:rPr>
        <w:t>Frank P. Darr</w:t>
      </w:r>
      <w:r>
        <w:rPr>
          <w:rFonts w:ascii="Arial" w:hAnsi="Arial" w:cs="Arial"/>
          <w:b w:val="0"/>
          <w:bCs/>
        </w:rPr>
        <w:t xml:space="preserve"> (Reg. No. 0025469)</w:t>
      </w:r>
    </w:p>
    <w:p w14:paraId="19F92563" w14:textId="5933F55F" w:rsidR="00D03A1E" w:rsidRDefault="00D03A1E" w:rsidP="00D03A1E">
      <w:pPr>
        <w:pStyle w:val="BodyText3"/>
        <w:widowControl w:val="0"/>
        <w:ind w:left="4320"/>
        <w:rPr>
          <w:rFonts w:ascii="Arial" w:hAnsi="Arial" w:cs="Arial"/>
          <w:b w:val="0"/>
          <w:bCs/>
        </w:rPr>
      </w:pPr>
      <w:r>
        <w:rPr>
          <w:rFonts w:ascii="Arial" w:hAnsi="Arial" w:cs="Arial"/>
          <w:b w:val="0"/>
          <w:bCs/>
        </w:rPr>
        <w:t xml:space="preserve">   (Counsel of Record)</w:t>
      </w:r>
    </w:p>
    <w:p w14:paraId="061C16FE" w14:textId="77777777" w:rsidR="00D03A1E" w:rsidRDefault="00D03A1E" w:rsidP="00D03A1E">
      <w:pPr>
        <w:pStyle w:val="BodyText3"/>
        <w:widowControl w:val="0"/>
        <w:ind w:left="4320"/>
        <w:rPr>
          <w:rFonts w:ascii="Arial" w:hAnsi="Arial" w:cs="Arial"/>
          <w:b w:val="0"/>
          <w:bCs/>
        </w:rPr>
      </w:pPr>
      <w:r w:rsidRPr="00AD60FE">
        <w:rPr>
          <w:rFonts w:ascii="Arial" w:hAnsi="Arial" w:cs="Arial"/>
          <w:bCs/>
        </w:rPr>
        <w:t>Matthew R. Pritchard</w:t>
      </w:r>
      <w:r>
        <w:rPr>
          <w:rFonts w:ascii="Arial" w:hAnsi="Arial" w:cs="Arial"/>
          <w:b w:val="0"/>
          <w:bCs/>
        </w:rPr>
        <w:t xml:space="preserve"> (Reg. No. 0088070)</w:t>
      </w:r>
    </w:p>
    <w:p w14:paraId="7EAAC172" w14:textId="77777777" w:rsidR="00D03A1E" w:rsidRDefault="00D03A1E" w:rsidP="00D03A1E">
      <w:pPr>
        <w:pStyle w:val="BodyText3"/>
        <w:widowControl w:val="0"/>
        <w:ind w:left="4320"/>
        <w:rPr>
          <w:rFonts w:ascii="Arial" w:hAnsi="Arial" w:cs="Arial"/>
          <w:b w:val="0"/>
          <w:bCs/>
          <w:smallCaps/>
          <w:szCs w:val="24"/>
        </w:rPr>
      </w:pPr>
      <w:r>
        <w:rPr>
          <w:rFonts w:ascii="Arial" w:hAnsi="Arial" w:cs="Arial"/>
          <w:b w:val="0"/>
          <w:bCs/>
          <w:smallCaps/>
          <w:szCs w:val="24"/>
        </w:rPr>
        <w:t>McNees Wallace &amp; Nurick LLC</w:t>
      </w:r>
    </w:p>
    <w:p w14:paraId="77CC34F0" w14:textId="77777777" w:rsidR="00D03A1E" w:rsidRDefault="00D03A1E" w:rsidP="00D03A1E">
      <w:pPr>
        <w:pStyle w:val="BodyText3"/>
        <w:widowControl w:val="0"/>
        <w:ind w:left="4320"/>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017C535" w14:textId="77777777" w:rsidR="00D03A1E" w:rsidRDefault="00D03A1E" w:rsidP="00D03A1E">
      <w:pPr>
        <w:pStyle w:val="BodyText"/>
        <w:ind w:left="4320"/>
        <w:jc w:val="left"/>
      </w:pPr>
      <w:r>
        <w:t>Columbus, OH  43215</w:t>
      </w:r>
    </w:p>
    <w:p w14:paraId="5AF5835B" w14:textId="77777777" w:rsidR="00D03A1E" w:rsidRDefault="00D03A1E" w:rsidP="00D03A1E">
      <w:pPr>
        <w:pStyle w:val="BodyText"/>
        <w:ind w:left="4320"/>
        <w:jc w:val="left"/>
      </w:pPr>
      <w:r>
        <w:t>fdarr@mwncmh.com</w:t>
      </w:r>
    </w:p>
    <w:p w14:paraId="17BD12B4" w14:textId="77777777" w:rsidR="00D03A1E" w:rsidRDefault="00D03A1E" w:rsidP="00D03A1E">
      <w:pPr>
        <w:pStyle w:val="BodyText"/>
        <w:ind w:left="4320"/>
        <w:jc w:val="left"/>
      </w:pPr>
      <w:r>
        <w:t>mpritchard@mwncmh.com</w:t>
      </w:r>
    </w:p>
    <w:p w14:paraId="4B83324C" w14:textId="77777777" w:rsidR="00D03A1E" w:rsidRDefault="00D03A1E" w:rsidP="00D03A1E">
      <w:pPr>
        <w:tabs>
          <w:tab w:val="right" w:pos="8640"/>
        </w:tabs>
        <w:ind w:left="4320"/>
      </w:pPr>
    </w:p>
    <w:p w14:paraId="032D5C37" w14:textId="77777777" w:rsidR="00D03A1E" w:rsidRDefault="00D03A1E" w:rsidP="00D03A1E">
      <w:pPr>
        <w:ind w:left="4320"/>
        <w:rPr>
          <w:rFonts w:ascii="Arial Bold" w:hAnsi="Arial Bold" w:cs="Arial"/>
          <w:b/>
          <w:smallCaps/>
        </w:rPr>
      </w:pPr>
      <w:r>
        <w:rPr>
          <w:rFonts w:ascii="Arial Bold" w:hAnsi="Arial Bold" w:cs="Arial"/>
          <w:b/>
          <w:smallCaps/>
        </w:rPr>
        <w:t xml:space="preserve">Counsel for </w:t>
      </w:r>
      <w:r w:rsidRPr="00530185">
        <w:rPr>
          <w:rFonts w:ascii="Arial Bold" w:hAnsi="Arial Bold" w:cs="Arial"/>
          <w:b/>
          <w:smallCaps/>
        </w:rPr>
        <w:t>Industrial Energy Users-Ohio</w:t>
      </w:r>
    </w:p>
    <w:p w14:paraId="16ED49CB" w14:textId="77777777" w:rsidR="00D03A1E" w:rsidRDefault="00D03A1E" w:rsidP="00726247">
      <w:pPr>
        <w:tabs>
          <w:tab w:val="left" w:pos="-1440"/>
          <w:tab w:val="left" w:pos="-720"/>
          <w:tab w:val="left" w:pos="5040"/>
          <w:tab w:val="center" w:pos="7200"/>
          <w:tab w:val="decimal" w:pos="9360"/>
        </w:tabs>
        <w:overflowPunct w:val="0"/>
        <w:autoSpaceDE w:val="0"/>
        <w:autoSpaceDN w:val="0"/>
        <w:adjustRightInd w:val="0"/>
        <w:ind w:left="4680"/>
        <w:rPr>
          <w:rFonts w:eastAsia="Calibri" w:cs="Arial"/>
          <w:b/>
          <w:smallCaps/>
        </w:rPr>
        <w:sectPr w:rsidR="00D03A1E" w:rsidSect="0057750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14:paraId="1F750988" w14:textId="77777777" w:rsidR="00D03A1E" w:rsidRDefault="00D03A1E" w:rsidP="00D03A1E">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14:paraId="67FB5CA7" w14:textId="77777777" w:rsidR="00D03A1E" w:rsidRDefault="00D03A1E" w:rsidP="00D03A1E">
      <w:pPr>
        <w:rPr>
          <w:rFonts w:cs="Arial"/>
        </w:rPr>
      </w:pPr>
    </w:p>
    <w:p w14:paraId="311E5FFD" w14:textId="2BCBE165" w:rsidR="00D03A1E" w:rsidRDefault="00D03A1E" w:rsidP="00D03A1E">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sidRPr="00D03A1E">
        <w:rPr>
          <w:i/>
        </w:rPr>
        <w:t xml:space="preserve">Memorandum Opposing </w:t>
      </w:r>
      <w:r w:rsidR="00851F0F">
        <w:rPr>
          <w:i/>
        </w:rPr>
        <w:t xml:space="preserve">the </w:t>
      </w:r>
      <w:r w:rsidRPr="00D03A1E">
        <w:rPr>
          <w:i/>
        </w:rPr>
        <w:t>Joint Application for Rehearing of Ohio Power Company, Ohio Edison Company, The Dayton Power and Light Company, Duke Energy Ohio, Inc., The Cleveland Electric Illuminating Company, and The Toledo Edison Company</w:t>
      </w:r>
      <w:r>
        <w:t xml:space="preserve"> was sent by, or on behalf of, the undersigned counsel for IEU-Ohio, to the following parties of record this </w:t>
      </w:r>
      <w:r w:rsidR="009D6FA8">
        <w:t>20</w:t>
      </w:r>
      <w:r>
        <w:t xml:space="preserve">th day of February 2018, </w:t>
      </w:r>
      <w:r>
        <w:rPr>
          <w:i/>
        </w:rPr>
        <w:t>via</w:t>
      </w:r>
      <w:r>
        <w:t xml:space="preserve"> electronic transmission.</w:t>
      </w:r>
    </w:p>
    <w:p w14:paraId="639C2484" w14:textId="1240E963" w:rsidR="00D03A1E" w:rsidRPr="00054A11" w:rsidRDefault="00D03A1E" w:rsidP="00D03A1E">
      <w:pPr>
        <w:tabs>
          <w:tab w:val="left" w:pos="-1440"/>
          <w:tab w:val="left" w:pos="-720"/>
          <w:tab w:val="left" w:pos="5040"/>
          <w:tab w:val="center" w:pos="7200"/>
          <w:tab w:val="right" w:pos="9360"/>
        </w:tabs>
        <w:ind w:firstLine="5040"/>
        <w:jc w:val="both"/>
        <w:rPr>
          <w:rFonts w:cs="Arial"/>
          <w:i/>
          <w:u w:val="single"/>
        </w:rPr>
      </w:pPr>
      <w:r w:rsidRPr="00054A11">
        <w:rPr>
          <w:rFonts w:cs="Arial"/>
          <w:i/>
          <w:u w:val="single"/>
        </w:rPr>
        <w:t xml:space="preserve">/s/ </w:t>
      </w:r>
      <w:r>
        <w:rPr>
          <w:rFonts w:cs="Arial"/>
          <w:i/>
          <w:u w:val="single"/>
        </w:rPr>
        <w:t>Frank P. Darr</w:t>
      </w:r>
      <w:r>
        <w:rPr>
          <w:rFonts w:cs="Arial"/>
          <w:i/>
          <w:u w:val="single"/>
        </w:rPr>
        <w:tab/>
      </w:r>
      <w:r w:rsidRPr="00054A11">
        <w:rPr>
          <w:rFonts w:cs="Arial"/>
          <w:i/>
          <w:u w:val="single"/>
        </w:rPr>
        <w:tab/>
      </w:r>
    </w:p>
    <w:p w14:paraId="11608205" w14:textId="77777777" w:rsidR="006F5059" w:rsidRDefault="00D03A1E" w:rsidP="00D03A1E">
      <w:pPr>
        <w:tabs>
          <w:tab w:val="left" w:pos="-1440"/>
          <w:tab w:val="left" w:pos="-720"/>
          <w:tab w:val="left" w:pos="5040"/>
          <w:tab w:val="center" w:pos="7200"/>
          <w:tab w:val="right" w:pos="9360"/>
        </w:tabs>
        <w:ind w:firstLine="5040"/>
        <w:jc w:val="both"/>
        <w:rPr>
          <w:rFonts w:cs="Arial"/>
        </w:rPr>
        <w:sectPr w:rsidR="006F5059" w:rsidSect="00C0405A">
          <w:pgSz w:w="12240" w:h="15840" w:code="1"/>
          <w:pgMar w:top="1440" w:right="1440" w:bottom="1440" w:left="1440" w:header="720" w:footer="720" w:gutter="0"/>
          <w:cols w:space="720"/>
          <w:titlePg/>
          <w:docGrid w:linePitch="360"/>
        </w:sectPr>
      </w:pPr>
      <w:r w:rsidRPr="00054A11">
        <w:rPr>
          <w:rFonts w:cs="Arial"/>
        </w:rPr>
        <w:tab/>
      </w:r>
      <w:r>
        <w:rPr>
          <w:rFonts w:cs="Arial"/>
        </w:rPr>
        <w:t>Frank P. Darr</w:t>
      </w:r>
    </w:p>
    <w:p w14:paraId="7831BEEE" w14:textId="71ACE881" w:rsidR="00D03A1E" w:rsidRDefault="00D03A1E" w:rsidP="00D03A1E">
      <w:pPr>
        <w:tabs>
          <w:tab w:val="left" w:pos="-1440"/>
          <w:tab w:val="left" w:pos="-720"/>
          <w:tab w:val="left" w:pos="5040"/>
          <w:tab w:val="center" w:pos="7200"/>
          <w:tab w:val="right" w:pos="9360"/>
        </w:tabs>
        <w:ind w:firstLine="5040"/>
        <w:jc w:val="both"/>
        <w:rPr>
          <w:rFonts w:cs="Arial"/>
        </w:rPr>
      </w:pPr>
    </w:p>
    <w:p w14:paraId="043EBCF7" w14:textId="77777777" w:rsidR="006F5059" w:rsidRDefault="006F5059" w:rsidP="00D03A1E">
      <w:pPr>
        <w:rPr>
          <w:sz w:val="20"/>
        </w:rPr>
        <w:sectPr w:rsidR="006F5059" w:rsidSect="006F5059">
          <w:type w:val="continuous"/>
          <w:pgSz w:w="12240" w:h="15840" w:code="1"/>
          <w:pgMar w:top="1440" w:right="1440" w:bottom="1440" w:left="1440" w:header="720" w:footer="720" w:gutter="0"/>
          <w:cols w:space="720"/>
          <w:titlePg/>
          <w:docGrid w:linePitch="360"/>
        </w:sectPr>
      </w:pPr>
    </w:p>
    <w:p w14:paraId="18C910B6" w14:textId="5C691194" w:rsidR="00B70147" w:rsidRPr="006F5059" w:rsidRDefault="00D6044A" w:rsidP="00B70147">
      <w:pPr>
        <w:ind w:right="720"/>
        <w:rPr>
          <w:sz w:val="22"/>
          <w:szCs w:val="21"/>
        </w:rPr>
      </w:pPr>
      <w:r w:rsidRPr="006F5059">
        <w:rPr>
          <w:b/>
          <w:sz w:val="22"/>
          <w:szCs w:val="21"/>
        </w:rPr>
        <w:t>Steven T. Nourse</w:t>
      </w:r>
      <w:r w:rsidRPr="006F5059">
        <w:rPr>
          <w:sz w:val="22"/>
          <w:szCs w:val="21"/>
        </w:rPr>
        <w:t xml:space="preserve"> (0046705)</w:t>
      </w:r>
    </w:p>
    <w:p w14:paraId="45D44923" w14:textId="1F9A3F17" w:rsidR="00D6044A" w:rsidRPr="006F5059" w:rsidRDefault="00D6044A" w:rsidP="00B70147">
      <w:pPr>
        <w:ind w:right="720"/>
        <w:rPr>
          <w:sz w:val="22"/>
          <w:szCs w:val="21"/>
        </w:rPr>
      </w:pPr>
      <w:r w:rsidRPr="006F5059">
        <w:rPr>
          <w:sz w:val="22"/>
          <w:szCs w:val="21"/>
        </w:rPr>
        <w:t xml:space="preserve">   (Counsel of Record)</w:t>
      </w:r>
    </w:p>
    <w:p w14:paraId="7B731198" w14:textId="571BD5D8" w:rsidR="00D6044A" w:rsidRPr="006F5059" w:rsidRDefault="00D6044A" w:rsidP="00B70147">
      <w:pPr>
        <w:ind w:right="720"/>
        <w:rPr>
          <w:sz w:val="22"/>
          <w:szCs w:val="21"/>
        </w:rPr>
      </w:pPr>
      <w:r w:rsidRPr="006F5059">
        <w:rPr>
          <w:b/>
          <w:sz w:val="22"/>
          <w:szCs w:val="21"/>
        </w:rPr>
        <w:t>Christen M. Blend</w:t>
      </w:r>
      <w:r w:rsidRPr="006F5059">
        <w:rPr>
          <w:sz w:val="22"/>
          <w:szCs w:val="21"/>
        </w:rPr>
        <w:t xml:space="preserve"> (0086881)</w:t>
      </w:r>
    </w:p>
    <w:p w14:paraId="61E79509" w14:textId="2B4BF9A5" w:rsidR="00D6044A" w:rsidRPr="006F5059" w:rsidRDefault="00D6044A" w:rsidP="006F5059">
      <w:pPr>
        <w:rPr>
          <w:smallCaps/>
          <w:sz w:val="22"/>
          <w:szCs w:val="21"/>
        </w:rPr>
      </w:pPr>
      <w:r w:rsidRPr="006F5059">
        <w:rPr>
          <w:smallCaps/>
          <w:sz w:val="22"/>
          <w:szCs w:val="21"/>
        </w:rPr>
        <w:t xml:space="preserve">American Electric Power Service </w:t>
      </w:r>
      <w:r w:rsidR="006F5059" w:rsidRPr="006F5059">
        <w:rPr>
          <w:smallCaps/>
          <w:sz w:val="22"/>
          <w:szCs w:val="21"/>
        </w:rPr>
        <w:br/>
      </w:r>
      <w:r w:rsidRPr="006F5059">
        <w:rPr>
          <w:smallCaps/>
          <w:sz w:val="22"/>
          <w:szCs w:val="21"/>
        </w:rPr>
        <w:t>Corporation</w:t>
      </w:r>
    </w:p>
    <w:p w14:paraId="3B783257" w14:textId="47656BA0" w:rsidR="00D6044A" w:rsidRPr="006F5059" w:rsidRDefault="00D6044A" w:rsidP="00B70147">
      <w:pPr>
        <w:ind w:right="720"/>
        <w:rPr>
          <w:sz w:val="22"/>
          <w:szCs w:val="21"/>
        </w:rPr>
      </w:pPr>
      <w:r w:rsidRPr="006F5059">
        <w:rPr>
          <w:sz w:val="22"/>
          <w:szCs w:val="21"/>
        </w:rPr>
        <w:t>1 Riverside Plaza, 29</w:t>
      </w:r>
      <w:r w:rsidRPr="006F5059">
        <w:rPr>
          <w:sz w:val="22"/>
          <w:szCs w:val="21"/>
          <w:vertAlign w:val="superscript"/>
        </w:rPr>
        <w:t>th</w:t>
      </w:r>
      <w:r w:rsidRPr="006F5059">
        <w:rPr>
          <w:sz w:val="22"/>
          <w:szCs w:val="21"/>
        </w:rPr>
        <w:t xml:space="preserve"> Floor</w:t>
      </w:r>
    </w:p>
    <w:p w14:paraId="18DEA987" w14:textId="622F308E" w:rsidR="00D6044A" w:rsidRPr="006F5059" w:rsidRDefault="00D6044A" w:rsidP="00B70147">
      <w:pPr>
        <w:ind w:right="720"/>
        <w:rPr>
          <w:sz w:val="22"/>
          <w:szCs w:val="21"/>
        </w:rPr>
      </w:pPr>
      <w:r w:rsidRPr="006F5059">
        <w:rPr>
          <w:sz w:val="22"/>
          <w:szCs w:val="21"/>
        </w:rPr>
        <w:t>Columbus, OH 43215</w:t>
      </w:r>
    </w:p>
    <w:p w14:paraId="47669000" w14:textId="691D57E8" w:rsidR="00D6044A" w:rsidRPr="006F5059" w:rsidRDefault="00D6044A" w:rsidP="00B70147">
      <w:pPr>
        <w:ind w:right="720"/>
        <w:rPr>
          <w:sz w:val="22"/>
          <w:szCs w:val="21"/>
        </w:rPr>
      </w:pPr>
      <w:r w:rsidRPr="006F5059">
        <w:rPr>
          <w:sz w:val="22"/>
          <w:szCs w:val="21"/>
        </w:rPr>
        <w:t>stnourse@aep.com</w:t>
      </w:r>
    </w:p>
    <w:p w14:paraId="5173760C" w14:textId="49C4AFBE" w:rsidR="00D6044A" w:rsidRPr="006F5059" w:rsidRDefault="00D6044A" w:rsidP="00B70147">
      <w:pPr>
        <w:ind w:right="720"/>
        <w:rPr>
          <w:sz w:val="22"/>
          <w:szCs w:val="21"/>
        </w:rPr>
      </w:pPr>
      <w:r w:rsidRPr="006F5059">
        <w:rPr>
          <w:sz w:val="22"/>
          <w:szCs w:val="21"/>
        </w:rPr>
        <w:t>cmblend@aep.com</w:t>
      </w:r>
    </w:p>
    <w:p w14:paraId="2468A113" w14:textId="19F32D82" w:rsidR="00D6044A" w:rsidRPr="006F5059" w:rsidRDefault="00D6044A" w:rsidP="00B70147">
      <w:pPr>
        <w:ind w:right="720"/>
        <w:rPr>
          <w:sz w:val="22"/>
          <w:szCs w:val="21"/>
        </w:rPr>
      </w:pPr>
    </w:p>
    <w:p w14:paraId="21259F9B" w14:textId="1A5DBAE8" w:rsidR="00D6044A" w:rsidRPr="006F5059" w:rsidRDefault="00D6044A" w:rsidP="00B70147">
      <w:pPr>
        <w:ind w:right="720"/>
        <w:rPr>
          <w:rFonts w:ascii="Arial Bold" w:hAnsi="Arial Bold"/>
          <w:b/>
          <w:smallCaps/>
          <w:sz w:val="22"/>
          <w:szCs w:val="21"/>
        </w:rPr>
      </w:pPr>
      <w:r w:rsidRPr="006F5059">
        <w:rPr>
          <w:rFonts w:ascii="Arial Bold" w:hAnsi="Arial Bold"/>
          <w:b/>
          <w:smallCaps/>
          <w:sz w:val="22"/>
          <w:szCs w:val="21"/>
        </w:rPr>
        <w:t>Counsel for Ohio Power Company</w:t>
      </w:r>
    </w:p>
    <w:p w14:paraId="18D8124D" w14:textId="34E6B381" w:rsidR="00D6044A" w:rsidRPr="006F5059" w:rsidRDefault="00D6044A" w:rsidP="00B70147">
      <w:pPr>
        <w:ind w:right="720"/>
        <w:rPr>
          <w:sz w:val="22"/>
          <w:szCs w:val="21"/>
        </w:rPr>
      </w:pPr>
    </w:p>
    <w:p w14:paraId="11813C26" w14:textId="67C3136F" w:rsidR="00D6044A" w:rsidRPr="006F5059" w:rsidRDefault="00D6044A" w:rsidP="00B70147">
      <w:pPr>
        <w:ind w:right="720"/>
        <w:rPr>
          <w:sz w:val="22"/>
          <w:szCs w:val="21"/>
        </w:rPr>
      </w:pPr>
      <w:r w:rsidRPr="006F5059">
        <w:rPr>
          <w:b/>
          <w:sz w:val="22"/>
          <w:szCs w:val="21"/>
        </w:rPr>
        <w:t>Rocco O. D’Ascenzo</w:t>
      </w:r>
      <w:r w:rsidRPr="006F5059">
        <w:rPr>
          <w:sz w:val="22"/>
          <w:szCs w:val="21"/>
        </w:rPr>
        <w:t xml:space="preserve"> (0077651)</w:t>
      </w:r>
    </w:p>
    <w:p w14:paraId="41CD87BA" w14:textId="6032E766" w:rsidR="00D6044A" w:rsidRPr="006F5059" w:rsidRDefault="00D6044A" w:rsidP="00B70147">
      <w:pPr>
        <w:ind w:right="720"/>
        <w:rPr>
          <w:sz w:val="22"/>
          <w:szCs w:val="21"/>
        </w:rPr>
      </w:pPr>
      <w:r w:rsidRPr="006F5059">
        <w:rPr>
          <w:sz w:val="22"/>
          <w:szCs w:val="21"/>
        </w:rPr>
        <w:t xml:space="preserve">   (Counsel of Record)</w:t>
      </w:r>
    </w:p>
    <w:p w14:paraId="1BE42EA4" w14:textId="23EA8306" w:rsidR="00D6044A" w:rsidRPr="006F5059" w:rsidRDefault="00D6044A" w:rsidP="00B70147">
      <w:pPr>
        <w:ind w:right="720"/>
        <w:rPr>
          <w:sz w:val="22"/>
          <w:szCs w:val="21"/>
        </w:rPr>
      </w:pPr>
      <w:r w:rsidRPr="006F5059">
        <w:rPr>
          <w:b/>
          <w:sz w:val="22"/>
          <w:szCs w:val="21"/>
        </w:rPr>
        <w:t>Jeanne W. Kingery</w:t>
      </w:r>
      <w:r w:rsidRPr="006F5059">
        <w:rPr>
          <w:sz w:val="22"/>
          <w:szCs w:val="21"/>
        </w:rPr>
        <w:t xml:space="preserve"> (0012172)</w:t>
      </w:r>
    </w:p>
    <w:p w14:paraId="76B1318D" w14:textId="4CAA889D" w:rsidR="00D6044A" w:rsidRPr="007B674B" w:rsidRDefault="00D6044A" w:rsidP="00B70147">
      <w:pPr>
        <w:ind w:right="720"/>
        <w:rPr>
          <w:smallCaps/>
          <w:sz w:val="22"/>
          <w:szCs w:val="21"/>
        </w:rPr>
      </w:pPr>
      <w:r w:rsidRPr="007B674B">
        <w:rPr>
          <w:smallCaps/>
          <w:sz w:val="22"/>
          <w:szCs w:val="21"/>
        </w:rPr>
        <w:t>Duke Energy Business Services LLC</w:t>
      </w:r>
    </w:p>
    <w:p w14:paraId="4547DB88" w14:textId="54BFD924" w:rsidR="00D6044A" w:rsidRPr="006F5059" w:rsidRDefault="00D6044A" w:rsidP="00B70147">
      <w:pPr>
        <w:ind w:right="720"/>
        <w:rPr>
          <w:sz w:val="22"/>
          <w:szCs w:val="21"/>
        </w:rPr>
      </w:pPr>
      <w:r w:rsidRPr="006F5059">
        <w:rPr>
          <w:sz w:val="22"/>
          <w:szCs w:val="21"/>
        </w:rPr>
        <w:t>139 East Fourth Street</w:t>
      </w:r>
    </w:p>
    <w:p w14:paraId="5EFA1E8E" w14:textId="6A08C455" w:rsidR="00D6044A" w:rsidRPr="006F5059" w:rsidRDefault="00D6044A" w:rsidP="00B70147">
      <w:pPr>
        <w:ind w:right="720"/>
        <w:rPr>
          <w:sz w:val="22"/>
          <w:szCs w:val="21"/>
        </w:rPr>
      </w:pPr>
      <w:r w:rsidRPr="006F5059">
        <w:rPr>
          <w:sz w:val="22"/>
          <w:szCs w:val="21"/>
        </w:rPr>
        <w:t>1303-Main</w:t>
      </w:r>
    </w:p>
    <w:p w14:paraId="6D60D714" w14:textId="45490445" w:rsidR="00D6044A" w:rsidRPr="006F5059" w:rsidRDefault="00D6044A" w:rsidP="00B70147">
      <w:pPr>
        <w:ind w:right="720"/>
        <w:rPr>
          <w:sz w:val="22"/>
          <w:szCs w:val="21"/>
        </w:rPr>
      </w:pPr>
      <w:r w:rsidRPr="006F5059">
        <w:rPr>
          <w:sz w:val="22"/>
          <w:szCs w:val="21"/>
        </w:rPr>
        <w:t>Cincinnati, OH 45202</w:t>
      </w:r>
    </w:p>
    <w:p w14:paraId="1D35B099" w14:textId="70410F2B" w:rsidR="00D6044A" w:rsidRPr="006F5059" w:rsidRDefault="00D6044A" w:rsidP="00B70147">
      <w:pPr>
        <w:ind w:right="720"/>
        <w:rPr>
          <w:sz w:val="22"/>
          <w:szCs w:val="21"/>
        </w:rPr>
      </w:pPr>
      <w:r w:rsidRPr="006F5059">
        <w:rPr>
          <w:sz w:val="22"/>
          <w:szCs w:val="21"/>
        </w:rPr>
        <w:t>rocco.dascenzo@duke-energy.com</w:t>
      </w:r>
    </w:p>
    <w:p w14:paraId="59794681" w14:textId="2404485A" w:rsidR="00D6044A" w:rsidRPr="006F5059" w:rsidRDefault="00D6044A" w:rsidP="00B70147">
      <w:pPr>
        <w:ind w:right="720"/>
        <w:rPr>
          <w:sz w:val="22"/>
          <w:szCs w:val="21"/>
        </w:rPr>
      </w:pPr>
      <w:r w:rsidRPr="006F5059">
        <w:rPr>
          <w:sz w:val="22"/>
          <w:szCs w:val="21"/>
        </w:rPr>
        <w:t>jeanne.kingery@duke-energy.com</w:t>
      </w:r>
    </w:p>
    <w:p w14:paraId="271BF048" w14:textId="6F38EAD3" w:rsidR="00D6044A" w:rsidRDefault="00D6044A" w:rsidP="00B70147">
      <w:pPr>
        <w:ind w:right="720"/>
      </w:pPr>
    </w:p>
    <w:p w14:paraId="714DEE8A" w14:textId="3AD1D715" w:rsidR="00D6044A" w:rsidRPr="007B674B" w:rsidRDefault="00D6044A" w:rsidP="00B70147">
      <w:pPr>
        <w:ind w:right="720"/>
        <w:rPr>
          <w:rFonts w:ascii="Arial Bold" w:hAnsi="Arial Bold"/>
          <w:b/>
          <w:smallCaps/>
          <w:sz w:val="22"/>
          <w:szCs w:val="22"/>
        </w:rPr>
      </w:pPr>
      <w:r w:rsidRPr="007B674B">
        <w:rPr>
          <w:rFonts w:ascii="Arial Bold" w:hAnsi="Arial Bold"/>
          <w:b/>
          <w:smallCaps/>
          <w:sz w:val="22"/>
          <w:szCs w:val="22"/>
        </w:rPr>
        <w:t>Counsel for Duke Energy Ohio, Inc.</w:t>
      </w:r>
    </w:p>
    <w:p w14:paraId="1F35093D" w14:textId="595B65E1" w:rsidR="00D6044A" w:rsidRPr="006F5059" w:rsidRDefault="00D6044A" w:rsidP="00B70147">
      <w:pPr>
        <w:ind w:right="720"/>
      </w:pPr>
    </w:p>
    <w:p w14:paraId="22604FB1" w14:textId="28CF2C2E" w:rsidR="006F5059" w:rsidRDefault="006F5059" w:rsidP="00B70147">
      <w:pPr>
        <w:ind w:right="720"/>
        <w:rPr>
          <w:sz w:val="22"/>
        </w:rPr>
      </w:pPr>
    </w:p>
    <w:p w14:paraId="2EDEBA54" w14:textId="77777777" w:rsidR="002E0EE2" w:rsidRPr="006F5059" w:rsidRDefault="002E0EE2" w:rsidP="00B70147">
      <w:pPr>
        <w:ind w:right="720"/>
        <w:rPr>
          <w:sz w:val="22"/>
        </w:rPr>
      </w:pPr>
    </w:p>
    <w:p w14:paraId="70276F19" w14:textId="33DE04A6" w:rsidR="006F5059" w:rsidRPr="006F5059" w:rsidRDefault="006F5059" w:rsidP="00B70147">
      <w:pPr>
        <w:ind w:right="720"/>
        <w:rPr>
          <w:sz w:val="22"/>
        </w:rPr>
      </w:pPr>
    </w:p>
    <w:p w14:paraId="0F55CA3E" w14:textId="67261838" w:rsidR="00D6044A" w:rsidRPr="006F5059" w:rsidRDefault="006F5059" w:rsidP="00B70147">
      <w:pPr>
        <w:ind w:right="720"/>
        <w:rPr>
          <w:sz w:val="22"/>
        </w:rPr>
      </w:pPr>
      <w:r w:rsidRPr="006F5059">
        <w:rPr>
          <w:b/>
          <w:sz w:val="22"/>
        </w:rPr>
        <w:t>C</w:t>
      </w:r>
      <w:r w:rsidR="00D6044A" w:rsidRPr="006F5059">
        <w:rPr>
          <w:b/>
          <w:sz w:val="22"/>
        </w:rPr>
        <w:t>arrie M. Dunn-Lucco</w:t>
      </w:r>
      <w:r w:rsidR="00D6044A" w:rsidRPr="006F5059">
        <w:rPr>
          <w:sz w:val="22"/>
        </w:rPr>
        <w:t xml:space="preserve"> (0076952)</w:t>
      </w:r>
    </w:p>
    <w:p w14:paraId="601CD689" w14:textId="28592931" w:rsidR="00D6044A" w:rsidRPr="006F5059" w:rsidRDefault="00D6044A" w:rsidP="00B70147">
      <w:pPr>
        <w:ind w:right="720"/>
        <w:rPr>
          <w:sz w:val="22"/>
        </w:rPr>
      </w:pPr>
      <w:r w:rsidRPr="006F5059">
        <w:rPr>
          <w:sz w:val="22"/>
        </w:rPr>
        <w:t xml:space="preserve">   (Counsel of Record)</w:t>
      </w:r>
    </w:p>
    <w:p w14:paraId="7F8DFC09" w14:textId="0B3B2B42" w:rsidR="00D6044A" w:rsidRPr="007B674B" w:rsidRDefault="00D6044A" w:rsidP="00B70147">
      <w:pPr>
        <w:ind w:right="720"/>
        <w:rPr>
          <w:smallCaps/>
          <w:sz w:val="22"/>
        </w:rPr>
      </w:pPr>
      <w:r w:rsidRPr="007B674B">
        <w:rPr>
          <w:smallCaps/>
          <w:sz w:val="22"/>
        </w:rPr>
        <w:t>FirstEnergy Service Company</w:t>
      </w:r>
    </w:p>
    <w:p w14:paraId="77F735DA" w14:textId="182E072A" w:rsidR="00D6044A" w:rsidRPr="006F5059" w:rsidRDefault="00D6044A" w:rsidP="00B70147">
      <w:pPr>
        <w:ind w:right="720"/>
        <w:rPr>
          <w:sz w:val="22"/>
        </w:rPr>
      </w:pPr>
      <w:r w:rsidRPr="006F5059">
        <w:rPr>
          <w:sz w:val="22"/>
        </w:rPr>
        <w:t>76 S. Main Street</w:t>
      </w:r>
    </w:p>
    <w:p w14:paraId="38D58B62" w14:textId="0624A73A" w:rsidR="00D6044A" w:rsidRPr="006F5059" w:rsidRDefault="00D6044A" w:rsidP="00B70147">
      <w:pPr>
        <w:ind w:right="720"/>
        <w:rPr>
          <w:sz w:val="22"/>
        </w:rPr>
      </w:pPr>
      <w:r w:rsidRPr="006F5059">
        <w:rPr>
          <w:sz w:val="22"/>
        </w:rPr>
        <w:t>Akron, OH 44308</w:t>
      </w:r>
    </w:p>
    <w:p w14:paraId="4730080E" w14:textId="462ABBBE" w:rsidR="00D6044A" w:rsidRPr="006F5059" w:rsidRDefault="00D6044A" w:rsidP="00B70147">
      <w:pPr>
        <w:ind w:right="720"/>
        <w:rPr>
          <w:sz w:val="22"/>
        </w:rPr>
      </w:pPr>
      <w:r w:rsidRPr="006F5059">
        <w:rPr>
          <w:sz w:val="22"/>
        </w:rPr>
        <w:t>cdunn@firstenergycorp.com</w:t>
      </w:r>
    </w:p>
    <w:p w14:paraId="1838AB9C" w14:textId="12871545" w:rsidR="00D6044A" w:rsidRPr="006F5059" w:rsidRDefault="00D6044A" w:rsidP="00B70147">
      <w:pPr>
        <w:ind w:right="720"/>
        <w:rPr>
          <w:sz w:val="22"/>
        </w:rPr>
      </w:pPr>
    </w:p>
    <w:p w14:paraId="6347C012" w14:textId="6D4DB032" w:rsidR="00D6044A" w:rsidRPr="007B674B" w:rsidRDefault="00D6044A" w:rsidP="006F5059">
      <w:pPr>
        <w:ind w:right="-90"/>
        <w:rPr>
          <w:rFonts w:ascii="Arial Bold" w:hAnsi="Arial Bold"/>
          <w:b/>
          <w:smallCaps/>
          <w:sz w:val="22"/>
          <w:szCs w:val="22"/>
        </w:rPr>
      </w:pPr>
      <w:r w:rsidRPr="007B674B">
        <w:rPr>
          <w:rFonts w:ascii="Arial Bold" w:hAnsi="Arial Bold"/>
          <w:b/>
          <w:smallCaps/>
          <w:sz w:val="22"/>
          <w:szCs w:val="22"/>
        </w:rPr>
        <w:t xml:space="preserve">Counsel for Ohio Edison Company, </w:t>
      </w:r>
      <w:r w:rsidRPr="007B674B">
        <w:rPr>
          <w:rFonts w:ascii="Arial Bold" w:hAnsi="Arial Bold"/>
          <w:b/>
          <w:smallCaps/>
          <w:sz w:val="22"/>
          <w:szCs w:val="22"/>
        </w:rPr>
        <w:br/>
        <w:t>The Cleveland Electric Illuminating Company, and the Toledo Edison Company</w:t>
      </w:r>
    </w:p>
    <w:p w14:paraId="3CC5AEE7" w14:textId="06D3B780" w:rsidR="006F5059" w:rsidRPr="006F5059" w:rsidRDefault="006F5059" w:rsidP="00B70147">
      <w:pPr>
        <w:ind w:right="720"/>
        <w:rPr>
          <w:sz w:val="22"/>
        </w:rPr>
      </w:pPr>
    </w:p>
    <w:p w14:paraId="03336C57" w14:textId="65620CA4" w:rsidR="006F5059" w:rsidRPr="006F5059" w:rsidRDefault="006F5059" w:rsidP="00B70147">
      <w:pPr>
        <w:ind w:right="720"/>
        <w:rPr>
          <w:sz w:val="22"/>
        </w:rPr>
      </w:pPr>
      <w:r w:rsidRPr="006F5059">
        <w:rPr>
          <w:b/>
          <w:sz w:val="22"/>
        </w:rPr>
        <w:t>Michael J. Schuler</w:t>
      </w:r>
      <w:r w:rsidRPr="006F5059">
        <w:rPr>
          <w:sz w:val="22"/>
        </w:rPr>
        <w:t xml:space="preserve"> (0082390)</w:t>
      </w:r>
    </w:p>
    <w:p w14:paraId="7D8BE942" w14:textId="4C747985" w:rsidR="006F5059" w:rsidRPr="006F5059" w:rsidRDefault="006F5059" w:rsidP="00B70147">
      <w:pPr>
        <w:ind w:right="720"/>
        <w:rPr>
          <w:sz w:val="22"/>
        </w:rPr>
      </w:pPr>
      <w:r w:rsidRPr="006F5059">
        <w:rPr>
          <w:sz w:val="22"/>
        </w:rPr>
        <w:t xml:space="preserve">   (Counsel of Record)</w:t>
      </w:r>
    </w:p>
    <w:p w14:paraId="2B66BAD6" w14:textId="26D7A2E8" w:rsidR="006F5059" w:rsidRPr="007B674B" w:rsidRDefault="006F5059" w:rsidP="00B70147">
      <w:pPr>
        <w:ind w:right="720"/>
        <w:rPr>
          <w:smallCaps/>
          <w:sz w:val="22"/>
        </w:rPr>
      </w:pPr>
      <w:r w:rsidRPr="007B674B">
        <w:rPr>
          <w:smallCaps/>
          <w:sz w:val="22"/>
        </w:rPr>
        <w:t>The Dayton Power and Light Company</w:t>
      </w:r>
    </w:p>
    <w:p w14:paraId="39916251" w14:textId="0437EB73" w:rsidR="006F5059" w:rsidRPr="006F5059" w:rsidRDefault="006F5059" w:rsidP="00B70147">
      <w:pPr>
        <w:ind w:right="720"/>
        <w:rPr>
          <w:sz w:val="22"/>
        </w:rPr>
      </w:pPr>
      <w:r w:rsidRPr="006F5059">
        <w:rPr>
          <w:sz w:val="22"/>
        </w:rPr>
        <w:t>1065 Woodman Drive</w:t>
      </w:r>
    </w:p>
    <w:p w14:paraId="70504BB4" w14:textId="7EC66ED0" w:rsidR="006F5059" w:rsidRPr="006F5059" w:rsidRDefault="006F5059" w:rsidP="00B70147">
      <w:pPr>
        <w:ind w:right="720"/>
        <w:rPr>
          <w:sz w:val="22"/>
        </w:rPr>
      </w:pPr>
      <w:r w:rsidRPr="006F5059">
        <w:rPr>
          <w:sz w:val="22"/>
        </w:rPr>
        <w:t>Dayton, OH 45432</w:t>
      </w:r>
    </w:p>
    <w:p w14:paraId="1D961CAC" w14:textId="41D3C1DC" w:rsidR="006F5059" w:rsidRPr="006F5059" w:rsidRDefault="006F5059" w:rsidP="00B70147">
      <w:pPr>
        <w:ind w:right="720"/>
        <w:rPr>
          <w:sz w:val="22"/>
        </w:rPr>
      </w:pPr>
      <w:r w:rsidRPr="006F5059">
        <w:rPr>
          <w:sz w:val="22"/>
        </w:rPr>
        <w:t>michael.schuler@aes.com</w:t>
      </w:r>
    </w:p>
    <w:p w14:paraId="33E97E37" w14:textId="66AF37D8" w:rsidR="006F5059" w:rsidRPr="006F5059" w:rsidRDefault="006F5059" w:rsidP="00B70147">
      <w:pPr>
        <w:ind w:right="720"/>
        <w:rPr>
          <w:sz w:val="22"/>
        </w:rPr>
      </w:pPr>
    </w:p>
    <w:p w14:paraId="6AFE4D4E" w14:textId="73014F69" w:rsidR="006F5059" w:rsidRDefault="006F5059" w:rsidP="00B70147">
      <w:pPr>
        <w:ind w:right="720"/>
        <w:rPr>
          <w:rFonts w:ascii="Arial Bold" w:hAnsi="Arial Bold"/>
          <w:b/>
          <w:smallCaps/>
          <w:sz w:val="22"/>
          <w:szCs w:val="22"/>
        </w:rPr>
      </w:pPr>
      <w:r w:rsidRPr="007B674B">
        <w:rPr>
          <w:rFonts w:ascii="Arial Bold" w:hAnsi="Arial Bold"/>
          <w:b/>
          <w:smallCaps/>
          <w:sz w:val="22"/>
          <w:szCs w:val="22"/>
        </w:rPr>
        <w:t>Counsel for The Dayton Power and Light Company</w:t>
      </w:r>
    </w:p>
    <w:p w14:paraId="145072DF" w14:textId="7CA77DCC" w:rsidR="009C1468" w:rsidRDefault="009C1468" w:rsidP="00B70147">
      <w:pPr>
        <w:ind w:right="720"/>
        <w:rPr>
          <w:rFonts w:ascii="Arial Bold" w:hAnsi="Arial Bold"/>
          <w:b/>
          <w:smallCaps/>
          <w:sz w:val="22"/>
          <w:szCs w:val="22"/>
        </w:rPr>
      </w:pPr>
    </w:p>
    <w:p w14:paraId="4091EFD9" w14:textId="4A52F28D" w:rsidR="009C1468" w:rsidRPr="009C1468" w:rsidRDefault="009C1468" w:rsidP="00B70147">
      <w:pPr>
        <w:ind w:right="720"/>
        <w:rPr>
          <w:rFonts w:ascii="Arial Bold" w:hAnsi="Arial Bold"/>
          <w:b/>
          <w:sz w:val="22"/>
          <w:szCs w:val="22"/>
        </w:rPr>
      </w:pPr>
      <w:r w:rsidRPr="009C1468">
        <w:rPr>
          <w:rFonts w:ascii="Arial Bold" w:hAnsi="Arial Bold"/>
          <w:b/>
          <w:sz w:val="22"/>
          <w:szCs w:val="22"/>
        </w:rPr>
        <w:t>Megan Addison</w:t>
      </w:r>
    </w:p>
    <w:p w14:paraId="6FE513B7" w14:textId="5FD77C88" w:rsidR="009D210A" w:rsidRDefault="009D210A" w:rsidP="009D210A">
      <w:pPr>
        <w:tabs>
          <w:tab w:val="left" w:pos="2160"/>
          <w:tab w:val="left" w:pos="2280"/>
        </w:tabs>
        <w:rPr>
          <w:rFonts w:eastAsia="Times New Roman" w:cs="Arial"/>
          <w:sz w:val="22"/>
          <w:szCs w:val="22"/>
        </w:rPr>
      </w:pPr>
      <w:r w:rsidRPr="007853F0">
        <w:rPr>
          <w:rFonts w:eastAsia="Times New Roman" w:cs="Arial"/>
          <w:sz w:val="22"/>
          <w:szCs w:val="22"/>
        </w:rPr>
        <w:t>Public Utilities Commission of Ohio</w:t>
      </w:r>
    </w:p>
    <w:p w14:paraId="4232411A" w14:textId="77777777" w:rsidR="009D210A" w:rsidRPr="007853F0" w:rsidRDefault="009D210A" w:rsidP="009D210A">
      <w:pPr>
        <w:tabs>
          <w:tab w:val="left" w:pos="2160"/>
          <w:tab w:val="left" w:pos="2280"/>
        </w:tabs>
        <w:rPr>
          <w:rFonts w:eastAsia="Times New Roman" w:cs="Arial"/>
          <w:sz w:val="22"/>
          <w:szCs w:val="22"/>
        </w:rPr>
      </w:pPr>
      <w:r w:rsidRPr="007853F0">
        <w:rPr>
          <w:rFonts w:eastAsia="Times New Roman" w:cs="Arial"/>
          <w:sz w:val="22"/>
          <w:szCs w:val="22"/>
        </w:rPr>
        <w:t>180 East Broad Street, 12</w:t>
      </w:r>
      <w:r w:rsidRPr="007853F0">
        <w:rPr>
          <w:rFonts w:eastAsia="Times New Roman" w:cs="Arial"/>
          <w:sz w:val="22"/>
          <w:szCs w:val="22"/>
          <w:vertAlign w:val="superscript"/>
        </w:rPr>
        <w:t>th</w:t>
      </w:r>
      <w:r w:rsidRPr="007853F0">
        <w:rPr>
          <w:rFonts w:eastAsia="Times New Roman" w:cs="Arial"/>
          <w:sz w:val="22"/>
          <w:szCs w:val="22"/>
        </w:rPr>
        <w:t xml:space="preserve"> Floor</w:t>
      </w:r>
    </w:p>
    <w:p w14:paraId="1CF85265" w14:textId="77777777" w:rsidR="009D210A" w:rsidRPr="007853F0" w:rsidRDefault="009D210A" w:rsidP="009D210A">
      <w:pPr>
        <w:tabs>
          <w:tab w:val="left" w:pos="2160"/>
          <w:tab w:val="left" w:pos="2280"/>
        </w:tabs>
        <w:rPr>
          <w:rFonts w:eastAsia="Times New Roman" w:cs="Arial"/>
          <w:sz w:val="22"/>
          <w:szCs w:val="22"/>
        </w:rPr>
      </w:pPr>
      <w:r w:rsidRPr="007853F0">
        <w:rPr>
          <w:rFonts w:eastAsia="Times New Roman" w:cs="Arial"/>
          <w:sz w:val="22"/>
          <w:szCs w:val="22"/>
        </w:rPr>
        <w:t>Columbus, OH  43215</w:t>
      </w:r>
    </w:p>
    <w:p w14:paraId="37F1B656" w14:textId="3F037A35" w:rsidR="009D210A" w:rsidRDefault="009D210A" w:rsidP="009D210A">
      <w:pPr>
        <w:tabs>
          <w:tab w:val="left" w:pos="2160"/>
          <w:tab w:val="left" w:pos="2280"/>
        </w:tabs>
        <w:rPr>
          <w:rFonts w:eastAsia="Times New Roman" w:cs="Arial"/>
          <w:color w:val="000000"/>
          <w:sz w:val="22"/>
          <w:szCs w:val="22"/>
        </w:rPr>
      </w:pPr>
      <w:r w:rsidRPr="009D210A">
        <w:rPr>
          <w:rFonts w:eastAsia="Times New Roman" w:cs="Arial"/>
          <w:color w:val="000000"/>
          <w:sz w:val="22"/>
          <w:szCs w:val="22"/>
        </w:rPr>
        <w:t>megan.addison@puco.ohio.gov</w:t>
      </w:r>
    </w:p>
    <w:p w14:paraId="79295844" w14:textId="77777777" w:rsidR="009D210A" w:rsidRPr="007853F0" w:rsidRDefault="009D210A" w:rsidP="009D210A">
      <w:pPr>
        <w:tabs>
          <w:tab w:val="left" w:pos="2160"/>
          <w:tab w:val="left" w:pos="2280"/>
        </w:tabs>
        <w:rPr>
          <w:rFonts w:ascii="Arial Bold" w:eastAsia="Times New Roman" w:hAnsi="Arial Bold" w:cs="Arial"/>
          <w:b/>
          <w:smallCaps/>
          <w:sz w:val="22"/>
          <w:szCs w:val="22"/>
        </w:rPr>
      </w:pPr>
    </w:p>
    <w:p w14:paraId="4EECD875" w14:textId="06D5F411" w:rsidR="009D210A" w:rsidRPr="007853F0" w:rsidRDefault="009D210A" w:rsidP="009D210A">
      <w:pPr>
        <w:tabs>
          <w:tab w:val="left" w:pos="2160"/>
          <w:tab w:val="left" w:pos="2280"/>
        </w:tabs>
        <w:rPr>
          <w:rFonts w:ascii="Arial Bold" w:eastAsia="Times New Roman" w:hAnsi="Arial Bold" w:cs="Arial"/>
          <w:b/>
          <w:smallCaps/>
          <w:sz w:val="22"/>
          <w:szCs w:val="22"/>
        </w:rPr>
      </w:pPr>
      <w:r w:rsidRPr="007853F0">
        <w:rPr>
          <w:rFonts w:ascii="Arial Bold" w:eastAsia="Times New Roman" w:hAnsi="Arial Bold" w:cs="Arial"/>
          <w:b/>
          <w:smallCaps/>
          <w:sz w:val="22"/>
          <w:szCs w:val="22"/>
        </w:rPr>
        <w:t>Attorney Examiner</w:t>
      </w:r>
    </w:p>
    <w:sectPr w:rsidR="009D210A" w:rsidRPr="007853F0" w:rsidSect="006F5059">
      <w:type w:val="continuous"/>
      <w:pgSz w:w="12240" w:h="15840" w:code="1"/>
      <w:pgMar w:top="1440" w:right="1170" w:bottom="1440" w:left="1440" w:header="720" w:footer="720" w:gutter="0"/>
      <w:cols w:num="2" w:space="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417E" w14:textId="77777777" w:rsidR="006B1183" w:rsidRDefault="006B1183" w:rsidP="003149CD">
      <w:r>
        <w:separator/>
      </w:r>
    </w:p>
  </w:endnote>
  <w:endnote w:type="continuationSeparator" w:id="0">
    <w:p w14:paraId="23CB2D32" w14:textId="77777777" w:rsidR="006B1183" w:rsidRDefault="006B1183" w:rsidP="0031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651D" w14:textId="77777777" w:rsidR="00B66969" w:rsidRDefault="00B6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28EF" w14:textId="12F280B0" w:rsidR="006B1183" w:rsidRPr="004331E2" w:rsidRDefault="004305D6" w:rsidP="000B6563">
    <w:pPr>
      <w:pStyle w:val="Footer"/>
    </w:pPr>
    <w:r w:rsidRPr="004305D6">
      <w:rPr>
        <w:noProof/>
        <w:sz w:val="16"/>
      </w:rPr>
      <w:t>C0108802:1</w:t>
    </w:r>
    <w:r w:rsidR="006B1183">
      <w:tab/>
    </w:r>
    <w:sdt>
      <w:sdtPr>
        <w:id w:val="1399095798"/>
        <w:docPartObj>
          <w:docPartGallery w:val="Page Numbers (Bottom of Page)"/>
          <w:docPartUnique/>
        </w:docPartObj>
      </w:sdtPr>
      <w:sdtEndPr>
        <w:rPr>
          <w:noProof/>
        </w:rPr>
      </w:sdtEndPr>
      <w:sdtContent>
        <w:r w:rsidR="006B1183" w:rsidRPr="004331E2">
          <w:fldChar w:fldCharType="begin"/>
        </w:r>
        <w:r w:rsidR="006B1183" w:rsidRPr="004331E2">
          <w:instrText xml:space="preserve"> PAGE   \* MERGEFORMAT </w:instrText>
        </w:r>
        <w:r w:rsidR="006B1183" w:rsidRPr="004331E2">
          <w:fldChar w:fldCharType="separate"/>
        </w:r>
        <w:r w:rsidR="002C41BC">
          <w:rPr>
            <w:noProof/>
          </w:rPr>
          <w:t>1</w:t>
        </w:r>
        <w:r w:rsidR="006B1183" w:rsidRPr="004331E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7691" w14:textId="2914F5D2" w:rsidR="006B1183" w:rsidRPr="001E47E9" w:rsidRDefault="004305D6" w:rsidP="000B6563">
    <w:pPr>
      <w:pStyle w:val="Footer"/>
    </w:pPr>
    <w:r w:rsidRPr="004305D6">
      <w:rPr>
        <w:noProof/>
        <w:sz w:val="16"/>
      </w:rPr>
      <w:t>C0108802:1</w:t>
    </w:r>
    <w:r w:rsidR="006B1183">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ED57" w14:textId="77777777" w:rsidR="006B1183" w:rsidRDefault="006B11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8975" w14:textId="10DC8401" w:rsidR="006B1183" w:rsidRPr="00CD42D4" w:rsidRDefault="004305D6" w:rsidP="00CD42D4">
    <w:pPr>
      <w:pStyle w:val="Footer"/>
    </w:pPr>
    <w:r w:rsidRPr="004305D6">
      <w:rPr>
        <w:noProof/>
        <w:sz w:val="16"/>
      </w:rPr>
      <w:t>C0108802:1</w:t>
    </w:r>
    <w:r w:rsidR="006B1183">
      <w:tab/>
    </w:r>
    <w:sdt>
      <w:sdtPr>
        <w:id w:val="461003250"/>
        <w:docPartObj>
          <w:docPartGallery w:val="Page Numbers (Bottom of Page)"/>
          <w:docPartUnique/>
        </w:docPartObj>
      </w:sdtPr>
      <w:sdtEndPr>
        <w:rPr>
          <w:noProof/>
        </w:rPr>
      </w:sdtEndPr>
      <w:sdtContent>
        <w:r w:rsidR="006B1183" w:rsidRPr="00CD42D4">
          <w:fldChar w:fldCharType="begin"/>
        </w:r>
        <w:r w:rsidR="006B1183" w:rsidRPr="00CD42D4">
          <w:instrText xml:space="preserve"> PAGE   \* MERGEFORMAT </w:instrText>
        </w:r>
        <w:r w:rsidR="006B1183" w:rsidRPr="00CD42D4">
          <w:fldChar w:fldCharType="separate"/>
        </w:r>
        <w:r w:rsidR="00EB37FF">
          <w:rPr>
            <w:noProof/>
          </w:rPr>
          <w:t>2</w:t>
        </w:r>
        <w:r w:rsidR="006B1183" w:rsidRPr="00CD42D4">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9DE0" w14:textId="69A74553" w:rsidR="006B1183" w:rsidRPr="003149CD" w:rsidRDefault="004305D6" w:rsidP="003149CD">
    <w:pPr>
      <w:pStyle w:val="Footer"/>
    </w:pPr>
    <w:r w:rsidRPr="004305D6">
      <w:rPr>
        <w:noProof/>
        <w:sz w:val="16"/>
      </w:rPr>
      <w:t>C0108802:1</w:t>
    </w:r>
    <w:r w:rsidR="006B11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9247" w14:textId="77777777" w:rsidR="006B1183" w:rsidRDefault="006B1183" w:rsidP="003149CD">
      <w:pPr>
        <w:rPr>
          <w:noProof/>
        </w:rPr>
      </w:pPr>
      <w:r>
        <w:rPr>
          <w:noProof/>
        </w:rPr>
        <w:separator/>
      </w:r>
    </w:p>
  </w:footnote>
  <w:footnote w:type="continuationSeparator" w:id="0">
    <w:p w14:paraId="6924D1FF" w14:textId="77777777" w:rsidR="006B1183" w:rsidRDefault="006B1183" w:rsidP="003149CD">
      <w:r>
        <w:continuationSeparator/>
      </w:r>
    </w:p>
  </w:footnote>
  <w:footnote w:id="1">
    <w:p w14:paraId="6791E459" w14:textId="25573802" w:rsidR="006B1183" w:rsidRDefault="006B1183" w:rsidP="00424DB8">
      <w:pPr>
        <w:pStyle w:val="FootnoteText"/>
        <w:spacing w:after="120"/>
        <w:jc w:val="both"/>
      </w:pPr>
      <w:r>
        <w:rPr>
          <w:rStyle w:val="FootnoteReference"/>
        </w:rPr>
        <w:footnoteRef/>
      </w:r>
      <w:r>
        <w:t xml:space="preserve"> The EDUs recognize that their Application for Rehearing is an attempt to preemptively shape the issues to be addressed by the Commission.  Application for Rehearing at 4 (“Although some parties may claim that the EDUs are getting ahead and addressing merit issues, the reality is that implementing the accounting directive involves some understanding (or assumptions) about the manner and extent of how tax reform impacts will be reflected in rates.”)  As </w:t>
      </w:r>
      <w:r w:rsidRPr="00424DB8">
        <w:rPr>
          <w:i/>
        </w:rPr>
        <w:t>Elyria</w:t>
      </w:r>
      <w:r>
        <w:t xml:space="preserve"> </w:t>
      </w:r>
      <w:r w:rsidRPr="00424DB8">
        <w:rPr>
          <w:i/>
        </w:rPr>
        <w:t>Foundry</w:t>
      </w:r>
      <w:r>
        <w:t xml:space="preserve"> makes clear, a decision about the effect of the tax reduction on rates is not dependent to the accounting order.</w:t>
      </w:r>
    </w:p>
  </w:footnote>
  <w:footnote w:id="2">
    <w:p w14:paraId="6970ADAC" w14:textId="0E313A2D" w:rsidR="006B1183" w:rsidRDefault="006B1183" w:rsidP="003936B6">
      <w:pPr>
        <w:pStyle w:val="FootnoteText"/>
        <w:jc w:val="both"/>
      </w:pPr>
      <w:r>
        <w:rPr>
          <w:rStyle w:val="FootnoteReference"/>
        </w:rPr>
        <w:footnoteRef/>
      </w:r>
      <w:r>
        <w:t xml:space="preserve"> Compounding the problem with the EDUs’ premature application for rehearing is the inclusion of several faulty legal claims.  For example, the EDUs argue that the Commission’s authority to adjust base rates is limited to the procedures under R.C. Chapter 4909.  This claim ignores the Commission’s authority to adjust rates based upon a complaint or its own investigation under R.C. 4905.26.  At this point, however, the Commission is not required to engage the arguments presented in support of the EDUs’ third assignment of error because they are not ripe.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8E57" w14:textId="77777777" w:rsidR="00B66969" w:rsidRDefault="00B6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3425" w14:textId="77777777" w:rsidR="00B66969" w:rsidRDefault="00B66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D730" w14:textId="77777777" w:rsidR="00B66969" w:rsidRDefault="00B66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852F" w14:textId="77777777" w:rsidR="006B1183" w:rsidRDefault="006B1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140D" w14:textId="77777777" w:rsidR="006B1183" w:rsidRDefault="006B11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2E5C" w14:textId="77777777" w:rsidR="006B1183" w:rsidRDefault="006B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2D7"/>
    <w:multiLevelType w:val="hybridMultilevel"/>
    <w:tmpl w:val="8ECA7D40"/>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6425"/>
    <w:multiLevelType w:val="hybridMultilevel"/>
    <w:tmpl w:val="023E5F56"/>
    <w:lvl w:ilvl="0" w:tplc="272AE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96E84"/>
    <w:multiLevelType w:val="hybridMultilevel"/>
    <w:tmpl w:val="CD34D4BC"/>
    <w:lvl w:ilvl="0" w:tplc="AA24BC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413121"/>
    <w:multiLevelType w:val="hybridMultilevel"/>
    <w:tmpl w:val="B72E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21AD8"/>
    <w:multiLevelType w:val="hybridMultilevel"/>
    <w:tmpl w:val="FFCE1BD6"/>
    <w:lvl w:ilvl="0" w:tplc="91B2F0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E0"/>
    <w:rsid w:val="00000941"/>
    <w:rsid w:val="00007E4A"/>
    <w:rsid w:val="000108E3"/>
    <w:rsid w:val="00037DCD"/>
    <w:rsid w:val="00043EEA"/>
    <w:rsid w:val="00046437"/>
    <w:rsid w:val="00060374"/>
    <w:rsid w:val="000678CC"/>
    <w:rsid w:val="0007186E"/>
    <w:rsid w:val="00076BBC"/>
    <w:rsid w:val="0009186A"/>
    <w:rsid w:val="000A164C"/>
    <w:rsid w:val="000A1C2A"/>
    <w:rsid w:val="000B15F3"/>
    <w:rsid w:val="000B56DD"/>
    <w:rsid w:val="000B6563"/>
    <w:rsid w:val="000E2C90"/>
    <w:rsid w:val="000E2D29"/>
    <w:rsid w:val="000E35AE"/>
    <w:rsid w:val="000F17EF"/>
    <w:rsid w:val="00103BE7"/>
    <w:rsid w:val="00106004"/>
    <w:rsid w:val="00126347"/>
    <w:rsid w:val="0014160D"/>
    <w:rsid w:val="001601D7"/>
    <w:rsid w:val="00181085"/>
    <w:rsid w:val="001909C4"/>
    <w:rsid w:val="001C5B73"/>
    <w:rsid w:val="001D42EE"/>
    <w:rsid w:val="001F0851"/>
    <w:rsid w:val="0021169F"/>
    <w:rsid w:val="002162D2"/>
    <w:rsid w:val="0021726A"/>
    <w:rsid w:val="00217E3F"/>
    <w:rsid w:val="00222A30"/>
    <w:rsid w:val="00227AB8"/>
    <w:rsid w:val="002423B5"/>
    <w:rsid w:val="00243C9C"/>
    <w:rsid w:val="002543FC"/>
    <w:rsid w:val="002809EB"/>
    <w:rsid w:val="002C41BC"/>
    <w:rsid w:val="002D23D5"/>
    <w:rsid w:val="002D3A7E"/>
    <w:rsid w:val="002E0EE2"/>
    <w:rsid w:val="00306C3A"/>
    <w:rsid w:val="003138B4"/>
    <w:rsid w:val="003149CD"/>
    <w:rsid w:val="0032052E"/>
    <w:rsid w:val="00353DB9"/>
    <w:rsid w:val="00366C3B"/>
    <w:rsid w:val="00370C9D"/>
    <w:rsid w:val="003927E4"/>
    <w:rsid w:val="003936B6"/>
    <w:rsid w:val="00395F67"/>
    <w:rsid w:val="003B6EFE"/>
    <w:rsid w:val="003E0862"/>
    <w:rsid w:val="003E3E33"/>
    <w:rsid w:val="003F4D57"/>
    <w:rsid w:val="00406370"/>
    <w:rsid w:val="00411F19"/>
    <w:rsid w:val="00415BB0"/>
    <w:rsid w:val="0042365E"/>
    <w:rsid w:val="00424DB8"/>
    <w:rsid w:val="00427167"/>
    <w:rsid w:val="004305D6"/>
    <w:rsid w:val="004506D0"/>
    <w:rsid w:val="004634D7"/>
    <w:rsid w:val="004941ED"/>
    <w:rsid w:val="004B2EA6"/>
    <w:rsid w:val="004D2B6B"/>
    <w:rsid w:val="004E41F1"/>
    <w:rsid w:val="00501989"/>
    <w:rsid w:val="005154C8"/>
    <w:rsid w:val="00522A0A"/>
    <w:rsid w:val="00532A03"/>
    <w:rsid w:val="00553F16"/>
    <w:rsid w:val="00577506"/>
    <w:rsid w:val="005A0D6B"/>
    <w:rsid w:val="005B475D"/>
    <w:rsid w:val="00602601"/>
    <w:rsid w:val="0063707F"/>
    <w:rsid w:val="0065755F"/>
    <w:rsid w:val="00680677"/>
    <w:rsid w:val="00690BED"/>
    <w:rsid w:val="0069463F"/>
    <w:rsid w:val="006A7D69"/>
    <w:rsid w:val="006B1183"/>
    <w:rsid w:val="006B408A"/>
    <w:rsid w:val="006C191D"/>
    <w:rsid w:val="006D7E21"/>
    <w:rsid w:val="006F5059"/>
    <w:rsid w:val="006F6AEE"/>
    <w:rsid w:val="00702CBF"/>
    <w:rsid w:val="00716905"/>
    <w:rsid w:val="00726247"/>
    <w:rsid w:val="00755BE6"/>
    <w:rsid w:val="00756674"/>
    <w:rsid w:val="00782FDF"/>
    <w:rsid w:val="00784AF1"/>
    <w:rsid w:val="00786009"/>
    <w:rsid w:val="007B0E90"/>
    <w:rsid w:val="007B5CB3"/>
    <w:rsid w:val="007B674B"/>
    <w:rsid w:val="007C4534"/>
    <w:rsid w:val="007D0F0F"/>
    <w:rsid w:val="007E3A6C"/>
    <w:rsid w:val="007E5633"/>
    <w:rsid w:val="007E6CCB"/>
    <w:rsid w:val="0080010E"/>
    <w:rsid w:val="00801C10"/>
    <w:rsid w:val="008201FE"/>
    <w:rsid w:val="00823402"/>
    <w:rsid w:val="00834ADC"/>
    <w:rsid w:val="008374A0"/>
    <w:rsid w:val="00840707"/>
    <w:rsid w:val="00844C9A"/>
    <w:rsid w:val="00846707"/>
    <w:rsid w:val="00851F0F"/>
    <w:rsid w:val="00861866"/>
    <w:rsid w:val="00875E9C"/>
    <w:rsid w:val="00882C07"/>
    <w:rsid w:val="008A3347"/>
    <w:rsid w:val="008C4067"/>
    <w:rsid w:val="008E0741"/>
    <w:rsid w:val="008E19EB"/>
    <w:rsid w:val="008E3BF4"/>
    <w:rsid w:val="008F3C20"/>
    <w:rsid w:val="009303B7"/>
    <w:rsid w:val="00985F21"/>
    <w:rsid w:val="00987093"/>
    <w:rsid w:val="00990DF7"/>
    <w:rsid w:val="0099180A"/>
    <w:rsid w:val="009926E0"/>
    <w:rsid w:val="00997736"/>
    <w:rsid w:val="009A07FD"/>
    <w:rsid w:val="009C0A92"/>
    <w:rsid w:val="009C1468"/>
    <w:rsid w:val="009C2662"/>
    <w:rsid w:val="009C3CF3"/>
    <w:rsid w:val="009D210A"/>
    <w:rsid w:val="009D4DF3"/>
    <w:rsid w:val="009D6FA8"/>
    <w:rsid w:val="009E35A7"/>
    <w:rsid w:val="009E49A6"/>
    <w:rsid w:val="009E7DB8"/>
    <w:rsid w:val="00A22FA2"/>
    <w:rsid w:val="00A41DDE"/>
    <w:rsid w:val="00A51A3C"/>
    <w:rsid w:val="00A536C2"/>
    <w:rsid w:val="00A575AB"/>
    <w:rsid w:val="00A74703"/>
    <w:rsid w:val="00A82A24"/>
    <w:rsid w:val="00AC2D94"/>
    <w:rsid w:val="00AD4A5B"/>
    <w:rsid w:val="00AD6C2E"/>
    <w:rsid w:val="00AE7CD3"/>
    <w:rsid w:val="00B06FA3"/>
    <w:rsid w:val="00B1251E"/>
    <w:rsid w:val="00B54E61"/>
    <w:rsid w:val="00B617B0"/>
    <w:rsid w:val="00B6366B"/>
    <w:rsid w:val="00B66969"/>
    <w:rsid w:val="00B70147"/>
    <w:rsid w:val="00B768E6"/>
    <w:rsid w:val="00B85DC0"/>
    <w:rsid w:val="00BD67A0"/>
    <w:rsid w:val="00BD6FE2"/>
    <w:rsid w:val="00BD77AB"/>
    <w:rsid w:val="00BE55E7"/>
    <w:rsid w:val="00BE645F"/>
    <w:rsid w:val="00BE6C0E"/>
    <w:rsid w:val="00BF69CE"/>
    <w:rsid w:val="00C0405A"/>
    <w:rsid w:val="00C120D0"/>
    <w:rsid w:val="00C149E2"/>
    <w:rsid w:val="00C21780"/>
    <w:rsid w:val="00C23B32"/>
    <w:rsid w:val="00C26469"/>
    <w:rsid w:val="00C74484"/>
    <w:rsid w:val="00C82623"/>
    <w:rsid w:val="00C941F8"/>
    <w:rsid w:val="00CA54FA"/>
    <w:rsid w:val="00CB08A9"/>
    <w:rsid w:val="00CD42D4"/>
    <w:rsid w:val="00CD5352"/>
    <w:rsid w:val="00CE0FBF"/>
    <w:rsid w:val="00D03A1E"/>
    <w:rsid w:val="00D269CE"/>
    <w:rsid w:val="00D33403"/>
    <w:rsid w:val="00D37FF6"/>
    <w:rsid w:val="00D50E35"/>
    <w:rsid w:val="00D6044A"/>
    <w:rsid w:val="00D66F6A"/>
    <w:rsid w:val="00D712B3"/>
    <w:rsid w:val="00D77EDA"/>
    <w:rsid w:val="00D8259E"/>
    <w:rsid w:val="00D8268B"/>
    <w:rsid w:val="00D82D0A"/>
    <w:rsid w:val="00DA1526"/>
    <w:rsid w:val="00DB3386"/>
    <w:rsid w:val="00DC197C"/>
    <w:rsid w:val="00DC19D9"/>
    <w:rsid w:val="00DD79F5"/>
    <w:rsid w:val="00DF2EC6"/>
    <w:rsid w:val="00E000A0"/>
    <w:rsid w:val="00E053DE"/>
    <w:rsid w:val="00E35E00"/>
    <w:rsid w:val="00E41E12"/>
    <w:rsid w:val="00E44848"/>
    <w:rsid w:val="00E51952"/>
    <w:rsid w:val="00E715B8"/>
    <w:rsid w:val="00E8497B"/>
    <w:rsid w:val="00E91509"/>
    <w:rsid w:val="00EA4726"/>
    <w:rsid w:val="00EB37FF"/>
    <w:rsid w:val="00EB66B6"/>
    <w:rsid w:val="00EC6E70"/>
    <w:rsid w:val="00EF241E"/>
    <w:rsid w:val="00EF635D"/>
    <w:rsid w:val="00F02D66"/>
    <w:rsid w:val="00F32C89"/>
    <w:rsid w:val="00F34858"/>
    <w:rsid w:val="00F36869"/>
    <w:rsid w:val="00F4254E"/>
    <w:rsid w:val="00F469CB"/>
    <w:rsid w:val="00F53E5F"/>
    <w:rsid w:val="00F565BA"/>
    <w:rsid w:val="00F823EA"/>
    <w:rsid w:val="00F85944"/>
    <w:rsid w:val="00F870CA"/>
    <w:rsid w:val="00F97967"/>
    <w:rsid w:val="00F97EBC"/>
    <w:rsid w:val="00FA2329"/>
    <w:rsid w:val="00F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7B12"/>
  <w15:chartTrackingRefBased/>
  <w15:docId w15:val="{B2FE1765-F4EB-40E7-9E73-6FEB7DA4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3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CD"/>
    <w:pPr>
      <w:tabs>
        <w:tab w:val="center" w:pos="4680"/>
        <w:tab w:val="right" w:pos="9360"/>
      </w:tabs>
    </w:pPr>
  </w:style>
  <w:style w:type="character" w:customStyle="1" w:styleId="HeaderChar">
    <w:name w:val="Header Char"/>
    <w:basedOn w:val="DefaultParagraphFont"/>
    <w:link w:val="Header"/>
    <w:uiPriority w:val="99"/>
    <w:rsid w:val="003149CD"/>
  </w:style>
  <w:style w:type="paragraph" w:styleId="Footer">
    <w:name w:val="footer"/>
    <w:basedOn w:val="Normal"/>
    <w:link w:val="FooterChar"/>
    <w:uiPriority w:val="99"/>
    <w:unhideWhenUsed/>
    <w:rsid w:val="003149CD"/>
    <w:pPr>
      <w:tabs>
        <w:tab w:val="center" w:pos="4680"/>
        <w:tab w:val="right" w:pos="9360"/>
      </w:tabs>
    </w:pPr>
  </w:style>
  <w:style w:type="character" w:customStyle="1" w:styleId="FooterChar">
    <w:name w:val="Footer Char"/>
    <w:basedOn w:val="DefaultParagraphFont"/>
    <w:link w:val="Footer"/>
    <w:uiPriority w:val="99"/>
    <w:rsid w:val="003149CD"/>
  </w:style>
  <w:style w:type="paragraph" w:styleId="FootnoteText">
    <w:name w:val="footnote text"/>
    <w:basedOn w:val="Normal"/>
    <w:link w:val="FootnoteTextChar"/>
    <w:uiPriority w:val="99"/>
    <w:semiHidden/>
    <w:unhideWhenUsed/>
    <w:rsid w:val="007C4534"/>
    <w:rPr>
      <w:sz w:val="20"/>
      <w:szCs w:val="20"/>
    </w:rPr>
  </w:style>
  <w:style w:type="character" w:customStyle="1" w:styleId="FootnoteTextChar">
    <w:name w:val="Footnote Text Char"/>
    <w:basedOn w:val="DefaultParagraphFont"/>
    <w:link w:val="FootnoteText"/>
    <w:uiPriority w:val="99"/>
    <w:semiHidden/>
    <w:rsid w:val="007C4534"/>
    <w:rPr>
      <w:sz w:val="20"/>
      <w:szCs w:val="20"/>
    </w:rPr>
  </w:style>
  <w:style w:type="character" w:styleId="FootnoteReference">
    <w:name w:val="footnote reference"/>
    <w:basedOn w:val="DefaultParagraphFont"/>
    <w:uiPriority w:val="99"/>
    <w:semiHidden/>
    <w:unhideWhenUsed/>
    <w:rsid w:val="007C4534"/>
    <w:rPr>
      <w:vertAlign w:val="superscript"/>
    </w:rPr>
  </w:style>
  <w:style w:type="paragraph" w:styleId="BodyText">
    <w:name w:val="Body Text"/>
    <w:basedOn w:val="Normal"/>
    <w:link w:val="BodyTextChar"/>
    <w:rsid w:val="005A0D6B"/>
    <w:pPr>
      <w:jc w:val="both"/>
    </w:pPr>
    <w:rPr>
      <w:rFonts w:eastAsia="Times New Roman" w:cs="Arial"/>
    </w:rPr>
  </w:style>
  <w:style w:type="character" w:customStyle="1" w:styleId="BodyTextChar">
    <w:name w:val="Body Text Char"/>
    <w:basedOn w:val="DefaultParagraphFont"/>
    <w:link w:val="BodyText"/>
    <w:rsid w:val="005A0D6B"/>
    <w:rPr>
      <w:rFonts w:eastAsia="Times New Roman" w:cs="Arial"/>
    </w:rPr>
  </w:style>
  <w:style w:type="paragraph" w:styleId="BodyText3">
    <w:name w:val="Body Text 3"/>
    <w:basedOn w:val="Normal"/>
    <w:link w:val="BodyText3Char"/>
    <w:rsid w:val="005A0D6B"/>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5A0D6B"/>
    <w:rPr>
      <w:rFonts w:ascii="Times New Roman" w:eastAsia="Times New Roman" w:hAnsi="Times New Roman" w:cs="Times New Roman"/>
      <w:b/>
      <w:szCs w:val="20"/>
    </w:rPr>
  </w:style>
  <w:style w:type="paragraph" w:styleId="ListParagraph">
    <w:name w:val="List Paragraph"/>
    <w:basedOn w:val="Normal"/>
    <w:uiPriority w:val="34"/>
    <w:qFormat/>
    <w:rsid w:val="00834ADC"/>
    <w:pPr>
      <w:ind w:left="720"/>
      <w:contextualSpacing/>
    </w:pPr>
  </w:style>
  <w:style w:type="paragraph" w:styleId="BalloonText">
    <w:name w:val="Balloon Text"/>
    <w:basedOn w:val="Normal"/>
    <w:link w:val="BalloonTextChar"/>
    <w:uiPriority w:val="99"/>
    <w:semiHidden/>
    <w:unhideWhenUsed/>
    <w:rsid w:val="001C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3"/>
    <w:rPr>
      <w:rFonts w:ascii="Segoe UI" w:hAnsi="Segoe UI" w:cs="Segoe UI"/>
      <w:sz w:val="18"/>
      <w:szCs w:val="18"/>
    </w:rPr>
  </w:style>
  <w:style w:type="character" w:customStyle="1" w:styleId="Heading1Char">
    <w:name w:val="Heading 1 Char"/>
    <w:basedOn w:val="DefaultParagraphFont"/>
    <w:link w:val="Heading1"/>
    <w:uiPriority w:val="9"/>
    <w:rsid w:val="002423B5"/>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D03A1E"/>
    <w:pPr>
      <w:spacing w:after="120" w:line="480" w:lineRule="auto"/>
    </w:pPr>
  </w:style>
  <w:style w:type="character" w:customStyle="1" w:styleId="BodyText2Char">
    <w:name w:val="Body Text 2 Char"/>
    <w:basedOn w:val="DefaultParagraphFont"/>
    <w:link w:val="BodyText2"/>
    <w:uiPriority w:val="99"/>
    <w:rsid w:val="00D03A1E"/>
  </w:style>
  <w:style w:type="character" w:styleId="Hyperlink">
    <w:name w:val="Hyperlink"/>
    <w:basedOn w:val="DefaultParagraphFont"/>
    <w:uiPriority w:val="99"/>
    <w:unhideWhenUsed/>
    <w:rsid w:val="00D6044A"/>
    <w:rPr>
      <w:color w:val="0000FF" w:themeColor="hyperlink"/>
      <w:u w:val="single"/>
    </w:rPr>
  </w:style>
  <w:style w:type="character" w:customStyle="1" w:styleId="UnresolvedMention1">
    <w:name w:val="Unresolved Mention1"/>
    <w:basedOn w:val="DefaultParagraphFont"/>
    <w:uiPriority w:val="99"/>
    <w:semiHidden/>
    <w:unhideWhenUsed/>
    <w:rsid w:val="00D60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2213</Words>
  <Characters>11786</Characters>
  <Application>Microsoft Office Word</Application>
  <DocSecurity>0</DocSecurity>
  <PresentationFormat>15|.DOCX</PresentationFormat>
  <Lines>292</Lines>
  <Paragraphs>107</Paragraphs>
  <ScaleCrop>false</ScaleCrop>
  <HeadingPairs>
    <vt:vector size="2" baseType="variant">
      <vt:variant>
        <vt:lpstr>Title</vt:lpstr>
      </vt:variant>
      <vt:variant>
        <vt:i4>1</vt:i4>
      </vt:variant>
    </vt:vector>
  </HeadingPairs>
  <TitlesOfParts>
    <vt:vector size="1" baseType="lpstr">
      <vt:lpstr>18-0047-AU-COI Memo Opposing Joint Application for Rehearing 2-20-18.DOCX</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18-0047-AU-COI Memo Opposing Joint Application for Rehearing 2-20-18.DOCX</dc:title>
  <dc:subject/>
  <dc:creator/>
  <cp:keywords/>
  <dc:description/>
  <cp:lastModifiedBy>McDaniel, Jessica</cp:lastModifiedBy>
  <cp:revision>7</cp:revision>
  <cp:lastPrinted>2018-02-20T19:36:00Z</cp:lastPrinted>
  <dcterms:created xsi:type="dcterms:W3CDTF">2018-02-20T19:38:00Z</dcterms:created>
  <dcterms:modified xsi:type="dcterms:W3CDTF">2018-02-20T19:39:00Z</dcterms:modified>
</cp:coreProperties>
</file>