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4D1EF4" w:rsidRPr="00255F89" w:rsidP="004D1EF4" w14:paraId="3D5F9073" w14:textId="12CFE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kern w:val="0"/>
          <w14:ligatures w14:val="none"/>
        </w:rPr>
      </w:pPr>
      <w:r w:rsidRPr="00255F89">
        <w:rPr>
          <w:rFonts w:ascii="Times New Roman" w:eastAsia="Courier New" w:hAnsi="Times New Roman" w:cs="Times New Roman"/>
          <w:b/>
          <w:bCs/>
          <w:kern w:val="0"/>
          <w14:ligatures w14:val="none"/>
        </w:rPr>
        <w:t>BEFORE</w:t>
      </w:r>
    </w:p>
    <w:p w:rsidR="004D1EF4" w:rsidRPr="00255F89" w:rsidP="004D1EF4" w14:paraId="1635539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kern w:val="0"/>
          <w14:ligatures w14:val="none"/>
        </w:rPr>
      </w:pPr>
      <w:r w:rsidRPr="00255F89">
        <w:rPr>
          <w:rFonts w:ascii="Times New Roman" w:eastAsia="Courier New" w:hAnsi="Times New Roman" w:cs="Times New Roman"/>
          <w:b/>
          <w:bCs/>
          <w:kern w:val="0"/>
          <w14:ligatures w14:val="none"/>
        </w:rPr>
        <w:t>THE PUBLIC UTILITIES COMMISSION OF OHIO</w:t>
      </w:r>
    </w:p>
    <w:p w:rsidR="004D1EF4" w:rsidRPr="00255F89" w:rsidP="004D1EF4" w14:paraId="16D36F3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kern w:val="0"/>
          <w14:ligatures w14:val="none"/>
        </w:rPr>
      </w:pPr>
    </w:p>
    <w:tbl>
      <w:tblPr>
        <w:tblW w:w="9092" w:type="dxa"/>
        <w:tblInd w:w="0" w:type="dxa"/>
        <w:tblCellMar>
          <w:top w:w="0" w:type="dxa"/>
          <w:left w:w="108" w:type="dxa"/>
          <w:bottom w:w="0" w:type="dxa"/>
          <w:right w:w="108" w:type="dxa"/>
        </w:tblCellMar>
        <w:tblLook w:val="01E0"/>
      </w:tblPr>
      <w:tblGrid>
        <w:gridCol w:w="4230"/>
        <w:gridCol w:w="630"/>
        <w:gridCol w:w="4232"/>
      </w:tblGrid>
      <w:tr w14:paraId="5D0B749A" w14:textId="77777777" w:rsidTr="00C61980">
        <w:tblPrEx>
          <w:tblW w:w="9092" w:type="dxa"/>
          <w:tblInd w:w="0" w:type="dxa"/>
          <w:tblCellMar>
            <w:top w:w="0" w:type="dxa"/>
            <w:left w:w="108" w:type="dxa"/>
            <w:bottom w:w="0" w:type="dxa"/>
            <w:right w:w="108" w:type="dxa"/>
          </w:tblCellMar>
          <w:tblLook w:val="01E0"/>
        </w:tblPrEx>
        <w:trPr>
          <w:trHeight w:val="807"/>
        </w:trPr>
        <w:tc>
          <w:tcPr>
            <w:tcW w:w="4230" w:type="dxa"/>
            <w:shd w:val="clear" w:color="auto" w:fill="auto"/>
          </w:tcPr>
          <w:p w:rsidR="00176EA8" w:rsidRPr="00255F89" w:rsidP="00C61980" w14:paraId="7F2EF987"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255F89">
              <w:rPr>
                <w:rFonts w:ascii="Times New Roman" w:eastAsia="Courier New" w:hAnsi="Times New Roman" w:cs="Times New Roman"/>
                <w:kern w:val="0"/>
                <w:sz w:val="24"/>
                <w:szCs w:val="24"/>
                <w:lang w:val="en-US" w:eastAsia="en-US" w:bidi="ar-SA"/>
                <w14:ligatures w14:val="none"/>
              </w:rPr>
              <w:t>In the Matter of the Application of Ohio Power Company for Authority to Abandon Electric Service Lines, Pursuant to Ohio Revised Code</w:t>
            </w:r>
          </w:p>
          <w:p w:rsidR="00176EA8" w:rsidRPr="00255F89" w:rsidP="00C61980" w14:paraId="4827B39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255F89">
              <w:rPr>
                <w:rFonts w:ascii="Times New Roman" w:eastAsia="Courier New" w:hAnsi="Times New Roman" w:cs="Times New Roman"/>
                <w:kern w:val="0"/>
                <w:sz w:val="24"/>
                <w:szCs w:val="24"/>
                <w:lang w:val="en-US" w:eastAsia="en-US" w:bidi="ar-SA"/>
                <w14:ligatures w14:val="none"/>
              </w:rPr>
              <w:t>Sections 4905.20 and 4905.21.</w:t>
            </w:r>
          </w:p>
        </w:tc>
        <w:tc>
          <w:tcPr>
            <w:tcW w:w="630" w:type="dxa"/>
            <w:shd w:val="clear" w:color="auto" w:fill="auto"/>
          </w:tcPr>
          <w:p w:rsidR="00176EA8" w:rsidRPr="00255F89" w:rsidP="00C61980" w14:paraId="36228CB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255F89">
              <w:rPr>
                <w:rFonts w:ascii="Times New Roman" w:eastAsia="Courier New" w:hAnsi="Times New Roman" w:cs="Times New Roman"/>
                <w:kern w:val="0"/>
                <w:sz w:val="24"/>
                <w:szCs w:val="24"/>
                <w:lang w:val="en-US" w:eastAsia="en-US" w:bidi="ar-SA"/>
                <w14:ligatures w14:val="none"/>
              </w:rPr>
              <w:t>)</w:t>
            </w:r>
          </w:p>
          <w:p w:rsidR="00176EA8" w:rsidRPr="00255F89" w:rsidP="00C61980" w14:paraId="667E0E6B"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255F89">
              <w:rPr>
                <w:rFonts w:ascii="Times New Roman" w:eastAsia="Courier New" w:hAnsi="Times New Roman" w:cs="Times New Roman"/>
                <w:kern w:val="0"/>
                <w:sz w:val="24"/>
                <w:szCs w:val="24"/>
                <w:lang w:val="en-US" w:eastAsia="en-US" w:bidi="ar-SA"/>
                <w14:ligatures w14:val="none"/>
              </w:rPr>
              <w:t>)</w:t>
            </w:r>
          </w:p>
          <w:p w:rsidR="00176EA8" w:rsidRPr="00255F89" w:rsidP="00C61980" w14:paraId="0CFBFDF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255F89">
              <w:rPr>
                <w:rFonts w:ascii="Times New Roman" w:eastAsia="Courier New" w:hAnsi="Times New Roman" w:cs="Times New Roman"/>
                <w:kern w:val="0"/>
                <w:sz w:val="24"/>
                <w:szCs w:val="24"/>
                <w:lang w:val="en-US" w:eastAsia="en-US" w:bidi="ar-SA"/>
                <w14:ligatures w14:val="none"/>
              </w:rPr>
              <w:t>)</w:t>
            </w:r>
          </w:p>
          <w:p w:rsidR="00176EA8" w:rsidRPr="00255F89" w:rsidP="00C61980" w14:paraId="3A4A66B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255F89">
              <w:rPr>
                <w:rFonts w:ascii="Times New Roman" w:eastAsia="Courier New" w:hAnsi="Times New Roman" w:cs="Times New Roman"/>
                <w:kern w:val="0"/>
                <w:sz w:val="24"/>
                <w:szCs w:val="24"/>
                <w:lang w:val="en-US" w:eastAsia="en-US" w:bidi="ar-SA"/>
                <w14:ligatures w14:val="none"/>
              </w:rPr>
              <w:t>)</w:t>
            </w:r>
          </w:p>
          <w:p w:rsidR="00176EA8" w:rsidRPr="00255F89" w:rsidP="00C61980" w14:paraId="5354261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255F89">
              <w:rPr>
                <w:rFonts w:ascii="Times New Roman" w:eastAsia="Courier New" w:hAnsi="Times New Roman" w:cs="Times New Roman"/>
                <w:kern w:val="0"/>
                <w:sz w:val="24"/>
                <w:szCs w:val="24"/>
                <w:lang w:val="en-US" w:eastAsia="en-US" w:bidi="ar-SA"/>
                <w14:ligatures w14:val="none"/>
              </w:rPr>
              <w:t>)</w:t>
            </w:r>
          </w:p>
        </w:tc>
        <w:tc>
          <w:tcPr>
            <w:tcW w:w="4232" w:type="dxa"/>
            <w:shd w:val="clear" w:color="auto" w:fill="auto"/>
          </w:tcPr>
          <w:p w:rsidR="00176EA8" w:rsidRPr="00255F89" w:rsidP="00C61980" w14:paraId="5E473559"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176EA8" w:rsidRPr="00255F89" w:rsidP="00C61980" w14:paraId="6CD6791C"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176EA8" w:rsidRPr="00255F89" w:rsidP="00C61980" w14:paraId="7AF128F2"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255F89">
              <w:rPr>
                <w:rFonts w:ascii="Times New Roman" w:eastAsia="Courier New" w:hAnsi="Times New Roman" w:cs="Times New Roman"/>
                <w:kern w:val="0"/>
                <w:sz w:val="24"/>
                <w:szCs w:val="24"/>
                <w:lang w:val="en-US" w:eastAsia="en-US" w:bidi="ar-SA"/>
                <w14:ligatures w14:val="none"/>
              </w:rPr>
              <w:t>Case No. 22-693-EL-ABN</w:t>
            </w:r>
          </w:p>
          <w:p w:rsidR="00176EA8" w:rsidRPr="00255F89" w:rsidP="00C61980" w14:paraId="10BCBCD6"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176EA8" w:rsidRPr="00255F89" w:rsidP="00C61980" w14:paraId="33A50707"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tc>
      </w:tr>
    </w:tbl>
    <w:p w:rsidR="004D1EF4" w:rsidRPr="00255F89" w:rsidP="004D1EF4" w14:paraId="5D3C295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14:ligatures w14:val="none"/>
        </w:rPr>
      </w:pPr>
    </w:p>
    <w:p w:rsidR="004D1EF4" w:rsidRPr="00255F89" w:rsidP="004D1EF4" w14:paraId="680BDDFA" w14:textId="77777777">
      <w:pPr>
        <w:pBdr>
          <w:top w:val="single" w:sz="12" w:space="1" w:color="auto"/>
        </w:pBdr>
        <w:tabs>
          <w:tab w:val="left" w:pos="-720"/>
        </w:tabs>
        <w:suppressAutoHyphens/>
        <w:spacing w:after="0" w:line="240" w:lineRule="auto"/>
        <w:jc w:val="center"/>
        <w:rPr>
          <w:rFonts w:ascii="Times New Roman" w:eastAsia="Times New Roman" w:hAnsi="Times New Roman" w:cs="Times New Roman"/>
          <w:b/>
          <w:kern w:val="0"/>
          <w14:ligatures w14:val="none"/>
        </w:rPr>
      </w:pPr>
    </w:p>
    <w:p w:rsidR="004D1EF4" w:rsidRPr="00255F89" w:rsidP="004D1EF4" w14:paraId="2A4FB011" w14:textId="2328BC1D">
      <w:pPr>
        <w:pBdr>
          <w:bottom w:val="single" w:sz="12" w:space="1" w:color="auto"/>
        </w:pBdr>
        <w:tabs>
          <w:tab w:val="left" w:pos="-720"/>
        </w:tabs>
        <w:suppressAutoHyphens/>
        <w:spacing w:after="0" w:line="240" w:lineRule="auto"/>
        <w:jc w:val="center"/>
        <w:rPr>
          <w:rFonts w:ascii="Times New Roman" w:eastAsia="Times New Roman" w:hAnsi="Times New Roman" w:cs="Times New Roman"/>
          <w:b/>
          <w:kern w:val="0"/>
          <w14:ligatures w14:val="none"/>
        </w:rPr>
      </w:pPr>
      <w:r w:rsidRPr="00255F89">
        <w:rPr>
          <w:rFonts w:ascii="Times New Roman" w:eastAsia="Times New Roman" w:hAnsi="Times New Roman" w:cs="Times New Roman"/>
          <w:b/>
          <w:kern w:val="0"/>
          <w14:ligatures w14:val="none"/>
        </w:rPr>
        <w:t>CONSUMER PROTECTION REPLY COMMENTS</w:t>
      </w:r>
    </w:p>
    <w:p w:rsidR="004D1EF4" w:rsidRPr="00255F89" w:rsidP="004D1EF4" w14:paraId="4E223366" w14:textId="77777777">
      <w:pPr>
        <w:pBdr>
          <w:bottom w:val="single" w:sz="12" w:space="1" w:color="auto"/>
        </w:pBdr>
        <w:tabs>
          <w:tab w:val="left" w:pos="-720"/>
        </w:tabs>
        <w:suppressAutoHyphens/>
        <w:spacing w:after="0" w:line="240" w:lineRule="auto"/>
        <w:jc w:val="center"/>
        <w:rPr>
          <w:rFonts w:ascii="Times New Roman" w:eastAsia="Times New Roman" w:hAnsi="Times New Roman" w:cs="Times New Roman"/>
          <w:b/>
          <w:kern w:val="0"/>
          <w14:ligatures w14:val="none"/>
        </w:rPr>
      </w:pPr>
      <w:r w:rsidRPr="00255F89">
        <w:rPr>
          <w:rFonts w:ascii="Times New Roman" w:eastAsia="Times New Roman" w:hAnsi="Times New Roman" w:cs="Times New Roman"/>
          <w:b/>
          <w:kern w:val="0"/>
          <w14:ligatures w14:val="none"/>
        </w:rPr>
        <w:t>BY</w:t>
      </w:r>
    </w:p>
    <w:p w:rsidR="004D1EF4" w:rsidRPr="00255F89" w:rsidP="004D1EF4" w14:paraId="111AA4E0" w14:textId="77777777">
      <w:pPr>
        <w:pBdr>
          <w:bottom w:val="single" w:sz="12" w:space="1" w:color="auto"/>
        </w:pBdr>
        <w:tabs>
          <w:tab w:val="left" w:pos="-720"/>
        </w:tabs>
        <w:suppressAutoHyphens/>
        <w:spacing w:after="0" w:line="240" w:lineRule="auto"/>
        <w:jc w:val="center"/>
        <w:rPr>
          <w:rFonts w:ascii="Times New Roman" w:eastAsia="Times New Roman" w:hAnsi="Times New Roman" w:cs="Times New Roman"/>
          <w:b/>
          <w:kern w:val="0"/>
          <w14:ligatures w14:val="none"/>
        </w:rPr>
      </w:pPr>
      <w:r w:rsidRPr="00255F89">
        <w:rPr>
          <w:rFonts w:ascii="Times New Roman" w:eastAsia="Times New Roman" w:hAnsi="Times New Roman" w:cs="Times New Roman"/>
          <w:b/>
          <w:kern w:val="0"/>
          <w14:ligatures w14:val="none"/>
        </w:rPr>
        <w:t>OFFICE OF THE OHIO CONSUMERS’ COUNSEL</w:t>
      </w:r>
    </w:p>
    <w:p w:rsidR="004D1EF4" w:rsidRPr="00255F89" w:rsidP="004D1EF4" w14:paraId="4633F087" w14:textId="77777777">
      <w:pPr>
        <w:pBdr>
          <w:bottom w:val="single" w:sz="12" w:space="1" w:color="auto"/>
        </w:pBdr>
        <w:tabs>
          <w:tab w:val="left" w:pos="-720"/>
        </w:tabs>
        <w:suppressAutoHyphens/>
        <w:spacing w:after="0" w:line="240" w:lineRule="auto"/>
        <w:jc w:val="center"/>
        <w:rPr>
          <w:rFonts w:ascii="Times New Roman" w:eastAsia="Times New Roman" w:hAnsi="Times New Roman" w:cs="Times New Roman"/>
          <w:b/>
          <w:kern w:val="0"/>
          <w14:ligatures w14:val="none"/>
        </w:rPr>
      </w:pPr>
    </w:p>
    <w:p w:rsidR="004D1EF4" w:rsidRPr="00255F89" w:rsidP="004D1EF4" w14:paraId="519F4C00" w14:textId="77777777">
      <w:pPr>
        <w:tabs>
          <w:tab w:val="left" w:pos="-720"/>
        </w:tabs>
        <w:suppressAutoHyphens/>
        <w:spacing w:after="0" w:line="240" w:lineRule="auto"/>
        <w:jc w:val="both"/>
        <w:rPr>
          <w:rFonts w:ascii="Times New Roman" w:eastAsia="Times New Roman" w:hAnsi="Times New Roman" w:cs="Times New Roman"/>
          <w:bCs/>
          <w:kern w:val="0"/>
          <w14:ligatures w14:val="none"/>
        </w:rPr>
      </w:pPr>
    </w:p>
    <w:p w:rsidR="00D2649F" w:rsidRPr="00255F89" w:rsidP="00830DAA" w14:paraId="565EE8A7" w14:textId="6602BCC3">
      <w:pPr>
        <w:pStyle w:val="Heading1"/>
      </w:pPr>
      <w:r w:rsidRPr="00255F89">
        <w:t>I.</w:t>
      </w:r>
      <w:r w:rsidRPr="00255F89" w:rsidR="00830DAA">
        <w:tab/>
      </w:r>
      <w:r w:rsidRPr="00255F89">
        <w:t>INTRODUCTION</w:t>
      </w:r>
    </w:p>
    <w:p w:rsidR="00050C14" w:rsidRPr="00255F89" w:rsidP="005B54C8" w14:paraId="65E19ACC" w14:textId="5F17EBA1">
      <w:pPr>
        <w:spacing w:after="0" w:line="480" w:lineRule="auto"/>
        <w:rPr>
          <w:rFonts w:ascii="Times New Roman" w:hAnsi="Times New Roman" w:cs="Times New Roman"/>
          <w:kern w:val="0"/>
        </w:rPr>
      </w:pPr>
      <w:r w:rsidRPr="00255F89">
        <w:rPr>
          <w:rFonts w:ascii="Times New Roman" w:hAnsi="Times New Roman" w:cs="Times New Roman"/>
          <w:kern w:val="0"/>
        </w:rPr>
        <w:tab/>
      </w:r>
      <w:r w:rsidRPr="00255F89" w:rsidR="00AB0F5A">
        <w:rPr>
          <w:rFonts w:ascii="Times New Roman" w:hAnsi="Times New Roman" w:cs="Times New Roman"/>
          <w:kern w:val="0"/>
        </w:rPr>
        <w:t xml:space="preserve">This case concerns Nationwide Energy Partner’s (“NEP”) submetering service to residential utility consumers in the Northtowne Apartments. </w:t>
      </w:r>
      <w:r w:rsidRPr="00255F89">
        <w:rPr>
          <w:rFonts w:ascii="Times New Roman" w:hAnsi="Times New Roman" w:cs="Times New Roman"/>
          <w:kern w:val="0"/>
        </w:rPr>
        <w:t>Ohio Power Company (“AEP Ohio”) seeks in this action to abandon service lines to</w:t>
      </w:r>
      <w:r w:rsidRPr="00255F89" w:rsidR="00AB0F5A">
        <w:rPr>
          <w:rFonts w:ascii="Times New Roman" w:hAnsi="Times New Roman" w:cs="Times New Roman"/>
          <w:kern w:val="0"/>
        </w:rPr>
        <w:t xml:space="preserve"> 286 Northtowne residents.</w:t>
      </w:r>
      <w:r w:rsidRPr="00255F89" w:rsidR="004D1EF4">
        <w:rPr>
          <w:rFonts w:ascii="Times New Roman" w:hAnsi="Times New Roman" w:cs="Times New Roman"/>
          <w:kern w:val="0"/>
        </w:rPr>
        <w:t xml:space="preserve"> </w:t>
      </w:r>
      <w:r w:rsidRPr="00255F89" w:rsidR="00561AE8">
        <w:rPr>
          <w:rFonts w:ascii="Times New Roman" w:hAnsi="Times New Roman" w:cs="Times New Roman"/>
          <w:kern w:val="0"/>
        </w:rPr>
        <w:t xml:space="preserve">The </w:t>
      </w:r>
      <w:r w:rsidRPr="00255F89" w:rsidR="00341839">
        <w:rPr>
          <w:rFonts w:ascii="Times New Roman" w:hAnsi="Times New Roman" w:cs="Times New Roman"/>
          <w:kern w:val="0"/>
        </w:rPr>
        <w:t xml:space="preserve">Office of the </w:t>
      </w:r>
      <w:r w:rsidRPr="00255F89" w:rsidR="00561AE8">
        <w:rPr>
          <w:rFonts w:ascii="Times New Roman" w:hAnsi="Times New Roman" w:cs="Times New Roman"/>
          <w:kern w:val="0"/>
        </w:rPr>
        <w:t xml:space="preserve">Ohio Consumers’ Counsel (“OCC”) </w:t>
      </w:r>
      <w:r w:rsidRPr="00255F89" w:rsidR="00AB0F5A">
        <w:rPr>
          <w:rFonts w:ascii="Times New Roman" w:hAnsi="Times New Roman" w:cs="Times New Roman"/>
          <w:kern w:val="0"/>
        </w:rPr>
        <w:t xml:space="preserve">opposes NEP’s submetering to residential utility consumers because it </w:t>
      </w:r>
      <w:r w:rsidRPr="00255F89" w:rsidR="00561AE8">
        <w:rPr>
          <w:rFonts w:ascii="Times New Roman" w:hAnsi="Times New Roman" w:cs="Times New Roman"/>
          <w:kern w:val="0"/>
        </w:rPr>
        <w:t>would cause residential consumers</w:t>
      </w:r>
      <w:r w:rsidRPr="00255F89" w:rsidR="00AB0F5A">
        <w:rPr>
          <w:rFonts w:ascii="Times New Roman" w:hAnsi="Times New Roman" w:cs="Times New Roman"/>
          <w:kern w:val="0"/>
        </w:rPr>
        <w:t xml:space="preserve"> to lose the </w:t>
      </w:r>
      <w:r w:rsidRPr="00255F89" w:rsidR="004D1EF4">
        <w:rPr>
          <w:rFonts w:ascii="Times New Roman" w:hAnsi="Times New Roman" w:cs="Times New Roman"/>
          <w:kern w:val="0"/>
        </w:rPr>
        <w:t xml:space="preserve">rights and protections </w:t>
      </w:r>
      <w:r w:rsidRPr="00255F89" w:rsidR="0081270E">
        <w:rPr>
          <w:rFonts w:ascii="Times New Roman" w:hAnsi="Times New Roman" w:cs="Times New Roman"/>
          <w:kern w:val="0"/>
        </w:rPr>
        <w:t xml:space="preserve">they receive from being served by a PUCO-regulated utility like AEP Ohio. </w:t>
      </w:r>
      <w:r w:rsidRPr="00255F89" w:rsidR="00DA7AF7">
        <w:rPr>
          <w:rFonts w:ascii="Times New Roman" w:hAnsi="Times New Roman" w:cs="Times New Roman"/>
          <w:kern w:val="0"/>
        </w:rPr>
        <w:t>AEP Ohio</w:t>
      </w:r>
      <w:r w:rsidRPr="00255F89" w:rsidR="00595E31">
        <w:rPr>
          <w:rFonts w:ascii="Times New Roman" w:hAnsi="Times New Roman" w:cs="Times New Roman"/>
          <w:kern w:val="0"/>
        </w:rPr>
        <w:t>’s request to</w:t>
      </w:r>
      <w:r w:rsidRPr="00255F89" w:rsidR="00DA7AF7">
        <w:rPr>
          <w:rFonts w:ascii="Times New Roman" w:hAnsi="Times New Roman" w:cs="Times New Roman"/>
          <w:kern w:val="0"/>
        </w:rPr>
        <w:t xml:space="preserve"> abandon service to the 286 service lines in the Northtowne Apartments</w:t>
      </w:r>
      <w:r w:rsidRPr="00255F89" w:rsidR="00595E31">
        <w:rPr>
          <w:rFonts w:ascii="Times New Roman" w:hAnsi="Times New Roman" w:cs="Times New Roman"/>
          <w:kern w:val="0"/>
        </w:rPr>
        <w:t xml:space="preserve"> would harm residential consumers</w:t>
      </w:r>
      <w:r w:rsidRPr="00255F89" w:rsidR="00BD5BFF">
        <w:rPr>
          <w:rFonts w:ascii="Times New Roman" w:hAnsi="Times New Roman" w:cs="Times New Roman"/>
          <w:kern w:val="0"/>
        </w:rPr>
        <w:t xml:space="preserve"> and</w:t>
      </w:r>
      <w:r w:rsidRPr="00255F89" w:rsidR="00595E31">
        <w:rPr>
          <w:rFonts w:ascii="Times New Roman" w:hAnsi="Times New Roman" w:cs="Times New Roman"/>
          <w:kern w:val="0"/>
        </w:rPr>
        <w:t xml:space="preserve"> would be </w:t>
      </w:r>
      <w:r w:rsidRPr="00255F89" w:rsidR="00BD5BFF">
        <w:rPr>
          <w:rFonts w:ascii="Times New Roman" w:hAnsi="Times New Roman" w:cs="Times New Roman"/>
          <w:kern w:val="0"/>
        </w:rPr>
        <w:t xml:space="preserve">contrary to </w:t>
      </w:r>
      <w:r w:rsidRPr="00255F89" w:rsidR="00595E31">
        <w:rPr>
          <w:rFonts w:ascii="Times New Roman" w:hAnsi="Times New Roman" w:cs="Times New Roman"/>
          <w:kern w:val="0"/>
        </w:rPr>
        <w:t>the “welfare of the public” under the Miller Act (R.C. 4905.20, 4905.21).</w:t>
      </w:r>
    </w:p>
    <w:p w:rsidR="00A27D3C" w:rsidRPr="00255F89" w:rsidP="00BD5BFF" w14:paraId="5EBDCB14" w14:textId="0FE22BE0">
      <w:pPr>
        <w:spacing w:after="0" w:line="480" w:lineRule="auto"/>
        <w:ind w:firstLine="720"/>
        <w:rPr>
          <w:rFonts w:ascii="Times New Roman" w:hAnsi="Times New Roman" w:cs="Times New Roman"/>
          <w:kern w:val="0"/>
        </w:rPr>
      </w:pPr>
      <w:r w:rsidRPr="00255F89">
        <w:rPr>
          <w:rFonts w:ascii="Times New Roman" w:hAnsi="Times New Roman" w:cs="Times New Roman"/>
          <w:kern w:val="0"/>
        </w:rPr>
        <w:t>T</w:t>
      </w:r>
      <w:r w:rsidRPr="00255F89" w:rsidR="00050C14">
        <w:rPr>
          <w:rFonts w:ascii="Times New Roman" w:hAnsi="Times New Roman" w:cs="Times New Roman"/>
          <w:kern w:val="0"/>
        </w:rPr>
        <w:t>he PUCO shoul</w:t>
      </w:r>
      <w:r w:rsidRPr="00255F89">
        <w:rPr>
          <w:rFonts w:ascii="Times New Roman" w:hAnsi="Times New Roman" w:cs="Times New Roman"/>
          <w:kern w:val="0"/>
        </w:rPr>
        <w:t>d, however, hold</w:t>
      </w:r>
      <w:r w:rsidRPr="00255F89" w:rsidR="00050C14">
        <w:rPr>
          <w:rFonts w:ascii="Times New Roman" w:hAnsi="Times New Roman" w:cs="Times New Roman"/>
          <w:kern w:val="0"/>
        </w:rPr>
        <w:t xml:space="preserve"> this proceeding in abeyance</w:t>
      </w:r>
      <w:r w:rsidRPr="00255F89" w:rsidR="001C16A9">
        <w:rPr>
          <w:rFonts w:ascii="Times New Roman" w:hAnsi="Times New Roman" w:cs="Times New Roman"/>
          <w:kern w:val="0"/>
        </w:rPr>
        <w:t xml:space="preserve"> until</w:t>
      </w:r>
      <w:r w:rsidRPr="00255F89" w:rsidR="00050C14">
        <w:rPr>
          <w:rFonts w:ascii="Times New Roman" w:hAnsi="Times New Roman" w:cs="Times New Roman"/>
          <w:kern w:val="0"/>
        </w:rPr>
        <w:t xml:space="preserve"> any appeals</w:t>
      </w:r>
      <w:r w:rsidRPr="00255F89" w:rsidR="001C16A9">
        <w:rPr>
          <w:rFonts w:ascii="Times New Roman" w:hAnsi="Times New Roman" w:cs="Times New Roman"/>
          <w:kern w:val="0"/>
        </w:rPr>
        <w:t xml:space="preserve"> of the PUCO’s Order</w:t>
      </w:r>
      <w:r w:rsidRPr="00255F89" w:rsidR="00050C14">
        <w:rPr>
          <w:rFonts w:ascii="Times New Roman" w:hAnsi="Times New Roman" w:cs="Times New Roman"/>
          <w:kern w:val="0"/>
        </w:rPr>
        <w:t xml:space="preserve"> </w:t>
      </w:r>
      <w:r w:rsidRPr="00255F89" w:rsidR="001C16A9">
        <w:rPr>
          <w:rFonts w:ascii="Times New Roman" w:hAnsi="Times New Roman" w:cs="Times New Roman"/>
          <w:kern w:val="0"/>
        </w:rPr>
        <w:t>in</w:t>
      </w:r>
      <w:r w:rsidRPr="00255F89" w:rsidR="00050C14">
        <w:rPr>
          <w:rFonts w:ascii="Times New Roman" w:hAnsi="Times New Roman" w:cs="Times New Roman"/>
          <w:kern w:val="0"/>
        </w:rPr>
        <w:t xml:space="preserve"> </w:t>
      </w:r>
      <w:r w:rsidRPr="00255F89" w:rsidR="0002069C">
        <w:rPr>
          <w:rFonts w:ascii="Times New Roman" w:hAnsi="Times New Roman" w:cs="Times New Roman"/>
          <w:kern w:val="0"/>
        </w:rPr>
        <w:t>Case No. 21-990-EL-CSS</w:t>
      </w:r>
      <w:r w:rsidRPr="00255F89" w:rsidR="001C16A9">
        <w:rPr>
          <w:rFonts w:ascii="Times New Roman" w:hAnsi="Times New Roman" w:cs="Times New Roman"/>
          <w:kern w:val="0"/>
        </w:rPr>
        <w:t xml:space="preserve"> have been resolved. In that case,</w:t>
      </w:r>
      <w:r w:rsidRPr="00255F89" w:rsidR="00050C14">
        <w:rPr>
          <w:rFonts w:ascii="Times New Roman" w:hAnsi="Times New Roman" w:cs="Times New Roman"/>
          <w:kern w:val="0"/>
        </w:rPr>
        <w:t xml:space="preserve"> the PUCO ruled that it has no jurisdiction to regulate NEP </w:t>
      </w:r>
      <w:r w:rsidRPr="00255F89" w:rsidR="001C16A9">
        <w:rPr>
          <w:rFonts w:ascii="Times New Roman" w:hAnsi="Times New Roman" w:cs="Times New Roman"/>
          <w:kern w:val="0"/>
        </w:rPr>
        <w:t xml:space="preserve">or </w:t>
      </w:r>
      <w:r w:rsidRPr="00255F89" w:rsidR="00050C14">
        <w:rPr>
          <w:rFonts w:ascii="Times New Roman" w:hAnsi="Times New Roman" w:cs="Times New Roman"/>
          <w:kern w:val="0"/>
        </w:rPr>
        <w:t xml:space="preserve">protect consumers from NEP’s substandard submetering service. </w:t>
      </w:r>
      <w:r w:rsidRPr="00255F89" w:rsidR="001C16A9">
        <w:rPr>
          <w:rFonts w:ascii="Times New Roman" w:hAnsi="Times New Roman" w:cs="Times New Roman"/>
          <w:kern w:val="0"/>
        </w:rPr>
        <w:t>AEP Ohio sought rehearing of the PUCO’s order in Case No. 21-990-EL-CSS (as did OCC), and t</w:t>
      </w:r>
      <w:r w:rsidRPr="00255F89" w:rsidR="00050C14">
        <w:rPr>
          <w:rFonts w:ascii="Times New Roman" w:hAnsi="Times New Roman" w:cs="Times New Roman"/>
          <w:kern w:val="0"/>
        </w:rPr>
        <w:t>he PUCO recent</w:t>
      </w:r>
      <w:r w:rsidRPr="00255F89" w:rsidR="00982E2A">
        <w:rPr>
          <w:rFonts w:ascii="Times New Roman" w:hAnsi="Times New Roman" w:cs="Times New Roman"/>
          <w:kern w:val="0"/>
        </w:rPr>
        <w:t>ly</w:t>
      </w:r>
      <w:r w:rsidRPr="00255F89" w:rsidR="00050C14">
        <w:rPr>
          <w:rFonts w:ascii="Times New Roman" w:hAnsi="Times New Roman" w:cs="Times New Roman"/>
          <w:kern w:val="0"/>
        </w:rPr>
        <w:t xml:space="preserve"> issued an order denying </w:t>
      </w:r>
      <w:r w:rsidRPr="00255F89" w:rsidR="00050C14">
        <w:rPr>
          <w:rFonts w:ascii="Times New Roman" w:hAnsi="Times New Roman" w:cs="Times New Roman"/>
          <w:kern w:val="0"/>
        </w:rPr>
        <w:t xml:space="preserve">AEP Ohio’s </w:t>
      </w:r>
      <w:r w:rsidRPr="00255F89" w:rsidR="00CB1110">
        <w:rPr>
          <w:rFonts w:ascii="Times New Roman" w:hAnsi="Times New Roman" w:cs="Times New Roman"/>
          <w:kern w:val="0"/>
        </w:rPr>
        <w:t>application for rehearing.</w:t>
      </w:r>
      <w:r>
        <w:rPr>
          <w:rStyle w:val="FootnoteReference"/>
          <w:rFonts w:ascii="Times New Roman" w:hAnsi="Times New Roman" w:cs="Times New Roman"/>
          <w:kern w:val="0"/>
        </w:rPr>
        <w:footnoteReference w:id="2"/>
      </w:r>
      <w:r w:rsidRPr="00255F89" w:rsidR="00982E2A">
        <w:rPr>
          <w:rFonts w:ascii="Times New Roman" w:hAnsi="Times New Roman" w:cs="Times New Roman"/>
          <w:kern w:val="0"/>
        </w:rPr>
        <w:t xml:space="preserve"> An appeal of this decision by AEP Ohio to the Supreme Court of Ohio w</w:t>
      </w:r>
      <w:r w:rsidRPr="00255F89" w:rsidR="001C16A9">
        <w:rPr>
          <w:rFonts w:ascii="Times New Roman" w:hAnsi="Times New Roman" w:cs="Times New Roman"/>
          <w:kern w:val="0"/>
        </w:rPr>
        <w:t>ill</w:t>
      </w:r>
      <w:r w:rsidRPr="00255F89" w:rsidR="0002069C">
        <w:rPr>
          <w:rFonts w:ascii="Times New Roman" w:hAnsi="Times New Roman" w:cs="Times New Roman"/>
          <w:kern w:val="0"/>
        </w:rPr>
        <w:t xml:space="preserve"> resolve the</w:t>
      </w:r>
      <w:r w:rsidRPr="00255F89" w:rsidR="001C16A9">
        <w:rPr>
          <w:rFonts w:ascii="Times New Roman" w:hAnsi="Times New Roman" w:cs="Times New Roman"/>
          <w:kern w:val="0"/>
        </w:rPr>
        <w:t xml:space="preserve"> abandonment issues in this case</w:t>
      </w:r>
      <w:r w:rsidRPr="00255F89" w:rsidR="0002069C">
        <w:rPr>
          <w:rFonts w:ascii="Times New Roman" w:hAnsi="Times New Roman" w:cs="Times New Roman"/>
          <w:kern w:val="0"/>
        </w:rPr>
        <w:t>.</w:t>
      </w:r>
      <w:r w:rsidRPr="00255F89" w:rsidR="00982E2A">
        <w:rPr>
          <w:rFonts w:ascii="Times New Roman" w:hAnsi="Times New Roman" w:cs="Times New Roman"/>
          <w:kern w:val="0"/>
        </w:rPr>
        <w:t xml:space="preserve"> </w:t>
      </w:r>
    </w:p>
    <w:p w:rsidR="00561AE8" w:rsidRPr="00255F89" w:rsidP="00BD5BFF" w14:paraId="1A33AF9C" w14:textId="26D040A6">
      <w:pPr>
        <w:spacing w:after="0" w:line="480" w:lineRule="auto"/>
        <w:ind w:firstLine="720"/>
        <w:rPr>
          <w:rFonts w:ascii="Times New Roman" w:hAnsi="Times New Roman" w:cs="Times New Roman"/>
          <w:kern w:val="0"/>
        </w:rPr>
      </w:pPr>
      <w:r w:rsidRPr="00255F89">
        <w:rPr>
          <w:rFonts w:ascii="Times New Roman" w:hAnsi="Times New Roman" w:cs="Times New Roman"/>
          <w:kern w:val="0"/>
        </w:rPr>
        <w:t xml:space="preserve">In addition to holding this matter in abeyance, the PUCO should preclude AEP from moving forward with converting or abandoning service to the Northtowne residents in the meantime. </w:t>
      </w:r>
      <w:r w:rsidRPr="00255F89" w:rsidR="007E3004">
        <w:rPr>
          <w:rFonts w:ascii="Times New Roman" w:hAnsi="Times New Roman" w:cs="Times New Roman"/>
          <w:kern w:val="0"/>
          <w14:ligatures w14:val="none"/>
        </w:rPr>
        <w:t>Work by AEP Ohio to convert or abandon service will result in costs passed on to consumers</w:t>
      </w:r>
      <w:r w:rsidRPr="00255F89">
        <w:rPr>
          <w:rFonts w:ascii="Times New Roman" w:hAnsi="Times New Roman" w:cs="Times New Roman"/>
          <w:kern w:val="0"/>
        </w:rPr>
        <w:t xml:space="preserve">. </w:t>
      </w:r>
      <w:r w:rsidRPr="00255F89" w:rsidR="00982E2A">
        <w:rPr>
          <w:rFonts w:ascii="Times New Roman" w:hAnsi="Times New Roman" w:cs="Times New Roman"/>
          <w:kern w:val="0"/>
        </w:rPr>
        <w:t>Consumers should not</w:t>
      </w:r>
      <w:r w:rsidRPr="00255F89" w:rsidR="007D693B">
        <w:rPr>
          <w:rFonts w:ascii="Times New Roman" w:hAnsi="Times New Roman" w:cs="Times New Roman"/>
          <w:kern w:val="0"/>
        </w:rPr>
        <w:t xml:space="preserve"> be forced to </w:t>
      </w:r>
      <w:r w:rsidRPr="00255F89" w:rsidR="00982E2A">
        <w:rPr>
          <w:rFonts w:ascii="Times New Roman" w:hAnsi="Times New Roman" w:cs="Times New Roman"/>
          <w:kern w:val="0"/>
        </w:rPr>
        <w:t>pay for submetering conversions</w:t>
      </w:r>
      <w:r w:rsidRPr="00255F89" w:rsidR="001C16A9">
        <w:rPr>
          <w:rFonts w:ascii="Times New Roman" w:hAnsi="Times New Roman" w:cs="Times New Roman"/>
          <w:kern w:val="0"/>
        </w:rPr>
        <w:t xml:space="preserve">, </w:t>
      </w:r>
      <w:r w:rsidRPr="00255F89" w:rsidR="007D693B">
        <w:rPr>
          <w:rFonts w:ascii="Times New Roman" w:hAnsi="Times New Roman" w:cs="Times New Roman"/>
          <w:kern w:val="0"/>
        </w:rPr>
        <w:t>or any work related to AEP Ohio’s abandonment of service lines</w:t>
      </w:r>
      <w:r w:rsidRPr="00255F89" w:rsidR="001C16A9">
        <w:rPr>
          <w:rFonts w:ascii="Times New Roman" w:hAnsi="Times New Roman" w:cs="Times New Roman"/>
          <w:kern w:val="0"/>
        </w:rPr>
        <w:t>,</w:t>
      </w:r>
      <w:r w:rsidRPr="00255F89" w:rsidR="007D693B">
        <w:rPr>
          <w:rFonts w:ascii="Times New Roman" w:hAnsi="Times New Roman" w:cs="Times New Roman"/>
          <w:kern w:val="0"/>
        </w:rPr>
        <w:t xml:space="preserve"> until the issues in Case No. 21-990-EL-CSS are </w:t>
      </w:r>
      <w:r w:rsidRPr="00255F89">
        <w:rPr>
          <w:rFonts w:ascii="Times New Roman" w:hAnsi="Times New Roman" w:cs="Times New Roman"/>
          <w:kern w:val="0"/>
        </w:rPr>
        <w:t>determined</w:t>
      </w:r>
      <w:r w:rsidRPr="00255F89" w:rsidR="007D693B">
        <w:rPr>
          <w:rFonts w:ascii="Times New Roman" w:hAnsi="Times New Roman" w:cs="Times New Roman"/>
          <w:kern w:val="0"/>
        </w:rPr>
        <w:t xml:space="preserve"> on appeal. </w:t>
      </w:r>
    </w:p>
    <w:p w:rsidR="00AE6740" w:rsidRPr="00255F89" w:rsidP="00AE6740" w14:paraId="5234D0D4" w14:textId="77777777">
      <w:pPr>
        <w:spacing w:after="0" w:line="240" w:lineRule="auto"/>
        <w:ind w:firstLine="720"/>
        <w:rPr>
          <w:rFonts w:ascii="Times New Roman" w:hAnsi="Times New Roman" w:cs="Times New Roman"/>
          <w:kern w:val="0"/>
        </w:rPr>
      </w:pPr>
    </w:p>
    <w:p w:rsidR="00D2649F" w:rsidRPr="00255F89" w:rsidP="00AE6740" w14:paraId="50BD201A" w14:textId="2DC7845F">
      <w:pPr>
        <w:pStyle w:val="Heading1"/>
      </w:pPr>
      <w:r w:rsidRPr="00255F89">
        <w:t>II.</w:t>
      </w:r>
      <w:r w:rsidRPr="00255F89" w:rsidR="00F57E01">
        <w:tab/>
        <w:t>REPLY COMMENTS FOR CONSUMER PROTECTION</w:t>
      </w:r>
    </w:p>
    <w:p w:rsidR="00BD5BFF" w:rsidRPr="00255F89" w:rsidP="00F57E01" w14:paraId="05DA59AA" w14:textId="5A2DEE67">
      <w:pPr>
        <w:spacing w:after="0" w:line="480" w:lineRule="auto"/>
        <w:rPr>
          <w:rFonts w:ascii="Times New Roman" w:hAnsi="Times New Roman" w:cs="Times New Roman"/>
          <w:kern w:val="0"/>
        </w:rPr>
      </w:pPr>
      <w:r w:rsidRPr="00255F89">
        <w:rPr>
          <w:rFonts w:ascii="Times New Roman" w:hAnsi="Times New Roman" w:cs="Times New Roman"/>
          <w:kern w:val="0"/>
        </w:rPr>
        <w:tab/>
      </w:r>
      <w:r w:rsidRPr="00255F89">
        <w:rPr>
          <w:rFonts w:ascii="Times New Roman" w:hAnsi="Times New Roman" w:cs="Times New Roman"/>
          <w:kern w:val="0"/>
        </w:rPr>
        <w:t xml:space="preserve">NEP filed comments and a motion to dismiss this case on December 4, 2023. AEP Ohio filed initial comments in this matter as well, arguing that the PUCO should </w:t>
      </w:r>
      <w:r w:rsidRPr="00255F89">
        <w:rPr>
          <w:rFonts w:ascii="Times New Roman" w:hAnsi="Times New Roman" w:cs="Times New Roman"/>
          <w:i/>
          <w:iCs/>
          <w:kern w:val="0"/>
        </w:rPr>
        <w:t>deny</w:t>
      </w:r>
      <w:r w:rsidRPr="00255F89">
        <w:rPr>
          <w:rFonts w:ascii="Times New Roman" w:hAnsi="Times New Roman" w:cs="Times New Roman"/>
          <w:kern w:val="0"/>
        </w:rPr>
        <w:t xml:space="preserve"> the motion for abandonment, as AEP Ohio’s abandonment of service lines would harm the Northtowne consumers.</w:t>
      </w:r>
      <w:r>
        <w:rPr>
          <w:rStyle w:val="FootnoteReference"/>
          <w:rFonts w:ascii="Times New Roman" w:hAnsi="Times New Roman" w:cs="Times New Roman"/>
          <w:kern w:val="0"/>
        </w:rPr>
        <w:footnoteReference w:id="3"/>
      </w:r>
      <w:r w:rsidRPr="00255F89">
        <w:rPr>
          <w:rFonts w:ascii="Times New Roman" w:hAnsi="Times New Roman" w:cs="Times New Roman"/>
          <w:kern w:val="0"/>
        </w:rPr>
        <w:t xml:space="preserve"> The PUCO should focus on protecting consumers first, by adopting the recommendations of OCC.</w:t>
      </w:r>
    </w:p>
    <w:p w:rsidR="00606FE3" w:rsidRPr="00255F89" w:rsidP="007E3004" w14:paraId="70A15ED7" w14:textId="46E70E78">
      <w:pPr>
        <w:spacing w:after="0" w:line="480" w:lineRule="auto"/>
        <w:ind w:firstLine="720"/>
        <w:rPr>
          <w:rFonts w:ascii="Times New Roman" w:hAnsi="Times New Roman" w:cs="Times New Roman"/>
          <w:kern w:val="0"/>
        </w:rPr>
      </w:pPr>
      <w:r w:rsidRPr="00255F89">
        <w:rPr>
          <w:rFonts w:ascii="Times New Roman" w:hAnsi="Times New Roman" w:cs="Times New Roman"/>
          <w:kern w:val="0"/>
        </w:rPr>
        <w:t xml:space="preserve">AEP Ohio’s abandonment of service lines to the Northtowne Apartments would harm residential utility consumers. However, the PUCO should defer ruling on AEP Ohio’s </w:t>
      </w:r>
      <w:r w:rsidRPr="00255F89">
        <w:rPr>
          <w:rFonts w:ascii="Times New Roman" w:hAnsi="Times New Roman" w:cs="Times New Roman"/>
          <w:kern w:val="0"/>
        </w:rPr>
        <w:t>application</w:t>
      </w:r>
      <w:r w:rsidRPr="00255F89">
        <w:rPr>
          <w:rFonts w:ascii="Times New Roman" w:hAnsi="Times New Roman" w:cs="Times New Roman"/>
          <w:kern w:val="0"/>
        </w:rPr>
        <w:t xml:space="preserve"> until appeals to the Supreme Court of Ohio have been resolved</w:t>
      </w:r>
      <w:r w:rsidRPr="00255F89" w:rsidR="00551F12">
        <w:rPr>
          <w:rFonts w:ascii="Times New Roman" w:hAnsi="Times New Roman" w:cs="Times New Roman"/>
          <w:kern w:val="0"/>
        </w:rPr>
        <w:t>, and forbid any conversion work at Northtowne relating to submetering or abandonment from proceeding</w:t>
      </w:r>
      <w:r w:rsidRPr="00255F89">
        <w:rPr>
          <w:rFonts w:ascii="Times New Roman" w:hAnsi="Times New Roman" w:cs="Times New Roman"/>
          <w:kern w:val="0"/>
        </w:rPr>
        <w:t xml:space="preserve">. </w:t>
      </w:r>
      <w:r w:rsidRPr="00255F89">
        <w:rPr>
          <w:rFonts w:ascii="Times New Roman" w:hAnsi="Times New Roman" w:cs="Times New Roman"/>
          <w:kern w:val="0"/>
        </w:rPr>
        <w:t>AEP</w:t>
      </w:r>
      <w:r w:rsidRPr="00255F89" w:rsidR="00296AFD">
        <w:rPr>
          <w:rFonts w:ascii="Times New Roman" w:hAnsi="Times New Roman" w:cs="Times New Roman"/>
          <w:kern w:val="0"/>
        </w:rPr>
        <w:t xml:space="preserve"> Ohio</w:t>
      </w:r>
      <w:r w:rsidRPr="00255F89">
        <w:rPr>
          <w:rFonts w:ascii="Times New Roman" w:hAnsi="Times New Roman" w:cs="Times New Roman"/>
          <w:kern w:val="0"/>
        </w:rPr>
        <w:t>’s application is directly related to the outcome of any appeal of Case No. 21-990-EL-CSS, the dispute between AEP</w:t>
      </w:r>
      <w:r w:rsidRPr="00255F89" w:rsidR="00296AFD">
        <w:rPr>
          <w:rFonts w:ascii="Times New Roman" w:hAnsi="Times New Roman" w:cs="Times New Roman"/>
          <w:kern w:val="0"/>
        </w:rPr>
        <w:t xml:space="preserve"> Ohio</w:t>
      </w:r>
      <w:r w:rsidRPr="00255F89">
        <w:rPr>
          <w:rFonts w:ascii="Times New Roman" w:hAnsi="Times New Roman" w:cs="Times New Roman"/>
          <w:kern w:val="0"/>
        </w:rPr>
        <w:t xml:space="preserve"> and NEP </w:t>
      </w:r>
      <w:r w:rsidRPr="00255F89" w:rsidR="00296AFD">
        <w:rPr>
          <w:rFonts w:ascii="Times New Roman" w:hAnsi="Times New Roman" w:cs="Times New Roman"/>
          <w:kern w:val="0"/>
        </w:rPr>
        <w:t xml:space="preserve">regarding NEP’s </w:t>
      </w:r>
      <w:r w:rsidRPr="00255F89">
        <w:rPr>
          <w:rFonts w:ascii="Times New Roman" w:hAnsi="Times New Roman" w:cs="Times New Roman"/>
          <w:kern w:val="0"/>
        </w:rPr>
        <w:t xml:space="preserve">submetering </w:t>
      </w:r>
      <w:r w:rsidRPr="00255F89" w:rsidR="00296AFD">
        <w:rPr>
          <w:rFonts w:ascii="Times New Roman" w:hAnsi="Times New Roman" w:cs="Times New Roman"/>
          <w:kern w:val="0"/>
        </w:rPr>
        <w:t>services</w:t>
      </w:r>
      <w:r w:rsidRPr="00255F89">
        <w:rPr>
          <w:rFonts w:ascii="Times New Roman" w:hAnsi="Times New Roman" w:cs="Times New Roman"/>
          <w:kern w:val="0"/>
        </w:rPr>
        <w:t>. There exists a potential for AEP</w:t>
      </w:r>
      <w:r w:rsidRPr="00255F89" w:rsidR="00296AFD">
        <w:rPr>
          <w:rFonts w:ascii="Times New Roman" w:hAnsi="Times New Roman" w:cs="Times New Roman"/>
          <w:kern w:val="0"/>
        </w:rPr>
        <w:t xml:space="preserve"> Ohio</w:t>
      </w:r>
      <w:r w:rsidRPr="00255F89">
        <w:rPr>
          <w:rFonts w:ascii="Times New Roman" w:hAnsi="Times New Roman" w:cs="Times New Roman"/>
          <w:kern w:val="0"/>
        </w:rPr>
        <w:t xml:space="preserve"> to appeal the PUCO</w:t>
      </w:r>
      <w:r w:rsidRPr="00255F89" w:rsidR="00296AFD">
        <w:rPr>
          <w:rFonts w:ascii="Times New Roman" w:hAnsi="Times New Roman" w:cs="Times New Roman"/>
          <w:kern w:val="0"/>
        </w:rPr>
        <w:t>’s recent decision to deny AEP Ohio’s application for rehearing</w:t>
      </w:r>
      <w:r w:rsidRPr="00255F89">
        <w:rPr>
          <w:rFonts w:ascii="Times New Roman" w:hAnsi="Times New Roman" w:cs="Times New Roman"/>
          <w:kern w:val="0"/>
        </w:rPr>
        <w:t xml:space="preserve"> in that matter. </w:t>
      </w:r>
      <w:r w:rsidRPr="00255F89" w:rsidR="00296AFD">
        <w:rPr>
          <w:rFonts w:ascii="Times New Roman" w:hAnsi="Times New Roman" w:cs="Times New Roman"/>
          <w:kern w:val="0"/>
        </w:rPr>
        <w:t xml:space="preserve">A decision by the Supreme Court of Ohio could </w:t>
      </w:r>
      <w:r w:rsidRPr="00255F89">
        <w:rPr>
          <w:rFonts w:ascii="Times New Roman" w:hAnsi="Times New Roman" w:cs="Times New Roman"/>
          <w:kern w:val="0"/>
        </w:rPr>
        <w:t xml:space="preserve">resolve the instant matter. Accordingly, should this matter proceed, it </w:t>
      </w:r>
      <w:r w:rsidRPr="00255F89" w:rsidR="00296AFD">
        <w:rPr>
          <w:rFonts w:ascii="Times New Roman" w:hAnsi="Times New Roman" w:cs="Times New Roman"/>
          <w:kern w:val="0"/>
        </w:rPr>
        <w:t xml:space="preserve">should </w:t>
      </w:r>
      <w:r w:rsidRPr="00255F89">
        <w:rPr>
          <w:rFonts w:ascii="Times New Roman" w:hAnsi="Times New Roman" w:cs="Times New Roman"/>
          <w:kern w:val="0"/>
        </w:rPr>
        <w:t xml:space="preserve">be held in abeyance pending the outcome of </w:t>
      </w:r>
      <w:r w:rsidRPr="00255F89" w:rsidR="00296AFD">
        <w:rPr>
          <w:rFonts w:ascii="Times New Roman" w:hAnsi="Times New Roman" w:cs="Times New Roman"/>
          <w:kern w:val="0"/>
        </w:rPr>
        <w:t xml:space="preserve">any </w:t>
      </w:r>
      <w:r w:rsidRPr="00255F89">
        <w:rPr>
          <w:rFonts w:ascii="Times New Roman" w:hAnsi="Times New Roman" w:cs="Times New Roman"/>
          <w:kern w:val="0"/>
        </w:rPr>
        <w:t>appeal</w:t>
      </w:r>
      <w:r w:rsidRPr="00255F89" w:rsidR="00296AFD">
        <w:rPr>
          <w:rFonts w:ascii="Times New Roman" w:hAnsi="Times New Roman" w:cs="Times New Roman"/>
          <w:kern w:val="0"/>
        </w:rPr>
        <w:t>s</w:t>
      </w:r>
      <w:r w:rsidRPr="00255F89">
        <w:rPr>
          <w:rFonts w:ascii="Times New Roman" w:hAnsi="Times New Roman" w:cs="Times New Roman"/>
          <w:kern w:val="0"/>
        </w:rPr>
        <w:t xml:space="preserve"> in Case No. 21-990-EL-CSS.</w:t>
      </w:r>
      <w:r w:rsidRPr="00255F89" w:rsidR="00551F12">
        <w:rPr>
          <w:rFonts w:ascii="Times New Roman" w:hAnsi="Times New Roman" w:cs="Times New Roman"/>
          <w:kern w:val="0"/>
        </w:rPr>
        <w:t xml:space="preserve"> Any work performed at Northtowne related to </w:t>
      </w:r>
      <w:r w:rsidRPr="00255F89" w:rsidR="005E1876">
        <w:rPr>
          <w:rFonts w:ascii="Times New Roman" w:hAnsi="Times New Roman" w:cs="Times New Roman"/>
          <w:kern w:val="0"/>
        </w:rPr>
        <w:t xml:space="preserve">conversion or </w:t>
      </w:r>
      <w:r w:rsidRPr="00255F89" w:rsidR="00551F12">
        <w:rPr>
          <w:rFonts w:ascii="Times New Roman" w:hAnsi="Times New Roman" w:cs="Times New Roman"/>
          <w:kern w:val="0"/>
        </w:rPr>
        <w:t>abandonment before the resolution of this matter could result in unnecessary costs and harm to residential consumers through the down-line recoupment of those costs through billing increases.</w:t>
      </w:r>
    </w:p>
    <w:p w:rsidR="00D2649F" w:rsidRPr="00255F89" w:rsidP="007E3004" w14:paraId="4943D494" w14:textId="3CAC1F04">
      <w:pPr>
        <w:spacing w:after="0" w:line="480" w:lineRule="auto"/>
        <w:ind w:firstLine="720"/>
        <w:rPr>
          <w:rFonts w:ascii="Times New Roman" w:hAnsi="Times New Roman" w:cs="Times New Roman"/>
          <w:kern w:val="0"/>
        </w:rPr>
      </w:pPr>
      <w:r w:rsidRPr="00255F89">
        <w:rPr>
          <w:rFonts w:ascii="Times New Roman" w:hAnsi="Times New Roman" w:cs="Times New Roman"/>
          <w:kern w:val="0"/>
        </w:rPr>
        <w:t>Holding this proceeding in abeyance pending appeals</w:t>
      </w:r>
      <w:r w:rsidRPr="00255F89" w:rsidR="00551F12">
        <w:rPr>
          <w:rFonts w:ascii="Times New Roman" w:hAnsi="Times New Roman" w:cs="Times New Roman"/>
          <w:kern w:val="0"/>
        </w:rPr>
        <w:t xml:space="preserve"> and forbidding any abandonment work from being performed at Northtowne in the interim</w:t>
      </w:r>
      <w:r w:rsidRPr="00255F89">
        <w:rPr>
          <w:rFonts w:ascii="Times New Roman" w:hAnsi="Times New Roman" w:cs="Times New Roman"/>
          <w:kern w:val="0"/>
        </w:rPr>
        <w:t xml:space="preserve"> will protect consumers from costs that AEP Ohio may charge for abandonment and </w:t>
      </w:r>
      <w:r w:rsidRPr="00255F89" w:rsidR="00606FE3">
        <w:rPr>
          <w:rFonts w:ascii="Times New Roman" w:hAnsi="Times New Roman" w:cs="Times New Roman"/>
          <w:kern w:val="0"/>
        </w:rPr>
        <w:t xml:space="preserve">completing the </w:t>
      </w:r>
      <w:r w:rsidRPr="00255F89">
        <w:rPr>
          <w:rFonts w:ascii="Times New Roman" w:hAnsi="Times New Roman" w:cs="Times New Roman"/>
          <w:kern w:val="0"/>
        </w:rPr>
        <w:t xml:space="preserve">submetering conversions and any additional costs to undo </w:t>
      </w:r>
      <w:r w:rsidRPr="00255F89" w:rsidR="00606FE3">
        <w:rPr>
          <w:rFonts w:ascii="Times New Roman" w:hAnsi="Times New Roman" w:cs="Times New Roman"/>
          <w:kern w:val="0"/>
        </w:rPr>
        <w:t xml:space="preserve">those changes </w:t>
      </w:r>
      <w:r w:rsidRPr="00255F89">
        <w:rPr>
          <w:rFonts w:ascii="Times New Roman" w:hAnsi="Times New Roman" w:cs="Times New Roman"/>
          <w:kern w:val="0"/>
        </w:rPr>
        <w:t>if AEP Ohio prevails on appeal</w:t>
      </w:r>
      <w:r w:rsidRPr="00255F89" w:rsidR="00606FE3">
        <w:rPr>
          <w:rFonts w:ascii="Times New Roman" w:hAnsi="Times New Roman" w:cs="Times New Roman"/>
          <w:kern w:val="0"/>
        </w:rPr>
        <w:t xml:space="preserve"> and reestablishes the 286 service lines</w:t>
      </w:r>
      <w:r w:rsidRPr="00255F89">
        <w:rPr>
          <w:rFonts w:ascii="Times New Roman" w:hAnsi="Times New Roman" w:cs="Times New Roman"/>
          <w:kern w:val="0"/>
        </w:rPr>
        <w:t xml:space="preserve">. </w:t>
      </w:r>
      <w:r w:rsidRPr="00255F89" w:rsidR="00606FE3">
        <w:rPr>
          <w:rFonts w:ascii="Times New Roman" w:hAnsi="Times New Roman" w:cs="Times New Roman"/>
          <w:kern w:val="0"/>
        </w:rPr>
        <w:t>The costs of regulatory uncertainty should not be foisted onto the Northtowne residential consumers.</w:t>
      </w:r>
    </w:p>
    <w:p w:rsidR="009B716E" w:rsidRPr="00255F89" w:rsidP="00FD11E4" w14:paraId="395395B5" w14:textId="187F5AFF">
      <w:pPr>
        <w:spacing w:after="0" w:line="480" w:lineRule="auto"/>
        <w:rPr>
          <w:rFonts w:ascii="Times New Roman" w:hAnsi="Times New Roman" w:cs="Times New Roman"/>
          <w:kern w:val="0"/>
        </w:rPr>
      </w:pPr>
      <w:r w:rsidRPr="00255F89">
        <w:rPr>
          <w:rFonts w:ascii="Times New Roman" w:hAnsi="Times New Roman" w:cs="Times New Roman"/>
          <w:b/>
          <w:bCs/>
          <w:kern w:val="0"/>
        </w:rPr>
        <w:tab/>
      </w:r>
      <w:r w:rsidRPr="00255F89" w:rsidR="00296AFD">
        <w:rPr>
          <w:rFonts w:ascii="Times New Roman" w:hAnsi="Times New Roman" w:cs="Times New Roman"/>
          <w:kern w:val="0"/>
        </w:rPr>
        <w:t xml:space="preserve">Separately, granting AEP Ohio’s application would harm consumers. </w:t>
      </w:r>
      <w:r w:rsidRPr="00255F89">
        <w:rPr>
          <w:rFonts w:ascii="Times New Roman" w:hAnsi="Times New Roman" w:cs="Times New Roman"/>
          <w:kern w:val="0"/>
        </w:rPr>
        <w:t>AEP</w:t>
      </w:r>
      <w:r w:rsidRPr="00255F89" w:rsidR="009E5BDB">
        <w:rPr>
          <w:rFonts w:ascii="Times New Roman" w:hAnsi="Times New Roman" w:cs="Times New Roman"/>
          <w:kern w:val="0"/>
        </w:rPr>
        <w:t xml:space="preserve"> Ohio</w:t>
      </w:r>
      <w:r w:rsidRPr="00255F89">
        <w:rPr>
          <w:rFonts w:ascii="Times New Roman" w:hAnsi="Times New Roman" w:cs="Times New Roman"/>
          <w:kern w:val="0"/>
        </w:rPr>
        <w:t>’s Initial Comment</w:t>
      </w:r>
      <w:r w:rsidRPr="00255F89" w:rsidR="009E5BDB">
        <w:rPr>
          <w:rFonts w:ascii="Times New Roman" w:hAnsi="Times New Roman" w:cs="Times New Roman"/>
          <w:kern w:val="0"/>
        </w:rPr>
        <w:t>s</w:t>
      </w:r>
      <w:r w:rsidRPr="00255F89">
        <w:rPr>
          <w:rFonts w:ascii="Times New Roman" w:hAnsi="Times New Roman" w:cs="Times New Roman"/>
          <w:kern w:val="0"/>
        </w:rPr>
        <w:t xml:space="preserve"> make direct reference to the harm an abandonment of Northtowne would cause residential consumers.</w:t>
      </w:r>
      <w:r>
        <w:rPr>
          <w:rStyle w:val="FootnoteReference"/>
          <w:rFonts w:ascii="Times New Roman" w:hAnsi="Times New Roman" w:cs="Times New Roman"/>
          <w:kern w:val="0"/>
        </w:rPr>
        <w:footnoteReference w:id="4"/>
      </w:r>
      <w:r w:rsidRPr="00255F89">
        <w:rPr>
          <w:rFonts w:ascii="Times New Roman" w:hAnsi="Times New Roman" w:cs="Times New Roman"/>
          <w:kern w:val="0"/>
        </w:rPr>
        <w:t xml:space="preserve"> There, AEP</w:t>
      </w:r>
      <w:r w:rsidRPr="00255F89" w:rsidR="00147DE0">
        <w:rPr>
          <w:rFonts w:ascii="Times New Roman" w:hAnsi="Times New Roman" w:cs="Times New Roman"/>
          <w:kern w:val="0"/>
        </w:rPr>
        <w:t xml:space="preserve"> Ohio</w:t>
      </w:r>
      <w:r w:rsidRPr="00255F89">
        <w:rPr>
          <w:rFonts w:ascii="Times New Roman" w:hAnsi="Times New Roman" w:cs="Times New Roman"/>
          <w:kern w:val="0"/>
        </w:rPr>
        <w:t xml:space="preserve"> discusses how abandonment would cause Northtowne customers (residents) to lose access to PIPP, to lose the right to shop the market for generation supply, to face disconnection without statutory protections, as well as the high likelihood of other residential customers facing billing increases to pay for any service conversions.</w:t>
      </w:r>
      <w:r>
        <w:rPr>
          <w:rStyle w:val="FootnoteReference"/>
          <w:rFonts w:ascii="Times New Roman" w:hAnsi="Times New Roman" w:cs="Times New Roman"/>
          <w:kern w:val="0"/>
        </w:rPr>
        <w:footnoteReference w:id="5"/>
      </w:r>
      <w:r w:rsidRPr="00255F89">
        <w:rPr>
          <w:rFonts w:ascii="Times New Roman" w:hAnsi="Times New Roman" w:cs="Times New Roman"/>
          <w:kern w:val="0"/>
        </w:rPr>
        <w:t xml:space="preserve"> AEP </w:t>
      </w:r>
      <w:r w:rsidRPr="00255F89" w:rsidR="00147DE0">
        <w:rPr>
          <w:rFonts w:ascii="Times New Roman" w:hAnsi="Times New Roman" w:cs="Times New Roman"/>
          <w:kern w:val="0"/>
        </w:rPr>
        <w:t xml:space="preserve">Ohio </w:t>
      </w:r>
      <w:r w:rsidRPr="00255F89">
        <w:rPr>
          <w:rFonts w:ascii="Times New Roman" w:hAnsi="Times New Roman" w:cs="Times New Roman"/>
          <w:kern w:val="0"/>
        </w:rPr>
        <w:t>ultimately argues that any abandonment of Northtowne would be “against the welfare of the public” under the Miller Act.</w:t>
      </w:r>
      <w:r>
        <w:rPr>
          <w:rStyle w:val="FootnoteReference"/>
          <w:rFonts w:ascii="Times New Roman" w:hAnsi="Times New Roman" w:cs="Times New Roman"/>
          <w:kern w:val="0"/>
        </w:rPr>
        <w:footnoteReference w:id="6"/>
      </w:r>
      <w:r w:rsidRPr="00255F89" w:rsidR="0056563F">
        <w:rPr>
          <w:rFonts w:ascii="Times New Roman" w:hAnsi="Times New Roman" w:cs="Times New Roman"/>
          <w:kern w:val="0"/>
        </w:rPr>
        <w:t xml:space="preserve"> </w:t>
      </w:r>
      <w:r w:rsidRPr="00255F89" w:rsidR="009E5BDB">
        <w:rPr>
          <w:rFonts w:ascii="Times New Roman" w:hAnsi="Times New Roman" w:cs="Times New Roman"/>
          <w:kern w:val="0"/>
        </w:rPr>
        <w:t>In other words</w:t>
      </w:r>
      <w:r w:rsidRPr="00255F89" w:rsidR="0056563F">
        <w:rPr>
          <w:rFonts w:ascii="Times New Roman" w:hAnsi="Times New Roman" w:cs="Times New Roman"/>
          <w:kern w:val="0"/>
        </w:rPr>
        <w:t xml:space="preserve">, </w:t>
      </w:r>
      <w:r w:rsidRPr="00255F89" w:rsidR="0095031A">
        <w:rPr>
          <w:rFonts w:ascii="Times New Roman" w:hAnsi="Times New Roman" w:cs="Times New Roman"/>
          <w:kern w:val="0"/>
        </w:rPr>
        <w:t>AEP</w:t>
      </w:r>
      <w:r w:rsidRPr="00255F89" w:rsidR="009E5BDB">
        <w:rPr>
          <w:rFonts w:ascii="Times New Roman" w:hAnsi="Times New Roman" w:cs="Times New Roman"/>
          <w:kern w:val="0"/>
        </w:rPr>
        <w:t xml:space="preserve"> Ohio argues</w:t>
      </w:r>
      <w:r w:rsidRPr="00255F89" w:rsidR="0095031A">
        <w:rPr>
          <w:rFonts w:ascii="Times New Roman" w:hAnsi="Times New Roman" w:cs="Times New Roman"/>
          <w:kern w:val="0"/>
        </w:rPr>
        <w:t xml:space="preserve"> </w:t>
      </w:r>
      <w:r w:rsidRPr="00255F89" w:rsidR="0095031A">
        <w:rPr>
          <w:rFonts w:ascii="Times New Roman" w:hAnsi="Times New Roman" w:cs="Times New Roman"/>
          <w:i/>
          <w:iCs/>
          <w:kern w:val="0"/>
        </w:rPr>
        <w:t>against</w:t>
      </w:r>
      <w:r w:rsidRPr="00255F89" w:rsidR="0095031A">
        <w:rPr>
          <w:rFonts w:ascii="Times New Roman" w:hAnsi="Times New Roman" w:cs="Times New Roman"/>
          <w:kern w:val="0"/>
        </w:rPr>
        <w:t xml:space="preserve"> its own application for abandonment.</w:t>
      </w:r>
    </w:p>
    <w:p w:rsidR="009B716E" w:rsidRPr="00255F89" w:rsidP="00FD11E4" w14:paraId="574267CD" w14:textId="7196A365">
      <w:pPr>
        <w:spacing w:after="0" w:line="480" w:lineRule="auto"/>
        <w:rPr>
          <w:rFonts w:ascii="Times New Roman" w:hAnsi="Times New Roman" w:cs="Times New Roman"/>
          <w:kern w:val="0"/>
        </w:rPr>
      </w:pPr>
      <w:r w:rsidRPr="00255F89">
        <w:rPr>
          <w:rFonts w:ascii="Times New Roman" w:hAnsi="Times New Roman" w:cs="Times New Roman"/>
          <w:kern w:val="0"/>
        </w:rPr>
        <w:tab/>
        <w:t>NEP’s Comment</w:t>
      </w:r>
      <w:r w:rsidRPr="00255F89" w:rsidR="00606FE3">
        <w:rPr>
          <w:rFonts w:ascii="Times New Roman" w:hAnsi="Times New Roman" w:cs="Times New Roman"/>
          <w:kern w:val="0"/>
        </w:rPr>
        <w:t>s</w:t>
      </w:r>
      <w:r w:rsidRPr="00255F89">
        <w:rPr>
          <w:rFonts w:ascii="Times New Roman" w:hAnsi="Times New Roman" w:cs="Times New Roman"/>
          <w:kern w:val="0"/>
        </w:rPr>
        <w:t xml:space="preserve"> make no effort to challenge the harms which would be caused by AEP’s abandonment.</w:t>
      </w:r>
      <w:r>
        <w:rPr>
          <w:rStyle w:val="FootnoteReference"/>
          <w:rFonts w:ascii="Times New Roman" w:hAnsi="Times New Roman" w:cs="Times New Roman"/>
          <w:kern w:val="0"/>
        </w:rPr>
        <w:footnoteReference w:id="7"/>
      </w:r>
      <w:r w:rsidRPr="00255F89">
        <w:rPr>
          <w:rFonts w:ascii="Times New Roman" w:hAnsi="Times New Roman" w:cs="Times New Roman"/>
          <w:kern w:val="0"/>
        </w:rPr>
        <w:t xml:space="preserve"> Rather, NEP notes that allowing the submetering of Northtowne </w:t>
      </w:r>
      <w:r w:rsidRPr="00255F89" w:rsidR="004D1EF4">
        <w:rPr>
          <w:rFonts w:ascii="Times New Roman" w:hAnsi="Times New Roman" w:cs="Times New Roman"/>
          <w:kern w:val="0"/>
        </w:rPr>
        <w:t xml:space="preserve">by NEP </w:t>
      </w:r>
      <w:r w:rsidRPr="00255F89">
        <w:rPr>
          <w:rFonts w:ascii="Times New Roman" w:hAnsi="Times New Roman" w:cs="Times New Roman"/>
          <w:kern w:val="0"/>
        </w:rPr>
        <w:t xml:space="preserve">to go into effect would </w:t>
      </w:r>
      <w:r w:rsidRPr="00255F89">
        <w:rPr>
          <w:rFonts w:ascii="Times New Roman" w:hAnsi="Times New Roman" w:cs="Times New Roman"/>
          <w:i/>
          <w:iCs/>
          <w:kern w:val="0"/>
        </w:rPr>
        <w:t>not</w:t>
      </w:r>
      <w:r w:rsidRPr="00255F89">
        <w:rPr>
          <w:rFonts w:ascii="Times New Roman" w:hAnsi="Times New Roman" w:cs="Times New Roman"/>
          <w:kern w:val="0"/>
        </w:rPr>
        <w:t xml:space="preserve"> cause harm (effectively defending its own business practices).</w:t>
      </w:r>
      <w:r>
        <w:rPr>
          <w:rStyle w:val="FootnoteReference"/>
          <w:rFonts w:ascii="Times New Roman" w:hAnsi="Times New Roman" w:cs="Times New Roman"/>
          <w:kern w:val="0"/>
        </w:rPr>
        <w:footnoteReference w:id="8"/>
      </w:r>
      <w:r w:rsidRPr="00255F89">
        <w:rPr>
          <w:rFonts w:ascii="Times New Roman" w:hAnsi="Times New Roman" w:cs="Times New Roman"/>
          <w:kern w:val="0"/>
        </w:rPr>
        <w:t xml:space="preserve"> Rather than focusing on the effects of the abandonment of Northtowne</w:t>
      </w:r>
      <w:r w:rsidRPr="00255F89" w:rsidR="00551F12">
        <w:rPr>
          <w:rFonts w:ascii="Times New Roman" w:hAnsi="Times New Roman" w:cs="Times New Roman"/>
          <w:kern w:val="0"/>
        </w:rPr>
        <w:t xml:space="preserve"> on residential consumers</w:t>
      </w:r>
      <w:r w:rsidRPr="00255F89">
        <w:rPr>
          <w:rFonts w:ascii="Times New Roman" w:hAnsi="Times New Roman" w:cs="Times New Roman"/>
          <w:kern w:val="0"/>
        </w:rPr>
        <w:t>, NEP argues that AEP</w:t>
      </w:r>
      <w:r w:rsidRPr="00255F89" w:rsidR="00551F12">
        <w:rPr>
          <w:rFonts w:ascii="Times New Roman" w:hAnsi="Times New Roman" w:cs="Times New Roman"/>
          <w:kern w:val="0"/>
        </w:rPr>
        <w:t xml:space="preserve"> Ohio</w:t>
      </w:r>
      <w:r w:rsidRPr="00255F89">
        <w:rPr>
          <w:rFonts w:ascii="Times New Roman" w:hAnsi="Times New Roman" w:cs="Times New Roman"/>
          <w:kern w:val="0"/>
        </w:rPr>
        <w:t xml:space="preserve"> need not abandon the property at all, and that this situation (and the Application, itself) are entirely </w:t>
      </w:r>
      <w:r w:rsidRPr="00255F89" w:rsidR="0095031A">
        <w:rPr>
          <w:rFonts w:ascii="Times New Roman" w:hAnsi="Times New Roman" w:cs="Times New Roman"/>
          <w:kern w:val="0"/>
        </w:rPr>
        <w:t>a circumstance of AEP</w:t>
      </w:r>
      <w:r w:rsidRPr="00255F89" w:rsidR="00551F12">
        <w:rPr>
          <w:rFonts w:ascii="Times New Roman" w:hAnsi="Times New Roman" w:cs="Times New Roman"/>
          <w:kern w:val="0"/>
        </w:rPr>
        <w:t xml:space="preserve"> Ohio</w:t>
      </w:r>
      <w:r w:rsidRPr="00255F89" w:rsidR="0095031A">
        <w:rPr>
          <w:rFonts w:ascii="Times New Roman" w:hAnsi="Times New Roman" w:cs="Times New Roman"/>
          <w:kern w:val="0"/>
        </w:rPr>
        <w:t>’s own creation.</w:t>
      </w:r>
      <w:r>
        <w:rPr>
          <w:rStyle w:val="FootnoteReference"/>
          <w:rFonts w:ascii="Times New Roman" w:hAnsi="Times New Roman" w:cs="Times New Roman"/>
          <w:kern w:val="0"/>
        </w:rPr>
        <w:footnoteReference w:id="9"/>
      </w:r>
      <w:r w:rsidRPr="00255F89" w:rsidR="0095031A">
        <w:rPr>
          <w:rFonts w:ascii="Times New Roman" w:hAnsi="Times New Roman" w:cs="Times New Roman"/>
          <w:kern w:val="0"/>
        </w:rPr>
        <w:t xml:space="preserve"> NEP’s Comment</w:t>
      </w:r>
      <w:r w:rsidRPr="00255F89" w:rsidR="009E5BDB">
        <w:rPr>
          <w:rFonts w:ascii="Times New Roman" w:hAnsi="Times New Roman" w:cs="Times New Roman"/>
          <w:kern w:val="0"/>
        </w:rPr>
        <w:t>s</w:t>
      </w:r>
      <w:r w:rsidRPr="00255F89" w:rsidR="0095031A">
        <w:rPr>
          <w:rFonts w:ascii="Times New Roman" w:hAnsi="Times New Roman" w:cs="Times New Roman"/>
          <w:kern w:val="0"/>
        </w:rPr>
        <w:t xml:space="preserve"> amount to legal arguments against the PUCO entertaining AEP</w:t>
      </w:r>
      <w:r w:rsidRPr="00255F89" w:rsidR="00551F12">
        <w:rPr>
          <w:rFonts w:ascii="Times New Roman" w:hAnsi="Times New Roman" w:cs="Times New Roman"/>
          <w:kern w:val="0"/>
        </w:rPr>
        <w:t xml:space="preserve"> Ohio</w:t>
      </w:r>
      <w:r w:rsidRPr="00255F89" w:rsidR="0095031A">
        <w:rPr>
          <w:rFonts w:ascii="Times New Roman" w:hAnsi="Times New Roman" w:cs="Times New Roman"/>
          <w:kern w:val="0"/>
        </w:rPr>
        <w:t>’s arguments</w:t>
      </w:r>
      <w:r w:rsidRPr="00255F89" w:rsidR="004D1EF4">
        <w:rPr>
          <w:rFonts w:ascii="Times New Roman" w:hAnsi="Times New Roman" w:cs="Times New Roman"/>
          <w:kern w:val="0"/>
        </w:rPr>
        <w:t>,</w:t>
      </w:r>
      <w:r w:rsidRPr="00255F89" w:rsidR="003D6A20">
        <w:rPr>
          <w:rFonts w:ascii="Times New Roman" w:hAnsi="Times New Roman" w:cs="Times New Roman"/>
          <w:kern w:val="0"/>
        </w:rPr>
        <w:t xml:space="preserve"> which coincide</w:t>
      </w:r>
      <w:r w:rsidRPr="00255F89" w:rsidR="004D1EF4">
        <w:rPr>
          <w:rFonts w:ascii="Times New Roman" w:hAnsi="Times New Roman" w:cs="Times New Roman"/>
          <w:kern w:val="0"/>
        </w:rPr>
        <w:t>s</w:t>
      </w:r>
      <w:r w:rsidRPr="00255F89" w:rsidR="003D6A20">
        <w:rPr>
          <w:rFonts w:ascii="Times New Roman" w:hAnsi="Times New Roman" w:cs="Times New Roman"/>
          <w:kern w:val="0"/>
        </w:rPr>
        <w:t xml:space="preserve"> with </w:t>
      </w:r>
      <w:r w:rsidRPr="00255F89" w:rsidR="004D1EF4">
        <w:rPr>
          <w:rFonts w:ascii="Times New Roman" w:hAnsi="Times New Roman" w:cs="Times New Roman"/>
          <w:kern w:val="0"/>
        </w:rPr>
        <w:t xml:space="preserve">NEP’s </w:t>
      </w:r>
      <w:r w:rsidRPr="00255F89" w:rsidR="003D6A20">
        <w:rPr>
          <w:rFonts w:ascii="Times New Roman" w:hAnsi="Times New Roman" w:cs="Times New Roman"/>
          <w:kern w:val="0"/>
        </w:rPr>
        <w:t>Motion to Dismiss this matter</w:t>
      </w:r>
      <w:r w:rsidRPr="00255F89" w:rsidR="0095031A">
        <w:rPr>
          <w:rFonts w:ascii="Times New Roman" w:hAnsi="Times New Roman" w:cs="Times New Roman"/>
          <w:kern w:val="0"/>
        </w:rPr>
        <w:t>.</w:t>
      </w:r>
    </w:p>
    <w:p w:rsidR="00D2649F" w:rsidRPr="00255F89" w:rsidP="00A611C6" w14:paraId="26E1919D" w14:textId="1C8919B2">
      <w:pPr>
        <w:spacing w:after="0" w:line="480" w:lineRule="auto"/>
        <w:rPr>
          <w:rFonts w:ascii="Times New Roman" w:hAnsi="Times New Roman" w:cs="Times New Roman"/>
          <w:kern w:val="0"/>
        </w:rPr>
      </w:pPr>
      <w:r w:rsidRPr="00255F89">
        <w:rPr>
          <w:rFonts w:ascii="Times New Roman" w:hAnsi="Times New Roman" w:cs="Times New Roman"/>
          <w:kern w:val="0"/>
        </w:rPr>
        <w:tab/>
        <w:t xml:space="preserve">The OCC </w:t>
      </w:r>
      <w:r w:rsidRPr="00255F89" w:rsidR="009E5BDB">
        <w:rPr>
          <w:rFonts w:ascii="Times New Roman" w:hAnsi="Times New Roman" w:cs="Times New Roman"/>
          <w:kern w:val="0"/>
        </w:rPr>
        <w:t xml:space="preserve">agrees with </w:t>
      </w:r>
      <w:r w:rsidRPr="00255F89">
        <w:rPr>
          <w:rFonts w:ascii="Times New Roman" w:hAnsi="Times New Roman" w:cs="Times New Roman"/>
          <w:kern w:val="0"/>
        </w:rPr>
        <w:t>AEP</w:t>
      </w:r>
      <w:r w:rsidRPr="00255F89" w:rsidR="009E5BDB">
        <w:rPr>
          <w:rFonts w:ascii="Times New Roman" w:hAnsi="Times New Roman" w:cs="Times New Roman"/>
          <w:kern w:val="0"/>
        </w:rPr>
        <w:t xml:space="preserve"> Ohio that</w:t>
      </w:r>
      <w:r w:rsidRPr="00255F89">
        <w:rPr>
          <w:rFonts w:ascii="Times New Roman" w:hAnsi="Times New Roman" w:cs="Times New Roman"/>
          <w:kern w:val="0"/>
        </w:rPr>
        <w:t xml:space="preserve"> abandoning</w:t>
      </w:r>
      <w:r w:rsidRPr="00255F89" w:rsidR="004D1EF4">
        <w:rPr>
          <w:rFonts w:ascii="Times New Roman" w:hAnsi="Times New Roman" w:cs="Times New Roman"/>
          <w:kern w:val="0"/>
        </w:rPr>
        <w:t xml:space="preserve"> </w:t>
      </w:r>
      <w:r w:rsidRPr="00255F89" w:rsidR="009E5BDB">
        <w:rPr>
          <w:rFonts w:ascii="Times New Roman" w:hAnsi="Times New Roman" w:cs="Times New Roman"/>
          <w:kern w:val="0"/>
        </w:rPr>
        <w:t>the service lines in</w:t>
      </w:r>
      <w:r w:rsidRPr="00255F89">
        <w:rPr>
          <w:rFonts w:ascii="Times New Roman" w:hAnsi="Times New Roman" w:cs="Times New Roman"/>
          <w:kern w:val="0"/>
        </w:rPr>
        <w:t xml:space="preserve"> Northtowne</w:t>
      </w:r>
      <w:r w:rsidRPr="00255F89" w:rsidR="009E5BDB">
        <w:rPr>
          <w:rFonts w:ascii="Times New Roman" w:hAnsi="Times New Roman" w:cs="Times New Roman"/>
          <w:kern w:val="0"/>
        </w:rPr>
        <w:t xml:space="preserve"> would cause the consumers great harm. In this regard, OCC agrees with AEP Ohio that granting the motion for abandonment would be unreasonable and contrary to the public welfare under the Miller Act. </w:t>
      </w:r>
      <w:r w:rsidRPr="00255F89" w:rsidR="00173B24">
        <w:rPr>
          <w:rFonts w:ascii="Times New Roman" w:hAnsi="Times New Roman" w:cs="Times New Roman"/>
          <w:kern w:val="0"/>
        </w:rPr>
        <w:t xml:space="preserve">OCC opposes any outcome </w:t>
      </w:r>
      <w:r w:rsidRPr="00255F89" w:rsidR="00606FE3">
        <w:rPr>
          <w:rFonts w:ascii="Times New Roman" w:hAnsi="Times New Roman" w:cs="Times New Roman"/>
          <w:kern w:val="0"/>
        </w:rPr>
        <w:t>that</w:t>
      </w:r>
      <w:r w:rsidRPr="00255F89" w:rsidR="00173B24">
        <w:rPr>
          <w:rFonts w:ascii="Times New Roman" w:hAnsi="Times New Roman" w:cs="Times New Roman"/>
          <w:kern w:val="0"/>
        </w:rPr>
        <w:t xml:space="preserve"> would harm residential consumers, and respectfully insists the PUCO put residential consumer’s considerations </w:t>
      </w:r>
      <w:r w:rsidRPr="00255F89" w:rsidR="00871614">
        <w:rPr>
          <w:rFonts w:ascii="Times New Roman" w:hAnsi="Times New Roman" w:cs="Times New Roman"/>
          <w:kern w:val="0"/>
        </w:rPr>
        <w:t xml:space="preserve">at the </w:t>
      </w:r>
      <w:r w:rsidRPr="00255F89" w:rsidR="00173B24">
        <w:rPr>
          <w:rFonts w:ascii="Times New Roman" w:hAnsi="Times New Roman" w:cs="Times New Roman"/>
          <w:kern w:val="0"/>
        </w:rPr>
        <w:t>foremost</w:t>
      </w:r>
      <w:r w:rsidRPr="00255F89" w:rsidR="007B7521">
        <w:rPr>
          <w:rFonts w:ascii="Times New Roman" w:hAnsi="Times New Roman" w:cs="Times New Roman"/>
          <w:kern w:val="0"/>
        </w:rPr>
        <w:t xml:space="preserve"> in this matter</w:t>
      </w:r>
      <w:r w:rsidRPr="00255F89" w:rsidR="00173B24">
        <w:rPr>
          <w:rFonts w:ascii="Times New Roman" w:hAnsi="Times New Roman" w:cs="Times New Roman"/>
          <w:kern w:val="0"/>
        </w:rPr>
        <w:t>.</w:t>
      </w:r>
    </w:p>
    <w:p w:rsidR="00D17A8A" w:rsidRPr="00255F89" w:rsidP="001D1EE1" w14:paraId="291C81BE" w14:textId="76D7B39E">
      <w:pPr>
        <w:spacing w:line="480" w:lineRule="auto"/>
        <w:rPr>
          <w:rFonts w:ascii="Times New Roman" w:hAnsi="Times New Roman" w:cs="Times New Roman"/>
          <w:kern w:val="0"/>
        </w:rPr>
      </w:pPr>
      <w:r w:rsidRPr="00255F89">
        <w:rPr>
          <w:rFonts w:ascii="Times New Roman" w:hAnsi="Times New Roman" w:cs="Times New Roman"/>
          <w:b/>
          <w:bCs/>
          <w:kern w:val="0"/>
        </w:rPr>
        <w:tab/>
      </w:r>
    </w:p>
    <w:p w:rsidR="00D17A8A" w:rsidRPr="00255F89" w14:paraId="454E25E6" w14:textId="77777777">
      <w:pPr>
        <w:rPr>
          <w:rFonts w:ascii="Times New Roman" w:hAnsi="Times New Roman" w:cs="Times New Roman"/>
          <w:kern w:val="0"/>
        </w:rPr>
      </w:pPr>
      <w:r w:rsidRPr="00255F89">
        <w:rPr>
          <w:rFonts w:ascii="Times New Roman" w:hAnsi="Times New Roman" w:cs="Times New Roman"/>
          <w:kern w:val="0"/>
        </w:rPr>
        <w:br w:type="page"/>
      </w:r>
    </w:p>
    <w:p w:rsidR="00D2649F" w:rsidRPr="00255F89" w:rsidP="00D17A8A" w14:paraId="76E9C69C" w14:textId="26D69DB6">
      <w:pPr>
        <w:pStyle w:val="Heading1"/>
      </w:pPr>
      <w:r w:rsidRPr="00255F89">
        <w:t>III.</w:t>
      </w:r>
      <w:r w:rsidRPr="00255F89" w:rsidR="00D17A8A">
        <w:tab/>
      </w:r>
      <w:r w:rsidRPr="00255F89">
        <w:t>CONCLUSION</w:t>
      </w:r>
    </w:p>
    <w:p w:rsidR="00DF48BA" w:rsidRPr="00255F89" w:rsidP="00922A1D" w14:paraId="41855C70" w14:textId="16AD5C6E">
      <w:pPr>
        <w:spacing w:after="0" w:line="480" w:lineRule="auto"/>
        <w:rPr>
          <w:rFonts w:ascii="Times New Roman" w:hAnsi="Times New Roman" w:cs="Times New Roman"/>
          <w:kern w:val="0"/>
        </w:rPr>
      </w:pPr>
      <w:r w:rsidRPr="00255F89">
        <w:rPr>
          <w:rFonts w:ascii="Times New Roman" w:hAnsi="Times New Roman" w:cs="Times New Roman"/>
          <w:kern w:val="0"/>
        </w:rPr>
        <w:tab/>
      </w:r>
      <w:r w:rsidRPr="00255F89" w:rsidR="00296AFD">
        <w:rPr>
          <w:rFonts w:ascii="Times New Roman" w:hAnsi="Times New Roman" w:cs="Times New Roman"/>
          <w:kern w:val="0"/>
        </w:rPr>
        <w:t xml:space="preserve">The PUCO should act to protect the Northtowne residential consumers who will be harmed if AEP Ohio’s application for abandonment is granted. The PUCO should delay action in this case until the Supreme Court of Ohio determines the outcome of </w:t>
      </w:r>
      <w:r w:rsidRPr="00255F89" w:rsidR="00614200">
        <w:rPr>
          <w:rFonts w:ascii="Times New Roman" w:hAnsi="Times New Roman" w:cs="Times New Roman"/>
          <w:kern w:val="0"/>
        </w:rPr>
        <w:t>any appeals in Case No. 21-990-EL-CSS</w:t>
      </w:r>
      <w:r w:rsidRPr="00255F89" w:rsidR="005610BD">
        <w:rPr>
          <w:rFonts w:ascii="Times New Roman" w:hAnsi="Times New Roman" w:cs="Times New Roman"/>
          <w:kern w:val="0"/>
        </w:rPr>
        <w:t xml:space="preserve">, and through injunction forbid any work at the Northtowne property in the interim related to abandonment of service. </w:t>
      </w:r>
      <w:r w:rsidRPr="00255F89" w:rsidR="00BA30C9">
        <w:rPr>
          <w:rFonts w:ascii="Times New Roman" w:hAnsi="Times New Roman" w:cs="Times New Roman"/>
          <w:kern w:val="0"/>
        </w:rPr>
        <w:t>The PUCO should adopt OCC’s recommendations for consumer protection.</w:t>
      </w:r>
    </w:p>
    <w:p w:rsidR="004C5635" w:rsidRPr="00255F89" w:rsidP="004C5635" w14:paraId="750BB69E" w14:textId="77777777">
      <w:pPr>
        <w:autoSpaceDE w:val="0"/>
        <w:autoSpaceDN w:val="0"/>
        <w:adjustRightInd w:val="0"/>
        <w:spacing w:after="0" w:line="240" w:lineRule="auto"/>
        <w:ind w:firstLine="4230"/>
        <w:rPr>
          <w:rFonts w:ascii="Times New Roman" w:eastAsia="Times New Roman" w:hAnsi="Times New Roman" w:cs="Times New Roman"/>
          <w:kern w:val="0"/>
          <w14:ligatures w14:val="none"/>
        </w:rPr>
      </w:pPr>
      <w:r w:rsidRPr="00255F89">
        <w:rPr>
          <w:rFonts w:ascii="Times New Roman" w:eastAsia="Times New Roman" w:hAnsi="Times New Roman" w:cs="Times New Roman"/>
          <w:kern w:val="0"/>
          <w14:ligatures w14:val="none"/>
        </w:rPr>
        <w:t>Respectfully submitted,</w:t>
      </w:r>
    </w:p>
    <w:p w:rsidR="004C5635" w:rsidRPr="00255F89" w:rsidP="004C5635" w14:paraId="5D69D2CB" w14:textId="77777777">
      <w:pPr>
        <w:autoSpaceDE w:val="0"/>
        <w:autoSpaceDN w:val="0"/>
        <w:adjustRightInd w:val="0"/>
        <w:spacing w:after="0" w:line="240" w:lineRule="auto"/>
        <w:ind w:firstLine="4230"/>
        <w:rPr>
          <w:rFonts w:ascii="Times New Roman" w:eastAsia="Times New Roman" w:hAnsi="Times New Roman" w:cs="Times New Roman"/>
          <w:kern w:val="0"/>
          <w14:ligatures w14:val="none"/>
        </w:rPr>
      </w:pPr>
    </w:p>
    <w:p w:rsidR="004C5635" w:rsidRPr="00255F89" w:rsidP="004C5635" w14:paraId="3FC89847" w14:textId="77777777">
      <w:pPr>
        <w:tabs>
          <w:tab w:val="left" w:pos="4320"/>
        </w:tabs>
        <w:spacing w:after="0" w:line="240" w:lineRule="auto"/>
        <w:ind w:left="4234"/>
        <w:rPr>
          <w:rFonts w:ascii="Times New Roman" w:eastAsia="Times New Roman" w:hAnsi="Times New Roman" w:cs="Times New Roman"/>
          <w:kern w:val="0"/>
          <w14:ligatures w14:val="none"/>
        </w:rPr>
      </w:pPr>
      <w:r w:rsidRPr="00255F89">
        <w:rPr>
          <w:rFonts w:ascii="Times New Roman" w:eastAsia="Times New Roman" w:hAnsi="Times New Roman" w:cs="Times New Roman"/>
          <w:kern w:val="0"/>
          <w14:ligatures w14:val="none"/>
        </w:rPr>
        <w:t>Maureen R. Willis (0020847)</w:t>
      </w:r>
    </w:p>
    <w:p w:rsidR="004C5635" w:rsidRPr="00255F89" w:rsidP="004C5635" w14:paraId="0D86B02A" w14:textId="77777777">
      <w:pPr>
        <w:tabs>
          <w:tab w:val="left" w:pos="4320"/>
        </w:tabs>
        <w:spacing w:after="0" w:line="240" w:lineRule="auto"/>
        <w:ind w:left="4234"/>
        <w:rPr>
          <w:rFonts w:ascii="Times New Roman" w:eastAsia="Times New Roman" w:hAnsi="Times New Roman" w:cs="Times New Roman"/>
          <w:kern w:val="0"/>
          <w14:ligatures w14:val="none"/>
        </w:rPr>
      </w:pPr>
      <w:r w:rsidRPr="00255F89">
        <w:rPr>
          <w:rFonts w:ascii="Times New Roman" w:eastAsia="Times New Roman" w:hAnsi="Times New Roman" w:cs="Times New Roman"/>
          <w:kern w:val="0"/>
          <w14:ligatures w14:val="none"/>
        </w:rPr>
        <w:t>Ohio Consumers’ Counsel</w:t>
      </w:r>
      <w:r w:rsidRPr="00255F89">
        <w:rPr>
          <w:rFonts w:ascii="Times New Roman" w:eastAsia="Times New Roman" w:hAnsi="Times New Roman" w:cs="Times New Roman"/>
          <w:kern w:val="0"/>
          <w14:ligatures w14:val="none"/>
        </w:rPr>
        <w:tab/>
      </w:r>
    </w:p>
    <w:p w:rsidR="004C5635" w:rsidRPr="00255F89" w:rsidP="004C5635" w14:paraId="032102F8" w14:textId="77777777">
      <w:pPr>
        <w:tabs>
          <w:tab w:val="left" w:pos="4320"/>
        </w:tabs>
        <w:spacing w:after="0" w:line="240" w:lineRule="auto"/>
        <w:ind w:left="4234"/>
        <w:rPr>
          <w:rFonts w:ascii="Times New Roman" w:eastAsia="Times New Roman" w:hAnsi="Times New Roman" w:cs="Times New Roman"/>
          <w:kern w:val="0"/>
          <w14:ligatures w14:val="none"/>
        </w:rPr>
      </w:pPr>
      <w:r w:rsidRPr="00255F89">
        <w:rPr>
          <w:rFonts w:ascii="Times New Roman" w:eastAsia="Times New Roman" w:hAnsi="Times New Roman" w:cs="Times New Roman"/>
          <w:kern w:val="0"/>
          <w14:ligatures w14:val="none"/>
        </w:rPr>
        <w:tab/>
      </w:r>
    </w:p>
    <w:p w:rsidR="004C5635" w:rsidRPr="00255F89" w:rsidP="004C5635" w14:paraId="247B910E" w14:textId="77777777">
      <w:pPr>
        <w:tabs>
          <w:tab w:val="left" w:pos="4320"/>
        </w:tabs>
        <w:spacing w:after="0" w:line="240" w:lineRule="auto"/>
        <w:ind w:left="4234"/>
        <w:rPr>
          <w:rFonts w:ascii="Times New Roman" w:eastAsia="Times New Roman" w:hAnsi="Times New Roman" w:cs="Times New Roman"/>
          <w:i/>
          <w:iCs/>
          <w:kern w:val="0"/>
          <w:u w:val="single"/>
          <w14:ligatures w14:val="none"/>
        </w:rPr>
      </w:pPr>
      <w:r w:rsidRPr="00255F89">
        <w:rPr>
          <w:rFonts w:ascii="Times New Roman" w:eastAsia="Times New Roman" w:hAnsi="Times New Roman" w:cs="Times New Roman"/>
          <w:i/>
          <w:iCs/>
          <w:kern w:val="0"/>
          <w:u w:val="single"/>
          <w14:ligatures w14:val="none"/>
        </w:rPr>
        <w:t>/s/ Thomas J. Brodbeck</w:t>
      </w:r>
    </w:p>
    <w:p w:rsidR="004C5635" w:rsidRPr="00255F89" w:rsidP="004C5635" w14:paraId="337878F7" w14:textId="77777777">
      <w:pPr>
        <w:tabs>
          <w:tab w:val="left" w:pos="4320"/>
        </w:tabs>
        <w:spacing w:after="0" w:line="240" w:lineRule="auto"/>
        <w:ind w:left="4234"/>
        <w:rPr>
          <w:rFonts w:ascii="Times New Roman" w:eastAsia="Times New Roman" w:hAnsi="Times New Roman" w:cs="Times New Roman"/>
          <w:kern w:val="0"/>
          <w14:ligatures w14:val="none"/>
        </w:rPr>
      </w:pPr>
      <w:r w:rsidRPr="00255F89">
        <w:rPr>
          <w:rFonts w:ascii="Times New Roman" w:eastAsia="Times New Roman" w:hAnsi="Times New Roman" w:cs="Times New Roman"/>
          <w:kern w:val="0"/>
          <w14:ligatures w14:val="none"/>
        </w:rPr>
        <w:t>Thomas J. Brodbeck (0093920)</w:t>
      </w:r>
    </w:p>
    <w:p w:rsidR="004C5635" w:rsidRPr="00255F89" w:rsidP="004C5635" w14:paraId="2FC57306" w14:textId="77777777">
      <w:pPr>
        <w:tabs>
          <w:tab w:val="left" w:pos="4320"/>
        </w:tabs>
        <w:spacing w:after="0" w:line="240" w:lineRule="auto"/>
        <w:ind w:left="4234"/>
        <w:rPr>
          <w:rFonts w:ascii="Times New Roman" w:eastAsia="Times New Roman" w:hAnsi="Times New Roman" w:cs="Times New Roman"/>
          <w:kern w:val="0"/>
          <w14:ligatures w14:val="none"/>
        </w:rPr>
      </w:pPr>
      <w:r w:rsidRPr="00255F89">
        <w:rPr>
          <w:rFonts w:ascii="Times New Roman" w:eastAsia="Times New Roman" w:hAnsi="Times New Roman" w:cs="Times New Roman"/>
          <w:kern w:val="0"/>
          <w14:ligatures w14:val="none"/>
        </w:rPr>
        <w:t xml:space="preserve">Counsel of Record </w:t>
      </w:r>
    </w:p>
    <w:p w:rsidR="004C5635" w:rsidRPr="00255F89" w:rsidP="004C5635" w14:paraId="44DA781C" w14:textId="77777777">
      <w:pPr>
        <w:tabs>
          <w:tab w:val="left" w:pos="4320"/>
        </w:tabs>
        <w:spacing w:after="0" w:line="240" w:lineRule="auto"/>
        <w:ind w:left="4234"/>
        <w:rPr>
          <w:rFonts w:ascii="Times New Roman" w:eastAsia="Times New Roman" w:hAnsi="Times New Roman" w:cs="Times New Roman"/>
          <w:kern w:val="0"/>
          <w14:ligatures w14:val="none"/>
        </w:rPr>
      </w:pPr>
      <w:r w:rsidRPr="00255F89">
        <w:rPr>
          <w:rFonts w:ascii="Times New Roman" w:eastAsia="Times New Roman" w:hAnsi="Times New Roman" w:cs="Times New Roman"/>
          <w:kern w:val="0"/>
          <w14:ligatures w14:val="none"/>
        </w:rPr>
        <w:t>Assistant Consumers’ Counsel</w:t>
      </w:r>
    </w:p>
    <w:p w:rsidR="004C5635" w:rsidRPr="00255F89" w:rsidP="004C5635" w14:paraId="0C3E963A" w14:textId="77777777">
      <w:pPr>
        <w:keepNext/>
        <w:spacing w:after="0" w:line="240" w:lineRule="auto"/>
        <w:ind w:left="4234" w:right="-648" w:firstLine="720"/>
        <w:outlineLvl w:val="0"/>
        <w:rPr>
          <w:rFonts w:ascii="Times New Roman" w:eastAsia="Times New Roman" w:hAnsi="Times New Roman" w:cs="Times New Roman"/>
          <w:b/>
          <w:kern w:val="0"/>
          <w14:ligatures w14:val="none"/>
        </w:rPr>
      </w:pPr>
      <w:r w:rsidRPr="00255F89">
        <w:rPr>
          <w:rFonts w:ascii="Times New Roman" w:eastAsia="Times New Roman" w:hAnsi="Times New Roman" w:cs="Times New Roman"/>
          <w:b/>
          <w:kern w:val="0"/>
          <w14:ligatures w14:val="none"/>
        </w:rPr>
        <w:tab/>
      </w:r>
    </w:p>
    <w:p w:rsidR="004C5635" w:rsidRPr="00255F89" w:rsidP="004C5635" w14:paraId="5815F08E" w14:textId="77777777">
      <w:pPr>
        <w:keepNext/>
        <w:spacing w:after="0" w:line="240" w:lineRule="auto"/>
        <w:ind w:left="4234" w:right="-648"/>
        <w:outlineLvl w:val="0"/>
        <w:rPr>
          <w:rFonts w:ascii="Times New Roman" w:eastAsia="Times New Roman" w:hAnsi="Times New Roman" w:cs="Times New Roman"/>
          <w:b/>
          <w:kern w:val="0"/>
          <w14:ligatures w14:val="none"/>
        </w:rPr>
      </w:pPr>
      <w:r w:rsidRPr="00255F89">
        <w:rPr>
          <w:rFonts w:ascii="Times New Roman" w:eastAsia="Times New Roman" w:hAnsi="Times New Roman" w:cs="Times New Roman"/>
          <w:b/>
          <w:kern w:val="0"/>
          <w14:ligatures w14:val="none"/>
        </w:rPr>
        <w:t>Office of the Ohio Consumers’ Counsel</w:t>
      </w:r>
    </w:p>
    <w:p w:rsidR="004C5635" w:rsidRPr="00255F89" w:rsidP="004C5635" w14:paraId="5CBA6E59" w14:textId="77777777">
      <w:pPr>
        <w:keepNext/>
        <w:spacing w:after="0" w:line="240" w:lineRule="auto"/>
        <w:ind w:left="4234" w:right="-648"/>
        <w:outlineLvl w:val="0"/>
        <w:rPr>
          <w:rFonts w:ascii="Times New Roman" w:eastAsia="Times New Roman" w:hAnsi="Times New Roman" w:cs="Times New Roman"/>
          <w:kern w:val="0"/>
          <w14:ligatures w14:val="none"/>
        </w:rPr>
      </w:pPr>
      <w:r w:rsidRPr="00255F89">
        <w:rPr>
          <w:rFonts w:ascii="Times New Roman" w:eastAsia="Times New Roman" w:hAnsi="Times New Roman" w:cs="Times New Roman"/>
          <w:kern w:val="0"/>
          <w14:ligatures w14:val="none"/>
        </w:rPr>
        <w:t>65 East State Street, Suite 700</w:t>
      </w:r>
    </w:p>
    <w:p w:rsidR="004C5635" w:rsidRPr="00255F89" w:rsidP="004C5635" w14:paraId="77282259" w14:textId="77777777">
      <w:pPr>
        <w:keepNext/>
        <w:spacing w:after="0" w:line="240" w:lineRule="auto"/>
        <w:ind w:left="4234" w:right="-648"/>
        <w:outlineLvl w:val="0"/>
        <w:rPr>
          <w:rFonts w:ascii="Times New Roman" w:eastAsia="Times New Roman" w:hAnsi="Times New Roman" w:cs="Times New Roman"/>
          <w:kern w:val="0"/>
          <w14:ligatures w14:val="none"/>
        </w:rPr>
      </w:pPr>
      <w:r w:rsidRPr="00255F89">
        <w:rPr>
          <w:rFonts w:ascii="Times New Roman" w:eastAsia="Times New Roman" w:hAnsi="Times New Roman" w:cs="Times New Roman"/>
          <w:kern w:val="0"/>
          <w14:ligatures w14:val="none"/>
        </w:rPr>
        <w:t>Columbus, Ohio 43215</w:t>
      </w:r>
    </w:p>
    <w:p w:rsidR="004C5635" w:rsidRPr="00255F89" w:rsidP="004C5635" w14:paraId="59BA9E40" w14:textId="77777777">
      <w:pPr>
        <w:autoSpaceDE w:val="0"/>
        <w:autoSpaceDN w:val="0"/>
        <w:adjustRightInd w:val="0"/>
        <w:spacing w:after="0" w:line="240" w:lineRule="auto"/>
        <w:ind w:left="4234"/>
        <w:rPr>
          <w:rFonts w:ascii="Times New Roman" w:eastAsia="Times New Roman" w:hAnsi="Times New Roman" w:cs="Times New Roman"/>
          <w:kern w:val="0"/>
          <w14:ligatures w14:val="none"/>
        </w:rPr>
      </w:pPr>
      <w:r w:rsidRPr="00255F89">
        <w:rPr>
          <w:rFonts w:ascii="Times New Roman" w:eastAsia="Times New Roman" w:hAnsi="Times New Roman" w:cs="Times New Roman"/>
          <w:kern w:val="0"/>
          <w14:ligatures w14:val="none"/>
        </w:rPr>
        <w:t>Telephone [Brodbeck]: (614) 466-9565</w:t>
      </w:r>
    </w:p>
    <w:p w:rsidR="004C5635" w:rsidRPr="00255F89" w:rsidP="004C5635" w14:paraId="6755E912" w14:textId="77777777">
      <w:pPr>
        <w:spacing w:after="0" w:line="240" w:lineRule="auto"/>
        <w:ind w:left="4234"/>
        <w:rPr>
          <w:rFonts w:ascii="Times New Roman" w:eastAsia="Times New Roman" w:hAnsi="Times New Roman" w:cs="Times New Roman"/>
          <w:kern w:val="0"/>
          <w14:ligatures w14:val="none"/>
        </w:rPr>
      </w:pPr>
      <w:hyperlink r:id="rId6" w:history="1">
        <w:r w:rsidRPr="00255F89">
          <w:rPr>
            <w:rFonts w:ascii="Times New Roman" w:eastAsia="Times New Roman" w:hAnsi="Times New Roman" w:cs="Times New Roman"/>
            <w:color w:val="0000FF"/>
            <w:kern w:val="0"/>
            <w:u w:val="single"/>
            <w14:ligatures w14:val="none"/>
          </w:rPr>
          <w:t>thomas.brodbeck@occ.ohio.gov</w:t>
        </w:r>
      </w:hyperlink>
    </w:p>
    <w:p w:rsidR="004C5635" w:rsidRPr="00255F89" w:rsidP="004C5635" w14:paraId="2732AEB2" w14:textId="73204B4B">
      <w:pPr>
        <w:spacing w:after="0" w:line="240" w:lineRule="auto"/>
        <w:ind w:firstLine="4230"/>
        <w:rPr>
          <w:rFonts w:ascii="Times New Roman" w:eastAsia="Times New Roman" w:hAnsi="Times New Roman" w:cs="Times New Roman"/>
          <w:kern w:val="0"/>
          <w14:ligatures w14:val="none"/>
        </w:rPr>
      </w:pPr>
      <w:r w:rsidRPr="00255F89">
        <w:rPr>
          <w:rFonts w:ascii="Times New Roman" w:eastAsia="Times New Roman" w:hAnsi="Times New Roman" w:cs="Times New Roman"/>
          <w:kern w:val="0"/>
          <w14:ligatures w14:val="none"/>
        </w:rPr>
        <w:t>(willing to accept service by e-mail)</w:t>
      </w:r>
    </w:p>
    <w:p w:rsidR="004C5635" w:rsidRPr="00255F89" w:rsidP="001D1EE1" w14:paraId="1EAE8C72" w14:textId="77777777">
      <w:pPr>
        <w:spacing w:line="480" w:lineRule="auto"/>
        <w:rPr>
          <w:rFonts w:ascii="Times New Roman" w:hAnsi="Times New Roman" w:cs="Times New Roman"/>
          <w:kern w:val="0"/>
        </w:rPr>
      </w:pPr>
    </w:p>
    <w:p w:rsidR="00DF48BA" w:rsidRPr="00255F89" w14:paraId="77EE61B7" w14:textId="77777777">
      <w:pPr>
        <w:rPr>
          <w:rFonts w:ascii="Times New Roman" w:hAnsi="Times New Roman" w:cs="Times New Roman"/>
          <w:kern w:val="0"/>
        </w:rPr>
      </w:pPr>
      <w:r w:rsidRPr="00255F89">
        <w:rPr>
          <w:rFonts w:ascii="Times New Roman" w:hAnsi="Times New Roman" w:cs="Times New Roman"/>
          <w:kern w:val="0"/>
        </w:rPr>
        <w:br w:type="page"/>
      </w:r>
    </w:p>
    <w:p w:rsidR="004C5635" w:rsidRPr="00255F89" w:rsidP="004C5635" w14:paraId="332655B2" w14:textId="77777777">
      <w:pPr>
        <w:tabs>
          <w:tab w:val="left" w:pos="4320"/>
          <w:tab w:val="center" w:pos="4680"/>
          <w:tab w:val="right" w:pos="9360"/>
        </w:tabs>
        <w:spacing w:after="0" w:line="240" w:lineRule="auto"/>
        <w:jc w:val="center"/>
        <w:rPr>
          <w:rFonts w:ascii="Times New Roman" w:eastAsia="Times New Roman" w:hAnsi="Times New Roman" w:cs="Times New Roman"/>
          <w:kern w:val="0"/>
          <w14:ligatures w14:val="none"/>
        </w:rPr>
      </w:pPr>
      <w:r w:rsidRPr="00255F89">
        <w:rPr>
          <w:rFonts w:ascii="Times New Roman" w:eastAsia="Times New Roman" w:hAnsi="Times New Roman" w:cs="Times New Roman"/>
          <w:b/>
          <w:kern w:val="0"/>
          <w:u w:val="single"/>
          <w14:ligatures w14:val="none"/>
        </w:rPr>
        <w:t>CERTIFICATE OF SERVICE</w:t>
      </w:r>
    </w:p>
    <w:p w:rsidR="004C5635" w:rsidRPr="00255F89" w:rsidP="004C5635" w14:paraId="60B25C69" w14:textId="77777777">
      <w:pPr>
        <w:autoSpaceDE w:val="0"/>
        <w:autoSpaceDN w:val="0"/>
        <w:adjustRightInd w:val="0"/>
        <w:spacing w:after="0" w:line="240" w:lineRule="auto"/>
        <w:ind w:firstLine="4320"/>
        <w:jc w:val="center"/>
        <w:rPr>
          <w:rFonts w:ascii="Times New Roman" w:eastAsia="Times New Roman" w:hAnsi="Times New Roman" w:cs="Times New Roman"/>
          <w:kern w:val="0"/>
          <w:u w:val="single"/>
          <w14:ligatures w14:val="none"/>
        </w:rPr>
      </w:pPr>
    </w:p>
    <w:p w:rsidR="004C5635" w:rsidRPr="00255F89" w:rsidP="004C5635" w14:paraId="359024AD" w14:textId="62C1EC82">
      <w:pPr>
        <w:keepNext/>
        <w:keepLines/>
        <w:spacing w:after="0" w:line="480" w:lineRule="auto"/>
        <w:ind w:firstLine="720"/>
        <w:outlineLvl w:val="2"/>
        <w:rPr>
          <w:rFonts w:ascii="Times New Roman" w:eastAsia="Times New Roman" w:hAnsi="Times New Roman" w:cs="Times New Roman"/>
          <w:b/>
          <w:kern w:val="0"/>
          <w14:ligatures w14:val="none"/>
        </w:rPr>
      </w:pPr>
      <w:r w:rsidRPr="00255F89">
        <w:rPr>
          <w:rFonts w:ascii="Times New Roman" w:eastAsia="Times New Roman" w:hAnsi="Times New Roman" w:cs="Times New Roman"/>
          <w:kern w:val="0"/>
          <w14:ligatures w14:val="none"/>
        </w:rPr>
        <w:t xml:space="preserve">I hereby certify that a copy of the foregoing Consumer Protection </w:t>
      </w:r>
      <w:r w:rsidRPr="00255F89" w:rsidR="0095514E">
        <w:rPr>
          <w:rFonts w:ascii="Times New Roman" w:eastAsia="Times New Roman" w:hAnsi="Times New Roman" w:cs="Times New Roman"/>
          <w:kern w:val="0"/>
          <w14:ligatures w14:val="none"/>
        </w:rPr>
        <w:t xml:space="preserve">Reply </w:t>
      </w:r>
      <w:r w:rsidRPr="00255F89">
        <w:rPr>
          <w:rFonts w:ascii="Times New Roman" w:eastAsia="Times New Roman" w:hAnsi="Times New Roman" w:cs="Times New Roman"/>
          <w:kern w:val="0"/>
          <w14:ligatures w14:val="none"/>
        </w:rPr>
        <w:t xml:space="preserve">Comments was served via electronic transmission upon the parties this </w:t>
      </w:r>
      <w:r w:rsidRPr="00255F89" w:rsidR="005E7C91">
        <w:rPr>
          <w:rFonts w:ascii="Times New Roman" w:eastAsia="Times New Roman" w:hAnsi="Times New Roman" w:cs="Times New Roman"/>
          <w:kern w:val="0"/>
          <w14:ligatures w14:val="none"/>
        </w:rPr>
        <w:t>19</w:t>
      </w:r>
      <w:r w:rsidRPr="00255F89">
        <w:rPr>
          <w:rFonts w:ascii="Times New Roman" w:eastAsia="Times New Roman" w:hAnsi="Times New Roman" w:cs="Times New Roman"/>
          <w:kern w:val="0"/>
          <w:vertAlign w:val="superscript"/>
          <w14:ligatures w14:val="none"/>
        </w:rPr>
        <w:t>th</w:t>
      </w:r>
      <w:r w:rsidRPr="00255F89">
        <w:rPr>
          <w:rFonts w:ascii="Times New Roman" w:eastAsia="Times New Roman" w:hAnsi="Times New Roman" w:cs="Times New Roman"/>
          <w:kern w:val="0"/>
          <w14:ligatures w14:val="none"/>
        </w:rPr>
        <w:t xml:space="preserve"> day of December 2023.</w:t>
      </w:r>
    </w:p>
    <w:p w:rsidR="004C5635" w:rsidRPr="00255F89" w:rsidP="00EE7E70" w14:paraId="75DBD656" w14:textId="5B5B0857">
      <w:pPr>
        <w:tabs>
          <w:tab w:val="left" w:pos="4320"/>
        </w:tabs>
        <w:spacing w:after="0" w:line="240" w:lineRule="auto"/>
        <w:rPr>
          <w:rFonts w:ascii="Times New Roman" w:eastAsia="Times New Roman" w:hAnsi="Times New Roman" w:cs="Times New Roman"/>
          <w:i/>
          <w:iCs/>
          <w:kern w:val="0"/>
          <w:u w:val="single"/>
          <w14:ligatures w14:val="none"/>
        </w:rPr>
      </w:pPr>
      <w:r w:rsidRPr="00255F89">
        <w:rPr>
          <w:rFonts w:ascii="Times New Roman" w:eastAsia="Times New Roman" w:hAnsi="Times New Roman" w:cs="Times New Roman"/>
          <w:kern w:val="0"/>
          <w14:ligatures w14:val="none"/>
        </w:rPr>
        <w:tab/>
      </w:r>
      <w:r w:rsidRPr="00255F89">
        <w:rPr>
          <w:rFonts w:ascii="Times New Roman" w:eastAsia="Times New Roman" w:hAnsi="Times New Roman" w:cs="Times New Roman"/>
          <w:i/>
          <w:iCs/>
          <w:kern w:val="0"/>
          <w:u w:val="single"/>
          <w14:ligatures w14:val="none"/>
        </w:rPr>
        <w:t>/s/ Thomas</w:t>
      </w:r>
      <w:r w:rsidRPr="00255F89" w:rsidR="0025396C">
        <w:rPr>
          <w:rFonts w:ascii="Times New Roman" w:eastAsia="Times New Roman" w:hAnsi="Times New Roman" w:cs="Times New Roman"/>
          <w:i/>
          <w:iCs/>
          <w:kern w:val="0"/>
          <w:u w:val="single"/>
          <w14:ligatures w14:val="none"/>
        </w:rPr>
        <w:t xml:space="preserve"> J.</w:t>
      </w:r>
      <w:r w:rsidRPr="00255F89">
        <w:rPr>
          <w:rFonts w:ascii="Times New Roman" w:eastAsia="Times New Roman" w:hAnsi="Times New Roman" w:cs="Times New Roman"/>
          <w:i/>
          <w:iCs/>
          <w:kern w:val="0"/>
          <w:u w:val="single"/>
          <w14:ligatures w14:val="none"/>
        </w:rPr>
        <w:t xml:space="preserve"> Brodbeck</w:t>
      </w:r>
    </w:p>
    <w:p w:rsidR="004C5635" w:rsidRPr="00255F89" w:rsidP="004C5635" w14:paraId="0DBAAB1D" w14:textId="5FEAC4CB">
      <w:pPr>
        <w:tabs>
          <w:tab w:val="left" w:pos="4320"/>
        </w:tabs>
        <w:spacing w:after="0" w:line="240" w:lineRule="auto"/>
        <w:rPr>
          <w:rFonts w:ascii="Times New Roman" w:eastAsia="Times New Roman" w:hAnsi="Times New Roman" w:cs="Times New Roman"/>
          <w:kern w:val="0"/>
          <w14:ligatures w14:val="none"/>
        </w:rPr>
      </w:pPr>
      <w:r w:rsidRPr="00255F89">
        <w:rPr>
          <w:rFonts w:ascii="Times New Roman" w:eastAsia="Times New Roman" w:hAnsi="Times New Roman" w:cs="Times New Roman"/>
          <w:kern w:val="0"/>
          <w14:ligatures w14:val="none"/>
        </w:rPr>
        <w:tab/>
        <w:t xml:space="preserve">Thomas </w:t>
      </w:r>
      <w:r w:rsidRPr="00255F89" w:rsidR="0025396C">
        <w:rPr>
          <w:rFonts w:ascii="Times New Roman" w:eastAsia="Times New Roman" w:hAnsi="Times New Roman" w:cs="Times New Roman"/>
          <w:kern w:val="0"/>
          <w14:ligatures w14:val="none"/>
        </w:rPr>
        <w:t xml:space="preserve">J. </w:t>
      </w:r>
      <w:r w:rsidRPr="00255F89">
        <w:rPr>
          <w:rFonts w:ascii="Times New Roman" w:eastAsia="Times New Roman" w:hAnsi="Times New Roman" w:cs="Times New Roman"/>
          <w:kern w:val="0"/>
          <w14:ligatures w14:val="none"/>
        </w:rPr>
        <w:t>Brodbeck</w:t>
      </w:r>
    </w:p>
    <w:p w:rsidR="004C5635" w:rsidRPr="00255F89" w:rsidP="004C5635" w14:paraId="4D433367" w14:textId="77777777">
      <w:pPr>
        <w:tabs>
          <w:tab w:val="left" w:pos="4320"/>
        </w:tabs>
        <w:spacing w:after="0" w:line="240" w:lineRule="auto"/>
        <w:rPr>
          <w:rFonts w:ascii="Times New Roman" w:eastAsia="Times New Roman" w:hAnsi="Times New Roman" w:cs="Times New Roman"/>
          <w:kern w:val="0"/>
          <w14:ligatures w14:val="none"/>
        </w:rPr>
      </w:pPr>
      <w:r w:rsidRPr="00255F89">
        <w:rPr>
          <w:rFonts w:ascii="Times New Roman" w:eastAsia="Times New Roman" w:hAnsi="Times New Roman" w:cs="Times New Roman"/>
          <w:kern w:val="0"/>
          <w14:ligatures w14:val="none"/>
        </w:rPr>
        <w:tab/>
        <w:t>Assistant Consumers’ Counsel</w:t>
      </w:r>
    </w:p>
    <w:p w:rsidR="004C5635" w:rsidRPr="00255F89" w:rsidP="004C5635" w14:paraId="2617D547" w14:textId="77777777">
      <w:pPr>
        <w:tabs>
          <w:tab w:val="left" w:pos="4320"/>
        </w:tabs>
        <w:spacing w:after="0" w:line="240" w:lineRule="auto"/>
        <w:rPr>
          <w:rFonts w:ascii="Times New Roman" w:eastAsia="Times New Roman" w:hAnsi="Times New Roman" w:cs="Times New Roman"/>
          <w:kern w:val="0"/>
          <w14:ligatures w14:val="none"/>
        </w:rPr>
      </w:pPr>
    </w:p>
    <w:p w:rsidR="004C5635" w:rsidRPr="00255F89" w:rsidP="004C5635" w14:paraId="7B5DDCFB" w14:textId="77777777">
      <w:pPr>
        <w:spacing w:after="0" w:line="240" w:lineRule="auto"/>
        <w:rPr>
          <w:rFonts w:ascii="Times New Roman" w:eastAsia="Times New Roman" w:hAnsi="Times New Roman" w:cs="Times New Roman"/>
          <w:kern w:val="0"/>
          <w14:ligatures w14:val="none"/>
        </w:rPr>
      </w:pPr>
      <w:r w:rsidRPr="00255F89">
        <w:rPr>
          <w:rFonts w:ascii="Times New Roman" w:eastAsia="Times New Roman" w:hAnsi="Times New Roman" w:cs="Times New Roman"/>
          <w:kern w:val="0"/>
          <w14:ligatures w14:val="none"/>
        </w:rPr>
        <w:t>The PUCO’s e-filing system will electronically serve notice of the filing of this document on the following parties:</w:t>
      </w:r>
    </w:p>
    <w:p w:rsidR="004C5635" w:rsidRPr="00255F89" w:rsidP="004C5635" w14:paraId="5AF3815E" w14:textId="77777777">
      <w:pPr>
        <w:spacing w:after="0" w:line="240" w:lineRule="auto"/>
        <w:rPr>
          <w:rFonts w:ascii="Times New Roman" w:eastAsia="Times New Roman" w:hAnsi="Times New Roman" w:cs="Times New Roman"/>
          <w:b/>
          <w:kern w:val="0"/>
          <w:u w:val="single"/>
          <w14:ligatures w14:val="none"/>
        </w:rPr>
      </w:pPr>
    </w:p>
    <w:p w:rsidR="004C5635" w:rsidRPr="00255F89" w:rsidP="004C5635" w14:paraId="4AB6DA79" w14:textId="77777777">
      <w:pPr>
        <w:spacing w:after="0" w:line="240" w:lineRule="auto"/>
        <w:jc w:val="center"/>
        <w:rPr>
          <w:rFonts w:ascii="Times New Roman" w:eastAsia="Times New Roman" w:hAnsi="Times New Roman" w:cs="Times New Roman"/>
          <w:b/>
          <w:kern w:val="0"/>
          <w:u w:val="single"/>
          <w14:ligatures w14:val="none"/>
        </w:rPr>
      </w:pPr>
      <w:r w:rsidRPr="00255F89">
        <w:rPr>
          <w:rFonts w:ascii="Times New Roman" w:eastAsia="Times New Roman" w:hAnsi="Times New Roman" w:cs="Times New Roman"/>
          <w:b/>
          <w:kern w:val="0"/>
          <w:u w:val="single"/>
          <w14:ligatures w14:val="none"/>
        </w:rPr>
        <w:t>SERVICE LIST</w:t>
      </w:r>
    </w:p>
    <w:p w:rsidR="004C5635" w:rsidRPr="00255F89" w:rsidP="004C5635" w14:paraId="63E8404D" w14:textId="77777777">
      <w:pPr>
        <w:spacing w:after="0" w:line="240" w:lineRule="auto"/>
        <w:jc w:val="center"/>
        <w:rPr>
          <w:rFonts w:ascii="Times New Roman" w:eastAsia="Times New Roman" w:hAnsi="Times New Roman" w:cs="Times New Roman"/>
          <w:b/>
          <w:kern w:val="0"/>
          <w:u w:val="single"/>
          <w14:ligatures w14:val="none"/>
        </w:rPr>
      </w:pPr>
    </w:p>
    <w:tbl>
      <w:tblPr>
        <w:tblW w:w="0" w:type="auto"/>
        <w:tblInd w:w="0" w:type="dxa"/>
        <w:tblCellMar>
          <w:top w:w="0" w:type="dxa"/>
          <w:left w:w="108" w:type="dxa"/>
          <w:bottom w:w="0" w:type="dxa"/>
          <w:right w:w="108" w:type="dxa"/>
        </w:tblCellMar>
        <w:tblLook w:val="01E0"/>
      </w:tblPr>
      <w:tblGrid>
        <w:gridCol w:w="4262"/>
        <w:gridCol w:w="4378"/>
      </w:tblGrid>
      <w:tr w14:paraId="12019807" w14:textId="77777777" w:rsidTr="00C61980">
        <w:tblPrEx>
          <w:tblW w:w="0" w:type="auto"/>
          <w:tblInd w:w="0" w:type="dxa"/>
          <w:tblCellMar>
            <w:top w:w="0" w:type="dxa"/>
            <w:left w:w="108" w:type="dxa"/>
            <w:bottom w:w="0" w:type="dxa"/>
            <w:right w:w="108" w:type="dxa"/>
          </w:tblCellMar>
          <w:tblLook w:val="01E0"/>
        </w:tblPrEx>
        <w:tc>
          <w:tcPr>
            <w:tcW w:w="4428" w:type="dxa"/>
            <w:shd w:val="clear" w:color="auto" w:fill="auto"/>
          </w:tcPr>
          <w:p w:rsidR="004C5635" w:rsidRPr="00255F89" w:rsidP="004C5635" w14:paraId="5FF7BCD6" w14:textId="77777777">
            <w:pPr>
              <w:autoSpaceDE w:val="0"/>
              <w:autoSpaceDN w:val="0"/>
              <w:adjustRightInd w:val="0"/>
              <w:spacing w:after="0" w:line="240" w:lineRule="auto"/>
              <w:rPr>
                <w:rFonts w:ascii="Times New Roman" w:eastAsia="Times New Roman" w:hAnsi="Times New Roman" w:cs="Times New Roman"/>
                <w:bCs/>
                <w:kern w:val="0"/>
                <w:sz w:val="24"/>
                <w:szCs w:val="24"/>
                <w:lang w:val="en-US" w:eastAsia="en-US" w:bidi="ar-SA"/>
                <w14:ligatures w14:val="none"/>
              </w:rPr>
            </w:pPr>
            <w:hyperlink r:id="rId7" w:history="1">
              <w:r w:rsidRPr="00255F89">
                <w:rPr>
                  <w:rFonts w:ascii="Times New Roman" w:eastAsia="Times New Roman" w:hAnsi="Times New Roman" w:cs="Times New Roman"/>
                  <w:bCs/>
                  <w:color w:val="0000FF"/>
                  <w:kern w:val="0"/>
                  <w:sz w:val="24"/>
                  <w:szCs w:val="24"/>
                  <w:u w:val="single"/>
                  <w:lang w:val="en-US" w:eastAsia="en-US" w:bidi="ar-SA"/>
                  <w14:ligatures w14:val="none"/>
                </w:rPr>
                <w:t>john.jones@ohioAGO.gov</w:t>
              </w:r>
            </w:hyperlink>
          </w:p>
          <w:p w:rsidR="004C5635" w:rsidRPr="00255F89" w:rsidP="004C5635" w14:paraId="3E14490A" w14:textId="77777777">
            <w:pPr>
              <w:autoSpaceDE w:val="0"/>
              <w:autoSpaceDN w:val="0"/>
              <w:adjustRightInd w:val="0"/>
              <w:spacing w:after="0" w:line="240" w:lineRule="auto"/>
              <w:rPr>
                <w:rFonts w:ascii="Times New Roman" w:eastAsia="Times New Roman" w:hAnsi="Times New Roman" w:cs="Times New Roman"/>
                <w:bCs/>
                <w:kern w:val="0"/>
                <w:sz w:val="24"/>
                <w:szCs w:val="24"/>
                <w:lang w:val="en-US" w:eastAsia="en-US" w:bidi="ar-SA"/>
                <w14:ligatures w14:val="none"/>
              </w:rPr>
            </w:pPr>
          </w:p>
          <w:p w:rsidR="004C5635" w:rsidRPr="00255F89" w:rsidP="004C5635" w14:paraId="2B42E2AB" w14:textId="77777777">
            <w:pPr>
              <w:spacing w:after="0" w:line="240" w:lineRule="auto"/>
              <w:rPr>
                <w:rFonts w:ascii="Times New Roman" w:eastAsia="Times New Roman" w:hAnsi="Times New Roman" w:cs="Times New Roman"/>
                <w:kern w:val="0"/>
                <w:sz w:val="24"/>
                <w:szCs w:val="24"/>
                <w:lang w:val="en-US" w:eastAsia="en-US" w:bidi="ar-SA"/>
                <w14:ligatures w14:val="none"/>
              </w:rPr>
            </w:pPr>
            <w:r w:rsidRPr="00255F89">
              <w:rPr>
                <w:rFonts w:ascii="Times New Roman" w:eastAsia="Times New Roman" w:hAnsi="Times New Roman" w:cs="Times New Roman"/>
                <w:kern w:val="0"/>
                <w:sz w:val="24"/>
                <w:szCs w:val="24"/>
                <w:lang w:val="en-US" w:eastAsia="en-US" w:bidi="ar-SA"/>
                <w14:ligatures w14:val="none"/>
              </w:rPr>
              <w:t>Attorney Examiners:</w:t>
            </w:r>
          </w:p>
          <w:p w:rsidR="004C5635" w:rsidRPr="00255F89" w:rsidP="004C5635" w14:paraId="3FFE9263" w14:textId="77777777">
            <w:pPr>
              <w:autoSpaceDE w:val="0"/>
              <w:autoSpaceDN w:val="0"/>
              <w:adjustRightInd w:val="0"/>
              <w:spacing w:after="0" w:line="240" w:lineRule="auto"/>
              <w:rPr>
                <w:rFonts w:ascii="Times New Roman" w:eastAsia="Times New Roman" w:hAnsi="Times New Roman" w:cs="Times New Roman"/>
                <w:bCs/>
                <w:kern w:val="0"/>
                <w:sz w:val="24"/>
                <w:szCs w:val="24"/>
                <w:lang w:val="en-US" w:eastAsia="en-US" w:bidi="ar-SA"/>
                <w14:ligatures w14:val="none"/>
              </w:rPr>
            </w:pPr>
            <w:hyperlink r:id="rId8" w:history="1">
              <w:r w:rsidRPr="00255F89">
                <w:rPr>
                  <w:rFonts w:ascii="Times New Roman" w:eastAsia="Times New Roman" w:hAnsi="Times New Roman" w:cs="Times New Roman"/>
                  <w:bCs/>
                  <w:color w:val="0000FF"/>
                  <w:kern w:val="0"/>
                  <w:sz w:val="24"/>
                  <w:szCs w:val="24"/>
                  <w:u w:val="single"/>
                  <w:lang w:val="en-US" w:eastAsia="en-US" w:bidi="ar-SA"/>
                  <w14:ligatures w14:val="none"/>
                </w:rPr>
                <w:t>david.hicks@puco.ohio.gov</w:t>
              </w:r>
            </w:hyperlink>
          </w:p>
          <w:p w:rsidR="004C5635" w:rsidRPr="00255F89" w:rsidP="004C5635" w14:paraId="2442B8C2" w14:textId="77777777">
            <w:pPr>
              <w:autoSpaceDE w:val="0"/>
              <w:autoSpaceDN w:val="0"/>
              <w:adjustRightInd w:val="0"/>
              <w:spacing w:after="0" w:line="240" w:lineRule="auto"/>
              <w:rPr>
                <w:rFonts w:ascii="Times New Roman" w:eastAsia="Times New Roman" w:hAnsi="Times New Roman" w:cs="Times New Roman"/>
                <w:bCs/>
                <w:kern w:val="0"/>
                <w:sz w:val="24"/>
                <w:szCs w:val="24"/>
                <w:lang w:val="en-US" w:eastAsia="en-US" w:bidi="ar-SA"/>
                <w14:ligatures w14:val="none"/>
              </w:rPr>
            </w:pPr>
            <w:hyperlink r:id="rId9" w:history="1">
              <w:r w:rsidRPr="00255F89">
                <w:rPr>
                  <w:rFonts w:ascii="Times New Roman" w:eastAsia="Times New Roman" w:hAnsi="Times New Roman" w:cs="Times New Roman"/>
                  <w:bCs/>
                  <w:color w:val="0000FF"/>
                  <w:kern w:val="0"/>
                  <w:sz w:val="24"/>
                  <w:szCs w:val="24"/>
                  <w:u w:val="single"/>
                  <w:lang w:val="en-US" w:eastAsia="en-US" w:bidi="ar-SA"/>
                  <w14:ligatures w14:val="none"/>
                </w:rPr>
                <w:t>matthew.sandor@puco.ohio.gov</w:t>
              </w:r>
            </w:hyperlink>
          </w:p>
          <w:p w:rsidR="004C5635" w:rsidRPr="00255F89" w:rsidP="004C5635" w14:paraId="2EB6A752" w14:textId="77777777">
            <w:pPr>
              <w:autoSpaceDE w:val="0"/>
              <w:autoSpaceDN w:val="0"/>
              <w:adjustRightInd w:val="0"/>
              <w:spacing w:after="0" w:line="240" w:lineRule="auto"/>
              <w:rPr>
                <w:rFonts w:ascii="Times New Roman" w:eastAsia="Times New Roman" w:hAnsi="Times New Roman" w:cs="Times New Roman"/>
                <w:bCs/>
                <w:kern w:val="0"/>
                <w:sz w:val="24"/>
                <w:szCs w:val="24"/>
                <w:lang w:val="en-US" w:eastAsia="en-US" w:bidi="ar-SA"/>
                <w14:ligatures w14:val="none"/>
              </w:rPr>
            </w:pPr>
          </w:p>
        </w:tc>
        <w:tc>
          <w:tcPr>
            <w:tcW w:w="4428" w:type="dxa"/>
            <w:shd w:val="clear" w:color="auto" w:fill="auto"/>
          </w:tcPr>
          <w:p w:rsidR="004C5635" w:rsidRPr="00255F89" w:rsidP="004C5635" w14:paraId="303DBB26" w14:textId="77777777">
            <w:pPr>
              <w:spacing w:after="0" w:line="240" w:lineRule="auto"/>
              <w:jc w:val="both"/>
              <w:rPr>
                <w:rFonts w:ascii="Times New Roman" w:eastAsia="Times New Roman" w:hAnsi="Times New Roman" w:cs="Times New Roman"/>
                <w:kern w:val="0"/>
                <w:sz w:val="24"/>
                <w:szCs w:val="24"/>
                <w:lang w:val="en-US" w:eastAsia="en-US" w:bidi="ar-SA"/>
                <w14:ligatures w14:val="none"/>
              </w:rPr>
            </w:pPr>
            <w:hyperlink r:id="rId10" w:history="1">
              <w:r w:rsidRPr="00255F89">
                <w:rPr>
                  <w:rFonts w:ascii="Times New Roman" w:eastAsia="Times New Roman" w:hAnsi="Times New Roman" w:cs="Times New Roman"/>
                  <w:color w:val="0000FF"/>
                  <w:kern w:val="0"/>
                  <w:sz w:val="24"/>
                  <w:szCs w:val="24"/>
                  <w:u w:val="single"/>
                  <w:lang w:val="en-US" w:eastAsia="en-US" w:bidi="ar-SA"/>
                  <w14:ligatures w14:val="none"/>
                </w:rPr>
                <w:t>stnourse@aep.com</w:t>
              </w:r>
            </w:hyperlink>
          </w:p>
          <w:p w:rsidR="004C5635" w:rsidRPr="00255F89" w:rsidP="004C5635" w14:paraId="4B4169C9" w14:textId="77777777">
            <w:pPr>
              <w:spacing w:after="0" w:line="240" w:lineRule="auto"/>
              <w:jc w:val="both"/>
              <w:rPr>
                <w:rFonts w:ascii="Times New Roman" w:eastAsia="Times New Roman" w:hAnsi="Times New Roman" w:cs="Times New Roman"/>
                <w:kern w:val="0"/>
                <w:sz w:val="24"/>
                <w:szCs w:val="24"/>
                <w:lang w:val="en-US" w:eastAsia="en-US" w:bidi="ar-SA"/>
                <w14:ligatures w14:val="none"/>
              </w:rPr>
            </w:pPr>
            <w:hyperlink r:id="rId11" w:history="1">
              <w:r w:rsidRPr="00255F89">
                <w:rPr>
                  <w:rFonts w:ascii="Times New Roman" w:eastAsia="Times New Roman" w:hAnsi="Times New Roman" w:cs="Times New Roman"/>
                  <w:color w:val="0000FF"/>
                  <w:kern w:val="0"/>
                  <w:sz w:val="24"/>
                  <w:szCs w:val="24"/>
                  <w:u w:val="single"/>
                  <w:lang w:val="en-US" w:eastAsia="en-US" w:bidi="ar-SA"/>
                  <w14:ligatures w14:val="none"/>
                </w:rPr>
                <w:t>mjschuler@aep.com</w:t>
              </w:r>
            </w:hyperlink>
          </w:p>
          <w:p w:rsidR="004C5635" w:rsidRPr="00255F89" w:rsidP="004C5635" w14:paraId="0756BA27" w14:textId="094E9210">
            <w:pPr>
              <w:spacing w:after="0" w:line="240" w:lineRule="auto"/>
              <w:jc w:val="both"/>
              <w:rPr>
                <w:rFonts w:ascii="Times New Roman" w:eastAsia="Times New Roman" w:hAnsi="Times New Roman" w:cs="Times New Roman"/>
                <w:bCs/>
                <w:kern w:val="0"/>
                <w:sz w:val="24"/>
                <w:szCs w:val="24"/>
                <w:lang w:val="en-US" w:eastAsia="en-US" w:bidi="ar-SA"/>
                <w14:ligatures w14:val="none"/>
              </w:rPr>
            </w:pPr>
            <w:hyperlink r:id="rId12" w:history="1">
              <w:r w:rsidRPr="00255F89" w:rsidR="00EE7E70">
                <w:rPr>
                  <w:rStyle w:val="Hyperlink"/>
                  <w:rFonts w:ascii="Times New Roman" w:eastAsia="Times New Roman" w:hAnsi="Times New Roman" w:cs="Times New Roman"/>
                  <w:bCs/>
                  <w:color w:val="0000FF"/>
                  <w:kern w:val="0"/>
                  <w:sz w:val="24"/>
                  <w:szCs w:val="24"/>
                  <w:u w:val="single"/>
                  <w:lang w:val="en-US" w:eastAsia="en-US" w:bidi="ar-SA"/>
                  <w14:ligatures w14:val="none"/>
                </w:rPr>
                <w:t>dromig@nationwideenergypartners.com</w:t>
              </w:r>
            </w:hyperlink>
          </w:p>
          <w:p w:rsidR="00EE7E70" w:rsidRPr="00255F89" w:rsidP="004C5635" w14:paraId="27841AB7" w14:textId="1F50844B">
            <w:pPr>
              <w:spacing w:after="0" w:line="240" w:lineRule="auto"/>
              <w:jc w:val="both"/>
              <w:rPr>
                <w:rFonts w:ascii="Times New Roman" w:eastAsia="Times New Roman" w:hAnsi="Times New Roman" w:cs="Times New Roman"/>
                <w:bCs/>
                <w:kern w:val="0"/>
                <w:sz w:val="24"/>
                <w:szCs w:val="24"/>
                <w:lang w:val="en-US" w:eastAsia="en-US" w:bidi="ar-SA"/>
                <w14:ligatures w14:val="none"/>
              </w:rPr>
            </w:pPr>
          </w:p>
        </w:tc>
      </w:tr>
    </w:tbl>
    <w:p w:rsidR="00F71EBB" w:rsidRPr="00255F89" w:rsidP="001D1EE1" w14:paraId="4E32A842" w14:textId="77777777">
      <w:pPr>
        <w:spacing w:line="480" w:lineRule="auto"/>
        <w:rPr>
          <w:rFonts w:ascii="Times New Roman" w:hAnsi="Times New Roman" w:cs="Times New Roman"/>
          <w:kern w:val="0"/>
        </w:rPr>
      </w:pPr>
    </w:p>
    <w:sectPr w:rsidSect="00F046D8">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383F" w14:paraId="5E5896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1176312061"/>
      <w:docPartObj>
        <w:docPartGallery w:val="Page Numbers (Bottom of Page)"/>
        <w:docPartUnique/>
      </w:docPartObj>
    </w:sdtPr>
    <w:sdtEndPr>
      <w:rPr>
        <w:noProof/>
      </w:rPr>
    </w:sdtEndPr>
    <w:sdtContent>
      <w:p w:rsidR="007B7521" w:rsidRPr="00E3000E" w:rsidP="00E3000E" w14:paraId="43629AC9" w14:textId="47E18162">
        <w:pPr>
          <w:pStyle w:val="Footer"/>
          <w:jc w:val="center"/>
          <w:rPr>
            <w:rFonts w:ascii="Times New Roman" w:hAnsi="Times New Roman" w:cs="Times New Roman"/>
          </w:rPr>
        </w:pPr>
        <w:r w:rsidRPr="00E3000E">
          <w:rPr>
            <w:rFonts w:ascii="Times New Roman" w:hAnsi="Times New Roman" w:cs="Times New Roman"/>
          </w:rPr>
          <w:fldChar w:fldCharType="begin"/>
        </w:r>
        <w:r w:rsidRPr="00E3000E">
          <w:rPr>
            <w:rFonts w:ascii="Times New Roman" w:hAnsi="Times New Roman" w:cs="Times New Roman"/>
          </w:rPr>
          <w:instrText xml:space="preserve"> PAGE   \* MERGEFORMAT </w:instrText>
        </w:r>
        <w:r w:rsidRPr="00E3000E">
          <w:rPr>
            <w:rFonts w:ascii="Times New Roman" w:hAnsi="Times New Roman" w:cs="Times New Roman"/>
          </w:rPr>
          <w:fldChar w:fldCharType="separate"/>
        </w:r>
        <w:r w:rsidRPr="00E3000E">
          <w:rPr>
            <w:rFonts w:ascii="Times New Roman" w:hAnsi="Times New Roman" w:cs="Times New Roman"/>
            <w:noProof/>
          </w:rPr>
          <w:t>2</w:t>
        </w:r>
        <w:r w:rsidRPr="00E3000E">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383F" w14:paraId="762123E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82B0D" w:rsidP="004D1EF4" w14:paraId="42DBDCCF" w14:textId="77777777">
      <w:pPr>
        <w:spacing w:after="0" w:line="240" w:lineRule="auto"/>
      </w:pPr>
      <w:r>
        <w:separator/>
      </w:r>
    </w:p>
  </w:footnote>
  <w:footnote w:type="continuationSeparator" w:id="1">
    <w:p w:rsidR="00F82B0D" w:rsidP="004D1EF4" w14:paraId="7246633D" w14:textId="77777777">
      <w:pPr>
        <w:spacing w:after="0" w:line="240" w:lineRule="auto"/>
      </w:pPr>
      <w:r>
        <w:continuationSeparator/>
      </w:r>
    </w:p>
  </w:footnote>
  <w:footnote w:id="2">
    <w:p w:rsidR="00CB1110" w:rsidRPr="00255F89" w:rsidP="00255F89" w14:paraId="06803FAE" w14:textId="46245635">
      <w:pPr>
        <w:pStyle w:val="FootnoteText"/>
        <w:spacing w:after="120"/>
        <w:rPr>
          <w:rFonts w:ascii="Times New Roman" w:hAnsi="Times New Roman" w:cs="Times New Roman"/>
          <w:kern w:val="0"/>
        </w:rPr>
      </w:pPr>
      <w:r w:rsidRPr="00255F89">
        <w:rPr>
          <w:rStyle w:val="FootnoteReference"/>
          <w:rFonts w:ascii="Times New Roman" w:hAnsi="Times New Roman" w:cs="Times New Roman"/>
          <w:kern w:val="0"/>
        </w:rPr>
        <w:footnoteRef/>
      </w:r>
      <w:r w:rsidRPr="00255F89">
        <w:rPr>
          <w:rFonts w:ascii="Times New Roman" w:hAnsi="Times New Roman" w:cs="Times New Roman"/>
          <w:kern w:val="0"/>
        </w:rPr>
        <w:t xml:space="preserve"> Case No. 21-990-EL-CSS, Second Entry on Rehearing (Dec. 13, 2023).</w:t>
      </w:r>
    </w:p>
  </w:footnote>
  <w:footnote w:id="3">
    <w:p w:rsidR="00BD5BFF" w:rsidRPr="00255F89" w:rsidP="00255F89" w14:paraId="62E28F6E" w14:textId="407EDD0C">
      <w:pPr>
        <w:pStyle w:val="FootnoteText"/>
        <w:spacing w:after="120"/>
        <w:rPr>
          <w:rFonts w:ascii="Times New Roman" w:hAnsi="Times New Roman" w:cs="Times New Roman"/>
          <w:kern w:val="0"/>
        </w:rPr>
      </w:pPr>
      <w:r w:rsidRPr="00255F89">
        <w:rPr>
          <w:rStyle w:val="FootnoteReference"/>
          <w:rFonts w:ascii="Times New Roman" w:hAnsi="Times New Roman" w:cs="Times New Roman"/>
          <w:kern w:val="0"/>
        </w:rPr>
        <w:footnoteRef/>
      </w:r>
      <w:r w:rsidRPr="00255F89">
        <w:rPr>
          <w:rFonts w:ascii="Times New Roman" w:hAnsi="Times New Roman" w:cs="Times New Roman"/>
          <w:kern w:val="0"/>
        </w:rPr>
        <w:t xml:space="preserve"> </w:t>
      </w:r>
      <w:r w:rsidRPr="00255F89" w:rsidR="005610BD">
        <w:rPr>
          <w:rFonts w:ascii="Times New Roman" w:hAnsi="Times New Roman" w:cs="Times New Roman"/>
          <w:kern w:val="0"/>
        </w:rPr>
        <w:t>AEP Ohio’s Application for Abandonment by Ohio Power Company, ¶ 18;</w:t>
      </w:r>
      <w:r w:rsidRPr="00255F89" w:rsidR="00255F89">
        <w:rPr>
          <w:rFonts w:ascii="Times New Roman" w:hAnsi="Times New Roman" w:cs="Times New Roman"/>
          <w:kern w:val="0"/>
        </w:rPr>
        <w:t xml:space="preserve"> </w:t>
      </w:r>
      <w:r w:rsidRPr="00255F89" w:rsidR="005610BD">
        <w:rPr>
          <w:rFonts w:ascii="Times New Roman" w:hAnsi="Times New Roman" w:cs="Times New Roman"/>
          <w:i/>
          <w:iCs/>
          <w:kern w:val="0"/>
        </w:rPr>
        <w:t>See also</w:t>
      </w:r>
      <w:r w:rsidRPr="00255F89" w:rsidR="005610BD">
        <w:rPr>
          <w:rFonts w:ascii="Times New Roman" w:hAnsi="Times New Roman" w:cs="Times New Roman"/>
          <w:kern w:val="0"/>
        </w:rPr>
        <w:t xml:space="preserve"> Initial Comments of AEP Ohio, at 11-15.</w:t>
      </w:r>
    </w:p>
  </w:footnote>
  <w:footnote w:id="4">
    <w:p w:rsidR="0056563F" w:rsidRPr="00255F89" w:rsidP="00255F89" w14:paraId="71201DBE" w14:textId="68D5377A">
      <w:pPr>
        <w:pStyle w:val="FootnoteText"/>
        <w:spacing w:after="120"/>
        <w:rPr>
          <w:rFonts w:ascii="Times New Roman" w:hAnsi="Times New Roman" w:cs="Times New Roman"/>
          <w:kern w:val="0"/>
        </w:rPr>
      </w:pPr>
      <w:r w:rsidRPr="00255F89">
        <w:rPr>
          <w:rStyle w:val="FootnoteReference"/>
          <w:rFonts w:ascii="Times New Roman" w:hAnsi="Times New Roman" w:cs="Times New Roman"/>
          <w:kern w:val="0"/>
        </w:rPr>
        <w:footnoteRef/>
      </w:r>
      <w:r w:rsidRPr="00255F89">
        <w:rPr>
          <w:rFonts w:ascii="Times New Roman" w:hAnsi="Times New Roman" w:cs="Times New Roman"/>
          <w:kern w:val="0"/>
        </w:rPr>
        <w:t xml:space="preserve"> </w:t>
      </w:r>
      <w:r w:rsidRPr="00255F89">
        <w:rPr>
          <w:rFonts w:ascii="Times New Roman" w:hAnsi="Times New Roman" w:cs="Times New Roman"/>
          <w:i/>
          <w:iCs/>
          <w:kern w:val="0"/>
        </w:rPr>
        <w:t xml:space="preserve">See </w:t>
      </w:r>
      <w:r w:rsidRPr="00255F89">
        <w:rPr>
          <w:rFonts w:ascii="Times New Roman" w:hAnsi="Times New Roman" w:cs="Times New Roman"/>
          <w:kern w:val="0"/>
        </w:rPr>
        <w:t xml:space="preserve">Initial Comments of </w:t>
      </w:r>
      <w:r w:rsidRPr="00255F89" w:rsidR="00F5782F">
        <w:rPr>
          <w:rFonts w:ascii="Times New Roman" w:hAnsi="Times New Roman" w:cs="Times New Roman"/>
          <w:kern w:val="0"/>
        </w:rPr>
        <w:t>AEP</w:t>
      </w:r>
      <w:r w:rsidRPr="00255F89">
        <w:rPr>
          <w:rFonts w:ascii="Times New Roman" w:hAnsi="Times New Roman" w:cs="Times New Roman"/>
          <w:kern w:val="0"/>
        </w:rPr>
        <w:t>, 22-693-EL-ABN.</w:t>
      </w:r>
    </w:p>
  </w:footnote>
  <w:footnote w:id="5">
    <w:p w:rsidR="0056563F" w:rsidRPr="00255F89" w:rsidP="00255F89" w14:paraId="2B80DE59" w14:textId="3B2A5CC7">
      <w:pPr>
        <w:pStyle w:val="FootnoteText"/>
        <w:spacing w:after="120"/>
        <w:rPr>
          <w:rFonts w:ascii="Times New Roman" w:hAnsi="Times New Roman" w:cs="Times New Roman"/>
          <w:kern w:val="0"/>
        </w:rPr>
      </w:pPr>
      <w:r w:rsidRPr="00255F89">
        <w:rPr>
          <w:rStyle w:val="FootnoteReference"/>
          <w:rFonts w:ascii="Times New Roman" w:hAnsi="Times New Roman" w:cs="Times New Roman"/>
          <w:kern w:val="0"/>
        </w:rPr>
        <w:footnoteRef/>
      </w:r>
      <w:r w:rsidRPr="00255F89">
        <w:rPr>
          <w:rFonts w:ascii="Times New Roman" w:hAnsi="Times New Roman" w:cs="Times New Roman"/>
          <w:kern w:val="0"/>
        </w:rPr>
        <w:t xml:space="preserve"> </w:t>
      </w:r>
      <w:r w:rsidRPr="00255F89">
        <w:rPr>
          <w:rFonts w:ascii="Times New Roman" w:hAnsi="Times New Roman" w:cs="Times New Roman"/>
          <w:i/>
          <w:iCs/>
          <w:kern w:val="0"/>
        </w:rPr>
        <w:t>Id.</w:t>
      </w:r>
      <w:r w:rsidRPr="00255F89">
        <w:rPr>
          <w:rFonts w:ascii="Times New Roman" w:hAnsi="Times New Roman" w:cs="Times New Roman"/>
          <w:kern w:val="0"/>
        </w:rPr>
        <w:t xml:space="preserve"> at 5-11.</w:t>
      </w:r>
    </w:p>
  </w:footnote>
  <w:footnote w:id="6">
    <w:p w:rsidR="0056563F" w:rsidRPr="00255F89" w:rsidP="00255F89" w14:paraId="231D8FD5" w14:textId="2F986AAC">
      <w:pPr>
        <w:pStyle w:val="FootnoteText"/>
        <w:spacing w:after="120"/>
        <w:rPr>
          <w:rFonts w:ascii="Times New Roman" w:hAnsi="Times New Roman" w:cs="Times New Roman"/>
          <w:i/>
          <w:iCs/>
          <w:kern w:val="0"/>
        </w:rPr>
      </w:pPr>
      <w:r w:rsidRPr="00255F89">
        <w:rPr>
          <w:rStyle w:val="FootnoteReference"/>
          <w:rFonts w:ascii="Times New Roman" w:hAnsi="Times New Roman" w:cs="Times New Roman"/>
          <w:kern w:val="0"/>
        </w:rPr>
        <w:footnoteRef/>
      </w:r>
      <w:r w:rsidRPr="00255F89">
        <w:rPr>
          <w:rFonts w:ascii="Times New Roman" w:hAnsi="Times New Roman" w:cs="Times New Roman"/>
          <w:kern w:val="0"/>
        </w:rPr>
        <w:t xml:space="preserve"> </w:t>
      </w:r>
      <w:r w:rsidRPr="00255F89" w:rsidR="0036724E">
        <w:rPr>
          <w:rFonts w:ascii="Times New Roman" w:hAnsi="Times New Roman" w:cs="Times New Roman"/>
          <w:i/>
          <w:iCs/>
          <w:kern w:val="0"/>
        </w:rPr>
        <w:t>Id.</w:t>
      </w:r>
    </w:p>
  </w:footnote>
  <w:footnote w:id="7">
    <w:p w:rsidR="008139D8" w:rsidRPr="00255F89" w:rsidP="00255F89" w14:paraId="1A722253" w14:textId="06427BC6">
      <w:pPr>
        <w:pStyle w:val="FootnoteText"/>
        <w:spacing w:after="120"/>
        <w:rPr>
          <w:rFonts w:ascii="Times New Roman" w:hAnsi="Times New Roman" w:cs="Times New Roman"/>
          <w:kern w:val="0"/>
        </w:rPr>
      </w:pPr>
      <w:r w:rsidRPr="00255F89">
        <w:rPr>
          <w:rStyle w:val="FootnoteReference"/>
          <w:rFonts w:ascii="Times New Roman" w:hAnsi="Times New Roman" w:cs="Times New Roman"/>
          <w:kern w:val="0"/>
        </w:rPr>
        <w:footnoteRef/>
      </w:r>
      <w:r w:rsidRPr="00255F89">
        <w:rPr>
          <w:rFonts w:ascii="Times New Roman" w:hAnsi="Times New Roman" w:cs="Times New Roman"/>
          <w:kern w:val="0"/>
        </w:rPr>
        <w:t xml:space="preserve"> </w:t>
      </w:r>
      <w:r w:rsidRPr="00255F89">
        <w:rPr>
          <w:rFonts w:ascii="Times New Roman" w:hAnsi="Times New Roman" w:cs="Times New Roman"/>
          <w:i/>
          <w:iCs/>
          <w:kern w:val="0"/>
        </w:rPr>
        <w:t xml:space="preserve">See </w:t>
      </w:r>
      <w:r w:rsidRPr="00255F89">
        <w:rPr>
          <w:rFonts w:ascii="Times New Roman" w:hAnsi="Times New Roman" w:cs="Times New Roman"/>
          <w:kern w:val="0"/>
        </w:rPr>
        <w:t xml:space="preserve">Comments of </w:t>
      </w:r>
      <w:r w:rsidRPr="00255F89" w:rsidR="008C3519">
        <w:rPr>
          <w:rFonts w:ascii="Times New Roman" w:hAnsi="Times New Roman" w:cs="Times New Roman"/>
          <w:kern w:val="0"/>
        </w:rPr>
        <w:t>NEP</w:t>
      </w:r>
      <w:r w:rsidRPr="00255F89">
        <w:rPr>
          <w:rFonts w:ascii="Times New Roman" w:hAnsi="Times New Roman" w:cs="Times New Roman"/>
          <w:kern w:val="0"/>
        </w:rPr>
        <w:t>, 22-693-EL-ABN.</w:t>
      </w:r>
    </w:p>
  </w:footnote>
  <w:footnote w:id="8">
    <w:p w:rsidR="008139D8" w:rsidRPr="00255F89" w:rsidP="00255F89" w14:paraId="257DF476" w14:textId="0A1BDB84">
      <w:pPr>
        <w:pStyle w:val="FootnoteText"/>
        <w:spacing w:after="120"/>
        <w:rPr>
          <w:rFonts w:ascii="Times New Roman" w:hAnsi="Times New Roman" w:cs="Times New Roman"/>
          <w:kern w:val="0"/>
        </w:rPr>
      </w:pPr>
      <w:r w:rsidRPr="00255F89">
        <w:rPr>
          <w:rStyle w:val="FootnoteReference"/>
          <w:rFonts w:ascii="Times New Roman" w:hAnsi="Times New Roman" w:cs="Times New Roman"/>
          <w:kern w:val="0"/>
        </w:rPr>
        <w:footnoteRef/>
      </w:r>
      <w:r w:rsidRPr="00255F89">
        <w:rPr>
          <w:rFonts w:ascii="Times New Roman" w:hAnsi="Times New Roman" w:cs="Times New Roman"/>
          <w:kern w:val="0"/>
        </w:rPr>
        <w:t xml:space="preserve"> </w:t>
      </w:r>
      <w:r w:rsidRPr="00255F89">
        <w:rPr>
          <w:rFonts w:ascii="Times New Roman" w:hAnsi="Times New Roman" w:cs="Times New Roman"/>
          <w:i/>
          <w:iCs/>
          <w:kern w:val="0"/>
        </w:rPr>
        <w:t xml:space="preserve">Id. </w:t>
      </w:r>
      <w:r w:rsidRPr="00255F89">
        <w:rPr>
          <w:rFonts w:ascii="Times New Roman" w:hAnsi="Times New Roman" w:cs="Times New Roman"/>
          <w:kern w:val="0"/>
        </w:rPr>
        <w:t>at 19-20.</w:t>
      </w:r>
    </w:p>
  </w:footnote>
  <w:footnote w:id="9">
    <w:p w:rsidR="00C0775D" w:rsidRPr="00255F89" w:rsidP="00255F89" w14:paraId="06E3E6F7" w14:textId="038949DC">
      <w:pPr>
        <w:pStyle w:val="FootnoteText"/>
        <w:spacing w:after="120"/>
        <w:rPr>
          <w:rFonts w:ascii="Times New Roman" w:hAnsi="Times New Roman" w:cs="Times New Roman"/>
          <w:kern w:val="0"/>
        </w:rPr>
      </w:pPr>
      <w:r w:rsidRPr="00255F89">
        <w:rPr>
          <w:rStyle w:val="FootnoteReference"/>
          <w:rFonts w:ascii="Times New Roman" w:hAnsi="Times New Roman" w:cs="Times New Roman"/>
          <w:kern w:val="0"/>
        </w:rPr>
        <w:footnoteRef/>
      </w:r>
      <w:r w:rsidRPr="00255F89">
        <w:rPr>
          <w:rFonts w:ascii="Times New Roman" w:hAnsi="Times New Roman" w:cs="Times New Roman"/>
          <w:kern w:val="0"/>
        </w:rPr>
        <w:t xml:space="preserve"> </w:t>
      </w:r>
      <w:r w:rsidRPr="00255F89">
        <w:rPr>
          <w:rFonts w:ascii="Times New Roman" w:hAnsi="Times New Roman" w:cs="Times New Roman"/>
          <w:i/>
          <w:iCs/>
          <w:kern w:val="0"/>
        </w:rPr>
        <w:t>Id</w:t>
      </w:r>
      <w:r w:rsidRPr="00255F89">
        <w:rPr>
          <w:rFonts w:ascii="Times New Roman" w:hAnsi="Times New Roman" w:cs="Times New Roman"/>
          <w:kern w:val="0"/>
        </w:rPr>
        <w:t>. at 13-14.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383F" w14:paraId="2E94733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383F" w14:paraId="6A4D67B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383F" w14:paraId="6F8B350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6D67B0"/>
    <w:multiLevelType w:val="hybridMultilevel"/>
    <w:tmpl w:val="6172DFB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3E"/>
    <w:rsid w:val="0002069C"/>
    <w:rsid w:val="0004498E"/>
    <w:rsid w:val="00050C14"/>
    <w:rsid w:val="000C00D1"/>
    <w:rsid w:val="000E3204"/>
    <w:rsid w:val="001447C6"/>
    <w:rsid w:val="00147DE0"/>
    <w:rsid w:val="00173B24"/>
    <w:rsid w:val="00176EA8"/>
    <w:rsid w:val="00181DB6"/>
    <w:rsid w:val="001C16A9"/>
    <w:rsid w:val="001D1EE1"/>
    <w:rsid w:val="001F7320"/>
    <w:rsid w:val="0025396C"/>
    <w:rsid w:val="00255F89"/>
    <w:rsid w:val="0027775A"/>
    <w:rsid w:val="00286B20"/>
    <w:rsid w:val="00296AFD"/>
    <w:rsid w:val="00341839"/>
    <w:rsid w:val="0036724E"/>
    <w:rsid w:val="003934A6"/>
    <w:rsid w:val="003C5F3E"/>
    <w:rsid w:val="003D6A20"/>
    <w:rsid w:val="003E6CC3"/>
    <w:rsid w:val="003E6FB2"/>
    <w:rsid w:val="003F41DF"/>
    <w:rsid w:val="00405A01"/>
    <w:rsid w:val="00445CAC"/>
    <w:rsid w:val="004540C3"/>
    <w:rsid w:val="00482B04"/>
    <w:rsid w:val="004C5635"/>
    <w:rsid w:val="004D1EF4"/>
    <w:rsid w:val="004D6512"/>
    <w:rsid w:val="005061D4"/>
    <w:rsid w:val="005067A1"/>
    <w:rsid w:val="00551F12"/>
    <w:rsid w:val="005610BD"/>
    <w:rsid w:val="00561AE8"/>
    <w:rsid w:val="0056563F"/>
    <w:rsid w:val="00595E31"/>
    <w:rsid w:val="005B54C8"/>
    <w:rsid w:val="005E1876"/>
    <w:rsid w:val="005E7C91"/>
    <w:rsid w:val="00606FE3"/>
    <w:rsid w:val="00614200"/>
    <w:rsid w:val="006A2E65"/>
    <w:rsid w:val="007321C1"/>
    <w:rsid w:val="00773657"/>
    <w:rsid w:val="00793998"/>
    <w:rsid w:val="007B7521"/>
    <w:rsid w:val="007D693B"/>
    <w:rsid w:val="007D6D9B"/>
    <w:rsid w:val="007E3004"/>
    <w:rsid w:val="0081270E"/>
    <w:rsid w:val="008139D8"/>
    <w:rsid w:val="00830DAA"/>
    <w:rsid w:val="008679D2"/>
    <w:rsid w:val="00871614"/>
    <w:rsid w:val="008833E9"/>
    <w:rsid w:val="008C3519"/>
    <w:rsid w:val="008D63AA"/>
    <w:rsid w:val="00922A1D"/>
    <w:rsid w:val="009427AB"/>
    <w:rsid w:val="0095031A"/>
    <w:rsid w:val="009511BD"/>
    <w:rsid w:val="0095514E"/>
    <w:rsid w:val="00982E2A"/>
    <w:rsid w:val="009B716E"/>
    <w:rsid w:val="009E5BDB"/>
    <w:rsid w:val="00A27D3C"/>
    <w:rsid w:val="00A611C6"/>
    <w:rsid w:val="00A7383F"/>
    <w:rsid w:val="00A81717"/>
    <w:rsid w:val="00A9726F"/>
    <w:rsid w:val="00AB0F5A"/>
    <w:rsid w:val="00AC46B9"/>
    <w:rsid w:val="00AE6740"/>
    <w:rsid w:val="00B30AAD"/>
    <w:rsid w:val="00BA30C9"/>
    <w:rsid w:val="00BD5BFF"/>
    <w:rsid w:val="00C0775D"/>
    <w:rsid w:val="00C61980"/>
    <w:rsid w:val="00CB1110"/>
    <w:rsid w:val="00D15516"/>
    <w:rsid w:val="00D17A8A"/>
    <w:rsid w:val="00D2649F"/>
    <w:rsid w:val="00D43743"/>
    <w:rsid w:val="00DA7AF7"/>
    <w:rsid w:val="00DE743E"/>
    <w:rsid w:val="00DF48BA"/>
    <w:rsid w:val="00E3000E"/>
    <w:rsid w:val="00E35389"/>
    <w:rsid w:val="00E85519"/>
    <w:rsid w:val="00EE7E70"/>
    <w:rsid w:val="00F046D8"/>
    <w:rsid w:val="00F5782F"/>
    <w:rsid w:val="00F57E01"/>
    <w:rsid w:val="00F71EBB"/>
    <w:rsid w:val="00F82B0D"/>
    <w:rsid w:val="00F85724"/>
    <w:rsid w:val="00FD11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3217DD"/>
  <w15:chartTrackingRefBased/>
  <w15:docId w15:val="{B9010304-2EC0-4C13-A534-4C101BFD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0DAA"/>
    <w:pPr>
      <w:spacing w:after="240" w:line="240" w:lineRule="auto"/>
      <w:ind w:left="720" w:hanging="720"/>
      <w:outlineLvl w:val="0"/>
    </w:pPr>
    <w:rPr>
      <w:rFonts w:ascii="Times New Roman" w:hAnsi="Times New Roman" w:cs="Times New Roman"/>
      <w:b/>
      <w:bCs/>
      <w:kern w:val="0"/>
    </w:rPr>
  </w:style>
  <w:style w:type="paragraph" w:styleId="Heading2">
    <w:name w:val="heading 2"/>
    <w:basedOn w:val="Normal"/>
    <w:next w:val="Normal"/>
    <w:link w:val="Heading2Char"/>
    <w:uiPriority w:val="9"/>
    <w:unhideWhenUsed/>
    <w:qFormat/>
    <w:rsid w:val="00AE6740"/>
    <w:pPr>
      <w:spacing w:after="240" w:line="240" w:lineRule="auto"/>
      <w:ind w:left="1440" w:hanging="720"/>
      <w:outlineLvl w:val="1"/>
    </w:pPr>
    <w:rPr>
      <w:rFonts w:ascii="Times New Roman" w:hAnsi="Times New Roman" w:cs="Times New Roman"/>
      <w:b/>
      <w:bCs/>
      <w:kern w:val="0"/>
    </w:rPr>
  </w:style>
  <w:style w:type="paragraph" w:styleId="Heading3">
    <w:name w:val="heading 3"/>
    <w:basedOn w:val="Normal"/>
    <w:next w:val="Normal"/>
    <w:link w:val="Heading3Char"/>
    <w:uiPriority w:val="9"/>
    <w:semiHidden/>
    <w:unhideWhenUsed/>
    <w:qFormat/>
    <w:rsid w:val="00DE74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4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4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4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4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4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4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DAA"/>
    <w:rPr>
      <w:rFonts w:ascii="Times New Roman" w:hAnsi="Times New Roman" w:cs="Times New Roman"/>
      <w:b/>
      <w:bCs/>
      <w:kern w:val="0"/>
    </w:rPr>
  </w:style>
  <w:style w:type="character" w:customStyle="1" w:styleId="Heading2Char">
    <w:name w:val="Heading 2 Char"/>
    <w:basedOn w:val="DefaultParagraphFont"/>
    <w:link w:val="Heading2"/>
    <w:uiPriority w:val="9"/>
    <w:rsid w:val="00AE6740"/>
    <w:rPr>
      <w:rFonts w:ascii="Times New Roman" w:hAnsi="Times New Roman" w:cs="Times New Roman"/>
      <w:b/>
      <w:bCs/>
      <w:kern w:val="0"/>
    </w:rPr>
  </w:style>
  <w:style w:type="character" w:customStyle="1" w:styleId="Heading3Char">
    <w:name w:val="Heading 3 Char"/>
    <w:basedOn w:val="DefaultParagraphFont"/>
    <w:link w:val="Heading3"/>
    <w:uiPriority w:val="9"/>
    <w:semiHidden/>
    <w:rsid w:val="00DE74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4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4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4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4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4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43E"/>
    <w:rPr>
      <w:rFonts w:eastAsiaTheme="majorEastAsia" w:cstheme="majorBidi"/>
      <w:color w:val="272727" w:themeColor="text1" w:themeTint="D8"/>
    </w:rPr>
  </w:style>
  <w:style w:type="paragraph" w:styleId="Title">
    <w:name w:val="Title"/>
    <w:basedOn w:val="Normal"/>
    <w:next w:val="Normal"/>
    <w:link w:val="TitleChar"/>
    <w:uiPriority w:val="10"/>
    <w:qFormat/>
    <w:rsid w:val="00DE74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4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4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4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43E"/>
    <w:pPr>
      <w:spacing w:before="160"/>
      <w:jc w:val="center"/>
    </w:pPr>
    <w:rPr>
      <w:i/>
      <w:iCs/>
      <w:color w:val="404040" w:themeColor="text1" w:themeTint="BF"/>
    </w:rPr>
  </w:style>
  <w:style w:type="character" w:customStyle="1" w:styleId="QuoteChar">
    <w:name w:val="Quote Char"/>
    <w:basedOn w:val="DefaultParagraphFont"/>
    <w:link w:val="Quote"/>
    <w:uiPriority w:val="29"/>
    <w:rsid w:val="00DE743E"/>
    <w:rPr>
      <w:i/>
      <w:iCs/>
      <w:color w:val="404040" w:themeColor="text1" w:themeTint="BF"/>
    </w:rPr>
  </w:style>
  <w:style w:type="paragraph" w:styleId="ListParagraph">
    <w:name w:val="List Paragraph"/>
    <w:basedOn w:val="Normal"/>
    <w:uiPriority w:val="34"/>
    <w:qFormat/>
    <w:rsid w:val="00DE743E"/>
    <w:pPr>
      <w:ind w:left="720"/>
      <w:contextualSpacing/>
    </w:pPr>
  </w:style>
  <w:style w:type="character" w:styleId="IntenseEmphasis">
    <w:name w:val="Intense Emphasis"/>
    <w:basedOn w:val="DefaultParagraphFont"/>
    <w:uiPriority w:val="21"/>
    <w:qFormat/>
    <w:rsid w:val="00DE743E"/>
    <w:rPr>
      <w:i/>
      <w:iCs/>
      <w:color w:val="0F4761" w:themeColor="accent1" w:themeShade="BF"/>
    </w:rPr>
  </w:style>
  <w:style w:type="paragraph" w:styleId="IntenseQuote">
    <w:name w:val="Intense Quote"/>
    <w:basedOn w:val="Normal"/>
    <w:next w:val="Normal"/>
    <w:link w:val="IntenseQuoteChar"/>
    <w:uiPriority w:val="30"/>
    <w:qFormat/>
    <w:rsid w:val="00DE74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43E"/>
    <w:rPr>
      <w:i/>
      <w:iCs/>
      <w:color w:val="0F4761" w:themeColor="accent1" w:themeShade="BF"/>
    </w:rPr>
  </w:style>
  <w:style w:type="character" w:styleId="IntenseReference">
    <w:name w:val="Intense Reference"/>
    <w:basedOn w:val="DefaultParagraphFont"/>
    <w:uiPriority w:val="32"/>
    <w:qFormat/>
    <w:rsid w:val="00DE743E"/>
    <w:rPr>
      <w:b/>
      <w:bCs/>
      <w:smallCaps/>
      <w:color w:val="0F4761" w:themeColor="accent1" w:themeShade="BF"/>
      <w:spacing w:val="5"/>
    </w:rPr>
  </w:style>
  <w:style w:type="paragraph" w:styleId="FootnoteText">
    <w:name w:val="footnote text"/>
    <w:basedOn w:val="Normal"/>
    <w:link w:val="FootnoteTextChar"/>
    <w:uiPriority w:val="99"/>
    <w:semiHidden/>
    <w:unhideWhenUsed/>
    <w:rsid w:val="004D1E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1EF4"/>
    <w:rPr>
      <w:sz w:val="20"/>
      <w:szCs w:val="20"/>
    </w:rPr>
  </w:style>
  <w:style w:type="character" w:styleId="FootnoteReference">
    <w:name w:val="footnote reference"/>
    <w:basedOn w:val="DefaultParagraphFont"/>
    <w:uiPriority w:val="99"/>
    <w:semiHidden/>
    <w:unhideWhenUsed/>
    <w:rsid w:val="004D1EF4"/>
    <w:rPr>
      <w:vertAlign w:val="superscript"/>
    </w:rPr>
  </w:style>
  <w:style w:type="paragraph" w:styleId="Header">
    <w:name w:val="header"/>
    <w:basedOn w:val="Normal"/>
    <w:link w:val="HeaderChar"/>
    <w:uiPriority w:val="99"/>
    <w:unhideWhenUsed/>
    <w:rsid w:val="007B7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521"/>
  </w:style>
  <w:style w:type="paragraph" w:styleId="Footer">
    <w:name w:val="footer"/>
    <w:basedOn w:val="Normal"/>
    <w:link w:val="FooterChar"/>
    <w:uiPriority w:val="99"/>
    <w:unhideWhenUsed/>
    <w:rsid w:val="007B7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521"/>
  </w:style>
  <w:style w:type="paragraph" w:styleId="HTMLPreformatted">
    <w:name w:val="HTML Preformatted"/>
    <w:aliases w:val=" Char,Char"/>
    <w:basedOn w:val="Normal"/>
    <w:link w:val="HTMLPreformattedChar"/>
    <w:rsid w:val="00176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kern w:val="0"/>
      <w:sz w:val="20"/>
      <w:szCs w:val="20"/>
      <w14:ligatures w14:val="none"/>
    </w:rPr>
  </w:style>
  <w:style w:type="character" w:customStyle="1" w:styleId="HTMLPreformattedChar">
    <w:name w:val="HTML Preformatted Char"/>
    <w:aliases w:val=" Char Char,Char Char"/>
    <w:basedOn w:val="DefaultParagraphFont"/>
    <w:link w:val="HTMLPreformatted"/>
    <w:rsid w:val="00176EA8"/>
    <w:rPr>
      <w:rFonts w:ascii="Courier New" w:eastAsia="Courier New" w:hAnsi="Courier New" w:cs="Courier New"/>
      <w:kern w:val="0"/>
      <w:sz w:val="20"/>
      <w:szCs w:val="20"/>
      <w14:ligatures w14:val="none"/>
    </w:rPr>
  </w:style>
  <w:style w:type="character" w:styleId="Hyperlink">
    <w:name w:val="Hyperlink"/>
    <w:basedOn w:val="DefaultParagraphFont"/>
    <w:uiPriority w:val="99"/>
    <w:unhideWhenUsed/>
    <w:rsid w:val="007D6D9B"/>
    <w:rPr>
      <w:rFonts w:ascii="Times New Roman" w:hAnsi="Times New Roman"/>
      <w:color w:val="0000FF"/>
      <w:sz w:val="24"/>
      <w:u w:val="single"/>
    </w:rPr>
  </w:style>
  <w:style w:type="character" w:customStyle="1" w:styleId="UnresolvedMention">
    <w:name w:val="Unresolved Mention"/>
    <w:basedOn w:val="DefaultParagraphFont"/>
    <w:uiPriority w:val="99"/>
    <w:semiHidden/>
    <w:unhideWhenUsed/>
    <w:rsid w:val="00EE7E70"/>
    <w:rPr>
      <w:color w:val="605E5C"/>
      <w:shd w:val="clear" w:color="auto" w:fill="E1DFDD"/>
    </w:rPr>
  </w:style>
  <w:style w:type="paragraph" w:styleId="Revision">
    <w:name w:val="Revision"/>
    <w:hidden/>
    <w:uiPriority w:val="99"/>
    <w:semiHidden/>
    <w:rsid w:val="005067A1"/>
    <w:pPr>
      <w:spacing w:after="0" w:line="240" w:lineRule="auto"/>
    </w:pPr>
  </w:style>
  <w:style w:type="character" w:styleId="CommentReference">
    <w:name w:val="annotation reference"/>
    <w:basedOn w:val="DefaultParagraphFont"/>
    <w:uiPriority w:val="99"/>
    <w:semiHidden/>
    <w:unhideWhenUsed/>
    <w:rsid w:val="009E5BDB"/>
    <w:rPr>
      <w:sz w:val="16"/>
      <w:szCs w:val="16"/>
    </w:rPr>
  </w:style>
  <w:style w:type="paragraph" w:styleId="CommentText">
    <w:name w:val="annotation text"/>
    <w:basedOn w:val="Normal"/>
    <w:link w:val="CommentTextChar"/>
    <w:uiPriority w:val="99"/>
    <w:unhideWhenUsed/>
    <w:rsid w:val="009E5BDB"/>
    <w:pPr>
      <w:spacing w:line="240" w:lineRule="auto"/>
    </w:pPr>
    <w:rPr>
      <w:sz w:val="20"/>
      <w:szCs w:val="20"/>
    </w:rPr>
  </w:style>
  <w:style w:type="character" w:customStyle="1" w:styleId="CommentTextChar">
    <w:name w:val="Comment Text Char"/>
    <w:basedOn w:val="DefaultParagraphFont"/>
    <w:link w:val="CommentText"/>
    <w:uiPriority w:val="99"/>
    <w:rsid w:val="009E5BDB"/>
    <w:rPr>
      <w:sz w:val="20"/>
      <w:szCs w:val="20"/>
    </w:rPr>
  </w:style>
  <w:style w:type="paragraph" w:styleId="CommentSubject">
    <w:name w:val="annotation subject"/>
    <w:basedOn w:val="CommentText"/>
    <w:next w:val="CommentText"/>
    <w:link w:val="CommentSubjectChar"/>
    <w:uiPriority w:val="99"/>
    <w:semiHidden/>
    <w:unhideWhenUsed/>
    <w:rsid w:val="009E5BDB"/>
    <w:rPr>
      <w:b/>
      <w:bCs/>
    </w:rPr>
  </w:style>
  <w:style w:type="character" w:customStyle="1" w:styleId="CommentSubjectChar">
    <w:name w:val="Comment Subject Char"/>
    <w:basedOn w:val="CommentTextChar"/>
    <w:link w:val="CommentSubject"/>
    <w:uiPriority w:val="99"/>
    <w:semiHidden/>
    <w:rsid w:val="009E5B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stnourse@aep.com" TargetMode="External" /><Relationship Id="rId11" Type="http://schemas.openxmlformats.org/officeDocument/2006/relationships/hyperlink" Target="mailto:mjschuler@aep.com" TargetMode="External" /><Relationship Id="rId12" Type="http://schemas.openxmlformats.org/officeDocument/2006/relationships/hyperlink" Target="mailto:dromig@nationwideenergypartners.com"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thomas.brodbeck@occ.ohio.gov" TargetMode="External" /><Relationship Id="rId7" Type="http://schemas.openxmlformats.org/officeDocument/2006/relationships/hyperlink" Target="mailto:john.jones@ohioAGO.gov" TargetMode="External" /><Relationship Id="rId8" Type="http://schemas.openxmlformats.org/officeDocument/2006/relationships/hyperlink" Target="mailto:david.hicks@puco.ohio.gov" TargetMode="External" /><Relationship Id="rId9" Type="http://schemas.openxmlformats.org/officeDocument/2006/relationships/hyperlink" Target="mailto:matthew.sandor@puco.ohi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314EC-B6C5-4E9D-9440-1C7CAE24D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2023-12-19T20:45:21Z</dcterms:created>
  <dcterms:modified xsi:type="dcterms:W3CDTF">2023-12-19T20:45:21Z</dcterms:modified>
</cp:coreProperties>
</file>