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64084" w14:textId="77777777" w:rsidR="003533B4" w:rsidRPr="003533B4" w:rsidRDefault="003533B4" w:rsidP="003533B4">
      <w:pPr>
        <w:autoSpaceDE w:val="0"/>
        <w:autoSpaceDN w:val="0"/>
        <w:adjustRightInd w:val="0"/>
        <w:spacing w:line="240" w:lineRule="auto"/>
        <w:jc w:val="center"/>
        <w:rPr>
          <w:rFonts w:ascii="Arial Bold" w:hAnsi="Arial Bold"/>
          <w:b/>
          <w:smallCaps/>
          <w:sz w:val="32"/>
          <w:szCs w:val="32"/>
        </w:rPr>
      </w:pPr>
      <w:r w:rsidRPr="003533B4">
        <w:rPr>
          <w:rFonts w:ascii="Arial Bold" w:hAnsi="Arial Bold"/>
          <w:b/>
          <w:smallCaps/>
          <w:sz w:val="32"/>
          <w:szCs w:val="32"/>
        </w:rPr>
        <w:t>Before</w:t>
      </w:r>
    </w:p>
    <w:p w14:paraId="45C5D49B" w14:textId="790EBADA" w:rsidR="003533B4" w:rsidRPr="003533B4" w:rsidRDefault="00041744" w:rsidP="003533B4">
      <w:pPr>
        <w:autoSpaceDE w:val="0"/>
        <w:autoSpaceDN w:val="0"/>
        <w:adjustRightInd w:val="0"/>
        <w:spacing w:line="240" w:lineRule="auto"/>
        <w:jc w:val="center"/>
        <w:rPr>
          <w:rFonts w:ascii="Arial Bold" w:hAnsi="Arial Bold"/>
          <w:b/>
          <w:smallCaps/>
          <w:sz w:val="32"/>
          <w:szCs w:val="32"/>
        </w:rPr>
      </w:pPr>
      <w:r>
        <w:rPr>
          <w:rFonts w:ascii="Arial Bold" w:hAnsi="Arial Bold"/>
          <w:b/>
          <w:smallCaps/>
          <w:sz w:val="32"/>
          <w:szCs w:val="32"/>
        </w:rPr>
        <w:t>t</w:t>
      </w:r>
      <w:r w:rsidR="003533B4" w:rsidRPr="003533B4">
        <w:rPr>
          <w:rFonts w:ascii="Arial Bold" w:hAnsi="Arial Bold"/>
          <w:b/>
          <w:smallCaps/>
          <w:sz w:val="32"/>
          <w:szCs w:val="32"/>
        </w:rPr>
        <w:t>he Public Utilities Commission of Ohio</w:t>
      </w:r>
    </w:p>
    <w:p w14:paraId="517A112E" w14:textId="77777777" w:rsidR="003533B4" w:rsidRPr="003533B4" w:rsidRDefault="003533B4" w:rsidP="003533B4">
      <w:pPr>
        <w:autoSpaceDE w:val="0"/>
        <w:autoSpaceDN w:val="0"/>
        <w:adjustRightInd w:val="0"/>
        <w:spacing w:line="240" w:lineRule="auto"/>
        <w:jc w:val="center"/>
        <w:rPr>
          <w:rFonts w:ascii="Arial Bold" w:hAnsi="Arial Bold"/>
          <w:smallCaps/>
        </w:rPr>
      </w:pPr>
    </w:p>
    <w:p w14:paraId="52F1E781" w14:textId="77777777" w:rsidR="003533B4" w:rsidRPr="003533B4" w:rsidRDefault="003533B4" w:rsidP="003533B4">
      <w:pPr>
        <w:tabs>
          <w:tab w:val="left" w:pos="4680"/>
          <w:tab w:val="left" w:pos="5220"/>
        </w:tabs>
        <w:autoSpaceDE w:val="0"/>
        <w:autoSpaceDN w:val="0"/>
        <w:adjustRightInd w:val="0"/>
        <w:spacing w:line="240" w:lineRule="auto"/>
      </w:pPr>
      <w:r w:rsidRPr="003533B4">
        <w:t>In the Matter of the Application of</w:t>
      </w:r>
      <w:r w:rsidRPr="003533B4">
        <w:tab/>
        <w:t>)</w:t>
      </w:r>
    </w:p>
    <w:p w14:paraId="254B18E1" w14:textId="77777777" w:rsidR="003533B4" w:rsidRPr="003533B4" w:rsidRDefault="003533B4" w:rsidP="003533B4">
      <w:pPr>
        <w:tabs>
          <w:tab w:val="left" w:pos="4680"/>
          <w:tab w:val="left" w:pos="5220"/>
        </w:tabs>
        <w:autoSpaceDE w:val="0"/>
        <w:autoSpaceDN w:val="0"/>
        <w:adjustRightInd w:val="0"/>
        <w:spacing w:line="240" w:lineRule="auto"/>
      </w:pPr>
      <w:r w:rsidRPr="003533B4">
        <w:t>The Dayton Power and Light Company for</w:t>
      </w:r>
      <w:r w:rsidRPr="003533B4">
        <w:tab/>
        <w:t>)</w:t>
      </w:r>
      <w:r w:rsidRPr="003533B4">
        <w:tab/>
        <w:t>Case No. 16-395-EL-SSO</w:t>
      </w:r>
    </w:p>
    <w:p w14:paraId="4D06417C" w14:textId="77777777" w:rsidR="003533B4" w:rsidRPr="003533B4" w:rsidRDefault="003533B4" w:rsidP="003533B4">
      <w:pPr>
        <w:tabs>
          <w:tab w:val="left" w:pos="4680"/>
          <w:tab w:val="left" w:pos="5220"/>
        </w:tabs>
        <w:autoSpaceDE w:val="0"/>
        <w:autoSpaceDN w:val="0"/>
        <w:adjustRightInd w:val="0"/>
        <w:spacing w:line="240" w:lineRule="auto"/>
      </w:pPr>
      <w:r w:rsidRPr="003533B4">
        <w:t>Approval of Its Electric Security Plan</w:t>
      </w:r>
      <w:r w:rsidRPr="003533B4">
        <w:tab/>
        <w:t>)</w:t>
      </w:r>
    </w:p>
    <w:p w14:paraId="040B1269" w14:textId="77777777" w:rsidR="003533B4" w:rsidRPr="003533B4" w:rsidRDefault="003533B4" w:rsidP="003533B4">
      <w:pPr>
        <w:tabs>
          <w:tab w:val="left" w:pos="4680"/>
          <w:tab w:val="left" w:pos="5220"/>
        </w:tabs>
        <w:autoSpaceDE w:val="0"/>
        <w:autoSpaceDN w:val="0"/>
        <w:adjustRightInd w:val="0"/>
        <w:spacing w:line="240" w:lineRule="auto"/>
      </w:pPr>
    </w:p>
    <w:p w14:paraId="37CDE9E3" w14:textId="77777777" w:rsidR="003533B4" w:rsidRPr="003533B4" w:rsidRDefault="003533B4" w:rsidP="003533B4">
      <w:pPr>
        <w:tabs>
          <w:tab w:val="left" w:pos="4680"/>
          <w:tab w:val="left" w:pos="5220"/>
        </w:tabs>
        <w:autoSpaceDE w:val="0"/>
        <w:autoSpaceDN w:val="0"/>
        <w:adjustRightInd w:val="0"/>
        <w:spacing w:line="240" w:lineRule="auto"/>
      </w:pPr>
      <w:r w:rsidRPr="003533B4">
        <w:t>In the Matter of the Application of</w:t>
      </w:r>
      <w:r w:rsidRPr="003533B4">
        <w:tab/>
        <w:t>)</w:t>
      </w:r>
    </w:p>
    <w:p w14:paraId="71927597" w14:textId="77777777" w:rsidR="003533B4" w:rsidRPr="003533B4" w:rsidRDefault="003533B4" w:rsidP="003533B4">
      <w:pPr>
        <w:tabs>
          <w:tab w:val="left" w:pos="4680"/>
          <w:tab w:val="left" w:pos="5220"/>
        </w:tabs>
        <w:autoSpaceDE w:val="0"/>
        <w:autoSpaceDN w:val="0"/>
        <w:adjustRightInd w:val="0"/>
        <w:spacing w:line="240" w:lineRule="auto"/>
      </w:pPr>
      <w:r w:rsidRPr="003533B4">
        <w:t>The Dayton Power and Light Company for</w:t>
      </w:r>
      <w:r w:rsidRPr="003533B4">
        <w:tab/>
        <w:t>)</w:t>
      </w:r>
      <w:r w:rsidRPr="003533B4">
        <w:tab/>
        <w:t>Case No. 16-396-EL-ATA</w:t>
      </w:r>
    </w:p>
    <w:p w14:paraId="1AB610AD" w14:textId="77777777" w:rsidR="003533B4" w:rsidRPr="003533B4" w:rsidRDefault="003533B4" w:rsidP="003533B4">
      <w:pPr>
        <w:tabs>
          <w:tab w:val="left" w:pos="4680"/>
          <w:tab w:val="left" w:pos="5220"/>
        </w:tabs>
        <w:autoSpaceDE w:val="0"/>
        <w:autoSpaceDN w:val="0"/>
        <w:adjustRightInd w:val="0"/>
        <w:spacing w:line="240" w:lineRule="auto"/>
      </w:pPr>
      <w:r w:rsidRPr="003533B4">
        <w:t>Approval of Revised Tariffs</w:t>
      </w:r>
      <w:r w:rsidRPr="003533B4">
        <w:tab/>
        <w:t>)</w:t>
      </w:r>
    </w:p>
    <w:p w14:paraId="55AA8933" w14:textId="77777777" w:rsidR="003533B4" w:rsidRPr="003533B4" w:rsidRDefault="003533B4" w:rsidP="003533B4">
      <w:pPr>
        <w:tabs>
          <w:tab w:val="left" w:pos="4680"/>
          <w:tab w:val="left" w:pos="5220"/>
        </w:tabs>
        <w:autoSpaceDE w:val="0"/>
        <w:autoSpaceDN w:val="0"/>
        <w:adjustRightInd w:val="0"/>
        <w:spacing w:line="240" w:lineRule="auto"/>
      </w:pPr>
    </w:p>
    <w:p w14:paraId="0A5E46E4" w14:textId="77777777" w:rsidR="003533B4" w:rsidRPr="003533B4" w:rsidRDefault="003533B4" w:rsidP="003533B4">
      <w:pPr>
        <w:tabs>
          <w:tab w:val="left" w:pos="4680"/>
          <w:tab w:val="left" w:pos="5220"/>
        </w:tabs>
        <w:autoSpaceDE w:val="0"/>
        <w:autoSpaceDN w:val="0"/>
        <w:adjustRightInd w:val="0"/>
        <w:spacing w:line="240" w:lineRule="auto"/>
      </w:pPr>
      <w:r w:rsidRPr="003533B4">
        <w:t>In the Matter of the Application of</w:t>
      </w:r>
      <w:r w:rsidRPr="003533B4">
        <w:tab/>
        <w:t>)</w:t>
      </w:r>
    </w:p>
    <w:p w14:paraId="5DD258BE" w14:textId="77777777" w:rsidR="003533B4" w:rsidRPr="003533B4" w:rsidRDefault="003533B4" w:rsidP="003533B4">
      <w:pPr>
        <w:tabs>
          <w:tab w:val="left" w:pos="4680"/>
          <w:tab w:val="left" w:pos="5220"/>
        </w:tabs>
        <w:autoSpaceDE w:val="0"/>
        <w:autoSpaceDN w:val="0"/>
        <w:adjustRightInd w:val="0"/>
        <w:spacing w:line="240" w:lineRule="auto"/>
      </w:pPr>
      <w:r w:rsidRPr="003533B4">
        <w:t>The Dayton Power and Light Company for</w:t>
      </w:r>
      <w:r w:rsidRPr="003533B4">
        <w:tab/>
        <w:t>)</w:t>
      </w:r>
      <w:r w:rsidRPr="003533B4">
        <w:tab/>
        <w:t>Case No. 16-397-EL-AAM</w:t>
      </w:r>
    </w:p>
    <w:p w14:paraId="69A3488A" w14:textId="77777777" w:rsidR="003533B4" w:rsidRPr="003533B4" w:rsidRDefault="003533B4" w:rsidP="003533B4">
      <w:pPr>
        <w:tabs>
          <w:tab w:val="left" w:pos="4680"/>
          <w:tab w:val="left" w:pos="5220"/>
        </w:tabs>
        <w:autoSpaceDE w:val="0"/>
        <w:autoSpaceDN w:val="0"/>
        <w:adjustRightInd w:val="0"/>
        <w:spacing w:line="240" w:lineRule="auto"/>
      </w:pPr>
      <w:r w:rsidRPr="003533B4">
        <w:t>Approval of Certain Accounting Authority</w:t>
      </w:r>
      <w:r w:rsidRPr="003533B4">
        <w:tab/>
        <w:t>)</w:t>
      </w:r>
    </w:p>
    <w:p w14:paraId="3822B5F8" w14:textId="77777777" w:rsidR="003533B4" w:rsidRPr="003533B4" w:rsidRDefault="003533B4" w:rsidP="003533B4">
      <w:pPr>
        <w:tabs>
          <w:tab w:val="left" w:pos="4680"/>
          <w:tab w:val="left" w:pos="5220"/>
        </w:tabs>
        <w:autoSpaceDE w:val="0"/>
        <w:autoSpaceDN w:val="0"/>
        <w:adjustRightInd w:val="0"/>
        <w:spacing w:line="240" w:lineRule="auto"/>
      </w:pPr>
      <w:r w:rsidRPr="003533B4">
        <w:t>Pursuant to Ohio Rev. Code § 4905.13</w:t>
      </w:r>
      <w:r w:rsidRPr="003533B4">
        <w:tab/>
        <w:t>)</w:t>
      </w:r>
    </w:p>
    <w:p w14:paraId="26ABAAC9" w14:textId="77777777" w:rsidR="003533B4" w:rsidRPr="003533B4" w:rsidRDefault="003533B4" w:rsidP="003533B4">
      <w:pPr>
        <w:tabs>
          <w:tab w:val="left" w:pos="4680"/>
        </w:tabs>
        <w:spacing w:line="240" w:lineRule="auto"/>
        <w:rPr>
          <w:rFonts w:eastAsia="Times New Roman"/>
        </w:rPr>
      </w:pPr>
    </w:p>
    <w:p w14:paraId="22C3A3A2" w14:textId="77777777" w:rsidR="003533B4" w:rsidRPr="003533B4" w:rsidRDefault="003533B4" w:rsidP="003533B4">
      <w:pPr>
        <w:spacing w:line="240" w:lineRule="auto"/>
        <w:jc w:val="left"/>
        <w:rPr>
          <w:b/>
          <w:smallCaps/>
        </w:rPr>
      </w:pPr>
      <w:r w:rsidRPr="003533B4">
        <w:rPr>
          <w:b/>
          <w:smallCaps/>
        </w:rPr>
        <w:t>_____________________________________________________________________</w:t>
      </w:r>
    </w:p>
    <w:p w14:paraId="466943AF" w14:textId="77777777" w:rsidR="003533B4" w:rsidRPr="003533B4" w:rsidRDefault="003533B4" w:rsidP="003533B4">
      <w:pPr>
        <w:spacing w:line="240" w:lineRule="auto"/>
        <w:jc w:val="center"/>
        <w:rPr>
          <w:b/>
        </w:rPr>
      </w:pPr>
    </w:p>
    <w:p w14:paraId="24F0B5FC" w14:textId="507ABCA6" w:rsidR="00910BEC" w:rsidRDefault="00464979" w:rsidP="00910BEC">
      <w:pPr>
        <w:pBdr>
          <w:bottom w:val="single" w:sz="12" w:space="1" w:color="auto"/>
        </w:pBdr>
        <w:tabs>
          <w:tab w:val="left" w:pos="4680"/>
        </w:tabs>
        <w:spacing w:line="240" w:lineRule="auto"/>
        <w:jc w:val="center"/>
        <w:rPr>
          <w:b/>
          <w:caps/>
        </w:rPr>
      </w:pPr>
      <w:r w:rsidRPr="00464979">
        <w:rPr>
          <w:b/>
          <w:caps/>
        </w:rPr>
        <w:t>Industrial Energy Users-Ohio’s Memorandum Contra the Motion of the Dayton Power and Light Company to Implement the SSR Extension Rider</w:t>
      </w:r>
    </w:p>
    <w:p w14:paraId="447C5955" w14:textId="77777777" w:rsidR="00AD7F8C" w:rsidRDefault="00AD7F8C" w:rsidP="00910BEC">
      <w:pPr>
        <w:pBdr>
          <w:bottom w:val="single" w:sz="12" w:space="1" w:color="auto"/>
        </w:pBdr>
        <w:tabs>
          <w:tab w:val="left" w:pos="4680"/>
        </w:tabs>
        <w:spacing w:line="240" w:lineRule="auto"/>
        <w:jc w:val="center"/>
        <w:rPr>
          <w:b/>
          <w:caps/>
        </w:rPr>
      </w:pPr>
    </w:p>
    <w:p w14:paraId="717BDDA1" w14:textId="54DF44DF" w:rsidR="00AD7F8C" w:rsidRDefault="001943CE" w:rsidP="00910BEC">
      <w:pPr>
        <w:pBdr>
          <w:bottom w:val="single" w:sz="12" w:space="1" w:color="auto"/>
        </w:pBdr>
        <w:tabs>
          <w:tab w:val="left" w:pos="4680"/>
        </w:tabs>
        <w:spacing w:line="240" w:lineRule="auto"/>
        <w:jc w:val="center"/>
        <w:rPr>
          <w:color w:val="000000"/>
        </w:rPr>
      </w:pPr>
      <w:r>
        <w:rPr>
          <w:color w:val="FF0000"/>
        </w:rPr>
        <w:t>PUBLIC</w:t>
      </w:r>
      <w:bookmarkStart w:id="0" w:name="_GoBack"/>
      <w:bookmarkEnd w:id="0"/>
      <w:r w:rsidR="00BF310E" w:rsidRPr="001974C1">
        <w:rPr>
          <w:color w:val="FF0000"/>
        </w:rPr>
        <w:t xml:space="preserve"> VERSION</w:t>
      </w:r>
    </w:p>
    <w:p w14:paraId="28C60176" w14:textId="77777777" w:rsidR="00BF310E" w:rsidRPr="003533B4" w:rsidRDefault="00BF310E" w:rsidP="00910BEC">
      <w:pPr>
        <w:pBdr>
          <w:bottom w:val="single" w:sz="12" w:space="1" w:color="auto"/>
        </w:pBdr>
        <w:tabs>
          <w:tab w:val="left" w:pos="4680"/>
        </w:tabs>
        <w:spacing w:line="240" w:lineRule="auto"/>
        <w:jc w:val="center"/>
        <w:rPr>
          <w:b/>
          <w:caps/>
        </w:rPr>
      </w:pPr>
    </w:p>
    <w:p w14:paraId="136BC609" w14:textId="071D6A80" w:rsidR="00AD7F8C" w:rsidRPr="003533B4" w:rsidRDefault="00AD7F8C" w:rsidP="003533B4">
      <w:pPr>
        <w:spacing w:line="240" w:lineRule="auto"/>
        <w:jc w:val="center"/>
        <w:rPr>
          <w:b/>
        </w:rPr>
      </w:pPr>
    </w:p>
    <w:p w14:paraId="71EE57D8" w14:textId="77777777" w:rsidR="003533B4" w:rsidRPr="003533B4" w:rsidRDefault="003533B4" w:rsidP="003533B4">
      <w:pPr>
        <w:tabs>
          <w:tab w:val="left" w:pos="4320"/>
          <w:tab w:val="right" w:pos="8640"/>
        </w:tabs>
        <w:spacing w:line="240" w:lineRule="auto"/>
        <w:rPr>
          <w:color w:val="000000"/>
        </w:rPr>
      </w:pPr>
    </w:p>
    <w:p w14:paraId="5FACFF5D" w14:textId="20520F30" w:rsidR="003533B4" w:rsidRPr="003533B4" w:rsidRDefault="003533B4" w:rsidP="00970DEE">
      <w:pPr>
        <w:tabs>
          <w:tab w:val="left" w:pos="4320"/>
          <w:tab w:val="right" w:pos="8640"/>
        </w:tabs>
        <w:spacing w:line="240" w:lineRule="auto"/>
        <w:jc w:val="center"/>
        <w:rPr>
          <w:color w:val="000000"/>
        </w:rPr>
      </w:pPr>
    </w:p>
    <w:p w14:paraId="0ACD8368" w14:textId="77777777" w:rsidR="003533B4" w:rsidRPr="003533B4" w:rsidRDefault="003533B4" w:rsidP="003533B4">
      <w:pPr>
        <w:tabs>
          <w:tab w:val="left" w:pos="4320"/>
          <w:tab w:val="right" w:pos="8640"/>
        </w:tabs>
        <w:spacing w:line="240" w:lineRule="auto"/>
        <w:rPr>
          <w:color w:val="000000"/>
        </w:rPr>
      </w:pPr>
    </w:p>
    <w:p w14:paraId="0936E07C" w14:textId="77777777" w:rsidR="003533B4" w:rsidRPr="003533B4" w:rsidRDefault="003533B4" w:rsidP="003533B4">
      <w:pPr>
        <w:tabs>
          <w:tab w:val="left" w:pos="4320"/>
          <w:tab w:val="right" w:pos="8640"/>
        </w:tabs>
        <w:spacing w:line="240" w:lineRule="auto"/>
        <w:rPr>
          <w:color w:val="000000"/>
        </w:rPr>
      </w:pPr>
    </w:p>
    <w:p w14:paraId="194EB543" w14:textId="77777777" w:rsidR="003533B4" w:rsidRPr="003533B4" w:rsidRDefault="003533B4" w:rsidP="003533B4">
      <w:pPr>
        <w:tabs>
          <w:tab w:val="left" w:pos="4320"/>
          <w:tab w:val="right" w:pos="8640"/>
        </w:tabs>
        <w:spacing w:line="240" w:lineRule="auto"/>
        <w:rPr>
          <w:color w:val="000000"/>
        </w:rPr>
      </w:pPr>
    </w:p>
    <w:p w14:paraId="7B8C985D" w14:textId="77777777" w:rsidR="003533B4" w:rsidRPr="003533B4" w:rsidRDefault="003533B4" w:rsidP="003533B4">
      <w:pPr>
        <w:tabs>
          <w:tab w:val="left" w:pos="4320"/>
          <w:tab w:val="right" w:pos="8640"/>
        </w:tabs>
        <w:spacing w:line="240" w:lineRule="auto"/>
        <w:rPr>
          <w:color w:val="000000"/>
        </w:rPr>
      </w:pPr>
    </w:p>
    <w:p w14:paraId="5BBE1D7F" w14:textId="77777777" w:rsidR="003533B4" w:rsidRPr="003533B4" w:rsidRDefault="003533B4" w:rsidP="003533B4">
      <w:pPr>
        <w:widowControl w:val="0"/>
        <w:spacing w:line="240" w:lineRule="auto"/>
        <w:ind w:left="4320"/>
        <w:rPr>
          <w:b/>
          <w:bCs/>
          <w:color w:val="000000" w:themeColor="text1"/>
        </w:rPr>
      </w:pPr>
      <w:r w:rsidRPr="003533B4">
        <w:rPr>
          <w:bCs/>
          <w:color w:val="000000" w:themeColor="text1"/>
        </w:rPr>
        <w:t>Frank P. Darr (Reg. No. 0025469)</w:t>
      </w:r>
    </w:p>
    <w:p w14:paraId="277E78C4" w14:textId="77777777" w:rsidR="003533B4" w:rsidRPr="003533B4" w:rsidRDefault="003533B4" w:rsidP="003533B4">
      <w:pPr>
        <w:tabs>
          <w:tab w:val="right" w:pos="8640"/>
        </w:tabs>
        <w:spacing w:line="240" w:lineRule="auto"/>
        <w:ind w:left="4320"/>
        <w:rPr>
          <w:color w:val="000000" w:themeColor="text1"/>
          <w:szCs w:val="22"/>
        </w:rPr>
      </w:pPr>
      <w:r w:rsidRPr="003533B4">
        <w:rPr>
          <w:b/>
          <w:bCs/>
          <w:color w:val="000000" w:themeColor="text1"/>
          <w:szCs w:val="22"/>
        </w:rPr>
        <w:t xml:space="preserve">  </w:t>
      </w:r>
      <w:r w:rsidRPr="003533B4">
        <w:rPr>
          <w:color w:val="000000" w:themeColor="text1"/>
          <w:szCs w:val="22"/>
        </w:rPr>
        <w:t>(Counsel of Record)</w:t>
      </w:r>
    </w:p>
    <w:p w14:paraId="39EBB2B2" w14:textId="77777777" w:rsidR="003533B4" w:rsidRPr="003533B4" w:rsidRDefault="003533B4" w:rsidP="003533B4">
      <w:pPr>
        <w:widowControl w:val="0"/>
        <w:spacing w:line="240" w:lineRule="auto"/>
        <w:ind w:left="4320"/>
        <w:rPr>
          <w:b/>
          <w:bCs/>
          <w:color w:val="000000" w:themeColor="text1"/>
        </w:rPr>
      </w:pPr>
      <w:r w:rsidRPr="003533B4">
        <w:rPr>
          <w:bCs/>
          <w:color w:val="000000" w:themeColor="text1"/>
        </w:rPr>
        <w:t>Matthew R. Pritchard (Reg. No. 0088070)</w:t>
      </w:r>
    </w:p>
    <w:p w14:paraId="2233390C" w14:textId="77777777" w:rsidR="003533B4" w:rsidRPr="003533B4" w:rsidRDefault="003533B4" w:rsidP="003533B4">
      <w:pPr>
        <w:widowControl w:val="0"/>
        <w:spacing w:line="240" w:lineRule="auto"/>
        <w:ind w:left="4320"/>
        <w:rPr>
          <w:b/>
          <w:bCs/>
          <w:smallCaps/>
          <w:color w:val="000000" w:themeColor="text1"/>
        </w:rPr>
      </w:pPr>
      <w:r w:rsidRPr="003533B4">
        <w:rPr>
          <w:bCs/>
          <w:smallCaps/>
          <w:color w:val="000000" w:themeColor="text1"/>
        </w:rPr>
        <w:t>McNees Wallace &amp; Nurick LLC</w:t>
      </w:r>
    </w:p>
    <w:p w14:paraId="222047CB" w14:textId="77777777" w:rsidR="003533B4" w:rsidRPr="003533B4" w:rsidRDefault="003533B4" w:rsidP="003533B4">
      <w:pPr>
        <w:widowControl w:val="0"/>
        <w:spacing w:line="240" w:lineRule="auto"/>
        <w:ind w:left="4320"/>
        <w:rPr>
          <w:b/>
          <w:bCs/>
          <w:color w:val="000000" w:themeColor="text1"/>
        </w:rPr>
      </w:pPr>
      <w:r w:rsidRPr="003533B4">
        <w:rPr>
          <w:bCs/>
          <w:color w:val="000000" w:themeColor="text1"/>
        </w:rPr>
        <w:t>21 East State Street, 17</w:t>
      </w:r>
      <w:r w:rsidRPr="003533B4">
        <w:rPr>
          <w:bCs/>
          <w:color w:val="000000" w:themeColor="text1"/>
          <w:vertAlign w:val="superscript"/>
        </w:rPr>
        <w:t>TH</w:t>
      </w:r>
      <w:r w:rsidRPr="003533B4">
        <w:rPr>
          <w:bCs/>
          <w:color w:val="000000" w:themeColor="text1"/>
        </w:rPr>
        <w:t xml:space="preserve"> Floor</w:t>
      </w:r>
    </w:p>
    <w:p w14:paraId="4B6F06B2" w14:textId="77777777" w:rsidR="003533B4" w:rsidRPr="003533B4" w:rsidRDefault="003533B4" w:rsidP="003533B4">
      <w:pPr>
        <w:spacing w:line="240" w:lineRule="auto"/>
        <w:ind w:left="4320"/>
        <w:rPr>
          <w:rFonts w:eastAsia="Times New Roman"/>
          <w:color w:val="000000" w:themeColor="text1"/>
        </w:rPr>
      </w:pPr>
      <w:r w:rsidRPr="003533B4">
        <w:rPr>
          <w:rFonts w:eastAsia="Times New Roman"/>
          <w:color w:val="000000" w:themeColor="text1"/>
        </w:rPr>
        <w:t>Columbus, OH  43215</w:t>
      </w:r>
    </w:p>
    <w:p w14:paraId="7D60AD3B" w14:textId="77777777" w:rsidR="003533B4" w:rsidRPr="003533B4" w:rsidRDefault="003533B4" w:rsidP="003533B4">
      <w:pPr>
        <w:spacing w:line="240" w:lineRule="auto"/>
        <w:ind w:left="4320"/>
        <w:rPr>
          <w:rFonts w:eastAsia="Times New Roman"/>
          <w:color w:val="000000" w:themeColor="text1"/>
        </w:rPr>
      </w:pPr>
      <w:r w:rsidRPr="003533B4">
        <w:rPr>
          <w:rFonts w:eastAsia="Times New Roman"/>
          <w:color w:val="000000" w:themeColor="text1"/>
        </w:rPr>
        <w:t>Telephone:  (614) 469-8000</w:t>
      </w:r>
    </w:p>
    <w:p w14:paraId="00E2B715" w14:textId="77777777" w:rsidR="003533B4" w:rsidRPr="003533B4" w:rsidRDefault="003533B4" w:rsidP="003533B4">
      <w:pPr>
        <w:spacing w:line="240" w:lineRule="auto"/>
        <w:ind w:left="4320"/>
        <w:rPr>
          <w:rFonts w:eastAsia="Times New Roman"/>
          <w:color w:val="000000" w:themeColor="text1"/>
        </w:rPr>
      </w:pPr>
      <w:r w:rsidRPr="003533B4">
        <w:rPr>
          <w:rFonts w:eastAsia="Times New Roman"/>
          <w:color w:val="000000" w:themeColor="text1"/>
        </w:rPr>
        <w:t>Telecopier:  (614) 469-4653</w:t>
      </w:r>
    </w:p>
    <w:p w14:paraId="149663D8" w14:textId="77777777" w:rsidR="003533B4" w:rsidRPr="003533B4" w:rsidRDefault="003533B4" w:rsidP="003533B4">
      <w:pPr>
        <w:spacing w:line="240" w:lineRule="auto"/>
        <w:ind w:left="4320"/>
        <w:rPr>
          <w:rFonts w:eastAsia="Times New Roman"/>
          <w:color w:val="000000" w:themeColor="text1"/>
        </w:rPr>
      </w:pPr>
      <w:r w:rsidRPr="003533B4">
        <w:rPr>
          <w:rFonts w:eastAsia="Times New Roman"/>
          <w:color w:val="000000" w:themeColor="text1"/>
        </w:rPr>
        <w:t>fdarr@mwncmh.com</w:t>
      </w:r>
    </w:p>
    <w:p w14:paraId="68810652" w14:textId="77777777" w:rsidR="003533B4" w:rsidRPr="003533B4" w:rsidRDefault="003533B4" w:rsidP="003533B4">
      <w:pPr>
        <w:spacing w:line="240" w:lineRule="auto"/>
        <w:ind w:left="4320"/>
        <w:rPr>
          <w:rFonts w:eastAsia="Times New Roman"/>
          <w:color w:val="000000" w:themeColor="text1"/>
        </w:rPr>
      </w:pPr>
      <w:r w:rsidRPr="003533B4">
        <w:rPr>
          <w:rFonts w:eastAsia="Times New Roman"/>
          <w:color w:val="000000" w:themeColor="text1"/>
        </w:rPr>
        <w:t>mpritchard@mwncmh.com</w:t>
      </w:r>
    </w:p>
    <w:p w14:paraId="38DC6D9D" w14:textId="77777777" w:rsidR="003533B4" w:rsidRPr="003533B4" w:rsidRDefault="003533B4" w:rsidP="003533B4">
      <w:pPr>
        <w:tabs>
          <w:tab w:val="left" w:pos="4320"/>
          <w:tab w:val="right" w:pos="8640"/>
        </w:tabs>
        <w:spacing w:line="240" w:lineRule="auto"/>
        <w:rPr>
          <w:color w:val="000000"/>
        </w:rPr>
      </w:pPr>
    </w:p>
    <w:p w14:paraId="7B65FEE4" w14:textId="7ED13AE2" w:rsidR="003533B4" w:rsidRPr="003533B4" w:rsidRDefault="00222A77" w:rsidP="003533B4">
      <w:pPr>
        <w:tabs>
          <w:tab w:val="left" w:pos="4320"/>
          <w:tab w:val="right" w:pos="8640"/>
        </w:tabs>
        <w:spacing w:line="240" w:lineRule="auto"/>
        <w:rPr>
          <w:b/>
          <w:color w:val="000000"/>
        </w:rPr>
      </w:pPr>
      <w:r>
        <w:rPr>
          <w:b/>
          <w:color w:val="000000"/>
        </w:rPr>
        <w:t>April</w:t>
      </w:r>
      <w:r w:rsidR="003533B4" w:rsidRPr="003533B4">
        <w:rPr>
          <w:b/>
          <w:color w:val="000000"/>
        </w:rPr>
        <w:t xml:space="preserve"> </w:t>
      </w:r>
      <w:r w:rsidR="00D7037C">
        <w:rPr>
          <w:b/>
          <w:color w:val="000000"/>
        </w:rPr>
        <w:t>29</w:t>
      </w:r>
      <w:r w:rsidR="003533B4" w:rsidRPr="003533B4">
        <w:rPr>
          <w:b/>
          <w:color w:val="000000"/>
        </w:rPr>
        <w:t>, 2016</w:t>
      </w:r>
      <w:r w:rsidR="003533B4" w:rsidRPr="003533B4">
        <w:rPr>
          <w:b/>
          <w:color w:val="000000"/>
        </w:rPr>
        <w:tab/>
        <w:t>Attorneys for Industrial Energy Users-Ohio</w:t>
      </w:r>
    </w:p>
    <w:p w14:paraId="12F06F63" w14:textId="77777777" w:rsidR="003533B4" w:rsidRPr="003533B4" w:rsidRDefault="003533B4" w:rsidP="003533B4">
      <w:pPr>
        <w:spacing w:line="240" w:lineRule="auto"/>
        <w:jc w:val="center"/>
        <w:rPr>
          <w:rFonts w:eastAsia="Times New Roman"/>
          <w:b/>
          <w:smallCaps/>
        </w:rPr>
        <w:sectPr w:rsidR="003533B4" w:rsidRPr="003533B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r w:rsidRPr="003533B4">
        <w:rPr>
          <w:rFonts w:eastAsia="Times New Roman"/>
          <w:b/>
          <w:smallCaps/>
        </w:rPr>
        <w:tab/>
      </w:r>
    </w:p>
    <w:p w14:paraId="25CB7047" w14:textId="77777777" w:rsidR="00C64B69" w:rsidRPr="005C033A" w:rsidRDefault="00C64B69" w:rsidP="00C64B69">
      <w:pPr>
        <w:pStyle w:val="TOCHeading"/>
        <w:rPr>
          <w:rFonts w:ascii="Arial Bold" w:hAnsi="Arial Bold"/>
          <w:caps/>
          <w:u w:val="thick"/>
        </w:rPr>
      </w:pPr>
      <w:bookmarkStart w:id="1" w:name="TOCHeading_1"/>
      <w:r w:rsidRPr="005C033A">
        <w:rPr>
          <w:rFonts w:ascii="Arial Bold" w:hAnsi="Arial Bold"/>
          <w:caps/>
          <w:u w:val="thick"/>
        </w:rPr>
        <w:lastRenderedPageBreak/>
        <w:t>Table of Contents</w:t>
      </w:r>
    </w:p>
    <w:p w14:paraId="7A869697" w14:textId="77777777" w:rsidR="000E19F7" w:rsidRDefault="000E19F7" w:rsidP="00795D99">
      <w:pPr>
        <w:pStyle w:val="TOCPage"/>
      </w:pPr>
      <w:bookmarkStart w:id="2" w:name="TOCPage_1"/>
      <w:bookmarkEnd w:id="1"/>
      <w:r>
        <w:t>Page</w:t>
      </w:r>
    </w:p>
    <w:p w14:paraId="75F4A40E" w14:textId="51C4CDAA" w:rsidR="00C64B69" w:rsidRDefault="00C64B69" w:rsidP="005C033A">
      <w:pPr>
        <w:pStyle w:val="TOC1"/>
        <w:spacing w:line="240" w:lineRule="auto"/>
        <w:rPr>
          <w:rFonts w:asciiTheme="minorHAnsi" w:eastAsiaTheme="minorEastAsia" w:hAnsiTheme="minorHAnsi" w:cstheme="minorBidi"/>
          <w:noProof/>
          <w:sz w:val="22"/>
          <w:szCs w:val="22"/>
        </w:rPr>
      </w:pPr>
      <w:bookmarkStart w:id="3" w:name="TOCLocation_1"/>
      <w:bookmarkEnd w:id="2"/>
      <w:r w:rsidRPr="003A7118">
        <w:rPr>
          <w:noProof/>
          <w:color w:val="010000"/>
        </w:rPr>
        <w:t>I.</w:t>
      </w:r>
      <w:r>
        <w:rPr>
          <w:rFonts w:asciiTheme="minorHAnsi" w:eastAsiaTheme="minorEastAsia" w:hAnsiTheme="minorHAnsi" w:cstheme="minorBidi"/>
          <w:noProof/>
          <w:sz w:val="22"/>
          <w:szCs w:val="22"/>
        </w:rPr>
        <w:tab/>
      </w:r>
      <w:r w:rsidRPr="00C64B69">
        <w:rPr>
          <w:caps/>
          <w:noProof/>
        </w:rPr>
        <w:t>Background</w:t>
      </w:r>
      <w:r>
        <w:rPr>
          <w:noProof/>
        </w:rPr>
        <w:tab/>
        <w:t>2</w:t>
      </w:r>
    </w:p>
    <w:p w14:paraId="4546A2CC" w14:textId="372F029F" w:rsidR="00C64B69" w:rsidRDefault="00C64B69" w:rsidP="005C033A">
      <w:pPr>
        <w:pStyle w:val="TOC1"/>
        <w:spacing w:line="240" w:lineRule="auto"/>
        <w:rPr>
          <w:rFonts w:asciiTheme="minorHAnsi" w:eastAsiaTheme="minorEastAsia" w:hAnsiTheme="minorHAnsi" w:cstheme="minorBidi"/>
          <w:noProof/>
          <w:sz w:val="22"/>
          <w:szCs w:val="22"/>
        </w:rPr>
      </w:pPr>
      <w:r w:rsidRPr="003A7118">
        <w:rPr>
          <w:noProof/>
          <w:color w:val="010000"/>
        </w:rPr>
        <w:t>II.</w:t>
      </w:r>
      <w:r>
        <w:rPr>
          <w:rFonts w:asciiTheme="minorHAnsi" w:eastAsiaTheme="minorEastAsia" w:hAnsiTheme="minorHAnsi" w:cstheme="minorBidi"/>
          <w:noProof/>
          <w:sz w:val="22"/>
          <w:szCs w:val="22"/>
        </w:rPr>
        <w:tab/>
      </w:r>
      <w:r w:rsidRPr="00C64B69">
        <w:rPr>
          <w:caps/>
          <w:noProof/>
        </w:rPr>
        <w:t>Argument</w:t>
      </w:r>
      <w:r>
        <w:rPr>
          <w:noProof/>
        </w:rPr>
        <w:tab/>
        <w:t>6</w:t>
      </w:r>
    </w:p>
    <w:p w14:paraId="41E053BC" w14:textId="40A4A39A" w:rsidR="00C64B69" w:rsidRDefault="00C64B69" w:rsidP="005C033A">
      <w:pPr>
        <w:pStyle w:val="TOC2"/>
        <w:spacing w:line="240" w:lineRule="auto"/>
        <w:rPr>
          <w:rFonts w:asciiTheme="minorHAnsi" w:eastAsiaTheme="minorEastAsia" w:hAnsiTheme="minorHAnsi" w:cstheme="minorBidi"/>
          <w:noProof/>
          <w:sz w:val="22"/>
          <w:szCs w:val="22"/>
        </w:rPr>
      </w:pPr>
      <w:r w:rsidRPr="003A7118">
        <w:rPr>
          <w:noProof/>
          <w:color w:val="010000"/>
        </w:rPr>
        <w:t>A.</w:t>
      </w:r>
      <w:r>
        <w:rPr>
          <w:rFonts w:asciiTheme="minorHAnsi" w:eastAsiaTheme="minorEastAsia" w:hAnsiTheme="minorHAnsi" w:cstheme="minorBidi"/>
          <w:noProof/>
          <w:sz w:val="22"/>
          <w:szCs w:val="22"/>
        </w:rPr>
        <w:tab/>
      </w:r>
      <w:r>
        <w:rPr>
          <w:noProof/>
        </w:rPr>
        <w:t>DP&amp;L has not satisfied the conditions the Commission ordered DP&amp;L to demonstrate if it sought an increase in the SSR-E</w:t>
      </w:r>
      <w:r>
        <w:rPr>
          <w:noProof/>
        </w:rPr>
        <w:tab/>
        <w:t>6</w:t>
      </w:r>
    </w:p>
    <w:p w14:paraId="55F93527" w14:textId="4FEA98F8" w:rsidR="00C64B69" w:rsidRDefault="00C64B69" w:rsidP="005C033A">
      <w:pPr>
        <w:pStyle w:val="TOC3"/>
        <w:spacing w:line="240" w:lineRule="auto"/>
        <w:rPr>
          <w:rFonts w:asciiTheme="minorHAnsi" w:eastAsiaTheme="minorEastAsia" w:hAnsiTheme="minorHAnsi" w:cstheme="minorBidi"/>
          <w:noProof/>
          <w:sz w:val="22"/>
          <w:szCs w:val="22"/>
        </w:rPr>
      </w:pPr>
      <w:r w:rsidRPr="003A7118">
        <w:rPr>
          <w:noProof/>
          <w:color w:val="010000"/>
        </w:rPr>
        <w:t>1.</w:t>
      </w:r>
      <w:r>
        <w:rPr>
          <w:rFonts w:asciiTheme="minorHAnsi" w:eastAsiaTheme="minorEastAsia" w:hAnsiTheme="minorHAnsi" w:cstheme="minorBidi"/>
          <w:noProof/>
          <w:sz w:val="22"/>
          <w:szCs w:val="22"/>
        </w:rPr>
        <w:tab/>
      </w:r>
      <w:r>
        <w:rPr>
          <w:noProof/>
        </w:rPr>
        <w:t>DP&amp;L fails to present the Commission with any analysis specific to DP&amp;L</w:t>
      </w:r>
      <w:r>
        <w:rPr>
          <w:noProof/>
        </w:rPr>
        <w:tab/>
        <w:t>6</w:t>
      </w:r>
    </w:p>
    <w:p w14:paraId="5478FB8C" w14:textId="464228CE" w:rsidR="00C64B69" w:rsidRDefault="00C64B69" w:rsidP="005C033A">
      <w:pPr>
        <w:pStyle w:val="TOC3"/>
        <w:spacing w:line="240" w:lineRule="auto"/>
        <w:rPr>
          <w:rFonts w:asciiTheme="minorHAnsi" w:eastAsiaTheme="minorEastAsia" w:hAnsiTheme="minorHAnsi" w:cstheme="minorBidi"/>
          <w:noProof/>
          <w:sz w:val="22"/>
          <w:szCs w:val="22"/>
        </w:rPr>
      </w:pPr>
      <w:r w:rsidRPr="003A7118">
        <w:rPr>
          <w:noProof/>
          <w:color w:val="010000"/>
        </w:rPr>
        <w:t>2.</w:t>
      </w:r>
      <w:r>
        <w:rPr>
          <w:rFonts w:asciiTheme="minorHAnsi" w:eastAsiaTheme="minorEastAsia" w:hAnsiTheme="minorHAnsi" w:cstheme="minorBidi"/>
          <w:noProof/>
          <w:sz w:val="22"/>
          <w:szCs w:val="22"/>
        </w:rPr>
        <w:tab/>
      </w:r>
      <w:r>
        <w:rPr>
          <w:noProof/>
        </w:rPr>
        <w:t>DP&amp;L fails to provide the Commission with all of the specific relevant financial information that the Commission indicated was necessary for its consideration of any claim of financial need by DP&amp;L</w:t>
      </w:r>
      <w:r>
        <w:rPr>
          <w:noProof/>
        </w:rPr>
        <w:tab/>
        <w:t>9</w:t>
      </w:r>
    </w:p>
    <w:p w14:paraId="405716A8" w14:textId="01017402" w:rsidR="00C64B69" w:rsidRDefault="00C64B69" w:rsidP="005C033A">
      <w:pPr>
        <w:pStyle w:val="TOC3"/>
        <w:spacing w:line="240" w:lineRule="auto"/>
        <w:rPr>
          <w:rFonts w:asciiTheme="minorHAnsi" w:eastAsiaTheme="minorEastAsia" w:hAnsiTheme="minorHAnsi" w:cstheme="minorBidi"/>
          <w:noProof/>
          <w:sz w:val="22"/>
          <w:szCs w:val="22"/>
        </w:rPr>
      </w:pPr>
      <w:r w:rsidRPr="003A7118">
        <w:rPr>
          <w:noProof/>
          <w:color w:val="010000"/>
        </w:rPr>
        <w:t>3.</w:t>
      </w:r>
      <w:r>
        <w:rPr>
          <w:rFonts w:asciiTheme="minorHAnsi" w:eastAsiaTheme="minorEastAsia" w:hAnsiTheme="minorHAnsi" w:cstheme="minorBidi"/>
          <w:noProof/>
          <w:sz w:val="22"/>
          <w:szCs w:val="22"/>
        </w:rPr>
        <w:tab/>
      </w:r>
      <w:r>
        <w:rPr>
          <w:noProof/>
        </w:rPr>
        <w:t>DP&amp;L fails to identify the amount of additional revenue that is necessary to maintain its financial integrity</w:t>
      </w:r>
      <w:r>
        <w:rPr>
          <w:noProof/>
        </w:rPr>
        <w:tab/>
        <w:t>12</w:t>
      </w:r>
    </w:p>
    <w:p w14:paraId="680CFAFA" w14:textId="694178E5" w:rsidR="00C64B69" w:rsidRDefault="00C64B69" w:rsidP="005C033A">
      <w:pPr>
        <w:pStyle w:val="TOC3"/>
        <w:spacing w:line="240" w:lineRule="auto"/>
        <w:rPr>
          <w:rFonts w:asciiTheme="minorHAnsi" w:eastAsiaTheme="minorEastAsia" w:hAnsiTheme="minorHAnsi" w:cstheme="minorBidi"/>
          <w:noProof/>
          <w:sz w:val="22"/>
          <w:szCs w:val="22"/>
        </w:rPr>
      </w:pPr>
      <w:r w:rsidRPr="003A7118">
        <w:rPr>
          <w:noProof/>
          <w:color w:val="010000"/>
        </w:rPr>
        <w:t>4.</w:t>
      </w:r>
      <w:r>
        <w:rPr>
          <w:rFonts w:asciiTheme="minorHAnsi" w:eastAsiaTheme="minorEastAsia" w:hAnsiTheme="minorHAnsi" w:cstheme="minorBidi"/>
          <w:noProof/>
          <w:sz w:val="22"/>
          <w:szCs w:val="22"/>
        </w:rPr>
        <w:tab/>
      </w:r>
      <w:r>
        <w:rPr>
          <w:noProof/>
        </w:rPr>
        <w:t>DP&amp;L has not satisfied the additional conditions the Commission required DP&amp;L to undertake before the Commission would authorize an increase in the SSR-E</w:t>
      </w:r>
      <w:r>
        <w:rPr>
          <w:noProof/>
        </w:rPr>
        <w:tab/>
        <w:t>13</w:t>
      </w:r>
    </w:p>
    <w:p w14:paraId="550541C1" w14:textId="5ED7E847" w:rsidR="00C64B69" w:rsidRDefault="00C64B69" w:rsidP="005C033A">
      <w:pPr>
        <w:pStyle w:val="TOC2"/>
        <w:spacing w:line="240" w:lineRule="auto"/>
        <w:rPr>
          <w:rFonts w:asciiTheme="minorHAnsi" w:eastAsiaTheme="minorEastAsia" w:hAnsiTheme="minorHAnsi" w:cstheme="minorBidi"/>
          <w:noProof/>
          <w:sz w:val="22"/>
          <w:szCs w:val="22"/>
        </w:rPr>
      </w:pPr>
      <w:r w:rsidRPr="003A7118">
        <w:rPr>
          <w:noProof/>
          <w:color w:val="010000"/>
        </w:rPr>
        <w:t>B.</w:t>
      </w:r>
      <w:r>
        <w:rPr>
          <w:rFonts w:asciiTheme="minorHAnsi" w:eastAsiaTheme="minorEastAsia" w:hAnsiTheme="minorHAnsi" w:cstheme="minorBidi"/>
          <w:noProof/>
          <w:sz w:val="22"/>
          <w:szCs w:val="22"/>
        </w:rPr>
        <w:tab/>
      </w:r>
      <w:r>
        <w:rPr>
          <w:noProof/>
        </w:rPr>
        <w:t>The Commission lacks authority to provide DP&amp;L an increase in revenue through the SSR-E</w:t>
      </w:r>
      <w:r>
        <w:rPr>
          <w:noProof/>
        </w:rPr>
        <w:tab/>
        <w:t>15</w:t>
      </w:r>
    </w:p>
    <w:p w14:paraId="45B86965" w14:textId="00237B42" w:rsidR="00C64B69" w:rsidRDefault="00C64B69" w:rsidP="005C033A">
      <w:pPr>
        <w:pStyle w:val="TOC3"/>
        <w:spacing w:line="240" w:lineRule="auto"/>
        <w:rPr>
          <w:rFonts w:asciiTheme="minorHAnsi" w:eastAsiaTheme="minorEastAsia" w:hAnsiTheme="minorHAnsi" w:cstheme="minorBidi"/>
          <w:noProof/>
          <w:sz w:val="22"/>
          <w:szCs w:val="22"/>
        </w:rPr>
      </w:pPr>
      <w:r w:rsidRPr="003A7118">
        <w:rPr>
          <w:noProof/>
          <w:color w:val="010000"/>
        </w:rPr>
        <w:t>1.</w:t>
      </w:r>
      <w:r>
        <w:rPr>
          <w:rFonts w:asciiTheme="minorHAnsi" w:eastAsiaTheme="minorEastAsia" w:hAnsiTheme="minorHAnsi" w:cstheme="minorBidi"/>
          <w:noProof/>
          <w:sz w:val="22"/>
          <w:szCs w:val="22"/>
        </w:rPr>
        <w:tab/>
      </w:r>
      <w:r>
        <w:rPr>
          <w:noProof/>
        </w:rPr>
        <w:t>Ohio law prohibits an order increasing the SSR-E rate</w:t>
      </w:r>
      <w:r>
        <w:rPr>
          <w:noProof/>
        </w:rPr>
        <w:tab/>
        <w:t>15</w:t>
      </w:r>
    </w:p>
    <w:p w14:paraId="4EB03131" w14:textId="485B8FE1" w:rsidR="00C64B69" w:rsidRDefault="00C64B69" w:rsidP="005C033A">
      <w:pPr>
        <w:pStyle w:val="TOC4"/>
        <w:spacing w:line="240" w:lineRule="auto"/>
        <w:rPr>
          <w:rFonts w:asciiTheme="minorHAnsi" w:eastAsiaTheme="minorEastAsia" w:hAnsiTheme="minorHAnsi" w:cstheme="minorBidi"/>
          <w:noProof/>
          <w:sz w:val="22"/>
          <w:szCs w:val="22"/>
        </w:rPr>
      </w:pPr>
      <w:r w:rsidRPr="003A7118">
        <w:rPr>
          <w:noProof/>
          <w:color w:val="010000"/>
        </w:rPr>
        <w:t>a.</w:t>
      </w:r>
      <w:r>
        <w:rPr>
          <w:rFonts w:asciiTheme="minorHAnsi" w:eastAsiaTheme="minorEastAsia" w:hAnsiTheme="minorHAnsi" w:cstheme="minorBidi"/>
          <w:noProof/>
          <w:sz w:val="22"/>
          <w:szCs w:val="22"/>
        </w:rPr>
        <w:tab/>
      </w:r>
      <w:r>
        <w:rPr>
          <w:noProof/>
        </w:rPr>
        <w:t>DP&amp;L’s motion and supporting materials fail to demonstrate the facts and circumstances that support authorization of an increase in the rider under R.C. 4928.143(B)(2)(d)</w:t>
      </w:r>
      <w:r>
        <w:rPr>
          <w:noProof/>
        </w:rPr>
        <w:tab/>
        <w:t>15</w:t>
      </w:r>
    </w:p>
    <w:p w14:paraId="585BF50C" w14:textId="7C5A718F" w:rsidR="00C64B69" w:rsidRDefault="00C64B69" w:rsidP="005C033A">
      <w:pPr>
        <w:pStyle w:val="TOC4"/>
        <w:spacing w:line="240" w:lineRule="auto"/>
        <w:rPr>
          <w:rFonts w:asciiTheme="minorHAnsi" w:eastAsiaTheme="minorEastAsia" w:hAnsiTheme="minorHAnsi" w:cstheme="minorBidi"/>
          <w:noProof/>
          <w:sz w:val="22"/>
          <w:szCs w:val="22"/>
        </w:rPr>
      </w:pPr>
      <w:r w:rsidRPr="003A7118">
        <w:rPr>
          <w:noProof/>
          <w:color w:val="010000"/>
        </w:rPr>
        <w:t>b.</w:t>
      </w:r>
      <w:r>
        <w:rPr>
          <w:rFonts w:asciiTheme="minorHAnsi" w:eastAsiaTheme="minorEastAsia" w:hAnsiTheme="minorHAnsi" w:cstheme="minorBidi"/>
          <w:noProof/>
          <w:sz w:val="22"/>
          <w:szCs w:val="22"/>
        </w:rPr>
        <w:tab/>
      </w:r>
      <w:r>
        <w:rPr>
          <w:noProof/>
        </w:rPr>
        <w:t>The authorization of an increase in the SSR-E would result in a violation of R.C. 4928.38 that prohibits the billing and collection of transition revenue or its equivalent after the market development period has ended</w:t>
      </w:r>
      <w:r>
        <w:rPr>
          <w:noProof/>
        </w:rPr>
        <w:tab/>
        <w:t>18</w:t>
      </w:r>
    </w:p>
    <w:p w14:paraId="5AD4BBCD" w14:textId="72433E17" w:rsidR="00C64B69" w:rsidRDefault="00C64B69" w:rsidP="005C033A">
      <w:pPr>
        <w:pStyle w:val="TOC4"/>
        <w:spacing w:line="240" w:lineRule="auto"/>
        <w:rPr>
          <w:rFonts w:asciiTheme="minorHAnsi" w:eastAsiaTheme="minorEastAsia" w:hAnsiTheme="minorHAnsi" w:cstheme="minorBidi"/>
          <w:noProof/>
          <w:sz w:val="22"/>
          <w:szCs w:val="22"/>
        </w:rPr>
      </w:pPr>
      <w:r w:rsidRPr="003A7118">
        <w:rPr>
          <w:rFonts w:eastAsia="Calibri"/>
          <w:noProof/>
          <w:color w:val="010000"/>
        </w:rPr>
        <w:t>c.</w:t>
      </w:r>
      <w:r>
        <w:rPr>
          <w:rFonts w:asciiTheme="minorHAnsi" w:eastAsiaTheme="minorEastAsia" w:hAnsiTheme="minorHAnsi" w:cstheme="minorBidi"/>
          <w:noProof/>
          <w:sz w:val="22"/>
          <w:szCs w:val="22"/>
        </w:rPr>
        <w:tab/>
      </w:r>
      <w:r w:rsidRPr="003A7118">
        <w:rPr>
          <w:rFonts w:eastAsia="Calibri"/>
          <w:noProof/>
        </w:rPr>
        <w:t xml:space="preserve">The authorization of an increase in the SSR-E would result in a violation of R.C. 4928.02(H) that prohibits the authorization of </w:t>
      </w:r>
      <w:r>
        <w:rPr>
          <w:noProof/>
        </w:rPr>
        <w:t>an anticompetitive subsidy and the recovery of any generation-related costs through distribution or transmission rates</w:t>
      </w:r>
      <w:r>
        <w:rPr>
          <w:noProof/>
        </w:rPr>
        <w:tab/>
        <w:t>20</w:t>
      </w:r>
    </w:p>
    <w:p w14:paraId="2E359DA3" w14:textId="39E185AF" w:rsidR="00C64B69" w:rsidRDefault="00C64B69" w:rsidP="005C033A">
      <w:pPr>
        <w:pStyle w:val="TOC4"/>
        <w:spacing w:line="240" w:lineRule="auto"/>
        <w:rPr>
          <w:rFonts w:asciiTheme="minorHAnsi" w:eastAsiaTheme="minorEastAsia" w:hAnsiTheme="minorHAnsi" w:cstheme="minorBidi"/>
          <w:noProof/>
          <w:sz w:val="22"/>
          <w:szCs w:val="22"/>
        </w:rPr>
      </w:pPr>
      <w:r w:rsidRPr="003A7118">
        <w:rPr>
          <w:noProof/>
          <w:color w:val="010000"/>
        </w:rPr>
        <w:t>d.</w:t>
      </w:r>
      <w:r>
        <w:rPr>
          <w:rFonts w:asciiTheme="minorHAnsi" w:eastAsiaTheme="minorEastAsia" w:hAnsiTheme="minorHAnsi" w:cstheme="minorBidi"/>
          <w:noProof/>
          <w:sz w:val="22"/>
          <w:szCs w:val="22"/>
        </w:rPr>
        <w:tab/>
      </w:r>
      <w:r>
        <w:rPr>
          <w:noProof/>
        </w:rPr>
        <w:t>The authorization of an increase in the SSR-E would result in a violation of R.C. 4928.17 and Commission rules prohibiting a commitment of funds to maintain the financial viability of an affiliate</w:t>
      </w:r>
      <w:r>
        <w:rPr>
          <w:noProof/>
        </w:rPr>
        <w:tab/>
        <w:t>22</w:t>
      </w:r>
    </w:p>
    <w:p w14:paraId="59ED3AD9" w14:textId="20222E74" w:rsidR="00C64B69" w:rsidRDefault="00C64B69" w:rsidP="005C033A">
      <w:pPr>
        <w:pStyle w:val="TOC3"/>
        <w:spacing w:line="240" w:lineRule="auto"/>
        <w:rPr>
          <w:rFonts w:asciiTheme="minorHAnsi" w:eastAsiaTheme="minorEastAsia" w:hAnsiTheme="minorHAnsi" w:cstheme="minorBidi"/>
          <w:noProof/>
          <w:sz w:val="22"/>
          <w:szCs w:val="22"/>
        </w:rPr>
      </w:pPr>
      <w:r w:rsidRPr="003A7118">
        <w:rPr>
          <w:noProof/>
          <w:color w:val="010000"/>
        </w:rPr>
        <w:t>2.</w:t>
      </w:r>
      <w:r>
        <w:rPr>
          <w:rFonts w:asciiTheme="minorHAnsi" w:eastAsiaTheme="minorEastAsia" w:hAnsiTheme="minorHAnsi" w:cstheme="minorBidi"/>
          <w:noProof/>
          <w:sz w:val="22"/>
          <w:szCs w:val="22"/>
        </w:rPr>
        <w:tab/>
      </w:r>
      <w:r>
        <w:rPr>
          <w:noProof/>
        </w:rPr>
        <w:t>The Commission lacks jurisdiction to increase the wholesale compensation of DP&amp;L, DPL Inc., and the unregulated generation affiliate</w:t>
      </w:r>
      <w:r>
        <w:rPr>
          <w:noProof/>
        </w:rPr>
        <w:tab/>
        <w:t>23</w:t>
      </w:r>
    </w:p>
    <w:p w14:paraId="7CF77F5B" w14:textId="1302E8FB" w:rsidR="00C64B69" w:rsidRDefault="00C64B69" w:rsidP="005C033A">
      <w:pPr>
        <w:pStyle w:val="TOC2"/>
        <w:spacing w:line="240" w:lineRule="auto"/>
        <w:rPr>
          <w:rFonts w:asciiTheme="minorHAnsi" w:eastAsiaTheme="minorEastAsia" w:hAnsiTheme="minorHAnsi" w:cstheme="minorBidi"/>
          <w:noProof/>
          <w:sz w:val="22"/>
          <w:szCs w:val="22"/>
        </w:rPr>
      </w:pPr>
      <w:r w:rsidRPr="003A7118">
        <w:rPr>
          <w:noProof/>
          <w:color w:val="010000"/>
        </w:rPr>
        <w:lastRenderedPageBreak/>
        <w:t>C.</w:t>
      </w:r>
      <w:r>
        <w:rPr>
          <w:rFonts w:asciiTheme="minorHAnsi" w:eastAsiaTheme="minorEastAsia" w:hAnsiTheme="minorHAnsi" w:cstheme="minorBidi"/>
          <w:noProof/>
          <w:sz w:val="22"/>
          <w:szCs w:val="22"/>
        </w:rPr>
        <w:tab/>
      </w:r>
      <w:r>
        <w:rPr>
          <w:noProof/>
        </w:rPr>
        <w:t>The Commission is preempted by the Federal Power Act from increasing the wholesale compensation of DP&amp;L, DPL Inc., and the unregulated generation affiliate</w:t>
      </w:r>
      <w:r>
        <w:rPr>
          <w:noProof/>
        </w:rPr>
        <w:tab/>
        <w:t>25</w:t>
      </w:r>
    </w:p>
    <w:p w14:paraId="3DDDAECF" w14:textId="40AD9811" w:rsidR="00C64B69" w:rsidRDefault="00C64B69">
      <w:pPr>
        <w:pStyle w:val="TOC1"/>
        <w:rPr>
          <w:rFonts w:asciiTheme="minorHAnsi" w:eastAsiaTheme="minorEastAsia" w:hAnsiTheme="minorHAnsi" w:cstheme="minorBidi"/>
          <w:noProof/>
          <w:sz w:val="22"/>
          <w:szCs w:val="22"/>
        </w:rPr>
      </w:pPr>
      <w:r w:rsidRPr="003A7118">
        <w:rPr>
          <w:noProof/>
          <w:color w:val="010000"/>
        </w:rPr>
        <w:t>III.</w:t>
      </w:r>
      <w:r>
        <w:rPr>
          <w:rFonts w:asciiTheme="minorHAnsi" w:eastAsiaTheme="minorEastAsia" w:hAnsiTheme="minorHAnsi" w:cstheme="minorBidi"/>
          <w:noProof/>
          <w:sz w:val="22"/>
          <w:szCs w:val="22"/>
        </w:rPr>
        <w:tab/>
      </w:r>
      <w:r w:rsidRPr="008E3592">
        <w:rPr>
          <w:caps/>
          <w:noProof/>
        </w:rPr>
        <w:t>Conclusion</w:t>
      </w:r>
      <w:r>
        <w:rPr>
          <w:noProof/>
        </w:rPr>
        <w:tab/>
        <w:t>27</w:t>
      </w:r>
    </w:p>
    <w:bookmarkEnd w:id="3"/>
    <w:p w14:paraId="394DCB45" w14:textId="2721ABB4" w:rsidR="000E19F7" w:rsidRDefault="000E19F7" w:rsidP="00C64B69"/>
    <w:p w14:paraId="4DD0D62E" w14:textId="184C11A6" w:rsidR="007B7ACB" w:rsidRDefault="007B7ACB" w:rsidP="000E19F7"/>
    <w:p w14:paraId="1D8D4459" w14:textId="77777777" w:rsidR="00CA3F9F" w:rsidRDefault="00CA3F9F" w:rsidP="00CA3F9F">
      <w:pPr>
        <w:spacing w:line="240" w:lineRule="auto"/>
        <w:rPr>
          <w:rFonts w:ascii="Arial Bold" w:hAnsi="Arial Bold"/>
          <w:b/>
          <w:smallCaps/>
          <w:sz w:val="28"/>
          <w:szCs w:val="28"/>
        </w:rPr>
        <w:sectPr w:rsidR="00CA3F9F" w:rsidSect="00970DEE">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docGrid w:linePitch="360"/>
        </w:sectPr>
      </w:pPr>
    </w:p>
    <w:p w14:paraId="2CEDD480" w14:textId="44481CFF" w:rsidR="003533B4" w:rsidRPr="003533B4" w:rsidRDefault="003533B4" w:rsidP="00970DEE">
      <w:pPr>
        <w:spacing w:line="240" w:lineRule="auto"/>
        <w:jc w:val="center"/>
        <w:rPr>
          <w:rFonts w:ascii="Arial Bold" w:hAnsi="Arial Bold"/>
          <w:b/>
          <w:smallCaps/>
          <w:sz w:val="28"/>
          <w:szCs w:val="28"/>
        </w:rPr>
      </w:pPr>
      <w:r w:rsidRPr="003533B4">
        <w:rPr>
          <w:rFonts w:ascii="Arial Bold" w:hAnsi="Arial Bold"/>
          <w:b/>
          <w:smallCaps/>
          <w:sz w:val="28"/>
          <w:szCs w:val="28"/>
        </w:rPr>
        <w:lastRenderedPageBreak/>
        <w:t>Before</w:t>
      </w:r>
    </w:p>
    <w:p w14:paraId="3AFDFA6F" w14:textId="77777777" w:rsidR="003533B4" w:rsidRPr="003533B4" w:rsidRDefault="003533B4" w:rsidP="003533B4">
      <w:pPr>
        <w:autoSpaceDE w:val="0"/>
        <w:autoSpaceDN w:val="0"/>
        <w:adjustRightInd w:val="0"/>
        <w:spacing w:line="240" w:lineRule="auto"/>
        <w:jc w:val="center"/>
        <w:rPr>
          <w:rFonts w:ascii="Arial Bold" w:hAnsi="Arial Bold"/>
          <w:b/>
          <w:smallCaps/>
          <w:sz w:val="28"/>
          <w:szCs w:val="28"/>
        </w:rPr>
      </w:pPr>
      <w:r w:rsidRPr="003533B4">
        <w:rPr>
          <w:rFonts w:ascii="Arial Bold" w:hAnsi="Arial Bold"/>
          <w:b/>
          <w:smallCaps/>
          <w:sz w:val="28"/>
          <w:szCs w:val="28"/>
        </w:rPr>
        <w:t>the Public Utilities Commission of Ohio</w:t>
      </w:r>
    </w:p>
    <w:p w14:paraId="3C7D3630" w14:textId="77777777" w:rsidR="003533B4" w:rsidRPr="003533B4" w:rsidRDefault="003533B4" w:rsidP="003533B4">
      <w:pPr>
        <w:autoSpaceDE w:val="0"/>
        <w:autoSpaceDN w:val="0"/>
        <w:adjustRightInd w:val="0"/>
        <w:spacing w:line="240" w:lineRule="auto"/>
        <w:jc w:val="center"/>
        <w:rPr>
          <w:rFonts w:ascii="Arial Bold" w:hAnsi="Arial Bold"/>
          <w:smallCaps/>
        </w:rPr>
      </w:pPr>
    </w:p>
    <w:p w14:paraId="2A949C51" w14:textId="77777777" w:rsidR="003533B4" w:rsidRPr="003533B4" w:rsidRDefault="003533B4" w:rsidP="003533B4">
      <w:pPr>
        <w:tabs>
          <w:tab w:val="left" w:pos="4680"/>
          <w:tab w:val="left" w:pos="5220"/>
        </w:tabs>
        <w:autoSpaceDE w:val="0"/>
        <w:autoSpaceDN w:val="0"/>
        <w:adjustRightInd w:val="0"/>
        <w:spacing w:line="240" w:lineRule="auto"/>
      </w:pPr>
      <w:r w:rsidRPr="003533B4">
        <w:t>In the Matter of the Application of</w:t>
      </w:r>
      <w:r w:rsidRPr="003533B4">
        <w:tab/>
        <w:t>)</w:t>
      </w:r>
    </w:p>
    <w:p w14:paraId="223D90D7" w14:textId="77777777" w:rsidR="003533B4" w:rsidRPr="003533B4" w:rsidRDefault="003533B4" w:rsidP="003533B4">
      <w:pPr>
        <w:tabs>
          <w:tab w:val="left" w:pos="4680"/>
          <w:tab w:val="left" w:pos="5220"/>
        </w:tabs>
        <w:autoSpaceDE w:val="0"/>
        <w:autoSpaceDN w:val="0"/>
        <w:adjustRightInd w:val="0"/>
        <w:spacing w:line="240" w:lineRule="auto"/>
      </w:pPr>
      <w:r w:rsidRPr="003533B4">
        <w:t>The Dayton Power and Light Company for</w:t>
      </w:r>
      <w:r w:rsidRPr="003533B4">
        <w:tab/>
        <w:t>)</w:t>
      </w:r>
      <w:r w:rsidRPr="003533B4">
        <w:tab/>
        <w:t>Case No. 16-395-EL-SSO</w:t>
      </w:r>
    </w:p>
    <w:p w14:paraId="2EEA5189" w14:textId="77777777" w:rsidR="003533B4" w:rsidRPr="003533B4" w:rsidRDefault="003533B4" w:rsidP="003533B4">
      <w:pPr>
        <w:tabs>
          <w:tab w:val="left" w:pos="4680"/>
          <w:tab w:val="left" w:pos="5220"/>
        </w:tabs>
        <w:autoSpaceDE w:val="0"/>
        <w:autoSpaceDN w:val="0"/>
        <w:adjustRightInd w:val="0"/>
        <w:spacing w:line="240" w:lineRule="auto"/>
      </w:pPr>
      <w:r w:rsidRPr="003533B4">
        <w:t>Approval of Its Electric Security Plan</w:t>
      </w:r>
      <w:r w:rsidRPr="003533B4">
        <w:tab/>
        <w:t>)</w:t>
      </w:r>
    </w:p>
    <w:p w14:paraId="6E46CEE8" w14:textId="77777777" w:rsidR="003533B4" w:rsidRPr="003533B4" w:rsidRDefault="003533B4" w:rsidP="003533B4">
      <w:pPr>
        <w:tabs>
          <w:tab w:val="left" w:pos="4680"/>
          <w:tab w:val="left" w:pos="5220"/>
        </w:tabs>
        <w:autoSpaceDE w:val="0"/>
        <w:autoSpaceDN w:val="0"/>
        <w:adjustRightInd w:val="0"/>
        <w:spacing w:line="240" w:lineRule="auto"/>
      </w:pPr>
    </w:p>
    <w:p w14:paraId="2D7C87D4" w14:textId="77777777" w:rsidR="003533B4" w:rsidRPr="003533B4" w:rsidRDefault="003533B4" w:rsidP="003533B4">
      <w:pPr>
        <w:tabs>
          <w:tab w:val="left" w:pos="4680"/>
          <w:tab w:val="left" w:pos="5220"/>
        </w:tabs>
        <w:autoSpaceDE w:val="0"/>
        <w:autoSpaceDN w:val="0"/>
        <w:adjustRightInd w:val="0"/>
        <w:spacing w:line="240" w:lineRule="auto"/>
      </w:pPr>
      <w:r w:rsidRPr="003533B4">
        <w:t>In the Matter of the Application of</w:t>
      </w:r>
      <w:r w:rsidRPr="003533B4">
        <w:tab/>
        <w:t>)</w:t>
      </w:r>
    </w:p>
    <w:p w14:paraId="1D739913" w14:textId="77777777" w:rsidR="003533B4" w:rsidRPr="003533B4" w:rsidRDefault="003533B4" w:rsidP="003533B4">
      <w:pPr>
        <w:tabs>
          <w:tab w:val="left" w:pos="4680"/>
          <w:tab w:val="left" w:pos="5220"/>
        </w:tabs>
        <w:autoSpaceDE w:val="0"/>
        <w:autoSpaceDN w:val="0"/>
        <w:adjustRightInd w:val="0"/>
        <w:spacing w:line="240" w:lineRule="auto"/>
      </w:pPr>
      <w:r w:rsidRPr="003533B4">
        <w:t>The Dayton Power and Light Company for</w:t>
      </w:r>
      <w:r w:rsidRPr="003533B4">
        <w:tab/>
        <w:t>)</w:t>
      </w:r>
      <w:r w:rsidRPr="003533B4">
        <w:tab/>
        <w:t>Case No. 16-396-EL-ATA</w:t>
      </w:r>
    </w:p>
    <w:p w14:paraId="76C42532" w14:textId="77777777" w:rsidR="003533B4" w:rsidRPr="003533B4" w:rsidRDefault="003533B4" w:rsidP="003533B4">
      <w:pPr>
        <w:tabs>
          <w:tab w:val="left" w:pos="4680"/>
          <w:tab w:val="left" w:pos="5220"/>
        </w:tabs>
        <w:autoSpaceDE w:val="0"/>
        <w:autoSpaceDN w:val="0"/>
        <w:adjustRightInd w:val="0"/>
        <w:spacing w:line="240" w:lineRule="auto"/>
      </w:pPr>
      <w:r w:rsidRPr="003533B4">
        <w:t>Approval of Revised Tariffs</w:t>
      </w:r>
      <w:r w:rsidRPr="003533B4">
        <w:tab/>
        <w:t>)</w:t>
      </w:r>
    </w:p>
    <w:p w14:paraId="5DD3F150" w14:textId="77777777" w:rsidR="003533B4" w:rsidRPr="003533B4" w:rsidRDefault="003533B4" w:rsidP="003533B4">
      <w:pPr>
        <w:tabs>
          <w:tab w:val="left" w:pos="4680"/>
          <w:tab w:val="left" w:pos="5220"/>
        </w:tabs>
        <w:autoSpaceDE w:val="0"/>
        <w:autoSpaceDN w:val="0"/>
        <w:adjustRightInd w:val="0"/>
        <w:spacing w:line="240" w:lineRule="auto"/>
      </w:pPr>
    </w:p>
    <w:p w14:paraId="26DD7789" w14:textId="77777777" w:rsidR="003533B4" w:rsidRPr="003533B4" w:rsidRDefault="003533B4" w:rsidP="003533B4">
      <w:pPr>
        <w:tabs>
          <w:tab w:val="left" w:pos="4680"/>
          <w:tab w:val="left" w:pos="5220"/>
        </w:tabs>
        <w:autoSpaceDE w:val="0"/>
        <w:autoSpaceDN w:val="0"/>
        <w:adjustRightInd w:val="0"/>
        <w:spacing w:line="240" w:lineRule="auto"/>
      </w:pPr>
      <w:r w:rsidRPr="003533B4">
        <w:t>In the Matter of the Application of</w:t>
      </w:r>
      <w:r w:rsidRPr="003533B4">
        <w:tab/>
        <w:t>)</w:t>
      </w:r>
    </w:p>
    <w:p w14:paraId="193F84B6" w14:textId="77777777" w:rsidR="003533B4" w:rsidRPr="003533B4" w:rsidRDefault="003533B4" w:rsidP="003533B4">
      <w:pPr>
        <w:tabs>
          <w:tab w:val="left" w:pos="4680"/>
          <w:tab w:val="left" w:pos="5220"/>
        </w:tabs>
        <w:autoSpaceDE w:val="0"/>
        <w:autoSpaceDN w:val="0"/>
        <w:adjustRightInd w:val="0"/>
        <w:spacing w:line="240" w:lineRule="auto"/>
      </w:pPr>
      <w:r w:rsidRPr="003533B4">
        <w:t>The Dayton Power and Light Company for</w:t>
      </w:r>
      <w:r w:rsidRPr="003533B4">
        <w:tab/>
        <w:t>)</w:t>
      </w:r>
      <w:r w:rsidRPr="003533B4">
        <w:tab/>
        <w:t>Case No. 16-397-EL-AAM</w:t>
      </w:r>
    </w:p>
    <w:p w14:paraId="34D2E79A" w14:textId="77777777" w:rsidR="003533B4" w:rsidRPr="003533B4" w:rsidRDefault="003533B4" w:rsidP="003533B4">
      <w:pPr>
        <w:tabs>
          <w:tab w:val="left" w:pos="4680"/>
          <w:tab w:val="left" w:pos="5220"/>
        </w:tabs>
        <w:autoSpaceDE w:val="0"/>
        <w:autoSpaceDN w:val="0"/>
        <w:adjustRightInd w:val="0"/>
        <w:spacing w:line="240" w:lineRule="auto"/>
      </w:pPr>
      <w:r w:rsidRPr="003533B4">
        <w:t>Approval of Certain Accounting Authority</w:t>
      </w:r>
      <w:r w:rsidRPr="003533B4">
        <w:tab/>
        <w:t>)</w:t>
      </w:r>
    </w:p>
    <w:p w14:paraId="1A0BBC3D" w14:textId="77777777" w:rsidR="003533B4" w:rsidRPr="003533B4" w:rsidRDefault="003533B4" w:rsidP="003533B4">
      <w:pPr>
        <w:tabs>
          <w:tab w:val="left" w:pos="4680"/>
          <w:tab w:val="left" w:pos="5220"/>
        </w:tabs>
        <w:autoSpaceDE w:val="0"/>
        <w:autoSpaceDN w:val="0"/>
        <w:adjustRightInd w:val="0"/>
        <w:spacing w:line="240" w:lineRule="auto"/>
      </w:pPr>
      <w:r w:rsidRPr="003533B4">
        <w:t>Pursuant to Ohio Rev. Code § 4905.13</w:t>
      </w:r>
      <w:r w:rsidRPr="003533B4">
        <w:tab/>
        <w:t>)</w:t>
      </w:r>
    </w:p>
    <w:p w14:paraId="4F4139F7" w14:textId="77777777" w:rsidR="003533B4" w:rsidRPr="003533B4" w:rsidRDefault="003533B4" w:rsidP="003533B4">
      <w:pPr>
        <w:tabs>
          <w:tab w:val="left" w:pos="5040"/>
        </w:tabs>
        <w:spacing w:line="240" w:lineRule="auto"/>
        <w:jc w:val="left"/>
        <w:rPr>
          <w:rFonts w:eastAsia="Times New Roman" w:cs="Times New Roman"/>
          <w:sz w:val="28"/>
        </w:rPr>
      </w:pPr>
    </w:p>
    <w:p w14:paraId="14598F5A" w14:textId="77777777" w:rsidR="003533B4" w:rsidRPr="003533B4" w:rsidRDefault="003533B4" w:rsidP="003533B4">
      <w:pPr>
        <w:pBdr>
          <w:bottom w:val="single" w:sz="12" w:space="1" w:color="auto"/>
        </w:pBdr>
        <w:tabs>
          <w:tab w:val="left" w:pos="5040"/>
        </w:tabs>
        <w:spacing w:line="240" w:lineRule="auto"/>
        <w:jc w:val="left"/>
        <w:rPr>
          <w:rFonts w:eastAsia="Times New Roman" w:cs="Times New Roman"/>
          <w:sz w:val="28"/>
        </w:rPr>
      </w:pPr>
    </w:p>
    <w:p w14:paraId="4ADD2246" w14:textId="77777777" w:rsidR="003533B4" w:rsidRPr="003533B4" w:rsidRDefault="003533B4" w:rsidP="003533B4">
      <w:pPr>
        <w:tabs>
          <w:tab w:val="left" w:pos="4680"/>
        </w:tabs>
        <w:spacing w:line="240" w:lineRule="auto"/>
        <w:rPr>
          <w:rFonts w:eastAsia="Times New Roman"/>
        </w:rPr>
      </w:pPr>
    </w:p>
    <w:p w14:paraId="4EF3AFBB" w14:textId="5159E1BE" w:rsidR="003533B4" w:rsidRPr="003533B4" w:rsidRDefault="00464979" w:rsidP="00464979">
      <w:pPr>
        <w:tabs>
          <w:tab w:val="left" w:pos="4680"/>
        </w:tabs>
        <w:spacing w:line="240" w:lineRule="auto"/>
        <w:jc w:val="center"/>
        <w:rPr>
          <w:rFonts w:eastAsia="Times New Roman"/>
        </w:rPr>
      </w:pPr>
      <w:r w:rsidRPr="00464979">
        <w:rPr>
          <w:b/>
          <w:caps/>
        </w:rPr>
        <w:t xml:space="preserve">Industrial Energy Users-Ohio’s Memorandum Contra the Motion of the Dayton Power and Light Company to Implement the SSR Extension Rider </w:t>
      </w:r>
      <w:r w:rsidR="003533B4" w:rsidRPr="003533B4">
        <w:rPr>
          <w:b/>
        </w:rPr>
        <w:t>______________________________________________________________________</w:t>
      </w:r>
    </w:p>
    <w:p w14:paraId="0DFFA1FF" w14:textId="605EF4BC" w:rsidR="003533B4" w:rsidRDefault="003533B4">
      <w:pPr>
        <w:spacing w:line="240" w:lineRule="auto"/>
      </w:pPr>
    </w:p>
    <w:p w14:paraId="5B2595BD" w14:textId="77777777" w:rsidR="006C27B1" w:rsidRDefault="006C27B1">
      <w:pPr>
        <w:spacing w:line="240" w:lineRule="auto"/>
      </w:pPr>
    </w:p>
    <w:p w14:paraId="260A25D5" w14:textId="3CFD2459" w:rsidR="006D477F" w:rsidRDefault="00C778B4" w:rsidP="00C778B4">
      <w:pPr>
        <w:ind w:firstLine="720"/>
      </w:pPr>
      <w:r>
        <w:t xml:space="preserve">In the </w:t>
      </w:r>
      <w:r w:rsidR="00B846E7">
        <w:t>orders authorizing the current Electric Security Plan (“ESP”) for the Dayton Power and Light Company (“DP&amp;L”)</w:t>
      </w:r>
      <w:r>
        <w:t>,</w:t>
      </w:r>
      <w:r>
        <w:rPr>
          <w:rStyle w:val="FootnoteReference"/>
        </w:rPr>
        <w:footnoteReference w:id="1"/>
      </w:r>
      <w:r>
        <w:t xml:space="preserve"> the Public Utilities Commission of Ohio (“Commission”) authorized a non-bypassable rider, the Service Stability Rider-Extension (“SSR-E”)</w:t>
      </w:r>
      <w:r w:rsidR="00C13423">
        <w:t>.  The Commission, however, initially</w:t>
      </w:r>
      <w:r>
        <w:t xml:space="preserve"> set the </w:t>
      </w:r>
      <w:r w:rsidR="00CE3F13">
        <w:t>rate</w:t>
      </w:r>
      <w:r>
        <w:t xml:space="preserve"> to zero and directed that </w:t>
      </w:r>
      <w:r w:rsidR="00B846E7">
        <w:t>DP&amp;L</w:t>
      </w:r>
      <w:r>
        <w:t xml:space="preserve"> could seek to increase the SSR-E only if it demonstrated that it needed additional revenue </w:t>
      </w:r>
      <w:r w:rsidR="003E670F">
        <w:t xml:space="preserve">to maintain its financial integrity </w:t>
      </w:r>
      <w:r w:rsidR="00CE3F13">
        <w:t xml:space="preserve">between the termination of the Service Stability Rider </w:t>
      </w:r>
      <w:r w:rsidR="0046118F">
        <w:t xml:space="preserve">(“SSR”) </w:t>
      </w:r>
      <w:r w:rsidR="00CE3F13">
        <w:t xml:space="preserve">on December 31, 2016 and the end of the ESP on May 31, 2017 </w:t>
      </w:r>
      <w:r>
        <w:t xml:space="preserve">and </w:t>
      </w:r>
      <w:r w:rsidR="005B08A6">
        <w:t>met</w:t>
      </w:r>
      <w:r w:rsidR="003E670F">
        <w:t xml:space="preserve"> several other conditions.</w:t>
      </w:r>
      <w:r w:rsidR="00046605">
        <w:rPr>
          <w:rStyle w:val="FootnoteReference"/>
        </w:rPr>
        <w:footnoteReference w:id="2"/>
      </w:r>
      <w:r>
        <w:t xml:space="preserve">  </w:t>
      </w:r>
    </w:p>
    <w:p w14:paraId="1A7B4577" w14:textId="1198B9D9" w:rsidR="00F065A3" w:rsidRDefault="00C778B4" w:rsidP="00C778B4">
      <w:pPr>
        <w:ind w:firstLine="720"/>
      </w:pPr>
      <w:r>
        <w:lastRenderedPageBreak/>
        <w:t xml:space="preserve">In </w:t>
      </w:r>
      <w:r w:rsidR="005B08A6">
        <w:t>a</w:t>
      </w:r>
      <w:r>
        <w:t xml:space="preserve"> </w:t>
      </w:r>
      <w:r w:rsidR="005B08A6">
        <w:t>m</w:t>
      </w:r>
      <w:r>
        <w:t>otion</w:t>
      </w:r>
      <w:r w:rsidR="005B08A6">
        <w:t xml:space="preserve"> </w:t>
      </w:r>
      <w:r w:rsidR="00C4240A">
        <w:t>filed</w:t>
      </w:r>
      <w:r w:rsidR="005B08A6">
        <w:t xml:space="preserve"> on March 30, 2016</w:t>
      </w:r>
      <w:r>
        <w:t xml:space="preserve">, DP&amp;L </w:t>
      </w:r>
      <w:r w:rsidR="005B08A6">
        <w:t>seeks</w:t>
      </w:r>
      <w:r>
        <w:t xml:space="preserve"> authorization of an i</w:t>
      </w:r>
      <w:r w:rsidR="00F065A3">
        <w:t>ncrease in the SSR-E</w:t>
      </w:r>
      <w:r w:rsidR="00847123">
        <w:t xml:space="preserve"> rate</w:t>
      </w:r>
      <w:r w:rsidR="00315100">
        <w:t xml:space="preserve">.  </w:t>
      </w:r>
      <w:r w:rsidR="00847123">
        <w:t>DP&amp;L alleges that the increase is necessary to maintain its financial integrity and</w:t>
      </w:r>
      <w:r>
        <w:t xml:space="preserve"> that it has substantially complied with the conditions </w:t>
      </w:r>
      <w:r w:rsidR="00847123">
        <w:t>set out in the</w:t>
      </w:r>
      <w:r>
        <w:t xml:space="preserve"> ESP II Orders.</w:t>
      </w:r>
      <w:r w:rsidR="00F065A3">
        <w:rPr>
          <w:rStyle w:val="FootnoteReference"/>
        </w:rPr>
        <w:footnoteReference w:id="3"/>
      </w:r>
      <w:r w:rsidR="00F065A3">
        <w:t xml:space="preserve"> </w:t>
      </w:r>
      <w:r>
        <w:t xml:space="preserve"> </w:t>
      </w:r>
    </w:p>
    <w:p w14:paraId="57DAC8C3" w14:textId="53B8D435" w:rsidR="000A0C05" w:rsidRDefault="004919CC" w:rsidP="00C778B4">
      <w:pPr>
        <w:ind w:firstLine="720"/>
      </w:pPr>
      <w:r>
        <w:t>The Motion</w:t>
      </w:r>
      <w:r w:rsidR="001E115A">
        <w:t>, the</w:t>
      </w:r>
      <w:r>
        <w:t xml:space="preserve"> </w:t>
      </w:r>
      <w:r w:rsidR="001E115A">
        <w:t>materials supporting the M</w:t>
      </w:r>
      <w:r w:rsidR="00F065A3">
        <w:t>otion</w:t>
      </w:r>
      <w:r w:rsidR="001E115A">
        <w:t>,</w:t>
      </w:r>
      <w:r w:rsidR="00F065A3">
        <w:t xml:space="preserve"> and the</w:t>
      </w:r>
      <w:r w:rsidR="00C778B4">
        <w:t xml:space="preserve"> Commission</w:t>
      </w:r>
      <w:r w:rsidR="001E115A">
        <w:t>'s docket, however, demonstrate</w:t>
      </w:r>
      <w:r w:rsidR="00C778B4">
        <w:t xml:space="preserve"> that DP&amp;L's claim</w:t>
      </w:r>
      <w:r w:rsidR="00847123">
        <w:t>s</w:t>
      </w:r>
      <w:r w:rsidR="00C778B4">
        <w:t xml:space="preserve"> </w:t>
      </w:r>
      <w:r w:rsidR="00847123">
        <w:t>are</w:t>
      </w:r>
      <w:r w:rsidR="00C778B4">
        <w:t xml:space="preserve"> unsupported</w:t>
      </w:r>
      <w:r w:rsidR="000A57D8">
        <w:t xml:space="preserve">.  </w:t>
      </w:r>
      <w:r w:rsidR="00C778B4">
        <w:t>Moreover, any increase in the SSR</w:t>
      </w:r>
      <w:r w:rsidR="001125E2">
        <w:t>-E</w:t>
      </w:r>
      <w:r w:rsidR="00C778B4">
        <w:t xml:space="preserve"> </w:t>
      </w:r>
      <w:r w:rsidR="003123AC">
        <w:t xml:space="preserve">rate </w:t>
      </w:r>
      <w:r w:rsidR="00C778B4">
        <w:t xml:space="preserve">would be unlawful </w:t>
      </w:r>
      <w:r w:rsidR="001E115A">
        <w:t>under Ohio and federal law</w:t>
      </w:r>
      <w:r w:rsidR="00C778B4">
        <w:t>.</w:t>
      </w:r>
      <w:r w:rsidR="001C04C6">
        <w:rPr>
          <w:rStyle w:val="FootnoteReference"/>
        </w:rPr>
        <w:footnoteReference w:id="4"/>
      </w:r>
      <w:r w:rsidR="00C778B4">
        <w:t xml:space="preserve">  </w:t>
      </w:r>
    </w:p>
    <w:p w14:paraId="42928797" w14:textId="141B1EF4" w:rsidR="00C778B4" w:rsidRDefault="003123AC" w:rsidP="006C27B1">
      <w:pPr>
        <w:ind w:firstLine="720"/>
      </w:pPr>
      <w:r>
        <w:t>Accordingly,</w:t>
      </w:r>
      <w:r w:rsidR="00C778B4">
        <w:t xml:space="preserve"> the Commission should deny DP&amp;L's motion with prejudice.</w:t>
      </w:r>
    </w:p>
    <w:p w14:paraId="0A6879B6" w14:textId="369E11E6" w:rsidR="00C778B4" w:rsidRDefault="00D34A01" w:rsidP="005A1F02">
      <w:pPr>
        <w:pStyle w:val="Heading1"/>
      </w:pPr>
      <w:bookmarkStart w:id="4" w:name="_Toc448228768"/>
      <w:bookmarkStart w:id="5" w:name="_Toc448320279"/>
      <w:bookmarkStart w:id="6" w:name="_Toc449432243"/>
      <w:bookmarkStart w:id="7" w:name="_Toc449685125"/>
      <w:r>
        <w:t>Background</w:t>
      </w:r>
      <w:bookmarkEnd w:id="4"/>
      <w:bookmarkEnd w:id="5"/>
      <w:bookmarkEnd w:id="6"/>
      <w:bookmarkEnd w:id="7"/>
    </w:p>
    <w:p w14:paraId="6511E407" w14:textId="510616F9" w:rsidR="0009491B" w:rsidRDefault="00945AEA" w:rsidP="00AD14FC">
      <w:pPr>
        <w:ind w:firstLine="720"/>
      </w:pPr>
      <w:r>
        <w:t>In</w:t>
      </w:r>
      <w:r w:rsidR="006D3D0E">
        <w:t xml:space="preserve"> the</w:t>
      </w:r>
      <w:r>
        <w:t xml:space="preserve"> </w:t>
      </w:r>
      <w:r w:rsidR="000A0C05" w:rsidRPr="000A0C05">
        <w:rPr>
          <w:i/>
        </w:rPr>
        <w:t>ESP II Case</w:t>
      </w:r>
      <w:r w:rsidR="00322F10">
        <w:t>,</w:t>
      </w:r>
      <w:r>
        <w:t xml:space="preserve"> </w:t>
      </w:r>
      <w:r w:rsidR="000A0C05">
        <w:t>DP&amp;L</w:t>
      </w:r>
      <w:r w:rsidR="00AF5E4E">
        <w:t xml:space="preserve"> </w:t>
      </w:r>
      <w:r>
        <w:t xml:space="preserve">proposed the </w:t>
      </w:r>
      <w:r w:rsidR="001B5ACC">
        <w:t>non-bypassable SSR</w:t>
      </w:r>
      <w:r w:rsidR="00E92205">
        <w:t xml:space="preserve"> to collect an annual amount of $137 million for the entire </w:t>
      </w:r>
      <w:r w:rsidR="001125E2">
        <w:t>five-</w:t>
      </w:r>
      <w:r w:rsidR="00E92205">
        <w:t>year</w:t>
      </w:r>
      <w:r w:rsidR="001125E2">
        <w:t xml:space="preserve"> </w:t>
      </w:r>
      <w:r w:rsidR="00E92205">
        <w:t>term of its proposed ESP.</w:t>
      </w:r>
      <w:r w:rsidR="00E92205">
        <w:rPr>
          <w:rStyle w:val="FootnoteReference"/>
        </w:rPr>
        <w:footnoteReference w:id="5"/>
      </w:r>
      <w:r w:rsidR="00E92205">
        <w:t xml:space="preserve">  </w:t>
      </w:r>
      <w:r w:rsidR="00C54488">
        <w:t>DP&amp;L claimed</w:t>
      </w:r>
      <w:r w:rsidR="00AF5E4E">
        <w:t xml:space="preserve"> </w:t>
      </w:r>
      <w:r>
        <w:t xml:space="preserve">the rider was </w:t>
      </w:r>
      <w:r w:rsidR="00A06E45">
        <w:t xml:space="preserve">required </w:t>
      </w:r>
      <w:r w:rsidR="0055615C">
        <w:t>for</w:t>
      </w:r>
      <w:r w:rsidR="00AF5E4E">
        <w:t xml:space="preserve"> its </w:t>
      </w:r>
      <w:r w:rsidR="00DF06AA">
        <w:t>“financial integrity.”</w:t>
      </w:r>
      <w:r w:rsidR="005712E5">
        <w:rPr>
          <w:rStyle w:val="FootnoteReference"/>
        </w:rPr>
        <w:footnoteReference w:id="6"/>
      </w:r>
      <w:r w:rsidR="00DF06AA">
        <w:t xml:space="preserve">  </w:t>
      </w:r>
      <w:r w:rsidR="003B40E2">
        <w:t xml:space="preserve">DP&amp;L alleged that </w:t>
      </w:r>
      <w:r w:rsidR="0012547C">
        <w:t xml:space="preserve">the concerns with its financial well-being </w:t>
      </w:r>
      <w:r w:rsidR="003B40E2">
        <w:t>were “being driven principally by three</w:t>
      </w:r>
      <w:r w:rsidR="000F1F88">
        <w:t xml:space="preserve"> factors:  increased switching, declining wholesale prices, and declining capacity prices.”</w:t>
      </w:r>
      <w:r w:rsidR="000F1F88">
        <w:rPr>
          <w:rStyle w:val="FootnoteReference"/>
        </w:rPr>
        <w:footnoteReference w:id="7"/>
      </w:r>
      <w:r w:rsidR="00E04FCA">
        <w:t xml:space="preserve">  DP&amp;L further argued that</w:t>
      </w:r>
      <w:r w:rsidR="00AD14FC">
        <w:t xml:space="preserve"> it would not be able </w:t>
      </w:r>
      <w:r w:rsidR="00DF06AA">
        <w:t xml:space="preserve">to refinance </w:t>
      </w:r>
      <w:r w:rsidR="009C6AE9">
        <w:t>its debt</w:t>
      </w:r>
      <w:r w:rsidR="0009491B">
        <w:t xml:space="preserve">, </w:t>
      </w:r>
      <w:r w:rsidR="009C6AE9">
        <w:t xml:space="preserve">which included as collateral </w:t>
      </w:r>
      <w:r w:rsidR="00E04FCA">
        <w:t>the</w:t>
      </w:r>
      <w:r w:rsidR="009C6AE9">
        <w:t xml:space="preserve"> generation assets</w:t>
      </w:r>
      <w:r w:rsidR="007E1391">
        <w:t>,</w:t>
      </w:r>
      <w:r w:rsidR="007E1391" w:rsidRPr="007E1391">
        <w:t xml:space="preserve"> </w:t>
      </w:r>
      <w:r w:rsidR="007E1391">
        <w:t>without additional financial support</w:t>
      </w:r>
      <w:r w:rsidR="009C6AE9">
        <w:t>.</w:t>
      </w:r>
      <w:r w:rsidR="005712E5">
        <w:rPr>
          <w:rStyle w:val="FootnoteReference"/>
        </w:rPr>
        <w:footnoteReference w:id="8"/>
      </w:r>
      <w:r w:rsidR="009C6AE9">
        <w:t xml:space="preserve">  </w:t>
      </w:r>
    </w:p>
    <w:p w14:paraId="7A65C11F" w14:textId="47962A13" w:rsidR="00AF576D" w:rsidRDefault="00D11743" w:rsidP="001B5ACC">
      <w:pPr>
        <w:ind w:firstLine="720"/>
      </w:pPr>
      <w:r>
        <w:lastRenderedPageBreak/>
        <w:t>In the Orders modifying and approving DP&amp;L</w:t>
      </w:r>
      <w:r w:rsidR="00122CC5">
        <w:t>’s</w:t>
      </w:r>
      <w:r>
        <w:t xml:space="preserve"> ESP II application, t</w:t>
      </w:r>
      <w:r w:rsidR="00C54488">
        <w:t xml:space="preserve">he </w:t>
      </w:r>
      <w:r w:rsidR="007E56CA">
        <w:t xml:space="preserve">Commission shortened the term of the ESP to </w:t>
      </w:r>
      <w:r w:rsidR="005712E5">
        <w:t>three years and five months</w:t>
      </w:r>
      <w:r w:rsidR="009D5CFC">
        <w:t xml:space="preserve"> and reduced the magnitude of the requested SSR from $137 million to $110 million, annually</w:t>
      </w:r>
      <w:r w:rsidR="007E56CA">
        <w:t>.</w:t>
      </w:r>
      <w:r w:rsidR="00AF576D">
        <w:rPr>
          <w:rStyle w:val="FootnoteReference"/>
        </w:rPr>
        <w:footnoteReference w:id="9"/>
      </w:r>
      <w:r w:rsidR="007E56CA">
        <w:t xml:space="preserve">  The Commission also found that DP&amp;L’s projections nearing the end of the </w:t>
      </w:r>
      <w:r w:rsidR="009D5CFC">
        <w:t xml:space="preserve">approved ESP </w:t>
      </w:r>
      <w:r w:rsidR="007E56CA">
        <w:t xml:space="preserve">were not sufficiently reliable, and therefore </w:t>
      </w:r>
      <w:r w:rsidR="009D5CFC">
        <w:t>ordered that the SS</w:t>
      </w:r>
      <w:r w:rsidR="00830A89">
        <w:t>R terminate on December 31, 2016</w:t>
      </w:r>
      <w:r w:rsidR="009D5CFC">
        <w:t xml:space="preserve">, </w:t>
      </w:r>
      <w:r w:rsidR="00830A89">
        <w:t>five</w:t>
      </w:r>
      <w:r w:rsidR="009D5CFC">
        <w:t xml:space="preserve"> months before the end of the ESP.</w:t>
      </w:r>
      <w:r w:rsidR="00AF576D">
        <w:rPr>
          <w:rStyle w:val="FootnoteReference"/>
        </w:rPr>
        <w:footnoteReference w:id="10"/>
      </w:r>
      <w:r w:rsidR="009D5CFC">
        <w:t xml:space="preserve">  </w:t>
      </w:r>
    </w:p>
    <w:p w14:paraId="2CAEC7A3" w14:textId="700F0512" w:rsidR="00590FA8" w:rsidRDefault="009D5CFC" w:rsidP="001B5ACC">
      <w:pPr>
        <w:ind w:firstLine="720"/>
      </w:pPr>
      <w:r>
        <w:t xml:space="preserve">The Commission also authorized </w:t>
      </w:r>
      <w:r w:rsidR="00B54198">
        <w:t>the</w:t>
      </w:r>
      <w:r>
        <w:t xml:space="preserve"> SSR-E.</w:t>
      </w:r>
      <w:r w:rsidR="00AF576D">
        <w:rPr>
          <w:rStyle w:val="FootnoteReference"/>
        </w:rPr>
        <w:footnoteReference w:id="11"/>
      </w:r>
      <w:r>
        <w:t xml:space="preserve">  </w:t>
      </w:r>
      <w:r w:rsidR="001E3F87">
        <w:t>The rider was set to zero and would remain at that rate at least until January 1, 2017.</w:t>
      </w:r>
      <w:r w:rsidR="00547B73">
        <w:rPr>
          <w:rStyle w:val="FootnoteReference"/>
        </w:rPr>
        <w:footnoteReference w:id="12"/>
      </w:r>
      <w:r w:rsidR="001E3F87">
        <w:t xml:space="preserve">  </w:t>
      </w:r>
      <w:r w:rsidR="00A437BD">
        <w:t xml:space="preserve">The Commission further directed </w:t>
      </w:r>
      <w:r w:rsidR="001E3F87">
        <w:t xml:space="preserve">DP&amp;L to file </w:t>
      </w:r>
      <w:r>
        <w:t>an application no later than 275 d</w:t>
      </w:r>
      <w:r w:rsidR="00313A5D">
        <w:t>ays prior to December 31, 2016</w:t>
      </w:r>
      <w:r w:rsidR="00A437BD" w:rsidRPr="00A437BD">
        <w:t xml:space="preserve"> </w:t>
      </w:r>
      <w:r w:rsidR="0002735C">
        <w:t>if</w:t>
      </w:r>
      <w:r w:rsidR="00A437BD">
        <w:t xml:space="preserve"> </w:t>
      </w:r>
      <w:r w:rsidR="003631CC">
        <w:t>it</w:t>
      </w:r>
      <w:r w:rsidR="00A437BD">
        <w:t xml:space="preserve"> sought </w:t>
      </w:r>
      <w:r w:rsidR="003631CC">
        <w:t>authorization to</w:t>
      </w:r>
      <w:r w:rsidR="00A437BD">
        <w:t xml:space="preserve"> increase the SSR-E rate</w:t>
      </w:r>
      <w:r w:rsidR="00313A5D">
        <w:t xml:space="preserve">.  </w:t>
      </w:r>
      <w:r w:rsidR="003F36DA">
        <w:t>A</w:t>
      </w:r>
      <w:r w:rsidR="000630BA">
        <w:t>ny increa</w:t>
      </w:r>
      <w:r w:rsidR="00B23B67">
        <w:t xml:space="preserve">se in revenue through the SSR-E </w:t>
      </w:r>
      <w:r w:rsidR="003F36DA">
        <w:t xml:space="preserve">is </w:t>
      </w:r>
      <w:r w:rsidR="00B23B67">
        <w:t>not to exceed</w:t>
      </w:r>
      <w:r w:rsidR="000630BA">
        <w:t xml:space="preserve"> $45.8 million.</w:t>
      </w:r>
      <w:r w:rsidR="000630BA">
        <w:rPr>
          <w:rStyle w:val="FootnoteReference"/>
        </w:rPr>
        <w:footnoteReference w:id="13"/>
      </w:r>
    </w:p>
    <w:p w14:paraId="482D77FB" w14:textId="74A6E7D6" w:rsidR="005E5B16" w:rsidRDefault="00852502" w:rsidP="005E5B16">
      <w:pPr>
        <w:ind w:firstLine="720"/>
      </w:pPr>
      <w:r>
        <w:t xml:space="preserve">If </w:t>
      </w:r>
      <w:r w:rsidR="00EF6037">
        <w:t>DP&amp;L</w:t>
      </w:r>
      <w:r>
        <w:t xml:space="preserve"> sought to increase the rate of the</w:t>
      </w:r>
      <w:r w:rsidR="00482641">
        <w:t xml:space="preserve"> SSR-E, the Commission </w:t>
      </w:r>
      <w:r w:rsidR="00EE6104">
        <w:t>required DP&amp;L to satisfy several conditions</w:t>
      </w:r>
      <w:r w:rsidR="00482641">
        <w:t xml:space="preserve">.  </w:t>
      </w:r>
      <w:r w:rsidR="00830A89">
        <w:t xml:space="preserve">Most importantly, </w:t>
      </w:r>
      <w:r w:rsidR="00313A5D">
        <w:t xml:space="preserve">DP&amp;L </w:t>
      </w:r>
      <w:r w:rsidR="005E5B16">
        <w:t xml:space="preserve">must “show </w:t>
      </w:r>
      <w:r w:rsidR="00CD2A23">
        <w:t xml:space="preserve">the </w:t>
      </w:r>
      <w:r w:rsidR="005E5B16">
        <w:t>SSR-E is necessary to maintain the Company’s financial integrity.”</w:t>
      </w:r>
      <w:r w:rsidR="005E5B16">
        <w:rPr>
          <w:rStyle w:val="FootnoteReference"/>
        </w:rPr>
        <w:footnoteReference w:id="14"/>
      </w:r>
      <w:r w:rsidR="005E5B16">
        <w:t xml:space="preserve">  In reviewing any claim of financial need for the SSR-E, the Commission provided that it would consider any dividends paid by DP&amp;L, whether DP&amp;L has achieved any operations and maintenance (“O&amp;M”) expense savings, and whether DP&amp;L has exhausted all other opportunities for rate relief.</w:t>
      </w:r>
      <w:r w:rsidR="005E5B16">
        <w:rPr>
          <w:rStyle w:val="FootnoteReference"/>
        </w:rPr>
        <w:footnoteReference w:id="15"/>
      </w:r>
      <w:r w:rsidR="00716CFF">
        <w:t xml:space="preserve">  </w:t>
      </w:r>
      <w:r w:rsidR="009C1D4F">
        <w:t xml:space="preserve">As part of exhausting “all other opportunities for rate relief,” the Commission required DP&amp;L to </w:t>
      </w:r>
      <w:r w:rsidR="009C1D4F">
        <w:lastRenderedPageBreak/>
        <w:t>file a distribution rate case no later than July 1, 2014.</w:t>
      </w:r>
      <w:r w:rsidR="009C1D4F">
        <w:rPr>
          <w:rStyle w:val="FootnoteReference"/>
        </w:rPr>
        <w:footnoteReference w:id="16"/>
      </w:r>
      <w:r w:rsidR="009C1D4F">
        <w:t xml:space="preserve">  The Commission indicated that “conducting a distribution rate case before authorizing the SSR-E will provide the Commission and parties with the increased certainty necessary to evaluate whether DP&amp;L's financial integrity is at risk and whether the SSR-E is necessary.”</w:t>
      </w:r>
      <w:r w:rsidR="009C1D4F">
        <w:rPr>
          <w:rStyle w:val="FootnoteReference"/>
        </w:rPr>
        <w:footnoteReference w:id="17"/>
      </w:r>
      <w:r w:rsidR="009C1D4F">
        <w:t xml:space="preserve">  </w:t>
      </w:r>
    </w:p>
    <w:p w14:paraId="1360A1C4" w14:textId="62092705" w:rsidR="00AA45DD" w:rsidRDefault="00FD6B06" w:rsidP="00E0571D">
      <w:pPr>
        <w:ind w:firstLine="720"/>
      </w:pPr>
      <w:r>
        <w:t>As further conditions to an authorization of an increase in the SSR-E rate, t</w:t>
      </w:r>
      <w:r w:rsidR="00B23B67">
        <w:t>he</w:t>
      </w:r>
      <w:r w:rsidR="00CB54D9">
        <w:t xml:space="preserve"> Commission </w:t>
      </w:r>
      <w:r w:rsidR="00B23B67">
        <w:t xml:space="preserve">also </w:t>
      </w:r>
      <w:r w:rsidR="00CB54D9">
        <w:t>required DP&amp;L to file</w:t>
      </w:r>
      <w:r w:rsidR="00FB6D81">
        <w:t xml:space="preserve"> </w:t>
      </w:r>
      <w:r w:rsidR="00AB207F">
        <w:t xml:space="preserve">by December 31, 2013 </w:t>
      </w:r>
      <w:r w:rsidR="00FB6D81">
        <w:t xml:space="preserve">an application to divest its generation assets, </w:t>
      </w:r>
      <w:r w:rsidR="00CB54D9">
        <w:t xml:space="preserve">to </w:t>
      </w:r>
      <w:r w:rsidR="00FB6D81">
        <w:t>fil</w:t>
      </w:r>
      <w:r w:rsidR="00CB54D9">
        <w:t>e</w:t>
      </w:r>
      <w:r w:rsidR="00FB6D81">
        <w:t xml:space="preserve"> </w:t>
      </w:r>
      <w:r w:rsidR="00AB207F">
        <w:t xml:space="preserve">by July 1, 2014 </w:t>
      </w:r>
      <w:r w:rsidR="00FB6D81">
        <w:t xml:space="preserve">an application to modernize </w:t>
      </w:r>
      <w:r w:rsidR="0024788A">
        <w:t>infrastructure through smart grid and advanced meter infrastructure (“AMI”)</w:t>
      </w:r>
      <w:r w:rsidR="00541F0D">
        <w:t xml:space="preserve"> initiatives</w:t>
      </w:r>
      <w:r w:rsidR="0024788A">
        <w:t xml:space="preserve">, and </w:t>
      </w:r>
      <w:r w:rsidR="00CB54D9">
        <w:t>to file</w:t>
      </w:r>
      <w:r w:rsidR="0024788A">
        <w:t xml:space="preserve"> </w:t>
      </w:r>
      <w:r w:rsidR="00AB207F">
        <w:t xml:space="preserve">by December 31, 2014 </w:t>
      </w:r>
      <w:r w:rsidR="0024788A">
        <w:t>an application to modernize its billing system.</w:t>
      </w:r>
      <w:r w:rsidR="00E026DD">
        <w:rPr>
          <w:rStyle w:val="FootnoteReference"/>
        </w:rPr>
        <w:footnoteReference w:id="18"/>
      </w:r>
      <w:r w:rsidR="0024788A">
        <w:t xml:space="preserve">  </w:t>
      </w:r>
    </w:p>
    <w:p w14:paraId="086010BC" w14:textId="4F2E6F95" w:rsidR="004E3895" w:rsidRDefault="004E3895" w:rsidP="00E0571D">
      <w:pPr>
        <w:ind w:firstLine="720"/>
      </w:pPr>
      <w:r>
        <w:t>Since the Commission outlined the conditions that DP&amp;L would be required to satisfy to increase the</w:t>
      </w:r>
      <w:r w:rsidR="00721CCA">
        <w:t xml:space="preserve"> SSR-E rate, DP&amp;L has filed two of the required applications</w:t>
      </w:r>
      <w:r w:rsidR="00A35660">
        <w:t>,</w:t>
      </w:r>
      <w:r w:rsidR="00721CCA">
        <w:t xml:space="preserve"> and one of those was filed late.</w:t>
      </w:r>
    </w:p>
    <w:p w14:paraId="64CB090F" w14:textId="334C8A8A" w:rsidR="00721CCA" w:rsidRDefault="00721CCA" w:rsidP="00721CCA">
      <w:pPr>
        <w:ind w:firstLine="720"/>
      </w:pPr>
      <w:r>
        <w:t>While DP&amp;L has filed an application to increase its distribution rates and alleges that rates should be increased $65 million, DP&amp;L did not file the application to increase its distribution rates by July 1, 2014.  That application was filed over a year late on November 30, 2015.</w:t>
      </w:r>
      <w:r>
        <w:rPr>
          <w:rStyle w:val="FootnoteReference"/>
        </w:rPr>
        <w:footnoteReference w:id="19"/>
      </w:r>
      <w:r>
        <w:t xml:space="preserve">  The case remains pending before the Commission, the Commission Staff has not yet issued its staff report, and DP&amp;L is currently responding to a motion to compel discovery filed by the Office of the Ohio Consumers’ Counsel.</w:t>
      </w:r>
      <w:r>
        <w:rPr>
          <w:rStyle w:val="FootnoteReference"/>
        </w:rPr>
        <w:footnoteReference w:id="20"/>
      </w:r>
    </w:p>
    <w:p w14:paraId="5C276A93" w14:textId="03A0637A" w:rsidR="00721CCA" w:rsidRDefault="00721CCA" w:rsidP="00721CCA">
      <w:pPr>
        <w:ind w:firstLine="720"/>
      </w:pPr>
      <w:r>
        <w:lastRenderedPageBreak/>
        <w:t xml:space="preserve">DP&amp;L </w:t>
      </w:r>
      <w:r w:rsidR="00CB3A2D">
        <w:t>also</w:t>
      </w:r>
      <w:r>
        <w:t xml:space="preserve"> file</w:t>
      </w:r>
      <w:r w:rsidR="00CB3A2D">
        <w:t>d</w:t>
      </w:r>
      <w:r>
        <w:t xml:space="preserve"> </w:t>
      </w:r>
      <w:r w:rsidR="00CB3A2D">
        <w:t>an</w:t>
      </w:r>
      <w:r>
        <w:t xml:space="preserve"> application to divest its generation assets by December 31, 2013, but that application was largely a placeholder until DP&amp;L developed an actual divesture plan.</w:t>
      </w:r>
      <w:r>
        <w:rPr>
          <w:rStyle w:val="FootnoteReference"/>
        </w:rPr>
        <w:footnoteReference w:id="21"/>
      </w:r>
      <w:r>
        <w:t xml:space="preserve">  Subsequently, on February 25, 2014, and May 23, 2014, DP&amp;L filed a Supplemental Application and an Amended Supplemental Application to divest its generation assets.  </w:t>
      </w:r>
      <w:r w:rsidRPr="00D926E7">
        <w:t xml:space="preserve">The terms and conditions </w:t>
      </w:r>
      <w:r w:rsidR="00CB3A2D" w:rsidRPr="00D926E7">
        <w:t xml:space="preserve">of the separation of the generation assets </w:t>
      </w:r>
      <w:r w:rsidRPr="00D926E7">
        <w:t>remain ambiguous; in the application for the next ESP (this case), DP&amp;L states only that an unregulated affiliate will continue to operate two of the plants owned by DP&amp;L currently and that the affiliate will serve as a non-operating co-owner of the remaining plants.</w:t>
      </w:r>
      <w:r w:rsidRPr="00D926E7">
        <w:rPr>
          <w:rStyle w:val="FootnoteReference"/>
        </w:rPr>
        <w:footnoteReference w:id="22"/>
      </w:r>
    </w:p>
    <w:p w14:paraId="6F307958" w14:textId="53DA9F97" w:rsidR="00721CCA" w:rsidRDefault="00721CCA" w:rsidP="00721CCA">
      <w:pPr>
        <w:ind w:firstLine="720"/>
      </w:pPr>
      <w:r>
        <w:t xml:space="preserve">To date, DP&amp;L has not filed an application to modernize infrastructure through smart grid and </w:t>
      </w:r>
      <w:r w:rsidR="007263FD">
        <w:t>AMI initiatives</w:t>
      </w:r>
      <w:r>
        <w:t xml:space="preserve"> or an application to modernize its billing system.</w:t>
      </w:r>
    </w:p>
    <w:p w14:paraId="66C8600C" w14:textId="420035C1" w:rsidR="00610ECE" w:rsidRDefault="00610ECE" w:rsidP="006C27B1">
      <w:pPr>
        <w:ind w:firstLine="720"/>
      </w:pPr>
      <w:r>
        <w:t>DP&amp;L</w:t>
      </w:r>
      <w:r w:rsidR="00C2188D">
        <w:t xml:space="preserve"> filed the Motion </w:t>
      </w:r>
      <w:r w:rsidR="00207E50">
        <w:t xml:space="preserve">to increase the SSR-E rate </w:t>
      </w:r>
      <w:r w:rsidR="00C2188D">
        <w:t xml:space="preserve">on March 30, 2016.  </w:t>
      </w:r>
      <w:r w:rsidR="00D96515">
        <w:t>In the Motion</w:t>
      </w:r>
      <w:r>
        <w:t xml:space="preserve">, DP&amp;L makes two general claims.  First, it asserts </w:t>
      </w:r>
      <w:r w:rsidR="00975780">
        <w:t xml:space="preserve">the SSR-E will be needed </w:t>
      </w:r>
      <w:r>
        <w:t xml:space="preserve">if the Commission does not approve </w:t>
      </w:r>
      <w:r w:rsidR="00B91D19">
        <w:t xml:space="preserve">DP&amp;L’s </w:t>
      </w:r>
      <w:r>
        <w:t xml:space="preserve">request for </w:t>
      </w:r>
      <w:r w:rsidR="00BC1E25">
        <w:t>a</w:t>
      </w:r>
      <w:r>
        <w:t xml:space="preserve"> new stability rider, the RER, in its pending ESP case by January 1, 2017.</w:t>
      </w:r>
      <w:r>
        <w:rPr>
          <w:rStyle w:val="FootnoteReference"/>
        </w:rPr>
        <w:footnoteReference w:id="23"/>
      </w:r>
      <w:r>
        <w:t xml:space="preserve">  Second, it alleges that it has substantially complied with the additional conditions set out in the Commission’s ESP II Orders.</w:t>
      </w:r>
      <w:r>
        <w:rPr>
          <w:rStyle w:val="FootnoteReference"/>
        </w:rPr>
        <w:footnoteReference w:id="24"/>
      </w:r>
      <w:r>
        <w:t xml:space="preserve">  </w:t>
      </w:r>
      <w:r w:rsidR="00207E50">
        <w:t xml:space="preserve">DP&amp;L does not indicate the level of the increase it is seeking or provide any proposed tariff sheets or other documentation of the effect of its proposed increase on total customer bills.  </w:t>
      </w:r>
    </w:p>
    <w:p w14:paraId="0F4F8087" w14:textId="537FACCE" w:rsidR="00E9043C" w:rsidRDefault="007C3F46" w:rsidP="00E9043C">
      <w:pPr>
        <w:pStyle w:val="Heading1"/>
      </w:pPr>
      <w:bookmarkStart w:id="8" w:name="_Toc448228769"/>
      <w:bookmarkStart w:id="9" w:name="_Toc448320280"/>
      <w:bookmarkStart w:id="10" w:name="_Toc449432244"/>
      <w:bookmarkStart w:id="11" w:name="_Toc449685126"/>
      <w:r>
        <w:lastRenderedPageBreak/>
        <w:t>A</w:t>
      </w:r>
      <w:r w:rsidR="00E9043C">
        <w:t>rgument</w:t>
      </w:r>
      <w:bookmarkEnd w:id="8"/>
      <w:bookmarkEnd w:id="9"/>
      <w:bookmarkEnd w:id="10"/>
      <w:bookmarkEnd w:id="11"/>
    </w:p>
    <w:p w14:paraId="5DD731DB" w14:textId="77777777" w:rsidR="00FE6F0F" w:rsidRDefault="00E873C0" w:rsidP="00596076">
      <w:pPr>
        <w:ind w:firstLine="720"/>
      </w:pPr>
      <w:r>
        <w:t xml:space="preserve">As noted above, DP&amp;L is required to demonstrate that it needs an increase in the SSR-E to maintain its </w:t>
      </w:r>
      <w:r w:rsidR="007231AD">
        <w:t>“</w:t>
      </w:r>
      <w:r>
        <w:t>financial integrity.</w:t>
      </w:r>
      <w:r w:rsidR="007231AD">
        <w:t>”</w:t>
      </w:r>
      <w:r>
        <w:t xml:space="preserve">  </w:t>
      </w:r>
      <w:r w:rsidR="007231AD">
        <w:t xml:space="preserve">The </w:t>
      </w:r>
      <w:r w:rsidR="007366DA">
        <w:t xml:space="preserve">DP&amp;L </w:t>
      </w:r>
      <w:r w:rsidR="007231AD">
        <w:t>Motion and the supporting materials</w:t>
      </w:r>
      <w:r w:rsidR="007366DA">
        <w:t>, however,</w:t>
      </w:r>
      <w:r w:rsidR="007231AD">
        <w:t xml:space="preserve"> do not support a finding that DP&amp;L needs the unspecified additional revenue or the steps DP&amp;L has taken to reduce the need for an additional revenue infusion</w:t>
      </w:r>
      <w:r w:rsidR="00596076">
        <w:t xml:space="preserve">.  </w:t>
      </w:r>
      <w:r w:rsidR="00A723AD">
        <w:t xml:space="preserve">Moreover, </w:t>
      </w:r>
      <w:r w:rsidR="00664E97">
        <w:t xml:space="preserve">DP&amp;L has not </w:t>
      </w:r>
      <w:r w:rsidR="00112685">
        <w:t>completed the other requirements the Commission imposed as conditions to an increase in the SSR-E rate</w:t>
      </w:r>
      <w:r w:rsidR="009307D0">
        <w:t xml:space="preserve">.  </w:t>
      </w:r>
      <w:r w:rsidR="008B062D">
        <w:t xml:space="preserve">Accordingly, DP&amp;L has not met the conditions for an increase in the SSR-E that the Commission set out in the ESP II Orders.  </w:t>
      </w:r>
    </w:p>
    <w:p w14:paraId="224176E8" w14:textId="20872DBD" w:rsidR="00107215" w:rsidRDefault="00E76CA4" w:rsidP="00CD5E79">
      <w:pPr>
        <w:ind w:firstLine="720"/>
      </w:pPr>
      <w:r>
        <w:t>Further</w:t>
      </w:r>
      <w:r w:rsidR="00BC3845">
        <w:t xml:space="preserve">, </w:t>
      </w:r>
      <w:r w:rsidR="00FE6F0F">
        <w:t xml:space="preserve">the authorization of an increase </w:t>
      </w:r>
      <w:r w:rsidR="00E92219">
        <w:t xml:space="preserve">is </w:t>
      </w:r>
      <w:r w:rsidR="00CD5E79">
        <w:t xml:space="preserve">not </w:t>
      </w:r>
      <w:r w:rsidR="00E92219">
        <w:t>authorized by Chapter 4905 or Chapter 4928</w:t>
      </w:r>
      <w:r w:rsidR="00FE6F0F">
        <w:t>.  Moreover,</w:t>
      </w:r>
      <w:r w:rsidR="00E7187F">
        <w:t xml:space="preserve"> an authorization of an increase would result in unlawful transition revenue or its equivalent and violations of corporate separation requirements.  Finally, the authorization is also preempted by federal law.</w:t>
      </w:r>
      <w:r w:rsidR="00E92219" w:rsidRPr="00E92219">
        <w:t xml:space="preserve"> </w:t>
      </w:r>
      <w:r w:rsidR="00E92219">
        <w:t xml:space="preserve"> Thus, the grant of DP&amp;L’s Motion would violate state and federal law.  </w:t>
      </w:r>
    </w:p>
    <w:p w14:paraId="78027602" w14:textId="195EA66A" w:rsidR="00E9043C" w:rsidRDefault="00E9043C" w:rsidP="00E9043C">
      <w:pPr>
        <w:pStyle w:val="Heading2"/>
      </w:pPr>
      <w:bookmarkStart w:id="12" w:name="_Toc448228770"/>
      <w:bookmarkStart w:id="13" w:name="_Toc448320281"/>
      <w:bookmarkStart w:id="14" w:name="_Toc449432245"/>
      <w:bookmarkStart w:id="15" w:name="_Toc449685127"/>
      <w:r>
        <w:t xml:space="preserve">DP&amp;L has not </w:t>
      </w:r>
      <w:bookmarkEnd w:id="12"/>
      <w:bookmarkEnd w:id="13"/>
      <w:r w:rsidR="000272CE">
        <w:t>satisfied the conditions the Commission ordered DP&amp;L to demonstrate if it sought an increase in the SSR-E</w:t>
      </w:r>
      <w:bookmarkEnd w:id="14"/>
      <w:bookmarkEnd w:id="15"/>
    </w:p>
    <w:p w14:paraId="1349011D" w14:textId="48881234" w:rsidR="001657C1" w:rsidRDefault="001657C1" w:rsidP="001657C1">
      <w:pPr>
        <w:pStyle w:val="Heading3"/>
      </w:pPr>
      <w:bookmarkStart w:id="16" w:name="_Toc448228771"/>
      <w:bookmarkStart w:id="17" w:name="_Toc448320282"/>
      <w:bookmarkStart w:id="18" w:name="_Toc449432246"/>
      <w:bookmarkStart w:id="19" w:name="_Toc449685128"/>
      <w:r>
        <w:t xml:space="preserve">DP&amp;L </w:t>
      </w:r>
      <w:r w:rsidR="00BA7232">
        <w:t>f</w:t>
      </w:r>
      <w:r>
        <w:t>ail</w:t>
      </w:r>
      <w:r w:rsidR="00180B5C">
        <w:t>s</w:t>
      </w:r>
      <w:r>
        <w:t xml:space="preserve"> to </w:t>
      </w:r>
      <w:r w:rsidR="00BA7232">
        <w:t>p</w:t>
      </w:r>
      <w:r>
        <w:t>resent the Commission with any analysis specific to DP&amp;L</w:t>
      </w:r>
      <w:bookmarkEnd w:id="16"/>
      <w:bookmarkEnd w:id="17"/>
      <w:bookmarkEnd w:id="18"/>
      <w:bookmarkEnd w:id="19"/>
    </w:p>
    <w:p w14:paraId="72BC74EC" w14:textId="5F3BF8DA" w:rsidR="004033C9" w:rsidRDefault="006D611B" w:rsidP="002533BB">
      <w:pPr>
        <w:ind w:firstLine="720"/>
      </w:pPr>
      <w:r>
        <w:t xml:space="preserve">Throughout the ESP </w:t>
      </w:r>
      <w:r w:rsidR="00693DCD">
        <w:t xml:space="preserve">II </w:t>
      </w:r>
      <w:r>
        <w:t>Order</w:t>
      </w:r>
      <w:r w:rsidR="00693DCD">
        <w:t>s</w:t>
      </w:r>
      <w:r>
        <w:t xml:space="preserve"> and in the subsequent entries on rehearing in the </w:t>
      </w:r>
      <w:r w:rsidR="004216BB">
        <w:rPr>
          <w:i/>
        </w:rPr>
        <w:t xml:space="preserve">ESP II Case, </w:t>
      </w:r>
      <w:r>
        <w:t xml:space="preserve">the Commission </w:t>
      </w:r>
      <w:r w:rsidR="00DD3B39">
        <w:t>states</w:t>
      </w:r>
      <w:r>
        <w:t xml:space="preserve"> that DP&amp;L is required to present a financial analysis specific to DP&amp;L</w:t>
      </w:r>
      <w:r w:rsidR="00DD3B39">
        <w:t xml:space="preserve"> that demonstrates that DP&amp;L requires an additional infusion of revenue to maintain its “financial integrity</w:t>
      </w:r>
      <w:r>
        <w:t>.</w:t>
      </w:r>
      <w:r w:rsidR="00DD3B39">
        <w:t>”</w:t>
      </w:r>
      <w:r>
        <w:t xml:space="preserve">  “When considering whether the SSR-E is necessary to maintain the financial integrity of </w:t>
      </w:r>
      <w:r w:rsidRPr="007B073D">
        <w:rPr>
          <w:i/>
        </w:rPr>
        <w:t>the Company</w:t>
      </w:r>
      <w:r>
        <w:t xml:space="preserve">,” the Commission </w:t>
      </w:r>
      <w:r w:rsidR="00F935CD">
        <w:t>stated</w:t>
      </w:r>
      <w:r>
        <w:t xml:space="preserve"> that it “will consider any dividends paid to parent companies, as well as all other relevant financial information, including O&amp;M savings undertaken and any capital expenditure reductions </w:t>
      </w:r>
      <w:r w:rsidRPr="007B073D">
        <w:rPr>
          <w:i/>
        </w:rPr>
        <w:lastRenderedPageBreak/>
        <w:t>made by DP&amp;L</w:t>
      </w:r>
      <w:r>
        <w:t>.”</w:t>
      </w:r>
      <w:r>
        <w:rPr>
          <w:rStyle w:val="FootnoteReference"/>
        </w:rPr>
        <w:footnoteReference w:id="25"/>
      </w:r>
      <w:r>
        <w:t xml:space="preserve">  </w:t>
      </w:r>
      <w:r w:rsidR="002533BB">
        <w:t>The Commission also noted that the “SSR-E conditions will ensure</w:t>
      </w:r>
      <w:r w:rsidR="00993C02">
        <w:t xml:space="preserve"> … </w:t>
      </w:r>
      <w:r w:rsidR="002533BB">
        <w:t xml:space="preserve">that the financial integrity of </w:t>
      </w:r>
      <w:r w:rsidR="002533BB" w:rsidRPr="007B073D">
        <w:rPr>
          <w:i/>
        </w:rPr>
        <w:t>DP&amp;L</w:t>
      </w:r>
      <w:r w:rsidR="002533BB">
        <w:t xml:space="preserve"> will be maintained without granting </w:t>
      </w:r>
      <w:r w:rsidR="002533BB" w:rsidRPr="007B073D">
        <w:rPr>
          <w:i/>
        </w:rPr>
        <w:t>DP&amp;L</w:t>
      </w:r>
      <w:r w:rsidR="002533BB">
        <w:t xml:space="preserve"> significantly excessive earnings.”</w:t>
      </w:r>
      <w:r>
        <w:rPr>
          <w:rStyle w:val="FootnoteReference"/>
        </w:rPr>
        <w:footnoteReference w:id="26"/>
      </w:r>
      <w:r>
        <w:t xml:space="preserve">  The Co</w:t>
      </w:r>
      <w:r w:rsidR="00B15FEB">
        <w:t>mmission further directed “</w:t>
      </w:r>
      <w:r w:rsidR="00B15FEB" w:rsidRPr="004B3F45">
        <w:rPr>
          <w:i/>
        </w:rPr>
        <w:t>DP&amp;L</w:t>
      </w:r>
      <w:r>
        <w:t xml:space="preserve"> </w:t>
      </w:r>
      <w:r w:rsidR="00B15FEB">
        <w:t>[</w:t>
      </w:r>
      <w:r>
        <w:t>to</w:t>
      </w:r>
      <w:r w:rsidR="00B15FEB">
        <w:t>]</w:t>
      </w:r>
      <w:r>
        <w:t xml:space="preserve"> exhaust all other opportunities</w:t>
      </w:r>
      <w:r w:rsidR="00B15FEB">
        <w:t>”</w:t>
      </w:r>
      <w:r>
        <w:t xml:space="preserve"> for improving DP&amp;L’s financial health, including the filing of a distribution rate case</w:t>
      </w:r>
      <w:r w:rsidR="00B15FEB">
        <w:t>.</w:t>
      </w:r>
      <w:r w:rsidR="00B15FEB">
        <w:rPr>
          <w:rStyle w:val="FootnoteReference"/>
        </w:rPr>
        <w:footnoteReference w:id="27"/>
      </w:r>
      <w:r>
        <w:t xml:space="preserve"> </w:t>
      </w:r>
      <w:r w:rsidR="00B15FEB">
        <w:t xml:space="preserve"> </w:t>
      </w:r>
    </w:p>
    <w:p w14:paraId="37B6BDA7" w14:textId="4C3522DB" w:rsidR="00FE5E65" w:rsidRDefault="00EA31B6" w:rsidP="007B3981">
      <w:pPr>
        <w:ind w:firstLine="720"/>
      </w:pPr>
      <w:r>
        <w:t xml:space="preserve">In its </w:t>
      </w:r>
      <w:r w:rsidR="001270AA">
        <w:t xml:space="preserve">Memorandum </w:t>
      </w:r>
      <w:r w:rsidR="00A54188">
        <w:t xml:space="preserve">in </w:t>
      </w:r>
      <w:r w:rsidR="001270AA">
        <w:t>Support</w:t>
      </w:r>
      <w:r>
        <w:t xml:space="preserve">, DP&amp;L </w:t>
      </w:r>
      <w:r w:rsidR="00716CFF">
        <w:t>asserts</w:t>
      </w:r>
      <w:r w:rsidR="00A30273">
        <w:t>,</w:t>
      </w:r>
      <w:r>
        <w:t xml:space="preserve"> “there is a financial need for the SSR-E, absent the SSR or the RER.”</w:t>
      </w:r>
      <w:r>
        <w:rPr>
          <w:rStyle w:val="FootnoteReference"/>
        </w:rPr>
        <w:footnoteReference w:id="28"/>
      </w:r>
      <w:r w:rsidR="00A54188">
        <w:t xml:space="preserve">  In support of that claim, the </w:t>
      </w:r>
      <w:r w:rsidR="00FE5E65">
        <w:t xml:space="preserve">Memorandum in Support cites the testimony of Mr. Jackson attached to </w:t>
      </w:r>
      <w:r w:rsidR="00AC021D">
        <w:t xml:space="preserve">the </w:t>
      </w:r>
      <w:r w:rsidR="00FE5E65">
        <w:t xml:space="preserve">Motion and the prefiled testimony of Mr. Malinak filed </w:t>
      </w:r>
      <w:r w:rsidR="006A3368">
        <w:t xml:space="preserve">on February 22, 2016 </w:t>
      </w:r>
      <w:r w:rsidR="00FE5E65">
        <w:t>in support of the ESP application.</w:t>
      </w:r>
    </w:p>
    <w:p w14:paraId="61D57953" w14:textId="43FD33FB" w:rsidR="000C1E34" w:rsidRDefault="00D47A6D" w:rsidP="007B3981">
      <w:pPr>
        <w:ind w:firstLine="720"/>
      </w:pPr>
      <w:r>
        <w:t>According to the testimony of Mr. Jackson</w:t>
      </w:r>
      <w:r w:rsidR="00AE3EF0">
        <w:t xml:space="preserve"> attached to </w:t>
      </w:r>
      <w:r w:rsidR="00AC021D">
        <w:t xml:space="preserve">the </w:t>
      </w:r>
      <w:r w:rsidR="00AE3EF0">
        <w:t>Motion</w:t>
      </w:r>
      <w:r>
        <w:t xml:space="preserve">, </w:t>
      </w:r>
      <w:r w:rsidR="00AE3EF0">
        <w:t>he is relying on the analysis of Mr. Malinak to support the claim that an incre</w:t>
      </w:r>
      <w:r w:rsidR="006E7C1C">
        <w:t xml:space="preserve">ase in the SSR-E is necessary </w:t>
      </w:r>
      <w:r w:rsidR="00AE3EF0">
        <w:t xml:space="preserve">to sustain DP&amp;L’s financial integrity:  </w:t>
      </w:r>
      <w:r>
        <w:t>“</w:t>
      </w:r>
      <w:r w:rsidR="00AE3EF0">
        <w:t>T</w:t>
      </w:r>
      <w:r>
        <w:t>he testimony</w:t>
      </w:r>
      <w:r w:rsidR="008050F9">
        <w:t xml:space="preserve"> of R. Jeffrey Malinak, filed in</w:t>
      </w:r>
      <w:r w:rsidR="000C1E34">
        <w:t xml:space="preserve"> </w:t>
      </w:r>
      <w:r w:rsidR="008050F9">
        <w:t>this proceeding on February 22, 2016, demonstrates that DP&amp;L’s financial integrity would be threatened in 2017 without a stability charge.”</w:t>
      </w:r>
      <w:r w:rsidR="00BB6B65">
        <w:rPr>
          <w:rStyle w:val="FootnoteReference"/>
        </w:rPr>
        <w:footnoteReference w:id="29"/>
      </w:r>
      <w:r w:rsidR="00625127">
        <w:t xml:space="preserve">  Thus, the testimony of Mr. Malinak is the source for DP&amp;L’s claim that DP&amp;L faces financial need for the SSR-E increase.</w:t>
      </w:r>
    </w:p>
    <w:p w14:paraId="42DE7533" w14:textId="75222183" w:rsidR="00B4626C" w:rsidRDefault="00505DA5" w:rsidP="007B3981">
      <w:pPr>
        <w:ind w:firstLine="720"/>
      </w:pPr>
      <w:r w:rsidRPr="008854EE">
        <w:t xml:space="preserve">On its face, </w:t>
      </w:r>
      <w:r w:rsidR="00836B79" w:rsidRPr="008854EE">
        <w:t xml:space="preserve">however, </w:t>
      </w:r>
      <w:r w:rsidRPr="008854EE">
        <w:t xml:space="preserve">Mr. Malinak’s testimony does not demonstrate any financial need on the part of DP&amp;L for the SSR-E or any specific magnitude of increase in SSR-E </w:t>
      </w:r>
      <w:r w:rsidRPr="008854EE">
        <w:lastRenderedPageBreak/>
        <w:t xml:space="preserve">rates.  </w:t>
      </w:r>
      <w:r w:rsidR="00836B79" w:rsidRPr="008854EE">
        <w:t>Rather than addressing the financial integrity of DP&amp;L over the remaining months of the current ESP,</w:t>
      </w:r>
      <w:r w:rsidR="00070BE0" w:rsidRPr="00493E96">
        <w:t xml:space="preserve"> </w:t>
      </w:r>
      <w:r w:rsidR="0030311B" w:rsidRPr="008854EE">
        <w:t xml:space="preserve">Mr. Malinak explains that his testimony “analyze[s] the financial condition and integrity of both </w:t>
      </w:r>
      <w:r w:rsidR="0030311B" w:rsidRPr="00F77D3F">
        <w:rPr>
          <w:i/>
        </w:rPr>
        <w:t>the coal-fired generating assets</w:t>
      </w:r>
      <w:r w:rsidR="0030311B" w:rsidRPr="00D9221E">
        <w:t xml:space="preserve"> that would be covered under the Reliable Electricity Rider (“RER”) and </w:t>
      </w:r>
      <w:r w:rsidR="0030311B" w:rsidRPr="00F77D3F">
        <w:rPr>
          <w:i/>
        </w:rPr>
        <w:t>DPL Inc.</w:t>
      </w:r>
      <w:r w:rsidR="0030311B" w:rsidRPr="00D9221E">
        <w:t xml:space="preserve"> …</w:t>
      </w:r>
      <w:r w:rsidR="00870E48">
        <w:t>,</w:t>
      </w:r>
      <w:r w:rsidR="00C513BE">
        <w:t xml:space="preserve"> </w:t>
      </w:r>
      <w:r w:rsidR="0030311B" w:rsidRPr="00D9221E">
        <w:t>the parent company of The Dayton Power and Light Company (“DP&amp;L”).”</w:t>
      </w:r>
      <w:r w:rsidR="0030311B" w:rsidRPr="008854EE">
        <w:rPr>
          <w:rStyle w:val="FootnoteReference"/>
        </w:rPr>
        <w:footnoteReference w:id="30"/>
      </w:r>
      <w:r w:rsidR="0030311B" w:rsidRPr="008854EE">
        <w:t xml:space="preserve">  </w:t>
      </w:r>
      <w:r w:rsidR="0030311B">
        <w:t xml:space="preserve">For this analysis, </w:t>
      </w:r>
      <w:r w:rsidR="00070BE0" w:rsidRPr="00493E96">
        <w:t xml:space="preserve">Mr. Malinak states he has </w:t>
      </w:r>
      <w:r w:rsidR="00E2727D" w:rsidRPr="00E2727D">
        <w:rPr>
          <w:color w:val="000000"/>
          <w:spacing w:val="7"/>
          <w:shd w:val="solid" w:color="000000" w:fill="000000"/>
          <w:fitText w:val="8877" w:id="1156211712"/>
          <w14:textFill>
            <w14:solidFill>
              <w14:srgbClr w14:val="000000">
                <w14:alpha w14:val="100000"/>
              </w14:srgbClr>
            </w14:solidFill>
          </w14:textFill>
        </w:rPr>
        <w:t>|||||||||||||||||||||||||||||||||||||||||||||||||||||||||||||||</w:t>
      </w:r>
      <w:r w:rsidR="00E2727D" w:rsidRPr="00E2727D">
        <w:rPr>
          <w:color w:val="FFFFFF"/>
          <w:spacing w:val="7"/>
          <w:shd w:val="solid" w:color="000000" w:fill="000000"/>
          <w:fitText w:val="8877" w:id="1156211712"/>
        </w:rPr>
        <w:t xml:space="preserve">  </w:t>
      </w:r>
      <w:r w:rsidR="00E2727D" w:rsidRPr="00E2727D">
        <w:rPr>
          <w:color w:val="000000"/>
          <w:spacing w:val="7"/>
          <w:shd w:val="solid" w:color="000000" w:fill="000000"/>
          <w:fitText w:val="8877" w:id="1156211712"/>
          <w14:textFill>
            <w14:solidFill>
              <w14:srgbClr w14:val="000000">
                <w14:alpha w14:val="100000"/>
              </w14:srgbClr>
            </w14:solidFill>
          </w14:textFill>
        </w:rPr>
        <w:t>||||||||||||||||||||||||||||||||||||||||||||||||||||||||||||||</w:t>
      </w:r>
      <w:r w:rsidR="00E2727D" w:rsidRPr="00E2727D">
        <w:rPr>
          <w:color w:val="000000"/>
          <w:shd w:val="solid" w:color="000000" w:fill="000000"/>
          <w:fitText w:val="8877" w:id="1156211712"/>
          <w14:textFill>
            <w14:solidFill>
              <w14:srgbClr w14:val="000000">
                <w14:alpha w14:val="100000"/>
              </w14:srgbClr>
            </w14:solidFill>
          </w14:textFill>
        </w:rPr>
        <w:t>|</w:t>
      </w:r>
      <w:r w:rsidR="00070BE0" w:rsidRPr="00F77D3F">
        <w:rPr>
          <w:highlight w:val="yellow"/>
        </w:rPr>
        <w:t xml:space="preserve"> </w:t>
      </w:r>
      <w:r w:rsidR="00E2727D" w:rsidRPr="00E2727D">
        <w:rPr>
          <w:color w:val="000000"/>
          <w:spacing w:val="6"/>
          <w:shd w:val="solid" w:color="000000" w:fill="000000"/>
          <w:fitText w:val="9340" w:id="1156211968"/>
          <w14:textFill>
            <w14:solidFill>
              <w14:srgbClr w14:val="000000">
                <w14:alpha w14:val="100000"/>
              </w14:srgbClr>
            </w14:solidFill>
          </w14:textFill>
        </w:rPr>
        <w:t>|||||||||||||||||||||||||||||||||||||||||||||||||||||||||||||||||||</w:t>
      </w:r>
      <w:r w:rsidR="00E2727D" w:rsidRPr="00E2727D">
        <w:rPr>
          <w:color w:val="FFFFFF"/>
          <w:spacing w:val="6"/>
          <w:shd w:val="solid" w:color="000000" w:fill="000000"/>
          <w:fitText w:val="9340" w:id="1156211968"/>
        </w:rPr>
        <w:t xml:space="preserve">  </w:t>
      </w:r>
      <w:r w:rsidR="00E2727D" w:rsidRPr="00E2727D">
        <w:rPr>
          <w:color w:val="000000"/>
          <w:spacing w:val="6"/>
          <w:shd w:val="solid" w:color="000000" w:fill="000000"/>
          <w:fitText w:val="9340" w:id="1156211968"/>
          <w14:textFill>
            <w14:solidFill>
              <w14:srgbClr w14:val="000000">
                <w14:alpha w14:val="100000"/>
              </w14:srgbClr>
            </w14:solidFill>
          </w14:textFill>
        </w:rPr>
        <w:t>||||||||||||||||||||||||||||||||||||||||||||||||||||||||||||||||||</w:t>
      </w:r>
      <w:r w:rsidR="00E2727D" w:rsidRPr="00E2727D">
        <w:rPr>
          <w:color w:val="000000"/>
          <w:spacing w:val="42"/>
          <w:shd w:val="solid" w:color="000000" w:fill="000000"/>
          <w:fitText w:val="9340" w:id="1156211968"/>
          <w14:textFill>
            <w14:solidFill>
              <w14:srgbClr w14:val="000000">
                <w14:alpha w14:val="100000"/>
              </w14:srgbClr>
            </w14:solidFill>
          </w14:textFill>
        </w:rPr>
        <w:t>|</w:t>
      </w:r>
      <w:r w:rsidR="00070BE0" w:rsidRPr="00F77D3F">
        <w:rPr>
          <w:highlight w:val="yellow"/>
        </w:rPr>
        <w:t xml:space="preserve"> </w:t>
      </w:r>
      <w:r w:rsidR="00E2727D" w:rsidRPr="00E2727D">
        <w:rPr>
          <w:color w:val="000000"/>
          <w:spacing w:val="6"/>
          <w:shd w:val="solid" w:color="000000" w:fill="000000"/>
          <w:fitText w:val="9340" w:id="1156211969"/>
          <w14:textFill>
            <w14:solidFill>
              <w14:srgbClr w14:val="000000">
                <w14:alpha w14:val="100000"/>
              </w14:srgbClr>
            </w14:solidFill>
          </w14:textFill>
        </w:rPr>
        <w:t>|||||||||||||||||||||||||||||||||||||||||||||||||||||||||||||||||||</w:t>
      </w:r>
      <w:r w:rsidR="00E2727D" w:rsidRPr="00E2727D">
        <w:rPr>
          <w:color w:val="FFFFFF"/>
          <w:spacing w:val="6"/>
          <w:shd w:val="solid" w:color="000000" w:fill="000000"/>
          <w:fitText w:val="9340" w:id="1156211969"/>
        </w:rPr>
        <w:t xml:space="preserve">  </w:t>
      </w:r>
      <w:r w:rsidR="00E2727D" w:rsidRPr="00E2727D">
        <w:rPr>
          <w:color w:val="000000"/>
          <w:spacing w:val="6"/>
          <w:shd w:val="solid" w:color="000000" w:fill="000000"/>
          <w:fitText w:val="9340" w:id="1156211969"/>
          <w14:textFill>
            <w14:solidFill>
              <w14:srgbClr w14:val="000000">
                <w14:alpha w14:val="100000"/>
              </w14:srgbClr>
            </w14:solidFill>
          </w14:textFill>
        </w:rPr>
        <w:t>||||||||||||||||||||||||||||||||||||||||||||||||||||||||||||||||||</w:t>
      </w:r>
      <w:r w:rsidR="00E2727D" w:rsidRPr="00E2727D">
        <w:rPr>
          <w:color w:val="000000"/>
          <w:spacing w:val="42"/>
          <w:shd w:val="solid" w:color="000000" w:fill="000000"/>
          <w:fitText w:val="9340" w:id="1156211969"/>
          <w14:textFill>
            <w14:solidFill>
              <w14:srgbClr w14:val="000000">
                <w14:alpha w14:val="100000"/>
              </w14:srgbClr>
            </w14:solidFill>
          </w14:textFill>
        </w:rPr>
        <w:t>|</w:t>
      </w:r>
      <w:r w:rsidR="00070BE0" w:rsidRPr="00F77D3F">
        <w:rPr>
          <w:highlight w:val="yellow"/>
        </w:rPr>
        <w:t xml:space="preserve"> </w:t>
      </w:r>
      <w:r w:rsidR="00E2727D" w:rsidRPr="00E2727D">
        <w:rPr>
          <w:color w:val="000000"/>
          <w:spacing w:val="3"/>
          <w:shd w:val="solid" w:color="000000" w:fill="000000"/>
          <w:fitText w:val="1574" w:id="1156211970"/>
          <w14:textFill>
            <w14:solidFill>
              <w14:srgbClr w14:val="000000">
                <w14:alpha w14:val="100000"/>
              </w14:srgbClr>
            </w14:solidFill>
          </w14:textFill>
        </w:rPr>
        <w:t>|||||||||||</w:t>
      </w:r>
      <w:r w:rsidR="00E2727D" w:rsidRPr="00E2727D">
        <w:rPr>
          <w:color w:val="FFFFFF"/>
          <w:spacing w:val="3"/>
          <w:shd w:val="solid" w:color="000000" w:fill="000000"/>
          <w:fitText w:val="1574" w:id="1156211970"/>
        </w:rPr>
        <w:t xml:space="preserve">  </w:t>
      </w:r>
      <w:r w:rsidR="00E2727D" w:rsidRPr="00E2727D">
        <w:rPr>
          <w:color w:val="000000"/>
          <w:spacing w:val="3"/>
          <w:shd w:val="solid" w:color="000000" w:fill="000000"/>
          <w:fitText w:val="1574" w:id="1156211970"/>
          <w14:textFill>
            <w14:solidFill>
              <w14:srgbClr w14:val="000000">
                <w14:alpha w14:val="100000"/>
              </w14:srgbClr>
            </w14:solidFill>
          </w14:textFill>
        </w:rPr>
        <w:t>||||||||||</w:t>
      </w:r>
      <w:r w:rsidR="00E2727D" w:rsidRPr="00E2727D">
        <w:rPr>
          <w:color w:val="000000"/>
          <w:spacing w:val="1"/>
          <w:shd w:val="solid" w:color="000000" w:fill="000000"/>
          <w:fitText w:val="1574" w:id="1156211970"/>
          <w14:textFill>
            <w14:solidFill>
              <w14:srgbClr w14:val="000000">
                <w14:alpha w14:val="100000"/>
              </w14:srgbClr>
            </w14:solidFill>
          </w14:textFill>
        </w:rPr>
        <w:t>|</w:t>
      </w:r>
      <w:r w:rsidR="00070BE0" w:rsidRPr="008854EE">
        <w:rPr>
          <w:rStyle w:val="FootnoteReference"/>
        </w:rPr>
        <w:footnoteReference w:id="31"/>
      </w:r>
      <w:r w:rsidR="00070BE0" w:rsidRPr="008854EE">
        <w:t xml:space="preserve">  </w:t>
      </w:r>
      <w:r w:rsidR="00E2727D" w:rsidRPr="00E2727D">
        <w:rPr>
          <w:color w:val="000000"/>
          <w:spacing w:val="5"/>
          <w:shd w:val="solid" w:color="000000" w:fill="000000"/>
          <w:fitText w:val="7420" w:id="1156211971"/>
          <w14:textFill>
            <w14:solidFill>
              <w14:srgbClr w14:val="000000">
                <w14:alpha w14:val="100000"/>
              </w14:srgbClr>
            </w14:solidFill>
          </w14:textFill>
        </w:rPr>
        <w:t>||||||||||||||||||||||||||||||||||||||||||||||||||||||</w:t>
      </w:r>
      <w:r w:rsidR="00E2727D" w:rsidRPr="00E2727D">
        <w:rPr>
          <w:color w:val="FFFFFF"/>
          <w:spacing w:val="5"/>
          <w:shd w:val="solid" w:color="000000" w:fill="000000"/>
          <w:fitText w:val="7420" w:id="1156211971"/>
        </w:rPr>
        <w:t xml:space="preserve">  </w:t>
      </w:r>
      <w:r w:rsidR="00E2727D" w:rsidRPr="00E2727D">
        <w:rPr>
          <w:color w:val="000000"/>
          <w:spacing w:val="5"/>
          <w:shd w:val="solid" w:color="000000" w:fill="000000"/>
          <w:fitText w:val="7420" w:id="1156211971"/>
          <w14:textFill>
            <w14:solidFill>
              <w14:srgbClr w14:val="000000">
                <w14:alpha w14:val="100000"/>
              </w14:srgbClr>
            </w14:solidFill>
          </w14:textFill>
        </w:rPr>
        <w:t>|||||||||||||||||||||||||||||||||||||||||||||||||||||</w:t>
      </w:r>
      <w:r w:rsidR="00E2727D" w:rsidRPr="00E2727D">
        <w:rPr>
          <w:color w:val="000000"/>
          <w:spacing w:val="8"/>
          <w:shd w:val="solid" w:color="000000" w:fill="000000"/>
          <w:fitText w:val="7420" w:id="1156211971"/>
          <w14:textFill>
            <w14:solidFill>
              <w14:srgbClr w14:val="000000">
                <w14:alpha w14:val="100000"/>
              </w14:srgbClr>
            </w14:solidFill>
          </w14:textFill>
        </w:rPr>
        <w:t>|</w:t>
      </w:r>
      <w:r w:rsidR="00143705" w:rsidRPr="00F77D3F">
        <w:rPr>
          <w:highlight w:val="yellow"/>
        </w:rPr>
        <w:t xml:space="preserve"> </w:t>
      </w:r>
      <w:r w:rsidR="00E2727D" w:rsidRPr="00E2727D">
        <w:rPr>
          <w:color w:val="000000"/>
          <w:spacing w:val="6"/>
          <w:shd w:val="solid" w:color="000000" w:fill="000000"/>
          <w:fitText w:val="9340" w:id="1156211972"/>
          <w14:textFill>
            <w14:solidFill>
              <w14:srgbClr w14:val="000000">
                <w14:alpha w14:val="100000"/>
              </w14:srgbClr>
            </w14:solidFill>
          </w14:textFill>
        </w:rPr>
        <w:t>|||||||||||||||||||||||||||||||||||||||||||||||||||||||||||||||||||</w:t>
      </w:r>
      <w:r w:rsidR="00E2727D" w:rsidRPr="00E2727D">
        <w:rPr>
          <w:color w:val="FFFFFF"/>
          <w:spacing w:val="6"/>
          <w:shd w:val="solid" w:color="000000" w:fill="000000"/>
          <w:fitText w:val="9340" w:id="1156211972"/>
        </w:rPr>
        <w:t xml:space="preserve">  </w:t>
      </w:r>
      <w:r w:rsidR="00E2727D" w:rsidRPr="00E2727D">
        <w:rPr>
          <w:color w:val="000000"/>
          <w:spacing w:val="6"/>
          <w:shd w:val="solid" w:color="000000" w:fill="000000"/>
          <w:fitText w:val="9340" w:id="1156211972"/>
          <w14:textFill>
            <w14:solidFill>
              <w14:srgbClr w14:val="000000">
                <w14:alpha w14:val="100000"/>
              </w14:srgbClr>
            </w14:solidFill>
          </w14:textFill>
        </w:rPr>
        <w:t>||||||||||||||||||||||||||||||||||||||||||||||||||||||||||||||||||</w:t>
      </w:r>
      <w:r w:rsidR="00E2727D" w:rsidRPr="00E2727D">
        <w:rPr>
          <w:color w:val="000000"/>
          <w:spacing w:val="42"/>
          <w:shd w:val="solid" w:color="000000" w:fill="000000"/>
          <w:fitText w:val="9340" w:id="1156211972"/>
          <w14:textFill>
            <w14:solidFill>
              <w14:srgbClr w14:val="000000">
                <w14:alpha w14:val="100000"/>
              </w14:srgbClr>
            </w14:solidFill>
          </w14:textFill>
        </w:rPr>
        <w:t>|</w:t>
      </w:r>
      <w:r w:rsidR="00143705" w:rsidRPr="00F77D3F">
        <w:rPr>
          <w:highlight w:val="yellow"/>
        </w:rPr>
        <w:t xml:space="preserve"> </w:t>
      </w:r>
      <w:r w:rsidR="00E2727D" w:rsidRPr="00E2727D">
        <w:rPr>
          <w:color w:val="000000"/>
          <w:spacing w:val="6"/>
          <w:shd w:val="solid" w:color="000000" w:fill="000000"/>
          <w:fitText w:val="9340" w:id="1156211973"/>
          <w14:textFill>
            <w14:solidFill>
              <w14:srgbClr w14:val="000000">
                <w14:alpha w14:val="100000"/>
              </w14:srgbClr>
            </w14:solidFill>
          </w14:textFill>
        </w:rPr>
        <w:t>|||||||||||||||||||||||||||||||||||||||||||||||||||||||||||||||||||</w:t>
      </w:r>
      <w:r w:rsidR="00E2727D" w:rsidRPr="00E2727D">
        <w:rPr>
          <w:color w:val="FFFFFF"/>
          <w:spacing w:val="6"/>
          <w:shd w:val="solid" w:color="000000" w:fill="000000"/>
          <w:fitText w:val="9340" w:id="1156211973"/>
        </w:rPr>
        <w:t xml:space="preserve">  </w:t>
      </w:r>
      <w:r w:rsidR="00E2727D" w:rsidRPr="00E2727D">
        <w:rPr>
          <w:color w:val="000000"/>
          <w:spacing w:val="6"/>
          <w:shd w:val="solid" w:color="000000" w:fill="000000"/>
          <w:fitText w:val="9340" w:id="1156211973"/>
          <w14:textFill>
            <w14:solidFill>
              <w14:srgbClr w14:val="000000">
                <w14:alpha w14:val="100000"/>
              </w14:srgbClr>
            </w14:solidFill>
          </w14:textFill>
        </w:rPr>
        <w:t>||||||||||||||||||||||||||||||||||||||||||||||||||||||||||||||||||</w:t>
      </w:r>
      <w:r w:rsidR="00E2727D" w:rsidRPr="00E2727D">
        <w:rPr>
          <w:color w:val="000000"/>
          <w:spacing w:val="42"/>
          <w:shd w:val="solid" w:color="000000" w:fill="000000"/>
          <w:fitText w:val="9340" w:id="1156211973"/>
          <w14:textFill>
            <w14:solidFill>
              <w14:srgbClr w14:val="000000">
                <w14:alpha w14:val="100000"/>
              </w14:srgbClr>
            </w14:solidFill>
          </w14:textFill>
        </w:rPr>
        <w:t>|</w:t>
      </w:r>
      <w:r w:rsidR="00143705" w:rsidRPr="00F77D3F">
        <w:rPr>
          <w:highlight w:val="yellow"/>
        </w:rPr>
        <w:t xml:space="preserve"> </w:t>
      </w:r>
      <w:r w:rsidR="00E2727D" w:rsidRPr="00E2727D">
        <w:rPr>
          <w:color w:val="000000"/>
          <w:spacing w:val="7"/>
          <w:shd w:val="solid" w:color="000000" w:fill="000000"/>
          <w:fitText w:val="7197" w:id="1156211974"/>
          <w14:textFill>
            <w14:solidFill>
              <w14:srgbClr w14:val="000000">
                <w14:alpha w14:val="100000"/>
              </w14:srgbClr>
            </w14:solidFill>
          </w14:textFill>
        </w:rPr>
        <w:t>|||||||||||||||||||||||||||||||||||||||||||||||||||</w:t>
      </w:r>
      <w:r w:rsidR="00E2727D" w:rsidRPr="00E2727D">
        <w:rPr>
          <w:color w:val="FFFFFF"/>
          <w:spacing w:val="7"/>
          <w:shd w:val="solid" w:color="000000" w:fill="000000"/>
          <w:fitText w:val="7197" w:id="1156211974"/>
        </w:rPr>
        <w:t xml:space="preserve">  </w:t>
      </w:r>
      <w:r w:rsidR="00E2727D" w:rsidRPr="00E2727D">
        <w:rPr>
          <w:color w:val="000000"/>
          <w:spacing w:val="7"/>
          <w:shd w:val="solid" w:color="000000" w:fill="000000"/>
          <w:fitText w:val="7197" w:id="1156211974"/>
          <w14:textFill>
            <w14:solidFill>
              <w14:srgbClr w14:val="000000">
                <w14:alpha w14:val="100000"/>
              </w14:srgbClr>
            </w14:solidFill>
          </w14:textFill>
        </w:rPr>
        <w:t>||||||||||||||||||||||||||||||||||||||||||||||||||</w:t>
      </w:r>
      <w:r w:rsidR="00E2727D" w:rsidRPr="00E2727D">
        <w:rPr>
          <w:color w:val="000000"/>
          <w:spacing w:val="-16"/>
          <w:shd w:val="solid" w:color="000000" w:fill="000000"/>
          <w:fitText w:val="7197" w:id="1156211974"/>
          <w14:textFill>
            <w14:solidFill>
              <w14:srgbClr w14:val="000000">
                <w14:alpha w14:val="100000"/>
              </w14:srgbClr>
            </w14:solidFill>
          </w14:textFill>
        </w:rPr>
        <w:t>|</w:t>
      </w:r>
      <w:r w:rsidR="000C393A" w:rsidRPr="008854EE">
        <w:rPr>
          <w:rStyle w:val="FootnoteReference"/>
        </w:rPr>
        <w:footnoteReference w:id="32"/>
      </w:r>
      <w:r w:rsidR="00143705" w:rsidRPr="008854EE">
        <w:t xml:space="preserve">  </w:t>
      </w:r>
      <w:r w:rsidR="00013482" w:rsidRPr="008854EE">
        <w:t xml:space="preserve">According to Mr. Malinak, DPL </w:t>
      </w:r>
      <w:r w:rsidR="00964FF1" w:rsidRPr="008854EE">
        <w:t>Inc.</w:t>
      </w:r>
      <w:r w:rsidR="00013482" w:rsidRPr="008854EE">
        <w:t>’s financial integrity is much improved if the Commission approves an additional infusion of ratepayer</w:t>
      </w:r>
      <w:r w:rsidR="00463B2C">
        <w:t>-</w:t>
      </w:r>
      <w:r w:rsidR="00AF68FD" w:rsidRPr="008854EE">
        <w:t>provided revenue through the RER</w:t>
      </w:r>
      <w:r w:rsidR="00463B2C">
        <w:t xml:space="preserve"> </w:t>
      </w:r>
      <w:r w:rsidR="00A7253A">
        <w:t>from</w:t>
      </w:r>
      <w:r w:rsidR="00463B2C">
        <w:t xml:space="preserve"> 2017</w:t>
      </w:r>
      <w:r w:rsidR="00841A28">
        <w:t xml:space="preserve"> to 2026</w:t>
      </w:r>
      <w:r w:rsidR="00AF68FD" w:rsidRPr="008854EE">
        <w:t>.</w:t>
      </w:r>
      <w:r w:rsidR="00AF68FD" w:rsidRPr="008854EE">
        <w:rPr>
          <w:rStyle w:val="FootnoteReference"/>
        </w:rPr>
        <w:footnoteReference w:id="33"/>
      </w:r>
      <w:r w:rsidR="00925F21" w:rsidRPr="008854EE">
        <w:t xml:space="preserve">  </w:t>
      </w:r>
      <w:r w:rsidR="005217A4" w:rsidRPr="008854EE">
        <w:t>Thus, h</w:t>
      </w:r>
      <w:r w:rsidR="00925F21" w:rsidRPr="008854EE">
        <w:t>is testimony focuses on the financial integrity of DPL Inc.</w:t>
      </w:r>
      <w:r w:rsidR="001F1BE0">
        <w:t>, not DP&amp;L.</w:t>
      </w:r>
    </w:p>
    <w:p w14:paraId="6B42FBEB" w14:textId="4614F720" w:rsidR="00367096" w:rsidRDefault="00925F21" w:rsidP="007B3981">
      <w:pPr>
        <w:ind w:firstLine="720"/>
      </w:pPr>
      <w:r>
        <w:t xml:space="preserve">Mr. Malinak’s </w:t>
      </w:r>
      <w:r w:rsidR="00CD29B9">
        <w:t>analysis of</w:t>
      </w:r>
      <w:r>
        <w:t xml:space="preserve"> the financial integrity of the “coal-fired </w:t>
      </w:r>
      <w:r w:rsidR="00CE28AC">
        <w:t xml:space="preserve">generating </w:t>
      </w:r>
      <w:r>
        <w:t xml:space="preserve">assets” also does not provide any basis for a finding of financial need at DP&amp;L to justify an increase in the SSR-E.  </w:t>
      </w:r>
      <w:r w:rsidR="00C36896">
        <w:t>DP&amp;L has stated t</w:t>
      </w:r>
      <w:r w:rsidR="00DF65A5">
        <w:t xml:space="preserve">he </w:t>
      </w:r>
      <w:r w:rsidR="00CD29B9">
        <w:t>generating</w:t>
      </w:r>
      <w:r w:rsidR="00DF65A5">
        <w:t xml:space="preserve"> assets will </w:t>
      </w:r>
      <w:r w:rsidR="00C36896">
        <w:t xml:space="preserve">be divested from </w:t>
      </w:r>
      <w:r w:rsidR="00C36896">
        <w:lastRenderedPageBreak/>
        <w:t xml:space="preserve">DP&amp;L to an unregulated generation affiliate at some point </w:t>
      </w:r>
      <w:r w:rsidR="00A53AC6">
        <w:t>before January 1, 2017</w:t>
      </w:r>
      <w:r w:rsidR="00C36896">
        <w:t>.</w:t>
      </w:r>
      <w:r w:rsidR="00A53AC6">
        <w:rPr>
          <w:rStyle w:val="FootnoteReference"/>
        </w:rPr>
        <w:footnoteReference w:id="34"/>
      </w:r>
      <w:r w:rsidR="000123BC">
        <w:t xml:space="preserve">  The SSR-E cannot have an effective date prior to January 1, 2017</w:t>
      </w:r>
      <w:r w:rsidR="0034352B">
        <w:t>, and DP&amp;L is not seeking an effective date that would overlap its ownership of the assets</w:t>
      </w:r>
      <w:r w:rsidR="000123BC">
        <w:t>.</w:t>
      </w:r>
      <w:r w:rsidR="000123BC">
        <w:rPr>
          <w:rStyle w:val="FootnoteReference"/>
        </w:rPr>
        <w:footnoteReference w:id="35"/>
      </w:r>
      <w:r w:rsidR="000123BC">
        <w:t xml:space="preserve">  Thus,</w:t>
      </w:r>
      <w:r w:rsidR="00DF65A5">
        <w:t xml:space="preserve"> during the period of time </w:t>
      </w:r>
      <w:r w:rsidR="00EF2C28">
        <w:t>that DP&amp;L is seeking to bill and collect some as yet undisclosed amount under the SSR-E</w:t>
      </w:r>
      <w:r w:rsidR="00246CA4">
        <w:t>,</w:t>
      </w:r>
      <w:r w:rsidR="009419C5">
        <w:t xml:space="preserve"> the assets </w:t>
      </w:r>
      <w:r w:rsidR="00246CA4">
        <w:t>should</w:t>
      </w:r>
      <w:r w:rsidR="009419C5">
        <w:t xml:space="preserve"> have no impact on DP&amp;L’s financial health.  </w:t>
      </w:r>
    </w:p>
    <w:p w14:paraId="10726CB6" w14:textId="4A6054AA" w:rsidR="008B07B2" w:rsidRDefault="008B7FDE" w:rsidP="00950CC5">
      <w:pPr>
        <w:ind w:firstLine="720"/>
      </w:pPr>
      <w:r>
        <w:t>Additionally</w:t>
      </w:r>
      <w:r w:rsidR="001F1BE0">
        <w:t xml:space="preserve">, </w:t>
      </w:r>
      <w:r w:rsidR="00845D25">
        <w:t>Mr. Malinak’s analysi</w:t>
      </w:r>
      <w:r w:rsidR="00367096">
        <w:t xml:space="preserve">s </w:t>
      </w:r>
      <w:r w:rsidR="00961496">
        <w:t>addresses</w:t>
      </w:r>
      <w:r w:rsidR="00367096">
        <w:t xml:space="preserve"> the period of 2017 through 2026 and do</w:t>
      </w:r>
      <w:r w:rsidR="00D356AA">
        <w:t>es</w:t>
      </w:r>
      <w:r w:rsidR="00367096">
        <w:t xml:space="preserve"> not contain any</w:t>
      </w:r>
      <w:r w:rsidR="006F0672">
        <w:t>thing</w:t>
      </w:r>
      <w:r w:rsidR="00367096">
        <w:t xml:space="preserve"> specific to the January to May 2017 timeframe.</w:t>
      </w:r>
      <w:r w:rsidR="00000AE5">
        <w:rPr>
          <w:rStyle w:val="FootnoteReference"/>
        </w:rPr>
        <w:footnoteReference w:id="36"/>
      </w:r>
      <w:r w:rsidR="001E541F">
        <w:t xml:space="preserve">  As noted by the Commission in the ESP </w:t>
      </w:r>
      <w:r w:rsidR="009049C7">
        <w:t xml:space="preserve">II </w:t>
      </w:r>
      <w:r w:rsidR="001E541F">
        <w:t>Order</w:t>
      </w:r>
      <w:r w:rsidR="009049C7">
        <w:t>s</w:t>
      </w:r>
      <w:r w:rsidR="001E541F">
        <w:t xml:space="preserve">, the future proceeding </w:t>
      </w:r>
      <w:r w:rsidR="00E64983">
        <w:t xml:space="preserve">it </w:t>
      </w:r>
      <w:r w:rsidR="001E541F">
        <w:t xml:space="preserve">required for the SSR-E </w:t>
      </w:r>
      <w:r w:rsidR="00515717">
        <w:t>required</w:t>
      </w:r>
      <w:r w:rsidR="001E541F">
        <w:t xml:space="preserve"> DP&amp;L to “provide more clear and reliable data </w:t>
      </w:r>
      <w:r w:rsidR="001E541F" w:rsidRPr="00950CC5">
        <w:rPr>
          <w:i/>
        </w:rPr>
        <w:t>for the later months of the ESP</w:t>
      </w:r>
      <w:r w:rsidR="001E541F">
        <w:t>, which should alleviate concerns raised by intervenors and Staff.”</w:t>
      </w:r>
      <w:r w:rsidR="001E541F">
        <w:rPr>
          <w:rStyle w:val="FootnoteReference"/>
        </w:rPr>
        <w:footnoteReference w:id="37"/>
      </w:r>
      <w:r w:rsidR="001E541F">
        <w:t xml:space="preserve">  </w:t>
      </w:r>
    </w:p>
    <w:p w14:paraId="3BA3BB1F" w14:textId="666A83A9" w:rsidR="00950CC5" w:rsidRDefault="00C25410" w:rsidP="00950CC5">
      <w:pPr>
        <w:ind w:firstLine="720"/>
      </w:pPr>
      <w:r>
        <w:t>DP&amp;L is relying on Mr. Malinak’s testimon</w:t>
      </w:r>
      <w:r w:rsidR="002A4758">
        <w:t>y to support its claim that an increase in the SSR-E rate is necessary to maintain DP&amp;L’s financial integrity</w:t>
      </w:r>
      <w:r w:rsidR="00ED0E75">
        <w:t xml:space="preserve">, but </w:t>
      </w:r>
      <w:r w:rsidR="00202F17">
        <w:t>Mr. Malinak’s testimony expressly does not address the need for additional revenue by DP&amp;L</w:t>
      </w:r>
      <w:r w:rsidR="00BF22D2">
        <w:t xml:space="preserve"> during the remaining term of the ESP</w:t>
      </w:r>
      <w:r w:rsidR="00703603">
        <w:t>.</w:t>
      </w:r>
      <w:r w:rsidR="00C410E7">
        <w:t xml:space="preserve">  </w:t>
      </w:r>
    </w:p>
    <w:p w14:paraId="10C13F1D" w14:textId="3A0032D1" w:rsidR="00D356AA" w:rsidRDefault="00D356AA" w:rsidP="00D356AA">
      <w:pPr>
        <w:pStyle w:val="Heading3"/>
      </w:pPr>
      <w:bookmarkStart w:id="20" w:name="_Toc448228772"/>
      <w:bookmarkStart w:id="21" w:name="_Toc448320283"/>
      <w:bookmarkStart w:id="22" w:name="_Toc449432247"/>
      <w:bookmarkStart w:id="23" w:name="_Toc449685129"/>
      <w:r>
        <w:t>DP&amp;L fail</w:t>
      </w:r>
      <w:r w:rsidR="00180B5C">
        <w:t>s</w:t>
      </w:r>
      <w:r>
        <w:t xml:space="preserve"> to provide the Commission with all of the specific relevant financial information that the Commission indicated was necessary </w:t>
      </w:r>
      <w:r w:rsidR="002A1C62">
        <w:t xml:space="preserve">for </w:t>
      </w:r>
      <w:r w:rsidR="00A3730E">
        <w:t xml:space="preserve">its consideration of </w:t>
      </w:r>
      <w:r>
        <w:t>any claim of financial need by DP&amp;L</w:t>
      </w:r>
      <w:bookmarkEnd w:id="20"/>
      <w:bookmarkEnd w:id="21"/>
      <w:bookmarkEnd w:id="22"/>
      <w:bookmarkEnd w:id="23"/>
    </w:p>
    <w:p w14:paraId="609EE977" w14:textId="4EE798D3" w:rsidR="00623027" w:rsidRDefault="003A3F6B" w:rsidP="007B3981">
      <w:pPr>
        <w:ind w:firstLine="720"/>
      </w:pPr>
      <w:r>
        <w:t>I</w:t>
      </w:r>
      <w:r w:rsidR="001731B9">
        <w:t xml:space="preserve">n the ESP </w:t>
      </w:r>
      <w:r w:rsidR="00342FA5">
        <w:t xml:space="preserve">II </w:t>
      </w:r>
      <w:r w:rsidR="001731B9">
        <w:t>Order</w:t>
      </w:r>
      <w:r w:rsidR="00342FA5">
        <w:t>s</w:t>
      </w:r>
      <w:r w:rsidR="008B07B2">
        <w:t>,</w:t>
      </w:r>
      <w:r w:rsidR="001731B9">
        <w:t xml:space="preserve"> the Commission </w:t>
      </w:r>
      <w:r w:rsidR="00342FA5">
        <w:t xml:space="preserve">also </w:t>
      </w:r>
      <w:r w:rsidR="001731B9">
        <w:t xml:space="preserve">indicated that any claim of financial need would be reviewed </w:t>
      </w:r>
      <w:r w:rsidR="007A10E2">
        <w:t>in the light of “</w:t>
      </w:r>
      <w:r w:rsidR="001731B9">
        <w:t xml:space="preserve">dividends paid to parent companies, as well as all </w:t>
      </w:r>
      <w:r w:rsidR="001731B9">
        <w:lastRenderedPageBreak/>
        <w:t xml:space="preserve">other relevant financial information, including O&amp;M savings undertaken and any capital expenditure reductions </w:t>
      </w:r>
      <w:r w:rsidR="001731B9" w:rsidRPr="007A10E2">
        <w:t>made by DP&amp;L</w:t>
      </w:r>
      <w:r w:rsidR="001731B9">
        <w:t>.”</w:t>
      </w:r>
      <w:r w:rsidR="001731B9">
        <w:rPr>
          <w:rStyle w:val="FootnoteReference"/>
        </w:rPr>
        <w:footnoteReference w:id="38"/>
      </w:r>
      <w:r w:rsidR="001731B9">
        <w:t xml:space="preserve">  </w:t>
      </w:r>
      <w:r w:rsidR="00623027">
        <w:t>DP&amp;L has not presented all the relevant financial information and what it has presented confirm</w:t>
      </w:r>
      <w:r>
        <w:t>s</w:t>
      </w:r>
      <w:r w:rsidR="00623027">
        <w:t xml:space="preserve"> </w:t>
      </w:r>
      <w:r>
        <w:t xml:space="preserve">that </w:t>
      </w:r>
      <w:r w:rsidR="00623027">
        <w:t>DP&amp;L is not experiencing any financial emergency.</w:t>
      </w:r>
    </w:p>
    <w:p w14:paraId="4B6F6155" w14:textId="1F49DAA4" w:rsidR="00034BF7" w:rsidRDefault="004732B3" w:rsidP="007B3981">
      <w:pPr>
        <w:ind w:firstLine="720"/>
      </w:pPr>
      <w:r>
        <w:t>I</w:t>
      </w:r>
      <w:r w:rsidR="00034BF7">
        <w:t>n the Motion</w:t>
      </w:r>
      <w:r>
        <w:t>, for example,</w:t>
      </w:r>
      <w:r w:rsidR="00034BF7">
        <w:t xml:space="preserve"> DP&amp;L </w:t>
      </w:r>
      <w:r w:rsidR="005818AF">
        <w:t xml:space="preserve">states </w:t>
      </w:r>
      <w:r w:rsidR="00034BF7">
        <w:t xml:space="preserve">that </w:t>
      </w:r>
      <w:r>
        <w:t xml:space="preserve">it </w:t>
      </w:r>
      <w:r w:rsidR="00FD1637">
        <w:t>“has made or will make dividend payments totaling $75 million to DPL Inc.” in 2015 and 2016.</w:t>
      </w:r>
      <w:r w:rsidR="00202094">
        <w:rPr>
          <w:rStyle w:val="FootnoteReference"/>
        </w:rPr>
        <w:footnoteReference w:id="39"/>
      </w:r>
      <w:r w:rsidR="00FD1637">
        <w:t xml:space="preserve">  </w:t>
      </w:r>
      <w:r w:rsidR="00664B1A">
        <w:t>DP&amp;L left out of its Motion that</w:t>
      </w:r>
      <w:r w:rsidR="005055DD">
        <w:t xml:space="preserve"> DP&amp;L </w:t>
      </w:r>
      <w:r w:rsidR="00664B1A">
        <w:t>in 2013 and 2014</w:t>
      </w:r>
      <w:r w:rsidR="00D41BC2">
        <w:t xml:space="preserve"> </w:t>
      </w:r>
      <w:r w:rsidR="00BB005E">
        <w:t xml:space="preserve">reported a net income of $84 million and $115 million and </w:t>
      </w:r>
      <w:r w:rsidR="005055DD">
        <w:t xml:space="preserve">made dividend payments </w:t>
      </w:r>
      <w:r w:rsidR="00A82F34">
        <w:t xml:space="preserve">to DPL Inc. </w:t>
      </w:r>
      <w:r w:rsidR="005055DD">
        <w:t xml:space="preserve">totaling </w:t>
      </w:r>
      <w:r w:rsidR="00A82F34">
        <w:t>$</w:t>
      </w:r>
      <w:r w:rsidR="00AE10C1">
        <w:t>190</w:t>
      </w:r>
      <w:r w:rsidR="00705D95">
        <w:t xml:space="preserve"> </w:t>
      </w:r>
      <w:r w:rsidR="00A82F34">
        <w:t xml:space="preserve">million and </w:t>
      </w:r>
      <w:r w:rsidR="005055DD">
        <w:t>$159 million</w:t>
      </w:r>
      <w:r w:rsidR="00A82F34">
        <w:t>, respectively</w:t>
      </w:r>
      <w:r w:rsidR="005055DD">
        <w:t>.</w:t>
      </w:r>
      <w:r w:rsidR="005055DD">
        <w:rPr>
          <w:rStyle w:val="FootnoteReference"/>
        </w:rPr>
        <w:footnoteReference w:id="40"/>
      </w:r>
      <w:r w:rsidR="00623027">
        <w:t xml:space="preserve">  </w:t>
      </w:r>
      <w:r w:rsidR="00BB005E">
        <w:t xml:space="preserve">DP&amp;L’s </w:t>
      </w:r>
      <w:r w:rsidR="00166DFA">
        <w:t>finances certainly do not give the appearance of a company facing any cash flow problems</w:t>
      </w:r>
      <w:r w:rsidR="00F2050F">
        <w:t xml:space="preserve"> that might </w:t>
      </w:r>
      <w:r w:rsidR="00D47A54">
        <w:t>give rise to a claim of a financial emergency</w:t>
      </w:r>
      <w:r w:rsidR="00166DFA">
        <w:t>.</w:t>
      </w:r>
      <w:r w:rsidR="00F2050F">
        <w:rPr>
          <w:rStyle w:val="FootnoteReference"/>
        </w:rPr>
        <w:footnoteReference w:id="41"/>
      </w:r>
      <w:r w:rsidR="00166DFA">
        <w:t xml:space="preserve"> </w:t>
      </w:r>
    </w:p>
    <w:p w14:paraId="4BBF0BE4" w14:textId="3DA1994B" w:rsidR="00390C4E" w:rsidRDefault="00F2050F" w:rsidP="007B3981">
      <w:pPr>
        <w:ind w:firstLine="720"/>
      </w:pPr>
      <w:r>
        <w:t>Beyond the lack of any apparent cash flow problems</w:t>
      </w:r>
      <w:r w:rsidR="00567C0A">
        <w:t xml:space="preserve">, </w:t>
      </w:r>
      <w:r w:rsidR="00202094">
        <w:t xml:space="preserve">DP&amp;L </w:t>
      </w:r>
      <w:r w:rsidR="00567C0A">
        <w:t xml:space="preserve">ignores the specific requirement that it detail </w:t>
      </w:r>
      <w:r w:rsidR="004174AA">
        <w:t>the O&amp;M savings it has achieved or will achieve</w:t>
      </w:r>
      <w:r w:rsidR="00DC0E0D">
        <w:t xml:space="preserve"> over the remainder of its ESP.  </w:t>
      </w:r>
      <w:r w:rsidR="00ED0B1A">
        <w:t xml:space="preserve">DP&amp;L’s discussion of O&amp;M savings is included in the testimony of </w:t>
      </w:r>
      <w:r w:rsidR="004174AA">
        <w:t>Mr.</w:t>
      </w:r>
      <w:r w:rsidR="00ED0B1A">
        <w:t xml:space="preserve"> Ja</w:t>
      </w:r>
      <w:r w:rsidR="004174AA">
        <w:t>ckson attached to DP&amp;L’s Motion</w:t>
      </w:r>
      <w:r w:rsidR="008B7FDE">
        <w:t xml:space="preserve">.  </w:t>
      </w:r>
      <w:r w:rsidR="004174AA">
        <w:t>In that testimony,</w:t>
      </w:r>
      <w:r w:rsidR="00ED0B1A">
        <w:t xml:space="preserve"> </w:t>
      </w:r>
      <w:r w:rsidR="004174AA">
        <w:t>Mr. Jackson indicates that DPL</w:t>
      </w:r>
      <w:r w:rsidR="00ED0B1A">
        <w:t xml:space="preserve"> Inc. is projecting O&amp;M savings “yet to be identified” averaging $10.3 million </w:t>
      </w:r>
      <w:r w:rsidR="00D31440">
        <w:t xml:space="preserve">over the </w:t>
      </w:r>
      <w:r w:rsidR="00D31440">
        <w:lastRenderedPageBreak/>
        <w:t>period of 2017 to 2026.</w:t>
      </w:r>
      <w:r w:rsidR="00677CCD">
        <w:rPr>
          <w:rStyle w:val="FootnoteReference"/>
        </w:rPr>
        <w:footnoteReference w:id="42"/>
      </w:r>
      <w:r w:rsidR="00C83237">
        <w:t xml:space="preserve">  </w:t>
      </w:r>
      <w:r w:rsidR="0082767A">
        <w:t>Thus</w:t>
      </w:r>
      <w:r w:rsidR="00390C4E">
        <w:t xml:space="preserve">, DP&amp;L has ignored the requirement to demonstrate what efforts it is taking to reduce O&amp;M </w:t>
      </w:r>
      <w:r w:rsidR="00541F0D">
        <w:t xml:space="preserve">expenses </w:t>
      </w:r>
      <w:r w:rsidR="00390C4E">
        <w:t>under the current ESP as required by the Commission’s order.</w:t>
      </w:r>
    </w:p>
    <w:p w14:paraId="0AF5D153" w14:textId="0BE515AE" w:rsidR="00ED0B1A" w:rsidRDefault="00E919BF" w:rsidP="007B3981">
      <w:pPr>
        <w:ind w:firstLine="720"/>
      </w:pPr>
      <w:r>
        <w:t>While the Commission also required DP&amp;L to address capit</w:t>
      </w:r>
      <w:r w:rsidR="00C83237">
        <w:t>al reduction expenditures if it</w:t>
      </w:r>
      <w:r>
        <w:t xml:space="preserve"> sought to increase the SSR-E</w:t>
      </w:r>
      <w:r w:rsidR="00390C4E">
        <w:t>,</w:t>
      </w:r>
      <w:r w:rsidR="00B06CF0">
        <w:rPr>
          <w:rStyle w:val="FootnoteReference"/>
        </w:rPr>
        <w:footnoteReference w:id="43"/>
      </w:r>
      <w:r w:rsidR="00390C4E">
        <w:t xml:space="preserve"> </w:t>
      </w:r>
      <w:r w:rsidR="00F003E2">
        <w:t>the Motion, attached testimony, and incorporated testimony do</w:t>
      </w:r>
      <w:r w:rsidR="005F0829">
        <w:t xml:space="preserve"> not</w:t>
      </w:r>
      <w:r w:rsidR="00D65262">
        <w:t xml:space="preserve"> address </w:t>
      </w:r>
      <w:r w:rsidR="0074463D">
        <w:t>the relevant capital expenditure levels</w:t>
      </w:r>
      <w:r w:rsidR="005F0829">
        <w:t>.</w:t>
      </w:r>
    </w:p>
    <w:p w14:paraId="136C0FA8" w14:textId="2DE62008" w:rsidR="005B5B65" w:rsidRDefault="00DF1696" w:rsidP="007B3981">
      <w:pPr>
        <w:ind w:firstLine="720"/>
      </w:pPr>
      <w:r>
        <w:t xml:space="preserve">In </w:t>
      </w:r>
      <w:r w:rsidR="005818AF">
        <w:t>considering the financial need of</w:t>
      </w:r>
      <w:r>
        <w:t xml:space="preserve"> DP&amp;L </w:t>
      </w:r>
      <w:r w:rsidR="005818AF">
        <w:t>for additional revenue</w:t>
      </w:r>
      <w:r>
        <w:t xml:space="preserve">, the Commission should not ignore </w:t>
      </w:r>
      <w:r w:rsidR="00ED0E75">
        <w:t xml:space="preserve">this </w:t>
      </w:r>
      <w:r>
        <w:t>omission</w:t>
      </w:r>
      <w:r w:rsidR="00151739">
        <w:t xml:space="preserve"> because</w:t>
      </w:r>
      <w:r w:rsidR="00B83050">
        <w:t xml:space="preserve"> </w:t>
      </w:r>
      <w:r w:rsidR="00773450">
        <w:t xml:space="preserve">DP&amp;L </w:t>
      </w:r>
      <w:r w:rsidR="00687BB9">
        <w:t>previously</w:t>
      </w:r>
      <w:r w:rsidR="00773450">
        <w:t xml:space="preserve"> overstated its projected expenses</w:t>
      </w:r>
      <w:r w:rsidR="00DA6DFC">
        <w:t xml:space="preserve"> </w:t>
      </w:r>
      <w:r w:rsidR="00687BB9">
        <w:t xml:space="preserve">in the </w:t>
      </w:r>
      <w:r w:rsidR="00687BB9" w:rsidRPr="00F77D3F">
        <w:rPr>
          <w:i/>
        </w:rPr>
        <w:t>ESP II Case</w:t>
      </w:r>
      <w:r w:rsidR="00773450">
        <w:t>.</w:t>
      </w:r>
      <w:r w:rsidR="00773450">
        <w:rPr>
          <w:rStyle w:val="FootnoteReference"/>
        </w:rPr>
        <w:footnoteReference w:id="44"/>
      </w:r>
      <w:r w:rsidR="00773450">
        <w:t xml:space="preserve">  The Commission specifically took </w:t>
      </w:r>
      <w:r w:rsidR="008E45DD">
        <w:t xml:space="preserve">into account the </w:t>
      </w:r>
      <w:r w:rsidR="00773450">
        <w:t xml:space="preserve">additional O&amp;M savings </w:t>
      </w:r>
      <w:r w:rsidR="00D956C9">
        <w:t xml:space="preserve">opportunities </w:t>
      </w:r>
      <w:r w:rsidR="008E45DD">
        <w:t xml:space="preserve">uncovered by intervenors through discovery </w:t>
      </w:r>
      <w:r w:rsidR="00773450">
        <w:t xml:space="preserve">when </w:t>
      </w:r>
      <w:r w:rsidR="00687BB9">
        <w:t>it reduced</w:t>
      </w:r>
      <w:r w:rsidR="00773450">
        <w:t xml:space="preserve"> DP&amp;L’s requested SSR revenue requirement from $137.5 million/year to $110 million/year.</w:t>
      </w:r>
      <w:r w:rsidR="00773450">
        <w:rPr>
          <w:rStyle w:val="FootnoteReference"/>
        </w:rPr>
        <w:footnoteReference w:id="45"/>
      </w:r>
      <w:r w:rsidR="00773450">
        <w:t xml:space="preserve"> </w:t>
      </w:r>
      <w:r w:rsidR="00484B60">
        <w:t xml:space="preserve"> </w:t>
      </w:r>
      <w:r w:rsidR="00D46C65">
        <w:t xml:space="preserve">The Commission </w:t>
      </w:r>
      <w:r w:rsidR="004D796C">
        <w:t xml:space="preserve">then </w:t>
      </w:r>
      <w:r w:rsidR="0027493F">
        <w:t>required</w:t>
      </w:r>
      <w:r w:rsidR="004D796C">
        <w:t xml:space="preserve"> DP&amp;L </w:t>
      </w:r>
      <w:r w:rsidR="0027493F">
        <w:t xml:space="preserve">to </w:t>
      </w:r>
      <w:r w:rsidR="004D796C">
        <w:t xml:space="preserve">provide information about its implementation of the O&amp;M savings if DP&amp;L sought to increase the SSR-E rate.  </w:t>
      </w:r>
      <w:r w:rsidR="00F1589D">
        <w:t>Despite the expres</w:t>
      </w:r>
      <w:r w:rsidR="00257204">
        <w:t>s requirement that DP&amp;L provide</w:t>
      </w:r>
      <w:r w:rsidR="00F1589D">
        <w:t xml:space="preserve"> information </w:t>
      </w:r>
      <w:r w:rsidR="0027493F">
        <w:t>about</w:t>
      </w:r>
      <w:r w:rsidR="00F1589D">
        <w:t xml:space="preserve"> its efforts to reduce O&amp;M expenses, DP&amp;L</w:t>
      </w:r>
      <w:r w:rsidR="00F37000">
        <w:t xml:space="preserve"> </w:t>
      </w:r>
      <w:r w:rsidR="004D796C">
        <w:t>has ignored that requirement and instead provided a</w:t>
      </w:r>
      <w:r w:rsidR="0027493F">
        <w:t>n</w:t>
      </w:r>
      <w:r w:rsidR="004D796C">
        <w:t xml:space="preserve"> </w:t>
      </w:r>
      <w:r w:rsidR="00EA2AF5">
        <w:t xml:space="preserve">irrelevant </w:t>
      </w:r>
      <w:r w:rsidR="004D796C">
        <w:t xml:space="preserve">estimate of </w:t>
      </w:r>
      <w:r w:rsidR="00EA2AF5">
        <w:t>projected savings from 2017 to 2026</w:t>
      </w:r>
      <w:r w:rsidR="0027493F">
        <w:t xml:space="preserve"> that is not supported in any way in the </w:t>
      </w:r>
      <w:r w:rsidR="001B702E">
        <w:t>testimony DP&amp;L has filed in support of the Motion</w:t>
      </w:r>
      <w:r w:rsidR="001C7897">
        <w:t>.</w:t>
      </w:r>
    </w:p>
    <w:p w14:paraId="518017B4" w14:textId="7E589B3E" w:rsidR="00206AD6" w:rsidRDefault="001627D7" w:rsidP="00DB6D81">
      <w:pPr>
        <w:ind w:firstLine="720"/>
      </w:pPr>
      <w:r>
        <w:t xml:space="preserve">Finally, DP&amp;L has </w:t>
      </w:r>
      <w:r w:rsidR="00310EF8">
        <w:t xml:space="preserve">not </w:t>
      </w:r>
      <w:r w:rsidR="001B0EC5">
        <w:t xml:space="preserve">alleged or </w:t>
      </w:r>
      <w:r>
        <w:t xml:space="preserve">demonstrated that it has exhausted all other opportunities for rate relief prior to seeking the SSR-E.  </w:t>
      </w:r>
      <w:r w:rsidR="00310EF8">
        <w:t>In this context, t</w:t>
      </w:r>
      <w:r w:rsidR="00BE43DF">
        <w:t xml:space="preserve">he Commission </w:t>
      </w:r>
      <w:r w:rsidR="00BE43DF">
        <w:lastRenderedPageBreak/>
        <w:t xml:space="preserve">specifically required DP&amp;L to file an application to increase distribution rates by July 1, 2014.  DP&amp;L </w:t>
      </w:r>
      <w:r w:rsidR="00332F8B">
        <w:t xml:space="preserve">filed its application to increase its distribution rates </w:t>
      </w:r>
      <w:r w:rsidR="00384304">
        <w:t xml:space="preserve">by $65 million </w:t>
      </w:r>
      <w:r w:rsidR="00332F8B">
        <w:t xml:space="preserve">approximately 17 months late, submitting its rate increase request on November 30, 2015.  </w:t>
      </w:r>
      <w:r w:rsidR="007F3D57">
        <w:t xml:space="preserve">That case remains pending, DP&amp;L is alleged to have engaged in dilatory discovery practices, and the Staff Report, </w:t>
      </w:r>
      <w:r w:rsidR="00217671">
        <w:t xml:space="preserve">which is the next </w:t>
      </w:r>
      <w:r w:rsidR="00135869">
        <w:t>necessary</w:t>
      </w:r>
      <w:r w:rsidR="00217671">
        <w:t xml:space="preserve"> step in the </w:t>
      </w:r>
      <w:r w:rsidR="003F15CA">
        <w:t>rate case</w:t>
      </w:r>
      <w:r w:rsidR="00217671">
        <w:t xml:space="preserve"> process</w:t>
      </w:r>
      <w:r w:rsidR="007F3D57">
        <w:t>, has not been issued.</w:t>
      </w:r>
      <w:r w:rsidR="00151739">
        <w:rPr>
          <w:rStyle w:val="FootnoteReference"/>
        </w:rPr>
        <w:footnoteReference w:id="46"/>
      </w:r>
      <w:r w:rsidR="007F3D57">
        <w:t xml:space="preserve">  </w:t>
      </w:r>
      <w:r w:rsidR="00CA6B5C">
        <w:t xml:space="preserve">DP&amp;L should not be rewarded for its tardiness </w:t>
      </w:r>
      <w:r w:rsidR="008F3451">
        <w:t>by claiming that it substantially complied when the Commission imposed a requirement to file a rate case so that it was assured that DP&amp;L had exhausted all other alternatives to an increase in the SSR-E</w:t>
      </w:r>
      <w:r w:rsidR="00EA2AF5">
        <w:t xml:space="preserve"> rate</w:t>
      </w:r>
      <w:r w:rsidR="008F3451">
        <w:t>.</w:t>
      </w:r>
      <w:r w:rsidR="0052055F">
        <w:t xml:space="preserve"> </w:t>
      </w:r>
      <w:r w:rsidR="00332F8B">
        <w:t xml:space="preserve"> </w:t>
      </w:r>
    </w:p>
    <w:p w14:paraId="0DD66BDB" w14:textId="3BBCB8B1" w:rsidR="007C3F46" w:rsidRDefault="007C3F46" w:rsidP="007C3F46">
      <w:pPr>
        <w:pStyle w:val="Heading3"/>
      </w:pPr>
      <w:bookmarkStart w:id="24" w:name="_Toc448228773"/>
      <w:bookmarkStart w:id="25" w:name="_Toc448320284"/>
      <w:bookmarkStart w:id="26" w:name="_Toc449432248"/>
      <w:bookmarkStart w:id="27" w:name="_Toc449685130"/>
      <w:r>
        <w:t>DP&amp;L fail</w:t>
      </w:r>
      <w:r w:rsidR="00CC14DE">
        <w:t>s</w:t>
      </w:r>
      <w:r>
        <w:t xml:space="preserve"> to </w:t>
      </w:r>
      <w:r w:rsidR="00C57F3D">
        <w:t>identify</w:t>
      </w:r>
      <w:r>
        <w:t xml:space="preserve"> the amount of additional revenue that is necessary to maintain its financial integrity</w:t>
      </w:r>
      <w:bookmarkEnd w:id="24"/>
      <w:bookmarkEnd w:id="25"/>
      <w:bookmarkEnd w:id="26"/>
      <w:bookmarkEnd w:id="27"/>
    </w:p>
    <w:p w14:paraId="08FCB3D8" w14:textId="0DC5BDFA" w:rsidR="009641D0" w:rsidRDefault="007C3F46" w:rsidP="007C3F46">
      <w:pPr>
        <w:ind w:firstLine="720"/>
      </w:pPr>
      <w:r>
        <w:t xml:space="preserve">In the ESP </w:t>
      </w:r>
      <w:r w:rsidR="00511714">
        <w:t xml:space="preserve">II </w:t>
      </w:r>
      <w:r>
        <w:t>Order</w:t>
      </w:r>
      <w:r w:rsidR="00511714">
        <w:t>s</w:t>
      </w:r>
      <w:r>
        <w:t xml:space="preserve">, the Commission stated that “[a]t least 275 days prior to the termination of the SSR on December 31, 201[6], DP&amp;L </w:t>
      </w:r>
      <w:r w:rsidRPr="00C57F3D">
        <w:rPr>
          <w:i/>
        </w:rPr>
        <w:t>may seek approval of an increase</w:t>
      </w:r>
      <w:r w:rsidRPr="00C57F3D">
        <w:t xml:space="preserve"> </w:t>
      </w:r>
      <w:r>
        <w:t>in the SSR-E in an amount not to exceed $[45.8] million for the [period of January to April 2017].”</w:t>
      </w:r>
      <w:r>
        <w:rPr>
          <w:rStyle w:val="FootnoteReference"/>
        </w:rPr>
        <w:footnoteReference w:id="47"/>
      </w:r>
      <w:r w:rsidR="008B7FDE">
        <w:t xml:space="preserve">  </w:t>
      </w:r>
      <w:r>
        <w:t xml:space="preserve">The Commission continued, “[i]f DP&amp;L seeks to implement the SSR-E, DP&amp;L must show that the SSR-E is also necessary to maintain the financial integrity of the Company, and that </w:t>
      </w:r>
      <w:r w:rsidRPr="00C57F3D">
        <w:rPr>
          <w:i/>
        </w:rPr>
        <w:t>the amount requested</w:t>
      </w:r>
      <w:r>
        <w:t xml:space="preserve"> is the necessary amount to maintain DP&amp;L's financial integrity</w:t>
      </w:r>
      <w:r w:rsidR="008617D3">
        <w:t xml:space="preserve"> … </w:t>
      </w:r>
      <w:r>
        <w:t>.”</w:t>
      </w:r>
      <w:r>
        <w:rPr>
          <w:rStyle w:val="FootnoteReference"/>
        </w:rPr>
        <w:footnoteReference w:id="48"/>
      </w:r>
      <w:r>
        <w:t xml:space="preserve">  </w:t>
      </w:r>
    </w:p>
    <w:p w14:paraId="75F46DFF" w14:textId="77B49C43" w:rsidR="007C3F46" w:rsidRDefault="009641D0" w:rsidP="007C3F46">
      <w:pPr>
        <w:ind w:firstLine="720"/>
      </w:pPr>
      <w:r>
        <w:t xml:space="preserve">Although the Commission directed DP&amp;L to identify the amount it is requesting when it seeks an increase in the SSR-E, </w:t>
      </w:r>
      <w:r w:rsidR="007C3F46">
        <w:t xml:space="preserve">DP&amp;L requests only authority to implement the </w:t>
      </w:r>
      <w:r w:rsidR="007C3F46">
        <w:lastRenderedPageBreak/>
        <w:t>rider</w:t>
      </w:r>
      <w:r w:rsidR="007C3F46">
        <w:rPr>
          <w:rStyle w:val="FootnoteReference"/>
        </w:rPr>
        <w:footnoteReference w:id="49"/>
      </w:r>
      <w:r w:rsidR="007C3F46">
        <w:t xml:space="preserve"> and approval of the rider.</w:t>
      </w:r>
      <w:r w:rsidR="007C3F46">
        <w:rPr>
          <w:rStyle w:val="FootnoteReference"/>
        </w:rPr>
        <w:footnoteReference w:id="50"/>
      </w:r>
      <w:r w:rsidR="007C3F46">
        <w:t xml:space="preserve">  Nowhere in its Motion, attached testimony, or incorporated testimony does DP&amp;L </w:t>
      </w:r>
      <w:r w:rsidR="00D90255">
        <w:t xml:space="preserve">state </w:t>
      </w:r>
      <w:r w:rsidR="00010BBA">
        <w:t>the</w:t>
      </w:r>
      <w:r w:rsidR="007C3F46">
        <w:t xml:space="preserve"> amount of </w:t>
      </w:r>
      <w:r w:rsidR="00010BBA">
        <w:t xml:space="preserve">the </w:t>
      </w:r>
      <w:r w:rsidR="007C3F46">
        <w:t xml:space="preserve">increase in the SSR-E </w:t>
      </w:r>
      <w:r w:rsidR="00010BBA">
        <w:t>that it is seeking</w:t>
      </w:r>
      <w:r w:rsidR="007C3F46">
        <w:t xml:space="preserve">.  </w:t>
      </w:r>
      <w:r w:rsidR="00F42E18">
        <w:t>Once again, DP&amp;L has ignored the express terms of the Commission’s orders.</w:t>
      </w:r>
      <w:r w:rsidR="007C3F46">
        <w:rPr>
          <w:rStyle w:val="FootnoteReference"/>
        </w:rPr>
        <w:footnoteReference w:id="51"/>
      </w:r>
    </w:p>
    <w:p w14:paraId="3A1A441C" w14:textId="135D0C6F" w:rsidR="00206AD6" w:rsidRDefault="00274D60" w:rsidP="004B3F45">
      <w:pPr>
        <w:pStyle w:val="Heading3"/>
      </w:pPr>
      <w:bookmarkStart w:id="28" w:name="_Toc448228774"/>
      <w:bookmarkStart w:id="29" w:name="_Toc448320285"/>
      <w:bookmarkStart w:id="30" w:name="_Toc449432249"/>
      <w:bookmarkStart w:id="31" w:name="_Toc449685131"/>
      <w:r>
        <w:t xml:space="preserve">DP&amp;L has not satisfied the </w:t>
      </w:r>
      <w:r w:rsidR="003B788C">
        <w:t xml:space="preserve">additional </w:t>
      </w:r>
      <w:r w:rsidR="000349CB">
        <w:t xml:space="preserve">conditions </w:t>
      </w:r>
      <w:r w:rsidR="003B788C">
        <w:t xml:space="preserve">the Commission </w:t>
      </w:r>
      <w:r w:rsidR="00EB5604">
        <w:t>required DP&amp;L to undertake before the Commission would authorize an increase in the SSR-E</w:t>
      </w:r>
      <w:bookmarkEnd w:id="28"/>
      <w:bookmarkEnd w:id="29"/>
      <w:bookmarkEnd w:id="30"/>
      <w:bookmarkEnd w:id="31"/>
    </w:p>
    <w:p w14:paraId="1CB3B958" w14:textId="6FEE9242" w:rsidR="00B85553" w:rsidRDefault="007515AA" w:rsidP="003B788C">
      <w:pPr>
        <w:ind w:firstLine="720"/>
      </w:pPr>
      <w:r w:rsidRPr="007515AA">
        <w:t>In addition to demonstrating that DP&amp;L require</w:t>
      </w:r>
      <w:r w:rsidR="0059516C">
        <w:t>s</w:t>
      </w:r>
      <w:r w:rsidRPr="007515AA">
        <w:t xml:space="preserve"> additional revenue to maintain its financial integrity, the Commission require</w:t>
      </w:r>
      <w:r w:rsidR="00FA66C7">
        <w:t>d</w:t>
      </w:r>
      <w:r w:rsidRPr="007515AA">
        <w:t xml:space="preserve"> DP&amp;L </w:t>
      </w:r>
      <w:r w:rsidR="00162468">
        <w:t xml:space="preserve">(1) </w:t>
      </w:r>
      <w:r w:rsidR="006241B2" w:rsidRPr="007515AA">
        <w:t>to file by December 31, 2013</w:t>
      </w:r>
      <w:r w:rsidR="006241B2">
        <w:t xml:space="preserve"> </w:t>
      </w:r>
      <w:r w:rsidRPr="007515AA">
        <w:t xml:space="preserve">an application to divest its generation assets, </w:t>
      </w:r>
      <w:r w:rsidR="00162468">
        <w:t>(2)</w:t>
      </w:r>
      <w:r w:rsidR="006241B2">
        <w:t xml:space="preserve"> </w:t>
      </w:r>
      <w:r w:rsidR="006241B2" w:rsidRPr="007515AA">
        <w:t>to file</w:t>
      </w:r>
      <w:r w:rsidR="00162468">
        <w:t xml:space="preserve"> </w:t>
      </w:r>
      <w:r w:rsidR="00836DD0">
        <w:t xml:space="preserve">by July </w:t>
      </w:r>
      <w:r w:rsidR="00836DD0" w:rsidRPr="007515AA">
        <w:t>1, 2014</w:t>
      </w:r>
      <w:r w:rsidR="00836DD0">
        <w:t xml:space="preserve"> </w:t>
      </w:r>
      <w:r w:rsidRPr="007515AA">
        <w:t>an application to incre</w:t>
      </w:r>
      <w:r w:rsidR="00EC31C0">
        <w:t>ase distribution rates</w:t>
      </w:r>
      <w:r w:rsidRPr="007515AA">
        <w:t xml:space="preserve">, </w:t>
      </w:r>
      <w:r w:rsidR="00162468">
        <w:t xml:space="preserve">(3) </w:t>
      </w:r>
      <w:r w:rsidR="006241B2">
        <w:t xml:space="preserve">to file </w:t>
      </w:r>
      <w:r w:rsidR="00DD524D">
        <w:t xml:space="preserve">by July 1, 2014 </w:t>
      </w:r>
      <w:r w:rsidRPr="007515AA">
        <w:t xml:space="preserve">an application to modernize infrastructure through </w:t>
      </w:r>
      <w:r w:rsidR="008224D8">
        <w:t>s</w:t>
      </w:r>
      <w:r w:rsidR="00823973" w:rsidRPr="007515AA">
        <w:t xml:space="preserve">mart </w:t>
      </w:r>
      <w:r w:rsidR="008224D8">
        <w:t>g</w:t>
      </w:r>
      <w:r w:rsidR="00823973" w:rsidRPr="007515AA">
        <w:t xml:space="preserve">rid </w:t>
      </w:r>
      <w:r w:rsidRPr="007515AA">
        <w:t xml:space="preserve">and </w:t>
      </w:r>
      <w:r w:rsidR="008224D8">
        <w:t>AMI</w:t>
      </w:r>
      <w:r w:rsidRPr="007515AA">
        <w:t xml:space="preserve">, and </w:t>
      </w:r>
      <w:r w:rsidR="00162468">
        <w:t>(</w:t>
      </w:r>
      <w:r w:rsidR="00C32D03">
        <w:t>4</w:t>
      </w:r>
      <w:r w:rsidR="00162468">
        <w:t xml:space="preserve">) </w:t>
      </w:r>
      <w:r w:rsidR="006241B2" w:rsidRPr="007515AA">
        <w:t>to file by December 31, 2014</w:t>
      </w:r>
      <w:r w:rsidR="00C32D03">
        <w:t xml:space="preserve"> </w:t>
      </w:r>
      <w:r w:rsidRPr="007515AA">
        <w:t>an application to modernize its billing system.</w:t>
      </w:r>
      <w:r>
        <w:rPr>
          <w:rStyle w:val="FootnoteReference"/>
        </w:rPr>
        <w:footnoteReference w:id="52"/>
      </w:r>
      <w:r w:rsidRPr="007515AA">
        <w:t xml:space="preserve">  </w:t>
      </w:r>
      <w:r w:rsidR="00B85553">
        <w:t>DP&amp;L claims it substantially complied wi</w:t>
      </w:r>
      <w:r w:rsidR="00162468">
        <w:t>th all of these requirements, but t</w:t>
      </w:r>
      <w:r w:rsidR="00B85553">
        <w:t>he Commission’s docket reveals that claim is false.</w:t>
      </w:r>
    </w:p>
    <w:p w14:paraId="0E7AB5F7" w14:textId="48F1B536" w:rsidR="00FE2F9E" w:rsidRDefault="0015583E" w:rsidP="00740F41">
      <w:pPr>
        <w:ind w:firstLine="720"/>
      </w:pPr>
      <w:r>
        <w:t xml:space="preserve">Of the four deadlines, DP&amp;L has met one.  </w:t>
      </w:r>
      <w:r w:rsidR="003D0794">
        <w:t>On December 30, 2013, DP&amp;L filed an application to divest its generation assets.</w:t>
      </w:r>
      <w:r w:rsidR="003F2736">
        <w:rPr>
          <w:rStyle w:val="FootnoteReference"/>
        </w:rPr>
        <w:footnoteReference w:id="53"/>
      </w:r>
      <w:r w:rsidR="003D0794">
        <w:t xml:space="preserve">  Substantively, however, the application contained almost no details regarding DP&amp;L’s plan to divest its generation assets</w:t>
      </w:r>
      <w:r w:rsidR="00BA4A65">
        <w:rPr>
          <w:rStyle w:val="FootnoteReference"/>
        </w:rPr>
        <w:footnoteReference w:id="54"/>
      </w:r>
      <w:r w:rsidR="00BA4A65">
        <w:t xml:space="preserve"> </w:t>
      </w:r>
      <w:r w:rsidR="003D0794">
        <w:t xml:space="preserve">and </w:t>
      </w:r>
      <w:r w:rsidR="003D0794">
        <w:lastRenderedPageBreak/>
        <w:t>was subsequently updated twice before the Commission took action on the application.</w:t>
      </w:r>
      <w:r w:rsidR="00BA4A65">
        <w:rPr>
          <w:rStyle w:val="FootnoteReference"/>
        </w:rPr>
        <w:footnoteReference w:id="55"/>
      </w:r>
      <w:r w:rsidR="00224817">
        <w:t xml:space="preserve">  </w:t>
      </w:r>
      <w:r w:rsidR="007D75FE">
        <w:t xml:space="preserve">Related </w:t>
      </w:r>
      <w:r w:rsidR="000F1179">
        <w:t>d</w:t>
      </w:r>
      <w:r w:rsidR="003D0794">
        <w:t xml:space="preserve">etails of DP&amp;L’s plan </w:t>
      </w:r>
      <w:r w:rsidR="007D75FE">
        <w:t>to address changes in capital structure</w:t>
      </w:r>
      <w:r w:rsidR="003D0794">
        <w:t xml:space="preserve"> </w:t>
      </w:r>
      <w:r w:rsidR="000F1179">
        <w:t xml:space="preserve">were filed with the Commission on November 30, 2015, when DP&amp;L submitted testimony in support of its </w:t>
      </w:r>
      <w:r w:rsidR="000279DC" w:rsidRPr="00A6265E">
        <w:t xml:space="preserve">Distribution </w:t>
      </w:r>
      <w:r w:rsidR="00B1076D" w:rsidRPr="00A6265E">
        <w:t>Rate Case</w:t>
      </w:r>
      <w:r w:rsidR="000F1179">
        <w:rPr>
          <w:rStyle w:val="FootnoteReference"/>
        </w:rPr>
        <w:footnoteReference w:id="56"/>
      </w:r>
      <w:r w:rsidR="000F1179">
        <w:t xml:space="preserve"> and on February 22, 2016, when DP&amp;L submitted testimony in support of its proposed ESP in this case.</w:t>
      </w:r>
      <w:r w:rsidR="000F1179">
        <w:rPr>
          <w:rStyle w:val="FootnoteReference"/>
        </w:rPr>
        <w:footnoteReference w:id="57"/>
      </w:r>
      <w:r w:rsidR="000F1179">
        <w:t xml:space="preserve">  Thus, DP&amp;L’s </w:t>
      </w:r>
      <w:r w:rsidR="00FE2F9E">
        <w:t>efforts to comply with this requirement</w:t>
      </w:r>
      <w:r w:rsidR="00332F8B">
        <w:t>, on time,</w:t>
      </w:r>
      <w:r w:rsidR="00FE2F9E">
        <w:t xml:space="preserve"> </w:t>
      </w:r>
      <w:r w:rsidR="00E91D5F">
        <w:t xml:space="preserve">were </w:t>
      </w:r>
      <w:r w:rsidR="00FE2F9E">
        <w:t xml:space="preserve">perfunctory </w:t>
      </w:r>
      <w:r w:rsidR="00A86651">
        <w:t>and</w:t>
      </w:r>
      <w:r w:rsidR="00FE2F9E">
        <w:t xml:space="preserve"> incomplete.  </w:t>
      </w:r>
    </w:p>
    <w:p w14:paraId="7B1606E7" w14:textId="2A2C0445" w:rsidR="00DD62B8" w:rsidRDefault="00C165BB" w:rsidP="00740F41">
      <w:pPr>
        <w:ind w:firstLine="720"/>
      </w:pPr>
      <w:r>
        <w:t xml:space="preserve">Of the </w:t>
      </w:r>
      <w:r w:rsidR="00362E52">
        <w:t>four</w:t>
      </w:r>
      <w:r>
        <w:t xml:space="preserve"> required applications, DP&amp;L has filed two: the application to divest generation assets and the </w:t>
      </w:r>
      <w:r w:rsidR="004F46C1" w:rsidRPr="004B3F45">
        <w:rPr>
          <w:i/>
        </w:rPr>
        <w:t>DP&amp;L</w:t>
      </w:r>
      <w:r w:rsidR="004F46C1">
        <w:t xml:space="preserve"> </w:t>
      </w:r>
      <w:r w:rsidR="00B1076D" w:rsidRPr="00A376DC">
        <w:rPr>
          <w:i/>
        </w:rPr>
        <w:t>Distribution Rate Case</w:t>
      </w:r>
      <w:r w:rsidR="00B1076D">
        <w:t xml:space="preserve"> </w:t>
      </w:r>
      <w:r>
        <w:t>application</w:t>
      </w:r>
      <w:r w:rsidR="005455F7">
        <w:t xml:space="preserve">.  </w:t>
      </w:r>
      <w:r w:rsidR="0044629D">
        <w:t>Although the</w:t>
      </w:r>
      <w:r w:rsidR="005455F7">
        <w:t xml:space="preserve"> </w:t>
      </w:r>
      <w:r w:rsidR="004F46C1">
        <w:rPr>
          <w:i/>
        </w:rPr>
        <w:t xml:space="preserve">DP&amp;L </w:t>
      </w:r>
      <w:r w:rsidR="004D26DD" w:rsidRPr="00A376DC">
        <w:rPr>
          <w:i/>
        </w:rPr>
        <w:t>Distribution Rate Case</w:t>
      </w:r>
      <w:r w:rsidR="004D26DD">
        <w:t xml:space="preserve"> </w:t>
      </w:r>
      <w:r w:rsidR="005455F7">
        <w:t>was filed 17 months late</w:t>
      </w:r>
      <w:r w:rsidR="0044629D">
        <w:t>,</w:t>
      </w:r>
      <w:r>
        <w:t xml:space="preserve"> </w:t>
      </w:r>
      <w:r w:rsidR="00867591">
        <w:t xml:space="preserve">DP&amp;L offers no reason as to its tardiness, and as discussed above, DP&amp;L’s tardiness presents the Commission with a situation where it is being </w:t>
      </w:r>
      <w:r w:rsidR="005455F7">
        <w:t xml:space="preserve">asked </w:t>
      </w:r>
      <w:r w:rsidR="00867591">
        <w:t xml:space="preserve">to </w:t>
      </w:r>
      <w:r w:rsidR="005455F7">
        <w:t xml:space="preserve">authorize DP&amp;L to increase </w:t>
      </w:r>
      <w:r w:rsidR="0044629D">
        <w:t xml:space="preserve">the SSR-E rate </w:t>
      </w:r>
      <w:r w:rsidR="00362E52">
        <w:t>before</w:t>
      </w:r>
      <w:r w:rsidR="00867591">
        <w:t xml:space="preserve"> exhausting its other opportunities to obtain rate relief.</w:t>
      </w:r>
    </w:p>
    <w:p w14:paraId="14A3719E" w14:textId="524D6CFB" w:rsidR="00631A27" w:rsidRDefault="00072865" w:rsidP="00740F41">
      <w:pPr>
        <w:ind w:firstLine="720"/>
      </w:pPr>
      <w:r>
        <w:t xml:space="preserve">DP&amp;L has </w:t>
      </w:r>
      <w:r w:rsidR="00407286">
        <w:t>not filed an</w:t>
      </w:r>
      <w:r>
        <w:t xml:space="preserve"> application to modernize its infrastructure </w:t>
      </w:r>
      <w:r w:rsidR="00631A27">
        <w:t xml:space="preserve">through </w:t>
      </w:r>
      <w:r w:rsidR="00D94C0C">
        <w:t xml:space="preserve">Smart Grid </w:t>
      </w:r>
      <w:r w:rsidR="00631A27">
        <w:t xml:space="preserve">and </w:t>
      </w:r>
      <w:r w:rsidR="00D94C0C">
        <w:t xml:space="preserve">AMI </w:t>
      </w:r>
      <w:r w:rsidR="00631A27">
        <w:t xml:space="preserve">initiatives.  In its Motion, DP&amp;L </w:t>
      </w:r>
      <w:r>
        <w:t>acknowledges it is still</w:t>
      </w:r>
      <w:r w:rsidR="00FC3036">
        <w:t xml:space="preserve"> “actively considering” the issue.</w:t>
      </w:r>
      <w:r w:rsidR="00FC3036">
        <w:rPr>
          <w:rStyle w:val="FootnoteReference"/>
        </w:rPr>
        <w:footnoteReference w:id="58"/>
      </w:r>
      <w:r w:rsidR="00053D05">
        <w:t xml:space="preserve">  </w:t>
      </w:r>
      <w:r w:rsidR="00631A27">
        <w:t xml:space="preserve">DP&amp;L offers nothing further </w:t>
      </w:r>
      <w:r w:rsidR="00DD62B8">
        <w:t>concerning</w:t>
      </w:r>
      <w:r w:rsidR="00631A27">
        <w:t xml:space="preserve"> its failure to file the required application </w:t>
      </w:r>
      <w:r w:rsidR="00407286">
        <w:t>by July 1, 2014.</w:t>
      </w:r>
    </w:p>
    <w:p w14:paraId="5D4A664E" w14:textId="77777777" w:rsidR="00495FF3" w:rsidRDefault="000907CE" w:rsidP="00740F41">
      <w:pPr>
        <w:ind w:firstLine="720"/>
      </w:pPr>
      <w:r>
        <w:lastRenderedPageBreak/>
        <w:t xml:space="preserve">DP&amp;L has also failed to file the required application to modernize its billing system.  </w:t>
      </w:r>
      <w:r w:rsidR="00EC075D">
        <w:t>Although DP&amp;L makes several claims about the capabilities of its billing system, DP&amp;L offers no reason for its failure to file the required application.</w:t>
      </w:r>
      <w:r w:rsidR="00495FF3">
        <w:t xml:space="preserve"> </w:t>
      </w:r>
    </w:p>
    <w:p w14:paraId="64CB3801" w14:textId="6824548E" w:rsidR="007E7E3F" w:rsidRDefault="007E7E3F">
      <w:pPr>
        <w:ind w:firstLine="720"/>
      </w:pPr>
      <w:r>
        <w:t>In summary, DP&amp;L has not complied with the conditions the Commission imposed on DP&amp;L before it could seek to increase the SSR-E.  DP&amp;L is required to demonstrate that it has a financial need; DP&amp;L does not provide any demonstration that an increase is necessary to address its needs.  DP&amp;L was required to make several applications before seeking an increase; it has made two.  One, the application related to generation divestiture was so “content-free” that DP&amp;L was required to supplement the application.  The second, the distribution rate case, was filed so late that the delay has effectively frustrated any attempt to determine whether DP&amp;L has a financial need that would justify an increase in the SSR-E.  Because DP&amp;L has failed to comply with the conditions the Commission ordered, its Motion must be denied.</w:t>
      </w:r>
    </w:p>
    <w:p w14:paraId="10FCBC80" w14:textId="571E71FB" w:rsidR="00072865" w:rsidRDefault="00191152" w:rsidP="00191152">
      <w:pPr>
        <w:pStyle w:val="Heading2"/>
      </w:pPr>
      <w:bookmarkStart w:id="32" w:name="_Toc448228775"/>
      <w:bookmarkStart w:id="33" w:name="_Toc448320286"/>
      <w:bookmarkStart w:id="34" w:name="_Toc449432250"/>
      <w:bookmarkStart w:id="35" w:name="_Toc449685132"/>
      <w:r>
        <w:t xml:space="preserve">The Commission lacks authority to provide DP&amp;L </w:t>
      </w:r>
      <w:r w:rsidR="00694506">
        <w:t xml:space="preserve">an increase in </w:t>
      </w:r>
      <w:r>
        <w:t>revenue through the SSR-E</w:t>
      </w:r>
      <w:bookmarkEnd w:id="32"/>
      <w:bookmarkEnd w:id="33"/>
      <w:bookmarkEnd w:id="34"/>
      <w:bookmarkEnd w:id="35"/>
    </w:p>
    <w:p w14:paraId="4AD82A4E" w14:textId="19A8EF84" w:rsidR="008303E2" w:rsidRDefault="00564414" w:rsidP="00E865A6">
      <w:pPr>
        <w:ind w:firstLine="720"/>
      </w:pPr>
      <w:r>
        <w:t>In it</w:t>
      </w:r>
      <w:r w:rsidR="00CB27FC">
        <w:t xml:space="preserve">s Motion, DP&amp;L asserts that </w:t>
      </w:r>
      <w:r w:rsidR="00694506">
        <w:t xml:space="preserve">an increase in the SSR- E rate is necessary because </w:t>
      </w:r>
      <w:r w:rsidR="00CB27FC">
        <w:t>DP&amp;L’s financial integrity will be at risk when the SSR expires</w:t>
      </w:r>
      <w:r w:rsidR="002D2A04">
        <w:t>.</w:t>
      </w:r>
      <w:r w:rsidR="00CB27FC">
        <w:rPr>
          <w:rStyle w:val="FootnoteReference"/>
        </w:rPr>
        <w:footnoteReference w:id="59"/>
      </w:r>
      <w:r w:rsidR="00182702">
        <w:t xml:space="preserve">  </w:t>
      </w:r>
      <w:r w:rsidR="00DD53BC">
        <w:t xml:space="preserve">Based on the “proof” offered by DP&amp;L in support of </w:t>
      </w:r>
      <w:r w:rsidR="007F158D">
        <w:t>that claim</w:t>
      </w:r>
      <w:r w:rsidR="00DD53BC">
        <w:t xml:space="preserve">, </w:t>
      </w:r>
      <w:r w:rsidR="00D65687">
        <w:t xml:space="preserve">however, </w:t>
      </w:r>
      <w:r w:rsidR="00DD53BC">
        <w:t xml:space="preserve">the Commission is barred by Ohio </w:t>
      </w:r>
      <w:r w:rsidR="0059516C">
        <w:t xml:space="preserve">and federal </w:t>
      </w:r>
      <w:r w:rsidR="00DD53BC">
        <w:t>law and Commission rules from authorizing an increase in the SSR-E.</w:t>
      </w:r>
    </w:p>
    <w:p w14:paraId="61DBC7D4" w14:textId="3DF74FC3" w:rsidR="002D2A04" w:rsidRDefault="007F158D" w:rsidP="000509A7">
      <w:pPr>
        <w:pStyle w:val="Heading3"/>
      </w:pPr>
      <w:bookmarkStart w:id="36" w:name="_Toc448320287"/>
      <w:bookmarkStart w:id="37" w:name="_Toc449432251"/>
      <w:bookmarkStart w:id="38" w:name="_Toc449685133"/>
      <w:r>
        <w:t>Ohio law prohibits an order increasing the SSR-E rate</w:t>
      </w:r>
      <w:bookmarkEnd w:id="36"/>
      <w:bookmarkEnd w:id="37"/>
      <w:bookmarkEnd w:id="38"/>
    </w:p>
    <w:p w14:paraId="7BA0810E" w14:textId="7DAA976C" w:rsidR="00705B27" w:rsidRDefault="009F7FB7" w:rsidP="00142DF8">
      <w:pPr>
        <w:pStyle w:val="Heading4"/>
      </w:pPr>
      <w:bookmarkStart w:id="39" w:name="_Toc448228777"/>
      <w:bookmarkStart w:id="40" w:name="_Toc448320288"/>
      <w:bookmarkStart w:id="41" w:name="_Toc449432252"/>
      <w:bookmarkStart w:id="42" w:name="_Toc449685134"/>
      <w:r>
        <w:t>DP&amp;L</w:t>
      </w:r>
      <w:r w:rsidR="00D3206C">
        <w:t>’s motion and supporting materials fail to demonstrate the facts and circumstances that support authorization of an increase in the rider</w:t>
      </w:r>
      <w:r w:rsidR="00381A16">
        <w:t xml:space="preserve"> under R.C. 4928.143(B)(2)(d)</w:t>
      </w:r>
      <w:bookmarkEnd w:id="39"/>
      <w:bookmarkEnd w:id="40"/>
      <w:bookmarkEnd w:id="41"/>
      <w:bookmarkEnd w:id="42"/>
    </w:p>
    <w:p w14:paraId="4225DEB6" w14:textId="77777777" w:rsidR="004158D6" w:rsidRDefault="00D3206C" w:rsidP="009F7FB7">
      <w:r>
        <w:lastRenderedPageBreak/>
        <w:tab/>
      </w:r>
      <w:r w:rsidR="004158D6">
        <w:t>As the Commission has recognized, its authority to regulate retail generation services is limited.  “Pursuant to Sections 4928.03 and 4928.05(A)(1), Revised Code, retail electric generation service is competitive and therefore, not subject to Commission regulation, except as otherwise provided in Chapter 4928, Revised Code.”</w:t>
      </w:r>
      <w:r w:rsidR="004158D6">
        <w:rPr>
          <w:rStyle w:val="FootnoteReference"/>
        </w:rPr>
        <w:footnoteReference w:id="60"/>
      </w:r>
      <w:r w:rsidR="004158D6">
        <w:t xml:space="preserve">  R.C. 4928.05(A)(1) limits the Commission retail generation ratemaking authority to R.C. 4928.141 to 4928.144.</w:t>
      </w:r>
      <w:r w:rsidR="004158D6">
        <w:rPr>
          <w:rStyle w:val="FootnoteReference"/>
        </w:rPr>
        <w:footnoteReference w:id="61"/>
      </w:r>
      <w:r w:rsidR="004158D6">
        <w:t xml:space="preserve">  </w:t>
      </w:r>
    </w:p>
    <w:p w14:paraId="13925D09" w14:textId="7F53DFC9" w:rsidR="00257BFA" w:rsidRDefault="00DA4BDE" w:rsidP="004158D6">
      <w:pPr>
        <w:ind w:firstLine="720"/>
      </w:pPr>
      <w:r>
        <w:t>DP&amp;L’s current standard service offer is an ESP that is authorized under R.C. 4928.143.</w:t>
      </w:r>
      <w:r>
        <w:rPr>
          <w:rStyle w:val="FootnoteReference"/>
        </w:rPr>
        <w:footnoteReference w:id="62"/>
      </w:r>
      <w:r>
        <w:t xml:space="preserve">  </w:t>
      </w:r>
      <w:r w:rsidR="00257BFA">
        <w:t>The Commission may authorize only those terms and conditions of an ESP as provided by R.C. 4928.143(B).  “</w:t>
      </w:r>
      <w:r w:rsidR="00257BFA" w:rsidRPr="00F55C1C">
        <w:t>By its terms, R.C. 4928.143(B)(2)</w:t>
      </w:r>
      <w:r w:rsidR="00E538A5">
        <w:t xml:space="preserve"> allows plans to include only ‘any of the following’</w:t>
      </w:r>
      <w:r w:rsidR="00257BFA" w:rsidRPr="00F55C1C">
        <w:t xml:space="preserve"> provisions</w:t>
      </w:r>
      <w:r w:rsidR="00E91D5F" w:rsidRPr="00F55C1C">
        <w:t xml:space="preserve">.  </w:t>
      </w:r>
      <w:r w:rsidR="00257BFA" w:rsidRPr="00F55C1C">
        <w:t>It d</w:t>
      </w:r>
      <w:r w:rsidR="00E538A5">
        <w:t>oes not allow plans to include ‘any provision.’</w:t>
      </w:r>
      <w:r w:rsidR="00257BFA" w:rsidRPr="00F55C1C">
        <w:t xml:space="preserve"> </w:t>
      </w:r>
      <w:r w:rsidR="00F23057">
        <w:t xml:space="preserve"> </w:t>
      </w:r>
      <w:r w:rsidR="00257BFA" w:rsidRPr="00F55C1C">
        <w:t>So if a given provision does not fit withi</w:t>
      </w:r>
      <w:r w:rsidR="00E538A5">
        <w:t>n one of the categories listed ‘following’</w:t>
      </w:r>
      <w:r w:rsidR="00257BFA" w:rsidRPr="00F55C1C">
        <w:t xml:space="preserve"> (B)(2), it is not authorized by statute.</w:t>
      </w:r>
      <w:r w:rsidR="00257BFA">
        <w:t>”</w:t>
      </w:r>
      <w:r w:rsidR="00257BFA">
        <w:rPr>
          <w:rStyle w:val="FootnoteReference"/>
        </w:rPr>
        <w:footnoteReference w:id="63"/>
      </w:r>
    </w:p>
    <w:p w14:paraId="2209F2A4" w14:textId="32FD4FD7" w:rsidR="004A3E61" w:rsidRDefault="00CA39AC" w:rsidP="002549DC">
      <w:pPr>
        <w:ind w:firstLine="720"/>
      </w:pPr>
      <w:r>
        <w:t xml:space="preserve">In its Motion, DP&amp;L has not indicated what division of R.C. 4928.143(B) it is relying upon for authorization of the increase.  </w:t>
      </w:r>
      <w:r w:rsidR="00FB73C4">
        <w:t>That omission may be due to the fact that the Commission itself has not indicated what provision it was relying on when it authorized the SSR-E with an initial rate of zero.</w:t>
      </w:r>
      <w:r w:rsidR="0037697B">
        <w:rPr>
          <w:rStyle w:val="FootnoteReference"/>
        </w:rPr>
        <w:footnoteReference w:id="64"/>
      </w:r>
      <w:r w:rsidR="00C15CAB">
        <w:t xml:space="preserve"> </w:t>
      </w:r>
      <w:r w:rsidR="00EB6C87">
        <w:t xml:space="preserve"> </w:t>
      </w:r>
      <w:r w:rsidR="00673E9A">
        <w:t xml:space="preserve">Based on its application for rehearing in the </w:t>
      </w:r>
      <w:r w:rsidR="00673E9A" w:rsidRPr="004B3F45">
        <w:rPr>
          <w:i/>
        </w:rPr>
        <w:t xml:space="preserve">ESP </w:t>
      </w:r>
      <w:r w:rsidR="00673E9A" w:rsidRPr="004B3F45">
        <w:rPr>
          <w:i/>
        </w:rPr>
        <w:lastRenderedPageBreak/>
        <w:t>II Case</w:t>
      </w:r>
      <w:r w:rsidR="00673E9A">
        <w:t xml:space="preserve">, however, DP&amp;L believes that the Commission authorized the rider under </w:t>
      </w:r>
      <w:r w:rsidR="00AA7A03">
        <w:t>R.C. 4928.143(B)(2)(d)</w:t>
      </w:r>
      <w:r w:rsidR="00BA7C6B">
        <w:t>.</w:t>
      </w:r>
      <w:r w:rsidR="00AA7A03">
        <w:rPr>
          <w:rStyle w:val="FootnoteReference"/>
        </w:rPr>
        <w:footnoteReference w:id="65"/>
      </w:r>
    </w:p>
    <w:p w14:paraId="7B178F84" w14:textId="2C2BC55E" w:rsidR="005E54E7" w:rsidRDefault="00843F70" w:rsidP="002549DC">
      <w:pPr>
        <w:ind w:firstLine="720"/>
      </w:pPr>
      <w:r>
        <w:t xml:space="preserve">If DP&amp;L is seeking authorization of the increase in the SSR-E under </w:t>
      </w:r>
      <w:r w:rsidR="009D5851">
        <w:t>R.C. 4928.143(B)(2)(d)</w:t>
      </w:r>
      <w:r>
        <w:t xml:space="preserve">, it has the burden of demonstrating that the increase satisfies the requirements of </w:t>
      </w:r>
      <w:r w:rsidR="00717A5C">
        <w:t>that division.</w:t>
      </w:r>
      <w:r w:rsidR="00717A5C">
        <w:rPr>
          <w:rStyle w:val="FootnoteReference"/>
        </w:rPr>
        <w:footnoteReference w:id="66"/>
      </w:r>
      <w:r w:rsidR="00717A5C">
        <w:t xml:space="preserve">  That division </w:t>
      </w:r>
      <w:r w:rsidR="00804253">
        <w:t xml:space="preserve">provides that the Commission may include as a term of an ESP </w:t>
      </w:r>
      <w:r w:rsidR="0031667A">
        <w:t>“</w:t>
      </w:r>
      <w:r w:rsidR="0031667A" w:rsidRPr="0031667A">
        <w:t>charges relating to limitations on customer shopping for retail electric generation service, bypassability, standby, back-up, or supplemental power service, default service, carrying costs, amortization periods, and accounting or deferrals, including future recovery of such deferrals, as would have the effect of stabilizing or providing certainty regarding retail electric service</w:t>
      </w:r>
      <w:r w:rsidR="0031667A">
        <w:t xml:space="preserve">.”  </w:t>
      </w:r>
    </w:p>
    <w:p w14:paraId="5E93FCF7" w14:textId="2A6D8DD4" w:rsidR="00330881" w:rsidRDefault="00C22046" w:rsidP="009F7FB7">
      <w:r>
        <w:tab/>
      </w:r>
      <w:r w:rsidR="00F92407">
        <w:t>DP&amp;L fails to satisfy the requirement to demonstrate that the increase in the SSR-E will have the effect</w:t>
      </w:r>
      <w:r w:rsidR="00DE5C7E">
        <w:t xml:space="preserve"> of stabilizing or providing certainty regarding retail electric service.  </w:t>
      </w:r>
      <w:r w:rsidR="00D97666">
        <w:t>I</w:t>
      </w:r>
      <w:r w:rsidR="00FF7D86">
        <w:t>n the supp</w:t>
      </w:r>
      <w:r w:rsidR="00FE7FA2">
        <w:t xml:space="preserve">orting testimony of Mr. Jackson, </w:t>
      </w:r>
      <w:r w:rsidR="00FF7D86">
        <w:t>Ms</w:t>
      </w:r>
      <w:r w:rsidR="00544919">
        <w:t>.</w:t>
      </w:r>
      <w:r w:rsidR="00FF7D86">
        <w:t xml:space="preserve"> Schroder</w:t>
      </w:r>
      <w:r w:rsidR="00FE7FA2">
        <w:t>, or Mr. Malinak</w:t>
      </w:r>
      <w:r w:rsidR="00D97666">
        <w:t>,</w:t>
      </w:r>
      <w:r w:rsidR="00FE7FA2">
        <w:t xml:space="preserve"> </w:t>
      </w:r>
      <w:r w:rsidR="006C137B" w:rsidRPr="006C137B">
        <w:rPr>
          <w:color w:val="000000"/>
          <w:w w:val="82"/>
          <w:shd w:val="solid" w:color="000000" w:fill="000000"/>
          <w:fitText w:val="1454" w:id="1156212224"/>
          <w14:textFill>
            <w14:solidFill>
              <w14:srgbClr w14:val="000000">
                <w14:alpha w14:val="100000"/>
              </w14:srgbClr>
            </w14:solidFill>
          </w14:textFill>
        </w:rPr>
        <w:t>|||||||||||||</w:t>
      </w:r>
      <w:r w:rsidR="006C137B" w:rsidRPr="006C137B">
        <w:rPr>
          <w:color w:val="FFFFFF"/>
          <w:w w:val="82"/>
          <w:shd w:val="solid" w:color="000000" w:fill="000000"/>
          <w:fitText w:val="1454" w:id="1156212224"/>
        </w:rPr>
        <w:t xml:space="preserve">  </w:t>
      </w:r>
      <w:r w:rsidR="006C137B" w:rsidRPr="006C137B">
        <w:rPr>
          <w:color w:val="000000"/>
          <w:w w:val="82"/>
          <w:shd w:val="solid" w:color="000000" w:fill="000000"/>
          <w:fitText w:val="1454" w:id="1156212224"/>
          <w14:textFill>
            <w14:solidFill>
              <w14:srgbClr w14:val="000000">
                <w14:alpha w14:val="100000"/>
              </w14:srgbClr>
            </w14:solidFill>
          </w14:textFill>
        </w:rPr>
        <w:t>||||||||||||</w:t>
      </w:r>
      <w:r w:rsidR="006C137B" w:rsidRPr="006C137B">
        <w:rPr>
          <w:color w:val="000000"/>
          <w:spacing w:val="16"/>
          <w:w w:val="82"/>
          <w:shd w:val="solid" w:color="000000" w:fill="000000"/>
          <w:fitText w:val="1454" w:id="1156212224"/>
          <w14:textFill>
            <w14:solidFill>
              <w14:srgbClr w14:val="000000">
                <w14:alpha w14:val="100000"/>
              </w14:srgbClr>
            </w14:solidFill>
          </w14:textFill>
        </w:rPr>
        <w:t>|</w:t>
      </w:r>
      <w:r w:rsidR="00222E91">
        <w:rPr>
          <w:highlight w:val="yellow"/>
        </w:rPr>
        <w:t xml:space="preserve"> </w:t>
      </w:r>
      <w:r w:rsidR="006C137B" w:rsidRPr="006C137B">
        <w:rPr>
          <w:color w:val="000000"/>
          <w:spacing w:val="6"/>
          <w:shd w:val="solid" w:color="000000" w:fill="000000"/>
          <w:fitText w:val="9340" w:id="1156212225"/>
          <w14:textFill>
            <w14:solidFill>
              <w14:srgbClr w14:val="000000">
                <w14:alpha w14:val="100000"/>
              </w14:srgbClr>
            </w14:solidFill>
          </w14:textFill>
        </w:rPr>
        <w:t>|||||||||||||||||||||||||||||||||||||||||||||||||||||||||||||||||||</w:t>
      </w:r>
      <w:r w:rsidR="006C137B" w:rsidRPr="006C137B">
        <w:rPr>
          <w:color w:val="FFFFFF"/>
          <w:spacing w:val="6"/>
          <w:shd w:val="solid" w:color="000000" w:fill="000000"/>
          <w:fitText w:val="9340" w:id="1156212225"/>
        </w:rPr>
        <w:t xml:space="preserve">  </w:t>
      </w:r>
      <w:r w:rsidR="006C137B" w:rsidRPr="006C137B">
        <w:rPr>
          <w:color w:val="000000"/>
          <w:spacing w:val="6"/>
          <w:shd w:val="solid" w:color="000000" w:fill="000000"/>
          <w:fitText w:val="9340" w:id="1156212225"/>
          <w14:textFill>
            <w14:solidFill>
              <w14:srgbClr w14:val="000000">
                <w14:alpha w14:val="100000"/>
              </w14:srgbClr>
            </w14:solidFill>
          </w14:textFill>
        </w:rPr>
        <w:t>||||||||||||||||||||||||||||||||||||||||||||||||||||||||||||||||||</w:t>
      </w:r>
      <w:r w:rsidR="006C137B" w:rsidRPr="006C137B">
        <w:rPr>
          <w:color w:val="000000"/>
          <w:spacing w:val="42"/>
          <w:shd w:val="solid" w:color="000000" w:fill="000000"/>
          <w:fitText w:val="9340" w:id="1156212225"/>
          <w14:textFill>
            <w14:solidFill>
              <w14:srgbClr w14:val="000000">
                <w14:alpha w14:val="100000"/>
              </w14:srgbClr>
            </w14:solidFill>
          </w14:textFill>
        </w:rPr>
        <w:t>|</w:t>
      </w:r>
      <w:r w:rsidR="001A6C1F">
        <w:rPr>
          <w:highlight w:val="yellow"/>
        </w:rPr>
        <w:t xml:space="preserve"> </w:t>
      </w:r>
      <w:r w:rsidR="006C137B" w:rsidRPr="006C137B">
        <w:rPr>
          <w:color w:val="000000"/>
          <w:spacing w:val="6"/>
          <w:shd w:val="solid" w:color="000000" w:fill="000000"/>
          <w:fitText w:val="9340" w:id="1156212480"/>
          <w14:textFill>
            <w14:solidFill>
              <w14:srgbClr w14:val="000000">
                <w14:alpha w14:val="100000"/>
              </w14:srgbClr>
            </w14:solidFill>
          </w14:textFill>
        </w:rPr>
        <w:t>|||||||||||||||||||||||||||||||||||||||||||||||||||||||||||||||||||</w:t>
      </w:r>
      <w:r w:rsidR="006C137B" w:rsidRPr="006C137B">
        <w:rPr>
          <w:color w:val="FFFFFF"/>
          <w:spacing w:val="6"/>
          <w:shd w:val="solid" w:color="000000" w:fill="000000"/>
          <w:fitText w:val="9340" w:id="1156212480"/>
        </w:rPr>
        <w:t xml:space="preserve">  </w:t>
      </w:r>
      <w:r w:rsidR="006C137B" w:rsidRPr="006C137B">
        <w:rPr>
          <w:color w:val="000000"/>
          <w:spacing w:val="6"/>
          <w:shd w:val="solid" w:color="000000" w:fill="000000"/>
          <w:fitText w:val="9340" w:id="1156212480"/>
          <w14:textFill>
            <w14:solidFill>
              <w14:srgbClr w14:val="000000">
                <w14:alpha w14:val="100000"/>
              </w14:srgbClr>
            </w14:solidFill>
          </w14:textFill>
        </w:rPr>
        <w:t>||||||||||||||||||||||||||||||||||||||||||||||||||||||||||||||||||</w:t>
      </w:r>
      <w:r w:rsidR="006C137B" w:rsidRPr="006C137B">
        <w:rPr>
          <w:color w:val="000000"/>
          <w:spacing w:val="42"/>
          <w:shd w:val="solid" w:color="000000" w:fill="000000"/>
          <w:fitText w:val="9340" w:id="1156212480"/>
          <w14:textFill>
            <w14:solidFill>
              <w14:srgbClr w14:val="000000">
                <w14:alpha w14:val="100000"/>
              </w14:srgbClr>
            </w14:solidFill>
          </w14:textFill>
        </w:rPr>
        <w:t>|</w:t>
      </w:r>
      <w:r w:rsidR="00222E91">
        <w:rPr>
          <w:highlight w:val="yellow"/>
        </w:rPr>
        <w:t xml:space="preserve"> </w:t>
      </w:r>
      <w:r w:rsidR="006C137B" w:rsidRPr="006C137B">
        <w:rPr>
          <w:color w:val="000000"/>
          <w:spacing w:val="6"/>
          <w:shd w:val="solid" w:color="000000" w:fill="000000"/>
          <w:fitText w:val="9340" w:id="1156212481"/>
          <w14:textFill>
            <w14:solidFill>
              <w14:srgbClr w14:val="000000">
                <w14:alpha w14:val="100000"/>
              </w14:srgbClr>
            </w14:solidFill>
          </w14:textFill>
        </w:rPr>
        <w:t>|||||||||||||||||||||||||||||||||||||||||||||||||||||||||||||||||||</w:t>
      </w:r>
      <w:r w:rsidR="006C137B" w:rsidRPr="006C137B">
        <w:rPr>
          <w:color w:val="FFFFFF"/>
          <w:spacing w:val="6"/>
          <w:shd w:val="solid" w:color="000000" w:fill="000000"/>
          <w:fitText w:val="9340" w:id="1156212481"/>
        </w:rPr>
        <w:t xml:space="preserve">  </w:t>
      </w:r>
      <w:r w:rsidR="006C137B" w:rsidRPr="006C137B">
        <w:rPr>
          <w:color w:val="000000"/>
          <w:spacing w:val="6"/>
          <w:shd w:val="solid" w:color="000000" w:fill="000000"/>
          <w:fitText w:val="9340" w:id="1156212481"/>
          <w14:textFill>
            <w14:solidFill>
              <w14:srgbClr w14:val="000000">
                <w14:alpha w14:val="100000"/>
              </w14:srgbClr>
            </w14:solidFill>
          </w14:textFill>
        </w:rPr>
        <w:t>||||||||||||||||||||||||||||||||||||||||||||||||||||||||||||||||||</w:t>
      </w:r>
      <w:r w:rsidR="006C137B" w:rsidRPr="006C137B">
        <w:rPr>
          <w:color w:val="000000"/>
          <w:spacing w:val="42"/>
          <w:shd w:val="solid" w:color="000000" w:fill="000000"/>
          <w:fitText w:val="9340" w:id="1156212481"/>
          <w14:textFill>
            <w14:solidFill>
              <w14:srgbClr w14:val="000000">
                <w14:alpha w14:val="100000"/>
              </w14:srgbClr>
            </w14:solidFill>
          </w14:textFill>
        </w:rPr>
        <w:t>|</w:t>
      </w:r>
      <w:r w:rsidR="00AE0952" w:rsidRPr="002549DC">
        <w:rPr>
          <w:highlight w:val="yellow"/>
        </w:rPr>
        <w:t xml:space="preserve"> </w:t>
      </w:r>
      <w:r w:rsidR="006C137B" w:rsidRPr="006C137B">
        <w:rPr>
          <w:color w:val="000000"/>
          <w:spacing w:val="6"/>
          <w:shd w:val="solid" w:color="000000" w:fill="000000"/>
          <w:fitText w:val="9340" w:id="1156212482"/>
          <w14:textFill>
            <w14:solidFill>
              <w14:srgbClr w14:val="000000">
                <w14:alpha w14:val="100000"/>
              </w14:srgbClr>
            </w14:solidFill>
          </w14:textFill>
        </w:rPr>
        <w:t>|||||||||||||||||||||||||||||||||||||||||||||||||||||||||||||||||||</w:t>
      </w:r>
      <w:r w:rsidR="006C137B" w:rsidRPr="006C137B">
        <w:rPr>
          <w:color w:val="FFFFFF"/>
          <w:spacing w:val="6"/>
          <w:shd w:val="solid" w:color="000000" w:fill="000000"/>
          <w:fitText w:val="9340" w:id="1156212482"/>
        </w:rPr>
        <w:t xml:space="preserve">  </w:t>
      </w:r>
      <w:r w:rsidR="006C137B" w:rsidRPr="006C137B">
        <w:rPr>
          <w:color w:val="000000"/>
          <w:spacing w:val="6"/>
          <w:shd w:val="solid" w:color="000000" w:fill="000000"/>
          <w:fitText w:val="9340" w:id="1156212482"/>
          <w14:textFill>
            <w14:solidFill>
              <w14:srgbClr w14:val="000000">
                <w14:alpha w14:val="100000"/>
              </w14:srgbClr>
            </w14:solidFill>
          </w14:textFill>
        </w:rPr>
        <w:t>||||||||||||||||||||||||||||||||||||||||||||||||||||||||||||||||||</w:t>
      </w:r>
      <w:r w:rsidR="006C137B" w:rsidRPr="006C137B">
        <w:rPr>
          <w:color w:val="000000"/>
          <w:spacing w:val="42"/>
          <w:shd w:val="solid" w:color="000000" w:fill="000000"/>
          <w:fitText w:val="9340" w:id="1156212482"/>
          <w14:textFill>
            <w14:solidFill>
              <w14:srgbClr w14:val="000000">
                <w14:alpha w14:val="100000"/>
              </w14:srgbClr>
            </w14:solidFill>
          </w14:textFill>
        </w:rPr>
        <w:t>|</w:t>
      </w:r>
      <w:r w:rsidR="004E2AB4" w:rsidRPr="004B3F45">
        <w:rPr>
          <w:highlight w:val="yellow"/>
        </w:rPr>
        <w:t xml:space="preserve"> </w:t>
      </w:r>
      <w:r w:rsidR="006C137B" w:rsidRPr="006C137B">
        <w:rPr>
          <w:color w:val="000000"/>
          <w:spacing w:val="6"/>
          <w:shd w:val="solid" w:color="000000" w:fill="000000"/>
          <w:fitText w:val="9340" w:id="1156212483"/>
          <w14:textFill>
            <w14:solidFill>
              <w14:srgbClr w14:val="000000">
                <w14:alpha w14:val="100000"/>
              </w14:srgbClr>
            </w14:solidFill>
          </w14:textFill>
        </w:rPr>
        <w:t>|||||||||||||||||||||||||||||||||||||||||||||||||||||||||||||||||||</w:t>
      </w:r>
      <w:r w:rsidR="006C137B" w:rsidRPr="006C137B">
        <w:rPr>
          <w:color w:val="FFFFFF"/>
          <w:spacing w:val="6"/>
          <w:shd w:val="solid" w:color="000000" w:fill="000000"/>
          <w:fitText w:val="9340" w:id="1156212483"/>
        </w:rPr>
        <w:t xml:space="preserve">  </w:t>
      </w:r>
      <w:r w:rsidR="006C137B" w:rsidRPr="006C137B">
        <w:rPr>
          <w:color w:val="000000"/>
          <w:spacing w:val="6"/>
          <w:shd w:val="solid" w:color="000000" w:fill="000000"/>
          <w:fitText w:val="9340" w:id="1156212483"/>
          <w14:textFill>
            <w14:solidFill>
              <w14:srgbClr w14:val="000000">
                <w14:alpha w14:val="100000"/>
              </w14:srgbClr>
            </w14:solidFill>
          </w14:textFill>
        </w:rPr>
        <w:t>||||||||||||||||||||||||||||||||||||||||||||||||||||||||||||||||||</w:t>
      </w:r>
      <w:r w:rsidR="006C137B" w:rsidRPr="006C137B">
        <w:rPr>
          <w:color w:val="000000"/>
          <w:spacing w:val="42"/>
          <w:shd w:val="solid" w:color="000000" w:fill="000000"/>
          <w:fitText w:val="9340" w:id="1156212483"/>
          <w14:textFill>
            <w14:solidFill>
              <w14:srgbClr w14:val="000000">
                <w14:alpha w14:val="100000"/>
              </w14:srgbClr>
            </w14:solidFill>
          </w14:textFill>
        </w:rPr>
        <w:t>|</w:t>
      </w:r>
      <w:r w:rsidR="005835B0" w:rsidRPr="004B3F45">
        <w:rPr>
          <w:highlight w:val="yellow"/>
        </w:rPr>
        <w:t xml:space="preserve"> </w:t>
      </w:r>
      <w:r w:rsidR="00E4436D" w:rsidRPr="00E4436D">
        <w:rPr>
          <w:color w:val="000000"/>
          <w:spacing w:val="3"/>
          <w:shd w:val="solid" w:color="000000" w:fill="000000"/>
          <w:fitText w:val="666" w:id="1156212736"/>
          <w14:textFill>
            <w14:solidFill>
              <w14:srgbClr w14:val="000000">
                <w14:alpha w14:val="100000"/>
              </w14:srgbClr>
            </w14:solidFill>
          </w14:textFill>
        </w:rPr>
        <w:lastRenderedPageBreak/>
        <w:t>||||</w:t>
      </w:r>
      <w:r w:rsidR="00E4436D" w:rsidRPr="00E4436D">
        <w:rPr>
          <w:color w:val="FFFFFF"/>
          <w:spacing w:val="3"/>
          <w:shd w:val="solid" w:color="000000" w:fill="000000"/>
          <w:fitText w:val="666" w:id="1156212736"/>
        </w:rPr>
        <w:t xml:space="preserve">  </w:t>
      </w:r>
      <w:r w:rsidR="00E4436D" w:rsidRPr="00E4436D">
        <w:rPr>
          <w:color w:val="000000"/>
          <w:spacing w:val="3"/>
          <w:shd w:val="solid" w:color="000000" w:fill="000000"/>
          <w:fitText w:val="666" w:id="1156212736"/>
          <w14:textFill>
            <w14:solidFill>
              <w14:srgbClr w14:val="000000">
                <w14:alpha w14:val="100000"/>
              </w14:srgbClr>
            </w14:solidFill>
          </w14:textFill>
        </w:rPr>
        <w:t>|||</w:t>
      </w:r>
      <w:r w:rsidR="00E4436D" w:rsidRPr="00E4436D">
        <w:rPr>
          <w:color w:val="000000"/>
          <w:spacing w:val="6"/>
          <w:shd w:val="solid" w:color="000000" w:fill="000000"/>
          <w:fitText w:val="666" w:id="1156212736"/>
          <w14:textFill>
            <w14:solidFill>
              <w14:srgbClr w14:val="000000">
                <w14:alpha w14:val="100000"/>
              </w14:srgbClr>
            </w14:solidFill>
          </w14:textFill>
        </w:rPr>
        <w:t>|</w:t>
      </w:r>
      <w:r w:rsidR="005627DE">
        <w:rPr>
          <w:rStyle w:val="FootnoteReference"/>
        </w:rPr>
        <w:footnoteReference w:id="67"/>
      </w:r>
      <w:r w:rsidR="002C2CBC">
        <w:t xml:space="preserve"> </w:t>
      </w:r>
      <w:r w:rsidR="00DC0EF6">
        <w:t xml:space="preserve"> </w:t>
      </w:r>
      <w:r w:rsidR="00DB1071">
        <w:t>This absence of evidence will not support</w:t>
      </w:r>
      <w:r w:rsidR="000C50C7">
        <w:t xml:space="preserve"> a finding that the increase in the SSR-E will have the effect of stabilizing and providing certainty regarding electric service.</w:t>
      </w:r>
      <w:r w:rsidR="00BF11E7">
        <w:rPr>
          <w:rStyle w:val="FootnoteReference"/>
        </w:rPr>
        <w:footnoteReference w:id="68"/>
      </w:r>
    </w:p>
    <w:p w14:paraId="179DE09D" w14:textId="7CD50BD4" w:rsidR="00FE54B9" w:rsidRDefault="00FE54B9" w:rsidP="00FE54B9">
      <w:pPr>
        <w:pStyle w:val="Heading4"/>
      </w:pPr>
      <w:bookmarkStart w:id="43" w:name="_Toc448228778"/>
      <w:bookmarkStart w:id="44" w:name="_Toc448320289"/>
      <w:bookmarkStart w:id="45" w:name="_Toc449432253"/>
      <w:bookmarkStart w:id="46" w:name="_Toc449685135"/>
      <w:r>
        <w:t>The authorization of an increase in the SSR-E would result in a violation of R.C. 4928.38</w:t>
      </w:r>
      <w:r w:rsidR="00194674">
        <w:t xml:space="preserve"> </w:t>
      </w:r>
      <w:r w:rsidR="00D1573D">
        <w:t>that</w:t>
      </w:r>
      <w:r w:rsidR="00194674">
        <w:t xml:space="preserve"> prohibits the billing and collection of transition revenue or its equivalent after the market development period</w:t>
      </w:r>
      <w:r w:rsidR="00A9069D">
        <w:t xml:space="preserve"> has ended</w:t>
      </w:r>
      <w:bookmarkEnd w:id="43"/>
      <w:bookmarkEnd w:id="44"/>
      <w:bookmarkEnd w:id="45"/>
      <w:bookmarkEnd w:id="46"/>
    </w:p>
    <w:p w14:paraId="3B3D5FCD" w14:textId="18A9089C" w:rsidR="00EE6FD3" w:rsidRDefault="001B1324" w:rsidP="001A3DF4">
      <w:pPr>
        <w:ind w:firstLine="720"/>
        <w:rPr>
          <w:rFonts w:eastAsia="Calibri" w:cs="Times New Roman"/>
        </w:rPr>
      </w:pPr>
      <w:r w:rsidRPr="001B1324">
        <w:t xml:space="preserve">Under </w:t>
      </w:r>
      <w:r w:rsidR="00887B57">
        <w:t>the provisions of Ohio law restructuring the regulation of retail electric generation service</w:t>
      </w:r>
      <w:r w:rsidRPr="001B1324">
        <w:t xml:space="preserve">, an electric distribution utility </w:t>
      </w:r>
      <w:r w:rsidR="0085792A">
        <w:t xml:space="preserve">(“EDU”) </w:t>
      </w:r>
      <w:r w:rsidR="008327B9" w:rsidRPr="001B1324">
        <w:t>ha</w:t>
      </w:r>
      <w:r w:rsidR="008327B9">
        <w:t>s</w:t>
      </w:r>
      <w:r w:rsidR="008327B9" w:rsidRPr="001B1324">
        <w:t xml:space="preserve"> </w:t>
      </w:r>
      <w:r w:rsidRPr="001B1324">
        <w:t xml:space="preserve">a single opportunity to secure transition revenue.  Within 90 days of the effective date of </w:t>
      </w:r>
      <w:r w:rsidR="001664F4">
        <w:t>Amended Substitute Senate Bill 3 (“SB3”)</w:t>
      </w:r>
      <w:r w:rsidRPr="001B1324">
        <w:t xml:space="preserve">, an </w:t>
      </w:r>
      <w:r w:rsidR="00861C2B">
        <w:t xml:space="preserve">EDU </w:t>
      </w:r>
      <w:r w:rsidRPr="001B1324">
        <w:t>was required to file its transition plan.</w:t>
      </w:r>
      <w:r w:rsidR="0026338A">
        <w:rPr>
          <w:rStyle w:val="FootnoteReference"/>
        </w:rPr>
        <w:footnoteReference w:id="69"/>
      </w:r>
      <w:r w:rsidRPr="001B1324">
        <w:t xml:space="preserve">  As part of its transition plan, </w:t>
      </w:r>
      <w:r w:rsidR="00861C2B">
        <w:t>the EDU</w:t>
      </w:r>
      <w:r w:rsidRPr="001B1324">
        <w:t xml:space="preserve"> could request transition revenue.</w:t>
      </w:r>
      <w:r w:rsidR="0026338A">
        <w:rPr>
          <w:rStyle w:val="FootnoteReference"/>
        </w:rPr>
        <w:footnoteReference w:id="70"/>
      </w:r>
      <w:r w:rsidRPr="001B1324">
        <w:t xml:space="preserve">  Transition revenue was based on a determination of transition costs.  Before authorizing collection of any transition revenue, the Commission had to find that the costs were “prudently incurred,” “legitimate, net, verifiable, and directly assignable or allocable to retail electric generation service provided to electric consumers in this state,” “</w:t>
      </w:r>
      <w:r w:rsidRPr="000B1CD3">
        <w:rPr>
          <w:i/>
        </w:rPr>
        <w:t>the costs [were] unrecoverable in a competitive market</w:t>
      </w:r>
      <w:r w:rsidR="005E6A28">
        <w:rPr>
          <w:i/>
        </w:rPr>
        <w:t>,</w:t>
      </w:r>
      <w:r w:rsidRPr="001B1324">
        <w:t>” and the electric distribution utility “would otherwise be entitled an oppo</w:t>
      </w:r>
      <w:r w:rsidR="0026338A">
        <w:t>rtunity to recover the costs.”</w:t>
      </w:r>
      <w:r w:rsidR="0026338A">
        <w:rPr>
          <w:rStyle w:val="FootnoteReference"/>
        </w:rPr>
        <w:footnoteReference w:id="71"/>
      </w:r>
      <w:r w:rsidR="000B1CD3">
        <w:t xml:space="preserve">  </w:t>
      </w:r>
      <w:r w:rsidR="00580E1A">
        <w:t>The period during which an EDU could collect transition charges to recover transition revenue was limited</w:t>
      </w:r>
      <w:r w:rsidR="005E6A28">
        <w:t xml:space="preserve"> by two dates</w:t>
      </w:r>
      <w:r w:rsidR="00580E1A">
        <w:t xml:space="preserve">.  </w:t>
      </w:r>
      <w:r w:rsidR="005E6A28">
        <w:t>The</w:t>
      </w:r>
      <w:r w:rsidR="00C961AD" w:rsidRPr="00077C6E">
        <w:rPr>
          <w:rFonts w:eastAsia="Calibri" w:cs="Times New Roman"/>
        </w:rPr>
        <w:t xml:space="preserve"> </w:t>
      </w:r>
      <w:r w:rsidR="00C961AD">
        <w:rPr>
          <w:rFonts w:eastAsia="Calibri" w:cs="Times New Roman"/>
        </w:rPr>
        <w:t xml:space="preserve">Market </w:t>
      </w:r>
      <w:r w:rsidR="00C961AD">
        <w:rPr>
          <w:rFonts w:eastAsia="Calibri" w:cs="Times New Roman"/>
        </w:rPr>
        <w:lastRenderedPageBreak/>
        <w:t>Development Period (“</w:t>
      </w:r>
      <w:r w:rsidR="00C961AD" w:rsidRPr="00077C6E">
        <w:rPr>
          <w:rFonts w:eastAsia="Calibri" w:cs="Times New Roman"/>
        </w:rPr>
        <w:t>MDP</w:t>
      </w:r>
      <w:r w:rsidR="00C961AD">
        <w:rPr>
          <w:rFonts w:eastAsia="Calibri" w:cs="Times New Roman"/>
        </w:rPr>
        <w:t>”)</w:t>
      </w:r>
      <w:r w:rsidR="00C961AD" w:rsidRPr="00077C6E">
        <w:rPr>
          <w:rFonts w:eastAsia="Calibri" w:cs="Times New Roman"/>
        </w:rPr>
        <w:t xml:space="preserve"> ended no later than December 31, 2005.  </w:t>
      </w:r>
      <w:r w:rsidR="00572A9E">
        <w:rPr>
          <w:rFonts w:eastAsia="Calibri" w:cs="Times New Roman"/>
        </w:rPr>
        <w:t>A longer</w:t>
      </w:r>
      <w:r w:rsidR="00C961AD" w:rsidRPr="00077C6E">
        <w:rPr>
          <w:rFonts w:eastAsia="Calibri" w:cs="Times New Roman"/>
        </w:rPr>
        <w:t xml:space="preserve"> period for recovery of regulatory assets </w:t>
      </w:r>
      <w:r w:rsidR="004B19DE">
        <w:rPr>
          <w:rFonts w:eastAsia="Calibri" w:cs="Times New Roman"/>
        </w:rPr>
        <w:t xml:space="preserve">that were separately identified as part of the total allowable amount of transition costs </w:t>
      </w:r>
      <w:r w:rsidR="00C961AD" w:rsidRPr="00077C6E">
        <w:rPr>
          <w:rFonts w:eastAsia="Calibri" w:cs="Times New Roman"/>
        </w:rPr>
        <w:t xml:space="preserve">ended no later than December 31, 2010.  </w:t>
      </w:r>
    </w:p>
    <w:p w14:paraId="0CD14F1F" w14:textId="56EA1F31" w:rsidR="001A3DF4" w:rsidRDefault="0067595F" w:rsidP="001A3DF4">
      <w:pPr>
        <w:ind w:firstLine="720"/>
      </w:pPr>
      <w:r w:rsidRPr="0067595F">
        <w:t xml:space="preserve">Following the collection of transition revenue authorized under a transition plan, </w:t>
      </w:r>
      <w:r>
        <w:t>the</w:t>
      </w:r>
      <w:r w:rsidRPr="0067595F">
        <w:t xml:space="preserve"> </w:t>
      </w:r>
      <w:r w:rsidR="00861C2B">
        <w:t xml:space="preserve">competitive </w:t>
      </w:r>
      <w:r w:rsidRPr="0067595F">
        <w:t>generation business is required to operate fully on it</w:t>
      </w:r>
      <w:r w:rsidR="00CA2440">
        <w:t>s own in the competitive market,</w:t>
      </w:r>
      <w:r>
        <w:rPr>
          <w:rStyle w:val="FootnoteReference"/>
        </w:rPr>
        <w:footnoteReference w:id="72"/>
      </w:r>
      <w:r w:rsidR="00CA2440">
        <w:t xml:space="preserve"> and t</w:t>
      </w:r>
      <w:r w:rsidRPr="0067595F">
        <w:t>he Commission</w:t>
      </w:r>
      <w:r w:rsidR="009229BA" w:rsidRPr="009229BA">
        <w:t xml:space="preserve"> </w:t>
      </w:r>
      <w:r w:rsidR="009229BA">
        <w:t>“</w:t>
      </w:r>
      <w:r w:rsidR="009229BA" w:rsidRPr="009229BA">
        <w:t>shall not authorize the receipt of transition revenues or any equivalent revenues by an electric utility</w:t>
      </w:r>
      <w:r w:rsidRPr="0067595F">
        <w:t>.</w:t>
      </w:r>
      <w:r w:rsidR="009229BA">
        <w:t>”</w:t>
      </w:r>
      <w:r w:rsidR="00D06E26">
        <w:rPr>
          <w:rStyle w:val="FootnoteReference"/>
        </w:rPr>
        <w:footnoteReference w:id="73"/>
      </w:r>
      <w:r w:rsidRPr="0067595F">
        <w:t xml:space="preserve">  </w:t>
      </w:r>
      <w:r w:rsidR="00EE6FD3">
        <w:t>The Court has recently confirmed that the Commission is prohibited from authorizing a utility to collect transition revenue or its equivalent after December 2010.</w:t>
      </w:r>
      <w:r w:rsidR="00EE6FD3">
        <w:rPr>
          <w:rStyle w:val="FootnoteReference"/>
        </w:rPr>
        <w:footnoteReference w:id="74"/>
      </w:r>
    </w:p>
    <w:p w14:paraId="31544166" w14:textId="3D23D747" w:rsidR="00320416" w:rsidRDefault="00D06E26" w:rsidP="001B1324">
      <w:pPr>
        <w:ind w:firstLine="720"/>
      </w:pPr>
      <w:r>
        <w:t xml:space="preserve">In this Motion, DP&amp;L is seeking transition revenue or its equivalent.  </w:t>
      </w:r>
      <w:r w:rsidR="00620A39">
        <w:t xml:space="preserve">Although the Motion </w:t>
      </w:r>
      <w:r w:rsidR="00886FDB">
        <w:t>labels</w:t>
      </w:r>
      <w:r w:rsidR="00620A39">
        <w:t xml:space="preserve"> the increase in terms</w:t>
      </w:r>
      <w:r w:rsidR="00886FDB">
        <w:t xml:space="preserve"> of “financial integrity</w:t>
      </w:r>
      <w:r w:rsidR="00620A39">
        <w:t>,</w:t>
      </w:r>
      <w:r w:rsidR="00886FDB">
        <w:t>”</w:t>
      </w:r>
      <w:r w:rsidR="00620A39">
        <w:rPr>
          <w:rStyle w:val="FootnoteReference"/>
        </w:rPr>
        <w:footnoteReference w:id="75"/>
      </w:r>
      <w:r w:rsidR="00620A39">
        <w:t xml:space="preserve"> </w:t>
      </w:r>
      <w:r w:rsidR="00E4436D" w:rsidRPr="00E4436D">
        <w:rPr>
          <w:color w:val="000000"/>
          <w:w w:val="81"/>
          <w:shd w:val="solid" w:color="000000" w:fill="000000"/>
          <w:fitText w:val="2963" w:id="1156212737"/>
          <w14:textFill>
            <w14:solidFill>
              <w14:srgbClr w14:val="000000">
                <w14:alpha w14:val="100000"/>
              </w14:srgbClr>
            </w14:solidFill>
          </w14:textFill>
        </w:rPr>
        <w:t>||||||||||||||||||||||||||||</w:t>
      </w:r>
      <w:r w:rsidR="00E4436D" w:rsidRPr="00E4436D">
        <w:rPr>
          <w:color w:val="FFFFFF"/>
          <w:w w:val="81"/>
          <w:shd w:val="solid" w:color="000000" w:fill="000000"/>
          <w:fitText w:val="2963" w:id="1156212737"/>
        </w:rPr>
        <w:t xml:space="preserve">  </w:t>
      </w:r>
      <w:r w:rsidR="00E4436D" w:rsidRPr="00E4436D">
        <w:rPr>
          <w:color w:val="000000"/>
          <w:w w:val="81"/>
          <w:shd w:val="solid" w:color="000000" w:fill="000000"/>
          <w:fitText w:val="2963" w:id="1156212737"/>
          <w14:textFill>
            <w14:solidFill>
              <w14:srgbClr w14:val="000000">
                <w14:alpha w14:val="100000"/>
              </w14:srgbClr>
            </w14:solidFill>
          </w14:textFill>
        </w:rPr>
        <w:t>|||||||||||||||||||||||||||</w:t>
      </w:r>
      <w:r w:rsidR="00E4436D" w:rsidRPr="00E4436D">
        <w:rPr>
          <w:color w:val="000000"/>
          <w:spacing w:val="26"/>
          <w:w w:val="81"/>
          <w:shd w:val="solid" w:color="000000" w:fill="000000"/>
          <w:fitText w:val="2963" w:id="1156212737"/>
          <w14:textFill>
            <w14:solidFill>
              <w14:srgbClr w14:val="000000">
                <w14:alpha w14:val="100000"/>
              </w14:srgbClr>
            </w14:solidFill>
          </w14:textFill>
        </w:rPr>
        <w:t>|</w:t>
      </w:r>
      <w:r w:rsidR="004D15C6" w:rsidRPr="007F68FB">
        <w:rPr>
          <w:highlight w:val="yellow"/>
        </w:rPr>
        <w:t xml:space="preserve"> </w:t>
      </w:r>
      <w:r w:rsidR="00E4436D" w:rsidRPr="00E4436D">
        <w:rPr>
          <w:color w:val="000000"/>
          <w:spacing w:val="6"/>
          <w:shd w:val="solid" w:color="000000" w:fill="000000"/>
          <w:fitText w:val="9340" w:id="1156212738"/>
          <w14:textFill>
            <w14:solidFill>
              <w14:srgbClr w14:val="000000">
                <w14:alpha w14:val="100000"/>
              </w14:srgbClr>
            </w14:solidFill>
          </w14:textFill>
        </w:rPr>
        <w:t>|||||||||||||||||||||||||||||||||||||||||||||||||||||||||||||||||||</w:t>
      </w:r>
      <w:r w:rsidR="00E4436D" w:rsidRPr="00E4436D">
        <w:rPr>
          <w:color w:val="FFFFFF"/>
          <w:spacing w:val="6"/>
          <w:shd w:val="solid" w:color="000000" w:fill="000000"/>
          <w:fitText w:val="9340" w:id="1156212738"/>
        </w:rPr>
        <w:t xml:space="preserve">  </w:t>
      </w:r>
      <w:r w:rsidR="00E4436D" w:rsidRPr="00E4436D">
        <w:rPr>
          <w:color w:val="000000"/>
          <w:spacing w:val="6"/>
          <w:shd w:val="solid" w:color="000000" w:fill="000000"/>
          <w:fitText w:val="9340" w:id="1156212738"/>
          <w14:textFill>
            <w14:solidFill>
              <w14:srgbClr w14:val="000000">
                <w14:alpha w14:val="100000"/>
              </w14:srgbClr>
            </w14:solidFill>
          </w14:textFill>
        </w:rPr>
        <w:t>||||||||||||||||||||||||||||||||||||||||||||||||||||||||||||||||||</w:t>
      </w:r>
      <w:r w:rsidR="00E4436D" w:rsidRPr="00E4436D">
        <w:rPr>
          <w:color w:val="000000"/>
          <w:spacing w:val="42"/>
          <w:shd w:val="solid" w:color="000000" w:fill="000000"/>
          <w:fitText w:val="9340" w:id="1156212738"/>
          <w14:textFill>
            <w14:solidFill>
              <w14:srgbClr w14:val="000000">
                <w14:alpha w14:val="100000"/>
              </w14:srgbClr>
            </w14:solidFill>
          </w14:textFill>
        </w:rPr>
        <w:t>|</w:t>
      </w:r>
      <w:r w:rsidR="004D15C6" w:rsidRPr="007F68FB">
        <w:rPr>
          <w:highlight w:val="yellow"/>
        </w:rPr>
        <w:t xml:space="preserve"> </w:t>
      </w:r>
      <w:r w:rsidR="00E4436D" w:rsidRPr="00E4436D">
        <w:rPr>
          <w:color w:val="000000"/>
          <w:spacing w:val="7"/>
          <w:shd w:val="solid" w:color="000000" w:fill="000000"/>
          <w:fitText w:val="7471" w:id="1156212739"/>
          <w14:textFill>
            <w14:solidFill>
              <w14:srgbClr w14:val="000000">
                <w14:alpha w14:val="100000"/>
              </w14:srgbClr>
            </w14:solidFill>
          </w14:textFill>
        </w:rPr>
        <w:t>|||||||||||||||||||||||||||||||||||||||||||||||||||||</w:t>
      </w:r>
      <w:r w:rsidR="00E4436D" w:rsidRPr="00E4436D">
        <w:rPr>
          <w:color w:val="FFFFFF"/>
          <w:spacing w:val="7"/>
          <w:shd w:val="solid" w:color="000000" w:fill="000000"/>
          <w:fitText w:val="7471" w:id="1156212739"/>
        </w:rPr>
        <w:t xml:space="preserve">  </w:t>
      </w:r>
      <w:r w:rsidR="00E4436D" w:rsidRPr="00E4436D">
        <w:rPr>
          <w:color w:val="000000"/>
          <w:spacing w:val="7"/>
          <w:shd w:val="solid" w:color="000000" w:fill="000000"/>
          <w:fitText w:val="7471" w:id="1156212739"/>
          <w14:textFill>
            <w14:solidFill>
              <w14:srgbClr w14:val="000000">
                <w14:alpha w14:val="100000"/>
              </w14:srgbClr>
            </w14:solidFill>
          </w14:textFill>
        </w:rPr>
        <w:t>||||||||||||||||||||||||||||||||||||||||||||||||||||</w:t>
      </w:r>
      <w:r w:rsidR="00E4436D" w:rsidRPr="00E4436D">
        <w:rPr>
          <w:color w:val="000000"/>
          <w:spacing w:val="-20"/>
          <w:shd w:val="solid" w:color="000000" w:fill="000000"/>
          <w:fitText w:val="7471" w:id="1156212739"/>
          <w14:textFill>
            <w14:solidFill>
              <w14:srgbClr w14:val="000000">
                <w14:alpha w14:val="100000"/>
              </w14:srgbClr>
            </w14:solidFill>
          </w14:textFill>
        </w:rPr>
        <w:t>|</w:t>
      </w:r>
      <w:r w:rsidR="004D15C6" w:rsidRPr="00957AA0">
        <w:rPr>
          <w:rStyle w:val="FootnoteReference"/>
        </w:rPr>
        <w:footnoteReference w:id="76"/>
      </w:r>
      <w:r w:rsidR="004D15C6">
        <w:t xml:space="preserve"> </w:t>
      </w:r>
      <w:r w:rsidR="00DC5EC0">
        <w:t xml:space="preserve"> </w:t>
      </w:r>
      <w:r w:rsidR="00742926" w:rsidRPr="00742926">
        <w:rPr>
          <w:color w:val="000000"/>
          <w:w w:val="82"/>
          <w:shd w:val="solid" w:color="000000" w:fill="000000"/>
          <w:fitText w:val="1557" w:id="1156212992"/>
          <w14:textFill>
            <w14:solidFill>
              <w14:srgbClr w14:val="000000">
                <w14:alpha w14:val="100000"/>
              </w14:srgbClr>
            </w14:solidFill>
          </w14:textFill>
        </w:rPr>
        <w:t>||||||||||||||</w:t>
      </w:r>
      <w:r w:rsidR="00742926" w:rsidRPr="00742926">
        <w:rPr>
          <w:color w:val="FFFFFF"/>
          <w:w w:val="82"/>
          <w:shd w:val="solid" w:color="000000" w:fill="000000"/>
          <w:fitText w:val="1557" w:id="1156212992"/>
        </w:rPr>
        <w:t xml:space="preserve">  </w:t>
      </w:r>
      <w:r w:rsidR="00742926" w:rsidRPr="00742926">
        <w:rPr>
          <w:color w:val="000000"/>
          <w:w w:val="82"/>
          <w:shd w:val="solid" w:color="000000" w:fill="000000"/>
          <w:fitText w:val="1557" w:id="1156212992"/>
          <w14:textFill>
            <w14:solidFill>
              <w14:srgbClr w14:val="000000">
                <w14:alpha w14:val="100000"/>
              </w14:srgbClr>
            </w14:solidFill>
          </w14:textFill>
        </w:rPr>
        <w:t>|||||||||||||</w:t>
      </w:r>
      <w:r w:rsidR="00742926" w:rsidRPr="00742926">
        <w:rPr>
          <w:color w:val="000000"/>
          <w:spacing w:val="17"/>
          <w:w w:val="82"/>
          <w:shd w:val="solid" w:color="000000" w:fill="000000"/>
          <w:fitText w:val="1557" w:id="1156212992"/>
          <w14:textFill>
            <w14:solidFill>
              <w14:srgbClr w14:val="000000">
                <w14:alpha w14:val="100000"/>
              </w14:srgbClr>
            </w14:solidFill>
          </w14:textFill>
        </w:rPr>
        <w:t>|</w:t>
      </w:r>
      <w:r w:rsidR="009229BA" w:rsidRPr="007F68FB">
        <w:rPr>
          <w:highlight w:val="yellow"/>
        </w:rPr>
        <w:t xml:space="preserve"> </w:t>
      </w:r>
      <w:r w:rsidR="00742926" w:rsidRPr="00742926">
        <w:rPr>
          <w:color w:val="000000"/>
          <w:spacing w:val="6"/>
          <w:shd w:val="solid" w:color="000000" w:fill="000000"/>
          <w:fitText w:val="9340" w:id="1156212993"/>
          <w14:textFill>
            <w14:solidFill>
              <w14:srgbClr w14:val="000000">
                <w14:alpha w14:val="100000"/>
              </w14:srgbClr>
            </w14:solidFill>
          </w14:textFill>
        </w:rPr>
        <w:t>|||||||||||||||||||||||||||||||||||||||||||||||||||||||||||||||||||</w:t>
      </w:r>
      <w:r w:rsidR="00742926" w:rsidRPr="00742926">
        <w:rPr>
          <w:color w:val="FFFFFF"/>
          <w:spacing w:val="6"/>
          <w:shd w:val="solid" w:color="000000" w:fill="000000"/>
          <w:fitText w:val="9340" w:id="1156212993"/>
        </w:rPr>
        <w:t xml:space="preserve">  </w:t>
      </w:r>
      <w:r w:rsidR="00742926" w:rsidRPr="00742926">
        <w:rPr>
          <w:color w:val="000000"/>
          <w:spacing w:val="6"/>
          <w:shd w:val="solid" w:color="000000" w:fill="000000"/>
          <w:fitText w:val="9340" w:id="1156212993"/>
          <w14:textFill>
            <w14:solidFill>
              <w14:srgbClr w14:val="000000">
                <w14:alpha w14:val="100000"/>
              </w14:srgbClr>
            </w14:solidFill>
          </w14:textFill>
        </w:rPr>
        <w:t>||||||||||||||||||||||||||||||||||||||||||||||||||||||||||||||||||</w:t>
      </w:r>
      <w:r w:rsidR="00742926" w:rsidRPr="00742926">
        <w:rPr>
          <w:color w:val="000000"/>
          <w:spacing w:val="42"/>
          <w:shd w:val="solid" w:color="000000" w:fill="000000"/>
          <w:fitText w:val="9340" w:id="1156212993"/>
          <w14:textFill>
            <w14:solidFill>
              <w14:srgbClr w14:val="000000">
                <w14:alpha w14:val="100000"/>
              </w14:srgbClr>
            </w14:solidFill>
          </w14:textFill>
        </w:rPr>
        <w:t>|</w:t>
      </w:r>
      <w:r w:rsidR="009229BA" w:rsidRPr="007F68FB">
        <w:rPr>
          <w:highlight w:val="yellow"/>
        </w:rPr>
        <w:t xml:space="preserve"> </w:t>
      </w:r>
      <w:r w:rsidR="00742926" w:rsidRPr="00742926">
        <w:rPr>
          <w:color w:val="000000"/>
          <w:spacing w:val="6"/>
          <w:shd w:val="solid" w:color="000000" w:fill="000000"/>
          <w:fitText w:val="9340" w:id="1156212994"/>
          <w14:textFill>
            <w14:solidFill>
              <w14:srgbClr w14:val="000000">
                <w14:alpha w14:val="100000"/>
              </w14:srgbClr>
            </w14:solidFill>
          </w14:textFill>
        </w:rPr>
        <w:t>|||||||||||||||||||||||||||||||||||||||||||||||||||||||||||||||||||</w:t>
      </w:r>
      <w:r w:rsidR="00742926" w:rsidRPr="00742926">
        <w:rPr>
          <w:color w:val="FFFFFF"/>
          <w:spacing w:val="6"/>
          <w:shd w:val="solid" w:color="000000" w:fill="000000"/>
          <w:fitText w:val="9340" w:id="1156212994"/>
        </w:rPr>
        <w:t xml:space="preserve">  </w:t>
      </w:r>
      <w:r w:rsidR="00742926" w:rsidRPr="00742926">
        <w:rPr>
          <w:color w:val="000000"/>
          <w:spacing w:val="6"/>
          <w:shd w:val="solid" w:color="000000" w:fill="000000"/>
          <w:fitText w:val="9340" w:id="1156212994"/>
          <w14:textFill>
            <w14:solidFill>
              <w14:srgbClr w14:val="000000">
                <w14:alpha w14:val="100000"/>
              </w14:srgbClr>
            </w14:solidFill>
          </w14:textFill>
        </w:rPr>
        <w:t>||||||||||||||||||||||||||||||||||||||||||||||||||||||||||||||||||</w:t>
      </w:r>
      <w:r w:rsidR="00742926" w:rsidRPr="00742926">
        <w:rPr>
          <w:color w:val="000000"/>
          <w:spacing w:val="42"/>
          <w:shd w:val="solid" w:color="000000" w:fill="000000"/>
          <w:fitText w:val="9340" w:id="1156212994"/>
          <w14:textFill>
            <w14:solidFill>
              <w14:srgbClr w14:val="000000">
                <w14:alpha w14:val="100000"/>
              </w14:srgbClr>
            </w14:solidFill>
          </w14:textFill>
        </w:rPr>
        <w:t>|</w:t>
      </w:r>
      <w:r w:rsidR="0063755A" w:rsidRPr="007F68FB">
        <w:rPr>
          <w:highlight w:val="yellow"/>
        </w:rPr>
        <w:t xml:space="preserve"> </w:t>
      </w:r>
      <w:r w:rsidR="00742926" w:rsidRPr="00742926">
        <w:rPr>
          <w:color w:val="000000"/>
          <w:spacing w:val="6"/>
          <w:shd w:val="solid" w:color="000000" w:fill="000000"/>
          <w:fitText w:val="5894" w:id="1156212995"/>
          <w14:textFill>
            <w14:solidFill>
              <w14:srgbClr w14:val="000000">
                <w14:alpha w14:val="100000"/>
              </w14:srgbClr>
            </w14:solidFill>
          </w14:textFill>
        </w:rPr>
        <w:t>||||||||||||||||||||||||||||||||||||||||||</w:t>
      </w:r>
      <w:r w:rsidR="00742926" w:rsidRPr="00742926">
        <w:rPr>
          <w:color w:val="FFFFFF"/>
          <w:spacing w:val="6"/>
          <w:shd w:val="solid" w:color="000000" w:fill="000000"/>
          <w:fitText w:val="5894" w:id="1156212995"/>
        </w:rPr>
        <w:t xml:space="preserve">  </w:t>
      </w:r>
      <w:r w:rsidR="00742926" w:rsidRPr="00742926">
        <w:rPr>
          <w:color w:val="000000"/>
          <w:spacing w:val="6"/>
          <w:shd w:val="solid" w:color="000000" w:fill="000000"/>
          <w:fitText w:val="5894" w:id="1156212995"/>
          <w14:textFill>
            <w14:solidFill>
              <w14:srgbClr w14:val="000000">
                <w14:alpha w14:val="100000"/>
              </w14:srgbClr>
            </w14:solidFill>
          </w14:textFill>
        </w:rPr>
        <w:t>|||||||||||||||||||||||||||||||||||||||||</w:t>
      </w:r>
      <w:r w:rsidR="00742926" w:rsidRPr="00742926">
        <w:rPr>
          <w:color w:val="000000"/>
          <w:spacing w:val="13"/>
          <w:shd w:val="solid" w:color="000000" w:fill="000000"/>
          <w:fitText w:val="5894" w:id="1156212995"/>
          <w14:textFill>
            <w14:solidFill>
              <w14:srgbClr w14:val="000000">
                <w14:alpha w14:val="100000"/>
              </w14:srgbClr>
            </w14:solidFill>
          </w14:textFill>
        </w:rPr>
        <w:t>|</w:t>
      </w:r>
      <w:r w:rsidR="001362B3">
        <w:rPr>
          <w:rStyle w:val="FootnoteReference"/>
        </w:rPr>
        <w:footnoteReference w:id="77"/>
      </w:r>
      <w:r w:rsidR="00AF2B92">
        <w:t xml:space="preserve">  </w:t>
      </w:r>
      <w:r w:rsidR="00742926" w:rsidRPr="00742926">
        <w:rPr>
          <w:color w:val="000000"/>
          <w:spacing w:val="6"/>
          <w:shd w:val="solid" w:color="000000" w:fill="000000"/>
          <w:fitText w:val="2877" w:id="1156212996"/>
          <w14:textFill>
            <w14:solidFill>
              <w14:srgbClr w14:val="000000">
                <w14:alpha w14:val="100000"/>
              </w14:srgbClr>
            </w14:solidFill>
          </w14:textFill>
        </w:rPr>
        <w:t>||||||||||||||||||||</w:t>
      </w:r>
      <w:r w:rsidR="00742926" w:rsidRPr="00742926">
        <w:rPr>
          <w:color w:val="FFFFFF"/>
          <w:spacing w:val="6"/>
          <w:shd w:val="solid" w:color="000000" w:fill="000000"/>
          <w:fitText w:val="2877" w:id="1156212996"/>
        </w:rPr>
        <w:t xml:space="preserve">  </w:t>
      </w:r>
      <w:r w:rsidR="00742926" w:rsidRPr="00742926">
        <w:rPr>
          <w:color w:val="000000"/>
          <w:spacing w:val="6"/>
          <w:shd w:val="solid" w:color="000000" w:fill="000000"/>
          <w:fitText w:val="2877" w:id="1156212996"/>
          <w14:textFill>
            <w14:solidFill>
              <w14:srgbClr w14:val="000000">
                <w14:alpha w14:val="100000"/>
              </w14:srgbClr>
            </w14:solidFill>
          </w14:textFill>
        </w:rPr>
        <w:t>|||||||||||||||||||</w:t>
      </w:r>
      <w:r w:rsidR="00742926" w:rsidRPr="00742926">
        <w:rPr>
          <w:color w:val="000000"/>
          <w:spacing w:val="4"/>
          <w:shd w:val="solid" w:color="000000" w:fill="000000"/>
          <w:fitText w:val="2877" w:id="1156212996"/>
          <w14:textFill>
            <w14:solidFill>
              <w14:srgbClr w14:val="000000">
                <w14:alpha w14:val="100000"/>
              </w14:srgbClr>
            </w14:solidFill>
          </w14:textFill>
        </w:rPr>
        <w:t>|</w:t>
      </w:r>
      <w:r w:rsidR="00561B6D" w:rsidRPr="007F68FB">
        <w:rPr>
          <w:highlight w:val="yellow"/>
        </w:rPr>
        <w:t xml:space="preserve"> </w:t>
      </w:r>
      <w:r w:rsidR="00876583" w:rsidRPr="00876583">
        <w:rPr>
          <w:color w:val="000000"/>
          <w:spacing w:val="6"/>
          <w:shd w:val="solid" w:color="000000" w:fill="000000"/>
          <w:fitText w:val="9340" w:id="1156215296"/>
          <w14:textFill>
            <w14:solidFill>
              <w14:srgbClr w14:val="000000">
                <w14:alpha w14:val="100000"/>
              </w14:srgbClr>
            </w14:solidFill>
          </w14:textFill>
        </w:rPr>
        <w:lastRenderedPageBreak/>
        <w:t>|||||||||||||||||||||||||||||||||||||||||||||||||||||||||||||||||||</w:t>
      </w:r>
      <w:r w:rsidR="00876583" w:rsidRPr="00876583">
        <w:rPr>
          <w:color w:val="FFFFFF"/>
          <w:spacing w:val="6"/>
          <w:shd w:val="solid" w:color="000000" w:fill="000000"/>
          <w:fitText w:val="9340" w:id="1156215296"/>
        </w:rPr>
        <w:t xml:space="preserve">  </w:t>
      </w:r>
      <w:r w:rsidR="00876583" w:rsidRPr="00876583">
        <w:rPr>
          <w:color w:val="000000"/>
          <w:spacing w:val="6"/>
          <w:shd w:val="solid" w:color="000000" w:fill="000000"/>
          <w:fitText w:val="9340" w:id="1156215296"/>
          <w14:textFill>
            <w14:solidFill>
              <w14:srgbClr w14:val="000000">
                <w14:alpha w14:val="100000"/>
              </w14:srgbClr>
            </w14:solidFill>
          </w14:textFill>
        </w:rPr>
        <w:t>||||||||||||||||||||||||||||||||||||||||||||||||||||||||||||||||||</w:t>
      </w:r>
      <w:r w:rsidR="00876583" w:rsidRPr="00876583">
        <w:rPr>
          <w:color w:val="000000"/>
          <w:spacing w:val="42"/>
          <w:shd w:val="solid" w:color="000000" w:fill="000000"/>
          <w:fitText w:val="9340" w:id="1156215296"/>
          <w14:textFill>
            <w14:solidFill>
              <w14:srgbClr w14:val="000000">
                <w14:alpha w14:val="100000"/>
              </w14:srgbClr>
            </w14:solidFill>
          </w14:textFill>
        </w:rPr>
        <w:t>|</w:t>
      </w:r>
      <w:r w:rsidR="001F437E" w:rsidRPr="007F68FB">
        <w:rPr>
          <w:highlight w:val="yellow"/>
        </w:rPr>
        <w:t xml:space="preserve"> </w:t>
      </w:r>
      <w:r w:rsidR="00876583" w:rsidRPr="00876583">
        <w:rPr>
          <w:color w:val="000000"/>
          <w:spacing w:val="7"/>
          <w:shd w:val="solid" w:color="000000" w:fill="000000"/>
          <w:fitText w:val="8980" w:id="1156215297"/>
          <w14:textFill>
            <w14:solidFill>
              <w14:srgbClr w14:val="000000">
                <w14:alpha w14:val="100000"/>
              </w14:srgbClr>
            </w14:solidFill>
          </w14:textFill>
        </w:rPr>
        <w:t>||||||||||||||||||||||||||||||||||||||||||||||||||||||||||||||||</w:t>
      </w:r>
      <w:r w:rsidR="00876583" w:rsidRPr="00876583">
        <w:rPr>
          <w:color w:val="FFFFFF"/>
          <w:spacing w:val="7"/>
          <w:shd w:val="solid" w:color="000000" w:fill="000000"/>
          <w:fitText w:val="8980" w:id="1156215297"/>
        </w:rPr>
        <w:t xml:space="preserve">  </w:t>
      </w:r>
      <w:r w:rsidR="00876583" w:rsidRPr="00876583">
        <w:rPr>
          <w:color w:val="000000"/>
          <w:spacing w:val="7"/>
          <w:shd w:val="solid" w:color="000000" w:fill="000000"/>
          <w:fitText w:val="8980" w:id="1156215297"/>
          <w14:textFill>
            <w14:solidFill>
              <w14:srgbClr w14:val="000000">
                <w14:alpha w14:val="100000"/>
              </w14:srgbClr>
            </w14:solidFill>
          </w14:textFill>
        </w:rPr>
        <w:t>|||||||||||||||||||||||||||||||||||||||||||||||||||||||||||||||</w:t>
      </w:r>
      <w:r w:rsidR="00876583" w:rsidRPr="00876583">
        <w:rPr>
          <w:color w:val="000000"/>
          <w:spacing w:val="-36"/>
          <w:shd w:val="solid" w:color="000000" w:fill="000000"/>
          <w:fitText w:val="8980" w:id="1156215297"/>
          <w14:textFill>
            <w14:solidFill>
              <w14:srgbClr w14:val="000000">
                <w14:alpha w14:val="100000"/>
              </w14:srgbClr>
            </w14:solidFill>
          </w14:textFill>
        </w:rPr>
        <w:t>|</w:t>
      </w:r>
      <w:r w:rsidR="00561B6D">
        <w:t xml:space="preserve">  </w:t>
      </w:r>
    </w:p>
    <w:p w14:paraId="7B8EF6BD" w14:textId="4ED26373" w:rsidR="00320416" w:rsidRDefault="00320416" w:rsidP="001B1324">
      <w:pPr>
        <w:ind w:firstLine="720"/>
      </w:pPr>
      <w:r>
        <w:t xml:space="preserve">The Court held that a similar rider collected by AEP-Ohio amounted to transition revenue or its equivalent and was therefore prohibited under R.C. 4928.38.  In that case, AEP-Ohio had proposed the Retail Stability Rider (“RSR”) </w:t>
      </w:r>
      <w:r w:rsidR="00272F54">
        <w:t>to ensure AEP-Ohio “was not financially harmed” and to “achieve a certain rate of return on its generation assets</w:t>
      </w:r>
      <w:r>
        <w:t>.</w:t>
      </w:r>
      <w:r w:rsidR="00272F54">
        <w:t>”</w:t>
      </w:r>
      <w:r>
        <w:rPr>
          <w:rStyle w:val="FootnoteReference"/>
        </w:rPr>
        <w:footnoteReference w:id="78"/>
      </w:r>
      <w:r w:rsidR="00272F54">
        <w:t xml:space="preserve"> </w:t>
      </w:r>
      <w:r w:rsidR="001743A8">
        <w:t xml:space="preserve"> </w:t>
      </w:r>
      <w:r w:rsidR="00807E0E">
        <w:t>T</w:t>
      </w:r>
      <w:r w:rsidR="001743A8">
        <w:t xml:space="preserve">he magnitude of the RSR was determined, in part, based on </w:t>
      </w:r>
      <w:r w:rsidR="00807E0E">
        <w:t>the available capacity revenue AEP-Ohio expected to receive in the market</w:t>
      </w:r>
      <w:r w:rsidR="00441788">
        <w:t>.</w:t>
      </w:r>
      <w:r w:rsidR="00441788">
        <w:rPr>
          <w:rStyle w:val="FootnoteReference"/>
        </w:rPr>
        <w:footnoteReference w:id="79"/>
      </w:r>
      <w:r w:rsidR="00441788">
        <w:t xml:space="preserve">  </w:t>
      </w:r>
    </w:p>
    <w:p w14:paraId="183A1794" w14:textId="79C34D09" w:rsidR="00D23880" w:rsidRDefault="00876583" w:rsidP="001B1324">
      <w:pPr>
        <w:ind w:firstLine="720"/>
      </w:pPr>
      <w:r w:rsidRPr="00876583">
        <w:rPr>
          <w:color w:val="000000"/>
          <w:spacing w:val="6"/>
          <w:shd w:val="solid" w:color="000000" w:fill="000000"/>
          <w:fitText w:val="8620" w:id="1156215552"/>
          <w14:textFill>
            <w14:solidFill>
              <w14:srgbClr w14:val="000000">
                <w14:alpha w14:val="100000"/>
              </w14:srgbClr>
            </w14:solidFill>
          </w14:textFill>
        </w:rPr>
        <w:t>||||||||||||||||||||||||||||||||||||||||||||||||||||||||||||||</w:t>
      </w:r>
      <w:r w:rsidRPr="00876583">
        <w:rPr>
          <w:color w:val="FFFFFF"/>
          <w:spacing w:val="6"/>
          <w:shd w:val="solid" w:color="000000" w:fill="000000"/>
          <w:fitText w:val="8620" w:id="1156215552"/>
        </w:rPr>
        <w:t xml:space="preserve">  </w:t>
      </w:r>
      <w:r w:rsidRPr="00876583">
        <w:rPr>
          <w:color w:val="000000"/>
          <w:spacing w:val="6"/>
          <w:shd w:val="solid" w:color="000000" w:fill="000000"/>
          <w:fitText w:val="8620" w:id="1156215552"/>
          <w14:textFill>
            <w14:solidFill>
              <w14:srgbClr w14:val="000000">
                <w14:alpha w14:val="100000"/>
              </w14:srgbClr>
            </w14:solidFill>
          </w14:textFill>
        </w:rPr>
        <w:t>||||||||||||||||||||||||||||||||||||||||||||||||||||||||||||||</w:t>
      </w:r>
      <w:r w:rsidR="00505C07" w:rsidRPr="004B3F45">
        <w:rPr>
          <w:highlight w:val="yellow"/>
        </w:rPr>
        <w:t xml:space="preserve"> </w:t>
      </w:r>
      <w:r w:rsidRPr="00876583">
        <w:rPr>
          <w:color w:val="000000"/>
          <w:spacing w:val="6"/>
          <w:shd w:val="solid" w:color="000000" w:fill="000000"/>
          <w:fitText w:val="9340" w:id="1156215553"/>
          <w14:textFill>
            <w14:solidFill>
              <w14:srgbClr w14:val="000000">
                <w14:alpha w14:val="100000"/>
              </w14:srgbClr>
            </w14:solidFill>
          </w14:textFill>
        </w:rPr>
        <w:t>|||||||||||||||||||||||||||||||||||||||||||||||||||||||||||||||||||</w:t>
      </w:r>
      <w:r w:rsidRPr="00876583">
        <w:rPr>
          <w:color w:val="FFFFFF"/>
          <w:spacing w:val="6"/>
          <w:shd w:val="solid" w:color="000000" w:fill="000000"/>
          <w:fitText w:val="9340" w:id="1156215553"/>
        </w:rPr>
        <w:t xml:space="preserve">  </w:t>
      </w:r>
      <w:r w:rsidRPr="00876583">
        <w:rPr>
          <w:color w:val="000000"/>
          <w:spacing w:val="6"/>
          <w:shd w:val="solid" w:color="000000" w:fill="000000"/>
          <w:fitText w:val="9340" w:id="1156215553"/>
          <w14:textFill>
            <w14:solidFill>
              <w14:srgbClr w14:val="000000">
                <w14:alpha w14:val="100000"/>
              </w14:srgbClr>
            </w14:solidFill>
          </w14:textFill>
        </w:rPr>
        <w:t>||||||||||||||||||||||||||||||||||||||||||||||||||||||||||||||||||</w:t>
      </w:r>
      <w:r w:rsidRPr="00876583">
        <w:rPr>
          <w:color w:val="000000"/>
          <w:spacing w:val="42"/>
          <w:shd w:val="solid" w:color="000000" w:fill="000000"/>
          <w:fitText w:val="9340" w:id="1156215553"/>
          <w14:textFill>
            <w14:solidFill>
              <w14:srgbClr w14:val="000000">
                <w14:alpha w14:val="100000"/>
              </w14:srgbClr>
            </w14:solidFill>
          </w14:textFill>
        </w:rPr>
        <w:t>|</w:t>
      </w:r>
      <w:r w:rsidR="00D23880" w:rsidRPr="004B3F45">
        <w:rPr>
          <w:highlight w:val="yellow"/>
        </w:rPr>
        <w:t xml:space="preserve"> </w:t>
      </w:r>
      <w:r w:rsidRPr="00876583">
        <w:rPr>
          <w:color w:val="000000"/>
          <w:spacing w:val="6"/>
          <w:shd w:val="solid" w:color="000000" w:fill="000000"/>
          <w:fitText w:val="9340" w:id="1156215554"/>
          <w14:textFill>
            <w14:solidFill>
              <w14:srgbClr w14:val="000000">
                <w14:alpha w14:val="100000"/>
              </w14:srgbClr>
            </w14:solidFill>
          </w14:textFill>
        </w:rPr>
        <w:t>|||||||||||||||||||||||||||||||||||||||||||||||||||||||||||||||||||</w:t>
      </w:r>
      <w:r w:rsidRPr="00876583">
        <w:rPr>
          <w:color w:val="FFFFFF"/>
          <w:spacing w:val="6"/>
          <w:shd w:val="solid" w:color="000000" w:fill="000000"/>
          <w:fitText w:val="9340" w:id="1156215554"/>
        </w:rPr>
        <w:t xml:space="preserve">  </w:t>
      </w:r>
      <w:r w:rsidRPr="00876583">
        <w:rPr>
          <w:color w:val="000000"/>
          <w:spacing w:val="6"/>
          <w:shd w:val="solid" w:color="000000" w:fill="000000"/>
          <w:fitText w:val="9340" w:id="1156215554"/>
          <w14:textFill>
            <w14:solidFill>
              <w14:srgbClr w14:val="000000">
                <w14:alpha w14:val="100000"/>
              </w14:srgbClr>
            </w14:solidFill>
          </w14:textFill>
        </w:rPr>
        <w:t>||||||||||||||||||||||||||||||||||||||||||||||||||||||||||||||||||</w:t>
      </w:r>
      <w:r w:rsidRPr="00876583">
        <w:rPr>
          <w:color w:val="000000"/>
          <w:spacing w:val="42"/>
          <w:shd w:val="solid" w:color="000000" w:fill="000000"/>
          <w:fitText w:val="9340" w:id="1156215554"/>
          <w14:textFill>
            <w14:solidFill>
              <w14:srgbClr w14:val="000000">
                <w14:alpha w14:val="100000"/>
              </w14:srgbClr>
            </w14:solidFill>
          </w14:textFill>
        </w:rPr>
        <w:t>|</w:t>
      </w:r>
      <w:r w:rsidR="00D23880" w:rsidRPr="004B3F45">
        <w:rPr>
          <w:highlight w:val="yellow"/>
        </w:rPr>
        <w:t xml:space="preserve"> </w:t>
      </w:r>
      <w:r w:rsidRPr="00876583">
        <w:rPr>
          <w:color w:val="000000"/>
          <w:spacing w:val="6"/>
          <w:shd w:val="solid" w:color="000000" w:fill="000000"/>
          <w:fitText w:val="8140" w:id="1156215555"/>
          <w14:textFill>
            <w14:solidFill>
              <w14:srgbClr w14:val="000000">
                <w14:alpha w14:val="100000"/>
              </w14:srgbClr>
            </w14:solidFill>
          </w14:textFill>
        </w:rPr>
        <w:t>||||||||||||||||||||||||||||||||||||||||||||||||||||||||||</w:t>
      </w:r>
      <w:r w:rsidRPr="00876583">
        <w:rPr>
          <w:color w:val="FFFFFF"/>
          <w:spacing w:val="6"/>
          <w:shd w:val="solid" w:color="000000" w:fill="000000"/>
          <w:fitText w:val="8140" w:id="1156215555"/>
        </w:rPr>
        <w:t xml:space="preserve">  </w:t>
      </w:r>
      <w:r w:rsidRPr="00876583">
        <w:rPr>
          <w:color w:val="000000"/>
          <w:spacing w:val="6"/>
          <w:shd w:val="solid" w:color="000000" w:fill="000000"/>
          <w:fitText w:val="8140" w:id="1156215555"/>
          <w14:textFill>
            <w14:solidFill>
              <w14:srgbClr w14:val="000000">
                <w14:alpha w14:val="100000"/>
              </w14:srgbClr>
            </w14:solidFill>
          </w14:textFill>
        </w:rPr>
        <w:t>|||||||||||||||||||||||||||||||||||||||||||||||||||||||||</w:t>
      </w:r>
      <w:r w:rsidRPr="00876583">
        <w:rPr>
          <w:color w:val="000000"/>
          <w:spacing w:val="72"/>
          <w:shd w:val="solid" w:color="000000" w:fill="000000"/>
          <w:fitText w:val="8140" w:id="1156215555"/>
          <w14:textFill>
            <w14:solidFill>
              <w14:srgbClr w14:val="000000">
                <w14:alpha w14:val="100000"/>
              </w14:srgbClr>
            </w14:solidFill>
          </w14:textFill>
        </w:rPr>
        <w:t>|</w:t>
      </w:r>
      <w:r w:rsidR="00272F54">
        <w:t xml:space="preserve"> </w:t>
      </w:r>
      <w:r w:rsidR="00D23880">
        <w:t xml:space="preserve"> </w:t>
      </w:r>
    </w:p>
    <w:p w14:paraId="3936850B" w14:textId="530BE7DC" w:rsidR="00463400" w:rsidRDefault="00D23880" w:rsidP="00463400">
      <w:pPr>
        <w:ind w:firstLine="720"/>
        <w:rPr>
          <w:rFonts w:eastAsia="Calibri" w:cs="Times New Roman"/>
        </w:rPr>
      </w:pPr>
      <w:r>
        <w:t xml:space="preserve">In sum, </w:t>
      </w:r>
      <w:r w:rsidR="00597CD7">
        <w:t>t</w:t>
      </w:r>
      <w:r w:rsidR="00561B6D">
        <w:t xml:space="preserve">he SSR-E revenue </w:t>
      </w:r>
      <w:r w:rsidR="00C90E49">
        <w:t>covers “costs” not recoverable in the market</w:t>
      </w:r>
      <w:r w:rsidR="00576A80">
        <w:t>, that revenue woul</w:t>
      </w:r>
      <w:r w:rsidR="00C90E49">
        <w:t>d be</w:t>
      </w:r>
      <w:r w:rsidR="00561B6D">
        <w:t xml:space="preserve"> by definition </w:t>
      </w:r>
      <w:r w:rsidR="003B76E7">
        <w:t>transition revenue or</w:t>
      </w:r>
      <w:r>
        <w:t xml:space="preserve"> its equivalent, and the analysis DP&amp;L is relying upon to justify </w:t>
      </w:r>
      <w:r w:rsidR="00A150C4">
        <w:t xml:space="preserve">the RER and SSR-E is the functional equivalent of the analysis and justification that the Court rejected when it concluded that a similar rider produced unlawful transition revenue or its equivalent.  </w:t>
      </w:r>
      <w:r w:rsidR="00463400" w:rsidRPr="00077C6E">
        <w:rPr>
          <w:rFonts w:eastAsia="Calibri" w:cs="Times New Roman"/>
        </w:rPr>
        <w:t xml:space="preserve">The time </w:t>
      </w:r>
      <w:r w:rsidR="00977005">
        <w:rPr>
          <w:rFonts w:eastAsia="Calibri" w:cs="Times New Roman"/>
        </w:rPr>
        <w:t>during</w:t>
      </w:r>
      <w:r w:rsidR="00977005" w:rsidRPr="00077C6E">
        <w:rPr>
          <w:rFonts w:eastAsia="Calibri" w:cs="Times New Roman"/>
        </w:rPr>
        <w:t xml:space="preserve"> </w:t>
      </w:r>
      <w:r w:rsidR="00463400" w:rsidRPr="00077C6E">
        <w:rPr>
          <w:rFonts w:eastAsia="Calibri" w:cs="Times New Roman"/>
        </w:rPr>
        <w:t>which transition revenue or its equivalent may be authorized and collected</w:t>
      </w:r>
      <w:r w:rsidR="00A150C4">
        <w:rPr>
          <w:rFonts w:eastAsia="Calibri" w:cs="Times New Roman"/>
        </w:rPr>
        <w:t xml:space="preserve"> has</w:t>
      </w:r>
      <w:r w:rsidR="005F722B">
        <w:rPr>
          <w:rFonts w:eastAsia="Calibri" w:cs="Times New Roman"/>
        </w:rPr>
        <w:t xml:space="preserve"> expired and therefore </w:t>
      </w:r>
      <w:r w:rsidR="006E0C79">
        <w:rPr>
          <w:rFonts w:eastAsia="Calibri" w:cs="Times New Roman"/>
        </w:rPr>
        <w:t>authorization</w:t>
      </w:r>
      <w:r w:rsidR="00977005">
        <w:rPr>
          <w:rFonts w:eastAsia="Calibri" w:cs="Times New Roman"/>
        </w:rPr>
        <w:t xml:space="preserve"> of </w:t>
      </w:r>
      <w:r w:rsidR="005F722B">
        <w:rPr>
          <w:rFonts w:eastAsia="Calibri" w:cs="Times New Roman"/>
        </w:rPr>
        <w:t>any</w:t>
      </w:r>
      <w:r w:rsidR="00977005">
        <w:rPr>
          <w:rFonts w:eastAsia="Calibri" w:cs="Times New Roman"/>
        </w:rPr>
        <w:t xml:space="preserve"> increase </w:t>
      </w:r>
      <w:r w:rsidR="005F722B">
        <w:rPr>
          <w:rFonts w:eastAsia="Calibri" w:cs="Times New Roman"/>
        </w:rPr>
        <w:t xml:space="preserve">in the SSR-E </w:t>
      </w:r>
      <w:r w:rsidR="00977005">
        <w:rPr>
          <w:rFonts w:eastAsia="Calibri" w:cs="Times New Roman"/>
        </w:rPr>
        <w:t>would violate R.C. 4928.38.</w:t>
      </w:r>
    </w:p>
    <w:p w14:paraId="47BB220B" w14:textId="27BC0238" w:rsidR="005D4268" w:rsidRDefault="005D4268" w:rsidP="00FC4FD3">
      <w:pPr>
        <w:pStyle w:val="Heading4"/>
        <w:rPr>
          <w:rFonts w:eastAsia="Calibri"/>
        </w:rPr>
      </w:pPr>
      <w:bookmarkStart w:id="47" w:name="_Toc448228779"/>
      <w:bookmarkStart w:id="48" w:name="_Toc448320290"/>
      <w:bookmarkStart w:id="49" w:name="_Toc449432254"/>
      <w:bookmarkStart w:id="50" w:name="_Toc449685136"/>
      <w:r>
        <w:rPr>
          <w:rFonts w:eastAsia="Calibri"/>
        </w:rPr>
        <w:t>The authorization of an increase in the SSR-E would result in a violation of R.C. 4928.02(H) that prohibits</w:t>
      </w:r>
      <w:r w:rsidR="00FC4FD3">
        <w:rPr>
          <w:rFonts w:eastAsia="Calibri"/>
        </w:rPr>
        <w:t xml:space="preserve"> the authorization of </w:t>
      </w:r>
      <w:r w:rsidR="00FC4FD3">
        <w:t>an anticompetitive subsidy</w:t>
      </w:r>
      <w:r w:rsidR="005555AE">
        <w:t xml:space="preserve"> and</w:t>
      </w:r>
      <w:r w:rsidR="00FC4FD3">
        <w:t xml:space="preserve"> the </w:t>
      </w:r>
      <w:r w:rsidR="00FC4FD3">
        <w:lastRenderedPageBreak/>
        <w:t>recovery of any generation-related costs through distribution or transmission rates</w:t>
      </w:r>
      <w:bookmarkEnd w:id="47"/>
      <w:bookmarkEnd w:id="48"/>
      <w:bookmarkEnd w:id="49"/>
      <w:bookmarkEnd w:id="50"/>
    </w:p>
    <w:p w14:paraId="6C555F94" w14:textId="282718D4" w:rsidR="00951A14" w:rsidRDefault="0025315A" w:rsidP="000268ED">
      <w:pPr>
        <w:ind w:firstLine="720"/>
      </w:pPr>
      <w:r w:rsidRPr="0025315A">
        <w:t>R.C. 4928.06 requires th</w:t>
      </w:r>
      <w:r w:rsidR="00D1573D">
        <w:t>e Commission to effectuate the s</w:t>
      </w:r>
      <w:r w:rsidRPr="0025315A">
        <w:t xml:space="preserve">tate polices contained in R.C. 4928.02, and the Commission has found that an </w:t>
      </w:r>
      <w:r w:rsidR="00937D61">
        <w:t>EDU</w:t>
      </w:r>
      <w:r w:rsidRPr="0025315A">
        <w:t>’s standard service offer must comply with those policies.</w:t>
      </w:r>
      <w:r w:rsidRPr="0025315A">
        <w:rPr>
          <w:vertAlign w:val="superscript"/>
        </w:rPr>
        <w:footnoteReference w:id="80"/>
      </w:r>
      <w:r w:rsidR="00E04400">
        <w:t xml:space="preserve">  </w:t>
      </w:r>
      <w:r w:rsidR="005370A0" w:rsidRPr="005370A0">
        <w:t xml:space="preserve">R.C. 4928.02(H) provides that it is the policy of the State to ensure effective competition in the provision of retail electric service by </w:t>
      </w:r>
      <w:r w:rsidR="005370A0" w:rsidRPr="005370A0">
        <w:rPr>
          <w:i/>
        </w:rPr>
        <w:t>avoiding anticompetitive subsidies</w:t>
      </w:r>
      <w:r w:rsidR="005370A0" w:rsidRPr="005370A0">
        <w:t xml:space="preserve"> flowing from a noncompetitive retail electric service to a competitive retail electric service or a product or service other than retail electric service or vice versa.  </w:t>
      </w:r>
      <w:r w:rsidRPr="0025315A">
        <w:t xml:space="preserve">Additionally, R.C. 4928.02(H) prohibits the recovery of any generation-related costs through distribution or transmission rates.  </w:t>
      </w:r>
      <w:r w:rsidR="005A3750">
        <w:t>As the Commission has previously found, “[a]pproval of such a charge would effectively allow [an EDU] to recover competitive, generation-related costs through its noncompetitive, distribution rates</w:t>
      </w:r>
      <w:r w:rsidR="0080346E">
        <w:t>, in contravention of [R.C. 4928.02(H)].”</w:t>
      </w:r>
      <w:r w:rsidR="0080346E">
        <w:rPr>
          <w:rStyle w:val="FootnoteReference"/>
        </w:rPr>
        <w:footnoteReference w:id="81"/>
      </w:r>
    </w:p>
    <w:p w14:paraId="30265F3F" w14:textId="0369C9E6" w:rsidR="005D415C" w:rsidRDefault="00951A14" w:rsidP="000268ED">
      <w:pPr>
        <w:ind w:firstLine="720"/>
      </w:pPr>
      <w:r>
        <w:t xml:space="preserve">The </w:t>
      </w:r>
      <w:r w:rsidR="00344F14">
        <w:t xml:space="preserve">increase in the </w:t>
      </w:r>
      <w:r>
        <w:t xml:space="preserve">SSR-E, like the SSR and the proposed RER, </w:t>
      </w:r>
      <w:r w:rsidR="00344F14">
        <w:t>would</w:t>
      </w:r>
      <w:r>
        <w:t xml:space="preserve"> provide </w:t>
      </w:r>
      <w:r w:rsidR="00344F14">
        <w:t xml:space="preserve">DP&amp;L, </w:t>
      </w:r>
      <w:r>
        <w:t>DPL Inc.</w:t>
      </w:r>
      <w:r w:rsidR="00344F14">
        <w:t>,</w:t>
      </w:r>
      <w:r>
        <w:t xml:space="preserve"> and the unregulated generation affiliate a revenue infusion in addition to market revenue available in wholesale markets.  </w:t>
      </w:r>
      <w:r w:rsidR="00FA739D">
        <w:t xml:space="preserve">Competitors will not similarly benefit from the increase in the SSR-E.  </w:t>
      </w:r>
      <w:r w:rsidR="0079783B">
        <w:t>Because</w:t>
      </w:r>
      <w:r w:rsidR="00FA739D">
        <w:t xml:space="preserve"> a</w:t>
      </w:r>
      <w:r w:rsidR="000268ED">
        <w:t xml:space="preserve">uthorizing an increase in the SSR-E rates </w:t>
      </w:r>
      <w:r w:rsidR="0079783B">
        <w:t>would</w:t>
      </w:r>
      <w:r w:rsidR="000268ED">
        <w:t xml:space="preserve"> uniquely provide DP&amp;L’s affiliates an above-market revenue stream that is not available </w:t>
      </w:r>
      <w:r w:rsidR="000268ED">
        <w:lastRenderedPageBreak/>
        <w:t xml:space="preserve">to competitors of DP&amp;L’s </w:t>
      </w:r>
      <w:r w:rsidR="00042BD9">
        <w:t xml:space="preserve">unregulated generation </w:t>
      </w:r>
      <w:r w:rsidR="000268ED">
        <w:t xml:space="preserve">affiliate, </w:t>
      </w:r>
      <w:r w:rsidR="0079783B">
        <w:t>the increase</w:t>
      </w:r>
      <w:r w:rsidR="000268ED">
        <w:t xml:space="preserve"> would be anticompetitive.  Further, allowing DP&amp;L to impose the SSR-E </w:t>
      </w:r>
      <w:r w:rsidR="0079783B">
        <w:t xml:space="preserve">increase </w:t>
      </w:r>
      <w:r w:rsidR="000268ED">
        <w:t xml:space="preserve">on a non-bypassable basis </w:t>
      </w:r>
      <w:r w:rsidR="0079783B">
        <w:t>would allow</w:t>
      </w:r>
      <w:r w:rsidR="000268ED">
        <w:t xml:space="preserve"> DP&amp;L to </w:t>
      </w:r>
      <w:r w:rsidR="00017E3A">
        <w:t>recover competitive generation-related costs through its noncompetitive distribution rates</w:t>
      </w:r>
      <w:r w:rsidR="000268ED">
        <w:t xml:space="preserve">.  </w:t>
      </w:r>
      <w:r w:rsidR="00B578D8">
        <w:t>Thus, granting the Motion would violate R.C. 4928.02(H).</w:t>
      </w:r>
    </w:p>
    <w:p w14:paraId="4223D1D0" w14:textId="4CC104D7" w:rsidR="00473F97" w:rsidRDefault="00473F97" w:rsidP="00473F97">
      <w:pPr>
        <w:pStyle w:val="Heading4"/>
      </w:pPr>
      <w:bookmarkStart w:id="51" w:name="_Toc448228780"/>
      <w:bookmarkStart w:id="52" w:name="_Toc448320291"/>
      <w:bookmarkStart w:id="53" w:name="_Toc449432255"/>
      <w:bookmarkStart w:id="54" w:name="_Toc449685137"/>
      <w:r>
        <w:t xml:space="preserve">The authorization of an increase in the SSR-E would result in a violation of R.C. 4928.17 and Commission rules prohibiting </w:t>
      </w:r>
      <w:r w:rsidR="00DB112E">
        <w:t>a commitment of funds to maintain the financial viability of an affiliate</w:t>
      </w:r>
      <w:bookmarkEnd w:id="51"/>
      <w:bookmarkEnd w:id="52"/>
      <w:bookmarkEnd w:id="53"/>
      <w:bookmarkEnd w:id="54"/>
    </w:p>
    <w:p w14:paraId="7D262E18" w14:textId="2D03E712" w:rsidR="00C131A1" w:rsidRDefault="00CB76A6" w:rsidP="00C131A1">
      <w:pPr>
        <w:ind w:firstLine="720"/>
      </w:pPr>
      <w:r w:rsidRPr="00CB76A6">
        <w:t xml:space="preserve">R.C. 4928.17 requires that an </w:t>
      </w:r>
      <w:r w:rsidR="004825F9">
        <w:t>EDU</w:t>
      </w:r>
      <w:r w:rsidRPr="00CB76A6">
        <w:t xml:space="preserve"> separate its generation and other non-regulated businesses from its regulated distribution and transmission businesses.  </w:t>
      </w:r>
      <w:r w:rsidR="00717188">
        <w:t>Further</w:t>
      </w:r>
      <w:r w:rsidR="00893398">
        <w:t xml:space="preserve">, </w:t>
      </w:r>
      <w:r w:rsidR="00717188">
        <w:t xml:space="preserve">R.C. 4928.17(A)(2) provides that </w:t>
      </w:r>
      <w:r w:rsidR="00D31E7B">
        <w:t>an EDU</w:t>
      </w:r>
      <w:r w:rsidRPr="00CB76A6">
        <w:t xml:space="preserve"> is prohibited from “extend[ing] any undue preference or advantage to any affiliate, division, or part of its own business engaged in the business of supplying the competitive retail electric service or nonelectric product or service.”</w:t>
      </w:r>
      <w:r w:rsidR="002155E2">
        <w:rPr>
          <w:rStyle w:val="FootnoteReference"/>
        </w:rPr>
        <w:footnoteReference w:id="82"/>
      </w:r>
      <w:r w:rsidRPr="00CB76A6">
        <w:t xml:space="preserve">  </w:t>
      </w:r>
      <w:r w:rsidR="00AF4285">
        <w:t xml:space="preserve">Additionally, the Commission has adopted rules </w:t>
      </w:r>
      <w:r w:rsidR="00EF6E5C">
        <w:t>restrict</w:t>
      </w:r>
      <w:r w:rsidR="002630ED">
        <w:t>ing</w:t>
      </w:r>
      <w:r w:rsidR="00EF6E5C">
        <w:t xml:space="preserve"> financial arrangement</w:t>
      </w:r>
      <w:r w:rsidR="002630ED">
        <w:t>s</w:t>
      </w:r>
      <w:r w:rsidR="00EF6E5C">
        <w:t xml:space="preserve"> </w:t>
      </w:r>
      <w:r w:rsidR="002630ED">
        <w:t>between an EDU and</w:t>
      </w:r>
      <w:r w:rsidR="00AF4285">
        <w:t xml:space="preserve"> an affiliate</w:t>
      </w:r>
      <w:r w:rsidR="00EF6E5C">
        <w:t xml:space="preserve"> </w:t>
      </w:r>
      <w:r w:rsidR="006B249E">
        <w:t>that require the EDU to commit funds to maintain the financial viability of the affiliate</w:t>
      </w:r>
      <w:r w:rsidR="00AF4285">
        <w:t>.</w:t>
      </w:r>
      <w:r w:rsidR="006A785C">
        <w:rPr>
          <w:rStyle w:val="FootnoteReference"/>
        </w:rPr>
        <w:footnoteReference w:id="83"/>
      </w:r>
    </w:p>
    <w:p w14:paraId="567B8580" w14:textId="249A35C5" w:rsidR="00794CC5" w:rsidRDefault="0035764A" w:rsidP="005632C9">
      <w:pPr>
        <w:ind w:firstLine="720"/>
      </w:pPr>
      <w:r>
        <w:t>DP&amp;L’s Motion seeks a result that will violate</w:t>
      </w:r>
      <w:r w:rsidR="006B249E">
        <w:t xml:space="preserve"> the letter and spirit of</w:t>
      </w:r>
      <w:r>
        <w:t xml:space="preserve"> the corporate separation </w:t>
      </w:r>
      <w:r w:rsidR="00CE0E42">
        <w:t>requirements</w:t>
      </w:r>
      <w:r>
        <w:t xml:space="preserve">.  </w:t>
      </w:r>
      <w:r w:rsidRPr="005632C9">
        <w:t>In the Motion, DP&amp;L seeks an increase in the SSR-E on the same basis that supports its proposed RER if the Commission has not already authorized the RER.</w:t>
      </w:r>
      <w:r w:rsidRPr="005632C9">
        <w:rPr>
          <w:vertAlign w:val="superscript"/>
        </w:rPr>
        <w:footnoteReference w:id="84"/>
      </w:r>
      <w:r w:rsidRPr="005632C9">
        <w:t xml:space="preserve">  </w:t>
      </w:r>
      <w:r w:rsidR="005632C9" w:rsidRPr="005632C9">
        <w:t>As note</w:t>
      </w:r>
      <w:r w:rsidR="00F019C0">
        <w:t>d</w:t>
      </w:r>
      <w:r w:rsidR="005632C9" w:rsidRPr="005632C9">
        <w:t xml:space="preserve"> previously, DP&amp;L is relying on the testimony of Mr. Malinak</w:t>
      </w:r>
      <w:r w:rsidR="00F019C0">
        <w:t xml:space="preserve"> concerning the need for the RER</w:t>
      </w:r>
      <w:r w:rsidR="005632C9" w:rsidRPr="005632C9">
        <w:t xml:space="preserve"> to support its Motion to increase the SSR-E charges.  </w:t>
      </w:r>
      <w:r w:rsidR="005632C9" w:rsidRPr="005632C9">
        <w:lastRenderedPageBreak/>
        <w:t xml:space="preserve">Mr. Malinak’s testimony states that DP&amp;L has proposed </w:t>
      </w:r>
      <w:r w:rsidR="00F019C0">
        <w:t>the</w:t>
      </w:r>
      <w:r w:rsidR="005632C9" w:rsidRPr="005632C9">
        <w:t xml:space="preserve"> RER to </w:t>
      </w:r>
      <w:r w:rsidR="00FC7410">
        <w:t>provide</w:t>
      </w:r>
      <w:r w:rsidR="005632C9" w:rsidRPr="005632C9">
        <w:t xml:space="preserve"> the generation assets transferred to the unregulated affiliate </w:t>
      </w:r>
      <w:r w:rsidR="009816D0">
        <w:t xml:space="preserve">with </w:t>
      </w:r>
      <w:r w:rsidR="005632C9" w:rsidRPr="005632C9">
        <w:t xml:space="preserve">sufficient revenue to maintain </w:t>
      </w:r>
      <w:r w:rsidR="007E0D32">
        <w:t>the financial integrity of DPL</w:t>
      </w:r>
      <w:r w:rsidR="00FC7410">
        <w:t>.</w:t>
      </w:r>
      <w:r w:rsidR="00283C7F">
        <w:rPr>
          <w:rStyle w:val="FootnoteReference"/>
        </w:rPr>
        <w:footnoteReference w:id="85"/>
      </w:r>
      <w:r w:rsidR="005632C9" w:rsidRPr="005632C9">
        <w:t xml:space="preserve">  </w:t>
      </w:r>
      <w:r w:rsidR="007E0D32">
        <w:t xml:space="preserve">Mr. Malinak </w:t>
      </w:r>
      <w:r w:rsidR="005132ED">
        <w:t>“use[s] the term ‘financial integrity’ to refer more specifically to an assessment of the likelihood of default or bankruptcy</w:t>
      </w:r>
      <w:r w:rsidR="00994F75">
        <w:t>.</w:t>
      </w:r>
      <w:r w:rsidR="006C5B22">
        <w:t>”</w:t>
      </w:r>
      <w:r w:rsidR="006C5B22">
        <w:rPr>
          <w:rStyle w:val="FootnoteReference"/>
        </w:rPr>
        <w:footnoteReference w:id="86"/>
      </w:r>
      <w:r w:rsidR="006C5B22">
        <w:t xml:space="preserve">  </w:t>
      </w:r>
      <w:r w:rsidR="00891FC0">
        <w:t xml:space="preserve">Based on the materials provided by DP&amp;L, </w:t>
      </w:r>
      <w:r w:rsidR="00393162">
        <w:t xml:space="preserve">therefore, the Commission can reasonably conclude that </w:t>
      </w:r>
      <w:r w:rsidR="00891FC0">
        <w:t xml:space="preserve">the SSR-E </w:t>
      </w:r>
      <w:r w:rsidR="00393162">
        <w:t>and RER</w:t>
      </w:r>
      <w:r w:rsidR="005632C9" w:rsidRPr="005632C9">
        <w:t xml:space="preserve"> serve the same purpose </w:t>
      </w:r>
      <w:r w:rsidR="00077EDE">
        <w:t>of maintaining</w:t>
      </w:r>
      <w:r w:rsidR="005632C9" w:rsidRPr="005632C9">
        <w:t xml:space="preserve"> </w:t>
      </w:r>
      <w:r w:rsidR="00077EDE">
        <w:t>the expected returns of</w:t>
      </w:r>
      <w:r w:rsidR="005632C9" w:rsidRPr="005632C9">
        <w:t xml:space="preserve"> </w:t>
      </w:r>
      <w:r w:rsidR="00A56037">
        <w:t xml:space="preserve">the </w:t>
      </w:r>
      <w:r w:rsidR="00077EDE">
        <w:t>unregulated generation</w:t>
      </w:r>
      <w:r w:rsidR="005632C9" w:rsidRPr="005632C9">
        <w:t xml:space="preserve"> affiliate</w:t>
      </w:r>
      <w:r w:rsidR="00077EDE">
        <w:t xml:space="preserve"> and DPL Inc.</w:t>
      </w:r>
      <w:r w:rsidR="009816D0">
        <w:t xml:space="preserve"> so that the </w:t>
      </w:r>
      <w:r w:rsidR="0020740F">
        <w:t xml:space="preserve">risk of </w:t>
      </w:r>
      <w:r w:rsidR="007F5478">
        <w:t xml:space="preserve">financial </w:t>
      </w:r>
      <w:r w:rsidR="00292C08">
        <w:t xml:space="preserve">default is </w:t>
      </w:r>
      <w:r w:rsidR="007F5478">
        <w:t>reduced</w:t>
      </w:r>
      <w:r w:rsidR="00292C08">
        <w:t xml:space="preserve">.  </w:t>
      </w:r>
      <w:r w:rsidR="005632C9" w:rsidRPr="005632C9">
        <w:t xml:space="preserve"> </w:t>
      </w:r>
    </w:p>
    <w:p w14:paraId="222C0BB8" w14:textId="2E75D38B" w:rsidR="005632C9" w:rsidRPr="005632C9" w:rsidRDefault="00CE0E42" w:rsidP="005632C9">
      <w:pPr>
        <w:ind w:firstLine="720"/>
      </w:pPr>
      <w:r>
        <w:t xml:space="preserve">By propping up the financial returns of the unregulated generation affiliate and DPL Inc., however, the Commission would be authorizing a violation </w:t>
      </w:r>
      <w:r w:rsidR="007E1A7F">
        <w:t xml:space="preserve">of </w:t>
      </w:r>
      <w:r>
        <w:t>R.C. 4928</w:t>
      </w:r>
      <w:r w:rsidR="00A56037">
        <w:t>.</w:t>
      </w:r>
      <w:r>
        <w:t xml:space="preserve">17 and its rules implementing that section.  </w:t>
      </w:r>
      <w:r w:rsidR="00325BE5">
        <w:t>Authorization would extend an</w:t>
      </w:r>
      <w:r w:rsidR="00325BE5" w:rsidRPr="00CB76A6">
        <w:t xml:space="preserve"> undue preference or advantage to </w:t>
      </w:r>
      <w:r w:rsidR="00325BE5">
        <w:t xml:space="preserve">the unregulated </w:t>
      </w:r>
      <w:r w:rsidR="0020740F">
        <w:t xml:space="preserve">generation </w:t>
      </w:r>
      <w:r w:rsidR="00325BE5" w:rsidRPr="00CB76A6">
        <w:t>affiliate</w:t>
      </w:r>
      <w:r w:rsidR="00325BE5">
        <w:t xml:space="preserve"> by providing it with out-of-market revenue.  </w:t>
      </w:r>
      <w:r w:rsidR="006C5B22">
        <w:t>Further, DP&amp;L</w:t>
      </w:r>
      <w:r w:rsidR="003124D6">
        <w:t xml:space="preserve"> is seeking </w:t>
      </w:r>
      <w:r w:rsidR="00E41EC2">
        <w:t xml:space="preserve">authorization of the SSR-E increase to support the financial viability of DPL Inc. </w:t>
      </w:r>
      <w:r w:rsidR="003124D6">
        <w:t xml:space="preserve"> </w:t>
      </w:r>
      <w:r w:rsidR="00AA6EAB">
        <w:t xml:space="preserve">Accordingly, the authorization would </w:t>
      </w:r>
      <w:r w:rsidR="00632CF7">
        <w:t xml:space="preserve">violate </w:t>
      </w:r>
      <w:r w:rsidR="00292C08">
        <w:t>the letter and the spirit of the corporate separation requirements</w:t>
      </w:r>
      <w:r w:rsidR="00AA6EAB">
        <w:t>.</w:t>
      </w:r>
    </w:p>
    <w:p w14:paraId="3B31B8CC" w14:textId="3811996F" w:rsidR="00DA0698" w:rsidRDefault="00DA0698" w:rsidP="0070220E">
      <w:pPr>
        <w:pStyle w:val="Heading3"/>
      </w:pPr>
      <w:bookmarkStart w:id="55" w:name="_Toc448228781"/>
      <w:bookmarkStart w:id="56" w:name="_Toc448320292"/>
      <w:bookmarkStart w:id="57" w:name="_Toc449432256"/>
      <w:bookmarkStart w:id="58" w:name="_Toc449685138"/>
      <w:r>
        <w:t>The Commission lacks jurisdiction to increase the wholesale compensation of DP&amp;L, DPL Inc., and the unregulated generation affiliate</w:t>
      </w:r>
      <w:bookmarkEnd w:id="55"/>
      <w:bookmarkEnd w:id="56"/>
      <w:bookmarkEnd w:id="57"/>
      <w:bookmarkEnd w:id="58"/>
    </w:p>
    <w:p w14:paraId="250A96ED" w14:textId="77777777" w:rsidR="0091231F" w:rsidRPr="0091231F" w:rsidRDefault="0091231F" w:rsidP="0091231F">
      <w:pPr>
        <w:rPr>
          <w:rFonts w:eastAsia="Calibri" w:cs="Times New Roman"/>
        </w:rPr>
      </w:pPr>
      <w:r w:rsidRPr="0091231F">
        <w:rPr>
          <w:rFonts w:eastAsia="Times New Roman"/>
        </w:rPr>
        <w:tab/>
        <w:t xml:space="preserve">The services of a public utility subject to the Commission’s jurisdiction are established through the definitional sections in Chapters 4905 and 4928 of the Revised Code.  </w:t>
      </w:r>
      <w:r w:rsidRPr="0091231F">
        <w:rPr>
          <w:rFonts w:eastAsia="Calibri" w:cs="Times New Roman"/>
        </w:rPr>
        <w:t xml:space="preserve">R.C. 4905.02 provides that a “‘public utility’ includes every corporation, company, copartnership, person, or association, the lessees, trustees, or receivers of the foregoing, </w:t>
      </w:r>
      <w:r w:rsidRPr="0091231F">
        <w:rPr>
          <w:rFonts w:eastAsia="Calibri" w:cs="Times New Roman"/>
        </w:rPr>
        <w:lastRenderedPageBreak/>
        <w:t>defined in section 4905.03 of the Revised Code.”  R.C. 4905.03 then provides a list of the types of public utilities subject to the Commission’s jurisdiction:</w:t>
      </w:r>
    </w:p>
    <w:p w14:paraId="224CCD54" w14:textId="77777777" w:rsidR="0091231F" w:rsidRPr="0091231F" w:rsidRDefault="0091231F" w:rsidP="00C33F84">
      <w:pPr>
        <w:spacing w:after="120" w:line="240" w:lineRule="auto"/>
        <w:ind w:left="720" w:right="720" w:firstLine="720"/>
        <w:rPr>
          <w:rFonts w:eastAsia="Calibri" w:cs="Times New Roman"/>
        </w:rPr>
      </w:pPr>
      <w:r w:rsidRPr="0091231F">
        <w:rPr>
          <w:rFonts w:eastAsia="Calibri" w:cs="Times New Roman"/>
        </w:rPr>
        <w:t>As used in this chapter, any person, firm, copartnership, voluntary association, joint-stock association, company, or corporation, wherever organized or incorporated, is:</w:t>
      </w:r>
    </w:p>
    <w:p w14:paraId="776DD113" w14:textId="77777777" w:rsidR="0091231F" w:rsidRPr="0091231F" w:rsidRDefault="0091231F" w:rsidP="00C33F84">
      <w:pPr>
        <w:spacing w:after="240" w:line="240" w:lineRule="auto"/>
        <w:ind w:left="720" w:right="720" w:firstLine="720"/>
        <w:rPr>
          <w:rFonts w:eastAsia="Calibri" w:cs="Times New Roman"/>
        </w:rPr>
      </w:pPr>
      <w:r w:rsidRPr="0091231F">
        <w:rPr>
          <w:rFonts w:eastAsia="Calibri" w:cs="Times New Roman"/>
        </w:rPr>
        <w:t>...</w:t>
      </w:r>
    </w:p>
    <w:p w14:paraId="4AFAC3A2" w14:textId="77777777" w:rsidR="0091231F" w:rsidRPr="0091231F" w:rsidRDefault="0091231F" w:rsidP="0091231F">
      <w:pPr>
        <w:spacing w:line="240" w:lineRule="auto"/>
        <w:ind w:left="720" w:right="720" w:firstLine="720"/>
        <w:rPr>
          <w:rFonts w:eastAsia="Calibri" w:cs="Times New Roman"/>
        </w:rPr>
      </w:pPr>
      <w:r w:rsidRPr="0091231F">
        <w:rPr>
          <w:rFonts w:eastAsia="Calibri" w:cs="Times New Roman"/>
        </w:rPr>
        <w:t>(C) An electric light company, when engaged in the business of supplying electricity for light, heat, or power purposes to consumers within this state, including supplying electric transmission service</w:t>
      </w:r>
      <w:r w:rsidRPr="0091231F">
        <w:rPr>
          <w:rFonts w:eastAsia="Calibri" w:cs="Times New Roman"/>
          <w:i/>
        </w:rPr>
        <w:t xml:space="preserve"> </w:t>
      </w:r>
      <w:r w:rsidRPr="0091231F">
        <w:rPr>
          <w:rFonts w:eastAsia="Calibri" w:cs="Times New Roman"/>
        </w:rPr>
        <w:t xml:space="preserve">for electricity delivered to consumers in this state, but excluding a regional transmission organization approved by the federal energy regulatory commission.  </w:t>
      </w:r>
    </w:p>
    <w:p w14:paraId="112FEFE7" w14:textId="77777777" w:rsidR="0091231F" w:rsidRPr="0091231F" w:rsidRDefault="0091231F" w:rsidP="0091231F">
      <w:pPr>
        <w:spacing w:line="240" w:lineRule="auto"/>
        <w:ind w:left="720" w:right="720" w:firstLine="720"/>
        <w:rPr>
          <w:rFonts w:eastAsia="Calibri" w:cs="Times New Roman"/>
        </w:rPr>
      </w:pPr>
    </w:p>
    <w:p w14:paraId="6B5BB3E7" w14:textId="7A5E221F" w:rsidR="00DA0698" w:rsidRDefault="0091231F" w:rsidP="0091231F">
      <w:pPr>
        <w:ind w:firstLine="720"/>
        <w:rPr>
          <w:rFonts w:eastAsia="Calibri" w:cs="Times New Roman"/>
        </w:rPr>
      </w:pPr>
      <w:r w:rsidRPr="0091231F">
        <w:rPr>
          <w:rFonts w:eastAsia="Calibri" w:cs="Times New Roman"/>
        </w:rPr>
        <w:t>The same definition extends to the Commission’s jurisdiction under Chapter 4928 to EDU</w:t>
      </w:r>
      <w:r w:rsidR="008822A1">
        <w:rPr>
          <w:rFonts w:eastAsia="Calibri" w:cs="Times New Roman"/>
        </w:rPr>
        <w:t>s</w:t>
      </w:r>
      <w:r w:rsidRPr="0091231F">
        <w:rPr>
          <w:rFonts w:eastAsia="Calibri" w:cs="Times New Roman"/>
        </w:rPr>
        <w:t>.</w:t>
      </w:r>
      <w:r w:rsidRPr="0091231F">
        <w:rPr>
          <w:rFonts w:eastAsia="Calibri" w:cs="Times New Roman"/>
          <w:vertAlign w:val="superscript"/>
        </w:rPr>
        <w:footnoteReference w:id="87"/>
      </w:r>
      <w:r w:rsidRPr="0091231F">
        <w:rPr>
          <w:rFonts w:eastAsia="Calibri" w:cs="Times New Roman"/>
        </w:rPr>
        <w:t xml:space="preserve">  This definition specifically limits the Commission’s jurisdiction over electric light companies, including EDUs, to instances in which a retail service is being provided, </w:t>
      </w:r>
      <w:r w:rsidRPr="0091231F">
        <w:rPr>
          <w:rFonts w:eastAsia="Calibri" w:cs="Times New Roman"/>
          <w:i/>
        </w:rPr>
        <w:t>i.e.</w:t>
      </w:r>
      <w:r w:rsidRPr="0091231F">
        <w:rPr>
          <w:rFonts w:eastAsia="Calibri" w:cs="Times New Roman"/>
        </w:rPr>
        <w:t xml:space="preserve"> electricity is being supplied “to consumers.”  By definition, therefore, the jurisdiction of the Commission does not extend to wholesale generation-related electric services.</w:t>
      </w:r>
    </w:p>
    <w:p w14:paraId="03995038" w14:textId="712E402D" w:rsidR="00BF54D7" w:rsidRDefault="00BF54D7" w:rsidP="00F13715">
      <w:pPr>
        <w:ind w:firstLine="720"/>
      </w:pPr>
      <w:r>
        <w:t>In the testimony from the ESP application incorporated as support for the Motion,</w:t>
      </w:r>
      <w:r w:rsidR="00C92316">
        <w:t xml:space="preserve"> </w:t>
      </w:r>
      <w:r>
        <w:t xml:space="preserve">Mr. Malinak concludes that </w:t>
      </w:r>
      <w:r w:rsidR="00296AFB" w:rsidRPr="00296AFB">
        <w:rPr>
          <w:color w:val="000000"/>
          <w:w w:val="83"/>
          <w:shd w:val="solid" w:color="000000" w:fill="000000"/>
          <w:fitText w:val="6237" w:id="1156215808"/>
          <w14:textFill>
            <w14:solidFill>
              <w14:srgbClr w14:val="000000">
                <w14:alpha w14:val="100000"/>
              </w14:srgbClr>
            </w14:solidFill>
          </w14:textFill>
        </w:rPr>
        <w:t>|||||||||||||||||||||||||||||||||||||||||||||||||||||||||||</w:t>
      </w:r>
      <w:r w:rsidR="00296AFB" w:rsidRPr="00296AFB">
        <w:rPr>
          <w:color w:val="FFFFFF"/>
          <w:w w:val="83"/>
          <w:shd w:val="solid" w:color="000000" w:fill="000000"/>
          <w:fitText w:val="6237" w:id="1156215808"/>
        </w:rPr>
        <w:t xml:space="preserve">  </w:t>
      </w:r>
      <w:r w:rsidR="00296AFB" w:rsidRPr="00296AFB">
        <w:rPr>
          <w:color w:val="000000"/>
          <w:w w:val="83"/>
          <w:shd w:val="solid" w:color="000000" w:fill="000000"/>
          <w:fitText w:val="6237" w:id="1156215808"/>
          <w14:textFill>
            <w14:solidFill>
              <w14:srgbClr w14:val="000000">
                <w14:alpha w14:val="100000"/>
              </w14:srgbClr>
            </w14:solidFill>
          </w14:textFill>
        </w:rPr>
        <w:t>||||||||||||||||||||||||||||||||||||||||||||||||||||||||||</w:t>
      </w:r>
      <w:r w:rsidR="00296AFB" w:rsidRPr="00296AFB">
        <w:rPr>
          <w:color w:val="000000"/>
          <w:spacing w:val="28"/>
          <w:w w:val="83"/>
          <w:shd w:val="solid" w:color="000000" w:fill="000000"/>
          <w:fitText w:val="6237" w:id="1156215808"/>
          <w14:textFill>
            <w14:solidFill>
              <w14:srgbClr w14:val="000000">
                <w14:alpha w14:val="100000"/>
              </w14:srgbClr>
            </w14:solidFill>
          </w14:textFill>
        </w:rPr>
        <w:t>|</w:t>
      </w:r>
      <w:r w:rsidRPr="00BB35B1">
        <w:rPr>
          <w:highlight w:val="yellow"/>
        </w:rPr>
        <w:t xml:space="preserve"> </w:t>
      </w:r>
      <w:r w:rsidR="00296AFB" w:rsidRPr="00296AFB">
        <w:rPr>
          <w:color w:val="000000"/>
          <w:spacing w:val="6"/>
          <w:shd w:val="solid" w:color="000000" w:fill="000000"/>
          <w:fitText w:val="8757" w:id="1156215809"/>
          <w14:textFill>
            <w14:solidFill>
              <w14:srgbClr w14:val="000000">
                <w14:alpha w14:val="100000"/>
              </w14:srgbClr>
            </w14:solidFill>
          </w14:textFill>
        </w:rPr>
        <w:t>|||||||||||||||||||||||||||||||||||||||||||||||||||||||||||||||</w:t>
      </w:r>
      <w:r w:rsidR="00296AFB" w:rsidRPr="00296AFB">
        <w:rPr>
          <w:color w:val="FFFFFF"/>
          <w:spacing w:val="6"/>
          <w:shd w:val="solid" w:color="000000" w:fill="000000"/>
          <w:fitText w:val="8757" w:id="1156215809"/>
        </w:rPr>
        <w:t xml:space="preserve">  </w:t>
      </w:r>
      <w:r w:rsidR="00296AFB" w:rsidRPr="00296AFB">
        <w:rPr>
          <w:color w:val="000000"/>
          <w:spacing w:val="6"/>
          <w:shd w:val="solid" w:color="000000" w:fill="000000"/>
          <w:fitText w:val="8757" w:id="1156215809"/>
          <w14:textFill>
            <w14:solidFill>
              <w14:srgbClr w14:val="000000">
                <w14:alpha w14:val="100000"/>
              </w14:srgbClr>
            </w14:solidFill>
          </w14:textFill>
        </w:rPr>
        <w:t>|||||||||||||||||||||||||||||||||||||||||||||||||||||||||||||||</w:t>
      </w:r>
      <w:r w:rsidRPr="00BB35B1">
        <w:rPr>
          <w:rStyle w:val="FootnoteReference"/>
        </w:rPr>
        <w:footnoteReference w:id="88"/>
      </w:r>
      <w:r>
        <w:t xml:space="preserve">  </w:t>
      </w:r>
      <w:r w:rsidR="00231499">
        <w:t>As a stop-gap</w:t>
      </w:r>
      <w:r w:rsidR="000903F2">
        <w:t xml:space="preserve"> to the wholesale revenue shortfall</w:t>
      </w:r>
      <w:r w:rsidR="00231499">
        <w:t xml:space="preserve">, DP&amp;L seeks to increase its revenue by increasing the SSR-E rate.  </w:t>
      </w:r>
      <w:r w:rsidR="00446799">
        <w:t>The substance of the increase, therefore, would</w:t>
      </w:r>
      <w:r>
        <w:t xml:space="preserve"> increase the wholesale compensation of the unregulated generation affiliate in an amount in excess of that produced under the federally authorized tariffs.</w:t>
      </w:r>
      <w:r w:rsidR="00F13715">
        <w:t xml:space="preserve">  </w:t>
      </w:r>
      <w:r w:rsidR="004D5CA8">
        <w:t xml:space="preserve">Because the </w:t>
      </w:r>
      <w:r w:rsidR="00AD535C">
        <w:t>Motion seeks to increase compensation for</w:t>
      </w:r>
      <w:r w:rsidR="004D5CA8">
        <w:t xml:space="preserve"> wholesale sales of electricity and not electric services to </w:t>
      </w:r>
      <w:r w:rsidR="004D5CA8">
        <w:lastRenderedPageBreak/>
        <w:t xml:space="preserve">consumers, </w:t>
      </w:r>
      <w:r w:rsidR="006B2E5E">
        <w:t xml:space="preserve">the relief sought exceeds the Commission’s authority that is limited to </w:t>
      </w:r>
      <w:r w:rsidR="006B2E5E" w:rsidRPr="0091231F">
        <w:rPr>
          <w:rFonts w:eastAsia="Calibri" w:cs="Times New Roman"/>
        </w:rPr>
        <w:t xml:space="preserve">the business of </w:t>
      </w:r>
      <w:r w:rsidR="006B2E5E">
        <w:rPr>
          <w:rFonts w:eastAsia="Calibri" w:cs="Times New Roman"/>
        </w:rPr>
        <w:t xml:space="preserve">supplying electricity </w:t>
      </w:r>
      <w:r w:rsidR="006B2E5E" w:rsidRPr="0091231F">
        <w:rPr>
          <w:rFonts w:eastAsia="Calibri" w:cs="Times New Roman"/>
        </w:rPr>
        <w:t>to consumers within this state</w:t>
      </w:r>
      <w:r w:rsidR="00075416">
        <w:t>.</w:t>
      </w:r>
    </w:p>
    <w:p w14:paraId="57251473" w14:textId="24F34024" w:rsidR="0008017D" w:rsidRDefault="00FA6819" w:rsidP="00F13715">
      <w:pPr>
        <w:pStyle w:val="Heading2"/>
      </w:pPr>
      <w:bookmarkStart w:id="59" w:name="_Toc448228783"/>
      <w:bookmarkStart w:id="60" w:name="_Toc448320293"/>
      <w:bookmarkStart w:id="61" w:name="_Toc449432257"/>
      <w:bookmarkStart w:id="62" w:name="_Toc449685139"/>
      <w:r>
        <w:t>The Commission is preempted by the Federal Power Act from increasing the wholesale compensation of DP&amp;L, DPL Inc., and the unregulated generation affiliate</w:t>
      </w:r>
      <w:bookmarkEnd w:id="59"/>
      <w:bookmarkEnd w:id="60"/>
      <w:bookmarkEnd w:id="61"/>
      <w:bookmarkEnd w:id="62"/>
    </w:p>
    <w:p w14:paraId="2F836F0B" w14:textId="228BBECB" w:rsidR="00036D6A" w:rsidRPr="00077C6E" w:rsidRDefault="00036D6A" w:rsidP="00036D6A">
      <w:pPr>
        <w:ind w:firstLine="720"/>
        <w:rPr>
          <w:rFonts w:eastAsia="Calibri" w:cs="Times New Roman"/>
        </w:rPr>
      </w:pPr>
      <w:r w:rsidRPr="00077C6E">
        <w:rPr>
          <w:rFonts w:eastAsia="Calibri"/>
          <w:shd w:val="clear" w:color="auto" w:fill="FFFFFF"/>
        </w:rPr>
        <w:t>Under the Supremacy Clause of the United States Constitution</w:t>
      </w:r>
      <w:r w:rsidR="00F56E16">
        <w:rPr>
          <w:rFonts w:eastAsia="Calibri"/>
          <w:shd w:val="clear" w:color="auto" w:fill="FFFFFF"/>
        </w:rPr>
        <w:t>,</w:t>
      </w:r>
      <w:r>
        <w:rPr>
          <w:rStyle w:val="FootnoteReference"/>
          <w:rFonts w:eastAsia="Calibri"/>
          <w:shd w:val="clear" w:color="auto" w:fill="FFFFFF"/>
        </w:rPr>
        <w:footnoteReference w:id="89"/>
      </w:r>
      <w:r w:rsidRPr="00077C6E">
        <w:rPr>
          <w:rFonts w:eastAsia="Calibri"/>
          <w:shd w:val="clear" w:color="auto" w:fill="FFFFFF"/>
        </w:rPr>
        <w:t xml:space="preserve"> federal law preempts state legislation and regulating authority (1) </w:t>
      </w:r>
      <w:r w:rsidR="000E0418">
        <w:rPr>
          <w:rFonts w:eastAsia="Calibri"/>
          <w:shd w:val="clear" w:color="auto" w:fill="FFFFFF"/>
        </w:rPr>
        <w:t>if</w:t>
      </w:r>
      <w:r w:rsidR="00A5314F" w:rsidRPr="00077C6E">
        <w:rPr>
          <w:rFonts w:eastAsia="Calibri"/>
          <w:shd w:val="clear" w:color="auto" w:fill="FFFFFF"/>
        </w:rPr>
        <w:t xml:space="preserve"> </w:t>
      </w:r>
      <w:r w:rsidRPr="00077C6E">
        <w:rPr>
          <w:rFonts w:eastAsia="Calibri"/>
          <w:shd w:val="clear" w:color="auto" w:fill="FFFFFF"/>
        </w:rPr>
        <w:t xml:space="preserve">Congress, in enacting a federal statute, has expressed a clear intent to preempt state law; (2) </w:t>
      </w:r>
      <w:r w:rsidR="000E0418">
        <w:rPr>
          <w:rFonts w:eastAsia="Calibri"/>
          <w:shd w:val="clear" w:color="auto" w:fill="FFFFFF"/>
        </w:rPr>
        <w:t>if</w:t>
      </w:r>
      <w:r w:rsidR="00A5314F" w:rsidRPr="00077C6E">
        <w:rPr>
          <w:rFonts w:eastAsia="Calibri"/>
          <w:shd w:val="clear" w:color="auto" w:fill="FFFFFF"/>
        </w:rPr>
        <w:t xml:space="preserve"> </w:t>
      </w:r>
      <w:r w:rsidRPr="00077C6E">
        <w:rPr>
          <w:rFonts w:eastAsia="Calibri"/>
          <w:shd w:val="clear" w:color="auto" w:fill="FFFFFF"/>
        </w:rPr>
        <w:t>it is clear, despite the absence of explicit pre</w:t>
      </w:r>
      <w:r w:rsidR="00A5314F">
        <w:rPr>
          <w:rFonts w:eastAsia="Calibri"/>
          <w:shd w:val="clear" w:color="auto" w:fill="FFFFFF"/>
        </w:rPr>
        <w:t>-</w:t>
      </w:r>
      <w:r w:rsidRPr="00077C6E">
        <w:rPr>
          <w:rFonts w:eastAsia="Calibri"/>
          <w:shd w:val="clear" w:color="auto" w:fill="FFFFFF"/>
        </w:rPr>
        <w:t xml:space="preserve">emptive language, that Congress has intended, by legislating comprehensively, to occupy an entire field of regulation and has left no room for the states to supplement the federal law; </w:t>
      </w:r>
      <w:r w:rsidR="00A5314F">
        <w:rPr>
          <w:rFonts w:eastAsia="Calibri"/>
          <w:shd w:val="clear" w:color="auto" w:fill="FFFFFF"/>
        </w:rPr>
        <w:t>and</w:t>
      </w:r>
      <w:r w:rsidR="00A5314F" w:rsidRPr="00077C6E">
        <w:rPr>
          <w:rFonts w:eastAsia="Calibri"/>
          <w:shd w:val="clear" w:color="auto" w:fill="FFFFFF"/>
        </w:rPr>
        <w:t xml:space="preserve"> </w:t>
      </w:r>
      <w:r w:rsidRPr="00077C6E">
        <w:rPr>
          <w:rFonts w:eastAsia="Calibri"/>
          <w:shd w:val="clear" w:color="auto" w:fill="FFFFFF"/>
        </w:rPr>
        <w:t xml:space="preserve">(3) </w:t>
      </w:r>
      <w:r w:rsidR="000E0418">
        <w:rPr>
          <w:rFonts w:eastAsia="Calibri"/>
          <w:shd w:val="clear" w:color="auto" w:fill="FFFFFF"/>
        </w:rPr>
        <w:t>if</w:t>
      </w:r>
      <w:r w:rsidR="00A5314F" w:rsidRPr="00077C6E">
        <w:rPr>
          <w:rFonts w:eastAsia="Calibri"/>
          <w:shd w:val="clear" w:color="auto" w:fill="FFFFFF"/>
        </w:rPr>
        <w:t xml:space="preserve"> </w:t>
      </w:r>
      <w:r w:rsidRPr="00077C6E">
        <w:rPr>
          <w:rFonts w:eastAsia="Calibri"/>
          <w:shd w:val="clear" w:color="auto" w:fill="FFFFFF"/>
        </w:rPr>
        <w:t>compliance with both state and federal law is impossible or when compliance with state law stands as an obstacle to the accomplishment and execution of the full purposes and objectives of the federal policies embodied in the laws at issue.</w:t>
      </w:r>
      <w:r w:rsidRPr="00077C6E">
        <w:rPr>
          <w:rFonts w:eastAsia="Calibri"/>
          <w:shd w:val="clear" w:color="auto" w:fill="FFFFFF"/>
          <w:vertAlign w:val="superscript"/>
        </w:rPr>
        <w:footnoteReference w:id="90"/>
      </w:r>
    </w:p>
    <w:p w14:paraId="161D6425" w14:textId="3AA54252" w:rsidR="000065E0" w:rsidRDefault="00496A7B" w:rsidP="004B3F45">
      <w:r>
        <w:tab/>
      </w:r>
      <w:r w:rsidR="000065E0">
        <w:t xml:space="preserve">In </w:t>
      </w:r>
      <w:r w:rsidR="000065E0">
        <w:rPr>
          <w:i/>
        </w:rPr>
        <w:t xml:space="preserve">Hughes v. Talen Energy Marketing </w:t>
      </w:r>
      <w:r w:rsidR="000065E0" w:rsidRPr="009133D0">
        <w:t>LLC</w:t>
      </w:r>
      <w:r w:rsidR="00B16560">
        <w:t>, 578 U.S. __</w:t>
      </w:r>
      <w:r w:rsidR="000065E0">
        <w:t xml:space="preserve">, </w:t>
      </w:r>
      <w:r w:rsidR="00B16560">
        <w:t xml:space="preserve">__ </w:t>
      </w:r>
      <w:r w:rsidR="000065E0">
        <w:t>(2016</w:t>
      </w:r>
      <w:r w:rsidR="00A06CF9">
        <w:t>),</w:t>
      </w:r>
      <w:r w:rsidR="000065E0">
        <w:t xml:space="preserve"> t</w:t>
      </w:r>
      <w:r w:rsidR="00D542F5">
        <w:t>he</w:t>
      </w:r>
      <w:r w:rsidR="00464099">
        <w:t xml:space="preserve"> United States Supreme Court </w:t>
      </w:r>
      <w:r w:rsidR="000065E0">
        <w:t>confirmed the exclusivity of FERC’s authority to establish wholesale energy prices under the Federal Power Act (“FPA”)</w:t>
      </w:r>
      <w:r w:rsidR="00447D31">
        <w:t xml:space="preserve">.  In </w:t>
      </w:r>
      <w:r w:rsidR="00CA4A54">
        <w:rPr>
          <w:i/>
        </w:rPr>
        <w:t>Hughes</w:t>
      </w:r>
      <w:r w:rsidR="00CA4A54">
        <w:t xml:space="preserve">, the Maryland Public Service Commission (“Maryland Commission”) had </w:t>
      </w:r>
      <w:r w:rsidR="00AF4F4E">
        <w:t>required the incumbent utilities</w:t>
      </w:r>
      <w:r w:rsidR="00CA4A54">
        <w:t xml:space="preserve"> to enter into a 20 year pricing contract with a company </w:t>
      </w:r>
      <w:r w:rsidR="00733304">
        <w:t xml:space="preserve">(“generator”) </w:t>
      </w:r>
      <w:r w:rsidR="00CA4A54">
        <w:t>proposing to construct a new generation plant in the state.</w:t>
      </w:r>
      <w:r w:rsidR="00D05831">
        <w:rPr>
          <w:rStyle w:val="FootnoteReference"/>
        </w:rPr>
        <w:footnoteReference w:id="91"/>
      </w:r>
      <w:r w:rsidR="00CA4A54">
        <w:t xml:space="preserve">  </w:t>
      </w:r>
      <w:r w:rsidR="00B83C44">
        <w:t xml:space="preserve">The contract guaranteed that the generator would receive the contract price </w:t>
      </w:r>
      <w:r w:rsidR="00022F17">
        <w:t xml:space="preserve">for capacity </w:t>
      </w:r>
      <w:r w:rsidR="00B83C44">
        <w:t>and not the wholesale price.</w:t>
      </w:r>
      <w:r w:rsidR="00D05831">
        <w:rPr>
          <w:rStyle w:val="FootnoteReference"/>
        </w:rPr>
        <w:footnoteReference w:id="92"/>
      </w:r>
      <w:r w:rsidR="00B83C44">
        <w:t xml:space="preserve">  </w:t>
      </w:r>
      <w:r w:rsidR="00B83C44">
        <w:lastRenderedPageBreak/>
        <w:t xml:space="preserve">That is, if the wholesale price </w:t>
      </w:r>
      <w:r w:rsidR="00022F17">
        <w:t>“falls below the price guaranteed in the contract”</w:t>
      </w:r>
      <w:r w:rsidR="00AF4F4E">
        <w:t xml:space="preserve"> the utilities</w:t>
      </w:r>
      <w:r w:rsidR="00022F17">
        <w:t xml:space="preserve"> paid the generator the difference, and then “pass the costs of these required payments </w:t>
      </w:r>
      <w:r w:rsidR="00AF4F4E">
        <w:t>along to Maryland consumers in the form of higher retail prices.”</w:t>
      </w:r>
      <w:r w:rsidR="00D05831">
        <w:rPr>
          <w:rStyle w:val="FootnoteReference"/>
        </w:rPr>
        <w:footnoteReference w:id="93"/>
      </w:r>
      <w:r w:rsidR="00D05831">
        <w:t xml:space="preserve"> </w:t>
      </w:r>
      <w:r w:rsidR="00F34117">
        <w:t xml:space="preserve"> </w:t>
      </w:r>
      <w:r w:rsidR="00D05831">
        <w:t xml:space="preserve">If the wholesale </w:t>
      </w:r>
      <w:r w:rsidR="00AF4F4E">
        <w:t xml:space="preserve">capacity </w:t>
      </w:r>
      <w:r w:rsidR="00D05831">
        <w:t xml:space="preserve">price </w:t>
      </w:r>
      <w:r w:rsidR="00AF4F4E">
        <w:t xml:space="preserve">“exceeds the price guaranteed in the contract” the generator </w:t>
      </w:r>
      <w:r w:rsidR="008417DD">
        <w:t>was required to pay the utilities</w:t>
      </w:r>
      <w:r w:rsidR="00AF4F4E">
        <w:t xml:space="preserve"> the difference and the utilities </w:t>
      </w:r>
      <w:r w:rsidR="008417DD">
        <w:t>would “then pass the savings along to consumers in the form of lower retail prices.”</w:t>
      </w:r>
      <w:r w:rsidR="00D05831">
        <w:rPr>
          <w:rStyle w:val="FootnoteReference"/>
        </w:rPr>
        <w:footnoteReference w:id="94"/>
      </w:r>
    </w:p>
    <w:p w14:paraId="00B537CE" w14:textId="5F016A50" w:rsidR="002538E0" w:rsidRDefault="008417DD" w:rsidP="004B3F45">
      <w:r>
        <w:tab/>
      </w:r>
      <w:r w:rsidR="006A30FB">
        <w:t xml:space="preserve">The Court found that the contract “guarantees the [generator] a rate distinct from the clearing price </w:t>
      </w:r>
      <w:r w:rsidR="00AE7F5E">
        <w:t xml:space="preserve">[in the PJM capacity auction] </w:t>
      </w:r>
      <w:r w:rsidR="006A30FB">
        <w:t>for its inte</w:t>
      </w:r>
      <w:r w:rsidR="00DC6CAE">
        <w:t>rstate sales of capacity to PJM</w:t>
      </w:r>
      <w:r w:rsidR="006A30FB">
        <w:t>”</w:t>
      </w:r>
      <w:r w:rsidR="00DC6CAE">
        <w:t xml:space="preserve"> and thus concluded that the Maryland Commission </w:t>
      </w:r>
      <w:r w:rsidR="006A30FB">
        <w:t xml:space="preserve">had </w:t>
      </w:r>
      <w:r w:rsidR="00DC47BF">
        <w:t>“set</w:t>
      </w:r>
      <w:r w:rsidR="006A30FB">
        <w:t>[]</w:t>
      </w:r>
      <w:r w:rsidR="00DC47BF">
        <w:t xml:space="preserve"> an interstate wholesale rate</w:t>
      </w:r>
      <w:r w:rsidR="00DC6CAE">
        <w:t>.”</w:t>
      </w:r>
      <w:r w:rsidR="00DC6CAE">
        <w:rPr>
          <w:rStyle w:val="FootnoteReference"/>
        </w:rPr>
        <w:footnoteReference w:id="95"/>
      </w:r>
      <w:r w:rsidR="00DC6CAE">
        <w:t xml:space="preserve">  </w:t>
      </w:r>
      <w:r w:rsidR="00AA1C95">
        <w:t xml:space="preserve">The Court </w:t>
      </w:r>
      <w:r w:rsidR="00285A70">
        <w:t xml:space="preserve">further explained that </w:t>
      </w:r>
      <w:r w:rsidR="001C5066">
        <w:t xml:space="preserve">“however legitimate” a State’s objective might be, </w:t>
      </w:r>
      <w:r w:rsidR="00285A70">
        <w:t>States could not “</w:t>
      </w:r>
      <w:r w:rsidR="00AA1C95">
        <w:t xml:space="preserve">exercise their traditional authority over retail rates, or </w:t>
      </w:r>
      <w:r w:rsidR="00E9422C">
        <w:t>…</w:t>
      </w:r>
      <w:r w:rsidR="00AA1C95">
        <w:t xml:space="preserve"> in-state generat</w:t>
      </w:r>
      <w:r w:rsidR="00285A70">
        <w:t>ion</w:t>
      </w:r>
      <w:r w:rsidR="00AA1C95">
        <w:t>”</w:t>
      </w:r>
      <w:r w:rsidR="00285A70">
        <w:t xml:space="preserve"> as a means to disregard </w:t>
      </w:r>
      <w:r w:rsidR="00CB207C">
        <w:t>the wholesale rates established by FERC.</w:t>
      </w:r>
      <w:r w:rsidR="00AA1C95">
        <w:rPr>
          <w:rStyle w:val="FootnoteReference"/>
        </w:rPr>
        <w:footnoteReference w:id="96"/>
      </w:r>
      <w:r w:rsidR="00CB207C">
        <w:t xml:space="preserve">  </w:t>
      </w:r>
      <w:r w:rsidR="00683C87">
        <w:t>“The FPA leaves no room either for direct state regulation of the prices of interstate wholesales or for regulation that would indirectly achieve the same result.”</w:t>
      </w:r>
      <w:r w:rsidR="00683C87">
        <w:rPr>
          <w:rStyle w:val="FootnoteReference"/>
        </w:rPr>
        <w:footnoteReference w:id="97"/>
      </w:r>
      <w:r w:rsidR="00683C87">
        <w:t xml:space="preserve"> </w:t>
      </w:r>
    </w:p>
    <w:p w14:paraId="494A208D" w14:textId="54806CC0" w:rsidR="00036D6A" w:rsidRPr="00077C6E" w:rsidRDefault="00036D6A" w:rsidP="00036D6A">
      <w:pPr>
        <w:ind w:firstLine="720"/>
        <w:contextualSpacing/>
        <w:rPr>
          <w:rFonts w:eastAsia="Calibri" w:cs="Times New Roman"/>
        </w:rPr>
      </w:pPr>
      <w:r w:rsidRPr="00077C6E">
        <w:rPr>
          <w:rFonts w:eastAsia="Calibri" w:cs="Times New Roman"/>
        </w:rPr>
        <w:t>If the Commission approve</w:t>
      </w:r>
      <w:r>
        <w:rPr>
          <w:rFonts w:eastAsia="Calibri" w:cs="Times New Roman"/>
        </w:rPr>
        <w:t>s</w:t>
      </w:r>
      <w:r w:rsidRPr="00077C6E">
        <w:rPr>
          <w:rFonts w:eastAsia="Calibri" w:cs="Times New Roman"/>
        </w:rPr>
        <w:t xml:space="preserve"> the filing to increase the </w:t>
      </w:r>
      <w:r w:rsidR="00A06CF9">
        <w:rPr>
          <w:rFonts w:eastAsia="Calibri" w:cs="Times New Roman"/>
        </w:rPr>
        <w:t xml:space="preserve">SSR-E </w:t>
      </w:r>
      <w:r w:rsidRPr="00077C6E">
        <w:rPr>
          <w:rFonts w:eastAsia="Calibri" w:cs="Times New Roman"/>
        </w:rPr>
        <w:t xml:space="preserve">to authorize </w:t>
      </w:r>
      <w:r w:rsidR="002E5F3F">
        <w:rPr>
          <w:rFonts w:eastAsia="Calibri" w:cs="Times New Roman"/>
        </w:rPr>
        <w:t>DP&amp;L</w:t>
      </w:r>
      <w:r w:rsidRPr="00077C6E">
        <w:rPr>
          <w:rFonts w:eastAsia="Calibri" w:cs="Times New Roman"/>
        </w:rPr>
        <w:t xml:space="preserve"> to increase its compensation, </w:t>
      </w:r>
      <w:r w:rsidR="002E5F3F">
        <w:rPr>
          <w:rFonts w:eastAsia="Calibri" w:cs="Times New Roman"/>
        </w:rPr>
        <w:t>DP&amp;L and its affiliates</w:t>
      </w:r>
      <w:r w:rsidRPr="00077C6E">
        <w:rPr>
          <w:rFonts w:eastAsia="Calibri" w:cs="Times New Roman"/>
        </w:rPr>
        <w:t xml:space="preserve"> would be guaranteed a recovery of </w:t>
      </w:r>
      <w:r w:rsidR="003D098D">
        <w:rPr>
          <w:rFonts w:eastAsia="Calibri" w:cs="Times New Roman"/>
        </w:rPr>
        <w:t>wholesale generation-related revenue in excess of the revenue available through the FERC approved market prices</w:t>
      </w:r>
      <w:r w:rsidRPr="00077C6E">
        <w:rPr>
          <w:rFonts w:eastAsia="Calibri" w:cs="Times New Roman"/>
        </w:rPr>
        <w:t xml:space="preserve">.  Also, like the Maryland Commission, the Commission would be authorizing </w:t>
      </w:r>
      <w:r w:rsidR="00713B76">
        <w:rPr>
          <w:rFonts w:eastAsia="Calibri" w:cs="Times New Roman"/>
        </w:rPr>
        <w:t>DP&amp;L and its affiliates</w:t>
      </w:r>
      <w:r w:rsidRPr="00077C6E">
        <w:rPr>
          <w:rFonts w:eastAsia="Calibri" w:cs="Times New Roman"/>
        </w:rPr>
        <w:t xml:space="preserve"> to shift the revenue responsibility of the </w:t>
      </w:r>
      <w:r w:rsidRPr="00077C6E">
        <w:rPr>
          <w:rFonts w:eastAsia="Calibri" w:cs="Times New Roman"/>
        </w:rPr>
        <w:lastRenderedPageBreak/>
        <w:t xml:space="preserve">shortfall to </w:t>
      </w:r>
      <w:r w:rsidR="00F3244F">
        <w:rPr>
          <w:rFonts w:eastAsia="Calibri" w:cs="Times New Roman"/>
        </w:rPr>
        <w:t xml:space="preserve">retail </w:t>
      </w:r>
      <w:r w:rsidRPr="00077C6E">
        <w:rPr>
          <w:rFonts w:eastAsia="Calibri" w:cs="Times New Roman"/>
        </w:rPr>
        <w:t xml:space="preserve">customers from </w:t>
      </w:r>
      <w:r w:rsidR="00F3244F">
        <w:rPr>
          <w:rFonts w:eastAsia="Calibri" w:cs="Times New Roman"/>
        </w:rPr>
        <w:t>DP&amp;L’s</w:t>
      </w:r>
      <w:r w:rsidRPr="00077C6E">
        <w:rPr>
          <w:rFonts w:eastAsia="Calibri" w:cs="Times New Roman"/>
        </w:rPr>
        <w:t xml:space="preserve"> sole shareholder.  </w:t>
      </w:r>
      <w:r w:rsidR="00DB677A">
        <w:rPr>
          <w:rFonts w:eastAsia="Calibri" w:cs="Times New Roman"/>
        </w:rPr>
        <w:t>The SSR-E, if authorized, would operate as the</w:t>
      </w:r>
      <w:r w:rsidRPr="00077C6E">
        <w:rPr>
          <w:rFonts w:eastAsia="Calibri" w:cs="Times New Roman"/>
        </w:rPr>
        <w:t xml:space="preserve"> same sort of mechanism the </w:t>
      </w:r>
      <w:r w:rsidR="00DB677A">
        <w:rPr>
          <w:rFonts w:eastAsia="Calibri" w:cs="Times New Roman"/>
        </w:rPr>
        <w:t xml:space="preserve">U.S. Supreme Court held was preempted in </w:t>
      </w:r>
      <w:r w:rsidR="00DB677A" w:rsidRPr="00DB677A">
        <w:rPr>
          <w:rFonts w:eastAsia="Calibri" w:cs="Times New Roman"/>
          <w:i/>
        </w:rPr>
        <w:t>Hughes</w:t>
      </w:r>
      <w:r w:rsidR="00DB677A">
        <w:rPr>
          <w:rFonts w:eastAsia="Calibri" w:cs="Times New Roman"/>
        </w:rPr>
        <w:t>.</w:t>
      </w:r>
      <w:r w:rsidRPr="00077C6E">
        <w:rPr>
          <w:rFonts w:eastAsia="Calibri" w:cs="Times New Roman"/>
        </w:rPr>
        <w:t xml:space="preserve">  Because wholesale electricity compensation is within the exclusive jurisdiction of FERC, however, the Commission is preempted from authorizing </w:t>
      </w:r>
      <w:r w:rsidR="00276393">
        <w:rPr>
          <w:rFonts w:eastAsia="Calibri" w:cs="Times New Roman"/>
        </w:rPr>
        <w:t>that increase</w:t>
      </w:r>
      <w:r w:rsidRPr="00077C6E">
        <w:rPr>
          <w:rFonts w:eastAsia="Calibri" w:cs="Times New Roman"/>
        </w:rPr>
        <w:t>.</w:t>
      </w:r>
    </w:p>
    <w:p w14:paraId="3FD067A8" w14:textId="77777777" w:rsidR="00CB4846" w:rsidRDefault="00CB4846" w:rsidP="00CB4846">
      <w:pPr>
        <w:pStyle w:val="Heading1"/>
      </w:pPr>
      <w:bookmarkStart w:id="63" w:name="_Toc448228784"/>
      <w:bookmarkStart w:id="64" w:name="_Toc448320294"/>
      <w:bookmarkStart w:id="65" w:name="_Toc449432258"/>
      <w:bookmarkStart w:id="66" w:name="_Toc449685140"/>
      <w:r>
        <w:t>Conclusion</w:t>
      </w:r>
      <w:bookmarkEnd w:id="63"/>
      <w:bookmarkEnd w:id="64"/>
      <w:bookmarkEnd w:id="65"/>
      <w:bookmarkEnd w:id="66"/>
    </w:p>
    <w:p w14:paraId="39255FAA" w14:textId="061442D4" w:rsidR="00CB4846" w:rsidRDefault="00E81600" w:rsidP="00CB4846">
      <w:pPr>
        <w:ind w:firstLine="720"/>
      </w:pPr>
      <w:r>
        <w:t xml:space="preserve">DP&amp;L has not satisfied the conditions </w:t>
      </w:r>
      <w:r w:rsidR="007A5B8D">
        <w:t xml:space="preserve">for </w:t>
      </w:r>
      <w:r w:rsidR="00D42FF8">
        <w:t>authorization of an increase in the SSR-E.  Moreover,</w:t>
      </w:r>
      <w:r>
        <w:t xml:space="preserve"> the Commission lacks authority </w:t>
      </w:r>
      <w:r w:rsidR="00D42FF8">
        <w:t>to</w:t>
      </w:r>
      <w:r w:rsidR="00276393">
        <w:t xml:space="preserve"> increase </w:t>
      </w:r>
      <w:r w:rsidR="00D42FF8">
        <w:t>the</w:t>
      </w:r>
      <w:r w:rsidR="00276393">
        <w:t xml:space="preserve"> SSR-E rates to allow DP&amp;L to provide above-market compensation to subsidize its affiliate’s generation assets</w:t>
      </w:r>
      <w:r w:rsidR="00A0743D">
        <w:t xml:space="preserve"> and is preempted by federal law from doing so</w:t>
      </w:r>
      <w:r w:rsidR="00276393">
        <w:t xml:space="preserve">.  Accordingly, the Commission </w:t>
      </w:r>
      <w:r w:rsidR="00A038C2">
        <w:t>should</w:t>
      </w:r>
      <w:r w:rsidR="00276393">
        <w:t xml:space="preserve"> deny DP&amp;L’s Motion.  </w:t>
      </w:r>
    </w:p>
    <w:p w14:paraId="394744B7" w14:textId="77777777" w:rsidR="00041744" w:rsidRPr="00041744" w:rsidRDefault="00041744" w:rsidP="00041744">
      <w:pPr>
        <w:tabs>
          <w:tab w:val="left" w:pos="4320"/>
          <w:tab w:val="right" w:pos="8640"/>
        </w:tabs>
        <w:spacing w:line="240" w:lineRule="auto"/>
      </w:pPr>
      <w:r w:rsidRPr="00041744">
        <w:tab/>
        <w:t>Respectfully submitted,</w:t>
      </w:r>
    </w:p>
    <w:p w14:paraId="7E240149" w14:textId="77777777" w:rsidR="00041744" w:rsidRPr="00041744" w:rsidRDefault="00041744" w:rsidP="00041744">
      <w:pPr>
        <w:tabs>
          <w:tab w:val="left" w:pos="4320"/>
          <w:tab w:val="right" w:pos="8640"/>
        </w:tabs>
        <w:spacing w:line="240" w:lineRule="auto"/>
      </w:pPr>
    </w:p>
    <w:p w14:paraId="4652416F" w14:textId="77777777" w:rsidR="00041744" w:rsidRPr="00041744" w:rsidRDefault="00041744" w:rsidP="00041744">
      <w:pPr>
        <w:tabs>
          <w:tab w:val="left" w:pos="4320"/>
          <w:tab w:val="right" w:pos="8640"/>
        </w:tabs>
        <w:spacing w:line="240" w:lineRule="auto"/>
      </w:pPr>
    </w:p>
    <w:p w14:paraId="5CA51929" w14:textId="77777777" w:rsidR="00041744" w:rsidRPr="00041744" w:rsidRDefault="00041744" w:rsidP="00041744">
      <w:pPr>
        <w:tabs>
          <w:tab w:val="left" w:pos="4320"/>
          <w:tab w:val="right" w:pos="8640"/>
        </w:tabs>
        <w:spacing w:line="240" w:lineRule="auto"/>
        <w:rPr>
          <w:i/>
          <w:u w:val="single"/>
        </w:rPr>
      </w:pPr>
      <w:r w:rsidRPr="00041744">
        <w:rPr>
          <w:i/>
        </w:rPr>
        <w:tab/>
      </w:r>
      <w:r w:rsidRPr="00041744">
        <w:rPr>
          <w:i/>
          <w:u w:val="single"/>
        </w:rPr>
        <w:t>/s/ Frank P. Darr</w:t>
      </w:r>
      <w:r w:rsidRPr="00041744">
        <w:rPr>
          <w:i/>
          <w:u w:val="single"/>
        </w:rPr>
        <w:tab/>
      </w:r>
    </w:p>
    <w:p w14:paraId="44C331EE" w14:textId="77777777" w:rsidR="00041744" w:rsidRPr="00041744" w:rsidRDefault="00041744" w:rsidP="00041744">
      <w:pPr>
        <w:widowControl w:val="0"/>
        <w:tabs>
          <w:tab w:val="left" w:pos="4320"/>
        </w:tabs>
        <w:spacing w:line="240" w:lineRule="auto"/>
        <w:ind w:left="4320"/>
        <w:rPr>
          <w:rFonts w:eastAsia="Calibri"/>
        </w:rPr>
      </w:pPr>
      <w:r w:rsidRPr="00041744">
        <w:rPr>
          <w:rFonts w:eastAsia="Calibri"/>
          <w:bCs/>
        </w:rPr>
        <w:t>Frank P. Darr (Reg. No. 0025469)</w:t>
      </w:r>
      <w:r w:rsidRPr="00041744">
        <w:rPr>
          <w:rFonts w:eastAsia="Calibri"/>
        </w:rPr>
        <w:t xml:space="preserve"> </w:t>
      </w:r>
    </w:p>
    <w:p w14:paraId="0F5F50DB" w14:textId="77777777" w:rsidR="00041744" w:rsidRPr="00041744" w:rsidRDefault="00041744" w:rsidP="00041744">
      <w:pPr>
        <w:widowControl w:val="0"/>
        <w:tabs>
          <w:tab w:val="left" w:pos="4320"/>
        </w:tabs>
        <w:spacing w:line="240" w:lineRule="auto"/>
        <w:ind w:left="4320"/>
        <w:rPr>
          <w:rFonts w:eastAsia="Calibri"/>
          <w:bCs/>
        </w:rPr>
      </w:pPr>
      <w:r w:rsidRPr="00041744">
        <w:rPr>
          <w:rFonts w:eastAsia="Calibri"/>
        </w:rPr>
        <w:t>(Counsel of Record)</w:t>
      </w:r>
    </w:p>
    <w:p w14:paraId="56AD896B" w14:textId="77777777" w:rsidR="00041744" w:rsidRPr="00041744" w:rsidRDefault="00041744" w:rsidP="00041744">
      <w:pPr>
        <w:widowControl w:val="0"/>
        <w:tabs>
          <w:tab w:val="left" w:pos="4320"/>
        </w:tabs>
        <w:spacing w:line="240" w:lineRule="auto"/>
        <w:ind w:left="4320"/>
        <w:rPr>
          <w:rFonts w:eastAsia="Calibri"/>
          <w:b/>
          <w:bCs/>
        </w:rPr>
      </w:pPr>
      <w:r w:rsidRPr="00041744">
        <w:rPr>
          <w:rFonts w:eastAsia="Calibri"/>
          <w:bCs/>
        </w:rPr>
        <w:t>Matthew R. Pritchard (Reg. No. 0088070)</w:t>
      </w:r>
    </w:p>
    <w:p w14:paraId="5A7DBFFC" w14:textId="77777777" w:rsidR="00041744" w:rsidRPr="00041744" w:rsidRDefault="00041744" w:rsidP="00041744">
      <w:pPr>
        <w:widowControl w:val="0"/>
        <w:tabs>
          <w:tab w:val="left" w:pos="4320"/>
        </w:tabs>
        <w:spacing w:line="240" w:lineRule="auto"/>
        <w:ind w:left="4320"/>
        <w:rPr>
          <w:rFonts w:eastAsia="Calibri"/>
          <w:b/>
          <w:bCs/>
          <w:smallCaps/>
        </w:rPr>
      </w:pPr>
      <w:r w:rsidRPr="00041744">
        <w:rPr>
          <w:rFonts w:eastAsia="Calibri"/>
          <w:bCs/>
          <w:smallCaps/>
        </w:rPr>
        <w:t>McNees Wallace &amp; Nurick LLC</w:t>
      </w:r>
    </w:p>
    <w:p w14:paraId="253B18E4" w14:textId="77777777" w:rsidR="00041744" w:rsidRPr="00041744" w:rsidRDefault="00041744" w:rsidP="00041744">
      <w:pPr>
        <w:widowControl w:val="0"/>
        <w:tabs>
          <w:tab w:val="left" w:pos="4320"/>
        </w:tabs>
        <w:spacing w:line="240" w:lineRule="auto"/>
        <w:ind w:left="4320"/>
        <w:rPr>
          <w:rFonts w:eastAsia="Calibri"/>
          <w:b/>
          <w:bCs/>
        </w:rPr>
      </w:pPr>
      <w:r w:rsidRPr="00041744">
        <w:rPr>
          <w:rFonts w:eastAsia="Calibri"/>
          <w:bCs/>
        </w:rPr>
        <w:t>21 East State Street, 17</w:t>
      </w:r>
      <w:r w:rsidRPr="00041744">
        <w:rPr>
          <w:rFonts w:eastAsia="Calibri"/>
          <w:bCs/>
          <w:vertAlign w:val="superscript"/>
        </w:rPr>
        <w:t>TH</w:t>
      </w:r>
      <w:r w:rsidRPr="00041744">
        <w:rPr>
          <w:rFonts w:eastAsia="Calibri"/>
          <w:bCs/>
        </w:rPr>
        <w:t xml:space="preserve"> Floor</w:t>
      </w:r>
    </w:p>
    <w:p w14:paraId="67369D58" w14:textId="77777777" w:rsidR="00041744" w:rsidRPr="00041744" w:rsidRDefault="00041744" w:rsidP="00041744">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rPr>
      </w:pPr>
      <w:r w:rsidRPr="00041744">
        <w:rPr>
          <w:rFonts w:eastAsia="Calibri"/>
        </w:rPr>
        <w:t>Columbus, OH  43215</w:t>
      </w:r>
    </w:p>
    <w:p w14:paraId="353F33DA" w14:textId="77777777" w:rsidR="00041744" w:rsidRPr="00041744" w:rsidRDefault="00041744" w:rsidP="00041744">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rPr>
      </w:pPr>
      <w:r w:rsidRPr="00041744">
        <w:rPr>
          <w:rFonts w:eastAsia="Calibri"/>
        </w:rPr>
        <w:t>Telephone:  (614) 469-8000</w:t>
      </w:r>
    </w:p>
    <w:p w14:paraId="54B507D6" w14:textId="77777777" w:rsidR="00041744" w:rsidRPr="00041744" w:rsidRDefault="00041744" w:rsidP="00041744">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rPr>
      </w:pPr>
      <w:r w:rsidRPr="00041744">
        <w:rPr>
          <w:rFonts w:eastAsia="Calibri"/>
        </w:rPr>
        <w:t>Telecopier:  (614) 469-4653</w:t>
      </w:r>
    </w:p>
    <w:p w14:paraId="3FFA8E2F" w14:textId="77777777" w:rsidR="00041744" w:rsidRPr="00041744" w:rsidRDefault="00041744" w:rsidP="00041744">
      <w:pPr>
        <w:tabs>
          <w:tab w:val="left" w:pos="-1440"/>
          <w:tab w:val="left" w:pos="-720"/>
          <w:tab w:val="left" w:pos="5040"/>
          <w:tab w:val="center" w:pos="7200"/>
        </w:tabs>
        <w:overflowPunct w:val="0"/>
        <w:autoSpaceDE w:val="0"/>
        <w:autoSpaceDN w:val="0"/>
        <w:adjustRightInd w:val="0"/>
        <w:spacing w:line="240" w:lineRule="auto"/>
        <w:ind w:left="4320"/>
        <w:rPr>
          <w:rFonts w:eastAsia="Calibri"/>
          <w:color w:val="000000"/>
        </w:rPr>
      </w:pPr>
      <w:r w:rsidRPr="00041744">
        <w:rPr>
          <w:rFonts w:eastAsia="Calibri"/>
        </w:rPr>
        <w:t>fdarr@mwncmh.com</w:t>
      </w:r>
    </w:p>
    <w:p w14:paraId="0A2D7B11" w14:textId="77777777" w:rsidR="00041744" w:rsidRPr="00041744" w:rsidRDefault="00041744" w:rsidP="00041744">
      <w:pPr>
        <w:tabs>
          <w:tab w:val="left" w:pos="-1440"/>
          <w:tab w:val="left" w:pos="-720"/>
          <w:tab w:val="left" w:pos="5040"/>
          <w:tab w:val="center" w:pos="7200"/>
        </w:tabs>
        <w:overflowPunct w:val="0"/>
        <w:autoSpaceDE w:val="0"/>
        <w:autoSpaceDN w:val="0"/>
        <w:adjustRightInd w:val="0"/>
        <w:spacing w:line="240" w:lineRule="auto"/>
        <w:ind w:left="4320"/>
        <w:rPr>
          <w:rFonts w:eastAsia="Calibri"/>
          <w:color w:val="000000"/>
        </w:rPr>
      </w:pPr>
      <w:r w:rsidRPr="00041744">
        <w:rPr>
          <w:rFonts w:eastAsia="Calibri"/>
          <w:color w:val="000000"/>
        </w:rPr>
        <w:t>(willing to accept service by e-mail)</w:t>
      </w:r>
    </w:p>
    <w:p w14:paraId="0DD6F46D" w14:textId="77777777" w:rsidR="00041744" w:rsidRPr="00041744" w:rsidRDefault="00041744" w:rsidP="00041744">
      <w:pPr>
        <w:tabs>
          <w:tab w:val="left" w:pos="-1440"/>
          <w:tab w:val="left" w:pos="-720"/>
          <w:tab w:val="left" w:pos="5040"/>
          <w:tab w:val="center" w:pos="7200"/>
        </w:tabs>
        <w:overflowPunct w:val="0"/>
        <w:autoSpaceDE w:val="0"/>
        <w:autoSpaceDN w:val="0"/>
        <w:adjustRightInd w:val="0"/>
        <w:spacing w:line="240" w:lineRule="auto"/>
        <w:ind w:left="4320"/>
        <w:rPr>
          <w:rFonts w:eastAsia="Calibri"/>
          <w:smallCaps/>
          <w:color w:val="000000"/>
        </w:rPr>
      </w:pPr>
      <w:r w:rsidRPr="00041744">
        <w:rPr>
          <w:rFonts w:eastAsia="Calibri"/>
          <w:color w:val="000000"/>
        </w:rPr>
        <w:t>mpritchard@mwncmh.com</w:t>
      </w:r>
    </w:p>
    <w:p w14:paraId="0A6BA463" w14:textId="77777777" w:rsidR="00041744" w:rsidRPr="00041744" w:rsidRDefault="00041744" w:rsidP="00041744">
      <w:pPr>
        <w:tabs>
          <w:tab w:val="left" w:pos="-1440"/>
          <w:tab w:val="left" w:pos="-720"/>
          <w:tab w:val="left" w:pos="5040"/>
          <w:tab w:val="center" w:pos="7200"/>
        </w:tabs>
        <w:overflowPunct w:val="0"/>
        <w:autoSpaceDE w:val="0"/>
        <w:autoSpaceDN w:val="0"/>
        <w:adjustRightInd w:val="0"/>
        <w:spacing w:line="240" w:lineRule="auto"/>
        <w:ind w:left="4320"/>
        <w:rPr>
          <w:rFonts w:eastAsia="Calibri"/>
          <w:color w:val="000000"/>
        </w:rPr>
      </w:pPr>
      <w:r w:rsidRPr="00041744">
        <w:rPr>
          <w:rFonts w:eastAsia="Calibri"/>
          <w:color w:val="000000"/>
        </w:rPr>
        <w:t>(willing to accept service by e-mail)</w:t>
      </w:r>
    </w:p>
    <w:p w14:paraId="5E8E1293" w14:textId="77777777" w:rsidR="00041744" w:rsidRPr="00041744" w:rsidRDefault="00041744" w:rsidP="00041744">
      <w:pPr>
        <w:tabs>
          <w:tab w:val="left" w:pos="-1440"/>
          <w:tab w:val="left" w:pos="-720"/>
          <w:tab w:val="left" w:pos="5040"/>
          <w:tab w:val="center" w:pos="7200"/>
        </w:tabs>
        <w:overflowPunct w:val="0"/>
        <w:autoSpaceDE w:val="0"/>
        <w:autoSpaceDN w:val="0"/>
        <w:adjustRightInd w:val="0"/>
        <w:spacing w:line="240" w:lineRule="auto"/>
        <w:ind w:left="4320"/>
        <w:rPr>
          <w:rFonts w:eastAsia="Calibri"/>
          <w:b/>
          <w:smallCaps/>
        </w:rPr>
      </w:pPr>
    </w:p>
    <w:p w14:paraId="16A3551E" w14:textId="52547749" w:rsidR="009F60B8" w:rsidRDefault="00041744" w:rsidP="00B0108C">
      <w:pPr>
        <w:spacing w:line="240" w:lineRule="auto"/>
        <w:ind w:left="4320" w:hanging="4320"/>
        <w:sectPr w:rsidR="009F60B8" w:rsidSect="006C27B1">
          <w:pgSz w:w="12240" w:h="15840" w:code="1"/>
          <w:pgMar w:top="1440" w:right="1440" w:bottom="1440" w:left="1440" w:header="720" w:footer="720" w:gutter="0"/>
          <w:pgNumType w:start="1"/>
          <w:cols w:space="720"/>
          <w:titlePg/>
          <w:docGrid w:linePitch="360"/>
        </w:sectPr>
      </w:pPr>
      <w:r w:rsidRPr="00041744">
        <w:rPr>
          <w:rFonts w:eastAsia="Calibri"/>
          <w:b/>
        </w:rPr>
        <w:tab/>
        <w:t>Attorneys for Industrial Energy Users-Ohio</w:t>
      </w:r>
    </w:p>
    <w:p w14:paraId="17ED3449" w14:textId="77777777" w:rsidR="0025790C" w:rsidRPr="0025790C" w:rsidRDefault="0025790C" w:rsidP="00B0108C">
      <w:pPr>
        <w:spacing w:line="240" w:lineRule="auto"/>
        <w:jc w:val="center"/>
        <w:rPr>
          <w:rFonts w:ascii="Arial Bold" w:hAnsi="Arial Bold"/>
          <w:b/>
          <w:smallCaps/>
          <w:sz w:val="28"/>
          <w:szCs w:val="22"/>
          <w:u w:val="single"/>
        </w:rPr>
      </w:pPr>
      <w:r w:rsidRPr="0025790C">
        <w:rPr>
          <w:rFonts w:ascii="Arial Bold" w:hAnsi="Arial Bold"/>
          <w:b/>
          <w:smallCaps/>
          <w:sz w:val="28"/>
          <w:szCs w:val="22"/>
          <w:u w:val="single"/>
        </w:rPr>
        <w:lastRenderedPageBreak/>
        <w:t>Certificate of Service</w:t>
      </w:r>
    </w:p>
    <w:p w14:paraId="01FBA153" w14:textId="77777777" w:rsidR="0025790C" w:rsidRDefault="0025790C" w:rsidP="0025790C">
      <w:pPr>
        <w:spacing w:line="240" w:lineRule="auto"/>
        <w:rPr>
          <w:szCs w:val="22"/>
        </w:rPr>
      </w:pPr>
    </w:p>
    <w:p w14:paraId="0BF0CE99" w14:textId="77777777" w:rsidR="001027F8" w:rsidRPr="0025790C" w:rsidRDefault="001027F8" w:rsidP="0025790C">
      <w:pPr>
        <w:spacing w:line="240" w:lineRule="auto"/>
        <w:rPr>
          <w:szCs w:val="22"/>
        </w:rPr>
      </w:pPr>
    </w:p>
    <w:p w14:paraId="2D68A799" w14:textId="7413BAA8" w:rsidR="0025790C" w:rsidRPr="0025790C" w:rsidRDefault="0025790C" w:rsidP="00635BFC">
      <w:pPr>
        <w:ind w:firstLine="720"/>
        <w:rPr>
          <w:rFonts w:eastAsia="Times New Roman"/>
        </w:rPr>
      </w:pPr>
      <w:r w:rsidRPr="0025790C">
        <w:rPr>
          <w:rFonts w:eastAsia="Times New Roman"/>
        </w:rPr>
        <w:t>In accordance with Rule 4901-1-05, Ohio Administrative Code, the PUCO's e</w:t>
      </w:r>
      <w:r w:rsidRPr="0025790C">
        <w:rPr>
          <w:rFonts w:eastAsia="Times New Roman"/>
        </w:rPr>
        <w:noBreakHyphen/>
        <w:t xml:space="preserve">filing system will electronically serve notice of the filing of this document upon the following parties.  In addition, I hereby certify that a service copy of the foregoing </w:t>
      </w:r>
      <w:r w:rsidR="00FA43AB" w:rsidRPr="00635BFC">
        <w:rPr>
          <w:rFonts w:eastAsia="Times New Roman"/>
          <w:i/>
        </w:rPr>
        <w:t xml:space="preserve">Industrial Energy Users-Ohio’s Memorandum Contra </w:t>
      </w:r>
      <w:r w:rsidR="00464979">
        <w:rPr>
          <w:rFonts w:eastAsia="Times New Roman"/>
          <w:i/>
        </w:rPr>
        <w:t>the</w:t>
      </w:r>
      <w:r w:rsidR="00FA43AB" w:rsidRPr="00635BFC">
        <w:rPr>
          <w:rFonts w:eastAsia="Times New Roman"/>
          <w:i/>
        </w:rPr>
        <w:t xml:space="preserve"> Motion </w:t>
      </w:r>
      <w:r w:rsidR="00635BFC" w:rsidRPr="00635BFC">
        <w:rPr>
          <w:rFonts w:eastAsia="Times New Roman"/>
          <w:i/>
        </w:rPr>
        <w:t>of the Dayton Power and Light Company to Implement the SSR Extension Rider</w:t>
      </w:r>
      <w:r w:rsidR="00FA43AB">
        <w:rPr>
          <w:rFonts w:eastAsia="Times New Roman"/>
          <w:i/>
        </w:rPr>
        <w:t xml:space="preserve"> </w:t>
      </w:r>
      <w:r w:rsidRPr="0025790C">
        <w:rPr>
          <w:rFonts w:eastAsia="Times New Roman"/>
        </w:rPr>
        <w:t xml:space="preserve">was sent by, or on behalf of, the undersigned counsel for IEU-Ohio to the following parties of record </w:t>
      </w:r>
      <w:r w:rsidR="00FA43AB">
        <w:rPr>
          <w:rFonts w:eastAsia="Times New Roman"/>
        </w:rPr>
        <w:t xml:space="preserve">April </w:t>
      </w:r>
      <w:r w:rsidR="003D0785">
        <w:rPr>
          <w:rFonts w:eastAsia="Times New Roman"/>
        </w:rPr>
        <w:t>29</w:t>
      </w:r>
      <w:r w:rsidR="00FA43AB">
        <w:rPr>
          <w:rFonts w:eastAsia="Times New Roman"/>
        </w:rPr>
        <w:t xml:space="preserve">, </w:t>
      </w:r>
      <w:r w:rsidRPr="0025790C">
        <w:rPr>
          <w:rFonts w:eastAsia="Times New Roman"/>
        </w:rPr>
        <w:t xml:space="preserve">2016, </w:t>
      </w:r>
      <w:r w:rsidRPr="0025790C">
        <w:rPr>
          <w:rFonts w:eastAsia="Times New Roman"/>
          <w:i/>
        </w:rPr>
        <w:t>via</w:t>
      </w:r>
      <w:r w:rsidRPr="0025790C">
        <w:rPr>
          <w:rFonts w:eastAsia="Times New Roman"/>
        </w:rPr>
        <w:t xml:space="preserve"> electronic transmission. </w:t>
      </w:r>
    </w:p>
    <w:p w14:paraId="22F26623" w14:textId="77777777" w:rsidR="0025790C" w:rsidRPr="0025790C" w:rsidRDefault="0025790C" w:rsidP="0025790C">
      <w:pPr>
        <w:tabs>
          <w:tab w:val="center" w:pos="7200"/>
          <w:tab w:val="right" w:pos="9360"/>
        </w:tabs>
        <w:spacing w:line="240" w:lineRule="auto"/>
        <w:ind w:left="5040"/>
        <w:rPr>
          <w:i/>
          <w:szCs w:val="22"/>
          <w:u w:val="single"/>
        </w:rPr>
      </w:pPr>
      <w:r w:rsidRPr="0025790C">
        <w:rPr>
          <w:i/>
          <w:szCs w:val="22"/>
          <w:u w:val="single"/>
        </w:rPr>
        <w:t>/s/ Frank P. Darr</w:t>
      </w:r>
      <w:r w:rsidRPr="0025790C">
        <w:rPr>
          <w:i/>
          <w:szCs w:val="22"/>
          <w:u w:val="single"/>
        </w:rPr>
        <w:tab/>
      </w:r>
      <w:r w:rsidRPr="0025790C">
        <w:rPr>
          <w:i/>
          <w:szCs w:val="22"/>
          <w:u w:val="single"/>
        </w:rPr>
        <w:tab/>
      </w:r>
    </w:p>
    <w:p w14:paraId="225F7A2B" w14:textId="77777777" w:rsidR="000B67FD" w:rsidRDefault="0025790C" w:rsidP="0025790C">
      <w:pPr>
        <w:tabs>
          <w:tab w:val="center" w:pos="7200"/>
          <w:tab w:val="right" w:pos="9360"/>
        </w:tabs>
        <w:spacing w:line="240" w:lineRule="auto"/>
        <w:ind w:left="5760"/>
        <w:rPr>
          <w:szCs w:val="22"/>
        </w:rPr>
      </w:pPr>
      <w:r w:rsidRPr="0025790C">
        <w:rPr>
          <w:szCs w:val="22"/>
        </w:rPr>
        <w:t>Frank P. Dar</w:t>
      </w:r>
      <w:r w:rsidR="00D40944">
        <w:rPr>
          <w:szCs w:val="22"/>
        </w:rPr>
        <w:t>r</w:t>
      </w:r>
    </w:p>
    <w:p w14:paraId="4845171E" w14:textId="4645F0CE" w:rsidR="0025790C" w:rsidRPr="0025790C" w:rsidRDefault="0025790C" w:rsidP="0025790C">
      <w:pPr>
        <w:tabs>
          <w:tab w:val="center" w:pos="7200"/>
          <w:tab w:val="right" w:pos="9360"/>
        </w:tabs>
        <w:spacing w:line="240" w:lineRule="auto"/>
        <w:ind w:left="5760"/>
        <w:rPr>
          <w:szCs w:val="22"/>
        </w:rPr>
      </w:pPr>
    </w:p>
    <w:p w14:paraId="75B38E2F" w14:textId="77777777" w:rsidR="000B67FD" w:rsidRDefault="000B67FD" w:rsidP="0025790C">
      <w:pPr>
        <w:spacing w:line="240" w:lineRule="auto"/>
        <w:rPr>
          <w:szCs w:val="22"/>
        </w:rPr>
        <w:sectPr w:rsidR="000B67FD" w:rsidSect="005472AB">
          <w:pgSz w:w="12240" w:h="15840" w:code="1"/>
          <w:pgMar w:top="1440" w:right="1440" w:bottom="1440" w:left="1440" w:header="720" w:footer="720" w:gutter="0"/>
          <w:pgNumType w:start="1"/>
          <w:cols w:space="720"/>
          <w:titlePg/>
          <w:docGrid w:linePitch="360"/>
        </w:sectPr>
      </w:pPr>
    </w:p>
    <w:p w14:paraId="13FD39C0" w14:textId="77777777" w:rsidR="006754A5" w:rsidRDefault="006754A5" w:rsidP="00A67C11">
      <w:pPr>
        <w:spacing w:line="240" w:lineRule="auto"/>
        <w:jc w:val="left"/>
        <w:rPr>
          <w:color w:val="000000" w:themeColor="text1"/>
        </w:rPr>
      </w:pPr>
    </w:p>
    <w:p w14:paraId="7451F383" w14:textId="77777777" w:rsidR="00A67C11" w:rsidRPr="00A67C11" w:rsidRDefault="00A67C11" w:rsidP="00A67C11">
      <w:pPr>
        <w:spacing w:line="240" w:lineRule="auto"/>
        <w:jc w:val="left"/>
        <w:rPr>
          <w:color w:val="000000" w:themeColor="text1"/>
        </w:rPr>
      </w:pPr>
      <w:r w:rsidRPr="00A67C11">
        <w:rPr>
          <w:color w:val="000000" w:themeColor="text1"/>
        </w:rPr>
        <w:t>Charles J. Faruki (Reg. No. 0010417)</w:t>
      </w:r>
    </w:p>
    <w:p w14:paraId="06F7ECB1" w14:textId="77777777" w:rsidR="00A67C11" w:rsidRPr="00A67C11" w:rsidRDefault="00A67C11" w:rsidP="00A67C11">
      <w:pPr>
        <w:spacing w:line="240" w:lineRule="auto"/>
        <w:jc w:val="left"/>
        <w:rPr>
          <w:color w:val="000000" w:themeColor="text1"/>
        </w:rPr>
      </w:pPr>
      <w:r w:rsidRPr="00A67C11">
        <w:rPr>
          <w:color w:val="000000" w:themeColor="text1"/>
        </w:rPr>
        <w:t>(Counsel of Record)</w:t>
      </w:r>
    </w:p>
    <w:p w14:paraId="703FFEC4" w14:textId="77777777" w:rsidR="00A67C11" w:rsidRPr="00A67C11" w:rsidRDefault="00A67C11" w:rsidP="00A67C11">
      <w:pPr>
        <w:spacing w:line="240" w:lineRule="auto"/>
        <w:jc w:val="left"/>
        <w:rPr>
          <w:color w:val="000000" w:themeColor="text1"/>
        </w:rPr>
      </w:pPr>
      <w:r w:rsidRPr="00A67C11">
        <w:rPr>
          <w:color w:val="000000" w:themeColor="text1"/>
        </w:rPr>
        <w:t>D. Jeffrey Ireland (Reg. No. 0010443)</w:t>
      </w:r>
    </w:p>
    <w:p w14:paraId="621D9572" w14:textId="77777777" w:rsidR="00A67C11" w:rsidRPr="00A67C11" w:rsidRDefault="00A67C11" w:rsidP="00A67C11">
      <w:pPr>
        <w:spacing w:line="240" w:lineRule="auto"/>
        <w:jc w:val="left"/>
        <w:rPr>
          <w:color w:val="000000" w:themeColor="text1"/>
        </w:rPr>
      </w:pPr>
      <w:r w:rsidRPr="00A67C11">
        <w:rPr>
          <w:color w:val="000000" w:themeColor="text1"/>
        </w:rPr>
        <w:t>Jeffrey S. Sharkey (Reg. No. 0067892)</w:t>
      </w:r>
    </w:p>
    <w:p w14:paraId="23FB1427" w14:textId="77777777" w:rsidR="00A67C11" w:rsidRPr="00A67C11" w:rsidRDefault="00A67C11" w:rsidP="00A67C11">
      <w:pPr>
        <w:spacing w:line="240" w:lineRule="auto"/>
        <w:jc w:val="left"/>
        <w:rPr>
          <w:color w:val="000000" w:themeColor="text1"/>
        </w:rPr>
      </w:pPr>
      <w:r w:rsidRPr="00A67C11">
        <w:rPr>
          <w:color w:val="000000" w:themeColor="text1"/>
        </w:rPr>
        <w:t>FARUKI IRELAND &amp; COX P.L.L.</w:t>
      </w:r>
    </w:p>
    <w:p w14:paraId="7240D88F" w14:textId="77777777" w:rsidR="00A67C11" w:rsidRPr="00A67C11" w:rsidRDefault="00A67C11" w:rsidP="00A67C11">
      <w:pPr>
        <w:spacing w:line="240" w:lineRule="auto"/>
        <w:jc w:val="left"/>
        <w:rPr>
          <w:color w:val="000000" w:themeColor="text1"/>
        </w:rPr>
      </w:pPr>
      <w:r w:rsidRPr="00A67C11">
        <w:rPr>
          <w:color w:val="000000" w:themeColor="text1"/>
        </w:rPr>
        <w:t>110 North Main Street, Suite 1600</w:t>
      </w:r>
    </w:p>
    <w:p w14:paraId="3CC0CF39" w14:textId="77777777" w:rsidR="00A67C11" w:rsidRPr="00A67C11" w:rsidRDefault="00A67C11" w:rsidP="00A67C11">
      <w:pPr>
        <w:spacing w:line="240" w:lineRule="auto"/>
        <w:jc w:val="left"/>
        <w:rPr>
          <w:color w:val="000000" w:themeColor="text1"/>
        </w:rPr>
      </w:pPr>
      <w:r w:rsidRPr="00A67C11">
        <w:rPr>
          <w:color w:val="000000" w:themeColor="text1"/>
        </w:rPr>
        <w:t>Dayton, OH 45402</w:t>
      </w:r>
    </w:p>
    <w:p w14:paraId="4BDA9F7D" w14:textId="77777777" w:rsidR="00A67C11" w:rsidRPr="00A67C11" w:rsidRDefault="00A67C11" w:rsidP="00A67C11">
      <w:pPr>
        <w:spacing w:line="240" w:lineRule="auto"/>
        <w:jc w:val="left"/>
        <w:rPr>
          <w:color w:val="000000" w:themeColor="text1"/>
        </w:rPr>
      </w:pPr>
      <w:r w:rsidRPr="00A67C11">
        <w:rPr>
          <w:color w:val="000000" w:themeColor="text1"/>
        </w:rPr>
        <w:t>cfaruki@ficlaw.com</w:t>
      </w:r>
    </w:p>
    <w:p w14:paraId="1D2559D3" w14:textId="77777777" w:rsidR="00A67C11" w:rsidRPr="00A67C11" w:rsidRDefault="00A67C11" w:rsidP="00A67C11">
      <w:pPr>
        <w:spacing w:line="240" w:lineRule="auto"/>
        <w:jc w:val="left"/>
        <w:rPr>
          <w:color w:val="000000" w:themeColor="text1"/>
        </w:rPr>
      </w:pPr>
      <w:r w:rsidRPr="00A67C11">
        <w:rPr>
          <w:color w:val="000000" w:themeColor="text1"/>
        </w:rPr>
        <w:t>djireland@ficlaw.com</w:t>
      </w:r>
    </w:p>
    <w:p w14:paraId="3CF3BE35" w14:textId="77777777" w:rsidR="00A67C11" w:rsidRPr="00A67C11" w:rsidRDefault="00A67C11" w:rsidP="00A67C11">
      <w:pPr>
        <w:spacing w:line="240" w:lineRule="auto"/>
        <w:jc w:val="left"/>
        <w:rPr>
          <w:color w:val="000000" w:themeColor="text1"/>
        </w:rPr>
      </w:pPr>
      <w:r w:rsidRPr="00A67C11">
        <w:rPr>
          <w:color w:val="000000" w:themeColor="text1"/>
        </w:rPr>
        <w:t>jsharkey@ficlaw.com</w:t>
      </w:r>
    </w:p>
    <w:p w14:paraId="6DD4C6D3" w14:textId="77777777" w:rsidR="00A67C11" w:rsidRPr="00A67C11" w:rsidRDefault="00A67C11" w:rsidP="00A67C11">
      <w:pPr>
        <w:spacing w:line="240" w:lineRule="auto"/>
        <w:jc w:val="left"/>
        <w:rPr>
          <w:color w:val="000000" w:themeColor="text1"/>
        </w:rPr>
      </w:pPr>
    </w:p>
    <w:p w14:paraId="16DC891C" w14:textId="77777777" w:rsidR="00A67C11" w:rsidRPr="00A67C11" w:rsidRDefault="00A67C11" w:rsidP="00A67C11">
      <w:pPr>
        <w:spacing w:line="240" w:lineRule="auto"/>
        <w:jc w:val="left"/>
        <w:rPr>
          <w:b/>
          <w:color w:val="000000" w:themeColor="text1"/>
        </w:rPr>
      </w:pPr>
      <w:r w:rsidRPr="00A67C11">
        <w:rPr>
          <w:b/>
          <w:color w:val="000000" w:themeColor="text1"/>
        </w:rPr>
        <w:t>Counsel for The Dayton Power and</w:t>
      </w:r>
    </w:p>
    <w:p w14:paraId="2584C5C6" w14:textId="77777777" w:rsidR="00A67C11" w:rsidRPr="00A67C11" w:rsidRDefault="00A67C11" w:rsidP="00A67C11">
      <w:pPr>
        <w:spacing w:line="240" w:lineRule="auto"/>
        <w:jc w:val="left"/>
        <w:rPr>
          <w:b/>
          <w:color w:val="000000" w:themeColor="text1"/>
        </w:rPr>
      </w:pPr>
      <w:r w:rsidRPr="00A67C11">
        <w:rPr>
          <w:b/>
          <w:color w:val="000000" w:themeColor="text1"/>
        </w:rPr>
        <w:t>Light Company</w:t>
      </w:r>
    </w:p>
    <w:p w14:paraId="71A40528" w14:textId="77777777" w:rsidR="00A67C11" w:rsidRPr="00A67C11" w:rsidRDefault="00A67C11" w:rsidP="00A67C11">
      <w:pPr>
        <w:spacing w:line="240" w:lineRule="auto"/>
        <w:jc w:val="left"/>
        <w:rPr>
          <w:color w:val="000000" w:themeColor="text1"/>
        </w:rPr>
      </w:pPr>
    </w:p>
    <w:p w14:paraId="3C66D3A1" w14:textId="77777777" w:rsidR="00A67C11" w:rsidRPr="00A67C11" w:rsidRDefault="00A67C11" w:rsidP="00A67C11">
      <w:pPr>
        <w:spacing w:line="240" w:lineRule="auto"/>
        <w:jc w:val="left"/>
        <w:rPr>
          <w:color w:val="000000" w:themeColor="text1"/>
        </w:rPr>
      </w:pPr>
      <w:r w:rsidRPr="00A67C11">
        <w:rPr>
          <w:color w:val="000000" w:themeColor="text1"/>
        </w:rPr>
        <w:t>Madeline Fleisher</w:t>
      </w:r>
    </w:p>
    <w:p w14:paraId="4FD1AA51" w14:textId="77777777" w:rsidR="00A67C11" w:rsidRPr="00A67C11" w:rsidRDefault="00A67C11" w:rsidP="00A67C11">
      <w:pPr>
        <w:spacing w:line="240" w:lineRule="auto"/>
        <w:jc w:val="left"/>
        <w:rPr>
          <w:color w:val="000000" w:themeColor="text1"/>
        </w:rPr>
      </w:pPr>
      <w:r w:rsidRPr="00A67C11">
        <w:rPr>
          <w:color w:val="000000" w:themeColor="text1"/>
        </w:rPr>
        <w:t>Environmental Law &amp; Policy Center</w:t>
      </w:r>
    </w:p>
    <w:p w14:paraId="397FD5AB" w14:textId="77777777" w:rsidR="00A67C11" w:rsidRPr="00A67C11" w:rsidRDefault="00A67C11" w:rsidP="00A67C11">
      <w:pPr>
        <w:spacing w:line="240" w:lineRule="auto"/>
        <w:jc w:val="left"/>
        <w:rPr>
          <w:color w:val="000000" w:themeColor="text1"/>
        </w:rPr>
      </w:pPr>
      <w:r w:rsidRPr="00A67C11">
        <w:rPr>
          <w:color w:val="000000" w:themeColor="text1"/>
        </w:rPr>
        <w:t>21 West Broad St., Suite 500</w:t>
      </w:r>
    </w:p>
    <w:p w14:paraId="7834DEB4" w14:textId="77777777" w:rsidR="00A67C11" w:rsidRPr="00A67C11" w:rsidRDefault="00A67C11" w:rsidP="00A67C11">
      <w:pPr>
        <w:spacing w:line="240" w:lineRule="auto"/>
        <w:jc w:val="left"/>
        <w:rPr>
          <w:color w:val="000000" w:themeColor="text1"/>
        </w:rPr>
      </w:pPr>
      <w:r w:rsidRPr="00A67C11">
        <w:rPr>
          <w:color w:val="000000" w:themeColor="text1"/>
        </w:rPr>
        <w:t>Columbus, OH 43215</w:t>
      </w:r>
    </w:p>
    <w:p w14:paraId="1F509A93" w14:textId="77777777" w:rsidR="00A67C11" w:rsidRPr="00A67C11" w:rsidRDefault="00A67C11" w:rsidP="00A67C11">
      <w:pPr>
        <w:spacing w:line="240" w:lineRule="auto"/>
        <w:jc w:val="left"/>
        <w:rPr>
          <w:color w:val="000000" w:themeColor="text1"/>
        </w:rPr>
      </w:pPr>
      <w:r w:rsidRPr="00A67C11">
        <w:rPr>
          <w:color w:val="000000" w:themeColor="text1"/>
        </w:rPr>
        <w:t>mfleisher@elpc.org</w:t>
      </w:r>
    </w:p>
    <w:p w14:paraId="7246C48D" w14:textId="77777777" w:rsidR="00A67C11" w:rsidRPr="00A67C11" w:rsidRDefault="00A67C11" w:rsidP="00A67C11">
      <w:pPr>
        <w:spacing w:line="240" w:lineRule="auto"/>
        <w:jc w:val="left"/>
        <w:rPr>
          <w:iCs/>
          <w:color w:val="000000" w:themeColor="text1"/>
        </w:rPr>
      </w:pPr>
    </w:p>
    <w:p w14:paraId="1FEF5C8C" w14:textId="77777777" w:rsidR="00A67C11" w:rsidRPr="00A67C11" w:rsidRDefault="00A67C11" w:rsidP="00A67C11">
      <w:pPr>
        <w:spacing w:line="240" w:lineRule="auto"/>
        <w:jc w:val="left"/>
        <w:rPr>
          <w:b/>
          <w:iCs/>
          <w:color w:val="000000" w:themeColor="text1"/>
        </w:rPr>
      </w:pPr>
      <w:r w:rsidRPr="00A67C11">
        <w:rPr>
          <w:b/>
          <w:iCs/>
          <w:color w:val="000000" w:themeColor="text1"/>
        </w:rPr>
        <w:t>Counsel for the Environmental Law &amp;</w:t>
      </w:r>
    </w:p>
    <w:p w14:paraId="3CBE1C22" w14:textId="77777777" w:rsidR="00A67C11" w:rsidRPr="00A67C11" w:rsidRDefault="00A67C11" w:rsidP="00A67C11">
      <w:pPr>
        <w:spacing w:line="240" w:lineRule="auto"/>
        <w:jc w:val="left"/>
        <w:rPr>
          <w:b/>
          <w:iCs/>
          <w:color w:val="000000" w:themeColor="text1"/>
        </w:rPr>
      </w:pPr>
      <w:r w:rsidRPr="00A67C11">
        <w:rPr>
          <w:b/>
          <w:iCs/>
          <w:color w:val="000000" w:themeColor="text1"/>
        </w:rPr>
        <w:t>Policy Center</w:t>
      </w:r>
    </w:p>
    <w:p w14:paraId="644A23CF" w14:textId="77777777" w:rsidR="00A67C11" w:rsidRPr="00A67C11" w:rsidRDefault="00A67C11" w:rsidP="00A67C11">
      <w:pPr>
        <w:spacing w:line="240" w:lineRule="auto"/>
        <w:jc w:val="left"/>
        <w:rPr>
          <w:color w:val="000000" w:themeColor="text1"/>
        </w:rPr>
      </w:pPr>
    </w:p>
    <w:p w14:paraId="749D242F" w14:textId="77777777" w:rsidR="006754A5" w:rsidRDefault="00891BBF" w:rsidP="00A67C11">
      <w:pPr>
        <w:spacing w:line="240" w:lineRule="auto"/>
        <w:jc w:val="left"/>
        <w:rPr>
          <w:color w:val="000000" w:themeColor="text1"/>
        </w:rPr>
      </w:pPr>
      <w:r>
        <w:rPr>
          <w:color w:val="000000" w:themeColor="text1"/>
        </w:rPr>
        <w:br w:type="column"/>
      </w:r>
    </w:p>
    <w:p w14:paraId="0B4CA5C7" w14:textId="4B820A12" w:rsidR="00A67C11" w:rsidRPr="00A67C11" w:rsidRDefault="00A67C11" w:rsidP="00A67C11">
      <w:pPr>
        <w:spacing w:line="240" w:lineRule="auto"/>
        <w:jc w:val="left"/>
        <w:rPr>
          <w:color w:val="000000" w:themeColor="text1"/>
        </w:rPr>
      </w:pPr>
      <w:r w:rsidRPr="00A67C11">
        <w:rPr>
          <w:color w:val="000000" w:themeColor="text1"/>
        </w:rPr>
        <w:t>Jeffrey W. Mayes</w:t>
      </w:r>
    </w:p>
    <w:p w14:paraId="16807426" w14:textId="77777777" w:rsidR="00A67C11" w:rsidRPr="00A67C11" w:rsidRDefault="00A67C11" w:rsidP="00A67C11">
      <w:pPr>
        <w:spacing w:line="240" w:lineRule="auto"/>
        <w:jc w:val="left"/>
        <w:rPr>
          <w:color w:val="000000" w:themeColor="text1"/>
        </w:rPr>
      </w:pPr>
      <w:r w:rsidRPr="00A67C11">
        <w:rPr>
          <w:color w:val="000000" w:themeColor="text1"/>
        </w:rPr>
        <w:t>General Counsel</w:t>
      </w:r>
    </w:p>
    <w:p w14:paraId="58F499C3" w14:textId="77777777" w:rsidR="00A67C11" w:rsidRPr="00A67C11" w:rsidRDefault="00A67C11" w:rsidP="00A67C11">
      <w:pPr>
        <w:spacing w:line="240" w:lineRule="auto"/>
        <w:jc w:val="left"/>
        <w:rPr>
          <w:color w:val="000000" w:themeColor="text1"/>
        </w:rPr>
      </w:pPr>
      <w:r w:rsidRPr="00A67C11">
        <w:rPr>
          <w:color w:val="000000" w:themeColor="text1"/>
        </w:rPr>
        <w:t>Monitoring Analytics, LLC</w:t>
      </w:r>
    </w:p>
    <w:p w14:paraId="3ABBC461" w14:textId="77777777" w:rsidR="00A67C11" w:rsidRPr="00A67C11" w:rsidRDefault="00A67C11" w:rsidP="00A67C11">
      <w:pPr>
        <w:spacing w:line="240" w:lineRule="auto"/>
        <w:jc w:val="left"/>
        <w:rPr>
          <w:color w:val="000000" w:themeColor="text1"/>
        </w:rPr>
      </w:pPr>
      <w:r w:rsidRPr="00A67C11">
        <w:rPr>
          <w:color w:val="000000" w:themeColor="text1"/>
        </w:rPr>
        <w:t>2621 Van Buren Avenue, Suite 160</w:t>
      </w:r>
    </w:p>
    <w:p w14:paraId="50697E5A" w14:textId="77777777" w:rsidR="00A67C11" w:rsidRPr="00A67C11" w:rsidRDefault="00A67C11" w:rsidP="00A67C11">
      <w:pPr>
        <w:spacing w:line="240" w:lineRule="auto"/>
        <w:jc w:val="left"/>
        <w:rPr>
          <w:color w:val="000000" w:themeColor="text1"/>
        </w:rPr>
      </w:pPr>
      <w:r w:rsidRPr="00A67C11">
        <w:rPr>
          <w:color w:val="000000" w:themeColor="text1"/>
        </w:rPr>
        <w:t>Valley Forge Corporate Center</w:t>
      </w:r>
    </w:p>
    <w:p w14:paraId="7A21169D" w14:textId="77777777" w:rsidR="00A67C11" w:rsidRPr="00A67C11" w:rsidRDefault="00A67C11" w:rsidP="00A67C11">
      <w:pPr>
        <w:spacing w:line="240" w:lineRule="auto"/>
        <w:jc w:val="left"/>
        <w:rPr>
          <w:color w:val="000000" w:themeColor="text1"/>
        </w:rPr>
      </w:pPr>
      <w:r w:rsidRPr="00A67C11">
        <w:rPr>
          <w:color w:val="000000" w:themeColor="text1"/>
        </w:rPr>
        <w:t>Eagleville, PA  19403</w:t>
      </w:r>
    </w:p>
    <w:p w14:paraId="626D6FA8" w14:textId="1B17718F" w:rsidR="00A67C11" w:rsidRPr="00A67C11" w:rsidRDefault="00A67C11" w:rsidP="00A67C11">
      <w:pPr>
        <w:spacing w:line="240" w:lineRule="auto"/>
        <w:jc w:val="left"/>
        <w:rPr>
          <w:iCs/>
          <w:color w:val="000000" w:themeColor="text1"/>
        </w:rPr>
      </w:pPr>
      <w:r w:rsidRPr="00E2727D">
        <w:rPr>
          <w:iCs/>
        </w:rPr>
        <w:t>jeffrey.mayes@monitoringanalytics.com</w:t>
      </w:r>
    </w:p>
    <w:p w14:paraId="1B616C28" w14:textId="77777777" w:rsidR="00A67C11" w:rsidRPr="00A67C11" w:rsidRDefault="00A67C11" w:rsidP="00A67C11">
      <w:pPr>
        <w:spacing w:line="240" w:lineRule="auto"/>
        <w:jc w:val="left"/>
        <w:rPr>
          <w:iCs/>
          <w:color w:val="000000" w:themeColor="text1"/>
        </w:rPr>
      </w:pPr>
    </w:p>
    <w:p w14:paraId="037EF222" w14:textId="77777777" w:rsidR="00A67C11" w:rsidRPr="00A67C11" w:rsidRDefault="00A67C11" w:rsidP="00A67C11">
      <w:pPr>
        <w:spacing w:line="240" w:lineRule="auto"/>
        <w:jc w:val="left"/>
        <w:rPr>
          <w:color w:val="000000" w:themeColor="text1"/>
        </w:rPr>
      </w:pPr>
      <w:r w:rsidRPr="00A67C11">
        <w:rPr>
          <w:color w:val="000000" w:themeColor="text1"/>
        </w:rPr>
        <w:t>Evelyn R. Robinson (#0022836)</w:t>
      </w:r>
    </w:p>
    <w:p w14:paraId="381BAD49" w14:textId="77777777" w:rsidR="00A67C11" w:rsidRPr="00A67C11" w:rsidRDefault="00A67C11" w:rsidP="00A67C11">
      <w:pPr>
        <w:spacing w:line="240" w:lineRule="auto"/>
        <w:jc w:val="left"/>
        <w:rPr>
          <w:color w:val="000000" w:themeColor="text1"/>
        </w:rPr>
      </w:pPr>
      <w:r w:rsidRPr="00A67C11">
        <w:rPr>
          <w:color w:val="000000" w:themeColor="text1"/>
        </w:rPr>
        <w:t>PJM Interconnection, L.L.C.</w:t>
      </w:r>
    </w:p>
    <w:p w14:paraId="18D3A66F" w14:textId="77777777" w:rsidR="00A67C11" w:rsidRPr="00A67C11" w:rsidRDefault="00A67C11" w:rsidP="00A67C11">
      <w:pPr>
        <w:spacing w:line="240" w:lineRule="auto"/>
        <w:jc w:val="left"/>
        <w:rPr>
          <w:color w:val="000000" w:themeColor="text1"/>
        </w:rPr>
      </w:pPr>
      <w:r w:rsidRPr="00A67C11">
        <w:rPr>
          <w:color w:val="000000" w:themeColor="text1"/>
        </w:rPr>
        <w:t>2750 Monroe Boulevard</w:t>
      </w:r>
    </w:p>
    <w:p w14:paraId="0AA4ACCC" w14:textId="77777777" w:rsidR="00A67C11" w:rsidRPr="00A67C11" w:rsidRDefault="00A67C11" w:rsidP="00A67C11">
      <w:pPr>
        <w:spacing w:line="240" w:lineRule="auto"/>
        <w:jc w:val="left"/>
        <w:rPr>
          <w:color w:val="000000" w:themeColor="text1"/>
        </w:rPr>
      </w:pPr>
      <w:r w:rsidRPr="00A67C11">
        <w:rPr>
          <w:color w:val="000000" w:themeColor="text1"/>
        </w:rPr>
        <w:t>Audubon, PA 19403</w:t>
      </w:r>
    </w:p>
    <w:p w14:paraId="6A85B1A0" w14:textId="69D941CB" w:rsidR="00A67C11" w:rsidRPr="00A67C11" w:rsidRDefault="00A67C11" w:rsidP="00A67C11">
      <w:pPr>
        <w:spacing w:line="240" w:lineRule="auto"/>
        <w:jc w:val="left"/>
        <w:rPr>
          <w:iCs/>
          <w:color w:val="000000" w:themeColor="text1"/>
        </w:rPr>
      </w:pPr>
      <w:r w:rsidRPr="00E2727D">
        <w:rPr>
          <w:iCs/>
        </w:rPr>
        <w:t>evelyn.robinson@pjm.com</w:t>
      </w:r>
    </w:p>
    <w:p w14:paraId="25FC24B6" w14:textId="77777777" w:rsidR="00A67C11" w:rsidRPr="00A67C11" w:rsidRDefault="00A67C11" w:rsidP="00A67C11">
      <w:pPr>
        <w:spacing w:line="240" w:lineRule="auto"/>
        <w:jc w:val="left"/>
        <w:rPr>
          <w:iCs/>
          <w:color w:val="000000" w:themeColor="text1"/>
        </w:rPr>
      </w:pPr>
    </w:p>
    <w:p w14:paraId="55192EEF" w14:textId="77777777" w:rsidR="00A67C11" w:rsidRPr="00A67C11" w:rsidRDefault="00A67C11" w:rsidP="00A67C11">
      <w:pPr>
        <w:spacing w:line="240" w:lineRule="auto"/>
        <w:jc w:val="left"/>
        <w:rPr>
          <w:b/>
          <w:iCs/>
          <w:color w:val="000000" w:themeColor="text1"/>
        </w:rPr>
      </w:pPr>
      <w:r w:rsidRPr="00A67C11">
        <w:rPr>
          <w:b/>
          <w:iCs/>
          <w:color w:val="000000" w:themeColor="text1"/>
        </w:rPr>
        <w:t>Counsel for Monitoring Analytics, LLC</w:t>
      </w:r>
    </w:p>
    <w:p w14:paraId="422A7857" w14:textId="77777777" w:rsidR="00A67C11" w:rsidRPr="00A67C11" w:rsidRDefault="00A67C11" w:rsidP="00A67C11">
      <w:pPr>
        <w:spacing w:line="240" w:lineRule="auto"/>
        <w:jc w:val="left"/>
        <w:rPr>
          <w:iCs/>
          <w:color w:val="000000" w:themeColor="text1"/>
        </w:rPr>
      </w:pPr>
    </w:p>
    <w:p w14:paraId="1CC4FA87" w14:textId="77777777" w:rsidR="00104615" w:rsidRDefault="00104615" w:rsidP="00A67C11">
      <w:pPr>
        <w:spacing w:line="240" w:lineRule="auto"/>
        <w:jc w:val="left"/>
        <w:rPr>
          <w:color w:val="000000" w:themeColor="text1"/>
        </w:rPr>
        <w:sectPr w:rsidR="00104615" w:rsidSect="00B353AA">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1440" w:bottom="1440" w:left="1440" w:header="720" w:footer="720" w:gutter="0"/>
          <w:pgNumType w:start="1"/>
          <w:cols w:num="2" w:space="720"/>
          <w:titlePg/>
          <w:docGrid w:linePitch="360"/>
        </w:sectPr>
      </w:pPr>
    </w:p>
    <w:p w14:paraId="7257828F" w14:textId="00822B55" w:rsidR="00A67C11" w:rsidRPr="00A67C11" w:rsidRDefault="00A67C11" w:rsidP="00A67C11">
      <w:pPr>
        <w:spacing w:line="240" w:lineRule="auto"/>
        <w:jc w:val="left"/>
        <w:rPr>
          <w:color w:val="000000" w:themeColor="text1"/>
        </w:rPr>
      </w:pPr>
      <w:r w:rsidRPr="00A67C11">
        <w:rPr>
          <w:color w:val="000000" w:themeColor="text1"/>
        </w:rPr>
        <w:lastRenderedPageBreak/>
        <w:t>David F. Boehm, Esq.</w:t>
      </w:r>
    </w:p>
    <w:p w14:paraId="2238A9CD" w14:textId="77777777" w:rsidR="00A67C11" w:rsidRPr="00A67C11" w:rsidRDefault="00A67C11" w:rsidP="00A67C11">
      <w:pPr>
        <w:spacing w:line="240" w:lineRule="auto"/>
        <w:jc w:val="left"/>
        <w:rPr>
          <w:color w:val="000000" w:themeColor="text1"/>
        </w:rPr>
      </w:pPr>
      <w:r w:rsidRPr="00A67C11">
        <w:rPr>
          <w:color w:val="000000" w:themeColor="text1"/>
        </w:rPr>
        <w:t>Michael L. Kurtz, Esq.</w:t>
      </w:r>
    </w:p>
    <w:p w14:paraId="72D6EF11" w14:textId="77777777" w:rsidR="00A67C11" w:rsidRPr="00A67C11" w:rsidRDefault="00A67C11" w:rsidP="00A67C11">
      <w:pPr>
        <w:spacing w:line="240" w:lineRule="auto"/>
        <w:jc w:val="left"/>
        <w:rPr>
          <w:color w:val="000000" w:themeColor="text1"/>
        </w:rPr>
      </w:pPr>
      <w:r w:rsidRPr="00A67C11">
        <w:rPr>
          <w:color w:val="000000" w:themeColor="text1"/>
        </w:rPr>
        <w:t>Kurt J. Boehm, Esq.</w:t>
      </w:r>
    </w:p>
    <w:p w14:paraId="3A9E57F6" w14:textId="77777777" w:rsidR="00A67C11" w:rsidRPr="00A67C11" w:rsidRDefault="00A67C11" w:rsidP="00A67C11">
      <w:pPr>
        <w:spacing w:line="240" w:lineRule="auto"/>
        <w:jc w:val="left"/>
        <w:rPr>
          <w:color w:val="000000" w:themeColor="text1"/>
        </w:rPr>
      </w:pPr>
      <w:r w:rsidRPr="00A67C11">
        <w:rPr>
          <w:color w:val="000000" w:themeColor="text1"/>
        </w:rPr>
        <w:t>Jody Kyler Cohn, Esq.</w:t>
      </w:r>
    </w:p>
    <w:p w14:paraId="67A14AB6" w14:textId="77777777" w:rsidR="00A67C11" w:rsidRPr="00A67C11" w:rsidRDefault="00A67C11" w:rsidP="00A67C11">
      <w:pPr>
        <w:spacing w:line="240" w:lineRule="auto"/>
        <w:jc w:val="left"/>
        <w:rPr>
          <w:color w:val="000000" w:themeColor="text1"/>
        </w:rPr>
      </w:pPr>
      <w:r w:rsidRPr="00A67C11">
        <w:rPr>
          <w:color w:val="000000" w:themeColor="text1"/>
        </w:rPr>
        <w:t>Boehm, Kurtz &amp; Lowry</w:t>
      </w:r>
    </w:p>
    <w:p w14:paraId="31BC19DC" w14:textId="77777777" w:rsidR="00A67C11" w:rsidRPr="00A67C11" w:rsidRDefault="00A67C11" w:rsidP="00A67C11">
      <w:pPr>
        <w:spacing w:line="240" w:lineRule="auto"/>
        <w:jc w:val="left"/>
        <w:rPr>
          <w:color w:val="000000" w:themeColor="text1"/>
        </w:rPr>
      </w:pPr>
      <w:r w:rsidRPr="00A67C11">
        <w:rPr>
          <w:color w:val="000000" w:themeColor="text1"/>
        </w:rPr>
        <w:t>36 East Seventh Street, Suite 1510</w:t>
      </w:r>
    </w:p>
    <w:p w14:paraId="1838DC6C" w14:textId="77777777" w:rsidR="00A67C11" w:rsidRPr="00A67C11" w:rsidRDefault="00A67C11" w:rsidP="00A67C11">
      <w:pPr>
        <w:spacing w:line="240" w:lineRule="auto"/>
        <w:jc w:val="left"/>
        <w:rPr>
          <w:color w:val="000000" w:themeColor="text1"/>
        </w:rPr>
      </w:pPr>
      <w:r w:rsidRPr="00A67C11">
        <w:rPr>
          <w:color w:val="000000" w:themeColor="text1"/>
        </w:rPr>
        <w:t>Cincinnati, OH  45202</w:t>
      </w:r>
    </w:p>
    <w:p w14:paraId="586CEA5C" w14:textId="77777777" w:rsidR="00A67C11" w:rsidRPr="00A67C11" w:rsidRDefault="00A67C11" w:rsidP="00A67C11">
      <w:pPr>
        <w:spacing w:line="240" w:lineRule="auto"/>
        <w:jc w:val="left"/>
        <w:rPr>
          <w:color w:val="000000" w:themeColor="text1"/>
        </w:rPr>
      </w:pPr>
      <w:r w:rsidRPr="00A67C11">
        <w:rPr>
          <w:color w:val="000000" w:themeColor="text1"/>
        </w:rPr>
        <w:t>dboehm@BKLlawfirm.com mkurtzt@BKLlawfirm.com</w:t>
      </w:r>
    </w:p>
    <w:p w14:paraId="65679E11" w14:textId="77777777" w:rsidR="00A67C11" w:rsidRPr="00A67C11" w:rsidRDefault="00A67C11" w:rsidP="00A67C11">
      <w:pPr>
        <w:spacing w:line="240" w:lineRule="auto"/>
        <w:jc w:val="left"/>
        <w:rPr>
          <w:color w:val="000000" w:themeColor="text1"/>
        </w:rPr>
      </w:pPr>
      <w:r w:rsidRPr="00A67C11">
        <w:rPr>
          <w:color w:val="000000" w:themeColor="text1"/>
        </w:rPr>
        <w:t>kboehm@BKLlawfirm.com</w:t>
      </w:r>
    </w:p>
    <w:p w14:paraId="5327D96D" w14:textId="77777777" w:rsidR="00A67C11" w:rsidRPr="00A67C11" w:rsidRDefault="00A67C11" w:rsidP="00A67C11">
      <w:pPr>
        <w:spacing w:line="240" w:lineRule="auto"/>
        <w:jc w:val="left"/>
        <w:rPr>
          <w:color w:val="000000" w:themeColor="text1"/>
        </w:rPr>
      </w:pPr>
      <w:r w:rsidRPr="00A67C11">
        <w:rPr>
          <w:color w:val="000000" w:themeColor="text1"/>
        </w:rPr>
        <w:t>jkylercohn@BKLlawfirm.com</w:t>
      </w:r>
    </w:p>
    <w:p w14:paraId="3ACD0FFA" w14:textId="77777777" w:rsidR="00A67C11" w:rsidRPr="00A67C11" w:rsidRDefault="00A67C11" w:rsidP="00A67C11">
      <w:pPr>
        <w:spacing w:line="240" w:lineRule="auto"/>
        <w:jc w:val="left"/>
        <w:rPr>
          <w:color w:val="000000" w:themeColor="text1"/>
        </w:rPr>
      </w:pPr>
    </w:p>
    <w:p w14:paraId="67EABA71" w14:textId="77777777" w:rsidR="00A67C11" w:rsidRPr="00A67C11" w:rsidRDefault="00A67C11" w:rsidP="00A67C11">
      <w:pPr>
        <w:spacing w:line="240" w:lineRule="auto"/>
        <w:jc w:val="left"/>
        <w:rPr>
          <w:b/>
          <w:color w:val="000000" w:themeColor="text1"/>
        </w:rPr>
      </w:pPr>
      <w:r w:rsidRPr="00A67C11">
        <w:rPr>
          <w:b/>
          <w:color w:val="000000" w:themeColor="text1"/>
        </w:rPr>
        <w:t>Counsel for Ohio Energy Group</w:t>
      </w:r>
    </w:p>
    <w:p w14:paraId="32FF6BF9" w14:textId="77777777" w:rsidR="00A67C11" w:rsidRPr="00A67C11" w:rsidRDefault="00A67C11" w:rsidP="00A67C11">
      <w:pPr>
        <w:spacing w:line="240" w:lineRule="auto"/>
        <w:jc w:val="left"/>
        <w:rPr>
          <w:color w:val="000000" w:themeColor="text1"/>
        </w:rPr>
      </w:pPr>
    </w:p>
    <w:p w14:paraId="0BDE1104" w14:textId="77777777" w:rsidR="00A67C11" w:rsidRPr="00A67C11" w:rsidRDefault="00A67C11" w:rsidP="00A67C11">
      <w:pPr>
        <w:spacing w:line="240" w:lineRule="auto"/>
        <w:jc w:val="left"/>
        <w:rPr>
          <w:color w:val="000000" w:themeColor="text1"/>
        </w:rPr>
      </w:pPr>
      <w:r w:rsidRPr="00A67C11">
        <w:rPr>
          <w:color w:val="000000" w:themeColor="text1"/>
        </w:rPr>
        <w:t>Kevin R. Schmidt (Reg. No. 0086722)</w:t>
      </w:r>
    </w:p>
    <w:p w14:paraId="613F8CF5" w14:textId="77777777" w:rsidR="00A67C11" w:rsidRPr="00A67C11" w:rsidRDefault="00A67C11" w:rsidP="00A67C11">
      <w:pPr>
        <w:spacing w:line="240" w:lineRule="auto"/>
        <w:jc w:val="left"/>
        <w:rPr>
          <w:color w:val="000000" w:themeColor="text1"/>
        </w:rPr>
      </w:pPr>
      <w:r w:rsidRPr="00A67C11">
        <w:rPr>
          <w:color w:val="000000" w:themeColor="text1"/>
        </w:rPr>
        <w:t>Strategic Public Partners</w:t>
      </w:r>
    </w:p>
    <w:p w14:paraId="5E0F9048" w14:textId="77777777" w:rsidR="00A67C11" w:rsidRPr="00A67C11" w:rsidRDefault="00A67C11" w:rsidP="00A67C11">
      <w:pPr>
        <w:spacing w:line="240" w:lineRule="auto"/>
        <w:jc w:val="left"/>
        <w:rPr>
          <w:color w:val="000000" w:themeColor="text1"/>
        </w:rPr>
      </w:pPr>
      <w:r w:rsidRPr="00A67C11">
        <w:rPr>
          <w:color w:val="000000" w:themeColor="text1"/>
        </w:rPr>
        <w:t>88 East Broad Street, Suite 1770</w:t>
      </w:r>
    </w:p>
    <w:p w14:paraId="161F0EF9" w14:textId="77777777" w:rsidR="00A67C11" w:rsidRPr="00A67C11" w:rsidRDefault="00A67C11" w:rsidP="00A67C11">
      <w:pPr>
        <w:spacing w:line="240" w:lineRule="auto"/>
        <w:jc w:val="left"/>
        <w:rPr>
          <w:color w:val="000000" w:themeColor="text1"/>
        </w:rPr>
      </w:pPr>
      <w:r w:rsidRPr="00A67C11">
        <w:rPr>
          <w:color w:val="000000" w:themeColor="text1"/>
        </w:rPr>
        <w:t>Columbus, OH  43215</w:t>
      </w:r>
    </w:p>
    <w:p w14:paraId="408E20C0" w14:textId="77777777" w:rsidR="00A67C11" w:rsidRPr="00A67C11" w:rsidRDefault="00A67C11" w:rsidP="00A67C11">
      <w:pPr>
        <w:spacing w:line="240" w:lineRule="auto"/>
        <w:jc w:val="left"/>
        <w:rPr>
          <w:color w:val="000000" w:themeColor="text1"/>
        </w:rPr>
      </w:pPr>
      <w:r w:rsidRPr="00A67C11">
        <w:rPr>
          <w:color w:val="000000" w:themeColor="text1"/>
        </w:rPr>
        <w:t>schmidt@sppgrp.com</w:t>
      </w:r>
    </w:p>
    <w:p w14:paraId="278B4BBB" w14:textId="77777777" w:rsidR="00A67C11" w:rsidRPr="00A67C11" w:rsidRDefault="00A67C11" w:rsidP="00A67C11">
      <w:pPr>
        <w:spacing w:line="240" w:lineRule="auto"/>
        <w:jc w:val="left"/>
        <w:rPr>
          <w:color w:val="000000" w:themeColor="text1"/>
        </w:rPr>
      </w:pPr>
    </w:p>
    <w:p w14:paraId="25E50094" w14:textId="77777777" w:rsidR="00A67C11" w:rsidRPr="00A67C11" w:rsidRDefault="00A67C11" w:rsidP="00A67C11">
      <w:pPr>
        <w:spacing w:line="240" w:lineRule="auto"/>
        <w:jc w:val="left"/>
        <w:rPr>
          <w:b/>
          <w:color w:val="000000" w:themeColor="text1"/>
        </w:rPr>
      </w:pPr>
      <w:r w:rsidRPr="00A67C11">
        <w:rPr>
          <w:b/>
          <w:color w:val="000000" w:themeColor="text1"/>
        </w:rPr>
        <w:t>Counsel for Energy Professionals of Ohio</w:t>
      </w:r>
    </w:p>
    <w:p w14:paraId="5D53F7B8" w14:textId="77777777" w:rsidR="00A67C11" w:rsidRPr="00A67C11" w:rsidRDefault="00A67C11" w:rsidP="00A67C11">
      <w:pPr>
        <w:spacing w:line="240" w:lineRule="auto"/>
        <w:jc w:val="left"/>
        <w:rPr>
          <w:color w:val="000000" w:themeColor="text1"/>
        </w:rPr>
      </w:pPr>
    </w:p>
    <w:p w14:paraId="79533265" w14:textId="77777777" w:rsidR="00A67C11" w:rsidRPr="00A67C11" w:rsidRDefault="00A67C11" w:rsidP="00A67C11">
      <w:pPr>
        <w:spacing w:line="240" w:lineRule="auto"/>
        <w:jc w:val="left"/>
        <w:rPr>
          <w:color w:val="000000" w:themeColor="text1"/>
        </w:rPr>
      </w:pPr>
      <w:r w:rsidRPr="00A67C11">
        <w:rPr>
          <w:color w:val="000000" w:themeColor="text1"/>
        </w:rPr>
        <w:t>William J. Michael (Reg. No. 0070921</w:t>
      </w:r>
    </w:p>
    <w:p w14:paraId="07C143C2" w14:textId="77777777" w:rsidR="00A67C11" w:rsidRPr="00A67C11" w:rsidRDefault="00A67C11" w:rsidP="00A67C11">
      <w:pPr>
        <w:spacing w:line="240" w:lineRule="auto"/>
        <w:jc w:val="left"/>
        <w:rPr>
          <w:color w:val="000000" w:themeColor="text1"/>
        </w:rPr>
      </w:pPr>
      <w:r w:rsidRPr="00A67C11">
        <w:rPr>
          <w:color w:val="000000" w:themeColor="text1"/>
        </w:rPr>
        <w:t>Counsel of Record</w:t>
      </w:r>
    </w:p>
    <w:p w14:paraId="1C510EB8" w14:textId="77777777" w:rsidR="00A67C11" w:rsidRPr="00A67C11" w:rsidRDefault="00A67C11" w:rsidP="00A67C11">
      <w:pPr>
        <w:spacing w:line="240" w:lineRule="auto"/>
        <w:jc w:val="left"/>
        <w:rPr>
          <w:color w:val="000000" w:themeColor="text1"/>
        </w:rPr>
      </w:pPr>
      <w:r w:rsidRPr="00A67C11">
        <w:rPr>
          <w:color w:val="000000" w:themeColor="text1"/>
        </w:rPr>
        <w:t>Kevin F. Moore (Reg. No. 0089228</w:t>
      </w:r>
    </w:p>
    <w:p w14:paraId="6CAE66E2" w14:textId="77777777" w:rsidR="00A67C11" w:rsidRPr="00A67C11" w:rsidRDefault="00A67C11" w:rsidP="00A67C11">
      <w:pPr>
        <w:spacing w:line="240" w:lineRule="auto"/>
        <w:jc w:val="left"/>
        <w:rPr>
          <w:color w:val="000000" w:themeColor="text1"/>
        </w:rPr>
      </w:pPr>
      <w:r w:rsidRPr="00A67C11">
        <w:rPr>
          <w:color w:val="000000" w:themeColor="text1"/>
        </w:rPr>
        <w:t>10 West Broad Street, Suite 1800</w:t>
      </w:r>
    </w:p>
    <w:p w14:paraId="79ADD539" w14:textId="77777777" w:rsidR="00A67C11" w:rsidRPr="00A67C11" w:rsidRDefault="00A67C11" w:rsidP="00A67C11">
      <w:pPr>
        <w:spacing w:line="240" w:lineRule="auto"/>
        <w:jc w:val="left"/>
        <w:rPr>
          <w:color w:val="000000" w:themeColor="text1"/>
        </w:rPr>
      </w:pPr>
      <w:r w:rsidRPr="00A67C11">
        <w:rPr>
          <w:color w:val="000000" w:themeColor="text1"/>
        </w:rPr>
        <w:t>Columbus, OH  43215-3485</w:t>
      </w:r>
    </w:p>
    <w:p w14:paraId="1CD9E5EB" w14:textId="69FA3480" w:rsidR="00A67C11" w:rsidRPr="00A67C11" w:rsidRDefault="00A67C11" w:rsidP="00A67C11">
      <w:pPr>
        <w:spacing w:line="240" w:lineRule="auto"/>
        <w:jc w:val="left"/>
        <w:rPr>
          <w:color w:val="000000" w:themeColor="text1"/>
        </w:rPr>
      </w:pPr>
      <w:r w:rsidRPr="00E2727D">
        <w:t>William.Michael@occ.ohio.gov</w:t>
      </w:r>
    </w:p>
    <w:p w14:paraId="6E5625BC" w14:textId="75022664" w:rsidR="00A67C11" w:rsidRPr="00A67C11" w:rsidRDefault="00A67C11" w:rsidP="00A67C11">
      <w:pPr>
        <w:spacing w:line="240" w:lineRule="auto"/>
        <w:jc w:val="left"/>
        <w:rPr>
          <w:color w:val="000000" w:themeColor="text1"/>
        </w:rPr>
      </w:pPr>
      <w:r w:rsidRPr="00E2727D">
        <w:t>Kevin.Moore@occ.ohio.gov</w:t>
      </w:r>
    </w:p>
    <w:p w14:paraId="79F2946E" w14:textId="77777777" w:rsidR="00A67C11" w:rsidRPr="00A67C11" w:rsidRDefault="00A67C11" w:rsidP="00A67C11">
      <w:pPr>
        <w:spacing w:line="240" w:lineRule="auto"/>
        <w:jc w:val="left"/>
        <w:rPr>
          <w:color w:val="000000" w:themeColor="text1"/>
        </w:rPr>
      </w:pPr>
    </w:p>
    <w:p w14:paraId="6A3538F8" w14:textId="77777777" w:rsidR="00A67C11" w:rsidRPr="00A67C11" w:rsidRDefault="00A67C11" w:rsidP="00A67C11">
      <w:pPr>
        <w:spacing w:line="240" w:lineRule="auto"/>
        <w:jc w:val="left"/>
        <w:rPr>
          <w:b/>
          <w:color w:val="000000" w:themeColor="text1"/>
        </w:rPr>
      </w:pPr>
      <w:r w:rsidRPr="00A67C11">
        <w:rPr>
          <w:b/>
          <w:color w:val="000000" w:themeColor="text1"/>
        </w:rPr>
        <w:t>Counsel for Office of the Ohio Consumers’ Counsel</w:t>
      </w:r>
    </w:p>
    <w:p w14:paraId="16D7696C" w14:textId="77777777" w:rsidR="00A67C11" w:rsidRPr="00A67C11" w:rsidRDefault="00A67C11" w:rsidP="00A67C11">
      <w:pPr>
        <w:spacing w:line="240" w:lineRule="auto"/>
        <w:jc w:val="left"/>
        <w:rPr>
          <w:color w:val="000000" w:themeColor="text1"/>
        </w:rPr>
      </w:pPr>
    </w:p>
    <w:p w14:paraId="60F41A37" w14:textId="77777777" w:rsidR="00A67C11" w:rsidRPr="00A67C11" w:rsidRDefault="00A67C11" w:rsidP="00A67C11">
      <w:pPr>
        <w:spacing w:line="240" w:lineRule="auto"/>
        <w:jc w:val="left"/>
        <w:rPr>
          <w:color w:val="000000" w:themeColor="text1"/>
        </w:rPr>
      </w:pPr>
      <w:r w:rsidRPr="00A67C11">
        <w:rPr>
          <w:color w:val="000000" w:themeColor="text1"/>
        </w:rPr>
        <w:t>Ryan P. O’Rourke (Reg. No. 0082651)</w:t>
      </w:r>
    </w:p>
    <w:p w14:paraId="0F9EA2D9" w14:textId="77777777" w:rsidR="00A67C11" w:rsidRPr="00A67C11" w:rsidRDefault="00A67C11" w:rsidP="00A67C11">
      <w:pPr>
        <w:spacing w:line="240" w:lineRule="auto"/>
        <w:jc w:val="left"/>
        <w:rPr>
          <w:color w:val="000000" w:themeColor="text1"/>
        </w:rPr>
      </w:pPr>
      <w:r w:rsidRPr="00A67C11">
        <w:rPr>
          <w:color w:val="000000" w:themeColor="text1"/>
        </w:rPr>
        <w:t>Carpenter Lipps &amp; Leland LLP</w:t>
      </w:r>
    </w:p>
    <w:p w14:paraId="53DA23C4" w14:textId="77777777" w:rsidR="00A67C11" w:rsidRPr="00A67C11" w:rsidRDefault="00A67C11" w:rsidP="00A67C11">
      <w:pPr>
        <w:spacing w:line="240" w:lineRule="auto"/>
        <w:jc w:val="left"/>
        <w:rPr>
          <w:color w:val="000000" w:themeColor="text1"/>
        </w:rPr>
      </w:pPr>
      <w:r w:rsidRPr="00A67C11">
        <w:rPr>
          <w:color w:val="000000" w:themeColor="text1"/>
        </w:rPr>
        <w:t>280 Plaza, Suite 1300</w:t>
      </w:r>
    </w:p>
    <w:p w14:paraId="729AF43C" w14:textId="77777777" w:rsidR="00A67C11" w:rsidRPr="00A67C11" w:rsidRDefault="00A67C11" w:rsidP="00A67C11">
      <w:pPr>
        <w:spacing w:line="240" w:lineRule="auto"/>
        <w:jc w:val="left"/>
        <w:rPr>
          <w:color w:val="000000" w:themeColor="text1"/>
        </w:rPr>
      </w:pPr>
      <w:r w:rsidRPr="00A67C11">
        <w:rPr>
          <w:color w:val="000000" w:themeColor="text1"/>
        </w:rPr>
        <w:t>280 North High Street</w:t>
      </w:r>
    </w:p>
    <w:p w14:paraId="3D98A06D" w14:textId="77777777" w:rsidR="00A67C11" w:rsidRPr="00A67C11" w:rsidRDefault="00A67C11" w:rsidP="00A67C11">
      <w:pPr>
        <w:spacing w:line="240" w:lineRule="auto"/>
        <w:jc w:val="left"/>
        <w:rPr>
          <w:color w:val="000000" w:themeColor="text1"/>
        </w:rPr>
      </w:pPr>
      <w:r w:rsidRPr="00A67C11">
        <w:rPr>
          <w:color w:val="000000" w:themeColor="text1"/>
        </w:rPr>
        <w:t>Columbus, OH  43215</w:t>
      </w:r>
    </w:p>
    <w:p w14:paraId="234F4E8A" w14:textId="77777777" w:rsidR="00A67C11" w:rsidRPr="00A67C11" w:rsidRDefault="00A67C11" w:rsidP="00A67C11">
      <w:pPr>
        <w:spacing w:line="240" w:lineRule="auto"/>
        <w:jc w:val="left"/>
        <w:rPr>
          <w:color w:val="000000" w:themeColor="text1"/>
        </w:rPr>
      </w:pPr>
      <w:r w:rsidRPr="00A67C11">
        <w:rPr>
          <w:color w:val="000000" w:themeColor="text1"/>
        </w:rPr>
        <w:t>O’Rourke@carpenterlipps.com</w:t>
      </w:r>
    </w:p>
    <w:p w14:paraId="3484CEEA" w14:textId="77777777" w:rsidR="00A67C11" w:rsidRPr="00A67C11" w:rsidRDefault="00A67C11" w:rsidP="00A67C11">
      <w:pPr>
        <w:spacing w:line="240" w:lineRule="auto"/>
        <w:jc w:val="left"/>
        <w:rPr>
          <w:color w:val="000000" w:themeColor="text1"/>
        </w:rPr>
      </w:pPr>
    </w:p>
    <w:p w14:paraId="6602A51F" w14:textId="77777777" w:rsidR="00A67C11" w:rsidRPr="00A67C11" w:rsidRDefault="00A67C11" w:rsidP="00A67C11">
      <w:pPr>
        <w:spacing w:line="240" w:lineRule="auto"/>
        <w:jc w:val="left"/>
        <w:rPr>
          <w:b/>
          <w:color w:val="000000" w:themeColor="text1"/>
        </w:rPr>
      </w:pPr>
      <w:r w:rsidRPr="00A67C11">
        <w:rPr>
          <w:b/>
          <w:color w:val="000000" w:themeColor="text1"/>
        </w:rPr>
        <w:t>Counsel for The Kroger Co.</w:t>
      </w:r>
    </w:p>
    <w:p w14:paraId="0E85865C" w14:textId="77777777" w:rsidR="00A67C11" w:rsidRPr="00A67C11" w:rsidRDefault="00A67C11" w:rsidP="00A67C11">
      <w:pPr>
        <w:spacing w:line="240" w:lineRule="auto"/>
        <w:jc w:val="left"/>
        <w:rPr>
          <w:color w:val="000000" w:themeColor="text1"/>
        </w:rPr>
      </w:pPr>
    </w:p>
    <w:p w14:paraId="338020B5" w14:textId="4BCBCBAF" w:rsidR="00A67C11" w:rsidRPr="00A67C11" w:rsidRDefault="00104615" w:rsidP="00A67C11">
      <w:pPr>
        <w:spacing w:line="240" w:lineRule="auto"/>
        <w:jc w:val="left"/>
        <w:rPr>
          <w:color w:val="000000" w:themeColor="text1"/>
        </w:rPr>
      </w:pPr>
      <w:r>
        <w:rPr>
          <w:color w:val="000000" w:themeColor="text1"/>
        </w:rPr>
        <w:br w:type="column"/>
      </w:r>
      <w:r w:rsidR="00A67C11" w:rsidRPr="00A67C11">
        <w:rPr>
          <w:color w:val="000000" w:themeColor="text1"/>
        </w:rPr>
        <w:t>Kimberly W. Bojko (Reg. No. 0069402)</w:t>
      </w:r>
    </w:p>
    <w:p w14:paraId="55739CD0" w14:textId="77777777" w:rsidR="00A67C11" w:rsidRPr="00A67C11" w:rsidRDefault="00A67C11" w:rsidP="00A67C11">
      <w:pPr>
        <w:spacing w:line="240" w:lineRule="auto"/>
        <w:jc w:val="left"/>
        <w:rPr>
          <w:color w:val="000000" w:themeColor="text1"/>
        </w:rPr>
      </w:pPr>
      <w:r w:rsidRPr="00A67C11">
        <w:rPr>
          <w:color w:val="000000" w:themeColor="text1"/>
        </w:rPr>
        <w:t>Danielle M. Ghiloni (Reg. No. 0085245)</w:t>
      </w:r>
    </w:p>
    <w:p w14:paraId="4F53C854" w14:textId="77777777" w:rsidR="00A67C11" w:rsidRPr="00A67C11" w:rsidRDefault="00A67C11" w:rsidP="00A67C11">
      <w:pPr>
        <w:spacing w:line="240" w:lineRule="auto"/>
        <w:jc w:val="left"/>
        <w:rPr>
          <w:color w:val="000000" w:themeColor="text1"/>
        </w:rPr>
      </w:pPr>
      <w:r w:rsidRPr="00A67C11">
        <w:rPr>
          <w:color w:val="000000" w:themeColor="text1"/>
        </w:rPr>
        <w:t>Carpenter Lipps &amp; Leland LLP</w:t>
      </w:r>
    </w:p>
    <w:p w14:paraId="5C392684" w14:textId="77777777" w:rsidR="00A67C11" w:rsidRPr="00A67C11" w:rsidRDefault="00A67C11" w:rsidP="00A67C11">
      <w:pPr>
        <w:spacing w:line="240" w:lineRule="auto"/>
        <w:jc w:val="left"/>
        <w:rPr>
          <w:color w:val="000000" w:themeColor="text1"/>
        </w:rPr>
      </w:pPr>
      <w:r w:rsidRPr="00A67C11">
        <w:rPr>
          <w:color w:val="000000" w:themeColor="text1"/>
        </w:rPr>
        <w:t>280 North High Street, Suite 1300</w:t>
      </w:r>
    </w:p>
    <w:p w14:paraId="1787744A" w14:textId="77777777" w:rsidR="00A67C11" w:rsidRPr="00A67C11" w:rsidRDefault="00A67C11" w:rsidP="00A67C11">
      <w:pPr>
        <w:spacing w:line="240" w:lineRule="auto"/>
        <w:jc w:val="left"/>
        <w:rPr>
          <w:color w:val="000000" w:themeColor="text1"/>
        </w:rPr>
      </w:pPr>
      <w:r w:rsidRPr="00A67C11">
        <w:rPr>
          <w:color w:val="000000" w:themeColor="text1"/>
        </w:rPr>
        <w:t>Columbus, OH  43215</w:t>
      </w:r>
    </w:p>
    <w:p w14:paraId="428508A9" w14:textId="66E53E05" w:rsidR="00A67C11" w:rsidRPr="00A67C11" w:rsidRDefault="00A67C11" w:rsidP="00A67C11">
      <w:pPr>
        <w:spacing w:line="240" w:lineRule="auto"/>
        <w:jc w:val="left"/>
        <w:rPr>
          <w:color w:val="000000" w:themeColor="text1"/>
        </w:rPr>
      </w:pPr>
      <w:r w:rsidRPr="00E2727D">
        <w:t>Bojko@carpenterlipps.com</w:t>
      </w:r>
    </w:p>
    <w:p w14:paraId="04AA03B4" w14:textId="3F3CB9F2" w:rsidR="00A67C11" w:rsidRPr="00A67C11" w:rsidRDefault="00A67C11" w:rsidP="00A67C11">
      <w:pPr>
        <w:spacing w:line="240" w:lineRule="auto"/>
        <w:jc w:val="left"/>
        <w:rPr>
          <w:color w:val="000000" w:themeColor="text1"/>
        </w:rPr>
      </w:pPr>
      <w:r w:rsidRPr="00E2727D">
        <w:t>Ghiloni@carpenterlipps.com</w:t>
      </w:r>
    </w:p>
    <w:p w14:paraId="095CCEBC" w14:textId="77777777" w:rsidR="00A67C11" w:rsidRPr="00A67C11" w:rsidRDefault="00A67C11" w:rsidP="00A67C11">
      <w:pPr>
        <w:spacing w:line="240" w:lineRule="auto"/>
        <w:jc w:val="left"/>
        <w:rPr>
          <w:color w:val="000000" w:themeColor="text1"/>
        </w:rPr>
      </w:pPr>
    </w:p>
    <w:p w14:paraId="4873BA91" w14:textId="77777777" w:rsidR="00A67C11" w:rsidRPr="00A67C11" w:rsidRDefault="00A67C11" w:rsidP="00A67C11">
      <w:pPr>
        <w:spacing w:line="240" w:lineRule="auto"/>
        <w:jc w:val="left"/>
        <w:rPr>
          <w:b/>
          <w:color w:val="000000" w:themeColor="text1"/>
        </w:rPr>
      </w:pPr>
      <w:r w:rsidRPr="00A67C11">
        <w:rPr>
          <w:b/>
          <w:color w:val="000000" w:themeColor="text1"/>
        </w:rPr>
        <w:t>Counsel for the Ohio Manufacturers’ Association Energy Group</w:t>
      </w:r>
    </w:p>
    <w:p w14:paraId="1AC93654" w14:textId="77777777" w:rsidR="00A67C11" w:rsidRPr="00A67C11" w:rsidRDefault="00A67C11" w:rsidP="00A67C11">
      <w:pPr>
        <w:spacing w:line="240" w:lineRule="auto"/>
        <w:jc w:val="left"/>
        <w:rPr>
          <w:color w:val="000000" w:themeColor="text1"/>
        </w:rPr>
      </w:pPr>
    </w:p>
    <w:p w14:paraId="3435EC57" w14:textId="77777777" w:rsidR="00A67C11" w:rsidRPr="00A67C11" w:rsidRDefault="00A67C11" w:rsidP="00A67C11">
      <w:pPr>
        <w:spacing w:line="240" w:lineRule="auto"/>
        <w:jc w:val="left"/>
        <w:rPr>
          <w:color w:val="000000" w:themeColor="text1"/>
        </w:rPr>
      </w:pPr>
      <w:r w:rsidRPr="00A67C11">
        <w:rPr>
          <w:color w:val="000000" w:themeColor="text1"/>
        </w:rPr>
        <w:t>Michael J. Settineri</w:t>
      </w:r>
    </w:p>
    <w:p w14:paraId="13B88573" w14:textId="77777777" w:rsidR="00A67C11" w:rsidRPr="00A67C11" w:rsidRDefault="00A67C11" w:rsidP="00A67C11">
      <w:pPr>
        <w:spacing w:line="240" w:lineRule="auto"/>
        <w:jc w:val="left"/>
        <w:rPr>
          <w:color w:val="000000" w:themeColor="text1"/>
        </w:rPr>
      </w:pPr>
      <w:r w:rsidRPr="00A67C11">
        <w:rPr>
          <w:color w:val="000000" w:themeColor="text1"/>
        </w:rPr>
        <w:t>Stephen M. Howard</w:t>
      </w:r>
    </w:p>
    <w:p w14:paraId="28E436F7" w14:textId="77777777" w:rsidR="00A67C11" w:rsidRPr="00A67C11" w:rsidRDefault="00A67C11" w:rsidP="00A67C11">
      <w:pPr>
        <w:spacing w:line="240" w:lineRule="auto"/>
        <w:jc w:val="left"/>
        <w:rPr>
          <w:color w:val="000000" w:themeColor="text1"/>
        </w:rPr>
      </w:pPr>
      <w:r w:rsidRPr="00A67C11">
        <w:rPr>
          <w:color w:val="000000" w:themeColor="text1"/>
        </w:rPr>
        <w:t>Gretchen L. Petrucci</w:t>
      </w:r>
    </w:p>
    <w:p w14:paraId="561D5F52" w14:textId="77777777" w:rsidR="00A67C11" w:rsidRPr="00A67C11" w:rsidRDefault="00A67C11" w:rsidP="00A67C11">
      <w:pPr>
        <w:spacing w:line="240" w:lineRule="auto"/>
        <w:jc w:val="left"/>
        <w:rPr>
          <w:color w:val="000000" w:themeColor="text1"/>
        </w:rPr>
      </w:pPr>
      <w:r w:rsidRPr="00A67C11">
        <w:rPr>
          <w:color w:val="000000" w:themeColor="text1"/>
        </w:rPr>
        <w:t>Ilya Batikov</w:t>
      </w:r>
    </w:p>
    <w:p w14:paraId="3FDEB278" w14:textId="77777777" w:rsidR="00A67C11" w:rsidRPr="00A67C11" w:rsidRDefault="00A67C11" w:rsidP="00A67C11">
      <w:pPr>
        <w:spacing w:line="240" w:lineRule="auto"/>
        <w:jc w:val="left"/>
        <w:rPr>
          <w:color w:val="000000" w:themeColor="text1"/>
        </w:rPr>
      </w:pPr>
      <w:r w:rsidRPr="00A67C11">
        <w:rPr>
          <w:color w:val="000000" w:themeColor="text1"/>
        </w:rPr>
        <w:t>Vorys, Sater, Seymour and Pease LLP</w:t>
      </w:r>
    </w:p>
    <w:p w14:paraId="5D716BBA" w14:textId="77777777" w:rsidR="00A67C11" w:rsidRPr="00A67C11" w:rsidRDefault="00A67C11" w:rsidP="00A67C11">
      <w:pPr>
        <w:spacing w:line="240" w:lineRule="auto"/>
        <w:jc w:val="left"/>
        <w:rPr>
          <w:color w:val="000000" w:themeColor="text1"/>
        </w:rPr>
      </w:pPr>
      <w:r w:rsidRPr="00A67C11">
        <w:rPr>
          <w:color w:val="000000" w:themeColor="text1"/>
        </w:rPr>
        <w:t>52 E. Gay Street</w:t>
      </w:r>
    </w:p>
    <w:p w14:paraId="633E9902" w14:textId="77777777" w:rsidR="00A67C11" w:rsidRPr="00A67C11" w:rsidRDefault="00A67C11" w:rsidP="00A67C11">
      <w:pPr>
        <w:spacing w:line="240" w:lineRule="auto"/>
        <w:jc w:val="left"/>
        <w:rPr>
          <w:color w:val="000000" w:themeColor="text1"/>
        </w:rPr>
      </w:pPr>
      <w:r w:rsidRPr="00A67C11">
        <w:rPr>
          <w:color w:val="000000" w:themeColor="text1"/>
        </w:rPr>
        <w:t>Columbus, OH  43215</w:t>
      </w:r>
    </w:p>
    <w:p w14:paraId="7380C4C7" w14:textId="45F0E60C" w:rsidR="00A67C11" w:rsidRPr="00A67C11" w:rsidRDefault="00A67C11" w:rsidP="00A67C11">
      <w:pPr>
        <w:spacing w:line="240" w:lineRule="auto"/>
        <w:jc w:val="left"/>
        <w:rPr>
          <w:color w:val="000000" w:themeColor="text1"/>
        </w:rPr>
      </w:pPr>
      <w:r w:rsidRPr="00E2727D">
        <w:t>mjsettineri@vorys.com</w:t>
      </w:r>
    </w:p>
    <w:p w14:paraId="2E0A0B71" w14:textId="7AB551EB" w:rsidR="00A67C11" w:rsidRPr="00A67C11" w:rsidRDefault="00A67C11" w:rsidP="00A67C11">
      <w:pPr>
        <w:spacing w:line="240" w:lineRule="auto"/>
        <w:jc w:val="left"/>
        <w:rPr>
          <w:color w:val="000000" w:themeColor="text1"/>
        </w:rPr>
      </w:pPr>
      <w:r w:rsidRPr="00E2727D">
        <w:t>smhoward@vorys.co</w:t>
      </w:r>
      <w:r w:rsidRPr="00A67C11">
        <w:rPr>
          <w:color w:val="000000" w:themeColor="text1"/>
        </w:rPr>
        <w:t>m</w:t>
      </w:r>
    </w:p>
    <w:p w14:paraId="5265BF59" w14:textId="48A125A6" w:rsidR="00A67C11" w:rsidRPr="00A67C11" w:rsidRDefault="00A67C11" w:rsidP="00A67C11">
      <w:pPr>
        <w:spacing w:line="240" w:lineRule="auto"/>
        <w:jc w:val="left"/>
        <w:rPr>
          <w:color w:val="000000" w:themeColor="text1"/>
        </w:rPr>
      </w:pPr>
      <w:r w:rsidRPr="00E2727D">
        <w:t>glpetrucci@vorys.com</w:t>
      </w:r>
    </w:p>
    <w:p w14:paraId="246A963F" w14:textId="2AE0E020" w:rsidR="00A67C11" w:rsidRPr="00A67C11" w:rsidRDefault="00A67C11" w:rsidP="00A67C11">
      <w:pPr>
        <w:spacing w:line="240" w:lineRule="auto"/>
        <w:jc w:val="left"/>
        <w:rPr>
          <w:color w:val="000000" w:themeColor="text1"/>
        </w:rPr>
      </w:pPr>
      <w:r w:rsidRPr="00E2727D">
        <w:t>ibatikov@vorys.com</w:t>
      </w:r>
    </w:p>
    <w:p w14:paraId="2812AB5B" w14:textId="77777777" w:rsidR="00A67C11" w:rsidRPr="00A67C11" w:rsidRDefault="00A67C11" w:rsidP="00A67C11">
      <w:pPr>
        <w:spacing w:line="240" w:lineRule="auto"/>
        <w:jc w:val="left"/>
        <w:rPr>
          <w:color w:val="000000" w:themeColor="text1"/>
        </w:rPr>
      </w:pPr>
    </w:p>
    <w:p w14:paraId="6F448BEF" w14:textId="77777777" w:rsidR="00A67C11" w:rsidRPr="00A67C11" w:rsidRDefault="00A67C11" w:rsidP="00A67C11">
      <w:pPr>
        <w:spacing w:line="240" w:lineRule="auto"/>
        <w:jc w:val="left"/>
        <w:rPr>
          <w:b/>
          <w:color w:val="000000" w:themeColor="text1"/>
        </w:rPr>
      </w:pPr>
      <w:r w:rsidRPr="00A67C11">
        <w:rPr>
          <w:b/>
          <w:color w:val="000000" w:themeColor="text1"/>
        </w:rPr>
        <w:t>Counsel for Dynegy Inc., PJM Power Providers Group and the Electric Power Supply Association</w:t>
      </w:r>
    </w:p>
    <w:p w14:paraId="33B953C6" w14:textId="77777777" w:rsidR="00A67C11" w:rsidRPr="00A67C11" w:rsidRDefault="00A67C11" w:rsidP="00A67C11">
      <w:pPr>
        <w:spacing w:line="240" w:lineRule="auto"/>
        <w:jc w:val="left"/>
        <w:rPr>
          <w:color w:val="000000" w:themeColor="text1"/>
        </w:rPr>
      </w:pPr>
    </w:p>
    <w:p w14:paraId="67CFA7D2" w14:textId="77777777" w:rsidR="00A67C11" w:rsidRPr="00A67C11" w:rsidRDefault="00A67C11" w:rsidP="00A67C11">
      <w:pPr>
        <w:spacing w:line="240" w:lineRule="auto"/>
        <w:jc w:val="left"/>
        <w:rPr>
          <w:color w:val="000000" w:themeColor="text1"/>
        </w:rPr>
      </w:pPr>
      <w:r w:rsidRPr="00A67C11">
        <w:rPr>
          <w:color w:val="000000" w:themeColor="text1"/>
        </w:rPr>
        <w:t>Joseph Oliker (Reg. No. 0086088)</w:t>
      </w:r>
    </w:p>
    <w:p w14:paraId="24661BC7" w14:textId="77777777" w:rsidR="00A67C11" w:rsidRPr="00A67C11" w:rsidRDefault="00A67C11" w:rsidP="00A67C11">
      <w:pPr>
        <w:spacing w:line="240" w:lineRule="auto"/>
        <w:jc w:val="left"/>
        <w:rPr>
          <w:color w:val="000000" w:themeColor="text1"/>
        </w:rPr>
      </w:pPr>
      <w:r w:rsidRPr="00A67C11">
        <w:rPr>
          <w:color w:val="000000" w:themeColor="text1"/>
        </w:rPr>
        <w:t>IGS Energy</w:t>
      </w:r>
    </w:p>
    <w:p w14:paraId="7C4457C3" w14:textId="77777777" w:rsidR="00A67C11" w:rsidRPr="00A67C11" w:rsidRDefault="00A67C11" w:rsidP="00A67C11">
      <w:pPr>
        <w:spacing w:line="240" w:lineRule="auto"/>
        <w:jc w:val="left"/>
        <w:rPr>
          <w:color w:val="000000" w:themeColor="text1"/>
        </w:rPr>
      </w:pPr>
      <w:r w:rsidRPr="00A67C11">
        <w:rPr>
          <w:color w:val="000000" w:themeColor="text1"/>
        </w:rPr>
        <w:t>6100 Emerald Parkway</w:t>
      </w:r>
    </w:p>
    <w:p w14:paraId="64E7D610" w14:textId="77777777" w:rsidR="00A67C11" w:rsidRPr="00A67C11" w:rsidRDefault="00A67C11" w:rsidP="00A67C11">
      <w:pPr>
        <w:spacing w:line="240" w:lineRule="auto"/>
        <w:jc w:val="left"/>
        <w:rPr>
          <w:color w:val="000000" w:themeColor="text1"/>
        </w:rPr>
      </w:pPr>
      <w:r w:rsidRPr="00A67C11">
        <w:rPr>
          <w:color w:val="000000" w:themeColor="text1"/>
        </w:rPr>
        <w:t>Dublin, OH  43016</w:t>
      </w:r>
    </w:p>
    <w:p w14:paraId="2D0C1854" w14:textId="5B0A4509" w:rsidR="00A67C11" w:rsidRPr="00A67C11" w:rsidRDefault="00A67C11" w:rsidP="00A67C11">
      <w:pPr>
        <w:spacing w:line="240" w:lineRule="auto"/>
        <w:jc w:val="left"/>
        <w:rPr>
          <w:color w:val="000000" w:themeColor="text1"/>
        </w:rPr>
      </w:pPr>
      <w:r w:rsidRPr="00E2727D">
        <w:t>joliker@igsenergy.com</w:t>
      </w:r>
    </w:p>
    <w:p w14:paraId="440E134D" w14:textId="77777777" w:rsidR="00A67C11" w:rsidRPr="00A67C11" w:rsidRDefault="00A67C11" w:rsidP="00A67C11">
      <w:pPr>
        <w:spacing w:line="240" w:lineRule="auto"/>
        <w:jc w:val="left"/>
        <w:rPr>
          <w:color w:val="000000" w:themeColor="text1"/>
        </w:rPr>
      </w:pPr>
    </w:p>
    <w:p w14:paraId="6B074112" w14:textId="77777777" w:rsidR="00A67C11" w:rsidRPr="00A67C11" w:rsidRDefault="00A67C11" w:rsidP="00A67C11">
      <w:pPr>
        <w:spacing w:line="240" w:lineRule="auto"/>
        <w:jc w:val="left"/>
        <w:rPr>
          <w:b/>
          <w:color w:val="000000" w:themeColor="text1"/>
        </w:rPr>
      </w:pPr>
      <w:r w:rsidRPr="00A67C11">
        <w:rPr>
          <w:b/>
          <w:color w:val="000000" w:themeColor="text1"/>
        </w:rPr>
        <w:t>Counsel for IGS Energy</w:t>
      </w:r>
    </w:p>
    <w:p w14:paraId="1058300D" w14:textId="77777777" w:rsidR="00A67C11" w:rsidRPr="00A67C11" w:rsidRDefault="00A67C11" w:rsidP="00A67C11">
      <w:pPr>
        <w:spacing w:line="240" w:lineRule="auto"/>
        <w:jc w:val="left"/>
        <w:rPr>
          <w:color w:val="000000" w:themeColor="text1"/>
        </w:rPr>
      </w:pPr>
    </w:p>
    <w:p w14:paraId="22381467" w14:textId="77777777" w:rsidR="00A67C11" w:rsidRPr="00A67C11" w:rsidRDefault="00A67C11" w:rsidP="00A67C11">
      <w:pPr>
        <w:spacing w:line="240" w:lineRule="auto"/>
        <w:jc w:val="left"/>
        <w:rPr>
          <w:color w:val="000000" w:themeColor="text1"/>
        </w:rPr>
      </w:pPr>
      <w:r w:rsidRPr="00A67C11">
        <w:rPr>
          <w:color w:val="000000" w:themeColor="text1"/>
        </w:rPr>
        <w:t>Michael D. Dortch (Reg. No. 0043897)</w:t>
      </w:r>
    </w:p>
    <w:p w14:paraId="5C73774D" w14:textId="77777777" w:rsidR="00A67C11" w:rsidRPr="00A67C11" w:rsidRDefault="00A67C11" w:rsidP="00A67C11">
      <w:pPr>
        <w:spacing w:line="240" w:lineRule="auto"/>
        <w:jc w:val="left"/>
        <w:rPr>
          <w:color w:val="000000" w:themeColor="text1"/>
        </w:rPr>
      </w:pPr>
      <w:r w:rsidRPr="00A67C11">
        <w:rPr>
          <w:color w:val="000000" w:themeColor="text1"/>
        </w:rPr>
        <w:t>Richard R. Parsons (Reg. No. 0082270)</w:t>
      </w:r>
    </w:p>
    <w:p w14:paraId="54B4B48A" w14:textId="77777777" w:rsidR="00A67C11" w:rsidRPr="00A67C11" w:rsidRDefault="00A67C11" w:rsidP="00A67C11">
      <w:pPr>
        <w:spacing w:line="240" w:lineRule="auto"/>
        <w:jc w:val="left"/>
        <w:rPr>
          <w:color w:val="000000" w:themeColor="text1"/>
        </w:rPr>
      </w:pPr>
      <w:r w:rsidRPr="00A67C11">
        <w:rPr>
          <w:color w:val="000000" w:themeColor="text1"/>
        </w:rPr>
        <w:t>Kravitz, Brown &amp; Dortch, LLC</w:t>
      </w:r>
    </w:p>
    <w:p w14:paraId="337EFDBB" w14:textId="77777777" w:rsidR="00A67C11" w:rsidRPr="00A67C11" w:rsidRDefault="00A67C11" w:rsidP="00A67C11">
      <w:pPr>
        <w:spacing w:line="240" w:lineRule="auto"/>
        <w:jc w:val="left"/>
        <w:rPr>
          <w:color w:val="000000" w:themeColor="text1"/>
        </w:rPr>
      </w:pPr>
      <w:r w:rsidRPr="00A67C11">
        <w:rPr>
          <w:color w:val="000000" w:themeColor="text1"/>
        </w:rPr>
        <w:t>65 East State Street, Suite 200</w:t>
      </w:r>
    </w:p>
    <w:p w14:paraId="29D8C27B" w14:textId="77777777" w:rsidR="00A67C11" w:rsidRPr="00A67C11" w:rsidRDefault="00A67C11" w:rsidP="00A67C11">
      <w:pPr>
        <w:spacing w:line="240" w:lineRule="auto"/>
        <w:jc w:val="left"/>
        <w:rPr>
          <w:color w:val="000000" w:themeColor="text1"/>
        </w:rPr>
      </w:pPr>
      <w:r w:rsidRPr="00A67C11">
        <w:rPr>
          <w:color w:val="000000" w:themeColor="text1"/>
        </w:rPr>
        <w:t>Columbus, OH  43215</w:t>
      </w:r>
    </w:p>
    <w:p w14:paraId="7BA9B076" w14:textId="188CF829" w:rsidR="00A67C11" w:rsidRPr="00A67C11" w:rsidRDefault="00A67C11" w:rsidP="00A67C11">
      <w:pPr>
        <w:spacing w:line="240" w:lineRule="auto"/>
        <w:jc w:val="left"/>
        <w:rPr>
          <w:color w:val="000000" w:themeColor="text1"/>
        </w:rPr>
      </w:pPr>
      <w:r w:rsidRPr="00E2727D">
        <w:t>mdortch@kravitzllc.com</w:t>
      </w:r>
    </w:p>
    <w:p w14:paraId="37E39F85" w14:textId="22A431D4" w:rsidR="00A67C11" w:rsidRPr="00A67C11" w:rsidRDefault="00A67C11" w:rsidP="00A67C11">
      <w:pPr>
        <w:spacing w:line="240" w:lineRule="auto"/>
        <w:jc w:val="left"/>
        <w:rPr>
          <w:color w:val="000000" w:themeColor="text1"/>
        </w:rPr>
      </w:pPr>
      <w:r w:rsidRPr="00E2727D">
        <w:t>rparsons@kravitzllc.com</w:t>
      </w:r>
    </w:p>
    <w:p w14:paraId="326B8683" w14:textId="77777777" w:rsidR="00A67C11" w:rsidRPr="00A67C11" w:rsidRDefault="00A67C11" w:rsidP="00A67C11">
      <w:pPr>
        <w:spacing w:line="240" w:lineRule="auto"/>
        <w:jc w:val="left"/>
        <w:rPr>
          <w:color w:val="000000" w:themeColor="text1"/>
        </w:rPr>
      </w:pPr>
    </w:p>
    <w:p w14:paraId="62141738" w14:textId="77777777" w:rsidR="00A67C11" w:rsidRPr="00A67C11" w:rsidRDefault="00A67C11" w:rsidP="00A67C11">
      <w:pPr>
        <w:spacing w:line="240" w:lineRule="auto"/>
        <w:jc w:val="left"/>
        <w:rPr>
          <w:b/>
          <w:color w:val="000000" w:themeColor="text1"/>
        </w:rPr>
      </w:pPr>
      <w:r w:rsidRPr="00A67C11">
        <w:rPr>
          <w:b/>
          <w:color w:val="000000" w:themeColor="text1"/>
        </w:rPr>
        <w:t>Counsel for Noble Americas Energy Solutions LLC</w:t>
      </w:r>
    </w:p>
    <w:p w14:paraId="37CBB20F" w14:textId="77777777" w:rsidR="00A67C11" w:rsidRPr="00A67C11" w:rsidRDefault="00A67C11" w:rsidP="00A67C11">
      <w:pPr>
        <w:spacing w:line="240" w:lineRule="auto"/>
        <w:jc w:val="left"/>
        <w:rPr>
          <w:color w:val="000000" w:themeColor="text1"/>
        </w:rPr>
      </w:pPr>
    </w:p>
    <w:p w14:paraId="1C7AC6D0" w14:textId="77777777" w:rsidR="00A67C11" w:rsidRPr="00A67C11" w:rsidRDefault="00A67C11" w:rsidP="00A67C11">
      <w:pPr>
        <w:spacing w:line="240" w:lineRule="auto"/>
        <w:jc w:val="left"/>
        <w:rPr>
          <w:color w:val="000000" w:themeColor="text1"/>
        </w:rPr>
      </w:pPr>
      <w:r w:rsidRPr="00A67C11">
        <w:rPr>
          <w:color w:val="000000" w:themeColor="text1"/>
        </w:rPr>
        <w:lastRenderedPageBreak/>
        <w:t>Colleen L. Mooney</w:t>
      </w:r>
    </w:p>
    <w:p w14:paraId="2D29D97A" w14:textId="77777777" w:rsidR="00A67C11" w:rsidRPr="00A67C11" w:rsidRDefault="00A67C11" w:rsidP="00A67C11">
      <w:pPr>
        <w:spacing w:line="240" w:lineRule="auto"/>
        <w:jc w:val="left"/>
        <w:rPr>
          <w:color w:val="000000" w:themeColor="text1"/>
        </w:rPr>
      </w:pPr>
      <w:r w:rsidRPr="00A67C11">
        <w:rPr>
          <w:color w:val="000000" w:themeColor="text1"/>
        </w:rPr>
        <w:t>231 West Lima Street</w:t>
      </w:r>
    </w:p>
    <w:p w14:paraId="3988F4D6" w14:textId="77777777" w:rsidR="00A67C11" w:rsidRPr="00A67C11" w:rsidRDefault="00A67C11" w:rsidP="00A67C11">
      <w:pPr>
        <w:spacing w:line="240" w:lineRule="auto"/>
        <w:jc w:val="left"/>
        <w:rPr>
          <w:color w:val="000000" w:themeColor="text1"/>
        </w:rPr>
      </w:pPr>
      <w:r w:rsidRPr="00A67C11">
        <w:rPr>
          <w:color w:val="000000" w:themeColor="text1"/>
        </w:rPr>
        <w:t>PO Box 1793</w:t>
      </w:r>
    </w:p>
    <w:p w14:paraId="56259593" w14:textId="77777777" w:rsidR="00A67C11" w:rsidRPr="00A67C11" w:rsidRDefault="00A67C11" w:rsidP="00A67C11">
      <w:pPr>
        <w:spacing w:line="240" w:lineRule="auto"/>
        <w:jc w:val="left"/>
        <w:rPr>
          <w:color w:val="000000" w:themeColor="text1"/>
        </w:rPr>
      </w:pPr>
      <w:r w:rsidRPr="00A67C11">
        <w:rPr>
          <w:color w:val="000000" w:themeColor="text1"/>
        </w:rPr>
        <w:t>Findlay, OH  45839-1793</w:t>
      </w:r>
    </w:p>
    <w:p w14:paraId="7AE80E74" w14:textId="0F037AE1" w:rsidR="00A67C11" w:rsidRPr="00A67C11" w:rsidRDefault="00A67C11" w:rsidP="00A67C11">
      <w:pPr>
        <w:spacing w:line="240" w:lineRule="auto"/>
        <w:jc w:val="left"/>
        <w:rPr>
          <w:color w:val="000000" w:themeColor="text1"/>
        </w:rPr>
      </w:pPr>
      <w:r w:rsidRPr="00E2727D">
        <w:t>cmooney@ohiopartners.org</w:t>
      </w:r>
    </w:p>
    <w:p w14:paraId="337F611E" w14:textId="77777777" w:rsidR="00A67C11" w:rsidRPr="00A67C11" w:rsidRDefault="00A67C11" w:rsidP="00A67C11">
      <w:pPr>
        <w:spacing w:line="240" w:lineRule="auto"/>
        <w:jc w:val="left"/>
        <w:rPr>
          <w:color w:val="000000" w:themeColor="text1"/>
        </w:rPr>
      </w:pPr>
    </w:p>
    <w:p w14:paraId="38BD81CF" w14:textId="77777777" w:rsidR="00A67C11" w:rsidRPr="00A67C11" w:rsidRDefault="00A67C11" w:rsidP="00A67C11">
      <w:pPr>
        <w:spacing w:line="240" w:lineRule="auto"/>
        <w:jc w:val="left"/>
        <w:rPr>
          <w:b/>
          <w:color w:val="000000" w:themeColor="text1"/>
        </w:rPr>
      </w:pPr>
      <w:r w:rsidRPr="00A67C11">
        <w:rPr>
          <w:b/>
          <w:color w:val="000000" w:themeColor="text1"/>
        </w:rPr>
        <w:t>Counsel for Ohio Partners for Affordable Energy</w:t>
      </w:r>
    </w:p>
    <w:p w14:paraId="5929A7BB" w14:textId="77777777" w:rsidR="00A67C11" w:rsidRPr="00A67C11" w:rsidRDefault="00A67C11" w:rsidP="00A67C11">
      <w:pPr>
        <w:spacing w:line="240" w:lineRule="auto"/>
        <w:jc w:val="left"/>
        <w:rPr>
          <w:color w:val="000000" w:themeColor="text1"/>
        </w:rPr>
      </w:pPr>
    </w:p>
    <w:p w14:paraId="2E14A05A" w14:textId="77777777" w:rsidR="00A67C11" w:rsidRPr="00A67C11" w:rsidRDefault="00A67C11" w:rsidP="00A67C11">
      <w:pPr>
        <w:spacing w:line="240" w:lineRule="auto"/>
        <w:jc w:val="left"/>
        <w:rPr>
          <w:color w:val="000000" w:themeColor="text1"/>
        </w:rPr>
      </w:pPr>
      <w:r w:rsidRPr="00A67C11">
        <w:rPr>
          <w:color w:val="000000" w:themeColor="text1"/>
        </w:rPr>
        <w:t>Trent Dougherty (Reg. No. 0079817)</w:t>
      </w:r>
    </w:p>
    <w:p w14:paraId="68587A5B" w14:textId="77777777" w:rsidR="00A67C11" w:rsidRPr="00A67C11" w:rsidRDefault="00A67C11" w:rsidP="00A67C11">
      <w:pPr>
        <w:spacing w:line="240" w:lineRule="auto"/>
        <w:jc w:val="left"/>
        <w:rPr>
          <w:color w:val="000000" w:themeColor="text1"/>
        </w:rPr>
      </w:pPr>
      <w:r w:rsidRPr="00A67C11">
        <w:rPr>
          <w:color w:val="000000" w:themeColor="text1"/>
        </w:rPr>
        <w:t>1145 Chesapeake Ave., Suite I</w:t>
      </w:r>
    </w:p>
    <w:p w14:paraId="255AD0D9" w14:textId="77777777" w:rsidR="00A67C11" w:rsidRPr="00A67C11" w:rsidRDefault="00A67C11" w:rsidP="00A67C11">
      <w:pPr>
        <w:spacing w:line="240" w:lineRule="auto"/>
        <w:jc w:val="left"/>
        <w:rPr>
          <w:color w:val="000000" w:themeColor="text1"/>
        </w:rPr>
      </w:pPr>
      <w:r w:rsidRPr="00A67C11">
        <w:rPr>
          <w:color w:val="000000" w:themeColor="text1"/>
        </w:rPr>
        <w:t>Columbus, OH  43212-3449</w:t>
      </w:r>
    </w:p>
    <w:p w14:paraId="280ADBDE" w14:textId="3FDA3611" w:rsidR="00A67C11" w:rsidRPr="00A67C11" w:rsidRDefault="00A67C11" w:rsidP="00A67C11">
      <w:pPr>
        <w:spacing w:line="240" w:lineRule="auto"/>
        <w:jc w:val="left"/>
        <w:rPr>
          <w:color w:val="000000" w:themeColor="text1"/>
        </w:rPr>
      </w:pPr>
      <w:r w:rsidRPr="00E2727D">
        <w:t>tdougherty@theOEC.org</w:t>
      </w:r>
    </w:p>
    <w:p w14:paraId="43A18E9E" w14:textId="77777777" w:rsidR="00A67C11" w:rsidRPr="00A67C11" w:rsidRDefault="00A67C11" w:rsidP="00A67C11">
      <w:pPr>
        <w:spacing w:line="240" w:lineRule="auto"/>
        <w:jc w:val="left"/>
        <w:rPr>
          <w:color w:val="000000" w:themeColor="text1"/>
        </w:rPr>
      </w:pPr>
    </w:p>
    <w:p w14:paraId="27E91B5E" w14:textId="77777777" w:rsidR="00A67C11" w:rsidRPr="00A67C11" w:rsidRDefault="00A67C11" w:rsidP="00A67C11">
      <w:pPr>
        <w:spacing w:line="240" w:lineRule="auto"/>
        <w:jc w:val="left"/>
        <w:rPr>
          <w:b/>
          <w:color w:val="000000" w:themeColor="text1"/>
        </w:rPr>
      </w:pPr>
      <w:r w:rsidRPr="00A67C11">
        <w:rPr>
          <w:b/>
          <w:color w:val="000000" w:themeColor="text1"/>
        </w:rPr>
        <w:t>Counsel for the Ohio Environmental Council and Environmental Defense Fund</w:t>
      </w:r>
    </w:p>
    <w:p w14:paraId="34CBA211" w14:textId="77777777" w:rsidR="00A67C11" w:rsidRPr="00A67C11" w:rsidRDefault="00A67C11" w:rsidP="00A67C11">
      <w:pPr>
        <w:spacing w:line="240" w:lineRule="auto"/>
        <w:jc w:val="left"/>
        <w:rPr>
          <w:color w:val="000000" w:themeColor="text1"/>
        </w:rPr>
      </w:pPr>
    </w:p>
    <w:p w14:paraId="03153381" w14:textId="77777777" w:rsidR="00A67C11" w:rsidRPr="00A67C11" w:rsidRDefault="00A67C11" w:rsidP="00A67C11">
      <w:pPr>
        <w:spacing w:line="240" w:lineRule="auto"/>
        <w:jc w:val="left"/>
        <w:rPr>
          <w:color w:val="000000" w:themeColor="text1"/>
        </w:rPr>
      </w:pPr>
      <w:r w:rsidRPr="00A67C11">
        <w:rPr>
          <w:color w:val="000000" w:themeColor="text1"/>
        </w:rPr>
        <w:t>Joel E. Sechler (Reg. No. 0076320)</w:t>
      </w:r>
    </w:p>
    <w:p w14:paraId="5F65A0B9" w14:textId="77777777" w:rsidR="00A67C11" w:rsidRPr="00A67C11" w:rsidRDefault="00A67C11" w:rsidP="00A67C11">
      <w:pPr>
        <w:spacing w:line="240" w:lineRule="auto"/>
        <w:jc w:val="left"/>
        <w:rPr>
          <w:color w:val="000000" w:themeColor="text1"/>
        </w:rPr>
      </w:pPr>
      <w:r w:rsidRPr="00A67C11">
        <w:rPr>
          <w:color w:val="000000" w:themeColor="text1"/>
        </w:rPr>
        <w:t>Carpenter Lipps &amp; Leland LLP</w:t>
      </w:r>
    </w:p>
    <w:p w14:paraId="58D3B046" w14:textId="77777777" w:rsidR="00A67C11" w:rsidRPr="00A67C11" w:rsidRDefault="00A67C11" w:rsidP="00A67C11">
      <w:pPr>
        <w:spacing w:line="240" w:lineRule="auto"/>
        <w:jc w:val="left"/>
        <w:rPr>
          <w:color w:val="000000" w:themeColor="text1"/>
        </w:rPr>
      </w:pPr>
      <w:r w:rsidRPr="00A67C11">
        <w:rPr>
          <w:color w:val="000000" w:themeColor="text1"/>
        </w:rPr>
        <w:t>280 North High Street, Suite 1300</w:t>
      </w:r>
    </w:p>
    <w:p w14:paraId="4C1E60D2" w14:textId="77777777" w:rsidR="00A67C11" w:rsidRPr="00A67C11" w:rsidRDefault="00A67C11" w:rsidP="00A67C11">
      <w:pPr>
        <w:spacing w:line="240" w:lineRule="auto"/>
        <w:jc w:val="left"/>
        <w:rPr>
          <w:color w:val="000000" w:themeColor="text1"/>
        </w:rPr>
      </w:pPr>
      <w:r w:rsidRPr="00A67C11">
        <w:rPr>
          <w:color w:val="000000" w:themeColor="text1"/>
        </w:rPr>
        <w:t>Columbus, OH  43215</w:t>
      </w:r>
    </w:p>
    <w:p w14:paraId="447527A3" w14:textId="3E1029BB" w:rsidR="00A67C11" w:rsidRPr="00A67C11" w:rsidRDefault="00A67C11" w:rsidP="00A67C11">
      <w:pPr>
        <w:spacing w:line="240" w:lineRule="auto"/>
        <w:jc w:val="left"/>
        <w:rPr>
          <w:color w:val="000000" w:themeColor="text1"/>
        </w:rPr>
      </w:pPr>
      <w:r w:rsidRPr="00E2727D">
        <w:t>Sechler@carpenterlipps.com</w:t>
      </w:r>
    </w:p>
    <w:p w14:paraId="5D7E7FC4" w14:textId="77777777" w:rsidR="00A67C11" w:rsidRPr="00A67C11" w:rsidRDefault="00A67C11" w:rsidP="00A67C11">
      <w:pPr>
        <w:spacing w:line="240" w:lineRule="auto"/>
        <w:jc w:val="left"/>
        <w:rPr>
          <w:color w:val="000000" w:themeColor="text1"/>
        </w:rPr>
      </w:pPr>
    </w:p>
    <w:p w14:paraId="58F85D17" w14:textId="77777777" w:rsidR="00A67C11" w:rsidRPr="00A67C11" w:rsidRDefault="00A67C11" w:rsidP="00A67C11">
      <w:pPr>
        <w:spacing w:line="240" w:lineRule="auto"/>
        <w:jc w:val="left"/>
        <w:rPr>
          <w:color w:val="000000" w:themeColor="text1"/>
        </w:rPr>
      </w:pPr>
      <w:r w:rsidRPr="00A67C11">
        <w:rPr>
          <w:color w:val="000000" w:themeColor="text1"/>
        </w:rPr>
        <w:t>Gregory J. Poulos (Reg. No. 0070532)</w:t>
      </w:r>
    </w:p>
    <w:p w14:paraId="4B1821DB" w14:textId="77777777" w:rsidR="00A67C11" w:rsidRPr="00A67C11" w:rsidRDefault="00A67C11" w:rsidP="00A67C11">
      <w:pPr>
        <w:spacing w:line="240" w:lineRule="auto"/>
        <w:jc w:val="left"/>
        <w:rPr>
          <w:color w:val="000000" w:themeColor="text1"/>
        </w:rPr>
      </w:pPr>
      <w:r w:rsidRPr="00A67C11">
        <w:rPr>
          <w:color w:val="000000" w:themeColor="text1"/>
        </w:rPr>
        <w:t>EnerNOC, Inc.</w:t>
      </w:r>
    </w:p>
    <w:p w14:paraId="77D7BAFA" w14:textId="77777777" w:rsidR="00A67C11" w:rsidRPr="00A67C11" w:rsidRDefault="00A67C11" w:rsidP="00A67C11">
      <w:pPr>
        <w:spacing w:line="240" w:lineRule="auto"/>
        <w:jc w:val="left"/>
        <w:rPr>
          <w:color w:val="000000" w:themeColor="text1"/>
        </w:rPr>
      </w:pPr>
      <w:r w:rsidRPr="00A67C11">
        <w:rPr>
          <w:color w:val="000000" w:themeColor="text1"/>
        </w:rPr>
        <w:t>PO Box 29492</w:t>
      </w:r>
    </w:p>
    <w:p w14:paraId="2A2D02A8" w14:textId="77777777" w:rsidR="00A67C11" w:rsidRPr="00A67C11" w:rsidRDefault="00A67C11" w:rsidP="00A67C11">
      <w:pPr>
        <w:spacing w:line="240" w:lineRule="auto"/>
        <w:jc w:val="left"/>
        <w:rPr>
          <w:color w:val="000000" w:themeColor="text1"/>
        </w:rPr>
      </w:pPr>
      <w:r w:rsidRPr="00A67C11">
        <w:rPr>
          <w:color w:val="000000" w:themeColor="text1"/>
        </w:rPr>
        <w:t>Columbus, OH  43229</w:t>
      </w:r>
    </w:p>
    <w:p w14:paraId="1BCBA7FF" w14:textId="48E7BF0D" w:rsidR="00A67C11" w:rsidRPr="00A67C11" w:rsidRDefault="00A67C11" w:rsidP="00A67C11">
      <w:pPr>
        <w:spacing w:line="240" w:lineRule="auto"/>
        <w:jc w:val="left"/>
        <w:rPr>
          <w:color w:val="000000" w:themeColor="text1"/>
        </w:rPr>
      </w:pPr>
      <w:r w:rsidRPr="00E2727D">
        <w:t>gpoulos@enernoc.com</w:t>
      </w:r>
    </w:p>
    <w:p w14:paraId="6EF8A79E" w14:textId="77777777" w:rsidR="00A67C11" w:rsidRPr="00A67C11" w:rsidRDefault="00A67C11" w:rsidP="00A67C11">
      <w:pPr>
        <w:spacing w:line="240" w:lineRule="auto"/>
        <w:jc w:val="left"/>
        <w:rPr>
          <w:color w:val="000000" w:themeColor="text1"/>
        </w:rPr>
      </w:pPr>
    </w:p>
    <w:p w14:paraId="54434B43" w14:textId="77777777" w:rsidR="00A67C11" w:rsidRPr="00A67C11" w:rsidRDefault="00A67C11" w:rsidP="00A67C11">
      <w:pPr>
        <w:spacing w:line="240" w:lineRule="auto"/>
        <w:jc w:val="left"/>
        <w:rPr>
          <w:b/>
          <w:color w:val="000000" w:themeColor="text1"/>
        </w:rPr>
      </w:pPr>
      <w:r w:rsidRPr="00A67C11">
        <w:rPr>
          <w:b/>
          <w:color w:val="000000" w:themeColor="text1"/>
        </w:rPr>
        <w:t>Counsel for EnerNOC, Inc.</w:t>
      </w:r>
    </w:p>
    <w:p w14:paraId="34AB34B7" w14:textId="77777777" w:rsidR="00A67C11" w:rsidRPr="00A67C11" w:rsidRDefault="00A67C11" w:rsidP="00A67C11">
      <w:pPr>
        <w:spacing w:line="240" w:lineRule="auto"/>
        <w:jc w:val="left"/>
        <w:rPr>
          <w:color w:val="000000" w:themeColor="text1"/>
        </w:rPr>
      </w:pPr>
    </w:p>
    <w:p w14:paraId="27120F1F" w14:textId="6451D838" w:rsidR="00A67C11" w:rsidRPr="00A67C11" w:rsidRDefault="00104615" w:rsidP="00A67C11">
      <w:pPr>
        <w:spacing w:line="240" w:lineRule="auto"/>
        <w:jc w:val="left"/>
        <w:rPr>
          <w:color w:val="000000" w:themeColor="text1"/>
        </w:rPr>
      </w:pPr>
      <w:r>
        <w:rPr>
          <w:color w:val="000000" w:themeColor="text1"/>
        </w:rPr>
        <w:br w:type="column"/>
      </w:r>
      <w:r w:rsidR="00A67C11" w:rsidRPr="00A67C11">
        <w:rPr>
          <w:color w:val="000000" w:themeColor="text1"/>
        </w:rPr>
        <w:t>Richard L. Sites</w:t>
      </w:r>
    </w:p>
    <w:p w14:paraId="7ADAEC67" w14:textId="77777777" w:rsidR="00A67C11" w:rsidRPr="00A67C11" w:rsidRDefault="00A67C11" w:rsidP="00A67C11">
      <w:pPr>
        <w:spacing w:line="240" w:lineRule="auto"/>
        <w:jc w:val="left"/>
        <w:rPr>
          <w:color w:val="000000" w:themeColor="text1"/>
        </w:rPr>
      </w:pPr>
      <w:r w:rsidRPr="00A67C11">
        <w:rPr>
          <w:color w:val="000000" w:themeColor="text1"/>
        </w:rPr>
        <w:t>Regulatory Counsel</w:t>
      </w:r>
    </w:p>
    <w:p w14:paraId="3BAC2AF2" w14:textId="77777777" w:rsidR="00A67C11" w:rsidRPr="00A67C11" w:rsidRDefault="00A67C11" w:rsidP="00A67C11">
      <w:pPr>
        <w:spacing w:line="240" w:lineRule="auto"/>
        <w:jc w:val="left"/>
        <w:rPr>
          <w:color w:val="000000" w:themeColor="text1"/>
        </w:rPr>
      </w:pPr>
      <w:r w:rsidRPr="00A67C11">
        <w:rPr>
          <w:color w:val="000000" w:themeColor="text1"/>
        </w:rPr>
        <w:t>Ohio Hospital Association</w:t>
      </w:r>
    </w:p>
    <w:p w14:paraId="56F865BF" w14:textId="77777777" w:rsidR="00A67C11" w:rsidRPr="00A67C11" w:rsidRDefault="00A67C11" w:rsidP="00A67C11">
      <w:pPr>
        <w:spacing w:line="240" w:lineRule="auto"/>
        <w:jc w:val="left"/>
        <w:rPr>
          <w:color w:val="000000" w:themeColor="text1"/>
        </w:rPr>
      </w:pPr>
      <w:r w:rsidRPr="00A67C11">
        <w:rPr>
          <w:color w:val="000000" w:themeColor="text1"/>
        </w:rPr>
        <w:t>155 East Broad Street, 3</w:t>
      </w:r>
      <w:r w:rsidRPr="00A67C11">
        <w:rPr>
          <w:color w:val="000000" w:themeColor="text1"/>
          <w:vertAlign w:val="superscript"/>
        </w:rPr>
        <w:t>rd</w:t>
      </w:r>
      <w:r w:rsidRPr="00A67C11">
        <w:rPr>
          <w:color w:val="000000" w:themeColor="text1"/>
        </w:rPr>
        <w:t xml:space="preserve"> Floor</w:t>
      </w:r>
    </w:p>
    <w:p w14:paraId="12643671" w14:textId="77777777" w:rsidR="00A67C11" w:rsidRPr="00A67C11" w:rsidRDefault="00A67C11" w:rsidP="00A67C11">
      <w:pPr>
        <w:spacing w:line="240" w:lineRule="auto"/>
        <w:jc w:val="left"/>
        <w:rPr>
          <w:color w:val="000000" w:themeColor="text1"/>
        </w:rPr>
      </w:pPr>
      <w:r w:rsidRPr="00A67C11">
        <w:rPr>
          <w:color w:val="000000" w:themeColor="text1"/>
        </w:rPr>
        <w:t>Columbus, OH  43215-3620</w:t>
      </w:r>
    </w:p>
    <w:p w14:paraId="29894FAA" w14:textId="79AE2E60" w:rsidR="00A67C11" w:rsidRPr="00A67C11" w:rsidRDefault="00A67C11" w:rsidP="00A67C11">
      <w:pPr>
        <w:spacing w:line="240" w:lineRule="auto"/>
        <w:jc w:val="left"/>
        <w:rPr>
          <w:color w:val="000000" w:themeColor="text1"/>
        </w:rPr>
      </w:pPr>
      <w:r w:rsidRPr="00E2727D">
        <w:t>rick.sites@ohiohospitals.org</w:t>
      </w:r>
    </w:p>
    <w:p w14:paraId="13C1F298" w14:textId="77777777" w:rsidR="00A67C11" w:rsidRPr="00A67C11" w:rsidRDefault="00A67C11" w:rsidP="00A67C11">
      <w:pPr>
        <w:spacing w:line="240" w:lineRule="auto"/>
        <w:jc w:val="left"/>
        <w:rPr>
          <w:color w:val="000000" w:themeColor="text1"/>
        </w:rPr>
      </w:pPr>
    </w:p>
    <w:p w14:paraId="12846FC9" w14:textId="77777777" w:rsidR="00A67C11" w:rsidRPr="00A67C11" w:rsidRDefault="00A67C11" w:rsidP="00A67C11">
      <w:pPr>
        <w:spacing w:line="240" w:lineRule="auto"/>
        <w:jc w:val="left"/>
        <w:rPr>
          <w:color w:val="000000" w:themeColor="text1"/>
        </w:rPr>
      </w:pPr>
      <w:r w:rsidRPr="00A67C11">
        <w:rPr>
          <w:color w:val="000000" w:themeColor="text1"/>
        </w:rPr>
        <w:t>Thomas J. O’Brien</w:t>
      </w:r>
    </w:p>
    <w:p w14:paraId="7DC13F31" w14:textId="77777777" w:rsidR="00A67C11" w:rsidRPr="00A67C11" w:rsidRDefault="00A67C11" w:rsidP="00A67C11">
      <w:pPr>
        <w:spacing w:line="240" w:lineRule="auto"/>
        <w:jc w:val="left"/>
        <w:rPr>
          <w:color w:val="000000" w:themeColor="text1"/>
        </w:rPr>
      </w:pPr>
      <w:r w:rsidRPr="00A67C11">
        <w:rPr>
          <w:color w:val="000000" w:themeColor="text1"/>
        </w:rPr>
        <w:t>Bricker &amp; Eckler LLP</w:t>
      </w:r>
    </w:p>
    <w:p w14:paraId="79A23E72" w14:textId="77777777" w:rsidR="00A67C11" w:rsidRPr="00A67C11" w:rsidRDefault="00A67C11" w:rsidP="00A67C11">
      <w:pPr>
        <w:spacing w:line="240" w:lineRule="auto"/>
        <w:jc w:val="left"/>
        <w:rPr>
          <w:color w:val="000000" w:themeColor="text1"/>
        </w:rPr>
      </w:pPr>
      <w:r w:rsidRPr="00A67C11">
        <w:rPr>
          <w:color w:val="000000" w:themeColor="text1"/>
        </w:rPr>
        <w:t>100 South Third Street</w:t>
      </w:r>
    </w:p>
    <w:p w14:paraId="6042A129" w14:textId="77777777" w:rsidR="00A67C11" w:rsidRPr="00A67C11" w:rsidRDefault="00A67C11" w:rsidP="00A67C11">
      <w:pPr>
        <w:spacing w:line="240" w:lineRule="auto"/>
        <w:jc w:val="left"/>
        <w:rPr>
          <w:color w:val="000000" w:themeColor="text1"/>
        </w:rPr>
      </w:pPr>
      <w:r w:rsidRPr="00A67C11">
        <w:rPr>
          <w:color w:val="000000" w:themeColor="text1"/>
        </w:rPr>
        <w:t>Columbus, OH  43215-4291</w:t>
      </w:r>
    </w:p>
    <w:p w14:paraId="772D8492" w14:textId="79755A1C" w:rsidR="00A67C11" w:rsidRPr="00A67C11" w:rsidRDefault="00A67C11" w:rsidP="00A67C11">
      <w:pPr>
        <w:spacing w:line="240" w:lineRule="auto"/>
        <w:jc w:val="left"/>
        <w:rPr>
          <w:color w:val="000000" w:themeColor="text1"/>
        </w:rPr>
      </w:pPr>
      <w:r w:rsidRPr="00E2727D">
        <w:t>tobrien@bricker.com</w:t>
      </w:r>
    </w:p>
    <w:p w14:paraId="2843DDB6" w14:textId="77777777" w:rsidR="00A67C11" w:rsidRPr="00A67C11" w:rsidRDefault="00A67C11" w:rsidP="00A67C11">
      <w:pPr>
        <w:spacing w:line="240" w:lineRule="auto"/>
        <w:jc w:val="left"/>
        <w:rPr>
          <w:color w:val="000000" w:themeColor="text1"/>
        </w:rPr>
      </w:pPr>
    </w:p>
    <w:p w14:paraId="4E9D4E95" w14:textId="77777777" w:rsidR="00A67C11" w:rsidRPr="00A67C11" w:rsidRDefault="00A67C11" w:rsidP="00A67C11">
      <w:pPr>
        <w:spacing w:line="240" w:lineRule="auto"/>
        <w:jc w:val="left"/>
        <w:rPr>
          <w:b/>
          <w:color w:val="000000" w:themeColor="text1"/>
        </w:rPr>
      </w:pPr>
      <w:r w:rsidRPr="00A67C11">
        <w:rPr>
          <w:b/>
          <w:color w:val="000000" w:themeColor="text1"/>
        </w:rPr>
        <w:t>Counsel for The Ohio Hospital Association</w:t>
      </w:r>
    </w:p>
    <w:p w14:paraId="03DC7E34" w14:textId="77777777" w:rsidR="00A67C11" w:rsidRPr="00A67C11" w:rsidRDefault="00A67C11" w:rsidP="00A67C11">
      <w:pPr>
        <w:spacing w:line="240" w:lineRule="auto"/>
        <w:jc w:val="left"/>
        <w:rPr>
          <w:b/>
          <w:color w:val="000000" w:themeColor="text1"/>
        </w:rPr>
      </w:pPr>
    </w:p>
    <w:p w14:paraId="3CE23CB9" w14:textId="77777777" w:rsidR="00A67C11" w:rsidRPr="00A67C11" w:rsidRDefault="00A67C11" w:rsidP="00A67C11">
      <w:pPr>
        <w:spacing w:line="240" w:lineRule="auto"/>
        <w:jc w:val="left"/>
        <w:rPr>
          <w:color w:val="000000" w:themeColor="text1"/>
        </w:rPr>
      </w:pPr>
      <w:r w:rsidRPr="00A67C11">
        <w:rPr>
          <w:color w:val="000000" w:themeColor="text1"/>
        </w:rPr>
        <w:t>Richard C. Sahli (Reg. No. 0007360)</w:t>
      </w:r>
    </w:p>
    <w:p w14:paraId="4E406903" w14:textId="77777777" w:rsidR="00A67C11" w:rsidRPr="00A67C11" w:rsidRDefault="00A67C11" w:rsidP="00A67C11">
      <w:pPr>
        <w:spacing w:line="240" w:lineRule="auto"/>
        <w:jc w:val="left"/>
        <w:rPr>
          <w:color w:val="000000" w:themeColor="text1"/>
        </w:rPr>
      </w:pPr>
      <w:r w:rsidRPr="00A67C11">
        <w:rPr>
          <w:color w:val="000000" w:themeColor="text1"/>
        </w:rPr>
        <w:t>Richard Sahli Law Office, LLC</w:t>
      </w:r>
    </w:p>
    <w:p w14:paraId="18096FD5" w14:textId="77777777" w:rsidR="00A67C11" w:rsidRPr="00A67C11" w:rsidRDefault="00A67C11" w:rsidP="00A67C11">
      <w:pPr>
        <w:spacing w:line="240" w:lineRule="auto"/>
        <w:jc w:val="left"/>
        <w:rPr>
          <w:color w:val="000000" w:themeColor="text1"/>
        </w:rPr>
      </w:pPr>
      <w:r w:rsidRPr="00A67C11">
        <w:rPr>
          <w:color w:val="000000" w:themeColor="text1"/>
        </w:rPr>
        <w:t>981 Pinewood Lane</w:t>
      </w:r>
    </w:p>
    <w:p w14:paraId="3D140CC1" w14:textId="77777777" w:rsidR="00A67C11" w:rsidRPr="00A67C11" w:rsidRDefault="00A67C11" w:rsidP="00A67C11">
      <w:pPr>
        <w:spacing w:line="240" w:lineRule="auto"/>
        <w:jc w:val="left"/>
        <w:rPr>
          <w:color w:val="000000" w:themeColor="text1"/>
        </w:rPr>
      </w:pPr>
      <w:r w:rsidRPr="00A67C11">
        <w:rPr>
          <w:color w:val="000000" w:themeColor="text1"/>
        </w:rPr>
        <w:t>Columbus, OH  43230-3662</w:t>
      </w:r>
    </w:p>
    <w:p w14:paraId="453A21CD" w14:textId="260295B0" w:rsidR="00A67C11" w:rsidRPr="00A67C11" w:rsidRDefault="00A67C11" w:rsidP="00A67C11">
      <w:pPr>
        <w:spacing w:line="240" w:lineRule="auto"/>
        <w:jc w:val="left"/>
        <w:rPr>
          <w:color w:val="000000" w:themeColor="text1"/>
        </w:rPr>
      </w:pPr>
      <w:r w:rsidRPr="00E2727D">
        <w:t>rsahli@columbus.rr.com</w:t>
      </w:r>
    </w:p>
    <w:p w14:paraId="622F9F92" w14:textId="77777777" w:rsidR="00A67C11" w:rsidRPr="00A67C11" w:rsidRDefault="00A67C11" w:rsidP="00A67C11">
      <w:pPr>
        <w:spacing w:line="240" w:lineRule="auto"/>
        <w:jc w:val="left"/>
        <w:rPr>
          <w:color w:val="000000" w:themeColor="text1"/>
        </w:rPr>
      </w:pPr>
    </w:p>
    <w:p w14:paraId="580985AB" w14:textId="77777777" w:rsidR="00A67C11" w:rsidRPr="00A67C11" w:rsidRDefault="00A67C11" w:rsidP="00A67C11">
      <w:pPr>
        <w:spacing w:line="240" w:lineRule="auto"/>
        <w:jc w:val="left"/>
        <w:rPr>
          <w:b/>
          <w:color w:val="000000" w:themeColor="text1"/>
        </w:rPr>
      </w:pPr>
      <w:r w:rsidRPr="00A67C11">
        <w:rPr>
          <w:b/>
          <w:color w:val="000000" w:themeColor="text1"/>
        </w:rPr>
        <w:t>Counsel for Sierra Club</w:t>
      </w:r>
    </w:p>
    <w:p w14:paraId="0059E4F7" w14:textId="77777777" w:rsidR="00A67C11" w:rsidRPr="00A67C11" w:rsidRDefault="00A67C11" w:rsidP="00A67C11">
      <w:pPr>
        <w:spacing w:line="240" w:lineRule="auto"/>
        <w:jc w:val="left"/>
        <w:rPr>
          <w:b/>
          <w:color w:val="000000" w:themeColor="text1"/>
        </w:rPr>
      </w:pPr>
    </w:p>
    <w:p w14:paraId="13B1842A" w14:textId="77777777" w:rsidR="00A67C11" w:rsidRPr="00A67C11" w:rsidRDefault="00A67C11" w:rsidP="00A67C11">
      <w:pPr>
        <w:spacing w:line="240" w:lineRule="auto"/>
        <w:jc w:val="left"/>
        <w:rPr>
          <w:color w:val="000000" w:themeColor="text1"/>
        </w:rPr>
      </w:pPr>
      <w:r w:rsidRPr="00A67C11">
        <w:rPr>
          <w:color w:val="000000" w:themeColor="text1"/>
        </w:rPr>
        <w:t>Steven D. Lesser (Reg. No. 0020242)</w:t>
      </w:r>
    </w:p>
    <w:p w14:paraId="1C280E16" w14:textId="77777777" w:rsidR="00A67C11" w:rsidRPr="00A67C11" w:rsidRDefault="00A67C11" w:rsidP="00A67C11">
      <w:pPr>
        <w:spacing w:line="240" w:lineRule="auto"/>
        <w:jc w:val="left"/>
        <w:rPr>
          <w:color w:val="000000" w:themeColor="text1"/>
        </w:rPr>
      </w:pPr>
      <w:r w:rsidRPr="00A67C11">
        <w:rPr>
          <w:color w:val="000000" w:themeColor="text1"/>
        </w:rPr>
        <w:t>James F. Lang (Reg. No. 0059668)</w:t>
      </w:r>
    </w:p>
    <w:p w14:paraId="47B12722" w14:textId="77777777" w:rsidR="00A67C11" w:rsidRPr="00A67C11" w:rsidRDefault="00A67C11" w:rsidP="00A67C11">
      <w:pPr>
        <w:spacing w:line="240" w:lineRule="auto"/>
        <w:jc w:val="left"/>
        <w:rPr>
          <w:color w:val="000000" w:themeColor="text1"/>
        </w:rPr>
      </w:pPr>
      <w:r w:rsidRPr="00A67C11">
        <w:rPr>
          <w:color w:val="000000" w:themeColor="text1"/>
        </w:rPr>
        <w:t>N. Trevor Alexander (Reg. No. 0080713)</w:t>
      </w:r>
    </w:p>
    <w:p w14:paraId="723717CB" w14:textId="77777777" w:rsidR="00A67C11" w:rsidRPr="00A67C11" w:rsidRDefault="00A67C11" w:rsidP="00A67C11">
      <w:pPr>
        <w:spacing w:line="240" w:lineRule="auto"/>
        <w:jc w:val="left"/>
        <w:rPr>
          <w:color w:val="000000" w:themeColor="text1"/>
        </w:rPr>
      </w:pPr>
      <w:r w:rsidRPr="00A67C11">
        <w:rPr>
          <w:color w:val="000000" w:themeColor="text1"/>
        </w:rPr>
        <w:t>Calfee, Halter &amp; Griswold LLP</w:t>
      </w:r>
    </w:p>
    <w:p w14:paraId="4698BBC9" w14:textId="77777777" w:rsidR="00A67C11" w:rsidRPr="00A67C11" w:rsidRDefault="00A67C11" w:rsidP="00A67C11">
      <w:pPr>
        <w:spacing w:line="240" w:lineRule="auto"/>
        <w:jc w:val="left"/>
        <w:rPr>
          <w:color w:val="000000" w:themeColor="text1"/>
        </w:rPr>
      </w:pPr>
      <w:r w:rsidRPr="00A67C11">
        <w:rPr>
          <w:color w:val="000000" w:themeColor="text1"/>
        </w:rPr>
        <w:t>41 S. High St.</w:t>
      </w:r>
    </w:p>
    <w:p w14:paraId="6C68DD5E" w14:textId="77777777" w:rsidR="00A67C11" w:rsidRPr="00A67C11" w:rsidRDefault="00A67C11" w:rsidP="00A67C11">
      <w:pPr>
        <w:spacing w:line="240" w:lineRule="auto"/>
        <w:jc w:val="left"/>
        <w:rPr>
          <w:color w:val="000000" w:themeColor="text1"/>
        </w:rPr>
      </w:pPr>
      <w:r w:rsidRPr="00A67C11">
        <w:rPr>
          <w:color w:val="000000" w:themeColor="text1"/>
        </w:rPr>
        <w:t>1200 Huntington Center</w:t>
      </w:r>
    </w:p>
    <w:p w14:paraId="0E0146B4" w14:textId="77777777" w:rsidR="00A67C11" w:rsidRPr="00A67C11" w:rsidRDefault="00A67C11" w:rsidP="00A67C11">
      <w:pPr>
        <w:spacing w:line="240" w:lineRule="auto"/>
        <w:jc w:val="left"/>
        <w:rPr>
          <w:color w:val="000000" w:themeColor="text1"/>
        </w:rPr>
      </w:pPr>
      <w:r w:rsidRPr="00A67C11">
        <w:rPr>
          <w:color w:val="000000" w:themeColor="text1"/>
        </w:rPr>
        <w:t>Columbus, OH  43215</w:t>
      </w:r>
    </w:p>
    <w:p w14:paraId="62021C10" w14:textId="33619310" w:rsidR="00A67C11" w:rsidRPr="00A67C11" w:rsidRDefault="00A67C11" w:rsidP="00A67C11">
      <w:pPr>
        <w:spacing w:line="240" w:lineRule="auto"/>
        <w:jc w:val="left"/>
        <w:rPr>
          <w:color w:val="000000" w:themeColor="text1"/>
        </w:rPr>
      </w:pPr>
      <w:r w:rsidRPr="00E2727D">
        <w:t>slesser@calfee.com</w:t>
      </w:r>
    </w:p>
    <w:p w14:paraId="05FB8641" w14:textId="4215FBDD" w:rsidR="00A67C11" w:rsidRPr="00A67C11" w:rsidRDefault="00A67C11" w:rsidP="00A67C11">
      <w:pPr>
        <w:spacing w:line="240" w:lineRule="auto"/>
        <w:jc w:val="left"/>
        <w:rPr>
          <w:color w:val="000000" w:themeColor="text1"/>
        </w:rPr>
      </w:pPr>
      <w:r w:rsidRPr="00E2727D">
        <w:t>jlang@calfee.com</w:t>
      </w:r>
    </w:p>
    <w:p w14:paraId="1D5A296E" w14:textId="31CC554A" w:rsidR="00A67C11" w:rsidRPr="00A67C11" w:rsidRDefault="00A67C11" w:rsidP="00A67C11">
      <w:pPr>
        <w:spacing w:line="240" w:lineRule="auto"/>
        <w:jc w:val="left"/>
        <w:rPr>
          <w:color w:val="000000" w:themeColor="text1"/>
        </w:rPr>
      </w:pPr>
      <w:r w:rsidRPr="00E2727D">
        <w:t>talexander@calfee.com</w:t>
      </w:r>
    </w:p>
    <w:p w14:paraId="26F4352F" w14:textId="77777777" w:rsidR="00A67C11" w:rsidRPr="00A67C11" w:rsidRDefault="00A67C11" w:rsidP="00A67C11">
      <w:pPr>
        <w:spacing w:line="240" w:lineRule="auto"/>
        <w:jc w:val="left"/>
        <w:rPr>
          <w:color w:val="000000" w:themeColor="text1"/>
        </w:rPr>
      </w:pPr>
    </w:p>
    <w:p w14:paraId="01A905D9" w14:textId="77777777" w:rsidR="00A67C11" w:rsidRPr="00A67C11" w:rsidRDefault="00A67C11" w:rsidP="00A67C11">
      <w:pPr>
        <w:spacing w:line="240" w:lineRule="auto"/>
        <w:jc w:val="left"/>
        <w:rPr>
          <w:b/>
          <w:color w:val="000000" w:themeColor="text1"/>
        </w:rPr>
      </w:pPr>
      <w:r w:rsidRPr="00A67C11">
        <w:rPr>
          <w:b/>
          <w:color w:val="000000" w:themeColor="text1"/>
        </w:rPr>
        <w:t>Counsel for the City of Dayton and Honda of America Mfg., Inc.</w:t>
      </w:r>
    </w:p>
    <w:p w14:paraId="4C520B08" w14:textId="77777777" w:rsidR="00A67C11" w:rsidRPr="00A67C11" w:rsidRDefault="00A67C11" w:rsidP="00A67C11">
      <w:pPr>
        <w:spacing w:line="240" w:lineRule="auto"/>
        <w:jc w:val="left"/>
        <w:rPr>
          <w:b/>
          <w:color w:val="000000" w:themeColor="text1"/>
        </w:rPr>
      </w:pPr>
    </w:p>
    <w:p w14:paraId="73D3828F" w14:textId="77777777" w:rsidR="00104615" w:rsidRDefault="00104615" w:rsidP="00A67C11">
      <w:pPr>
        <w:spacing w:line="240" w:lineRule="auto"/>
        <w:jc w:val="left"/>
        <w:rPr>
          <w:color w:val="000000" w:themeColor="text1"/>
        </w:rPr>
        <w:sectPr w:rsidR="00104615" w:rsidSect="00104615">
          <w:pgSz w:w="12240" w:h="15840" w:code="1"/>
          <w:pgMar w:top="1440" w:right="1440" w:bottom="1440" w:left="1440" w:header="720" w:footer="720" w:gutter="0"/>
          <w:pgNumType w:start="1"/>
          <w:cols w:num="2" w:space="720"/>
          <w:titlePg/>
          <w:docGrid w:linePitch="360"/>
        </w:sectPr>
      </w:pPr>
    </w:p>
    <w:p w14:paraId="027E0A67" w14:textId="32E0C432" w:rsidR="00A67C11" w:rsidRPr="00A67C11" w:rsidRDefault="00A67C11" w:rsidP="00A67C11">
      <w:pPr>
        <w:spacing w:line="240" w:lineRule="auto"/>
        <w:jc w:val="left"/>
        <w:rPr>
          <w:color w:val="000000" w:themeColor="text1"/>
        </w:rPr>
      </w:pPr>
      <w:r w:rsidRPr="00A67C11">
        <w:rPr>
          <w:color w:val="000000" w:themeColor="text1"/>
        </w:rPr>
        <w:lastRenderedPageBreak/>
        <w:t>Amy B. Spiller (Reg. No. 0047277</w:t>
      </w:r>
    </w:p>
    <w:p w14:paraId="3861BDDA" w14:textId="77777777" w:rsidR="00A67C11" w:rsidRPr="00A67C11" w:rsidRDefault="00A67C11" w:rsidP="00A67C11">
      <w:pPr>
        <w:spacing w:line="240" w:lineRule="auto"/>
        <w:jc w:val="left"/>
        <w:rPr>
          <w:color w:val="000000" w:themeColor="text1"/>
        </w:rPr>
      </w:pPr>
      <w:r w:rsidRPr="00A67C11">
        <w:rPr>
          <w:color w:val="000000" w:themeColor="text1"/>
        </w:rPr>
        <w:t>Elizabeth H. Watts (Reg. No. 0031092)</w:t>
      </w:r>
    </w:p>
    <w:p w14:paraId="18BD2306" w14:textId="77777777" w:rsidR="00A67C11" w:rsidRPr="00A67C11" w:rsidRDefault="00A67C11" w:rsidP="00A67C11">
      <w:pPr>
        <w:spacing w:line="240" w:lineRule="auto"/>
        <w:jc w:val="left"/>
        <w:rPr>
          <w:color w:val="000000" w:themeColor="text1"/>
        </w:rPr>
      </w:pPr>
      <w:r w:rsidRPr="00A67C11">
        <w:rPr>
          <w:color w:val="000000" w:themeColor="text1"/>
        </w:rPr>
        <w:t>139 East Fourth Street</w:t>
      </w:r>
    </w:p>
    <w:p w14:paraId="2AF56AF5" w14:textId="77777777" w:rsidR="00A67C11" w:rsidRPr="00A67C11" w:rsidRDefault="00A67C11" w:rsidP="00A67C11">
      <w:pPr>
        <w:spacing w:line="240" w:lineRule="auto"/>
        <w:jc w:val="left"/>
        <w:rPr>
          <w:color w:val="000000" w:themeColor="text1"/>
        </w:rPr>
      </w:pPr>
      <w:r w:rsidRPr="00A67C11">
        <w:rPr>
          <w:color w:val="000000" w:themeColor="text1"/>
        </w:rPr>
        <w:t>1303-Main</w:t>
      </w:r>
    </w:p>
    <w:p w14:paraId="24150150" w14:textId="77777777" w:rsidR="00A67C11" w:rsidRPr="00A67C11" w:rsidRDefault="00A67C11" w:rsidP="00A67C11">
      <w:pPr>
        <w:spacing w:line="240" w:lineRule="auto"/>
        <w:jc w:val="left"/>
        <w:rPr>
          <w:color w:val="000000" w:themeColor="text1"/>
        </w:rPr>
      </w:pPr>
      <w:r w:rsidRPr="00A67C11">
        <w:rPr>
          <w:color w:val="000000" w:themeColor="text1"/>
        </w:rPr>
        <w:t>Cincinnati, OH  45202</w:t>
      </w:r>
    </w:p>
    <w:p w14:paraId="54E01867" w14:textId="77777777" w:rsidR="00A67C11" w:rsidRPr="00A67C11" w:rsidRDefault="00A67C11" w:rsidP="00A67C11">
      <w:pPr>
        <w:spacing w:line="240" w:lineRule="auto"/>
        <w:jc w:val="left"/>
        <w:rPr>
          <w:color w:val="000000" w:themeColor="text1"/>
        </w:rPr>
      </w:pPr>
    </w:p>
    <w:p w14:paraId="3415060E" w14:textId="77777777" w:rsidR="00A67C11" w:rsidRPr="00A67C11" w:rsidRDefault="00A67C11" w:rsidP="00A67C11">
      <w:pPr>
        <w:spacing w:line="240" w:lineRule="auto"/>
        <w:jc w:val="left"/>
        <w:rPr>
          <w:b/>
          <w:color w:val="000000" w:themeColor="text1"/>
        </w:rPr>
      </w:pPr>
      <w:r w:rsidRPr="00A67C11">
        <w:rPr>
          <w:b/>
          <w:color w:val="000000" w:themeColor="text1"/>
        </w:rPr>
        <w:t>Counsel for the Duke energy Ohio, Inc.</w:t>
      </w:r>
    </w:p>
    <w:p w14:paraId="25960A60" w14:textId="77777777" w:rsidR="00A67C11" w:rsidRPr="00A67C11" w:rsidRDefault="00A67C11" w:rsidP="00A67C11">
      <w:pPr>
        <w:spacing w:line="240" w:lineRule="auto"/>
        <w:jc w:val="left"/>
        <w:rPr>
          <w:color w:val="000000" w:themeColor="text1"/>
        </w:rPr>
      </w:pPr>
    </w:p>
    <w:p w14:paraId="0818BCB3" w14:textId="77777777" w:rsidR="00A67C11" w:rsidRPr="00A67C11" w:rsidRDefault="00A67C11" w:rsidP="00A67C11">
      <w:pPr>
        <w:spacing w:line="240" w:lineRule="auto"/>
        <w:jc w:val="left"/>
        <w:rPr>
          <w:color w:val="000000" w:themeColor="text1"/>
        </w:rPr>
      </w:pPr>
      <w:r w:rsidRPr="00A67C11">
        <w:rPr>
          <w:color w:val="000000" w:themeColor="text1"/>
        </w:rPr>
        <w:t>William L. Wright (Reg. No. 0018010)</w:t>
      </w:r>
    </w:p>
    <w:p w14:paraId="380BDEDE" w14:textId="77777777" w:rsidR="00A67C11" w:rsidRPr="00A67C11" w:rsidRDefault="00A67C11" w:rsidP="00A67C11">
      <w:pPr>
        <w:spacing w:line="240" w:lineRule="auto"/>
        <w:jc w:val="left"/>
        <w:rPr>
          <w:color w:val="000000" w:themeColor="text1"/>
        </w:rPr>
      </w:pPr>
      <w:r w:rsidRPr="00A67C11">
        <w:rPr>
          <w:color w:val="000000" w:themeColor="text1"/>
        </w:rPr>
        <w:t>Chief, Public Utilities Section</w:t>
      </w:r>
    </w:p>
    <w:p w14:paraId="3A71BB32" w14:textId="77777777" w:rsidR="00A67C11" w:rsidRPr="00A67C11" w:rsidRDefault="00A67C11" w:rsidP="00A67C11">
      <w:pPr>
        <w:spacing w:line="240" w:lineRule="auto"/>
        <w:jc w:val="left"/>
        <w:rPr>
          <w:color w:val="000000" w:themeColor="text1"/>
        </w:rPr>
      </w:pPr>
      <w:r w:rsidRPr="00A67C11">
        <w:rPr>
          <w:color w:val="000000" w:themeColor="text1"/>
        </w:rPr>
        <w:t>Office of Attorney General</w:t>
      </w:r>
    </w:p>
    <w:p w14:paraId="3827511F" w14:textId="77777777" w:rsidR="00A67C11" w:rsidRPr="00A67C11" w:rsidRDefault="00A67C11" w:rsidP="00A67C11">
      <w:pPr>
        <w:spacing w:line="240" w:lineRule="auto"/>
        <w:jc w:val="left"/>
        <w:rPr>
          <w:color w:val="000000" w:themeColor="text1"/>
        </w:rPr>
      </w:pPr>
      <w:r w:rsidRPr="00A67C11">
        <w:rPr>
          <w:color w:val="000000" w:themeColor="text1"/>
        </w:rPr>
        <w:t>180 East Broad Street, 6th Floor</w:t>
      </w:r>
    </w:p>
    <w:p w14:paraId="575FD193" w14:textId="77777777" w:rsidR="00A67C11" w:rsidRPr="00A67C11" w:rsidRDefault="00A67C11" w:rsidP="00A67C11">
      <w:pPr>
        <w:spacing w:line="240" w:lineRule="auto"/>
        <w:jc w:val="left"/>
        <w:rPr>
          <w:color w:val="000000" w:themeColor="text1"/>
        </w:rPr>
      </w:pPr>
      <w:r w:rsidRPr="00A67C11">
        <w:rPr>
          <w:color w:val="000000" w:themeColor="text1"/>
        </w:rPr>
        <w:t>Columbus, OH 43215-3793</w:t>
      </w:r>
    </w:p>
    <w:p w14:paraId="11F7E0E7" w14:textId="77777777" w:rsidR="00A67C11" w:rsidRPr="00A67C11" w:rsidRDefault="00A67C11" w:rsidP="00A67C11">
      <w:pPr>
        <w:spacing w:line="240" w:lineRule="auto"/>
        <w:jc w:val="left"/>
        <w:rPr>
          <w:color w:val="000000" w:themeColor="text1"/>
        </w:rPr>
      </w:pPr>
      <w:r w:rsidRPr="00A67C11">
        <w:rPr>
          <w:color w:val="000000" w:themeColor="text1"/>
        </w:rPr>
        <w:t>william.wright@puc.state.oh.us</w:t>
      </w:r>
    </w:p>
    <w:p w14:paraId="6D7BB1FE" w14:textId="77777777" w:rsidR="00A67C11" w:rsidRPr="00A67C11" w:rsidRDefault="00A67C11" w:rsidP="00A67C11">
      <w:pPr>
        <w:spacing w:line="240" w:lineRule="auto"/>
        <w:jc w:val="left"/>
        <w:rPr>
          <w:color w:val="000000" w:themeColor="text1"/>
        </w:rPr>
      </w:pPr>
    </w:p>
    <w:p w14:paraId="3D684054" w14:textId="77777777" w:rsidR="00A67C11" w:rsidRPr="00A67C11" w:rsidRDefault="00A67C11" w:rsidP="00A67C11">
      <w:pPr>
        <w:spacing w:line="240" w:lineRule="auto"/>
        <w:jc w:val="left"/>
        <w:rPr>
          <w:b/>
          <w:color w:val="000000" w:themeColor="text1"/>
        </w:rPr>
      </w:pPr>
      <w:r w:rsidRPr="00A67C11">
        <w:rPr>
          <w:b/>
          <w:color w:val="000000" w:themeColor="text1"/>
        </w:rPr>
        <w:t>Counsel for the Staff of the Public Utilities Commission of Ohio</w:t>
      </w:r>
    </w:p>
    <w:p w14:paraId="6378B573" w14:textId="77777777" w:rsidR="00A67C11" w:rsidRPr="00A67C11" w:rsidRDefault="00A67C11" w:rsidP="00A67C11">
      <w:pPr>
        <w:spacing w:line="240" w:lineRule="auto"/>
        <w:jc w:val="left"/>
        <w:rPr>
          <w:b/>
          <w:color w:val="000000" w:themeColor="text1"/>
        </w:rPr>
      </w:pPr>
    </w:p>
    <w:p w14:paraId="28D5DBF0" w14:textId="77777777" w:rsidR="00A67C11" w:rsidRPr="00A67C11" w:rsidRDefault="00A67C11" w:rsidP="00A67C11">
      <w:pPr>
        <w:spacing w:line="240" w:lineRule="auto"/>
        <w:jc w:val="left"/>
        <w:rPr>
          <w:b/>
          <w:color w:val="000000" w:themeColor="text1"/>
        </w:rPr>
      </w:pPr>
    </w:p>
    <w:p w14:paraId="587F815C" w14:textId="77777777" w:rsidR="00B353AA" w:rsidRPr="004B3F45" w:rsidRDefault="00B353AA" w:rsidP="00B353AA">
      <w:pPr>
        <w:spacing w:line="240" w:lineRule="auto"/>
        <w:jc w:val="left"/>
        <w:rPr>
          <w:rFonts w:eastAsia="Calibri"/>
          <w:b/>
          <w:smallCaps/>
          <w:color w:val="000000" w:themeColor="text1"/>
        </w:rPr>
      </w:pPr>
    </w:p>
    <w:p w14:paraId="0C94EC85" w14:textId="77777777" w:rsidR="00041744" w:rsidRPr="00BE5F0D" w:rsidRDefault="00041744" w:rsidP="00B353AA">
      <w:pPr>
        <w:autoSpaceDE w:val="0"/>
        <w:autoSpaceDN w:val="0"/>
        <w:adjustRightInd w:val="0"/>
        <w:spacing w:line="240" w:lineRule="auto"/>
        <w:jc w:val="left"/>
      </w:pPr>
    </w:p>
    <w:sectPr w:rsidR="00041744" w:rsidRPr="00BE5F0D" w:rsidSect="00104615">
      <w:pgSz w:w="12240" w:h="15840" w:code="1"/>
      <w:pgMar w:top="1440" w:right="1440" w:bottom="1440" w:left="1440" w:header="720" w:footer="720" w:gutter="0"/>
      <w:pgNumType w:start="1"/>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ECA6D" w14:textId="77777777" w:rsidR="001943CE" w:rsidRDefault="001943CE" w:rsidP="00FF128C">
      <w:pPr>
        <w:spacing w:line="240" w:lineRule="auto"/>
      </w:pPr>
      <w:r>
        <w:separator/>
      </w:r>
    </w:p>
  </w:endnote>
  <w:endnote w:type="continuationSeparator" w:id="0">
    <w:p w14:paraId="54DA57DB" w14:textId="77777777" w:rsidR="001943CE" w:rsidRDefault="001943CE" w:rsidP="00FF12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AE84C" w14:textId="77777777" w:rsidR="001943CE" w:rsidRDefault="001943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1E2D4" w14:textId="748BC6F7" w:rsidR="001943CE" w:rsidRDefault="00F47682">
    <w:pPr>
      <w:pStyle w:val="Footer"/>
    </w:pPr>
    <w:r w:rsidRPr="00F47682">
      <w:rPr>
        <w:noProof/>
        <w:sz w:val="16"/>
      </w:rPr>
      <w:t>{C49905: }</w:t>
    </w:r>
    <w:r w:rsidR="001943CE">
      <w:rPr>
        <w:noProof/>
        <w:sz w:val="16"/>
      </w:rPr>
      <w:tab/>
    </w:r>
    <w:r w:rsidR="001943CE">
      <w:rPr>
        <w:noProof/>
        <w:sz w:val="22"/>
        <w:szCs w:val="22"/>
      </w:rPr>
      <w:fldChar w:fldCharType="begin"/>
    </w:r>
    <w:r w:rsidR="001943CE">
      <w:rPr>
        <w:noProof/>
        <w:sz w:val="22"/>
        <w:szCs w:val="22"/>
      </w:rPr>
      <w:instrText xml:space="preserve"> PAGE   \* MERGEFORMAT </w:instrText>
    </w:r>
    <w:r w:rsidR="001943CE">
      <w:rPr>
        <w:noProof/>
        <w:sz w:val="22"/>
        <w:szCs w:val="22"/>
      </w:rPr>
      <w:fldChar w:fldCharType="separate"/>
    </w:r>
    <w:r w:rsidR="001943CE">
      <w:rPr>
        <w:noProof/>
        <w:sz w:val="22"/>
        <w:szCs w:val="22"/>
      </w:rPr>
      <w:t>17</w:t>
    </w:r>
    <w:r w:rsidR="001943CE">
      <w:rPr>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478AC" w14:textId="53A66792" w:rsidR="001943CE" w:rsidRDefault="00F47682">
    <w:pPr>
      <w:pStyle w:val="Footer"/>
    </w:pPr>
    <w:r w:rsidRPr="00F47682">
      <w:rPr>
        <w:noProof/>
        <w:sz w:val="16"/>
      </w:rPr>
      <w:t>{C49905: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76013" w14:textId="77777777" w:rsidR="001943CE" w:rsidRDefault="001943C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FC4CB" w14:textId="5852595D" w:rsidR="001943CE" w:rsidRPr="00CA3F9F" w:rsidRDefault="00F47682" w:rsidP="00B859DA">
    <w:pPr>
      <w:pStyle w:val="Footer"/>
    </w:pPr>
    <w:r w:rsidRPr="00F47682">
      <w:rPr>
        <w:noProof/>
        <w:sz w:val="16"/>
      </w:rPr>
      <w:t>{C49905: }</w:t>
    </w:r>
    <w:sdt>
      <w:sdtPr>
        <w:id w:val="-297449825"/>
        <w:docPartObj>
          <w:docPartGallery w:val="Page Numbers (Bottom of Page)"/>
          <w:docPartUnique/>
        </w:docPartObj>
      </w:sdtPr>
      <w:sdtEndPr>
        <w:rPr>
          <w:noProof/>
        </w:rPr>
      </w:sdtEndPr>
      <w:sdtContent>
        <w:r w:rsidR="001943CE">
          <w:tab/>
        </w:r>
        <w:r w:rsidR="001943CE" w:rsidRPr="00CA3F9F">
          <w:fldChar w:fldCharType="begin"/>
        </w:r>
        <w:r w:rsidR="001943CE" w:rsidRPr="00CA3F9F">
          <w:instrText xml:space="preserve"> PAGE   \* MERGEFORMAT </w:instrText>
        </w:r>
        <w:r w:rsidR="001943CE" w:rsidRPr="00CA3F9F">
          <w:fldChar w:fldCharType="separate"/>
        </w:r>
        <w:r>
          <w:rPr>
            <w:noProof/>
          </w:rPr>
          <w:t>ii</w:t>
        </w:r>
        <w:r w:rsidR="001943CE" w:rsidRPr="00CA3F9F">
          <w:rPr>
            <w:noProof/>
          </w:rPr>
          <w:fldChar w:fldCharType="end"/>
        </w:r>
      </w:sdtContent>
    </w:sdt>
  </w:p>
  <w:p w14:paraId="45EE981D" w14:textId="029F0F49" w:rsidR="001943CE" w:rsidRPr="00CA3F9F" w:rsidRDefault="001943C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EF92D" w14:textId="059626A6" w:rsidR="001943CE" w:rsidRPr="00AE4A38" w:rsidRDefault="001943C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F5D6E" w14:textId="77777777" w:rsidR="001943CE" w:rsidRDefault="001943C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F6916" w14:textId="38DDB1A1" w:rsidR="001943CE" w:rsidRPr="00FF128C" w:rsidRDefault="00F47682">
    <w:pPr>
      <w:pStyle w:val="Footer"/>
    </w:pPr>
    <w:r w:rsidRPr="00F47682">
      <w:rPr>
        <w:noProof/>
        <w:sz w:val="16"/>
      </w:rPr>
      <w:t>{C49905: }</w:t>
    </w:r>
    <w:r w:rsidR="001943CE">
      <w:rPr>
        <w:noProof/>
        <w:sz w:val="16"/>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9FFE1" w14:textId="55E28D5E" w:rsidR="001943CE" w:rsidRPr="00FF128C" w:rsidRDefault="00F47682">
    <w:pPr>
      <w:pStyle w:val="Footer"/>
    </w:pPr>
    <w:r w:rsidRPr="00F47682">
      <w:rPr>
        <w:noProof/>
        <w:sz w:val="16"/>
      </w:rPr>
      <w:t>{C49905: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16B9A" w14:textId="77777777" w:rsidR="001943CE" w:rsidRDefault="001943CE" w:rsidP="00FF128C">
      <w:pPr>
        <w:spacing w:line="240" w:lineRule="auto"/>
        <w:rPr>
          <w:noProof/>
        </w:rPr>
      </w:pPr>
      <w:r>
        <w:rPr>
          <w:noProof/>
        </w:rPr>
        <w:separator/>
      </w:r>
    </w:p>
  </w:footnote>
  <w:footnote w:type="continuationSeparator" w:id="0">
    <w:p w14:paraId="0CA9820A" w14:textId="77777777" w:rsidR="001943CE" w:rsidRDefault="001943CE" w:rsidP="00FF128C">
      <w:pPr>
        <w:spacing w:line="240" w:lineRule="auto"/>
      </w:pPr>
      <w:r>
        <w:continuationSeparator/>
      </w:r>
    </w:p>
  </w:footnote>
  <w:footnote w:id="1">
    <w:p w14:paraId="0474843D" w14:textId="1E9F6394" w:rsidR="001943CE" w:rsidRPr="00D908C3" w:rsidRDefault="001943CE" w:rsidP="00D908C3">
      <w:pPr>
        <w:pStyle w:val="FootnoteText"/>
      </w:pPr>
      <w:r w:rsidRPr="00D908C3">
        <w:rPr>
          <w:rStyle w:val="FootnoteReference"/>
        </w:rPr>
        <w:footnoteRef/>
      </w:r>
      <w:r w:rsidRPr="00D908C3">
        <w:t xml:space="preserve"> </w:t>
      </w:r>
      <w:r w:rsidRPr="00D908C3">
        <w:rPr>
          <w:i/>
        </w:rPr>
        <w:t>In the Matter of the Application of The Dayton Power and Light Company for Approval of its Electric Security Plan,</w:t>
      </w:r>
      <w:r>
        <w:rPr>
          <w:i/>
        </w:rPr>
        <w:t xml:space="preserve"> </w:t>
      </w:r>
      <w:r w:rsidRPr="00D908C3">
        <w:t xml:space="preserve">PUCO Case Nos. 12-426-EL-SSO, </w:t>
      </w:r>
      <w:r w:rsidRPr="00D908C3">
        <w:rPr>
          <w:i/>
        </w:rPr>
        <w:t>et al.</w:t>
      </w:r>
      <w:r w:rsidRPr="00D908C3">
        <w:t>, Opinion and Ord</w:t>
      </w:r>
      <w:r>
        <w:t>er (Sept. 4, 2013), Entry Nunc P</w:t>
      </w:r>
      <w:r w:rsidRPr="00D908C3">
        <w:t>ro Tunc (Sept. 6, 2013), and Second Entry on Rehearing (Mar. 19, 2014) (“</w:t>
      </w:r>
      <w:r w:rsidRPr="00D908C3">
        <w:rPr>
          <w:i/>
        </w:rPr>
        <w:t>ESP II Case</w:t>
      </w:r>
      <w:r w:rsidRPr="00D908C3">
        <w:t>” and collectively “ESP II Orders” as the context requires).</w:t>
      </w:r>
    </w:p>
  </w:footnote>
  <w:footnote w:id="2">
    <w:p w14:paraId="436FB59C" w14:textId="63BBF204" w:rsidR="001943CE" w:rsidRDefault="001943CE">
      <w:pPr>
        <w:pStyle w:val="FootnoteText"/>
      </w:pPr>
      <w:r>
        <w:rPr>
          <w:rStyle w:val="FootnoteReference"/>
        </w:rPr>
        <w:footnoteRef/>
      </w:r>
      <w:r>
        <w:t xml:space="preserve"> </w:t>
      </w:r>
      <w:r w:rsidRPr="003D021D">
        <w:rPr>
          <w:i/>
        </w:rPr>
        <w:t>ESP II Case</w:t>
      </w:r>
      <w:r>
        <w:t>, Opinion and Order at 26-28 &amp; Entry Nunc Pro Tunc at 2.</w:t>
      </w:r>
    </w:p>
  </w:footnote>
  <w:footnote w:id="3">
    <w:p w14:paraId="3F04942E" w14:textId="3316DC82" w:rsidR="001943CE" w:rsidRPr="00D908C3" w:rsidRDefault="001943CE" w:rsidP="00D908C3">
      <w:pPr>
        <w:pStyle w:val="FootnoteText"/>
      </w:pPr>
      <w:r w:rsidRPr="00D908C3">
        <w:rPr>
          <w:rStyle w:val="FootnoteReference"/>
        </w:rPr>
        <w:footnoteRef/>
      </w:r>
      <w:r w:rsidRPr="00D908C3">
        <w:t xml:space="preserve"> Motion of the Dayton Power and Light Company to Implement the SSR Extension Rider (Mar. 30, 2016) (“</w:t>
      </w:r>
      <w:r>
        <w:t xml:space="preserve">DP&amp;L </w:t>
      </w:r>
      <w:r w:rsidRPr="00D908C3">
        <w:t>Motion”).</w:t>
      </w:r>
    </w:p>
  </w:footnote>
  <w:footnote w:id="4">
    <w:p w14:paraId="7E1E2075" w14:textId="7EF60FBD" w:rsidR="001943CE" w:rsidRPr="00D908C3" w:rsidRDefault="001943CE" w:rsidP="00D908C3">
      <w:pPr>
        <w:pStyle w:val="FootnoteText"/>
      </w:pPr>
      <w:r w:rsidRPr="00D908C3">
        <w:rPr>
          <w:rStyle w:val="FootnoteReference"/>
        </w:rPr>
        <w:footnoteRef/>
      </w:r>
      <w:r w:rsidRPr="00D908C3">
        <w:t xml:space="preserve"> As discussed in this memorandum, the Commission can summarily dismiss the </w:t>
      </w:r>
      <w:r>
        <w:t>M</w:t>
      </w:r>
      <w:r w:rsidRPr="00D908C3">
        <w:t xml:space="preserve">otion because DP&amp;L has not complied with the Commission’s orders regarding an application for an increase in the SSR-E.  If the Commission does not dismiss the </w:t>
      </w:r>
      <w:r>
        <w:t>M</w:t>
      </w:r>
      <w:r w:rsidRPr="00D908C3">
        <w:t>otion summarily, however, it should set the matter for hearing as required by R.C. 4903.09.  Under that section, “[i]n all contested cases heard by the public utilities commission, a complete record of all of the proceedings shall be made, including a transcript of all testimony and of all exhibits, and the commission shall file, with the records of such cases, findings of fact and written opinions setting forth the reasons prompting the decisions arrived at, based upon said findings of fact.”</w:t>
      </w:r>
    </w:p>
  </w:footnote>
  <w:footnote w:id="5">
    <w:p w14:paraId="32F19F9B" w14:textId="7184E7CA" w:rsidR="001943CE" w:rsidRPr="00D908C3" w:rsidRDefault="001943CE" w:rsidP="00D908C3">
      <w:pPr>
        <w:pStyle w:val="FootnoteText"/>
      </w:pPr>
      <w:r w:rsidRPr="00D908C3">
        <w:rPr>
          <w:rStyle w:val="FootnoteReference"/>
        </w:rPr>
        <w:footnoteRef/>
      </w:r>
      <w:r w:rsidRPr="00D908C3">
        <w:t xml:space="preserve"> </w:t>
      </w:r>
      <w:r w:rsidRPr="00D908C3">
        <w:rPr>
          <w:i/>
        </w:rPr>
        <w:t>ESP II Case</w:t>
      </w:r>
      <w:r w:rsidRPr="00D908C3">
        <w:t>, Opinion and Order at 25.</w:t>
      </w:r>
    </w:p>
  </w:footnote>
  <w:footnote w:id="6">
    <w:p w14:paraId="64D03717" w14:textId="0F26F382" w:rsidR="001943CE" w:rsidRPr="00D908C3" w:rsidRDefault="001943CE" w:rsidP="00D908C3">
      <w:pPr>
        <w:pStyle w:val="FootnoteText"/>
      </w:pPr>
      <w:r w:rsidRPr="00D908C3">
        <w:rPr>
          <w:rStyle w:val="FootnoteReference"/>
        </w:rPr>
        <w:footnoteRef/>
      </w:r>
      <w:r w:rsidRPr="00D908C3">
        <w:t xml:space="preserve"> </w:t>
      </w:r>
      <w:r w:rsidRPr="00D908C3">
        <w:rPr>
          <w:i/>
        </w:rPr>
        <w:t>Id.</w:t>
      </w:r>
      <w:r w:rsidRPr="00D908C3">
        <w:t>, Opinion and Order at 22.</w:t>
      </w:r>
    </w:p>
  </w:footnote>
  <w:footnote w:id="7">
    <w:p w14:paraId="22DE60AC" w14:textId="40387316" w:rsidR="001943CE" w:rsidRPr="00D908C3" w:rsidRDefault="001943CE" w:rsidP="00D908C3">
      <w:pPr>
        <w:pStyle w:val="FootnoteText"/>
      </w:pPr>
      <w:r w:rsidRPr="00D908C3">
        <w:rPr>
          <w:rStyle w:val="FootnoteReference"/>
        </w:rPr>
        <w:footnoteRef/>
      </w:r>
      <w:r w:rsidRPr="00D908C3">
        <w:t xml:space="preserve"> </w:t>
      </w:r>
      <w:r w:rsidRPr="00D908C3">
        <w:rPr>
          <w:i/>
        </w:rPr>
        <w:t>Id.</w:t>
      </w:r>
      <w:r w:rsidRPr="00D908C3">
        <w:t>, Opinion and Order at 17.</w:t>
      </w:r>
    </w:p>
  </w:footnote>
  <w:footnote w:id="8">
    <w:p w14:paraId="482F6EDD" w14:textId="0D2C70BB" w:rsidR="001943CE" w:rsidRPr="00D908C3" w:rsidRDefault="001943CE" w:rsidP="00D908C3">
      <w:pPr>
        <w:pStyle w:val="FootnoteText"/>
      </w:pPr>
      <w:r w:rsidRPr="00D908C3">
        <w:rPr>
          <w:rStyle w:val="FootnoteReference"/>
        </w:rPr>
        <w:footnoteRef/>
      </w:r>
      <w:r w:rsidRPr="00D908C3">
        <w:t xml:space="preserve"> </w:t>
      </w:r>
      <w:r w:rsidRPr="00D908C3">
        <w:rPr>
          <w:i/>
        </w:rPr>
        <w:t>Id.</w:t>
      </w:r>
      <w:r w:rsidRPr="00D908C3">
        <w:t>, Opinion and Order at 12-13</w:t>
      </w:r>
    </w:p>
  </w:footnote>
  <w:footnote w:id="9">
    <w:p w14:paraId="13B43485" w14:textId="26786488" w:rsidR="001943CE" w:rsidRPr="00D908C3" w:rsidRDefault="001943CE" w:rsidP="00D908C3">
      <w:pPr>
        <w:pStyle w:val="FootnoteText"/>
      </w:pPr>
      <w:r w:rsidRPr="00D908C3">
        <w:rPr>
          <w:rStyle w:val="FootnoteReference"/>
        </w:rPr>
        <w:footnoteRef/>
      </w:r>
      <w:r w:rsidRPr="00D908C3">
        <w:t xml:space="preserve"> </w:t>
      </w:r>
      <w:r w:rsidRPr="00D908C3">
        <w:rPr>
          <w:i/>
        </w:rPr>
        <w:t>Id.</w:t>
      </w:r>
      <w:r w:rsidRPr="00D908C3">
        <w:t xml:space="preserve">, Opinion and Order at 15; </w:t>
      </w:r>
      <w:r w:rsidRPr="00D908C3">
        <w:rPr>
          <w:i/>
        </w:rPr>
        <w:t>ESP II Case</w:t>
      </w:r>
      <w:r w:rsidRPr="00D908C3">
        <w:t>, Entry Nunc Pro Tunc at 2.</w:t>
      </w:r>
    </w:p>
  </w:footnote>
  <w:footnote w:id="10">
    <w:p w14:paraId="034F95FB" w14:textId="0DD765F2" w:rsidR="001943CE" w:rsidRPr="00D908C3" w:rsidRDefault="001943CE" w:rsidP="00D908C3">
      <w:pPr>
        <w:pStyle w:val="FootnoteText"/>
      </w:pPr>
      <w:r w:rsidRPr="00D908C3">
        <w:rPr>
          <w:rStyle w:val="FootnoteReference"/>
        </w:rPr>
        <w:footnoteRef/>
      </w:r>
      <w:r w:rsidRPr="00D908C3">
        <w:t xml:space="preserve"> </w:t>
      </w:r>
      <w:r w:rsidRPr="00D908C3">
        <w:rPr>
          <w:i/>
        </w:rPr>
        <w:t>Id.</w:t>
      </w:r>
      <w:r w:rsidRPr="00D908C3">
        <w:t xml:space="preserve">, Entry Nunc </w:t>
      </w:r>
      <w:r>
        <w:t>P</w:t>
      </w:r>
      <w:r w:rsidRPr="00D908C3">
        <w:t>ro Tunc at 2.</w:t>
      </w:r>
    </w:p>
  </w:footnote>
  <w:footnote w:id="11">
    <w:p w14:paraId="1F39727C" w14:textId="583A1EE4" w:rsidR="001943CE" w:rsidRPr="00D908C3" w:rsidRDefault="001943CE" w:rsidP="00D908C3">
      <w:pPr>
        <w:pStyle w:val="FootnoteText"/>
      </w:pPr>
      <w:r w:rsidRPr="00D908C3">
        <w:rPr>
          <w:rStyle w:val="FootnoteReference"/>
        </w:rPr>
        <w:footnoteRef/>
      </w:r>
      <w:r w:rsidRPr="00D908C3">
        <w:t xml:space="preserve"> </w:t>
      </w:r>
      <w:r w:rsidRPr="00D908C3">
        <w:rPr>
          <w:i/>
        </w:rPr>
        <w:t>Id.</w:t>
      </w:r>
      <w:r w:rsidRPr="00D908C3">
        <w:t>, Opinion and Order at 26-28.</w:t>
      </w:r>
    </w:p>
  </w:footnote>
  <w:footnote w:id="12">
    <w:p w14:paraId="19C69898" w14:textId="7F92323F" w:rsidR="001943CE" w:rsidRPr="00D908C3" w:rsidRDefault="001943CE" w:rsidP="00D908C3">
      <w:pPr>
        <w:pStyle w:val="FootnoteText"/>
      </w:pPr>
      <w:r w:rsidRPr="00D908C3">
        <w:rPr>
          <w:rStyle w:val="FootnoteReference"/>
        </w:rPr>
        <w:footnoteRef/>
      </w:r>
      <w:r w:rsidRPr="00D908C3">
        <w:t xml:space="preserve"> </w:t>
      </w:r>
      <w:r w:rsidRPr="00D908C3">
        <w:rPr>
          <w:i/>
        </w:rPr>
        <w:t>Id.</w:t>
      </w:r>
      <w:r w:rsidRPr="00D908C3">
        <w:t xml:space="preserve">, Entry Nunc </w:t>
      </w:r>
      <w:r>
        <w:t>P</w:t>
      </w:r>
      <w:r w:rsidRPr="00D908C3">
        <w:t>ro Tunc at 2.</w:t>
      </w:r>
    </w:p>
  </w:footnote>
  <w:footnote w:id="13">
    <w:p w14:paraId="79E9D0A5" w14:textId="5CC3E1AE" w:rsidR="001943CE" w:rsidRPr="00D908C3" w:rsidRDefault="001943CE" w:rsidP="00D908C3">
      <w:pPr>
        <w:pStyle w:val="FootnoteText"/>
      </w:pPr>
      <w:r w:rsidRPr="00D908C3">
        <w:rPr>
          <w:rStyle w:val="FootnoteReference"/>
        </w:rPr>
        <w:footnoteRef/>
      </w:r>
      <w:r w:rsidRPr="00D908C3">
        <w:t xml:space="preserve"> </w:t>
      </w:r>
      <w:r w:rsidRPr="00D908C3">
        <w:rPr>
          <w:i/>
        </w:rPr>
        <w:t>Id</w:t>
      </w:r>
      <w:r w:rsidRPr="00D908C3">
        <w:t>.</w:t>
      </w:r>
    </w:p>
  </w:footnote>
  <w:footnote w:id="14">
    <w:p w14:paraId="19F6335E" w14:textId="530E6157" w:rsidR="001943CE" w:rsidRPr="00D908C3" w:rsidRDefault="001943CE" w:rsidP="00D908C3">
      <w:pPr>
        <w:pStyle w:val="FootnoteText"/>
      </w:pPr>
      <w:r w:rsidRPr="00D908C3">
        <w:rPr>
          <w:rStyle w:val="FootnoteReference"/>
        </w:rPr>
        <w:footnoteRef/>
      </w:r>
      <w:r w:rsidRPr="00D908C3">
        <w:t xml:space="preserve"> </w:t>
      </w:r>
      <w:r w:rsidRPr="00D908C3">
        <w:rPr>
          <w:i/>
        </w:rPr>
        <w:t>Id.</w:t>
      </w:r>
      <w:r w:rsidRPr="00D908C3">
        <w:t>, Opinion and Order at 27.</w:t>
      </w:r>
    </w:p>
  </w:footnote>
  <w:footnote w:id="15">
    <w:p w14:paraId="151D6682" w14:textId="77777777" w:rsidR="001943CE" w:rsidRPr="00D908C3" w:rsidRDefault="001943CE" w:rsidP="00D908C3">
      <w:pPr>
        <w:pStyle w:val="FootnoteText"/>
        <w:rPr>
          <w:i/>
        </w:rPr>
      </w:pPr>
      <w:r w:rsidRPr="00D908C3">
        <w:rPr>
          <w:rStyle w:val="FootnoteReference"/>
        </w:rPr>
        <w:footnoteRef/>
      </w:r>
      <w:r w:rsidRPr="00D908C3">
        <w:t xml:space="preserve"> </w:t>
      </w:r>
      <w:r w:rsidRPr="00D908C3">
        <w:rPr>
          <w:i/>
        </w:rPr>
        <w:t>Id.</w:t>
      </w:r>
    </w:p>
  </w:footnote>
  <w:footnote w:id="16">
    <w:p w14:paraId="23F23609" w14:textId="77777777" w:rsidR="001943CE" w:rsidRPr="00D908C3" w:rsidRDefault="001943CE" w:rsidP="00D908C3">
      <w:pPr>
        <w:pStyle w:val="FootnoteText"/>
        <w:rPr>
          <w:i/>
        </w:rPr>
      </w:pPr>
      <w:r w:rsidRPr="00D908C3">
        <w:rPr>
          <w:rStyle w:val="FootnoteReference"/>
        </w:rPr>
        <w:footnoteRef/>
      </w:r>
      <w:r w:rsidRPr="00D908C3">
        <w:t xml:space="preserve"> </w:t>
      </w:r>
      <w:r w:rsidRPr="00D908C3">
        <w:rPr>
          <w:i/>
        </w:rPr>
        <w:t>Id.</w:t>
      </w:r>
    </w:p>
  </w:footnote>
  <w:footnote w:id="17">
    <w:p w14:paraId="1E0FC293" w14:textId="77777777" w:rsidR="001943CE" w:rsidRPr="00D908C3" w:rsidRDefault="001943CE" w:rsidP="00D908C3">
      <w:pPr>
        <w:pStyle w:val="FootnoteText"/>
        <w:rPr>
          <w:i/>
        </w:rPr>
      </w:pPr>
      <w:r w:rsidRPr="00D908C3">
        <w:rPr>
          <w:rStyle w:val="FootnoteReference"/>
        </w:rPr>
        <w:footnoteRef/>
      </w:r>
      <w:r w:rsidRPr="00D908C3">
        <w:t xml:space="preserve"> </w:t>
      </w:r>
      <w:r w:rsidRPr="00D908C3">
        <w:rPr>
          <w:i/>
        </w:rPr>
        <w:t>Id.</w:t>
      </w:r>
    </w:p>
  </w:footnote>
  <w:footnote w:id="18">
    <w:p w14:paraId="5DA849EE" w14:textId="77777777" w:rsidR="001943CE" w:rsidRPr="00D908C3" w:rsidRDefault="001943CE" w:rsidP="00D908C3">
      <w:pPr>
        <w:pStyle w:val="FootnoteText"/>
        <w:rPr>
          <w:i/>
        </w:rPr>
      </w:pPr>
      <w:r w:rsidRPr="00D908C3">
        <w:rPr>
          <w:rStyle w:val="FootnoteReference"/>
        </w:rPr>
        <w:footnoteRef/>
      </w:r>
      <w:r w:rsidRPr="00D908C3">
        <w:t xml:space="preserve"> </w:t>
      </w:r>
      <w:r w:rsidRPr="00D908C3">
        <w:rPr>
          <w:i/>
        </w:rPr>
        <w:t>Id.</w:t>
      </w:r>
    </w:p>
  </w:footnote>
  <w:footnote w:id="19">
    <w:p w14:paraId="31AC0D0C" w14:textId="77777777" w:rsidR="001943CE" w:rsidRPr="00D908C3" w:rsidRDefault="001943CE" w:rsidP="00721CCA">
      <w:pPr>
        <w:pStyle w:val="FootnoteText"/>
      </w:pPr>
      <w:r w:rsidRPr="00D908C3">
        <w:rPr>
          <w:rStyle w:val="FootnoteReference"/>
        </w:rPr>
        <w:footnoteRef/>
      </w:r>
      <w:r w:rsidRPr="00D908C3">
        <w:t xml:space="preserve"> </w:t>
      </w:r>
      <w:r w:rsidRPr="00D908C3">
        <w:rPr>
          <w:i/>
        </w:rPr>
        <w:t>In the Matter of the Application of the Dayton Power and Light Company for an Increase in its Electric Distribution Rates</w:t>
      </w:r>
      <w:r w:rsidRPr="00D908C3">
        <w:t xml:space="preserve">, Case Nos. 15-1830-EL-AIR, </w:t>
      </w:r>
      <w:r w:rsidRPr="00D908C3">
        <w:rPr>
          <w:i/>
        </w:rPr>
        <w:t xml:space="preserve">et al., </w:t>
      </w:r>
      <w:r w:rsidRPr="00D908C3">
        <w:t>Application (Nov. 30, 2015) (“</w:t>
      </w:r>
      <w:r w:rsidRPr="00D908C3">
        <w:rPr>
          <w:i/>
        </w:rPr>
        <w:t>DP&amp;L Distribution Rate Case</w:t>
      </w:r>
      <w:r w:rsidRPr="00D908C3">
        <w:t>”).</w:t>
      </w:r>
    </w:p>
  </w:footnote>
  <w:footnote w:id="20">
    <w:p w14:paraId="307D4460" w14:textId="7A537774" w:rsidR="001943CE" w:rsidRPr="00D908C3" w:rsidRDefault="001943CE" w:rsidP="00721CCA">
      <w:pPr>
        <w:pStyle w:val="FootnoteText"/>
      </w:pPr>
      <w:r w:rsidRPr="00D908C3">
        <w:rPr>
          <w:rStyle w:val="FootnoteReference"/>
        </w:rPr>
        <w:footnoteRef/>
      </w:r>
      <w:r w:rsidRPr="00D908C3">
        <w:t xml:space="preserve"> </w:t>
      </w:r>
      <w:r w:rsidRPr="00D908C3">
        <w:rPr>
          <w:i/>
        </w:rPr>
        <w:t>Id</w:t>
      </w:r>
      <w:r w:rsidRPr="00D908C3">
        <w:t>., Motion to Compel Responses to Discovery (Public Version) and Memorandum in Support by the Office of the Ohio Consumers' Counsel (Mar. 22, 2016).</w:t>
      </w:r>
      <w:r>
        <w:t xml:space="preserve">  In a recent motion filed in this case and the </w:t>
      </w:r>
      <w:r w:rsidRPr="004B3F45">
        <w:rPr>
          <w:i/>
        </w:rPr>
        <w:t>DP&amp;L</w:t>
      </w:r>
      <w:r>
        <w:t xml:space="preserve"> </w:t>
      </w:r>
      <w:r w:rsidRPr="00BC2BDA">
        <w:rPr>
          <w:i/>
        </w:rPr>
        <w:t>Distribution</w:t>
      </w:r>
      <w:r w:rsidRPr="004B3F45">
        <w:rPr>
          <w:i/>
        </w:rPr>
        <w:t xml:space="preserve"> Rate Case</w:t>
      </w:r>
      <w:r>
        <w:t xml:space="preserve">, DP&amp;L proposed a procedural schedule that was based on the Staff Report being issued in July 2016 and is seeking to have the ESP case heard before the Commission takes up for hearing the </w:t>
      </w:r>
      <w:r w:rsidRPr="004B3F45">
        <w:rPr>
          <w:i/>
        </w:rPr>
        <w:t>DP&amp;L</w:t>
      </w:r>
      <w:r>
        <w:t xml:space="preserve"> </w:t>
      </w:r>
      <w:r w:rsidRPr="004B3F45">
        <w:rPr>
          <w:i/>
        </w:rPr>
        <w:t>Distribution Rate Case</w:t>
      </w:r>
      <w:r>
        <w:t xml:space="preserve">.  </w:t>
      </w:r>
      <w:r w:rsidRPr="004B3F45">
        <w:rPr>
          <w:i/>
        </w:rPr>
        <w:t>Id</w:t>
      </w:r>
      <w:r>
        <w:t>., Motion of Applicant The Dayton Power and Light Company for Case Management Order to Establish Deadlines and to Coordinate Cases (Apr. 15, 2016).</w:t>
      </w:r>
    </w:p>
  </w:footnote>
  <w:footnote w:id="21">
    <w:p w14:paraId="50B4E77F" w14:textId="77777777" w:rsidR="001943CE" w:rsidRPr="00D908C3" w:rsidRDefault="001943CE" w:rsidP="00721CCA">
      <w:pPr>
        <w:pStyle w:val="FootnoteText"/>
      </w:pPr>
      <w:r w:rsidRPr="00D908C3">
        <w:rPr>
          <w:rStyle w:val="FootnoteReference"/>
        </w:rPr>
        <w:footnoteRef/>
      </w:r>
      <w:r w:rsidRPr="00D908C3">
        <w:t xml:space="preserve"> </w:t>
      </w:r>
      <w:r w:rsidRPr="00D908C3">
        <w:rPr>
          <w:i/>
        </w:rPr>
        <w:t>In the Matter of the Application of The Dayton Power and Light Company for Authority to Transfer or Sell its Generation Assets</w:t>
      </w:r>
      <w:r w:rsidRPr="00D908C3">
        <w:t>, Case No. 13-2420-EL-UNC, Application of the Dayton Power and Light Company to Transfer or Sell its Generation Assets (Dec. 30, 2013).</w:t>
      </w:r>
    </w:p>
  </w:footnote>
  <w:footnote w:id="22">
    <w:p w14:paraId="4721DE0F" w14:textId="141C5EFF" w:rsidR="001943CE" w:rsidRPr="00D908C3" w:rsidRDefault="001943CE" w:rsidP="00721CCA">
      <w:pPr>
        <w:pStyle w:val="FootnoteText"/>
      </w:pPr>
      <w:r w:rsidRPr="00D908C3">
        <w:rPr>
          <w:rStyle w:val="FootnoteReference"/>
        </w:rPr>
        <w:footnoteRef/>
      </w:r>
      <w:r w:rsidRPr="00D908C3">
        <w:t xml:space="preserve"> </w:t>
      </w:r>
      <w:r>
        <w:t xml:space="preserve">Application, </w:t>
      </w:r>
      <w:r w:rsidRPr="00D908C3">
        <w:t xml:space="preserve">Direct Testimony of Craig </w:t>
      </w:r>
      <w:r>
        <w:t xml:space="preserve">L. </w:t>
      </w:r>
      <w:r w:rsidRPr="00D908C3">
        <w:t>Jackson at 9 (Feb. 22, 2016).</w:t>
      </w:r>
    </w:p>
  </w:footnote>
  <w:footnote w:id="23">
    <w:p w14:paraId="3019AC0A" w14:textId="76BABC96" w:rsidR="001943CE" w:rsidRDefault="001943CE" w:rsidP="00610ECE">
      <w:pPr>
        <w:pStyle w:val="FootnoteText"/>
      </w:pPr>
      <w:r>
        <w:rPr>
          <w:rStyle w:val="FootnoteReference"/>
        </w:rPr>
        <w:footnoteRef/>
      </w:r>
      <w:r>
        <w:t xml:space="preserve"> DP&amp;L Motion at 2.</w:t>
      </w:r>
    </w:p>
  </w:footnote>
  <w:footnote w:id="24">
    <w:p w14:paraId="19E674B4" w14:textId="2CF5BB96" w:rsidR="001943CE" w:rsidRDefault="001943CE" w:rsidP="00610ECE">
      <w:pPr>
        <w:pStyle w:val="FootnoteText"/>
      </w:pPr>
      <w:r>
        <w:rPr>
          <w:rStyle w:val="FootnoteReference"/>
        </w:rPr>
        <w:footnoteRef/>
      </w:r>
      <w:r>
        <w:t xml:space="preserve"> </w:t>
      </w:r>
      <w:r w:rsidRPr="004B3F45">
        <w:rPr>
          <w:i/>
        </w:rPr>
        <w:t>Id</w:t>
      </w:r>
      <w:r>
        <w:t xml:space="preserve">. </w:t>
      </w:r>
    </w:p>
  </w:footnote>
  <w:footnote w:id="25">
    <w:p w14:paraId="2743F27D" w14:textId="35EECAD2" w:rsidR="001943CE" w:rsidRPr="00D908C3" w:rsidRDefault="001943CE" w:rsidP="00D908C3">
      <w:pPr>
        <w:pStyle w:val="FootnoteText"/>
      </w:pPr>
      <w:r w:rsidRPr="00D908C3">
        <w:rPr>
          <w:rStyle w:val="FootnoteReference"/>
        </w:rPr>
        <w:footnoteRef/>
      </w:r>
      <w:r w:rsidRPr="00D908C3">
        <w:t xml:space="preserve"> </w:t>
      </w:r>
      <w:r w:rsidRPr="007B1843">
        <w:rPr>
          <w:i/>
        </w:rPr>
        <w:t>ESP II Case</w:t>
      </w:r>
      <w:r>
        <w:t xml:space="preserve">, Opinion and </w:t>
      </w:r>
      <w:r w:rsidRPr="00D908C3">
        <w:t>O</w:t>
      </w:r>
      <w:r>
        <w:t>r</w:t>
      </w:r>
      <w:r w:rsidRPr="00D908C3">
        <w:t>der at 27 (emphasis added).</w:t>
      </w:r>
    </w:p>
  </w:footnote>
  <w:footnote w:id="26">
    <w:p w14:paraId="74BA7308" w14:textId="77777777" w:rsidR="001943CE" w:rsidRPr="00D908C3" w:rsidRDefault="001943CE" w:rsidP="00D908C3">
      <w:pPr>
        <w:pStyle w:val="FootnoteText"/>
        <w:rPr>
          <w:u w:val="single"/>
        </w:rPr>
      </w:pPr>
      <w:r w:rsidRPr="00D908C3">
        <w:rPr>
          <w:rStyle w:val="FootnoteReference"/>
        </w:rPr>
        <w:footnoteRef/>
      </w:r>
      <w:r w:rsidRPr="00D908C3">
        <w:t xml:space="preserve"> </w:t>
      </w:r>
      <w:r w:rsidRPr="00D908C3">
        <w:rPr>
          <w:i/>
        </w:rPr>
        <w:t xml:space="preserve">Id. </w:t>
      </w:r>
      <w:r w:rsidRPr="00D908C3">
        <w:t>(emphasis added).</w:t>
      </w:r>
    </w:p>
  </w:footnote>
  <w:footnote w:id="27">
    <w:p w14:paraId="2FDC0101" w14:textId="00B399CD" w:rsidR="001943CE" w:rsidRPr="004B3F45" w:rsidRDefault="001943CE" w:rsidP="00D908C3">
      <w:pPr>
        <w:pStyle w:val="FootnoteText"/>
      </w:pPr>
      <w:r w:rsidRPr="00D908C3">
        <w:rPr>
          <w:rStyle w:val="FootnoteReference"/>
        </w:rPr>
        <w:footnoteRef/>
      </w:r>
      <w:r w:rsidRPr="00D908C3">
        <w:t xml:space="preserve"> </w:t>
      </w:r>
      <w:r w:rsidRPr="00D908C3">
        <w:rPr>
          <w:i/>
        </w:rPr>
        <w:t>Id.</w:t>
      </w:r>
      <w:r>
        <w:rPr>
          <w:i/>
        </w:rPr>
        <w:t xml:space="preserve"> </w:t>
      </w:r>
      <w:r>
        <w:t>(emphasis added).</w:t>
      </w:r>
    </w:p>
  </w:footnote>
  <w:footnote w:id="28">
    <w:p w14:paraId="0CFD2A24" w14:textId="74702629" w:rsidR="001943CE" w:rsidRPr="00D908C3" w:rsidRDefault="001943CE" w:rsidP="00D908C3">
      <w:pPr>
        <w:pStyle w:val="FootnoteText"/>
      </w:pPr>
      <w:r w:rsidRPr="00D908C3">
        <w:rPr>
          <w:rStyle w:val="FootnoteReference"/>
        </w:rPr>
        <w:footnoteRef/>
      </w:r>
      <w:r w:rsidRPr="00D908C3">
        <w:t xml:space="preserve"> Memorandum in Support of the Motion of the Dayton Power and Light Company to Implement the SSR Extension Rider at 5 (Mar. 30, 2016) (“Memorandum in Support”).</w:t>
      </w:r>
    </w:p>
  </w:footnote>
  <w:footnote w:id="29">
    <w:p w14:paraId="1D96406E" w14:textId="24E7B3AE" w:rsidR="001943CE" w:rsidRPr="00D908C3" w:rsidRDefault="001943CE" w:rsidP="00D908C3">
      <w:pPr>
        <w:pStyle w:val="FootnoteText"/>
      </w:pPr>
      <w:r w:rsidRPr="00D908C3">
        <w:rPr>
          <w:rStyle w:val="FootnoteReference"/>
        </w:rPr>
        <w:footnoteRef/>
      </w:r>
      <w:r w:rsidRPr="00D908C3">
        <w:t xml:space="preserve"> </w:t>
      </w:r>
      <w:r>
        <w:t xml:space="preserve">DP&amp;L </w:t>
      </w:r>
      <w:r w:rsidRPr="00D908C3">
        <w:t xml:space="preserve">Motion, </w:t>
      </w:r>
      <w:r>
        <w:t xml:space="preserve">Attached </w:t>
      </w:r>
      <w:r w:rsidRPr="00D908C3">
        <w:t>Direct Testimony of Craig L. Jackson in Support of DP&amp;L’s Motion for Approval of the SSR-E at 3 (Mar. 30, 2016).</w:t>
      </w:r>
    </w:p>
  </w:footnote>
  <w:footnote w:id="30">
    <w:p w14:paraId="61280857" w14:textId="3F106A4C" w:rsidR="001943CE" w:rsidRPr="00D908C3" w:rsidRDefault="001943CE" w:rsidP="0030311B">
      <w:pPr>
        <w:pStyle w:val="FootnoteText"/>
      </w:pPr>
      <w:r w:rsidRPr="00D908C3">
        <w:rPr>
          <w:rStyle w:val="FootnoteReference"/>
        </w:rPr>
        <w:footnoteRef/>
      </w:r>
      <w:r w:rsidRPr="00D908C3">
        <w:t xml:space="preserve"> </w:t>
      </w:r>
      <w:r>
        <w:t>Direct Testimony of R. Jeffrey Malinak</w:t>
      </w:r>
      <w:r w:rsidRPr="00D908C3">
        <w:t xml:space="preserve"> at 1</w:t>
      </w:r>
      <w:r>
        <w:t xml:space="preserve"> (Feb. 22, 2016) (emphasis added)</w:t>
      </w:r>
      <w:r w:rsidRPr="00D908C3">
        <w:t>.  The other topic in his testimony covered the ESP v. MRO test and is not relevant to this Motion.</w:t>
      </w:r>
    </w:p>
  </w:footnote>
  <w:footnote w:id="31">
    <w:p w14:paraId="1CA24E5E" w14:textId="039CBE74" w:rsidR="001943CE" w:rsidRPr="00D908C3" w:rsidRDefault="001943CE" w:rsidP="00D908C3">
      <w:pPr>
        <w:pStyle w:val="FootnoteText"/>
      </w:pPr>
      <w:r w:rsidRPr="00D908C3">
        <w:rPr>
          <w:rStyle w:val="FootnoteReference"/>
        </w:rPr>
        <w:footnoteRef/>
      </w:r>
      <w:r w:rsidRPr="00D908C3">
        <w:t xml:space="preserve"> </w:t>
      </w:r>
      <w:r w:rsidRPr="007B1843">
        <w:t>Direct Testimony of R. Jeffrey Malinak at 3 (Feb. 22, 2016</w:t>
      </w:r>
      <w:r>
        <w:t>)</w:t>
      </w:r>
      <w:r w:rsidRPr="000B67FD">
        <w:t>.</w:t>
      </w:r>
    </w:p>
  </w:footnote>
  <w:footnote w:id="32">
    <w:p w14:paraId="0AABDA0B" w14:textId="1399EC93" w:rsidR="001943CE" w:rsidRPr="00D908C3" w:rsidRDefault="001943CE" w:rsidP="00D908C3">
      <w:pPr>
        <w:pStyle w:val="FootnoteText"/>
      </w:pPr>
      <w:r w:rsidRPr="00D908C3">
        <w:rPr>
          <w:rStyle w:val="FootnoteReference"/>
        </w:rPr>
        <w:footnoteRef/>
      </w:r>
      <w:r w:rsidRPr="00D908C3">
        <w:t xml:space="preserve"> </w:t>
      </w:r>
      <w:r w:rsidRPr="00C33F84">
        <w:rPr>
          <w:i/>
        </w:rPr>
        <w:t>Id</w:t>
      </w:r>
      <w:r w:rsidRPr="00D908C3">
        <w:t>. at 12-56.</w:t>
      </w:r>
    </w:p>
  </w:footnote>
  <w:footnote w:id="33">
    <w:p w14:paraId="55141EF9" w14:textId="1BCC1B4E" w:rsidR="001943CE" w:rsidRPr="00D908C3" w:rsidRDefault="001943CE" w:rsidP="00D908C3">
      <w:pPr>
        <w:pStyle w:val="FootnoteText"/>
      </w:pPr>
      <w:r w:rsidRPr="00D908C3">
        <w:rPr>
          <w:rStyle w:val="FootnoteReference"/>
        </w:rPr>
        <w:footnoteRef/>
      </w:r>
      <w:r w:rsidRPr="00D908C3">
        <w:t xml:space="preserve"> </w:t>
      </w:r>
      <w:r w:rsidRPr="00C33F84">
        <w:rPr>
          <w:i/>
        </w:rPr>
        <w:t>Id</w:t>
      </w:r>
      <w:r w:rsidRPr="008E3621">
        <w:t>. at 62 (“With the RER in place from 2017 through 2026, the financial condition of the coal generat</w:t>
      </w:r>
      <w:r w:rsidRPr="00215E1A">
        <w:t xml:space="preserve">ing assets and by extension, the financial integrity of DPL Inc. would be maintained.”) </w:t>
      </w:r>
    </w:p>
  </w:footnote>
  <w:footnote w:id="34">
    <w:p w14:paraId="3C8C6F5F" w14:textId="07F01CF4" w:rsidR="001943CE" w:rsidRPr="00D908C3" w:rsidRDefault="001943CE" w:rsidP="00D908C3">
      <w:pPr>
        <w:pStyle w:val="FootnoteText"/>
      </w:pPr>
      <w:r w:rsidRPr="00D908C3">
        <w:rPr>
          <w:rStyle w:val="FootnoteReference"/>
        </w:rPr>
        <w:footnoteRef/>
      </w:r>
      <w:r w:rsidRPr="00D908C3">
        <w:t xml:space="preserve"> Direct Testimony of Craig L. Jackson at 9 (Feb. 22, 2016).</w:t>
      </w:r>
    </w:p>
  </w:footnote>
  <w:footnote w:id="35">
    <w:p w14:paraId="24AD9588" w14:textId="6A2A29C7" w:rsidR="001943CE" w:rsidRPr="00D908C3" w:rsidRDefault="001943CE" w:rsidP="00D908C3">
      <w:pPr>
        <w:pStyle w:val="FootnoteText"/>
      </w:pPr>
      <w:r w:rsidRPr="00D908C3">
        <w:rPr>
          <w:rStyle w:val="FootnoteReference"/>
        </w:rPr>
        <w:footnoteRef/>
      </w:r>
      <w:r w:rsidRPr="00D908C3">
        <w:t xml:space="preserve"> </w:t>
      </w:r>
      <w:r w:rsidRPr="00D908C3">
        <w:rPr>
          <w:i/>
        </w:rPr>
        <w:t>ESP II Case</w:t>
      </w:r>
      <w:r w:rsidRPr="00D908C3">
        <w:t xml:space="preserve">, Entry Nunc </w:t>
      </w:r>
      <w:r>
        <w:t>P</w:t>
      </w:r>
      <w:r w:rsidRPr="00D908C3">
        <w:t>ro Tunc at 2.</w:t>
      </w:r>
    </w:p>
  </w:footnote>
  <w:footnote w:id="36">
    <w:p w14:paraId="5E17F3B0" w14:textId="50A43DCD" w:rsidR="001943CE" w:rsidRPr="00D908C3" w:rsidRDefault="001943CE" w:rsidP="00D908C3">
      <w:pPr>
        <w:pStyle w:val="FootnoteText"/>
      </w:pPr>
      <w:r w:rsidRPr="005213DB">
        <w:rPr>
          <w:rStyle w:val="FootnoteReference"/>
        </w:rPr>
        <w:footnoteRef/>
      </w:r>
      <w:r w:rsidRPr="005213DB">
        <w:t xml:space="preserve"> </w:t>
      </w:r>
      <w:r w:rsidRPr="00BF22D2">
        <w:rPr>
          <w:i/>
        </w:rPr>
        <w:t>S</w:t>
      </w:r>
      <w:r w:rsidRPr="005213DB">
        <w:rPr>
          <w:i/>
        </w:rPr>
        <w:t>ee, e.g.</w:t>
      </w:r>
      <w:r w:rsidRPr="005213DB">
        <w:t xml:space="preserve">, Direct Testimony of R. Jeffrey Malinak at 10 (projecting value of RER proposal over the period of “2017 to 2026”); </w:t>
      </w:r>
      <w:r w:rsidRPr="00BF22D2">
        <w:t xml:space="preserve">at 36 (“financial projections are based on the dispatching model for period from 2017 to 2026 </w:t>
      </w:r>
      <w:r>
        <w:t>…</w:t>
      </w:r>
      <w:r w:rsidRPr="00BF22D2">
        <w:t xml:space="preserve"> “); </w:t>
      </w:r>
      <w:r w:rsidRPr="00403A4E">
        <w:t xml:space="preserve">and </w:t>
      </w:r>
      <w:r w:rsidRPr="00BF22D2">
        <w:t>Exhibit RJM-</w:t>
      </w:r>
      <w:r w:rsidRPr="00403A4E">
        <w:t>9</w:t>
      </w:r>
      <w:r w:rsidRPr="005213DB">
        <w:t xml:space="preserve">. </w:t>
      </w:r>
    </w:p>
  </w:footnote>
  <w:footnote w:id="37">
    <w:p w14:paraId="57EC8618" w14:textId="515DFD76" w:rsidR="001943CE" w:rsidRPr="00D908C3" w:rsidRDefault="001943CE" w:rsidP="00D908C3">
      <w:pPr>
        <w:pStyle w:val="FootnoteText"/>
      </w:pPr>
      <w:r w:rsidRPr="00D908C3">
        <w:rPr>
          <w:rStyle w:val="FootnoteReference"/>
        </w:rPr>
        <w:footnoteRef/>
      </w:r>
      <w:r w:rsidRPr="00D908C3">
        <w:t xml:space="preserve"> </w:t>
      </w:r>
      <w:r w:rsidRPr="00D908C3">
        <w:rPr>
          <w:i/>
        </w:rPr>
        <w:t>ESP II Case</w:t>
      </w:r>
      <w:r w:rsidRPr="00D908C3">
        <w:t xml:space="preserve">, Opinion and Order at 27; </w:t>
      </w:r>
      <w:r w:rsidRPr="00D908C3">
        <w:rPr>
          <w:i/>
        </w:rPr>
        <w:t>ESP II Case</w:t>
      </w:r>
      <w:r w:rsidRPr="00D908C3">
        <w:t>, Entry Nunc Pro Tunc at 2 (ESP will end on May 31, 2017).</w:t>
      </w:r>
    </w:p>
  </w:footnote>
  <w:footnote w:id="38">
    <w:p w14:paraId="0698F25C" w14:textId="780EC1F1" w:rsidR="001943CE" w:rsidRPr="00D908C3" w:rsidRDefault="001943CE" w:rsidP="00D908C3">
      <w:pPr>
        <w:pStyle w:val="FootnoteText"/>
      </w:pPr>
      <w:r w:rsidRPr="00D908C3">
        <w:rPr>
          <w:rStyle w:val="FootnoteReference"/>
        </w:rPr>
        <w:footnoteRef/>
      </w:r>
      <w:r w:rsidRPr="00D908C3">
        <w:t xml:space="preserve"> </w:t>
      </w:r>
      <w:r w:rsidRPr="00DF6D2C">
        <w:rPr>
          <w:i/>
        </w:rPr>
        <w:t>Id</w:t>
      </w:r>
      <w:r w:rsidRPr="00D908C3">
        <w:t>.</w:t>
      </w:r>
    </w:p>
  </w:footnote>
  <w:footnote w:id="39">
    <w:p w14:paraId="349675E2" w14:textId="6BDAE172" w:rsidR="001943CE" w:rsidRPr="00D908C3" w:rsidRDefault="001943CE" w:rsidP="00D908C3">
      <w:pPr>
        <w:pStyle w:val="FootnoteText"/>
      </w:pPr>
      <w:r w:rsidRPr="00D908C3">
        <w:rPr>
          <w:rStyle w:val="FootnoteReference"/>
        </w:rPr>
        <w:footnoteRef/>
      </w:r>
      <w:r w:rsidRPr="00D908C3">
        <w:t xml:space="preserve"> </w:t>
      </w:r>
      <w:r>
        <w:t xml:space="preserve">DP&amp;L </w:t>
      </w:r>
      <w:r w:rsidRPr="00D908C3">
        <w:t xml:space="preserve">Motion at 5.  In the testimony of Craig </w:t>
      </w:r>
      <w:r>
        <w:t xml:space="preserve">L. </w:t>
      </w:r>
      <w:r w:rsidRPr="00D908C3">
        <w:t xml:space="preserve">Jackson attached to the Motion, DP&amp;L indicates that in 2015 it paid dividends totaling $50 million to DPL Inc. and expects to pay dividends totaling $25 million in 2016 to DPL Inc.  </w:t>
      </w:r>
      <w:r>
        <w:t xml:space="preserve">DP&amp;L </w:t>
      </w:r>
      <w:r w:rsidRPr="00D908C3">
        <w:t xml:space="preserve">Motion, Attached </w:t>
      </w:r>
      <w:r>
        <w:t xml:space="preserve">Direct </w:t>
      </w:r>
      <w:r w:rsidRPr="00D908C3">
        <w:t xml:space="preserve">Testimony of </w:t>
      </w:r>
      <w:r>
        <w:t xml:space="preserve">Craig L. </w:t>
      </w:r>
      <w:r w:rsidRPr="00D908C3">
        <w:t>Jackson at 3.</w:t>
      </w:r>
    </w:p>
  </w:footnote>
  <w:footnote w:id="40">
    <w:p w14:paraId="0B353D5D" w14:textId="0F34258B" w:rsidR="001943CE" w:rsidRPr="00D908C3" w:rsidRDefault="001943CE" w:rsidP="00D908C3">
      <w:pPr>
        <w:pStyle w:val="FootnoteText"/>
      </w:pPr>
      <w:r w:rsidRPr="00D908C3">
        <w:rPr>
          <w:rStyle w:val="FootnoteReference"/>
        </w:rPr>
        <w:footnoteRef/>
      </w:r>
      <w:r w:rsidRPr="00D908C3">
        <w:t xml:space="preserve"> </w:t>
      </w:r>
      <w:r>
        <w:t>In its annual report to the Securities and Exchange Commission, DP&amp;L discloses that it “</w:t>
      </w:r>
      <w:r w:rsidRPr="00403A4E">
        <w:t xml:space="preserve">declares and pays dividends on its common shares to its parent </w:t>
      </w:r>
      <w:r w:rsidRPr="00403A4E">
        <w:rPr>
          <w:bCs/>
        </w:rPr>
        <w:t>DPL</w:t>
      </w:r>
      <w:r w:rsidRPr="00403A4E">
        <w:t xml:space="preserve"> from time to time as declared by the </w:t>
      </w:r>
      <w:r w:rsidRPr="00403A4E">
        <w:rPr>
          <w:bCs/>
        </w:rPr>
        <w:t>DP&amp;L</w:t>
      </w:r>
      <w:r w:rsidRPr="00403A4E">
        <w:t xml:space="preserve"> board.  Dividends on common shares in the amount of $50.0 million, $159.0 million and $190.0 million were declared and paid in the years ended December 31, 2015, 2014 and 2013, respectively.</w:t>
      </w:r>
      <w:r>
        <w:t xml:space="preserve">”  Annual Report for Fiscal Year Ended December 31, 2015 (Form 10-K) at 36, viewed at </w:t>
      </w:r>
      <w:r w:rsidRPr="00AE43D1">
        <w:t>https://www.last10k.com/sec-filings/0000027430</w:t>
      </w:r>
      <w:r>
        <w:t>.</w:t>
      </w:r>
    </w:p>
  </w:footnote>
  <w:footnote w:id="41">
    <w:p w14:paraId="0E05E246" w14:textId="6E91B1A6" w:rsidR="001943CE" w:rsidRPr="00F31099" w:rsidRDefault="001943CE">
      <w:pPr>
        <w:pStyle w:val="FootnoteText"/>
      </w:pPr>
      <w:r>
        <w:rPr>
          <w:rStyle w:val="FootnoteReference"/>
        </w:rPr>
        <w:footnoteRef/>
      </w:r>
      <w:r>
        <w:t xml:space="preserve"> The Commission has previously indicated that it relies on a cash flow type of analysis when it reviews claims by utilities that they are facing financial emergencies.  </w:t>
      </w:r>
      <w:r>
        <w:rPr>
          <w:i/>
        </w:rPr>
        <w:t>In the Matter of the Application of Akron Thermal, Limited Partnership for an Emergency Increase in its Rates and Charges for Steam and Hot Water Service</w:t>
      </w:r>
      <w:r>
        <w:t xml:space="preserve">, Case Nos. 09-453-HT-AEM, </w:t>
      </w:r>
      <w:r w:rsidRPr="004B3F45">
        <w:rPr>
          <w:i/>
        </w:rPr>
        <w:t>et al</w:t>
      </w:r>
      <w:r>
        <w:t>., Opinion and Order at 13, 25 (Sep. 2, 2009).</w:t>
      </w:r>
    </w:p>
  </w:footnote>
  <w:footnote w:id="42">
    <w:p w14:paraId="147FDF98" w14:textId="2B127F30" w:rsidR="001943CE" w:rsidRPr="00D908C3" w:rsidRDefault="001943CE" w:rsidP="00D908C3">
      <w:pPr>
        <w:pStyle w:val="FootnoteText"/>
      </w:pPr>
      <w:r w:rsidRPr="00D908C3">
        <w:rPr>
          <w:rStyle w:val="FootnoteReference"/>
        </w:rPr>
        <w:footnoteRef/>
      </w:r>
      <w:r w:rsidRPr="00D908C3">
        <w:t xml:space="preserve"> </w:t>
      </w:r>
      <w:r>
        <w:t xml:space="preserve">DP&amp;L </w:t>
      </w:r>
      <w:r w:rsidRPr="00D908C3">
        <w:t xml:space="preserve">Motion, Attached </w:t>
      </w:r>
      <w:r>
        <w:t xml:space="preserve">Direct </w:t>
      </w:r>
      <w:r w:rsidRPr="00D908C3">
        <w:t xml:space="preserve">Testimony of </w:t>
      </w:r>
      <w:r>
        <w:t xml:space="preserve">Craig L. </w:t>
      </w:r>
      <w:r w:rsidRPr="00D908C3">
        <w:t>Jackson at 4.</w:t>
      </w:r>
      <w:r w:rsidRPr="00E54FAC">
        <w:t xml:space="preserve">  </w:t>
      </w:r>
      <w:r>
        <w:t xml:space="preserve">Included in the yet to be identified average number is an assumed O&amp;M savings level specific to DP&amp;L averaging $4.9 million over this same period.  </w:t>
      </w:r>
      <w:r w:rsidRPr="00E54FAC">
        <w:rPr>
          <w:i/>
        </w:rPr>
        <w:t>Id</w:t>
      </w:r>
      <w:r>
        <w:t>.</w:t>
      </w:r>
    </w:p>
  </w:footnote>
  <w:footnote w:id="43">
    <w:p w14:paraId="71F7CC53" w14:textId="026A328A" w:rsidR="001943CE" w:rsidRPr="00D908C3" w:rsidRDefault="001943CE" w:rsidP="00D908C3">
      <w:pPr>
        <w:pStyle w:val="FootnoteText"/>
      </w:pPr>
      <w:r w:rsidRPr="00D908C3">
        <w:rPr>
          <w:rStyle w:val="FootnoteReference"/>
        </w:rPr>
        <w:footnoteRef/>
      </w:r>
      <w:r w:rsidRPr="00D908C3">
        <w:t xml:space="preserve"> </w:t>
      </w:r>
      <w:r w:rsidRPr="00D908C3">
        <w:rPr>
          <w:i/>
        </w:rPr>
        <w:t>ESP II Case</w:t>
      </w:r>
      <w:r w:rsidRPr="00D908C3">
        <w:t>, Opinion and Order at 27.</w:t>
      </w:r>
    </w:p>
  </w:footnote>
  <w:footnote w:id="44">
    <w:p w14:paraId="66626538" w14:textId="5CEE4586" w:rsidR="001943CE" w:rsidRPr="00D908C3" w:rsidRDefault="001943CE" w:rsidP="00D908C3">
      <w:pPr>
        <w:pStyle w:val="FootnoteText"/>
      </w:pPr>
      <w:r w:rsidRPr="00D908C3">
        <w:rPr>
          <w:rStyle w:val="FootnoteReference"/>
        </w:rPr>
        <w:footnoteRef/>
      </w:r>
      <w:r w:rsidRPr="00D908C3">
        <w:t xml:space="preserve"> </w:t>
      </w:r>
      <w:r w:rsidRPr="00D908C3">
        <w:rPr>
          <w:i/>
        </w:rPr>
        <w:t>See</w:t>
      </w:r>
      <w:r w:rsidRPr="00D908C3">
        <w:t xml:space="preserve"> </w:t>
      </w:r>
      <w:r w:rsidRPr="00D908C3">
        <w:rPr>
          <w:i/>
        </w:rPr>
        <w:t>ESP II Case</w:t>
      </w:r>
      <w:r w:rsidRPr="00D908C3">
        <w:t>, Opinion and Order at 22-25</w:t>
      </w:r>
      <w:r>
        <w:t>.</w:t>
      </w:r>
    </w:p>
  </w:footnote>
  <w:footnote w:id="45">
    <w:p w14:paraId="67D21399" w14:textId="77777777" w:rsidR="001943CE" w:rsidRPr="00D908C3" w:rsidRDefault="001943CE" w:rsidP="00D908C3">
      <w:pPr>
        <w:pStyle w:val="FootnoteText"/>
      </w:pPr>
      <w:r w:rsidRPr="00D908C3">
        <w:rPr>
          <w:rStyle w:val="FootnoteReference"/>
        </w:rPr>
        <w:footnoteRef/>
      </w:r>
      <w:r w:rsidRPr="00D908C3">
        <w:t xml:space="preserve"> </w:t>
      </w:r>
      <w:r w:rsidRPr="00D908C3">
        <w:rPr>
          <w:i/>
        </w:rPr>
        <w:t>Id.</w:t>
      </w:r>
      <w:r w:rsidRPr="00D908C3">
        <w:t xml:space="preserve"> at 25.</w:t>
      </w:r>
    </w:p>
  </w:footnote>
  <w:footnote w:id="46">
    <w:p w14:paraId="284896BB" w14:textId="37DE4EFE" w:rsidR="001943CE" w:rsidRDefault="001943CE">
      <w:pPr>
        <w:pStyle w:val="FootnoteText"/>
      </w:pPr>
      <w:r>
        <w:rPr>
          <w:rStyle w:val="FootnoteReference"/>
        </w:rPr>
        <w:footnoteRef/>
      </w:r>
      <w:r>
        <w:t xml:space="preserve"> As noted above, DP&amp;L is currently seeking a hearing schedule that does not anticipate a Staff Report until July 2016.</w:t>
      </w:r>
    </w:p>
  </w:footnote>
  <w:footnote w:id="47">
    <w:p w14:paraId="3D2CCDBE" w14:textId="187D979A" w:rsidR="001943CE" w:rsidRPr="00D908C3" w:rsidRDefault="001943CE" w:rsidP="00D908C3">
      <w:pPr>
        <w:pStyle w:val="FootnoteText"/>
      </w:pPr>
      <w:r w:rsidRPr="00D908C3">
        <w:rPr>
          <w:rStyle w:val="FootnoteReference"/>
        </w:rPr>
        <w:footnoteRef/>
      </w:r>
      <w:r w:rsidRPr="00D908C3">
        <w:t xml:space="preserve"> </w:t>
      </w:r>
      <w:r w:rsidRPr="00D908C3">
        <w:rPr>
          <w:i/>
        </w:rPr>
        <w:t>ESP II Case,</w:t>
      </w:r>
      <w:r w:rsidRPr="00D908C3">
        <w:t xml:space="preserve"> </w:t>
      </w:r>
      <w:r>
        <w:t xml:space="preserve">Opinion and </w:t>
      </w:r>
      <w:r w:rsidRPr="00D908C3">
        <w:t xml:space="preserve">Order at 26 (emphasis added); </w:t>
      </w:r>
      <w:r w:rsidRPr="00D908C3">
        <w:rPr>
          <w:i/>
        </w:rPr>
        <w:t>ESP II Case</w:t>
      </w:r>
      <w:r w:rsidRPr="00D908C3">
        <w:t xml:space="preserve">, Entry Nunc Pro Tunc at 2 (bracketed information reflects revisions the Commission made to its order in its </w:t>
      </w:r>
      <w:r>
        <w:t>E</w:t>
      </w:r>
      <w:r w:rsidRPr="00D908C3">
        <w:t xml:space="preserve">ntry </w:t>
      </w:r>
      <w:r>
        <w:t>N</w:t>
      </w:r>
      <w:r w:rsidRPr="00D908C3">
        <w:t xml:space="preserve">unc </w:t>
      </w:r>
      <w:r>
        <w:t>P</w:t>
      </w:r>
      <w:r w:rsidRPr="00D908C3">
        <w:t xml:space="preserve">ro </w:t>
      </w:r>
      <w:r>
        <w:t>T</w:t>
      </w:r>
      <w:r w:rsidRPr="00D908C3">
        <w:t>unc).  DP&amp;L filed its Motion 276 days before the expiration of the SSR.</w:t>
      </w:r>
    </w:p>
  </w:footnote>
  <w:footnote w:id="48">
    <w:p w14:paraId="7ADDC078" w14:textId="083AF8CB" w:rsidR="001943CE" w:rsidRPr="00D908C3" w:rsidRDefault="001943CE" w:rsidP="00D908C3">
      <w:pPr>
        <w:pStyle w:val="FootnoteText"/>
      </w:pPr>
      <w:r w:rsidRPr="00D908C3">
        <w:rPr>
          <w:rStyle w:val="FootnoteReference"/>
        </w:rPr>
        <w:footnoteRef/>
      </w:r>
      <w:r w:rsidRPr="00D908C3">
        <w:t xml:space="preserve"> </w:t>
      </w:r>
      <w:r w:rsidRPr="00D908C3">
        <w:rPr>
          <w:i/>
        </w:rPr>
        <w:t>ESP II Case</w:t>
      </w:r>
      <w:r w:rsidRPr="00D908C3">
        <w:t xml:space="preserve">, </w:t>
      </w:r>
      <w:r>
        <w:t xml:space="preserve">Opinion and </w:t>
      </w:r>
      <w:r w:rsidRPr="00D908C3">
        <w:t>Order at 28 (emphasis added).</w:t>
      </w:r>
    </w:p>
  </w:footnote>
  <w:footnote w:id="49">
    <w:p w14:paraId="282DC29E" w14:textId="77777777" w:rsidR="001943CE" w:rsidRPr="00D908C3" w:rsidRDefault="001943CE" w:rsidP="00D908C3">
      <w:pPr>
        <w:pStyle w:val="FootnoteText"/>
      </w:pPr>
      <w:r w:rsidRPr="00D908C3">
        <w:rPr>
          <w:rStyle w:val="FootnoteReference"/>
        </w:rPr>
        <w:footnoteRef/>
      </w:r>
      <w:r w:rsidRPr="00D908C3">
        <w:t xml:space="preserve"> DP&amp;L Motion at 1.</w:t>
      </w:r>
    </w:p>
  </w:footnote>
  <w:footnote w:id="50">
    <w:p w14:paraId="7E8FE729" w14:textId="14E727D5" w:rsidR="001943CE" w:rsidRPr="00D908C3" w:rsidRDefault="001943CE" w:rsidP="00D908C3">
      <w:pPr>
        <w:pStyle w:val="FootnoteText"/>
      </w:pPr>
      <w:r w:rsidRPr="00D908C3">
        <w:rPr>
          <w:rStyle w:val="FootnoteReference"/>
        </w:rPr>
        <w:footnoteRef/>
      </w:r>
      <w:r w:rsidRPr="00D908C3">
        <w:t xml:space="preserve"> </w:t>
      </w:r>
      <w:r w:rsidRPr="00DC7A22">
        <w:rPr>
          <w:i/>
        </w:rPr>
        <w:t>Id</w:t>
      </w:r>
      <w:r>
        <w:t>.</w:t>
      </w:r>
      <w:r w:rsidRPr="00D908C3">
        <w:t xml:space="preserve"> at 6.</w:t>
      </w:r>
    </w:p>
  </w:footnote>
  <w:footnote w:id="51">
    <w:p w14:paraId="71A3FFD6" w14:textId="3A1ED2FA" w:rsidR="001943CE" w:rsidRPr="00D908C3" w:rsidRDefault="001943CE" w:rsidP="00D908C3">
      <w:pPr>
        <w:pStyle w:val="FootnoteText"/>
      </w:pPr>
      <w:r w:rsidRPr="00D908C3">
        <w:rPr>
          <w:rStyle w:val="FootnoteReference"/>
        </w:rPr>
        <w:footnoteRef/>
      </w:r>
      <w:r w:rsidRPr="00D908C3">
        <w:t xml:space="preserve"> </w:t>
      </w:r>
      <w:r>
        <w:t xml:space="preserve">Because DP&amp;L has not requested a rate increase for the SSR-E in excess of zero, the Commission should, consistent with the Court’s precedent, refuse to grant DP&amp;L an increase in SSR-E rates.  </w:t>
      </w:r>
      <w:r w:rsidRPr="00D908C3">
        <w:t xml:space="preserve">In a different context, the Court has found that the Commission may not authorize relief which was not specified in an application and noticed to the public.  </w:t>
      </w:r>
      <w:r w:rsidRPr="00D908C3">
        <w:rPr>
          <w:i/>
        </w:rPr>
        <w:t>Assn. of Realtors v. Pub. Util. Comm.</w:t>
      </w:r>
      <w:r w:rsidRPr="00D908C3">
        <w:t>, 60 Ohio St. 2d 172, 398 N.E. 2d 784 (1979).</w:t>
      </w:r>
    </w:p>
  </w:footnote>
  <w:footnote w:id="52">
    <w:p w14:paraId="1C22CC0E" w14:textId="73A920D3" w:rsidR="001943CE" w:rsidRPr="00D908C3" w:rsidRDefault="001943CE" w:rsidP="00D908C3">
      <w:pPr>
        <w:pStyle w:val="FootnoteText"/>
      </w:pPr>
      <w:r w:rsidRPr="00D908C3">
        <w:rPr>
          <w:rStyle w:val="FootnoteReference"/>
        </w:rPr>
        <w:footnoteRef/>
      </w:r>
      <w:r w:rsidRPr="00D908C3">
        <w:t xml:space="preserve"> </w:t>
      </w:r>
      <w:r w:rsidRPr="00403A4E">
        <w:rPr>
          <w:i/>
        </w:rPr>
        <w:t>ESP II Case</w:t>
      </w:r>
      <w:r w:rsidRPr="00D908C3">
        <w:t>, Opinion and Order at 27-28.</w:t>
      </w:r>
    </w:p>
  </w:footnote>
  <w:footnote w:id="53">
    <w:p w14:paraId="161BBCD3" w14:textId="08DA7D9C" w:rsidR="001943CE" w:rsidRPr="00D908C3" w:rsidRDefault="001943CE" w:rsidP="00D908C3">
      <w:pPr>
        <w:pStyle w:val="FootnoteText"/>
      </w:pPr>
      <w:r w:rsidRPr="00D908C3">
        <w:rPr>
          <w:rStyle w:val="FootnoteReference"/>
        </w:rPr>
        <w:footnoteRef/>
      </w:r>
      <w:r w:rsidRPr="00D908C3">
        <w:t xml:space="preserve"> </w:t>
      </w:r>
      <w:r w:rsidRPr="00D908C3">
        <w:rPr>
          <w:i/>
        </w:rPr>
        <w:t>In the Matter of the Application of The Dayton Power and Light Company for Authority to Transfer or Sell its Generation Assets</w:t>
      </w:r>
      <w:r w:rsidRPr="00D908C3">
        <w:t>, Case No. 13-2420-EL-UNC, Application (Dec. 30, 2013).</w:t>
      </w:r>
    </w:p>
  </w:footnote>
  <w:footnote w:id="54">
    <w:p w14:paraId="1F122F00" w14:textId="77777777" w:rsidR="001943CE" w:rsidRPr="00D908C3" w:rsidRDefault="001943CE" w:rsidP="00D908C3">
      <w:pPr>
        <w:pStyle w:val="FootnoteText"/>
      </w:pPr>
      <w:r w:rsidRPr="00D908C3">
        <w:rPr>
          <w:rStyle w:val="FootnoteReference"/>
        </w:rPr>
        <w:footnoteRef/>
      </w:r>
      <w:r w:rsidRPr="00D908C3">
        <w:t xml:space="preserve"> </w:t>
      </w:r>
      <w:r w:rsidRPr="00D908C3">
        <w:rPr>
          <w:i/>
        </w:rPr>
        <w:t xml:space="preserve">Id. </w:t>
      </w:r>
      <w:r w:rsidRPr="00D908C3">
        <w:t>at 1-2 (“DP&amp;L is exploring its options related to the separation including issues and obstacles related to potentially transferring the assets to an affiliate as early as 2014.”).</w:t>
      </w:r>
    </w:p>
  </w:footnote>
  <w:footnote w:id="55">
    <w:p w14:paraId="4B840FB5" w14:textId="25068846" w:rsidR="001943CE" w:rsidRPr="00D908C3" w:rsidRDefault="001943CE" w:rsidP="00D908C3">
      <w:pPr>
        <w:pStyle w:val="FootnoteText"/>
      </w:pPr>
      <w:r w:rsidRPr="00D908C3">
        <w:rPr>
          <w:rStyle w:val="FootnoteReference"/>
        </w:rPr>
        <w:footnoteRef/>
      </w:r>
      <w:r w:rsidRPr="00D908C3">
        <w:t xml:space="preserve"> In its Amended Supplemental Application, DP&amp;L continued to state that it had not resolved the process it would undertake to divest the generation assets, offering that it was still considering two “tracks.”  </w:t>
      </w:r>
      <w:r w:rsidRPr="00D908C3">
        <w:rPr>
          <w:i/>
        </w:rPr>
        <w:t>Id</w:t>
      </w:r>
      <w:r w:rsidRPr="00D908C3">
        <w:t xml:space="preserve">., Amended Supplemental Application of The Dayton Power and Light Company to Transfer or Sell its Generation Assets at 2 (May 23, 2014).  The method by which DP&amp;L would divest the generation assets remained open under the Commission decision which created an additional condition for DP&amp;L to provide the fair market value of the assets if it elected to sell them to an unaffiliated company.  </w:t>
      </w:r>
      <w:r w:rsidRPr="00D908C3">
        <w:rPr>
          <w:i/>
        </w:rPr>
        <w:t>Id</w:t>
      </w:r>
      <w:r w:rsidRPr="00D908C3">
        <w:t>., Finding and Order at 9 (Sept. 17, 2014).</w:t>
      </w:r>
    </w:p>
  </w:footnote>
  <w:footnote w:id="56">
    <w:p w14:paraId="54AD65E7" w14:textId="76D1B29B" w:rsidR="001943CE" w:rsidRPr="00D908C3" w:rsidRDefault="001943CE" w:rsidP="00D908C3">
      <w:pPr>
        <w:pStyle w:val="FootnoteText"/>
      </w:pPr>
      <w:r w:rsidRPr="00D908C3">
        <w:rPr>
          <w:rStyle w:val="FootnoteReference"/>
        </w:rPr>
        <w:footnoteRef/>
      </w:r>
      <w:r w:rsidRPr="00D908C3">
        <w:t xml:space="preserve"> </w:t>
      </w:r>
      <w:r>
        <w:rPr>
          <w:i/>
        </w:rPr>
        <w:t>DP&amp;L Distribution Rate Case,</w:t>
      </w:r>
      <w:r w:rsidRPr="00D908C3">
        <w:t xml:space="preserve"> </w:t>
      </w:r>
      <w:r>
        <w:t>Direct Testimony of Jeffrey K. MacKay</w:t>
      </w:r>
      <w:r w:rsidRPr="00D908C3">
        <w:t xml:space="preserve"> at 6</w:t>
      </w:r>
      <w:r>
        <w:t xml:space="preserve"> (Nov. 30, 2015)</w:t>
      </w:r>
      <w:r w:rsidRPr="00D908C3">
        <w:t>.</w:t>
      </w:r>
    </w:p>
  </w:footnote>
  <w:footnote w:id="57">
    <w:p w14:paraId="1B2B284F" w14:textId="379180A8" w:rsidR="001943CE" w:rsidRPr="00D908C3" w:rsidRDefault="001943CE" w:rsidP="00D908C3">
      <w:pPr>
        <w:pStyle w:val="FootnoteText"/>
      </w:pPr>
      <w:r w:rsidRPr="00D908C3">
        <w:rPr>
          <w:rStyle w:val="FootnoteReference"/>
        </w:rPr>
        <w:footnoteRef/>
      </w:r>
      <w:r>
        <w:t xml:space="preserve"> Direct Testimony of R. Jeffrey Malinak</w:t>
      </w:r>
      <w:r w:rsidRPr="00D908C3">
        <w:t xml:space="preserve"> at 59</w:t>
      </w:r>
      <w:r>
        <w:t xml:space="preserve"> &amp;</w:t>
      </w:r>
      <w:r w:rsidRPr="00D908C3">
        <w:t xml:space="preserve"> 63</w:t>
      </w:r>
      <w:r>
        <w:t xml:space="preserve"> (Feb. 22, 2016).</w:t>
      </w:r>
    </w:p>
  </w:footnote>
  <w:footnote w:id="58">
    <w:p w14:paraId="61B62CEC" w14:textId="193475A3" w:rsidR="001943CE" w:rsidRPr="00D908C3" w:rsidRDefault="001943CE" w:rsidP="00D908C3">
      <w:pPr>
        <w:pStyle w:val="FootnoteText"/>
      </w:pPr>
      <w:r w:rsidRPr="00D908C3">
        <w:rPr>
          <w:rStyle w:val="FootnoteReference"/>
        </w:rPr>
        <w:footnoteRef/>
      </w:r>
      <w:r w:rsidRPr="00D908C3">
        <w:t xml:space="preserve"> DP&amp;L Motion, Attached </w:t>
      </w:r>
      <w:r>
        <w:t xml:space="preserve">Direct </w:t>
      </w:r>
      <w:r w:rsidRPr="00D908C3">
        <w:t xml:space="preserve">Testimony of </w:t>
      </w:r>
      <w:r>
        <w:t xml:space="preserve">Sharon </w:t>
      </w:r>
      <w:r w:rsidRPr="00D908C3">
        <w:t>Schroder at 5.</w:t>
      </w:r>
    </w:p>
  </w:footnote>
  <w:footnote w:id="59">
    <w:p w14:paraId="40635D8E" w14:textId="232F6D22" w:rsidR="001943CE" w:rsidRPr="00D908C3" w:rsidRDefault="001943CE" w:rsidP="00D908C3">
      <w:pPr>
        <w:pStyle w:val="FootnoteText"/>
      </w:pPr>
      <w:r w:rsidRPr="00D908C3">
        <w:rPr>
          <w:rStyle w:val="FootnoteReference"/>
        </w:rPr>
        <w:footnoteRef/>
      </w:r>
      <w:r w:rsidRPr="00D908C3">
        <w:t xml:space="preserve"> Memorandum in Support at 1.</w:t>
      </w:r>
    </w:p>
  </w:footnote>
  <w:footnote w:id="60">
    <w:p w14:paraId="11005A8E" w14:textId="252DB6E1" w:rsidR="001943CE" w:rsidRPr="00D908C3" w:rsidRDefault="001943CE" w:rsidP="004158D6">
      <w:pPr>
        <w:pStyle w:val="FootnoteText"/>
      </w:pPr>
      <w:r w:rsidRPr="00D908C3">
        <w:rPr>
          <w:rStyle w:val="FootnoteReference"/>
        </w:rPr>
        <w:footnoteRef/>
      </w:r>
      <w:r w:rsidRPr="00D908C3">
        <w:t xml:space="preserve"> </w:t>
      </w:r>
      <w:r w:rsidRPr="00D908C3">
        <w:rPr>
          <w:i/>
        </w:rPr>
        <w:t>In the Matter of the Application of Ohio Power Company for Approval of the Shutdown of Unit 5 of the Philip Sporn Generating Station and to Establish a Plant Shutdown Rider</w:t>
      </w:r>
      <w:r w:rsidRPr="00D908C3">
        <w:t>, Case No. 10-1454-EL-RDR, Finding and Order at 16 (Jan. 11, 2012)</w:t>
      </w:r>
      <w:r>
        <w:t xml:space="preserve"> (</w:t>
      </w:r>
      <w:r w:rsidRPr="00403A4E">
        <w:rPr>
          <w:i/>
        </w:rPr>
        <w:t>“Sporn”</w:t>
      </w:r>
      <w:r>
        <w:t>).</w:t>
      </w:r>
    </w:p>
  </w:footnote>
  <w:footnote w:id="61">
    <w:p w14:paraId="559EA4D2" w14:textId="77777777" w:rsidR="001943CE" w:rsidRPr="00D908C3" w:rsidRDefault="001943CE" w:rsidP="004158D6">
      <w:pPr>
        <w:pStyle w:val="FootnoteText"/>
      </w:pPr>
      <w:r w:rsidRPr="00D908C3">
        <w:rPr>
          <w:rStyle w:val="FootnoteReference"/>
        </w:rPr>
        <w:footnoteRef/>
      </w:r>
      <w:r w:rsidRPr="00D908C3">
        <w:t xml:space="preserve"> </w:t>
      </w:r>
      <w:r w:rsidRPr="00D908C3">
        <w:rPr>
          <w:i/>
        </w:rPr>
        <w:t>Id</w:t>
      </w:r>
      <w:r w:rsidRPr="00D908C3">
        <w:t>. at 17.</w:t>
      </w:r>
    </w:p>
  </w:footnote>
  <w:footnote w:id="62">
    <w:p w14:paraId="61D149A7" w14:textId="0DF0D9D4" w:rsidR="001943CE" w:rsidRPr="00D908C3" w:rsidRDefault="001943CE" w:rsidP="00D908C3">
      <w:pPr>
        <w:pStyle w:val="FootnoteText"/>
      </w:pPr>
      <w:r w:rsidRPr="00D908C3">
        <w:rPr>
          <w:rStyle w:val="FootnoteReference"/>
        </w:rPr>
        <w:footnoteRef/>
      </w:r>
      <w:r w:rsidRPr="00D908C3">
        <w:t xml:space="preserve"> </w:t>
      </w:r>
      <w:r w:rsidRPr="00403A4E">
        <w:rPr>
          <w:i/>
        </w:rPr>
        <w:t>ESP II Case</w:t>
      </w:r>
      <w:r w:rsidRPr="00D908C3">
        <w:t>, Opinion and Order at 52.</w:t>
      </w:r>
    </w:p>
  </w:footnote>
  <w:footnote w:id="63">
    <w:p w14:paraId="0904ADF6" w14:textId="307E7371" w:rsidR="001943CE" w:rsidRPr="00D908C3" w:rsidRDefault="001943CE" w:rsidP="00D908C3">
      <w:pPr>
        <w:pStyle w:val="FootnoteText"/>
      </w:pPr>
      <w:r w:rsidRPr="00D908C3">
        <w:rPr>
          <w:rStyle w:val="FootnoteReference"/>
        </w:rPr>
        <w:footnoteRef/>
      </w:r>
      <w:r w:rsidRPr="00D908C3">
        <w:t xml:space="preserve"> </w:t>
      </w:r>
      <w:r w:rsidRPr="00D908C3">
        <w:rPr>
          <w:i/>
        </w:rPr>
        <w:t xml:space="preserve">In re </w:t>
      </w:r>
      <w:r>
        <w:rPr>
          <w:i/>
        </w:rPr>
        <w:t xml:space="preserve">Application of </w:t>
      </w:r>
      <w:r w:rsidRPr="00D908C3">
        <w:rPr>
          <w:i/>
        </w:rPr>
        <w:t>Columbus S. Power Co.</w:t>
      </w:r>
      <w:r w:rsidRPr="00D908C3">
        <w:t>, 128 Ohio St.3d 512, 520 (2011).</w:t>
      </w:r>
    </w:p>
  </w:footnote>
  <w:footnote w:id="64">
    <w:p w14:paraId="31B2FCD9" w14:textId="0BF5089C" w:rsidR="001943CE" w:rsidRPr="00D908C3" w:rsidRDefault="001943CE" w:rsidP="00D908C3">
      <w:pPr>
        <w:pStyle w:val="FootnoteText"/>
      </w:pPr>
      <w:r w:rsidRPr="00D908C3">
        <w:rPr>
          <w:rStyle w:val="FootnoteReference"/>
        </w:rPr>
        <w:footnoteRef/>
      </w:r>
      <w:r w:rsidRPr="00D908C3">
        <w:t xml:space="preserve"> </w:t>
      </w:r>
      <w:r>
        <w:t>Although the Commission authorized the SSR under R.C. 4928.143(B)(2)(d),</w:t>
      </w:r>
      <w:r w:rsidRPr="0043751B">
        <w:t xml:space="preserve"> </w:t>
      </w:r>
      <w:r>
        <w:t xml:space="preserve">it did not state the specific statutory provision that authorizes the SSR-E.  </w:t>
      </w:r>
      <w:r w:rsidRPr="00403A4E">
        <w:rPr>
          <w:i/>
        </w:rPr>
        <w:t>ESP II Case</w:t>
      </w:r>
      <w:r w:rsidRPr="00D908C3">
        <w:t>, Opinion and Order at 21-22</w:t>
      </w:r>
      <w:r>
        <w:t xml:space="preserve"> &amp;</w:t>
      </w:r>
      <w:r w:rsidRPr="00D908C3">
        <w:t xml:space="preserve"> 26-28.</w:t>
      </w:r>
      <w:r>
        <w:t xml:space="preserve">  </w:t>
      </w:r>
    </w:p>
  </w:footnote>
  <w:footnote w:id="65">
    <w:p w14:paraId="265227CA" w14:textId="147C8EF6" w:rsidR="001943CE" w:rsidRDefault="001943CE">
      <w:pPr>
        <w:pStyle w:val="FootnoteText"/>
      </w:pPr>
      <w:r>
        <w:rPr>
          <w:rStyle w:val="FootnoteReference"/>
        </w:rPr>
        <w:footnoteRef/>
      </w:r>
      <w:r>
        <w:t xml:space="preserve"> In its Application for Rehearing, DP&amp;L complained that R.C. 4928.143(B)(2)(d) did not authorize the conditions the Commission imposed on DP&amp;L if it sought an increase in the SSR-E above.  When it rejected DP&amp;L’s assignments of error, however, the Commission again did not state what division it was relying upon to authorize the SSR-E. </w:t>
      </w:r>
      <w:r w:rsidRPr="004A3E61">
        <w:rPr>
          <w:i/>
        </w:rPr>
        <w:t xml:space="preserve"> </w:t>
      </w:r>
      <w:r w:rsidRPr="006A6257">
        <w:rPr>
          <w:i/>
        </w:rPr>
        <w:t>Id</w:t>
      </w:r>
      <w:r w:rsidRPr="00D908C3">
        <w:t>., Second Entry on Rehearing at 12-14.</w:t>
      </w:r>
    </w:p>
  </w:footnote>
  <w:footnote w:id="66">
    <w:p w14:paraId="56F9FA84" w14:textId="5813119E" w:rsidR="001943CE" w:rsidRDefault="001943CE">
      <w:pPr>
        <w:pStyle w:val="FootnoteText"/>
      </w:pPr>
      <w:r>
        <w:rPr>
          <w:rStyle w:val="FootnoteReference"/>
        </w:rPr>
        <w:footnoteRef/>
      </w:r>
      <w:r>
        <w:t xml:space="preserve"> R.C. 4928.143(C)(1).</w:t>
      </w:r>
    </w:p>
  </w:footnote>
  <w:footnote w:id="67">
    <w:p w14:paraId="722C69D6" w14:textId="7CFE07E1" w:rsidR="001943CE" w:rsidRDefault="001943CE">
      <w:pPr>
        <w:pStyle w:val="FootnoteText"/>
      </w:pPr>
      <w:r>
        <w:rPr>
          <w:rStyle w:val="FootnoteReference"/>
        </w:rPr>
        <w:footnoteRef/>
      </w:r>
      <w:r>
        <w:t xml:space="preserve"> Direct Testimony of R. Jeffrey Malinak at 5, 13.</w:t>
      </w:r>
    </w:p>
  </w:footnote>
  <w:footnote w:id="68">
    <w:p w14:paraId="731C9E0D" w14:textId="661FC016" w:rsidR="001943CE" w:rsidRDefault="001943CE">
      <w:pPr>
        <w:pStyle w:val="FootnoteText"/>
      </w:pPr>
      <w:r>
        <w:rPr>
          <w:rStyle w:val="FootnoteReference"/>
        </w:rPr>
        <w:footnoteRef/>
      </w:r>
      <w:r>
        <w:t xml:space="preserve"> In a similar situation, the Commission has required the EDU to make a detailed demonstration of the need for a generation-related rider and rejected requests for authorization when the proof did not support a claim that the rider would have the effect of stabilizing rates.  </w:t>
      </w:r>
      <w:r w:rsidRPr="00403A4E">
        <w:rPr>
          <w:i/>
        </w:rPr>
        <w:t>See In the Matter of Application of Duke Energy Ohio, Inc., for Authority to Establish a Standard Service Offer Pursuant to R.C. 4928.143 in the Form of an Electric Security Plan, Accounting Modifications, and Tariffs for Generation Service</w:t>
      </w:r>
      <w:r>
        <w:t xml:space="preserve">, Case Nos. 14-841-EL-SSO, </w:t>
      </w:r>
      <w:r w:rsidRPr="00403A4E">
        <w:rPr>
          <w:i/>
        </w:rPr>
        <w:t>et al</w:t>
      </w:r>
      <w:r>
        <w:t>., Opinion and Order at 42-48 (Apr. 2, 2015).</w:t>
      </w:r>
    </w:p>
  </w:footnote>
  <w:footnote w:id="69">
    <w:p w14:paraId="57E9D800" w14:textId="7FE6F624" w:rsidR="001943CE" w:rsidRPr="00D908C3" w:rsidRDefault="001943CE" w:rsidP="00D908C3">
      <w:pPr>
        <w:pStyle w:val="FootnoteText"/>
      </w:pPr>
      <w:r w:rsidRPr="00D908C3">
        <w:rPr>
          <w:rStyle w:val="FootnoteReference"/>
        </w:rPr>
        <w:footnoteRef/>
      </w:r>
      <w:r w:rsidRPr="00D908C3">
        <w:t xml:space="preserve"> R.C. 4928.31(A).</w:t>
      </w:r>
    </w:p>
  </w:footnote>
  <w:footnote w:id="70">
    <w:p w14:paraId="2C382A5B" w14:textId="142A4CA2" w:rsidR="001943CE" w:rsidRPr="00D908C3" w:rsidRDefault="001943CE" w:rsidP="00D908C3">
      <w:pPr>
        <w:pStyle w:val="FootnoteText"/>
      </w:pPr>
      <w:r w:rsidRPr="00D908C3">
        <w:rPr>
          <w:rStyle w:val="FootnoteReference"/>
        </w:rPr>
        <w:footnoteRef/>
      </w:r>
      <w:r w:rsidRPr="00D908C3">
        <w:t xml:space="preserve"> </w:t>
      </w:r>
      <w:r w:rsidRPr="00D908C3">
        <w:rPr>
          <w:i/>
        </w:rPr>
        <w:t>Id.</w:t>
      </w:r>
      <w:r w:rsidRPr="00D908C3">
        <w:t xml:space="preserve">  </w:t>
      </w:r>
    </w:p>
  </w:footnote>
  <w:footnote w:id="71">
    <w:p w14:paraId="10D4235D" w14:textId="5F55F750" w:rsidR="001943CE" w:rsidRPr="00D908C3" w:rsidRDefault="001943CE" w:rsidP="00D908C3">
      <w:pPr>
        <w:pStyle w:val="FootnoteText"/>
      </w:pPr>
      <w:r w:rsidRPr="00D908C3">
        <w:rPr>
          <w:rStyle w:val="FootnoteReference"/>
        </w:rPr>
        <w:footnoteRef/>
      </w:r>
      <w:r w:rsidRPr="00D908C3">
        <w:t xml:space="preserve"> R.C. 4928.39 (emphasis added).</w:t>
      </w:r>
    </w:p>
  </w:footnote>
  <w:footnote w:id="72">
    <w:p w14:paraId="3B1470B9" w14:textId="389F91BB" w:rsidR="001943CE" w:rsidRPr="00D908C3" w:rsidRDefault="001943CE" w:rsidP="00D908C3">
      <w:pPr>
        <w:pStyle w:val="FootnoteText"/>
      </w:pPr>
      <w:r w:rsidRPr="00D908C3">
        <w:rPr>
          <w:rStyle w:val="FootnoteReference"/>
        </w:rPr>
        <w:footnoteRef/>
      </w:r>
      <w:r w:rsidRPr="00D908C3">
        <w:t xml:space="preserve"> R.C. 4928.38.</w:t>
      </w:r>
    </w:p>
  </w:footnote>
  <w:footnote w:id="73">
    <w:p w14:paraId="4AE97574" w14:textId="3EC266A0" w:rsidR="001943CE" w:rsidRPr="00D908C3" w:rsidRDefault="001943CE" w:rsidP="00D908C3">
      <w:pPr>
        <w:pStyle w:val="FootnoteText"/>
      </w:pPr>
      <w:r w:rsidRPr="00D908C3">
        <w:rPr>
          <w:rStyle w:val="FootnoteReference"/>
        </w:rPr>
        <w:footnoteRef/>
      </w:r>
      <w:r w:rsidRPr="00D908C3">
        <w:t xml:space="preserve"> </w:t>
      </w:r>
      <w:r w:rsidRPr="00D908C3">
        <w:rPr>
          <w:i/>
        </w:rPr>
        <w:t>Id</w:t>
      </w:r>
      <w:r w:rsidRPr="00D908C3">
        <w:t>.</w:t>
      </w:r>
      <w:r>
        <w:t xml:space="preserve">  </w:t>
      </w:r>
      <w:r>
        <w:rPr>
          <w:rFonts w:eastAsia="Calibri" w:cs="Times New Roman"/>
        </w:rPr>
        <w:t>Further, “[a] standard service offer under section … 4928.143 of the Revised Code shall exclude any previously authorized allowances for transition costs, with such exclusion being effective on and after the date that the allowance is scheduled to tend under the utility’s rate plan.”  R.C. 4928.141(A).</w:t>
      </w:r>
      <w:r>
        <w:rPr>
          <w:rStyle w:val="FootnoteReference"/>
          <w:rFonts w:eastAsia="Calibri" w:cs="Times New Roman"/>
        </w:rPr>
        <w:footnoteRef/>
      </w:r>
      <w:r>
        <w:rPr>
          <w:rFonts w:eastAsia="Calibri" w:cs="Times New Roman"/>
        </w:rPr>
        <w:t xml:space="preserve">  </w:t>
      </w:r>
    </w:p>
  </w:footnote>
  <w:footnote w:id="74">
    <w:p w14:paraId="6EBB7516" w14:textId="07452B73" w:rsidR="001943CE" w:rsidRPr="00EB6190" w:rsidRDefault="001943CE">
      <w:pPr>
        <w:pStyle w:val="FootnoteText"/>
      </w:pPr>
      <w:r>
        <w:rPr>
          <w:rStyle w:val="FootnoteReference"/>
        </w:rPr>
        <w:footnoteRef/>
      </w:r>
      <w:r>
        <w:t xml:space="preserve"> </w:t>
      </w:r>
      <w:r>
        <w:rPr>
          <w:i/>
        </w:rPr>
        <w:t>In re Application of Columbus S. Power Co.</w:t>
      </w:r>
      <w:r>
        <w:t xml:space="preserve"> Slip Opinion 2016-Ohio-1608 at ¶ 21 (“R.C. 4928.38 bars ‘the receipt of transition revenue or any equivalent revenues by an electric utility’ after 2010.”).</w:t>
      </w:r>
    </w:p>
  </w:footnote>
  <w:footnote w:id="75">
    <w:p w14:paraId="7AE0D5DE" w14:textId="7F004ADE" w:rsidR="001943CE" w:rsidRPr="00D908C3" w:rsidRDefault="001943CE" w:rsidP="00D908C3">
      <w:pPr>
        <w:pStyle w:val="FootnoteText"/>
      </w:pPr>
      <w:r w:rsidRPr="00D908C3">
        <w:rPr>
          <w:rStyle w:val="FootnoteReference"/>
        </w:rPr>
        <w:footnoteRef/>
      </w:r>
      <w:r w:rsidRPr="00D908C3">
        <w:t xml:space="preserve"> “DP&amp;L asks to have the RER implemented when the SSR expires; however, if the RER is not approved by the time the SSR expires, then the SSR-E will be necessary to ensure DP&amp;L’s financial integrity and, thus, its ability to provide safe, stable, and reliable retail electric service.”  </w:t>
      </w:r>
      <w:r>
        <w:t xml:space="preserve">DP&amp;L </w:t>
      </w:r>
      <w:r w:rsidRPr="00D908C3">
        <w:t>Motion at 1-2.</w:t>
      </w:r>
    </w:p>
  </w:footnote>
  <w:footnote w:id="76">
    <w:p w14:paraId="6B1F0967" w14:textId="05A0D991" w:rsidR="001943CE" w:rsidRPr="00D908C3" w:rsidRDefault="001943CE" w:rsidP="00D908C3">
      <w:pPr>
        <w:pStyle w:val="FootnoteText"/>
      </w:pPr>
      <w:r w:rsidRPr="00D908C3">
        <w:rPr>
          <w:rStyle w:val="FootnoteReference"/>
        </w:rPr>
        <w:footnoteRef/>
      </w:r>
      <w:r w:rsidRPr="00D908C3">
        <w:t xml:space="preserve"> </w:t>
      </w:r>
      <w:r>
        <w:t>Direct Testimony of R. Jeffrey Malinak at 12-63.</w:t>
      </w:r>
    </w:p>
  </w:footnote>
  <w:footnote w:id="77">
    <w:p w14:paraId="65353258" w14:textId="4645F307" w:rsidR="001943CE" w:rsidRPr="00D908C3" w:rsidRDefault="001943CE" w:rsidP="00D908C3">
      <w:pPr>
        <w:pStyle w:val="FootnoteText"/>
      </w:pPr>
      <w:r w:rsidRPr="00D908C3">
        <w:rPr>
          <w:rStyle w:val="FootnoteReference"/>
        </w:rPr>
        <w:footnoteRef/>
      </w:r>
      <w:r w:rsidRPr="00D908C3">
        <w:t xml:space="preserve"> </w:t>
      </w:r>
      <w:r>
        <w:t xml:space="preserve">Direct Testimony of R. Jeffrey </w:t>
      </w:r>
      <w:r w:rsidRPr="00D908C3">
        <w:t>Malinak</w:t>
      </w:r>
      <w:r>
        <w:t xml:space="preserve"> at 53-54 and Exhibit RJM-9</w:t>
      </w:r>
      <w:r w:rsidRPr="00D908C3">
        <w:t>.</w:t>
      </w:r>
      <w:r>
        <w:t xml:space="preserve"> </w:t>
      </w:r>
    </w:p>
  </w:footnote>
  <w:footnote w:id="78">
    <w:p w14:paraId="586F7748" w14:textId="74EE3019" w:rsidR="001943CE" w:rsidRDefault="001943CE">
      <w:pPr>
        <w:pStyle w:val="FootnoteText"/>
      </w:pPr>
      <w:r>
        <w:rPr>
          <w:rStyle w:val="FootnoteReference"/>
        </w:rPr>
        <w:footnoteRef/>
      </w:r>
      <w:r>
        <w:t xml:space="preserve"> </w:t>
      </w:r>
      <w:r>
        <w:rPr>
          <w:i/>
        </w:rPr>
        <w:t>In re Application of Columbus S. Power Co.</w:t>
      </w:r>
      <w:r>
        <w:t xml:space="preserve"> Slip Opinion 2016-Ohio-1608 at ¶ 23.</w:t>
      </w:r>
    </w:p>
  </w:footnote>
  <w:footnote w:id="79">
    <w:p w14:paraId="002A3597" w14:textId="0C85D7FE" w:rsidR="001943CE" w:rsidRPr="00441788" w:rsidRDefault="001943CE">
      <w:pPr>
        <w:pStyle w:val="FootnoteText"/>
        <w:rPr>
          <w:u w:val="single"/>
        </w:rPr>
      </w:pPr>
      <w:r>
        <w:rPr>
          <w:rStyle w:val="FootnoteReference"/>
        </w:rPr>
        <w:footnoteRef/>
      </w:r>
      <w:r>
        <w:t xml:space="preserve"> </w:t>
      </w:r>
      <w:r>
        <w:rPr>
          <w:i/>
        </w:rPr>
        <w:t>Id.</w:t>
      </w:r>
      <w:r>
        <w:t xml:space="preserve"> at ¶ 24. </w:t>
      </w:r>
    </w:p>
  </w:footnote>
  <w:footnote w:id="80">
    <w:p w14:paraId="42EC06A1" w14:textId="674F00BF" w:rsidR="001943CE" w:rsidRPr="00D908C3" w:rsidRDefault="001943CE" w:rsidP="003411CA">
      <w:pPr>
        <w:spacing w:after="120" w:line="240" w:lineRule="auto"/>
        <w:rPr>
          <w:color w:val="000000"/>
          <w:sz w:val="20"/>
          <w:szCs w:val="20"/>
        </w:rPr>
      </w:pPr>
      <w:r w:rsidRPr="00D908C3">
        <w:rPr>
          <w:rStyle w:val="FootnoteReference"/>
          <w:sz w:val="20"/>
          <w:szCs w:val="20"/>
        </w:rPr>
        <w:footnoteRef/>
      </w:r>
      <w:r w:rsidRPr="00D908C3">
        <w:rPr>
          <w:sz w:val="20"/>
          <w:szCs w:val="20"/>
        </w:rPr>
        <w:t xml:space="preserve"> </w:t>
      </w:r>
      <w:r w:rsidRPr="00D908C3">
        <w:rPr>
          <w:i/>
          <w:iCs/>
          <w:sz w:val="20"/>
          <w:szCs w:val="20"/>
        </w:rPr>
        <w:t>In the Matter of the Application of Ohio Edison Company, The Cleveland Electric Illuminating Company, and The Toledo Edison Company for Approval of a Market Rate Offer to Conduct a Competitive Bidding Process for Standard Service Offer Electric Generation Supply, Accounting Modifications Associated with Reconciliation Mechanism, and Tariffs for Generation Service</w:t>
      </w:r>
      <w:r w:rsidRPr="00D908C3">
        <w:rPr>
          <w:sz w:val="20"/>
          <w:szCs w:val="20"/>
        </w:rPr>
        <w:t xml:space="preserve">, Case Nos. 08-936-EL-SSO, </w:t>
      </w:r>
      <w:r w:rsidRPr="00D908C3">
        <w:rPr>
          <w:i/>
          <w:sz w:val="20"/>
          <w:szCs w:val="20"/>
        </w:rPr>
        <w:t>et al</w:t>
      </w:r>
      <w:r w:rsidRPr="00D908C3">
        <w:rPr>
          <w:sz w:val="20"/>
          <w:szCs w:val="20"/>
        </w:rPr>
        <w:t>., Opinion and</w:t>
      </w:r>
      <w:r>
        <w:rPr>
          <w:sz w:val="20"/>
          <w:szCs w:val="20"/>
        </w:rPr>
        <w:t xml:space="preserve"> Order at 13-14 (Nov. 25, 2008)</w:t>
      </w:r>
      <w:r w:rsidRPr="00D908C3">
        <w:rPr>
          <w:sz w:val="20"/>
          <w:szCs w:val="20"/>
        </w:rPr>
        <w:t xml:space="preserve">; </w:t>
      </w:r>
      <w:r w:rsidRPr="00D908C3">
        <w:rPr>
          <w:i/>
          <w:iCs/>
          <w:sz w:val="20"/>
          <w:szCs w:val="20"/>
        </w:rPr>
        <w:t xml:space="preserve">see </w:t>
      </w:r>
      <w:r w:rsidRPr="00D908C3">
        <w:rPr>
          <w:i/>
          <w:sz w:val="20"/>
          <w:szCs w:val="20"/>
        </w:rPr>
        <w:t>also</w:t>
      </w:r>
      <w:r w:rsidRPr="00D908C3">
        <w:rPr>
          <w:sz w:val="20"/>
          <w:szCs w:val="20"/>
        </w:rPr>
        <w:t xml:space="preserve"> </w:t>
      </w:r>
      <w:r w:rsidRPr="00D908C3">
        <w:rPr>
          <w:i/>
          <w:iCs/>
          <w:sz w:val="20"/>
          <w:szCs w:val="20"/>
        </w:rPr>
        <w:t>Elyria Foundry v. Public Util. Comm.</w:t>
      </w:r>
      <w:r w:rsidRPr="00D908C3">
        <w:rPr>
          <w:sz w:val="20"/>
          <w:szCs w:val="20"/>
        </w:rPr>
        <w:t>, 114 Ohio St.3d 305 (2007);</w:t>
      </w:r>
      <w:r w:rsidRPr="00D908C3">
        <w:rPr>
          <w:i/>
          <w:sz w:val="20"/>
          <w:szCs w:val="20"/>
        </w:rPr>
        <w:t xml:space="preserve"> </w:t>
      </w:r>
      <w:r w:rsidRPr="00D908C3">
        <w:rPr>
          <w:i/>
          <w:iCs/>
          <w:sz w:val="20"/>
          <w:szCs w:val="20"/>
        </w:rPr>
        <w:t>In the Matter of the Application of The Cincinnati Gas &amp; Electric Company to Modify its Nonresidential Generation Rates to Provide for Market-Based Standard Service Offer Pricing and to Establish an Alternative Competitive-Bid Service Rate Option Subsequent to the Market Development Period</w:t>
      </w:r>
      <w:r w:rsidRPr="00D908C3">
        <w:rPr>
          <w:sz w:val="20"/>
          <w:szCs w:val="20"/>
        </w:rPr>
        <w:t xml:space="preserve">, Case Nos. 03-93-EL-ATA, </w:t>
      </w:r>
      <w:r w:rsidRPr="00D908C3">
        <w:rPr>
          <w:i/>
          <w:iCs/>
          <w:sz w:val="20"/>
          <w:szCs w:val="20"/>
        </w:rPr>
        <w:t>et al.</w:t>
      </w:r>
      <w:r w:rsidRPr="00D908C3">
        <w:rPr>
          <w:sz w:val="20"/>
          <w:szCs w:val="20"/>
        </w:rPr>
        <w:t>, Order on Remand at 37 (Oct. 24, 2007</w:t>
      </w:r>
      <w:r>
        <w:rPr>
          <w:sz w:val="20"/>
          <w:szCs w:val="20"/>
        </w:rPr>
        <w:t>)</w:t>
      </w:r>
      <w:r w:rsidRPr="00D908C3">
        <w:rPr>
          <w:sz w:val="20"/>
          <w:szCs w:val="20"/>
        </w:rPr>
        <w:t xml:space="preserve">. </w:t>
      </w:r>
    </w:p>
  </w:footnote>
  <w:footnote w:id="81">
    <w:p w14:paraId="3F2AE831" w14:textId="53DDF8F7" w:rsidR="001943CE" w:rsidRDefault="001943CE">
      <w:pPr>
        <w:pStyle w:val="FootnoteText"/>
      </w:pPr>
      <w:r>
        <w:rPr>
          <w:rStyle w:val="FootnoteReference"/>
        </w:rPr>
        <w:footnoteRef/>
      </w:r>
      <w:r>
        <w:t xml:space="preserve"> </w:t>
      </w:r>
      <w:r w:rsidRPr="0080346E">
        <w:rPr>
          <w:i/>
        </w:rPr>
        <w:t>Sporn</w:t>
      </w:r>
      <w:r>
        <w:t>, Finding and Order at 19.</w:t>
      </w:r>
    </w:p>
  </w:footnote>
  <w:footnote w:id="82">
    <w:p w14:paraId="2FB3CC94" w14:textId="74A41701" w:rsidR="001943CE" w:rsidRDefault="001943CE">
      <w:pPr>
        <w:pStyle w:val="FootnoteText"/>
      </w:pPr>
      <w:r>
        <w:rPr>
          <w:rStyle w:val="FootnoteReference"/>
        </w:rPr>
        <w:footnoteRef/>
      </w:r>
      <w:r>
        <w:t xml:space="preserve"> </w:t>
      </w:r>
      <w:r w:rsidRPr="00403A4E">
        <w:rPr>
          <w:i/>
        </w:rPr>
        <w:t>See, also,</w:t>
      </w:r>
      <w:r w:rsidRPr="00CB76A6">
        <w:t xml:space="preserve"> Rule 4901:1-37-04(</w:t>
      </w:r>
      <w:r>
        <w:t>D)(10)(c), OAC.</w:t>
      </w:r>
    </w:p>
  </w:footnote>
  <w:footnote w:id="83">
    <w:p w14:paraId="2A429676" w14:textId="19CEA442" w:rsidR="001943CE" w:rsidRDefault="001943CE">
      <w:pPr>
        <w:pStyle w:val="FootnoteText"/>
      </w:pPr>
      <w:r>
        <w:rPr>
          <w:rStyle w:val="FootnoteReference"/>
        </w:rPr>
        <w:footnoteRef/>
      </w:r>
      <w:r>
        <w:t xml:space="preserve"> Rule </w:t>
      </w:r>
      <w:r w:rsidRPr="006A785C">
        <w:t>4901:1-37-04</w:t>
      </w:r>
      <w:r>
        <w:t>(C), OAC.</w:t>
      </w:r>
    </w:p>
  </w:footnote>
  <w:footnote w:id="84">
    <w:p w14:paraId="631D746F" w14:textId="61AF1493" w:rsidR="001943CE" w:rsidRPr="00D908C3" w:rsidRDefault="001943CE" w:rsidP="0035764A">
      <w:pPr>
        <w:pStyle w:val="FootnoteText"/>
      </w:pPr>
      <w:r w:rsidRPr="00D908C3">
        <w:rPr>
          <w:rStyle w:val="FootnoteReference"/>
        </w:rPr>
        <w:footnoteRef/>
      </w:r>
      <w:r w:rsidRPr="00D908C3">
        <w:t xml:space="preserve"> </w:t>
      </w:r>
      <w:r>
        <w:t xml:space="preserve">DP&amp;L </w:t>
      </w:r>
      <w:r w:rsidRPr="00D908C3">
        <w:t>Motion at 1-2.</w:t>
      </w:r>
    </w:p>
  </w:footnote>
  <w:footnote w:id="85">
    <w:p w14:paraId="517B4569" w14:textId="78F40066" w:rsidR="001943CE" w:rsidRDefault="001943CE">
      <w:pPr>
        <w:pStyle w:val="FootnoteText"/>
      </w:pPr>
      <w:r>
        <w:rPr>
          <w:rStyle w:val="FootnoteReference"/>
        </w:rPr>
        <w:footnoteRef/>
      </w:r>
      <w:r>
        <w:t xml:space="preserve"> Direct Testimony of R. Jeffrey Malinak at 62-63.</w:t>
      </w:r>
    </w:p>
  </w:footnote>
  <w:footnote w:id="86">
    <w:p w14:paraId="77CB77DF" w14:textId="03D2B2CF" w:rsidR="001943CE" w:rsidRDefault="001943CE">
      <w:pPr>
        <w:pStyle w:val="FootnoteText"/>
      </w:pPr>
      <w:r>
        <w:rPr>
          <w:rStyle w:val="FootnoteReference"/>
        </w:rPr>
        <w:footnoteRef/>
      </w:r>
      <w:r>
        <w:t xml:space="preserve"> </w:t>
      </w:r>
      <w:r w:rsidRPr="00403A4E">
        <w:rPr>
          <w:i/>
        </w:rPr>
        <w:t>Id</w:t>
      </w:r>
      <w:r>
        <w:t>. at 12.</w:t>
      </w:r>
    </w:p>
  </w:footnote>
  <w:footnote w:id="87">
    <w:p w14:paraId="33CFAF38" w14:textId="77777777" w:rsidR="001943CE" w:rsidRPr="00CB4ABE" w:rsidRDefault="001943CE" w:rsidP="0091231F">
      <w:pPr>
        <w:pStyle w:val="FootnoteText"/>
      </w:pPr>
      <w:r w:rsidRPr="00CB4ABE">
        <w:rPr>
          <w:rStyle w:val="FootnoteReference"/>
        </w:rPr>
        <w:footnoteRef/>
      </w:r>
      <w:r w:rsidRPr="00CB4ABE">
        <w:t xml:space="preserve"> </w:t>
      </w:r>
      <w:r w:rsidRPr="00CB4ABE">
        <w:rPr>
          <w:i/>
        </w:rPr>
        <w:t>See, e.g.,</w:t>
      </w:r>
      <w:r w:rsidRPr="00CB4ABE">
        <w:t xml:space="preserve"> R.C. 4928.01(A)(6)</w:t>
      </w:r>
      <w:r>
        <w:t xml:space="preserve"> </w:t>
      </w:r>
      <w:r w:rsidRPr="00CB4ABE">
        <w:t>&amp; (7) &amp; 4928.05(A) (defining the Commission’s jurisdiction to supervise and regulate competitive and noncompetitive retail electric service supplied by an electric utility).</w:t>
      </w:r>
    </w:p>
  </w:footnote>
  <w:footnote w:id="88">
    <w:p w14:paraId="475ECD12" w14:textId="5CDC8C2E" w:rsidR="001943CE" w:rsidRPr="00D908C3" w:rsidRDefault="001943CE" w:rsidP="00BF54D7">
      <w:pPr>
        <w:pStyle w:val="FootnoteText"/>
      </w:pPr>
      <w:r w:rsidRPr="00D908C3">
        <w:rPr>
          <w:rStyle w:val="FootnoteReference"/>
        </w:rPr>
        <w:footnoteRef/>
      </w:r>
      <w:r w:rsidRPr="00D908C3">
        <w:t xml:space="preserve"> </w:t>
      </w:r>
      <w:r>
        <w:t xml:space="preserve">Direct Testimony of R. Jeffrey </w:t>
      </w:r>
      <w:r w:rsidRPr="00D908C3">
        <w:t xml:space="preserve">Malinak at 50, </w:t>
      </w:r>
      <w:r>
        <w:t xml:space="preserve">Exhibit </w:t>
      </w:r>
      <w:r w:rsidRPr="00D908C3">
        <w:t>RJM</w:t>
      </w:r>
      <w:r>
        <w:t>-</w:t>
      </w:r>
      <w:r w:rsidRPr="00D908C3">
        <w:t>9</w:t>
      </w:r>
      <w:r>
        <w:t>.</w:t>
      </w:r>
    </w:p>
  </w:footnote>
  <w:footnote w:id="89">
    <w:p w14:paraId="3BCF9B96" w14:textId="77777777" w:rsidR="001943CE" w:rsidRDefault="001943CE" w:rsidP="00036D6A">
      <w:pPr>
        <w:pStyle w:val="FootnoteText"/>
      </w:pPr>
      <w:r>
        <w:rPr>
          <w:rStyle w:val="FootnoteReference"/>
        </w:rPr>
        <w:footnoteRef/>
      </w:r>
      <w:r>
        <w:t xml:space="preserve"> </w:t>
      </w:r>
      <w:r w:rsidRPr="00F81C3A">
        <w:t>U.S. Const</w:t>
      </w:r>
      <w:r>
        <w:t>., Art. VI.</w:t>
      </w:r>
    </w:p>
  </w:footnote>
  <w:footnote w:id="90">
    <w:p w14:paraId="2690A595" w14:textId="77777777" w:rsidR="001943CE" w:rsidRPr="00CB4ABE" w:rsidRDefault="001943CE" w:rsidP="00036D6A">
      <w:pPr>
        <w:pStyle w:val="FootnoteText"/>
      </w:pPr>
      <w:r w:rsidRPr="00CB4ABE">
        <w:rPr>
          <w:rStyle w:val="FootnoteReference"/>
        </w:rPr>
        <w:footnoteRef/>
      </w:r>
      <w:r w:rsidRPr="00CB4ABE">
        <w:t xml:space="preserve"> </w:t>
      </w:r>
      <w:r w:rsidRPr="00CB4ABE">
        <w:rPr>
          <w:i/>
        </w:rPr>
        <w:t>Marketing Research Services, Inc. v. Pub. Util. Comm’n of Ohio</w:t>
      </w:r>
      <w:r w:rsidRPr="00CB4ABE">
        <w:t>, 34 Ohio St.3d 52, 55 (1987).</w:t>
      </w:r>
    </w:p>
  </w:footnote>
  <w:footnote w:id="91">
    <w:p w14:paraId="27D6EC98" w14:textId="24251DED" w:rsidR="001943CE" w:rsidRPr="00D05831" w:rsidRDefault="001943CE">
      <w:pPr>
        <w:pStyle w:val="FootnoteText"/>
      </w:pPr>
      <w:r>
        <w:rPr>
          <w:rStyle w:val="FootnoteReference"/>
        </w:rPr>
        <w:footnoteRef/>
      </w:r>
      <w:r>
        <w:t xml:space="preserve"> </w:t>
      </w:r>
      <w:r>
        <w:rPr>
          <w:i/>
        </w:rPr>
        <w:t>Hughes</w:t>
      </w:r>
      <w:r>
        <w:t>, 578 U.S., at __ (2016) (slip op., at 7).</w:t>
      </w:r>
    </w:p>
  </w:footnote>
  <w:footnote w:id="92">
    <w:p w14:paraId="12BEA6A4" w14:textId="439DC59E" w:rsidR="001943CE" w:rsidRPr="004B3F45" w:rsidRDefault="001943CE">
      <w:pPr>
        <w:pStyle w:val="FootnoteText"/>
        <w:rPr>
          <w:i/>
        </w:rPr>
      </w:pPr>
      <w:r>
        <w:rPr>
          <w:rStyle w:val="FootnoteReference"/>
        </w:rPr>
        <w:footnoteRef/>
      </w:r>
      <w:r>
        <w:t xml:space="preserve"> </w:t>
      </w:r>
      <w:r>
        <w:rPr>
          <w:i/>
        </w:rPr>
        <w:t>Id.</w:t>
      </w:r>
    </w:p>
  </w:footnote>
  <w:footnote w:id="93">
    <w:p w14:paraId="70AA02D6" w14:textId="48D8E59B" w:rsidR="001943CE" w:rsidRPr="004B3F45" w:rsidRDefault="001943CE">
      <w:pPr>
        <w:pStyle w:val="FootnoteText"/>
        <w:rPr>
          <w:i/>
        </w:rPr>
      </w:pPr>
      <w:r>
        <w:rPr>
          <w:rStyle w:val="FootnoteReference"/>
        </w:rPr>
        <w:footnoteRef/>
      </w:r>
      <w:r>
        <w:t xml:space="preserve"> </w:t>
      </w:r>
      <w:r>
        <w:rPr>
          <w:i/>
        </w:rPr>
        <w:t>Id.</w:t>
      </w:r>
    </w:p>
  </w:footnote>
  <w:footnote w:id="94">
    <w:p w14:paraId="7F2F63BC" w14:textId="457BA70D" w:rsidR="001943CE" w:rsidRPr="004B3F45" w:rsidRDefault="001943CE">
      <w:pPr>
        <w:pStyle w:val="FootnoteText"/>
        <w:rPr>
          <w:i/>
        </w:rPr>
      </w:pPr>
      <w:r>
        <w:rPr>
          <w:rStyle w:val="FootnoteReference"/>
        </w:rPr>
        <w:footnoteRef/>
      </w:r>
      <w:r>
        <w:t xml:space="preserve"> </w:t>
      </w:r>
      <w:r>
        <w:rPr>
          <w:i/>
        </w:rPr>
        <w:t>Id.</w:t>
      </w:r>
    </w:p>
  </w:footnote>
  <w:footnote w:id="95">
    <w:p w14:paraId="1A77F458" w14:textId="6422445F" w:rsidR="001943CE" w:rsidRPr="00DC6CAE" w:rsidRDefault="001943CE">
      <w:pPr>
        <w:pStyle w:val="FootnoteText"/>
      </w:pPr>
      <w:r>
        <w:rPr>
          <w:rStyle w:val="FootnoteReference"/>
        </w:rPr>
        <w:footnoteRef/>
      </w:r>
      <w:r>
        <w:t xml:space="preserve"> </w:t>
      </w:r>
      <w:r>
        <w:rPr>
          <w:i/>
        </w:rPr>
        <w:t>Id.</w:t>
      </w:r>
      <w:r>
        <w:t xml:space="preserve"> (slip op., at 12).</w:t>
      </w:r>
    </w:p>
  </w:footnote>
  <w:footnote w:id="96">
    <w:p w14:paraId="17E0BD3B" w14:textId="1D6F83F6" w:rsidR="001943CE" w:rsidRPr="00AA1C95" w:rsidRDefault="001943CE">
      <w:pPr>
        <w:pStyle w:val="FootnoteText"/>
      </w:pPr>
      <w:r>
        <w:rPr>
          <w:rStyle w:val="FootnoteReference"/>
        </w:rPr>
        <w:footnoteRef/>
      </w:r>
      <w:r>
        <w:t xml:space="preserve"> </w:t>
      </w:r>
      <w:r>
        <w:rPr>
          <w:i/>
        </w:rPr>
        <w:t>Id.</w:t>
      </w:r>
      <w:r>
        <w:t xml:space="preserve"> (slip op., at 13-14).</w:t>
      </w:r>
    </w:p>
  </w:footnote>
  <w:footnote w:id="97">
    <w:p w14:paraId="62E829A8" w14:textId="3E402D89" w:rsidR="001943CE" w:rsidRPr="004B3F45" w:rsidRDefault="001943CE">
      <w:pPr>
        <w:pStyle w:val="FootnoteText"/>
        <w:rPr>
          <w:i/>
        </w:rPr>
      </w:pPr>
      <w:r>
        <w:rPr>
          <w:rStyle w:val="FootnoteReference"/>
        </w:rPr>
        <w:footnoteRef/>
      </w:r>
      <w:r>
        <w:t xml:space="preserve"> </w:t>
      </w:r>
      <w:r>
        <w:rPr>
          <w:i/>
        </w:rPr>
        <w:t>Id.</w:t>
      </w:r>
      <w:r>
        <w:t xml:space="preserve"> (slip op., at 12) (c</w:t>
      </w:r>
      <w:r>
        <w:rPr>
          <w:i/>
        </w:rPr>
        <w:t>iting FERC v. EPSA</w:t>
      </w:r>
      <w:r>
        <w:t>, 577 U.S. __, __ (2016) (slip op., at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7774D" w14:textId="77777777" w:rsidR="001943CE" w:rsidRDefault="001943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6C18D" w14:textId="77777777" w:rsidR="001943CE" w:rsidRDefault="001943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92CD1" w14:textId="77777777" w:rsidR="001943CE" w:rsidRDefault="001943C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F72E3" w14:textId="77777777" w:rsidR="001943CE" w:rsidRDefault="001943C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E9CC5" w14:textId="77777777" w:rsidR="001943CE" w:rsidRDefault="001943C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0C61F" w14:textId="77777777" w:rsidR="001943CE" w:rsidRDefault="001943C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E16BF" w14:textId="77777777" w:rsidR="001943CE" w:rsidRDefault="001943C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CD7C6" w14:textId="77777777" w:rsidR="001943CE" w:rsidRDefault="001943C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306BD" w14:textId="77777777" w:rsidR="001943CE" w:rsidRDefault="001943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A22DD"/>
    <w:multiLevelType w:val="multilevel"/>
    <w:tmpl w:val="B0FA11F8"/>
    <w:name w:val="IEU-Ohio Headings-Scheme 1"/>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edNumberingSchemes" w:val="&lt;?xml version=&quot;1.0&quot; encoding=&quot;utf-16&quot;?&gt;&lt;ArrayOfAddedNumberingScheme xmlns:xsi=&quot;http://www.w3.org/2001/XMLSchema-instance&quot; xmlns:xsd=&quot;http://www.w3.org/2001/XMLSchema&quot;&gt;&lt;AddedNumberingScheme&gt;&lt;SelectedNumberingScheme&gt;&lt;LastUpdated&gt;0001-01-01T00:00:00&lt;/LastUpdated&gt;&lt;NumberingSchemeID&gt;1&lt;/NumberingSchemeID&gt;&lt;SortOrder&gt;0&lt;/SortOrder&gt;&lt;Name&gt;IEU-Ohio Headings&lt;/Name&gt;&lt;Description&gt; &lt;/Description&gt;&lt;FilterID&gt;0&lt;/FilterID&gt;&lt;CustomTOCAttached&gt;false&lt;/CustomTOCAttached&gt;&lt;DefaultTOCSchemeID&gt;0&lt;/DefaultTOCSchemeID&gt;&lt;BitMapID&gt;2&lt;/BitMapID&gt;&lt;Hidden&gt;false&lt;/Hidden&gt;&lt;ListIndexUsed&gt;0&lt;/ListIndexUsed&gt;&lt;CapturedDocument&gt;M:\CLIENTS\18480\0067\C46880.DOCX&lt;/CapturedDocument&gt;&lt;CreatedByEndUser&gt;true&lt;/CreatedByEndUser&gt;&lt;ConnectionType&gt;User&lt;/ConnectionType&gt;&lt;EnforceSchemeFont&gt;false&lt;/EnforceSchemeFont&gt;&lt;/SelectedNumberingScheme&gt;&lt;SelectedSchemeFilter&gt;&lt;LastUpdated&gt;0001-01-01T00:00:00&lt;/LastUpdated&gt;&lt;FilterID&gt;2&lt;/FilterID&gt;&lt;FilterName&gt;User-Defined Numbering Schemes&lt;/FilterName&gt;&lt;FilterNameFrench&gt;Schémas de numérotation définis par l'utilisateur&lt;/FilterNameFrench&gt;&lt;UserDatabaseOnly&gt;true&lt;/UserDatabaseOnly&gt;&lt;Default&gt;true&lt;/Default&gt;&lt;SortPosition&gt;2&lt;/SortPosition&gt;&lt;/SelectedSchemeFilter&gt;&lt;SelectedNumberingSchemeOptions /&gt;&lt;Index&gt;1&lt;/Index&gt;&lt;/AddedNumberingScheme&gt;&lt;/ArrayOfAddedNumberingScheme&gt;"/>
    <w:docVar w:name="CenterLevel1TOC" w:val="False"/>
    <w:docVar w:name="EnforceSchemeFont" w:val="False"/>
    <w:docVar w:name="ExcludeDirectFormattingInTOC1" w:val="False"/>
    <w:docVar w:name="IncludeTOCAndPageHeadings" w:val="True"/>
    <w:docVar w:name="LastSchemeChoice" w:val="IEU-Ohio Headings"/>
    <w:docVar w:name="LastSchemeUniqueID" w:val="1"/>
    <w:docVar w:name="LegacyNa" w:val="False"/>
    <w:docVar w:name="NoNumberLevel1TOC" w:val="False"/>
    <w:docVar w:name="TOCFormatConst" w:val="0"/>
    <w:docVar w:name="TOCFormatPreference" w:val="Leave TOC styles 'as is' in current document (default)"/>
    <w:docVar w:name="TOCHeadingAllCaps" w:val="False"/>
    <w:docVar w:name="TOCHeadingUnderlined" w:val="False"/>
    <w:docVar w:name="TOCIncludeSectionBreaks1" w:val="False"/>
    <w:docVar w:name="TOCPageUnderlined" w:val="False"/>
    <w:docVar w:name="TOCPosition" w:val="4"/>
    <w:docVar w:name="TOCRun" w:val="True"/>
    <w:docVar w:name="TOCSpecialLevels1" w:val="False"/>
    <w:docVar w:name="UnderlineTOCLevel1" w:val="False"/>
    <w:docVar w:name="UpperLevelTOC" w:val="4"/>
  </w:docVars>
  <w:rsids>
    <w:rsidRoot w:val="00FF128C"/>
    <w:rsid w:val="000005CE"/>
    <w:rsid w:val="00000AE5"/>
    <w:rsid w:val="000022DD"/>
    <w:rsid w:val="000032E1"/>
    <w:rsid w:val="000033F2"/>
    <w:rsid w:val="00003B2D"/>
    <w:rsid w:val="0000458C"/>
    <w:rsid w:val="000065E0"/>
    <w:rsid w:val="0001096E"/>
    <w:rsid w:val="00010BBA"/>
    <w:rsid w:val="000123BC"/>
    <w:rsid w:val="00013482"/>
    <w:rsid w:val="00013A1B"/>
    <w:rsid w:val="00013EB8"/>
    <w:rsid w:val="00014556"/>
    <w:rsid w:val="00014E7A"/>
    <w:rsid w:val="00016A28"/>
    <w:rsid w:val="00017E3A"/>
    <w:rsid w:val="00022497"/>
    <w:rsid w:val="00022F17"/>
    <w:rsid w:val="00023217"/>
    <w:rsid w:val="00025F2B"/>
    <w:rsid w:val="000268ED"/>
    <w:rsid w:val="000272CE"/>
    <w:rsid w:val="0002735C"/>
    <w:rsid w:val="000279DC"/>
    <w:rsid w:val="000324A2"/>
    <w:rsid w:val="00034705"/>
    <w:rsid w:val="000349CB"/>
    <w:rsid w:val="00034BF7"/>
    <w:rsid w:val="00036D6A"/>
    <w:rsid w:val="00041744"/>
    <w:rsid w:val="00042BD9"/>
    <w:rsid w:val="000431B8"/>
    <w:rsid w:val="00045530"/>
    <w:rsid w:val="00045A8B"/>
    <w:rsid w:val="00046605"/>
    <w:rsid w:val="00047910"/>
    <w:rsid w:val="00047FF2"/>
    <w:rsid w:val="000509A7"/>
    <w:rsid w:val="00050B99"/>
    <w:rsid w:val="00050F0A"/>
    <w:rsid w:val="00053D05"/>
    <w:rsid w:val="000630BA"/>
    <w:rsid w:val="00066736"/>
    <w:rsid w:val="00067B0E"/>
    <w:rsid w:val="00070BE0"/>
    <w:rsid w:val="000712DE"/>
    <w:rsid w:val="00072865"/>
    <w:rsid w:val="00073237"/>
    <w:rsid w:val="00074962"/>
    <w:rsid w:val="00075416"/>
    <w:rsid w:val="00077917"/>
    <w:rsid w:val="00077EDE"/>
    <w:rsid w:val="0008017D"/>
    <w:rsid w:val="00081DA1"/>
    <w:rsid w:val="000827AD"/>
    <w:rsid w:val="00083D10"/>
    <w:rsid w:val="000866FF"/>
    <w:rsid w:val="0008704F"/>
    <w:rsid w:val="000903F2"/>
    <w:rsid w:val="000907CE"/>
    <w:rsid w:val="0009435B"/>
    <w:rsid w:val="0009491B"/>
    <w:rsid w:val="00095AC6"/>
    <w:rsid w:val="000A0C05"/>
    <w:rsid w:val="000A1A67"/>
    <w:rsid w:val="000A1C06"/>
    <w:rsid w:val="000A57D8"/>
    <w:rsid w:val="000A6229"/>
    <w:rsid w:val="000B19FC"/>
    <w:rsid w:val="000B1CD3"/>
    <w:rsid w:val="000B1CD8"/>
    <w:rsid w:val="000B41FE"/>
    <w:rsid w:val="000B4421"/>
    <w:rsid w:val="000B4B59"/>
    <w:rsid w:val="000B67FD"/>
    <w:rsid w:val="000C124A"/>
    <w:rsid w:val="000C1E34"/>
    <w:rsid w:val="000C2B05"/>
    <w:rsid w:val="000C393A"/>
    <w:rsid w:val="000C50C7"/>
    <w:rsid w:val="000D0494"/>
    <w:rsid w:val="000D1732"/>
    <w:rsid w:val="000D1961"/>
    <w:rsid w:val="000D20D3"/>
    <w:rsid w:val="000D3496"/>
    <w:rsid w:val="000D4AFD"/>
    <w:rsid w:val="000D7A6A"/>
    <w:rsid w:val="000D7DA1"/>
    <w:rsid w:val="000D7DE3"/>
    <w:rsid w:val="000E0418"/>
    <w:rsid w:val="000E19F7"/>
    <w:rsid w:val="000E5E4C"/>
    <w:rsid w:val="000E60B7"/>
    <w:rsid w:val="000E6852"/>
    <w:rsid w:val="000F00C1"/>
    <w:rsid w:val="000F1179"/>
    <w:rsid w:val="000F1F88"/>
    <w:rsid w:val="000F2977"/>
    <w:rsid w:val="000F5152"/>
    <w:rsid w:val="000F535C"/>
    <w:rsid w:val="000F548B"/>
    <w:rsid w:val="000F7337"/>
    <w:rsid w:val="000F74CE"/>
    <w:rsid w:val="000F7F83"/>
    <w:rsid w:val="001027F8"/>
    <w:rsid w:val="0010369D"/>
    <w:rsid w:val="001043C7"/>
    <w:rsid w:val="00104615"/>
    <w:rsid w:val="001060BD"/>
    <w:rsid w:val="00107215"/>
    <w:rsid w:val="001125E2"/>
    <w:rsid w:val="00112685"/>
    <w:rsid w:val="00114EB8"/>
    <w:rsid w:val="00122CC5"/>
    <w:rsid w:val="0012547C"/>
    <w:rsid w:val="001270AA"/>
    <w:rsid w:val="00135869"/>
    <w:rsid w:val="001362B3"/>
    <w:rsid w:val="00136447"/>
    <w:rsid w:val="00137A24"/>
    <w:rsid w:val="00140776"/>
    <w:rsid w:val="00142DF8"/>
    <w:rsid w:val="00143705"/>
    <w:rsid w:val="001478CD"/>
    <w:rsid w:val="001500E8"/>
    <w:rsid w:val="00150E87"/>
    <w:rsid w:val="00151739"/>
    <w:rsid w:val="001519C3"/>
    <w:rsid w:val="00152D0D"/>
    <w:rsid w:val="0015306B"/>
    <w:rsid w:val="0015332B"/>
    <w:rsid w:val="00153718"/>
    <w:rsid w:val="0015583E"/>
    <w:rsid w:val="00160410"/>
    <w:rsid w:val="0016155F"/>
    <w:rsid w:val="00162468"/>
    <w:rsid w:val="001627D7"/>
    <w:rsid w:val="00164ABB"/>
    <w:rsid w:val="001657C1"/>
    <w:rsid w:val="001664F4"/>
    <w:rsid w:val="00166DFA"/>
    <w:rsid w:val="001679C8"/>
    <w:rsid w:val="00167AF8"/>
    <w:rsid w:val="001711A6"/>
    <w:rsid w:val="00171375"/>
    <w:rsid w:val="001731B9"/>
    <w:rsid w:val="001743A8"/>
    <w:rsid w:val="00175424"/>
    <w:rsid w:val="00175A3E"/>
    <w:rsid w:val="00176B2B"/>
    <w:rsid w:val="001775D4"/>
    <w:rsid w:val="00180B5C"/>
    <w:rsid w:val="00181485"/>
    <w:rsid w:val="00182702"/>
    <w:rsid w:val="0019059F"/>
    <w:rsid w:val="0019111E"/>
    <w:rsid w:val="00191152"/>
    <w:rsid w:val="001930D6"/>
    <w:rsid w:val="00193D92"/>
    <w:rsid w:val="001943CE"/>
    <w:rsid w:val="00194674"/>
    <w:rsid w:val="001974C1"/>
    <w:rsid w:val="001A3DF4"/>
    <w:rsid w:val="001A49F6"/>
    <w:rsid w:val="001A5CEF"/>
    <w:rsid w:val="001A67E9"/>
    <w:rsid w:val="001A6C1F"/>
    <w:rsid w:val="001A7473"/>
    <w:rsid w:val="001B0EC5"/>
    <w:rsid w:val="001B1324"/>
    <w:rsid w:val="001B34C3"/>
    <w:rsid w:val="001B4C71"/>
    <w:rsid w:val="001B5ACC"/>
    <w:rsid w:val="001B702E"/>
    <w:rsid w:val="001B753E"/>
    <w:rsid w:val="001C04C6"/>
    <w:rsid w:val="001C5066"/>
    <w:rsid w:val="001C5224"/>
    <w:rsid w:val="001C526A"/>
    <w:rsid w:val="001C5D05"/>
    <w:rsid w:val="001C5F32"/>
    <w:rsid w:val="001C7897"/>
    <w:rsid w:val="001C79E0"/>
    <w:rsid w:val="001D12DB"/>
    <w:rsid w:val="001D56D7"/>
    <w:rsid w:val="001D726A"/>
    <w:rsid w:val="001E031A"/>
    <w:rsid w:val="001E115A"/>
    <w:rsid w:val="001E117A"/>
    <w:rsid w:val="001E3F87"/>
    <w:rsid w:val="001E4285"/>
    <w:rsid w:val="001E541F"/>
    <w:rsid w:val="001F1BE0"/>
    <w:rsid w:val="001F3A3E"/>
    <w:rsid w:val="001F3C74"/>
    <w:rsid w:val="001F437E"/>
    <w:rsid w:val="001F5054"/>
    <w:rsid w:val="00202094"/>
    <w:rsid w:val="00202D47"/>
    <w:rsid w:val="00202F17"/>
    <w:rsid w:val="0020360A"/>
    <w:rsid w:val="00204498"/>
    <w:rsid w:val="002066B9"/>
    <w:rsid w:val="00206AD6"/>
    <w:rsid w:val="00207347"/>
    <w:rsid w:val="0020740F"/>
    <w:rsid w:val="00207E50"/>
    <w:rsid w:val="00210C71"/>
    <w:rsid w:val="0021156A"/>
    <w:rsid w:val="00211A9E"/>
    <w:rsid w:val="00214C8E"/>
    <w:rsid w:val="002155E2"/>
    <w:rsid w:val="00215E1A"/>
    <w:rsid w:val="00217671"/>
    <w:rsid w:val="00217E3F"/>
    <w:rsid w:val="00220CFC"/>
    <w:rsid w:val="00222A77"/>
    <w:rsid w:val="00222E70"/>
    <w:rsid w:val="00222E91"/>
    <w:rsid w:val="00224817"/>
    <w:rsid w:val="00224945"/>
    <w:rsid w:val="002271B8"/>
    <w:rsid w:val="00227835"/>
    <w:rsid w:val="00231499"/>
    <w:rsid w:val="002375FA"/>
    <w:rsid w:val="00242517"/>
    <w:rsid w:val="00246752"/>
    <w:rsid w:val="00246CA4"/>
    <w:rsid w:val="0024788A"/>
    <w:rsid w:val="00247B23"/>
    <w:rsid w:val="00247F7A"/>
    <w:rsid w:val="0025315A"/>
    <w:rsid w:val="002533BB"/>
    <w:rsid w:val="002538E0"/>
    <w:rsid w:val="002549DC"/>
    <w:rsid w:val="00255077"/>
    <w:rsid w:val="002563A6"/>
    <w:rsid w:val="00256C7A"/>
    <w:rsid w:val="00257204"/>
    <w:rsid w:val="0025790C"/>
    <w:rsid w:val="00257BFA"/>
    <w:rsid w:val="00260418"/>
    <w:rsid w:val="00263076"/>
    <w:rsid w:val="002630ED"/>
    <w:rsid w:val="0026338A"/>
    <w:rsid w:val="00264AF1"/>
    <w:rsid w:val="0027029D"/>
    <w:rsid w:val="00272F54"/>
    <w:rsid w:val="00273DB2"/>
    <w:rsid w:val="002740A2"/>
    <w:rsid w:val="0027493F"/>
    <w:rsid w:val="00274D60"/>
    <w:rsid w:val="00275AEC"/>
    <w:rsid w:val="00276393"/>
    <w:rsid w:val="00281849"/>
    <w:rsid w:val="00282138"/>
    <w:rsid w:val="00282D89"/>
    <w:rsid w:val="00283A06"/>
    <w:rsid w:val="00283C7F"/>
    <w:rsid w:val="00284BB4"/>
    <w:rsid w:val="0028556D"/>
    <w:rsid w:val="00285A70"/>
    <w:rsid w:val="002879BB"/>
    <w:rsid w:val="00292C08"/>
    <w:rsid w:val="00296AFB"/>
    <w:rsid w:val="002977A5"/>
    <w:rsid w:val="002977D9"/>
    <w:rsid w:val="002A0771"/>
    <w:rsid w:val="002A0CAF"/>
    <w:rsid w:val="002A13EA"/>
    <w:rsid w:val="002A16CC"/>
    <w:rsid w:val="002A1C62"/>
    <w:rsid w:val="002A3D00"/>
    <w:rsid w:val="002A4758"/>
    <w:rsid w:val="002A6E66"/>
    <w:rsid w:val="002A6EAE"/>
    <w:rsid w:val="002A74A7"/>
    <w:rsid w:val="002B0260"/>
    <w:rsid w:val="002B7195"/>
    <w:rsid w:val="002C2CBC"/>
    <w:rsid w:val="002C3997"/>
    <w:rsid w:val="002C43A0"/>
    <w:rsid w:val="002C5B65"/>
    <w:rsid w:val="002C6C13"/>
    <w:rsid w:val="002C781D"/>
    <w:rsid w:val="002D1EE9"/>
    <w:rsid w:val="002D1F48"/>
    <w:rsid w:val="002D21C6"/>
    <w:rsid w:val="002D2A04"/>
    <w:rsid w:val="002D471E"/>
    <w:rsid w:val="002D6C22"/>
    <w:rsid w:val="002E282A"/>
    <w:rsid w:val="002E3C0E"/>
    <w:rsid w:val="002E3DE7"/>
    <w:rsid w:val="002E5F3F"/>
    <w:rsid w:val="002F3CA5"/>
    <w:rsid w:val="003029F7"/>
    <w:rsid w:val="0030311B"/>
    <w:rsid w:val="00310EF8"/>
    <w:rsid w:val="003123AC"/>
    <w:rsid w:val="003124D6"/>
    <w:rsid w:val="00313A5D"/>
    <w:rsid w:val="00315100"/>
    <w:rsid w:val="0031667A"/>
    <w:rsid w:val="00317DAC"/>
    <w:rsid w:val="00320416"/>
    <w:rsid w:val="0032053C"/>
    <w:rsid w:val="00321CA7"/>
    <w:rsid w:val="00322F10"/>
    <w:rsid w:val="00324895"/>
    <w:rsid w:val="00324DB5"/>
    <w:rsid w:val="0032525E"/>
    <w:rsid w:val="00325BE5"/>
    <w:rsid w:val="003265F0"/>
    <w:rsid w:val="00326D0F"/>
    <w:rsid w:val="00327BDC"/>
    <w:rsid w:val="00330881"/>
    <w:rsid w:val="00332F8B"/>
    <w:rsid w:val="00333F75"/>
    <w:rsid w:val="00337343"/>
    <w:rsid w:val="003411CA"/>
    <w:rsid w:val="00342FA5"/>
    <w:rsid w:val="0034352B"/>
    <w:rsid w:val="00344F14"/>
    <w:rsid w:val="00352A0D"/>
    <w:rsid w:val="00352DE4"/>
    <w:rsid w:val="003533B4"/>
    <w:rsid w:val="00357056"/>
    <w:rsid w:val="0035764A"/>
    <w:rsid w:val="0035799F"/>
    <w:rsid w:val="00361862"/>
    <w:rsid w:val="0036191D"/>
    <w:rsid w:val="00362E52"/>
    <w:rsid w:val="003631CC"/>
    <w:rsid w:val="00363C0F"/>
    <w:rsid w:val="00363D10"/>
    <w:rsid w:val="00367096"/>
    <w:rsid w:val="00373672"/>
    <w:rsid w:val="0037697B"/>
    <w:rsid w:val="003771EF"/>
    <w:rsid w:val="00380351"/>
    <w:rsid w:val="00381A16"/>
    <w:rsid w:val="003830E9"/>
    <w:rsid w:val="00384304"/>
    <w:rsid w:val="00384C44"/>
    <w:rsid w:val="00387774"/>
    <w:rsid w:val="00390C4E"/>
    <w:rsid w:val="00392095"/>
    <w:rsid w:val="00392522"/>
    <w:rsid w:val="00393162"/>
    <w:rsid w:val="00393AEB"/>
    <w:rsid w:val="003A2919"/>
    <w:rsid w:val="003A32DA"/>
    <w:rsid w:val="003A3997"/>
    <w:rsid w:val="003A3F6B"/>
    <w:rsid w:val="003A7627"/>
    <w:rsid w:val="003A78C3"/>
    <w:rsid w:val="003B0F7D"/>
    <w:rsid w:val="003B3170"/>
    <w:rsid w:val="003B3CAC"/>
    <w:rsid w:val="003B40E2"/>
    <w:rsid w:val="003B4AE1"/>
    <w:rsid w:val="003B71CE"/>
    <w:rsid w:val="003B76E7"/>
    <w:rsid w:val="003B788C"/>
    <w:rsid w:val="003C0B66"/>
    <w:rsid w:val="003C34AF"/>
    <w:rsid w:val="003C4970"/>
    <w:rsid w:val="003C7E19"/>
    <w:rsid w:val="003D021D"/>
    <w:rsid w:val="003D0785"/>
    <w:rsid w:val="003D0794"/>
    <w:rsid w:val="003D098D"/>
    <w:rsid w:val="003D238F"/>
    <w:rsid w:val="003D3DC7"/>
    <w:rsid w:val="003D5425"/>
    <w:rsid w:val="003D784E"/>
    <w:rsid w:val="003E5604"/>
    <w:rsid w:val="003E58E1"/>
    <w:rsid w:val="003E5C07"/>
    <w:rsid w:val="003E670F"/>
    <w:rsid w:val="003F15CA"/>
    <w:rsid w:val="003F2736"/>
    <w:rsid w:val="003F36DA"/>
    <w:rsid w:val="003F4179"/>
    <w:rsid w:val="003F64A7"/>
    <w:rsid w:val="00401F74"/>
    <w:rsid w:val="004033C9"/>
    <w:rsid w:val="00403A4E"/>
    <w:rsid w:val="00407286"/>
    <w:rsid w:val="00407EB0"/>
    <w:rsid w:val="0041149B"/>
    <w:rsid w:val="004120CC"/>
    <w:rsid w:val="004158D6"/>
    <w:rsid w:val="004174AA"/>
    <w:rsid w:val="004216BB"/>
    <w:rsid w:val="00422FDA"/>
    <w:rsid w:val="0042385B"/>
    <w:rsid w:val="00427D02"/>
    <w:rsid w:val="00431C17"/>
    <w:rsid w:val="004324E9"/>
    <w:rsid w:val="004335E9"/>
    <w:rsid w:val="00433C8C"/>
    <w:rsid w:val="00434D95"/>
    <w:rsid w:val="0043751B"/>
    <w:rsid w:val="00441788"/>
    <w:rsid w:val="00441CDB"/>
    <w:rsid w:val="00445AF9"/>
    <w:rsid w:val="0044629D"/>
    <w:rsid w:val="00446799"/>
    <w:rsid w:val="00446CB0"/>
    <w:rsid w:val="004476E6"/>
    <w:rsid w:val="00447D31"/>
    <w:rsid w:val="00447F1B"/>
    <w:rsid w:val="00450D99"/>
    <w:rsid w:val="00451D5A"/>
    <w:rsid w:val="00453FA7"/>
    <w:rsid w:val="00457BAB"/>
    <w:rsid w:val="0046118F"/>
    <w:rsid w:val="00461405"/>
    <w:rsid w:val="00462993"/>
    <w:rsid w:val="00463400"/>
    <w:rsid w:val="00463B2C"/>
    <w:rsid w:val="00464099"/>
    <w:rsid w:val="00464979"/>
    <w:rsid w:val="004712F5"/>
    <w:rsid w:val="004728EE"/>
    <w:rsid w:val="004732B3"/>
    <w:rsid w:val="00473F97"/>
    <w:rsid w:val="00474952"/>
    <w:rsid w:val="00474D4E"/>
    <w:rsid w:val="00477F51"/>
    <w:rsid w:val="00480B6C"/>
    <w:rsid w:val="00481E3C"/>
    <w:rsid w:val="004825F9"/>
    <w:rsid w:val="00482641"/>
    <w:rsid w:val="00482A02"/>
    <w:rsid w:val="00484015"/>
    <w:rsid w:val="00484B60"/>
    <w:rsid w:val="004919CC"/>
    <w:rsid w:val="00491CBA"/>
    <w:rsid w:val="00493E96"/>
    <w:rsid w:val="00495FF3"/>
    <w:rsid w:val="00496A7B"/>
    <w:rsid w:val="00496FAD"/>
    <w:rsid w:val="004976F9"/>
    <w:rsid w:val="004A0930"/>
    <w:rsid w:val="004A2C8D"/>
    <w:rsid w:val="004A3964"/>
    <w:rsid w:val="004A3E61"/>
    <w:rsid w:val="004A5015"/>
    <w:rsid w:val="004B15D4"/>
    <w:rsid w:val="004B19DE"/>
    <w:rsid w:val="004B1CC4"/>
    <w:rsid w:val="004B3D9E"/>
    <w:rsid w:val="004B3F45"/>
    <w:rsid w:val="004B64AF"/>
    <w:rsid w:val="004C1585"/>
    <w:rsid w:val="004D15C6"/>
    <w:rsid w:val="004D26DD"/>
    <w:rsid w:val="004D29A7"/>
    <w:rsid w:val="004D3AD6"/>
    <w:rsid w:val="004D5CA8"/>
    <w:rsid w:val="004D796C"/>
    <w:rsid w:val="004E150D"/>
    <w:rsid w:val="004E2AB4"/>
    <w:rsid w:val="004E3895"/>
    <w:rsid w:val="004E5615"/>
    <w:rsid w:val="004E66D1"/>
    <w:rsid w:val="004E6BB5"/>
    <w:rsid w:val="004F46C1"/>
    <w:rsid w:val="004F6FFB"/>
    <w:rsid w:val="00502C7B"/>
    <w:rsid w:val="005037B5"/>
    <w:rsid w:val="005055DD"/>
    <w:rsid w:val="00505C07"/>
    <w:rsid w:val="00505DA5"/>
    <w:rsid w:val="00506E59"/>
    <w:rsid w:val="005112BB"/>
    <w:rsid w:val="00511714"/>
    <w:rsid w:val="005132ED"/>
    <w:rsid w:val="00515717"/>
    <w:rsid w:val="00517A67"/>
    <w:rsid w:val="0052055F"/>
    <w:rsid w:val="005213DB"/>
    <w:rsid w:val="005217A4"/>
    <w:rsid w:val="005231FD"/>
    <w:rsid w:val="0052605D"/>
    <w:rsid w:val="00530478"/>
    <w:rsid w:val="00534ED1"/>
    <w:rsid w:val="00535CBA"/>
    <w:rsid w:val="00536D43"/>
    <w:rsid w:val="00536F86"/>
    <w:rsid w:val="005370A0"/>
    <w:rsid w:val="0053740B"/>
    <w:rsid w:val="005379A5"/>
    <w:rsid w:val="00541F0D"/>
    <w:rsid w:val="00542CA0"/>
    <w:rsid w:val="00544919"/>
    <w:rsid w:val="00544B11"/>
    <w:rsid w:val="005455F7"/>
    <w:rsid w:val="00545936"/>
    <w:rsid w:val="00545A1B"/>
    <w:rsid w:val="005472AB"/>
    <w:rsid w:val="00547B73"/>
    <w:rsid w:val="00552E26"/>
    <w:rsid w:val="00553C56"/>
    <w:rsid w:val="00554A3F"/>
    <w:rsid w:val="005555AE"/>
    <w:rsid w:val="0055615C"/>
    <w:rsid w:val="00556673"/>
    <w:rsid w:val="005618B2"/>
    <w:rsid w:val="00561B6D"/>
    <w:rsid w:val="005627DE"/>
    <w:rsid w:val="005632C9"/>
    <w:rsid w:val="00564414"/>
    <w:rsid w:val="005677FA"/>
    <w:rsid w:val="00567C0A"/>
    <w:rsid w:val="00570F08"/>
    <w:rsid w:val="005712E5"/>
    <w:rsid w:val="00571843"/>
    <w:rsid w:val="00572A9E"/>
    <w:rsid w:val="00576A80"/>
    <w:rsid w:val="00580E1A"/>
    <w:rsid w:val="005818AF"/>
    <w:rsid w:val="005835B0"/>
    <w:rsid w:val="00587257"/>
    <w:rsid w:val="00590FA8"/>
    <w:rsid w:val="00594415"/>
    <w:rsid w:val="0059516C"/>
    <w:rsid w:val="00596076"/>
    <w:rsid w:val="00597CD7"/>
    <w:rsid w:val="005A1F02"/>
    <w:rsid w:val="005A3750"/>
    <w:rsid w:val="005A49D6"/>
    <w:rsid w:val="005A5EE6"/>
    <w:rsid w:val="005A70B7"/>
    <w:rsid w:val="005B08A6"/>
    <w:rsid w:val="005B4CE2"/>
    <w:rsid w:val="005B59D5"/>
    <w:rsid w:val="005B5B65"/>
    <w:rsid w:val="005B7A17"/>
    <w:rsid w:val="005C033A"/>
    <w:rsid w:val="005C07A2"/>
    <w:rsid w:val="005C2E90"/>
    <w:rsid w:val="005C3863"/>
    <w:rsid w:val="005C3F22"/>
    <w:rsid w:val="005C534B"/>
    <w:rsid w:val="005C6812"/>
    <w:rsid w:val="005D39BD"/>
    <w:rsid w:val="005D3CCB"/>
    <w:rsid w:val="005D3F77"/>
    <w:rsid w:val="005D415C"/>
    <w:rsid w:val="005D4268"/>
    <w:rsid w:val="005D5EA4"/>
    <w:rsid w:val="005E050F"/>
    <w:rsid w:val="005E232C"/>
    <w:rsid w:val="005E28A4"/>
    <w:rsid w:val="005E40A1"/>
    <w:rsid w:val="005E43C6"/>
    <w:rsid w:val="005E4DDF"/>
    <w:rsid w:val="005E54E7"/>
    <w:rsid w:val="005E5B16"/>
    <w:rsid w:val="005E6A28"/>
    <w:rsid w:val="005F0517"/>
    <w:rsid w:val="005F0829"/>
    <w:rsid w:val="005F1E6C"/>
    <w:rsid w:val="005F410A"/>
    <w:rsid w:val="005F69D2"/>
    <w:rsid w:val="005F6F55"/>
    <w:rsid w:val="005F722B"/>
    <w:rsid w:val="0060021F"/>
    <w:rsid w:val="00602E37"/>
    <w:rsid w:val="006037E0"/>
    <w:rsid w:val="006068D2"/>
    <w:rsid w:val="00610C2A"/>
    <w:rsid w:val="00610CA8"/>
    <w:rsid w:val="00610E1B"/>
    <w:rsid w:val="00610ECE"/>
    <w:rsid w:val="006115E7"/>
    <w:rsid w:val="00612C1F"/>
    <w:rsid w:val="0061487B"/>
    <w:rsid w:val="00614AE2"/>
    <w:rsid w:val="006161A7"/>
    <w:rsid w:val="00617946"/>
    <w:rsid w:val="00617AC6"/>
    <w:rsid w:val="00617ACD"/>
    <w:rsid w:val="00620A39"/>
    <w:rsid w:val="0062245F"/>
    <w:rsid w:val="00623027"/>
    <w:rsid w:val="006238F1"/>
    <w:rsid w:val="006241B2"/>
    <w:rsid w:val="00625127"/>
    <w:rsid w:val="00627802"/>
    <w:rsid w:val="006304E4"/>
    <w:rsid w:val="006306A6"/>
    <w:rsid w:val="00631A27"/>
    <w:rsid w:val="00632CF7"/>
    <w:rsid w:val="00635BFC"/>
    <w:rsid w:val="0063755A"/>
    <w:rsid w:val="00651930"/>
    <w:rsid w:val="00651A3C"/>
    <w:rsid w:val="00652488"/>
    <w:rsid w:val="0065302C"/>
    <w:rsid w:val="00655090"/>
    <w:rsid w:val="00660416"/>
    <w:rsid w:val="00660A02"/>
    <w:rsid w:val="00661903"/>
    <w:rsid w:val="00661F4F"/>
    <w:rsid w:val="00664B1A"/>
    <w:rsid w:val="00664E97"/>
    <w:rsid w:val="00665D87"/>
    <w:rsid w:val="00673E9A"/>
    <w:rsid w:val="00674B13"/>
    <w:rsid w:val="006754A5"/>
    <w:rsid w:val="0067595F"/>
    <w:rsid w:val="006759A9"/>
    <w:rsid w:val="00675A28"/>
    <w:rsid w:val="00677CCD"/>
    <w:rsid w:val="006814B8"/>
    <w:rsid w:val="006830A0"/>
    <w:rsid w:val="00683C87"/>
    <w:rsid w:val="00686DD0"/>
    <w:rsid w:val="00687581"/>
    <w:rsid w:val="00687BB9"/>
    <w:rsid w:val="00687DAB"/>
    <w:rsid w:val="00691BF1"/>
    <w:rsid w:val="00692ED3"/>
    <w:rsid w:val="00693DCD"/>
    <w:rsid w:val="00694506"/>
    <w:rsid w:val="00696FA6"/>
    <w:rsid w:val="006972CD"/>
    <w:rsid w:val="006A1A9C"/>
    <w:rsid w:val="006A2280"/>
    <w:rsid w:val="006A30FB"/>
    <w:rsid w:val="006A3368"/>
    <w:rsid w:val="006A785C"/>
    <w:rsid w:val="006B249E"/>
    <w:rsid w:val="006B282D"/>
    <w:rsid w:val="006B2E5E"/>
    <w:rsid w:val="006B4E22"/>
    <w:rsid w:val="006B63CE"/>
    <w:rsid w:val="006B6D2C"/>
    <w:rsid w:val="006C137B"/>
    <w:rsid w:val="006C141B"/>
    <w:rsid w:val="006C27B1"/>
    <w:rsid w:val="006C28BC"/>
    <w:rsid w:val="006C4195"/>
    <w:rsid w:val="006C4EFD"/>
    <w:rsid w:val="006C5B22"/>
    <w:rsid w:val="006C76E7"/>
    <w:rsid w:val="006D3D0E"/>
    <w:rsid w:val="006D477F"/>
    <w:rsid w:val="006D4FAE"/>
    <w:rsid w:val="006D4FEE"/>
    <w:rsid w:val="006D611B"/>
    <w:rsid w:val="006E0C79"/>
    <w:rsid w:val="006E1010"/>
    <w:rsid w:val="006E46FA"/>
    <w:rsid w:val="006E4ED7"/>
    <w:rsid w:val="006E6A9B"/>
    <w:rsid w:val="006E76CA"/>
    <w:rsid w:val="006E7C1C"/>
    <w:rsid w:val="006E7D48"/>
    <w:rsid w:val="006F0672"/>
    <w:rsid w:val="006F1F3C"/>
    <w:rsid w:val="006F2AC6"/>
    <w:rsid w:val="006F37F9"/>
    <w:rsid w:val="006F399B"/>
    <w:rsid w:val="006F5506"/>
    <w:rsid w:val="006F7192"/>
    <w:rsid w:val="006F7C3B"/>
    <w:rsid w:val="0070008C"/>
    <w:rsid w:val="00701EB5"/>
    <w:rsid w:val="0070220E"/>
    <w:rsid w:val="00703603"/>
    <w:rsid w:val="0070417B"/>
    <w:rsid w:val="00705B27"/>
    <w:rsid w:val="00705D95"/>
    <w:rsid w:val="00707510"/>
    <w:rsid w:val="007134D3"/>
    <w:rsid w:val="00713B76"/>
    <w:rsid w:val="00716CFF"/>
    <w:rsid w:val="00717188"/>
    <w:rsid w:val="00717A5C"/>
    <w:rsid w:val="00720041"/>
    <w:rsid w:val="00720B90"/>
    <w:rsid w:val="00721CCA"/>
    <w:rsid w:val="0072293A"/>
    <w:rsid w:val="007231AD"/>
    <w:rsid w:val="00724578"/>
    <w:rsid w:val="007263FD"/>
    <w:rsid w:val="00726B7E"/>
    <w:rsid w:val="007273CD"/>
    <w:rsid w:val="0073223C"/>
    <w:rsid w:val="00732B9F"/>
    <w:rsid w:val="00733304"/>
    <w:rsid w:val="007344D6"/>
    <w:rsid w:val="007366DA"/>
    <w:rsid w:val="0074063E"/>
    <w:rsid w:val="00740F41"/>
    <w:rsid w:val="00742926"/>
    <w:rsid w:val="0074463D"/>
    <w:rsid w:val="00744E66"/>
    <w:rsid w:val="00745217"/>
    <w:rsid w:val="007515AA"/>
    <w:rsid w:val="00751813"/>
    <w:rsid w:val="00752571"/>
    <w:rsid w:val="007525B9"/>
    <w:rsid w:val="00756BA4"/>
    <w:rsid w:val="00763C8D"/>
    <w:rsid w:val="007723ED"/>
    <w:rsid w:val="00773450"/>
    <w:rsid w:val="00780139"/>
    <w:rsid w:val="007803D9"/>
    <w:rsid w:val="00781270"/>
    <w:rsid w:val="007816D5"/>
    <w:rsid w:val="00782D0E"/>
    <w:rsid w:val="00785DC5"/>
    <w:rsid w:val="0079061A"/>
    <w:rsid w:val="00791FB3"/>
    <w:rsid w:val="00794CC5"/>
    <w:rsid w:val="00795010"/>
    <w:rsid w:val="00795D99"/>
    <w:rsid w:val="00797794"/>
    <w:rsid w:val="0079783B"/>
    <w:rsid w:val="007A10E2"/>
    <w:rsid w:val="007A1F2F"/>
    <w:rsid w:val="007A4079"/>
    <w:rsid w:val="007A4853"/>
    <w:rsid w:val="007A557B"/>
    <w:rsid w:val="007A5B8D"/>
    <w:rsid w:val="007A5E3A"/>
    <w:rsid w:val="007A5F6B"/>
    <w:rsid w:val="007A74D4"/>
    <w:rsid w:val="007B073D"/>
    <w:rsid w:val="007B1843"/>
    <w:rsid w:val="007B3981"/>
    <w:rsid w:val="007B3FC0"/>
    <w:rsid w:val="007B4F71"/>
    <w:rsid w:val="007B7ACB"/>
    <w:rsid w:val="007C3F46"/>
    <w:rsid w:val="007C4C32"/>
    <w:rsid w:val="007C5D30"/>
    <w:rsid w:val="007C726E"/>
    <w:rsid w:val="007C7E8E"/>
    <w:rsid w:val="007D589D"/>
    <w:rsid w:val="007D75FE"/>
    <w:rsid w:val="007E0D32"/>
    <w:rsid w:val="007E1391"/>
    <w:rsid w:val="007E1A7F"/>
    <w:rsid w:val="007E2D8A"/>
    <w:rsid w:val="007E48D3"/>
    <w:rsid w:val="007E4B52"/>
    <w:rsid w:val="007E56CA"/>
    <w:rsid w:val="007E7B72"/>
    <w:rsid w:val="007E7E3F"/>
    <w:rsid w:val="007F1553"/>
    <w:rsid w:val="007F158D"/>
    <w:rsid w:val="007F3D57"/>
    <w:rsid w:val="007F5478"/>
    <w:rsid w:val="007F68FB"/>
    <w:rsid w:val="007F7D55"/>
    <w:rsid w:val="008012D5"/>
    <w:rsid w:val="00801D4B"/>
    <w:rsid w:val="0080346E"/>
    <w:rsid w:val="00804253"/>
    <w:rsid w:val="00804E41"/>
    <w:rsid w:val="008050F9"/>
    <w:rsid w:val="00806F44"/>
    <w:rsid w:val="00807411"/>
    <w:rsid w:val="00807A42"/>
    <w:rsid w:val="00807E0E"/>
    <w:rsid w:val="00807EBB"/>
    <w:rsid w:val="00810519"/>
    <w:rsid w:val="00812C7C"/>
    <w:rsid w:val="00817D47"/>
    <w:rsid w:val="008208A8"/>
    <w:rsid w:val="008224D8"/>
    <w:rsid w:val="00823973"/>
    <w:rsid w:val="0082672E"/>
    <w:rsid w:val="0082767A"/>
    <w:rsid w:val="008303E2"/>
    <w:rsid w:val="008309D2"/>
    <w:rsid w:val="00830A89"/>
    <w:rsid w:val="008327B9"/>
    <w:rsid w:val="00836B79"/>
    <w:rsid w:val="00836DD0"/>
    <w:rsid w:val="008417DD"/>
    <w:rsid w:val="00841A28"/>
    <w:rsid w:val="00841C3E"/>
    <w:rsid w:val="00843F70"/>
    <w:rsid w:val="00845D25"/>
    <w:rsid w:val="00847123"/>
    <w:rsid w:val="00851593"/>
    <w:rsid w:val="00852502"/>
    <w:rsid w:val="00853054"/>
    <w:rsid w:val="00856322"/>
    <w:rsid w:val="008575C4"/>
    <w:rsid w:val="0085792A"/>
    <w:rsid w:val="008617D3"/>
    <w:rsid w:val="00861BB0"/>
    <w:rsid w:val="00861C2B"/>
    <w:rsid w:val="00861C44"/>
    <w:rsid w:val="00861E78"/>
    <w:rsid w:val="008623F8"/>
    <w:rsid w:val="00862B41"/>
    <w:rsid w:val="00867591"/>
    <w:rsid w:val="00870E48"/>
    <w:rsid w:val="00873DFD"/>
    <w:rsid w:val="008754B4"/>
    <w:rsid w:val="008754BD"/>
    <w:rsid w:val="00876583"/>
    <w:rsid w:val="0088166D"/>
    <w:rsid w:val="008822A1"/>
    <w:rsid w:val="00884755"/>
    <w:rsid w:val="008854EE"/>
    <w:rsid w:val="00886FDB"/>
    <w:rsid w:val="00887B57"/>
    <w:rsid w:val="008911DC"/>
    <w:rsid w:val="00891BBF"/>
    <w:rsid w:val="00891FC0"/>
    <w:rsid w:val="008925D4"/>
    <w:rsid w:val="00893398"/>
    <w:rsid w:val="008940F0"/>
    <w:rsid w:val="008960BA"/>
    <w:rsid w:val="00897B80"/>
    <w:rsid w:val="00897DF8"/>
    <w:rsid w:val="008A0440"/>
    <w:rsid w:val="008A607F"/>
    <w:rsid w:val="008A65DD"/>
    <w:rsid w:val="008A66C7"/>
    <w:rsid w:val="008B051D"/>
    <w:rsid w:val="008B062D"/>
    <w:rsid w:val="008B070D"/>
    <w:rsid w:val="008B07B2"/>
    <w:rsid w:val="008B59DC"/>
    <w:rsid w:val="008B7FDE"/>
    <w:rsid w:val="008C5FC3"/>
    <w:rsid w:val="008D022D"/>
    <w:rsid w:val="008D1C2D"/>
    <w:rsid w:val="008D2736"/>
    <w:rsid w:val="008D3A42"/>
    <w:rsid w:val="008D6233"/>
    <w:rsid w:val="008D7B27"/>
    <w:rsid w:val="008E293B"/>
    <w:rsid w:val="008E3592"/>
    <w:rsid w:val="008E3621"/>
    <w:rsid w:val="008E3BF4"/>
    <w:rsid w:val="008E4291"/>
    <w:rsid w:val="008E45DD"/>
    <w:rsid w:val="008F0B31"/>
    <w:rsid w:val="008F1152"/>
    <w:rsid w:val="008F3451"/>
    <w:rsid w:val="008F7B97"/>
    <w:rsid w:val="008F7F7F"/>
    <w:rsid w:val="00903DEA"/>
    <w:rsid w:val="009049C7"/>
    <w:rsid w:val="00910BEC"/>
    <w:rsid w:val="0091231F"/>
    <w:rsid w:val="009132DA"/>
    <w:rsid w:val="00914AC5"/>
    <w:rsid w:val="009229BA"/>
    <w:rsid w:val="00925F21"/>
    <w:rsid w:val="009307D0"/>
    <w:rsid w:val="00931D42"/>
    <w:rsid w:val="009338D9"/>
    <w:rsid w:val="00935EF7"/>
    <w:rsid w:val="00937D61"/>
    <w:rsid w:val="009409B4"/>
    <w:rsid w:val="009419C5"/>
    <w:rsid w:val="00945AEA"/>
    <w:rsid w:val="00950CC5"/>
    <w:rsid w:val="00951896"/>
    <w:rsid w:val="00951A14"/>
    <w:rsid w:val="00952810"/>
    <w:rsid w:val="00953BBA"/>
    <w:rsid w:val="00954538"/>
    <w:rsid w:val="00957A79"/>
    <w:rsid w:val="00957AA0"/>
    <w:rsid w:val="00961496"/>
    <w:rsid w:val="009624A9"/>
    <w:rsid w:val="00963BFF"/>
    <w:rsid w:val="009641D0"/>
    <w:rsid w:val="00964FF1"/>
    <w:rsid w:val="00970DEE"/>
    <w:rsid w:val="00970EB0"/>
    <w:rsid w:val="00972467"/>
    <w:rsid w:val="0097328E"/>
    <w:rsid w:val="00975780"/>
    <w:rsid w:val="00976701"/>
    <w:rsid w:val="00976CB2"/>
    <w:rsid w:val="00977005"/>
    <w:rsid w:val="00980FDF"/>
    <w:rsid w:val="009816D0"/>
    <w:rsid w:val="00981CCF"/>
    <w:rsid w:val="00981CD5"/>
    <w:rsid w:val="00993C02"/>
    <w:rsid w:val="00994F75"/>
    <w:rsid w:val="00995093"/>
    <w:rsid w:val="00995321"/>
    <w:rsid w:val="00996F93"/>
    <w:rsid w:val="009A02EE"/>
    <w:rsid w:val="009A0EEF"/>
    <w:rsid w:val="009A4078"/>
    <w:rsid w:val="009B01A2"/>
    <w:rsid w:val="009B225C"/>
    <w:rsid w:val="009B26AE"/>
    <w:rsid w:val="009B3E91"/>
    <w:rsid w:val="009C0203"/>
    <w:rsid w:val="009C165D"/>
    <w:rsid w:val="009C1D4F"/>
    <w:rsid w:val="009C2EFB"/>
    <w:rsid w:val="009C58E7"/>
    <w:rsid w:val="009C6AE9"/>
    <w:rsid w:val="009C79E8"/>
    <w:rsid w:val="009D0B7F"/>
    <w:rsid w:val="009D2AC1"/>
    <w:rsid w:val="009D5851"/>
    <w:rsid w:val="009D5CFC"/>
    <w:rsid w:val="009D6D95"/>
    <w:rsid w:val="009F0935"/>
    <w:rsid w:val="009F60B8"/>
    <w:rsid w:val="009F7FB7"/>
    <w:rsid w:val="00A00F3B"/>
    <w:rsid w:val="00A01C52"/>
    <w:rsid w:val="00A038C2"/>
    <w:rsid w:val="00A055AE"/>
    <w:rsid w:val="00A0617D"/>
    <w:rsid w:val="00A06CF9"/>
    <w:rsid w:val="00A06E45"/>
    <w:rsid w:val="00A0743D"/>
    <w:rsid w:val="00A120FE"/>
    <w:rsid w:val="00A12882"/>
    <w:rsid w:val="00A13AB1"/>
    <w:rsid w:val="00A150C4"/>
    <w:rsid w:val="00A2059E"/>
    <w:rsid w:val="00A27B2E"/>
    <w:rsid w:val="00A30273"/>
    <w:rsid w:val="00A3146C"/>
    <w:rsid w:val="00A31ABC"/>
    <w:rsid w:val="00A35660"/>
    <w:rsid w:val="00A3730E"/>
    <w:rsid w:val="00A376DC"/>
    <w:rsid w:val="00A378BA"/>
    <w:rsid w:val="00A42359"/>
    <w:rsid w:val="00A43757"/>
    <w:rsid w:val="00A437BD"/>
    <w:rsid w:val="00A51B35"/>
    <w:rsid w:val="00A5314F"/>
    <w:rsid w:val="00A5336D"/>
    <w:rsid w:val="00A53AC6"/>
    <w:rsid w:val="00A54188"/>
    <w:rsid w:val="00A55EE9"/>
    <w:rsid w:val="00A56037"/>
    <w:rsid w:val="00A56832"/>
    <w:rsid w:val="00A56D0E"/>
    <w:rsid w:val="00A60C4C"/>
    <w:rsid w:val="00A6265E"/>
    <w:rsid w:val="00A67C11"/>
    <w:rsid w:val="00A720D2"/>
    <w:rsid w:val="00A72167"/>
    <w:rsid w:val="00A723AD"/>
    <w:rsid w:val="00A7253A"/>
    <w:rsid w:val="00A76672"/>
    <w:rsid w:val="00A82F34"/>
    <w:rsid w:val="00A82FFB"/>
    <w:rsid w:val="00A8585F"/>
    <w:rsid w:val="00A86651"/>
    <w:rsid w:val="00A867CE"/>
    <w:rsid w:val="00A86C67"/>
    <w:rsid w:val="00A9069D"/>
    <w:rsid w:val="00A92C3D"/>
    <w:rsid w:val="00A9345C"/>
    <w:rsid w:val="00A94147"/>
    <w:rsid w:val="00AA04BF"/>
    <w:rsid w:val="00AA05F7"/>
    <w:rsid w:val="00AA1C95"/>
    <w:rsid w:val="00AA22B8"/>
    <w:rsid w:val="00AA45DD"/>
    <w:rsid w:val="00AA4F54"/>
    <w:rsid w:val="00AA4F5D"/>
    <w:rsid w:val="00AA60A0"/>
    <w:rsid w:val="00AA6EAB"/>
    <w:rsid w:val="00AA7A03"/>
    <w:rsid w:val="00AB207F"/>
    <w:rsid w:val="00AC021D"/>
    <w:rsid w:val="00AC315B"/>
    <w:rsid w:val="00AC62A9"/>
    <w:rsid w:val="00AD0F22"/>
    <w:rsid w:val="00AD11B5"/>
    <w:rsid w:val="00AD12C0"/>
    <w:rsid w:val="00AD14FC"/>
    <w:rsid w:val="00AD2DC1"/>
    <w:rsid w:val="00AD535C"/>
    <w:rsid w:val="00AD67F3"/>
    <w:rsid w:val="00AD7F8C"/>
    <w:rsid w:val="00AE0952"/>
    <w:rsid w:val="00AE10C1"/>
    <w:rsid w:val="00AE1C53"/>
    <w:rsid w:val="00AE230F"/>
    <w:rsid w:val="00AE3EF0"/>
    <w:rsid w:val="00AE41E2"/>
    <w:rsid w:val="00AE43D1"/>
    <w:rsid w:val="00AE4954"/>
    <w:rsid w:val="00AE4A38"/>
    <w:rsid w:val="00AE4C99"/>
    <w:rsid w:val="00AE53A5"/>
    <w:rsid w:val="00AE5411"/>
    <w:rsid w:val="00AE74E1"/>
    <w:rsid w:val="00AE7F5E"/>
    <w:rsid w:val="00AF075F"/>
    <w:rsid w:val="00AF2B92"/>
    <w:rsid w:val="00AF4285"/>
    <w:rsid w:val="00AF44FD"/>
    <w:rsid w:val="00AF4F4E"/>
    <w:rsid w:val="00AF576D"/>
    <w:rsid w:val="00AF5E4E"/>
    <w:rsid w:val="00AF5E81"/>
    <w:rsid w:val="00AF68FD"/>
    <w:rsid w:val="00AF699A"/>
    <w:rsid w:val="00B00525"/>
    <w:rsid w:val="00B0108C"/>
    <w:rsid w:val="00B06115"/>
    <w:rsid w:val="00B06CF0"/>
    <w:rsid w:val="00B0721D"/>
    <w:rsid w:val="00B0798C"/>
    <w:rsid w:val="00B1076D"/>
    <w:rsid w:val="00B11EF6"/>
    <w:rsid w:val="00B134F8"/>
    <w:rsid w:val="00B148F7"/>
    <w:rsid w:val="00B15FEB"/>
    <w:rsid w:val="00B16560"/>
    <w:rsid w:val="00B17A4A"/>
    <w:rsid w:val="00B23B67"/>
    <w:rsid w:val="00B25D50"/>
    <w:rsid w:val="00B26FE3"/>
    <w:rsid w:val="00B34626"/>
    <w:rsid w:val="00B348A5"/>
    <w:rsid w:val="00B353AA"/>
    <w:rsid w:val="00B40739"/>
    <w:rsid w:val="00B4626C"/>
    <w:rsid w:val="00B531E6"/>
    <w:rsid w:val="00B54198"/>
    <w:rsid w:val="00B5787A"/>
    <w:rsid w:val="00B578D8"/>
    <w:rsid w:val="00B608D0"/>
    <w:rsid w:val="00B62E00"/>
    <w:rsid w:val="00B65130"/>
    <w:rsid w:val="00B7111E"/>
    <w:rsid w:val="00B74B51"/>
    <w:rsid w:val="00B807E2"/>
    <w:rsid w:val="00B80FEA"/>
    <w:rsid w:val="00B83050"/>
    <w:rsid w:val="00B83C44"/>
    <w:rsid w:val="00B83F4D"/>
    <w:rsid w:val="00B846E7"/>
    <w:rsid w:val="00B85553"/>
    <w:rsid w:val="00B859DA"/>
    <w:rsid w:val="00B86829"/>
    <w:rsid w:val="00B8729C"/>
    <w:rsid w:val="00B9134E"/>
    <w:rsid w:val="00B91D19"/>
    <w:rsid w:val="00B95624"/>
    <w:rsid w:val="00B95E53"/>
    <w:rsid w:val="00B97D41"/>
    <w:rsid w:val="00BA13C3"/>
    <w:rsid w:val="00BA318C"/>
    <w:rsid w:val="00BA396C"/>
    <w:rsid w:val="00BA4A65"/>
    <w:rsid w:val="00BA7232"/>
    <w:rsid w:val="00BA7C6B"/>
    <w:rsid w:val="00BB005E"/>
    <w:rsid w:val="00BB05DC"/>
    <w:rsid w:val="00BB25EE"/>
    <w:rsid w:val="00BB35B1"/>
    <w:rsid w:val="00BB625E"/>
    <w:rsid w:val="00BB6B65"/>
    <w:rsid w:val="00BC1E25"/>
    <w:rsid w:val="00BC2BDA"/>
    <w:rsid w:val="00BC3802"/>
    <w:rsid w:val="00BC3845"/>
    <w:rsid w:val="00BD491A"/>
    <w:rsid w:val="00BE0D85"/>
    <w:rsid w:val="00BE43DF"/>
    <w:rsid w:val="00BE4FFF"/>
    <w:rsid w:val="00BE5F0D"/>
    <w:rsid w:val="00BE6C0B"/>
    <w:rsid w:val="00BE7241"/>
    <w:rsid w:val="00BF0F45"/>
    <w:rsid w:val="00BF11E7"/>
    <w:rsid w:val="00BF1210"/>
    <w:rsid w:val="00BF22D2"/>
    <w:rsid w:val="00BF310E"/>
    <w:rsid w:val="00BF54D7"/>
    <w:rsid w:val="00BF7C3C"/>
    <w:rsid w:val="00C022D5"/>
    <w:rsid w:val="00C0405A"/>
    <w:rsid w:val="00C131A1"/>
    <w:rsid w:val="00C13423"/>
    <w:rsid w:val="00C14FEB"/>
    <w:rsid w:val="00C15CAB"/>
    <w:rsid w:val="00C165BB"/>
    <w:rsid w:val="00C1751E"/>
    <w:rsid w:val="00C2188D"/>
    <w:rsid w:val="00C22046"/>
    <w:rsid w:val="00C25410"/>
    <w:rsid w:val="00C269A7"/>
    <w:rsid w:val="00C2765A"/>
    <w:rsid w:val="00C324E6"/>
    <w:rsid w:val="00C32D03"/>
    <w:rsid w:val="00C33E91"/>
    <w:rsid w:val="00C33F84"/>
    <w:rsid w:val="00C36896"/>
    <w:rsid w:val="00C36D3C"/>
    <w:rsid w:val="00C37248"/>
    <w:rsid w:val="00C40849"/>
    <w:rsid w:val="00C410E7"/>
    <w:rsid w:val="00C4240A"/>
    <w:rsid w:val="00C4261A"/>
    <w:rsid w:val="00C5099E"/>
    <w:rsid w:val="00C513BE"/>
    <w:rsid w:val="00C54488"/>
    <w:rsid w:val="00C55A0B"/>
    <w:rsid w:val="00C57F3D"/>
    <w:rsid w:val="00C613B6"/>
    <w:rsid w:val="00C64B69"/>
    <w:rsid w:val="00C65006"/>
    <w:rsid w:val="00C757AB"/>
    <w:rsid w:val="00C75DAD"/>
    <w:rsid w:val="00C76A42"/>
    <w:rsid w:val="00C778B4"/>
    <w:rsid w:val="00C83237"/>
    <w:rsid w:val="00C84C14"/>
    <w:rsid w:val="00C84C66"/>
    <w:rsid w:val="00C8635E"/>
    <w:rsid w:val="00C86768"/>
    <w:rsid w:val="00C909AD"/>
    <w:rsid w:val="00C90E49"/>
    <w:rsid w:val="00C911A1"/>
    <w:rsid w:val="00C92316"/>
    <w:rsid w:val="00C95D17"/>
    <w:rsid w:val="00C961AD"/>
    <w:rsid w:val="00C96D53"/>
    <w:rsid w:val="00CA2440"/>
    <w:rsid w:val="00CA39AC"/>
    <w:rsid w:val="00CA3F9F"/>
    <w:rsid w:val="00CA43E0"/>
    <w:rsid w:val="00CA4A54"/>
    <w:rsid w:val="00CA6B5C"/>
    <w:rsid w:val="00CA6CC9"/>
    <w:rsid w:val="00CB06D7"/>
    <w:rsid w:val="00CB207C"/>
    <w:rsid w:val="00CB27FC"/>
    <w:rsid w:val="00CB3A2D"/>
    <w:rsid w:val="00CB4846"/>
    <w:rsid w:val="00CB5220"/>
    <w:rsid w:val="00CB54D9"/>
    <w:rsid w:val="00CB7349"/>
    <w:rsid w:val="00CB76A6"/>
    <w:rsid w:val="00CC0D78"/>
    <w:rsid w:val="00CC14DE"/>
    <w:rsid w:val="00CC34D1"/>
    <w:rsid w:val="00CC3CDB"/>
    <w:rsid w:val="00CC433C"/>
    <w:rsid w:val="00CC71C1"/>
    <w:rsid w:val="00CD086E"/>
    <w:rsid w:val="00CD0D7D"/>
    <w:rsid w:val="00CD29B9"/>
    <w:rsid w:val="00CD2A23"/>
    <w:rsid w:val="00CD33F9"/>
    <w:rsid w:val="00CD5E79"/>
    <w:rsid w:val="00CD7983"/>
    <w:rsid w:val="00CD7A22"/>
    <w:rsid w:val="00CE0E42"/>
    <w:rsid w:val="00CE1454"/>
    <w:rsid w:val="00CE28AC"/>
    <w:rsid w:val="00CE3F13"/>
    <w:rsid w:val="00CE45CA"/>
    <w:rsid w:val="00CF1B11"/>
    <w:rsid w:val="00CF2CEE"/>
    <w:rsid w:val="00CF2DE1"/>
    <w:rsid w:val="00CF6062"/>
    <w:rsid w:val="00D00DA6"/>
    <w:rsid w:val="00D01655"/>
    <w:rsid w:val="00D023A4"/>
    <w:rsid w:val="00D031BB"/>
    <w:rsid w:val="00D037E4"/>
    <w:rsid w:val="00D0500D"/>
    <w:rsid w:val="00D05831"/>
    <w:rsid w:val="00D06E26"/>
    <w:rsid w:val="00D112FA"/>
    <w:rsid w:val="00D11743"/>
    <w:rsid w:val="00D12BA2"/>
    <w:rsid w:val="00D1573D"/>
    <w:rsid w:val="00D22ED5"/>
    <w:rsid w:val="00D23880"/>
    <w:rsid w:val="00D23C9F"/>
    <w:rsid w:val="00D24CD6"/>
    <w:rsid w:val="00D304D0"/>
    <w:rsid w:val="00D31440"/>
    <w:rsid w:val="00D31E7B"/>
    <w:rsid w:val="00D3206C"/>
    <w:rsid w:val="00D32E00"/>
    <w:rsid w:val="00D331A8"/>
    <w:rsid w:val="00D34A01"/>
    <w:rsid w:val="00D34E44"/>
    <w:rsid w:val="00D356AA"/>
    <w:rsid w:val="00D36B7A"/>
    <w:rsid w:val="00D40944"/>
    <w:rsid w:val="00D41BC2"/>
    <w:rsid w:val="00D42FF8"/>
    <w:rsid w:val="00D46C65"/>
    <w:rsid w:val="00D4745E"/>
    <w:rsid w:val="00D47A54"/>
    <w:rsid w:val="00D47A6D"/>
    <w:rsid w:val="00D51DB3"/>
    <w:rsid w:val="00D542F5"/>
    <w:rsid w:val="00D550CA"/>
    <w:rsid w:val="00D56C23"/>
    <w:rsid w:val="00D6249A"/>
    <w:rsid w:val="00D65262"/>
    <w:rsid w:val="00D65687"/>
    <w:rsid w:val="00D66EBA"/>
    <w:rsid w:val="00D7037C"/>
    <w:rsid w:val="00D707D7"/>
    <w:rsid w:val="00D70FD7"/>
    <w:rsid w:val="00D72535"/>
    <w:rsid w:val="00D74411"/>
    <w:rsid w:val="00D751D9"/>
    <w:rsid w:val="00D75721"/>
    <w:rsid w:val="00D777CD"/>
    <w:rsid w:val="00D8007F"/>
    <w:rsid w:val="00D82819"/>
    <w:rsid w:val="00D83E62"/>
    <w:rsid w:val="00D90255"/>
    <w:rsid w:val="00D908C3"/>
    <w:rsid w:val="00D90B95"/>
    <w:rsid w:val="00D9134F"/>
    <w:rsid w:val="00D916B5"/>
    <w:rsid w:val="00D926E7"/>
    <w:rsid w:val="00D93034"/>
    <w:rsid w:val="00D93A6A"/>
    <w:rsid w:val="00D9453D"/>
    <w:rsid w:val="00D94C0C"/>
    <w:rsid w:val="00D94FF3"/>
    <w:rsid w:val="00D956C9"/>
    <w:rsid w:val="00D96515"/>
    <w:rsid w:val="00D97666"/>
    <w:rsid w:val="00DA0698"/>
    <w:rsid w:val="00DA34A0"/>
    <w:rsid w:val="00DA3933"/>
    <w:rsid w:val="00DA4BDE"/>
    <w:rsid w:val="00DA6DFC"/>
    <w:rsid w:val="00DB1071"/>
    <w:rsid w:val="00DB112E"/>
    <w:rsid w:val="00DB677A"/>
    <w:rsid w:val="00DB691D"/>
    <w:rsid w:val="00DB6D81"/>
    <w:rsid w:val="00DB7FFA"/>
    <w:rsid w:val="00DC0E0D"/>
    <w:rsid w:val="00DC0EF6"/>
    <w:rsid w:val="00DC39CE"/>
    <w:rsid w:val="00DC3F8C"/>
    <w:rsid w:val="00DC47BF"/>
    <w:rsid w:val="00DC5EC0"/>
    <w:rsid w:val="00DC6CAE"/>
    <w:rsid w:val="00DC74EF"/>
    <w:rsid w:val="00DC7A22"/>
    <w:rsid w:val="00DD3B39"/>
    <w:rsid w:val="00DD524D"/>
    <w:rsid w:val="00DD53BC"/>
    <w:rsid w:val="00DD62B8"/>
    <w:rsid w:val="00DD6C3D"/>
    <w:rsid w:val="00DE20A0"/>
    <w:rsid w:val="00DE2758"/>
    <w:rsid w:val="00DE35A4"/>
    <w:rsid w:val="00DE5C7E"/>
    <w:rsid w:val="00DF06AA"/>
    <w:rsid w:val="00DF15E5"/>
    <w:rsid w:val="00DF15EB"/>
    <w:rsid w:val="00DF1696"/>
    <w:rsid w:val="00DF2A73"/>
    <w:rsid w:val="00DF44D3"/>
    <w:rsid w:val="00DF54D2"/>
    <w:rsid w:val="00DF65A5"/>
    <w:rsid w:val="00DF6D2C"/>
    <w:rsid w:val="00E007B2"/>
    <w:rsid w:val="00E007F1"/>
    <w:rsid w:val="00E026DD"/>
    <w:rsid w:val="00E04400"/>
    <w:rsid w:val="00E04FCA"/>
    <w:rsid w:val="00E0571D"/>
    <w:rsid w:val="00E077A0"/>
    <w:rsid w:val="00E07E4D"/>
    <w:rsid w:val="00E121AF"/>
    <w:rsid w:val="00E132F1"/>
    <w:rsid w:val="00E17253"/>
    <w:rsid w:val="00E22A4B"/>
    <w:rsid w:val="00E23CA0"/>
    <w:rsid w:val="00E26ACC"/>
    <w:rsid w:val="00E2727D"/>
    <w:rsid w:val="00E35A33"/>
    <w:rsid w:val="00E375F3"/>
    <w:rsid w:val="00E4031C"/>
    <w:rsid w:val="00E41EC2"/>
    <w:rsid w:val="00E43755"/>
    <w:rsid w:val="00E4436D"/>
    <w:rsid w:val="00E45432"/>
    <w:rsid w:val="00E4625B"/>
    <w:rsid w:val="00E500CE"/>
    <w:rsid w:val="00E538A5"/>
    <w:rsid w:val="00E538CB"/>
    <w:rsid w:val="00E54FAC"/>
    <w:rsid w:val="00E559B9"/>
    <w:rsid w:val="00E56A8C"/>
    <w:rsid w:val="00E570A1"/>
    <w:rsid w:val="00E578A8"/>
    <w:rsid w:val="00E61C2B"/>
    <w:rsid w:val="00E64842"/>
    <w:rsid w:val="00E64983"/>
    <w:rsid w:val="00E66A0C"/>
    <w:rsid w:val="00E70BF5"/>
    <w:rsid w:val="00E7187F"/>
    <w:rsid w:val="00E73FA5"/>
    <w:rsid w:val="00E74543"/>
    <w:rsid w:val="00E76CA4"/>
    <w:rsid w:val="00E8032F"/>
    <w:rsid w:val="00E81367"/>
    <w:rsid w:val="00E81600"/>
    <w:rsid w:val="00E865A6"/>
    <w:rsid w:val="00E86BD7"/>
    <w:rsid w:val="00E873C0"/>
    <w:rsid w:val="00E87730"/>
    <w:rsid w:val="00E9043C"/>
    <w:rsid w:val="00E919BF"/>
    <w:rsid w:val="00E91D5F"/>
    <w:rsid w:val="00E92205"/>
    <w:rsid w:val="00E92219"/>
    <w:rsid w:val="00E92827"/>
    <w:rsid w:val="00E9422C"/>
    <w:rsid w:val="00E958D4"/>
    <w:rsid w:val="00E96A29"/>
    <w:rsid w:val="00EA06A1"/>
    <w:rsid w:val="00EA2AF5"/>
    <w:rsid w:val="00EA31B6"/>
    <w:rsid w:val="00EA497F"/>
    <w:rsid w:val="00EA59E4"/>
    <w:rsid w:val="00EB003D"/>
    <w:rsid w:val="00EB3C48"/>
    <w:rsid w:val="00EB4264"/>
    <w:rsid w:val="00EB5604"/>
    <w:rsid w:val="00EB5D9E"/>
    <w:rsid w:val="00EB6190"/>
    <w:rsid w:val="00EB6787"/>
    <w:rsid w:val="00EB6C87"/>
    <w:rsid w:val="00EC075D"/>
    <w:rsid w:val="00EC1F93"/>
    <w:rsid w:val="00EC31C0"/>
    <w:rsid w:val="00ED0B1A"/>
    <w:rsid w:val="00ED0E75"/>
    <w:rsid w:val="00ED24C3"/>
    <w:rsid w:val="00ED5DB3"/>
    <w:rsid w:val="00ED7134"/>
    <w:rsid w:val="00ED7DEC"/>
    <w:rsid w:val="00EE161D"/>
    <w:rsid w:val="00EE1E46"/>
    <w:rsid w:val="00EE6104"/>
    <w:rsid w:val="00EE6FD3"/>
    <w:rsid w:val="00EE7804"/>
    <w:rsid w:val="00EE7878"/>
    <w:rsid w:val="00EF13B2"/>
    <w:rsid w:val="00EF2C28"/>
    <w:rsid w:val="00EF6037"/>
    <w:rsid w:val="00EF6E5C"/>
    <w:rsid w:val="00F003E2"/>
    <w:rsid w:val="00F0086F"/>
    <w:rsid w:val="00F019C0"/>
    <w:rsid w:val="00F065A3"/>
    <w:rsid w:val="00F10EC5"/>
    <w:rsid w:val="00F11D82"/>
    <w:rsid w:val="00F120FA"/>
    <w:rsid w:val="00F13715"/>
    <w:rsid w:val="00F1589D"/>
    <w:rsid w:val="00F17A99"/>
    <w:rsid w:val="00F2050F"/>
    <w:rsid w:val="00F23057"/>
    <w:rsid w:val="00F2491D"/>
    <w:rsid w:val="00F252EF"/>
    <w:rsid w:val="00F25A14"/>
    <w:rsid w:val="00F26A61"/>
    <w:rsid w:val="00F30802"/>
    <w:rsid w:val="00F31099"/>
    <w:rsid w:val="00F31D2B"/>
    <w:rsid w:val="00F3244F"/>
    <w:rsid w:val="00F326B6"/>
    <w:rsid w:val="00F32F85"/>
    <w:rsid w:val="00F34117"/>
    <w:rsid w:val="00F37000"/>
    <w:rsid w:val="00F41BBA"/>
    <w:rsid w:val="00F42E18"/>
    <w:rsid w:val="00F4636B"/>
    <w:rsid w:val="00F47682"/>
    <w:rsid w:val="00F51D1F"/>
    <w:rsid w:val="00F55C1C"/>
    <w:rsid w:val="00F56E16"/>
    <w:rsid w:val="00F56F18"/>
    <w:rsid w:val="00F62B2B"/>
    <w:rsid w:val="00F63093"/>
    <w:rsid w:val="00F6390F"/>
    <w:rsid w:val="00F76CD7"/>
    <w:rsid w:val="00F774CC"/>
    <w:rsid w:val="00F77D3F"/>
    <w:rsid w:val="00F81228"/>
    <w:rsid w:val="00F852DB"/>
    <w:rsid w:val="00F9097C"/>
    <w:rsid w:val="00F92407"/>
    <w:rsid w:val="00F935CD"/>
    <w:rsid w:val="00F95D03"/>
    <w:rsid w:val="00F9687C"/>
    <w:rsid w:val="00FA43AB"/>
    <w:rsid w:val="00FA66C7"/>
    <w:rsid w:val="00FA6819"/>
    <w:rsid w:val="00FA739D"/>
    <w:rsid w:val="00FB6D81"/>
    <w:rsid w:val="00FB73C4"/>
    <w:rsid w:val="00FC1139"/>
    <w:rsid w:val="00FC2A52"/>
    <w:rsid w:val="00FC3036"/>
    <w:rsid w:val="00FC41FF"/>
    <w:rsid w:val="00FC4FD3"/>
    <w:rsid w:val="00FC7410"/>
    <w:rsid w:val="00FD1637"/>
    <w:rsid w:val="00FD2AD0"/>
    <w:rsid w:val="00FD5343"/>
    <w:rsid w:val="00FD629B"/>
    <w:rsid w:val="00FD6B06"/>
    <w:rsid w:val="00FE2714"/>
    <w:rsid w:val="00FE2F43"/>
    <w:rsid w:val="00FE2F9E"/>
    <w:rsid w:val="00FE54B9"/>
    <w:rsid w:val="00FE5E65"/>
    <w:rsid w:val="00FE6F0F"/>
    <w:rsid w:val="00FE7AC9"/>
    <w:rsid w:val="00FE7FA2"/>
    <w:rsid w:val="00FF128C"/>
    <w:rsid w:val="00FF5FDE"/>
    <w:rsid w:val="00FF662E"/>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84EFF1"/>
  <w15:chartTrackingRefBased/>
  <w15:docId w15:val="{A27CD0E5-89A0-4779-A166-F6736DAC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C44"/>
    <w:pPr>
      <w:spacing w:line="480" w:lineRule="auto"/>
    </w:pPr>
  </w:style>
  <w:style w:type="paragraph" w:styleId="Heading1">
    <w:name w:val="heading 1"/>
    <w:basedOn w:val="Normal"/>
    <w:next w:val="Normal"/>
    <w:link w:val="Heading1Char"/>
    <w:uiPriority w:val="9"/>
    <w:qFormat/>
    <w:rsid w:val="007B7ACB"/>
    <w:pPr>
      <w:numPr>
        <w:numId w:val="1"/>
      </w:numPr>
      <w:spacing w:after="240" w:line="240" w:lineRule="auto"/>
      <w:outlineLvl w:val="0"/>
    </w:pPr>
    <w:rPr>
      <w:rFonts w:eastAsiaTheme="majorEastAsia"/>
      <w:b/>
      <w:caps/>
      <w:szCs w:val="32"/>
      <w:u w:val="single"/>
    </w:rPr>
  </w:style>
  <w:style w:type="paragraph" w:styleId="Heading2">
    <w:name w:val="heading 2"/>
    <w:basedOn w:val="Normal"/>
    <w:next w:val="Normal"/>
    <w:link w:val="Heading2Char"/>
    <w:uiPriority w:val="9"/>
    <w:unhideWhenUsed/>
    <w:qFormat/>
    <w:rsid w:val="007B7ACB"/>
    <w:pPr>
      <w:numPr>
        <w:ilvl w:val="1"/>
        <w:numId w:val="1"/>
      </w:numPr>
      <w:tabs>
        <w:tab w:val="left" w:pos="1440"/>
      </w:tabs>
      <w:spacing w:after="240" w:line="240" w:lineRule="auto"/>
      <w:outlineLvl w:val="1"/>
    </w:pPr>
    <w:rPr>
      <w:rFonts w:eastAsiaTheme="majorEastAsia"/>
      <w:b/>
      <w:szCs w:val="26"/>
    </w:rPr>
  </w:style>
  <w:style w:type="paragraph" w:styleId="Heading3">
    <w:name w:val="heading 3"/>
    <w:basedOn w:val="Normal"/>
    <w:next w:val="Normal"/>
    <w:link w:val="Heading3Char"/>
    <w:uiPriority w:val="9"/>
    <w:unhideWhenUsed/>
    <w:qFormat/>
    <w:rsid w:val="007B7ACB"/>
    <w:pPr>
      <w:numPr>
        <w:ilvl w:val="2"/>
        <w:numId w:val="1"/>
      </w:numPr>
      <w:tabs>
        <w:tab w:val="left" w:pos="2160"/>
      </w:tabs>
      <w:spacing w:after="240" w:line="240" w:lineRule="auto"/>
      <w:outlineLvl w:val="2"/>
    </w:pPr>
    <w:rPr>
      <w:rFonts w:eastAsiaTheme="majorEastAsia"/>
      <w:b/>
    </w:rPr>
  </w:style>
  <w:style w:type="paragraph" w:styleId="Heading4">
    <w:name w:val="heading 4"/>
    <w:basedOn w:val="Normal"/>
    <w:next w:val="Normal"/>
    <w:link w:val="Heading4Char"/>
    <w:uiPriority w:val="9"/>
    <w:unhideWhenUsed/>
    <w:qFormat/>
    <w:rsid w:val="007B7ACB"/>
    <w:pPr>
      <w:numPr>
        <w:ilvl w:val="3"/>
        <w:numId w:val="1"/>
      </w:numPr>
      <w:tabs>
        <w:tab w:val="left" w:pos="2880"/>
      </w:tabs>
      <w:spacing w:after="240" w:line="240" w:lineRule="auto"/>
      <w:outlineLvl w:val="3"/>
    </w:pPr>
    <w:rPr>
      <w:rFonts w:eastAsiaTheme="majorEastAsia"/>
      <w:b/>
      <w:i/>
      <w:iCs/>
    </w:rPr>
  </w:style>
  <w:style w:type="paragraph" w:styleId="Heading5">
    <w:name w:val="heading 5"/>
    <w:basedOn w:val="Normal"/>
    <w:next w:val="Normal"/>
    <w:link w:val="Heading5Char"/>
    <w:uiPriority w:val="9"/>
    <w:semiHidden/>
    <w:unhideWhenUsed/>
    <w:qFormat/>
    <w:rsid w:val="007B7ACB"/>
    <w:pPr>
      <w:numPr>
        <w:ilvl w:val="4"/>
        <w:numId w:val="1"/>
      </w:numPr>
      <w:tabs>
        <w:tab w:val="left" w:pos="3600"/>
      </w:tabs>
      <w:spacing w:after="240" w:line="240" w:lineRule="auto"/>
      <w:outlineLvl w:val="4"/>
    </w:pPr>
    <w:rPr>
      <w:rFonts w:eastAsiaTheme="majorEastAsia"/>
      <w:color w:val="243F60"/>
    </w:rPr>
  </w:style>
  <w:style w:type="paragraph" w:styleId="Heading6">
    <w:name w:val="heading 6"/>
    <w:basedOn w:val="Normal"/>
    <w:next w:val="Normal"/>
    <w:link w:val="Heading6Char"/>
    <w:uiPriority w:val="9"/>
    <w:semiHidden/>
    <w:unhideWhenUsed/>
    <w:qFormat/>
    <w:rsid w:val="007B7ACB"/>
    <w:pPr>
      <w:numPr>
        <w:ilvl w:val="5"/>
        <w:numId w:val="1"/>
      </w:numPr>
      <w:tabs>
        <w:tab w:val="left" w:pos="4320"/>
      </w:tabs>
      <w:spacing w:after="240" w:line="240" w:lineRule="auto"/>
      <w:outlineLvl w:val="5"/>
    </w:pPr>
    <w:rPr>
      <w:rFonts w:eastAsiaTheme="majorEastAsia"/>
      <w:color w:val="243F60"/>
    </w:rPr>
  </w:style>
  <w:style w:type="paragraph" w:styleId="Heading7">
    <w:name w:val="heading 7"/>
    <w:basedOn w:val="Normal"/>
    <w:next w:val="Normal"/>
    <w:link w:val="Heading7Char"/>
    <w:uiPriority w:val="9"/>
    <w:semiHidden/>
    <w:unhideWhenUsed/>
    <w:qFormat/>
    <w:rsid w:val="007B7ACB"/>
    <w:pPr>
      <w:numPr>
        <w:ilvl w:val="6"/>
        <w:numId w:val="1"/>
      </w:numPr>
      <w:tabs>
        <w:tab w:val="left" w:pos="5040"/>
      </w:tabs>
      <w:spacing w:after="240" w:line="240" w:lineRule="auto"/>
      <w:outlineLvl w:val="6"/>
    </w:pPr>
    <w:rPr>
      <w:rFonts w:eastAsiaTheme="majorEastAsia"/>
      <w:iCs/>
      <w:color w:val="404040"/>
    </w:rPr>
  </w:style>
  <w:style w:type="paragraph" w:styleId="Heading8">
    <w:name w:val="heading 8"/>
    <w:basedOn w:val="Normal"/>
    <w:next w:val="Normal"/>
    <w:link w:val="Heading8Char"/>
    <w:uiPriority w:val="9"/>
    <w:semiHidden/>
    <w:unhideWhenUsed/>
    <w:qFormat/>
    <w:rsid w:val="007B7ACB"/>
    <w:pPr>
      <w:numPr>
        <w:ilvl w:val="7"/>
        <w:numId w:val="1"/>
      </w:numPr>
      <w:tabs>
        <w:tab w:val="left" w:pos="5760"/>
      </w:tabs>
      <w:spacing w:after="240" w:line="240" w:lineRule="auto"/>
      <w:outlineLvl w:val="7"/>
    </w:pPr>
    <w:rPr>
      <w:rFonts w:eastAsiaTheme="majorEastAsia"/>
      <w:color w:val="404040"/>
      <w:szCs w:val="21"/>
    </w:rPr>
  </w:style>
  <w:style w:type="paragraph" w:styleId="Heading9">
    <w:name w:val="heading 9"/>
    <w:basedOn w:val="Normal"/>
    <w:next w:val="Normal"/>
    <w:link w:val="Heading9Char"/>
    <w:uiPriority w:val="9"/>
    <w:semiHidden/>
    <w:unhideWhenUsed/>
    <w:qFormat/>
    <w:rsid w:val="007B7ACB"/>
    <w:pPr>
      <w:numPr>
        <w:ilvl w:val="8"/>
        <w:numId w:val="1"/>
      </w:numPr>
      <w:tabs>
        <w:tab w:val="left" w:pos="6480"/>
      </w:tabs>
      <w:spacing w:after="240" w:line="240" w:lineRule="auto"/>
      <w:outlineLvl w:val="8"/>
    </w:pPr>
    <w:rPr>
      <w:rFonts w:eastAsiaTheme="majorEastAsia"/>
      <w:iCs/>
      <w:color w:val="40404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 Char,fn,char,ft"/>
    <w:basedOn w:val="Normal"/>
    <w:link w:val="FootnoteTextChar"/>
    <w:uiPriority w:val="99"/>
    <w:unhideWhenUsed/>
    <w:qFormat/>
    <w:rsid w:val="00861C44"/>
    <w:pPr>
      <w:spacing w:after="120" w:line="240" w:lineRule="auto"/>
    </w:pPr>
    <w:rPr>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sid w:val="00861C44"/>
    <w:rPr>
      <w:sz w:val="20"/>
      <w:szCs w:val="20"/>
    </w:rPr>
  </w:style>
  <w:style w:type="paragraph" w:styleId="Header">
    <w:name w:val="header"/>
    <w:basedOn w:val="Normal"/>
    <w:link w:val="HeaderChar"/>
    <w:uiPriority w:val="99"/>
    <w:unhideWhenUsed/>
    <w:rsid w:val="00FF128C"/>
    <w:pPr>
      <w:tabs>
        <w:tab w:val="center" w:pos="4680"/>
        <w:tab w:val="right" w:pos="9360"/>
      </w:tabs>
      <w:spacing w:line="240" w:lineRule="auto"/>
    </w:pPr>
  </w:style>
  <w:style w:type="character" w:customStyle="1" w:styleId="HeaderChar">
    <w:name w:val="Header Char"/>
    <w:basedOn w:val="DefaultParagraphFont"/>
    <w:link w:val="Header"/>
    <w:uiPriority w:val="99"/>
    <w:rsid w:val="00FF128C"/>
  </w:style>
  <w:style w:type="paragraph" w:styleId="Footer">
    <w:name w:val="footer"/>
    <w:basedOn w:val="Normal"/>
    <w:link w:val="FooterChar"/>
    <w:uiPriority w:val="99"/>
    <w:unhideWhenUsed/>
    <w:rsid w:val="00FF128C"/>
    <w:pPr>
      <w:tabs>
        <w:tab w:val="center" w:pos="4680"/>
        <w:tab w:val="right" w:pos="9360"/>
      </w:tabs>
      <w:spacing w:line="240" w:lineRule="auto"/>
    </w:pPr>
  </w:style>
  <w:style w:type="character" w:customStyle="1" w:styleId="FooterChar">
    <w:name w:val="Footer Char"/>
    <w:basedOn w:val="DefaultParagraphFont"/>
    <w:link w:val="Footer"/>
    <w:uiPriority w:val="99"/>
    <w:rsid w:val="00FF128C"/>
  </w:style>
  <w:style w:type="character" w:styleId="FootnoteReference">
    <w:name w:val="footnote reference"/>
    <w:aliases w:val="o,fr,(NECG) Footnote Reference,Style 17,Style 20,Style 13,Style 12,o1,fr1,o2,fr2,o3,fr3,Style 15,Style 8,Style 9,Style 18,Style 7,Style 19,Style 28,Style 42,Style 11,Style 16,Styl,Footnote Reference (EIS),fnr,Footnote reference (EA),."/>
    <w:basedOn w:val="DefaultParagraphFont"/>
    <w:uiPriority w:val="99"/>
    <w:unhideWhenUsed/>
    <w:rsid w:val="00BA396C"/>
    <w:rPr>
      <w:vertAlign w:val="superscript"/>
    </w:rPr>
  </w:style>
  <w:style w:type="character" w:customStyle="1" w:styleId="Heading1Char">
    <w:name w:val="Heading 1 Char"/>
    <w:basedOn w:val="DefaultParagraphFont"/>
    <w:link w:val="Heading1"/>
    <w:uiPriority w:val="9"/>
    <w:rsid w:val="00067B0E"/>
    <w:rPr>
      <w:rFonts w:eastAsiaTheme="majorEastAsia"/>
      <w:b/>
      <w:caps/>
      <w:szCs w:val="32"/>
      <w:u w:val="single"/>
    </w:rPr>
  </w:style>
  <w:style w:type="character" w:customStyle="1" w:styleId="Heading2Char">
    <w:name w:val="Heading 2 Char"/>
    <w:basedOn w:val="DefaultParagraphFont"/>
    <w:link w:val="Heading2"/>
    <w:uiPriority w:val="9"/>
    <w:rsid w:val="00067B0E"/>
    <w:rPr>
      <w:rFonts w:eastAsiaTheme="majorEastAsia"/>
      <w:b/>
      <w:szCs w:val="26"/>
    </w:rPr>
  </w:style>
  <w:style w:type="character" w:customStyle="1" w:styleId="Heading3Char">
    <w:name w:val="Heading 3 Char"/>
    <w:basedOn w:val="DefaultParagraphFont"/>
    <w:link w:val="Heading3"/>
    <w:uiPriority w:val="9"/>
    <w:rsid w:val="00067B0E"/>
    <w:rPr>
      <w:rFonts w:eastAsiaTheme="majorEastAsia"/>
      <w:b/>
    </w:rPr>
  </w:style>
  <w:style w:type="character" w:customStyle="1" w:styleId="Heading4Char">
    <w:name w:val="Heading 4 Char"/>
    <w:basedOn w:val="DefaultParagraphFont"/>
    <w:link w:val="Heading4"/>
    <w:uiPriority w:val="9"/>
    <w:rsid w:val="00067B0E"/>
    <w:rPr>
      <w:rFonts w:eastAsiaTheme="majorEastAsia"/>
      <w:b/>
      <w:i/>
      <w:iCs/>
    </w:rPr>
  </w:style>
  <w:style w:type="character" w:customStyle="1" w:styleId="Heading5Char">
    <w:name w:val="Heading 5 Char"/>
    <w:basedOn w:val="DefaultParagraphFont"/>
    <w:link w:val="Heading5"/>
    <w:uiPriority w:val="9"/>
    <w:semiHidden/>
    <w:rsid w:val="00067B0E"/>
    <w:rPr>
      <w:rFonts w:eastAsiaTheme="majorEastAsia"/>
      <w:color w:val="243F60"/>
    </w:rPr>
  </w:style>
  <w:style w:type="character" w:customStyle="1" w:styleId="Heading6Char">
    <w:name w:val="Heading 6 Char"/>
    <w:basedOn w:val="DefaultParagraphFont"/>
    <w:link w:val="Heading6"/>
    <w:uiPriority w:val="9"/>
    <w:semiHidden/>
    <w:rsid w:val="00067B0E"/>
    <w:rPr>
      <w:rFonts w:eastAsiaTheme="majorEastAsia"/>
      <w:color w:val="243F60"/>
    </w:rPr>
  </w:style>
  <w:style w:type="character" w:customStyle="1" w:styleId="Heading7Char">
    <w:name w:val="Heading 7 Char"/>
    <w:basedOn w:val="DefaultParagraphFont"/>
    <w:link w:val="Heading7"/>
    <w:uiPriority w:val="9"/>
    <w:semiHidden/>
    <w:rsid w:val="00067B0E"/>
    <w:rPr>
      <w:rFonts w:eastAsiaTheme="majorEastAsia"/>
      <w:iCs/>
      <w:color w:val="404040"/>
    </w:rPr>
  </w:style>
  <w:style w:type="character" w:customStyle="1" w:styleId="Heading8Char">
    <w:name w:val="Heading 8 Char"/>
    <w:basedOn w:val="DefaultParagraphFont"/>
    <w:link w:val="Heading8"/>
    <w:uiPriority w:val="9"/>
    <w:semiHidden/>
    <w:rsid w:val="00067B0E"/>
    <w:rPr>
      <w:rFonts w:eastAsiaTheme="majorEastAsia"/>
      <w:color w:val="404040"/>
      <w:szCs w:val="21"/>
    </w:rPr>
  </w:style>
  <w:style w:type="character" w:customStyle="1" w:styleId="Heading9Char">
    <w:name w:val="Heading 9 Char"/>
    <w:basedOn w:val="DefaultParagraphFont"/>
    <w:link w:val="Heading9"/>
    <w:uiPriority w:val="9"/>
    <w:semiHidden/>
    <w:rsid w:val="00067B0E"/>
    <w:rPr>
      <w:rFonts w:eastAsiaTheme="majorEastAsia"/>
      <w:iCs/>
      <w:color w:val="404040"/>
      <w:szCs w:val="21"/>
    </w:rPr>
  </w:style>
  <w:style w:type="paragraph" w:styleId="BodyText">
    <w:name w:val="Body Text"/>
    <w:basedOn w:val="Normal"/>
    <w:link w:val="BodyTextChar"/>
    <w:uiPriority w:val="99"/>
    <w:semiHidden/>
    <w:unhideWhenUsed/>
    <w:rsid w:val="00067B0E"/>
    <w:pPr>
      <w:spacing w:after="120"/>
    </w:pPr>
  </w:style>
  <w:style w:type="character" w:customStyle="1" w:styleId="BodyTextChar">
    <w:name w:val="Body Text Char"/>
    <w:basedOn w:val="DefaultParagraphFont"/>
    <w:link w:val="BodyText"/>
    <w:uiPriority w:val="99"/>
    <w:semiHidden/>
    <w:rsid w:val="00067B0E"/>
  </w:style>
  <w:style w:type="paragraph" w:styleId="BalloonText">
    <w:name w:val="Balloon Text"/>
    <w:basedOn w:val="Normal"/>
    <w:link w:val="BalloonTextChar"/>
    <w:uiPriority w:val="99"/>
    <w:semiHidden/>
    <w:unhideWhenUsed/>
    <w:rsid w:val="002D21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1C6"/>
    <w:rPr>
      <w:rFonts w:ascii="Segoe UI" w:hAnsi="Segoe UI" w:cs="Segoe UI"/>
      <w:sz w:val="18"/>
      <w:szCs w:val="18"/>
    </w:rPr>
  </w:style>
  <w:style w:type="paragraph" w:styleId="PlainText">
    <w:name w:val="Plain Text"/>
    <w:basedOn w:val="Normal"/>
    <w:link w:val="PlainTextChar"/>
    <w:uiPriority w:val="99"/>
    <w:semiHidden/>
    <w:unhideWhenUsed/>
    <w:rsid w:val="00C778B4"/>
    <w:pPr>
      <w:spacing w:line="240" w:lineRule="auto"/>
      <w:jc w:val="left"/>
    </w:pPr>
    <w:rPr>
      <w:rFonts w:eastAsia="Times New Roman" w:cs="Consolas"/>
      <w:szCs w:val="21"/>
    </w:rPr>
  </w:style>
  <w:style w:type="character" w:customStyle="1" w:styleId="PlainTextChar">
    <w:name w:val="Plain Text Char"/>
    <w:basedOn w:val="DefaultParagraphFont"/>
    <w:link w:val="PlainText"/>
    <w:uiPriority w:val="99"/>
    <w:semiHidden/>
    <w:rsid w:val="00C778B4"/>
    <w:rPr>
      <w:rFonts w:eastAsia="Times New Roman" w:cs="Consolas"/>
      <w:szCs w:val="21"/>
    </w:rPr>
  </w:style>
  <w:style w:type="character" w:styleId="CommentReference">
    <w:name w:val="annotation reference"/>
    <w:basedOn w:val="DefaultParagraphFont"/>
    <w:uiPriority w:val="99"/>
    <w:semiHidden/>
    <w:unhideWhenUsed/>
    <w:rsid w:val="00B65130"/>
    <w:rPr>
      <w:sz w:val="16"/>
      <w:szCs w:val="16"/>
    </w:rPr>
  </w:style>
  <w:style w:type="paragraph" w:styleId="CommentText">
    <w:name w:val="annotation text"/>
    <w:basedOn w:val="Normal"/>
    <w:link w:val="CommentTextChar"/>
    <w:uiPriority w:val="99"/>
    <w:semiHidden/>
    <w:unhideWhenUsed/>
    <w:rsid w:val="00B65130"/>
    <w:pPr>
      <w:spacing w:line="240" w:lineRule="auto"/>
    </w:pPr>
    <w:rPr>
      <w:sz w:val="20"/>
      <w:szCs w:val="20"/>
    </w:rPr>
  </w:style>
  <w:style w:type="character" w:customStyle="1" w:styleId="CommentTextChar">
    <w:name w:val="Comment Text Char"/>
    <w:basedOn w:val="DefaultParagraphFont"/>
    <w:link w:val="CommentText"/>
    <w:uiPriority w:val="99"/>
    <w:semiHidden/>
    <w:rsid w:val="00B65130"/>
    <w:rPr>
      <w:sz w:val="20"/>
      <w:szCs w:val="20"/>
    </w:rPr>
  </w:style>
  <w:style w:type="paragraph" w:styleId="CommentSubject">
    <w:name w:val="annotation subject"/>
    <w:basedOn w:val="CommentText"/>
    <w:next w:val="CommentText"/>
    <w:link w:val="CommentSubjectChar"/>
    <w:uiPriority w:val="99"/>
    <w:semiHidden/>
    <w:unhideWhenUsed/>
    <w:rsid w:val="00B65130"/>
    <w:rPr>
      <w:b/>
      <w:bCs/>
    </w:rPr>
  </w:style>
  <w:style w:type="character" w:customStyle="1" w:styleId="CommentSubjectChar">
    <w:name w:val="Comment Subject Char"/>
    <w:basedOn w:val="CommentTextChar"/>
    <w:link w:val="CommentSubject"/>
    <w:uiPriority w:val="99"/>
    <w:semiHidden/>
    <w:rsid w:val="00B65130"/>
    <w:rPr>
      <w:b/>
      <w:bCs/>
      <w:sz w:val="20"/>
      <w:szCs w:val="20"/>
    </w:rPr>
  </w:style>
  <w:style w:type="character" w:styleId="Hyperlink">
    <w:name w:val="Hyperlink"/>
    <w:basedOn w:val="DefaultParagraphFont"/>
    <w:uiPriority w:val="99"/>
    <w:unhideWhenUsed/>
    <w:rsid w:val="0025315A"/>
    <w:rPr>
      <w:color w:val="0000FF" w:themeColor="hyperlink"/>
      <w:u w:val="single"/>
    </w:rPr>
  </w:style>
  <w:style w:type="paragraph" w:styleId="BodyText3">
    <w:name w:val="Body Text 3"/>
    <w:basedOn w:val="Normal"/>
    <w:link w:val="BodyText3Char"/>
    <w:uiPriority w:val="99"/>
    <w:semiHidden/>
    <w:unhideWhenUsed/>
    <w:rsid w:val="003533B4"/>
    <w:pPr>
      <w:spacing w:after="120"/>
    </w:pPr>
    <w:rPr>
      <w:sz w:val="16"/>
      <w:szCs w:val="16"/>
    </w:rPr>
  </w:style>
  <w:style w:type="character" w:customStyle="1" w:styleId="BodyText3Char">
    <w:name w:val="Body Text 3 Char"/>
    <w:basedOn w:val="DefaultParagraphFont"/>
    <w:link w:val="BodyText3"/>
    <w:uiPriority w:val="99"/>
    <w:semiHidden/>
    <w:rsid w:val="003533B4"/>
    <w:rPr>
      <w:sz w:val="16"/>
      <w:szCs w:val="16"/>
    </w:rPr>
  </w:style>
  <w:style w:type="paragraph" w:styleId="TOCHeading">
    <w:name w:val="TOC Heading"/>
    <w:basedOn w:val="Normal"/>
    <w:next w:val="TOC1"/>
    <w:uiPriority w:val="39"/>
    <w:unhideWhenUsed/>
    <w:qFormat/>
    <w:rsid w:val="007B7ACB"/>
    <w:pPr>
      <w:keepNext/>
      <w:keepLines/>
      <w:spacing w:before="240" w:after="240" w:line="240" w:lineRule="auto"/>
      <w:jc w:val="center"/>
    </w:pPr>
    <w:rPr>
      <w:b/>
      <w:color w:val="000000"/>
    </w:rPr>
  </w:style>
  <w:style w:type="paragraph" w:styleId="TOC1">
    <w:name w:val="toc 1"/>
    <w:basedOn w:val="Normal"/>
    <w:next w:val="Normal"/>
    <w:autoRedefine/>
    <w:uiPriority w:val="39"/>
    <w:unhideWhenUsed/>
    <w:rsid w:val="00970DEE"/>
    <w:pPr>
      <w:tabs>
        <w:tab w:val="left" w:pos="540"/>
        <w:tab w:val="right" w:leader="dot" w:pos="9350"/>
      </w:tabs>
      <w:spacing w:after="100"/>
      <w:ind w:right="720"/>
    </w:pPr>
  </w:style>
  <w:style w:type="paragraph" w:styleId="TOC2">
    <w:name w:val="toc 2"/>
    <w:basedOn w:val="Normal"/>
    <w:next w:val="Normal"/>
    <w:autoRedefine/>
    <w:uiPriority w:val="39"/>
    <w:unhideWhenUsed/>
    <w:rsid w:val="007B7ACB"/>
    <w:pPr>
      <w:tabs>
        <w:tab w:val="left" w:pos="1080"/>
        <w:tab w:val="right" w:leader="dot" w:pos="9350"/>
      </w:tabs>
      <w:spacing w:after="100"/>
      <w:ind w:left="900" w:right="720" w:hanging="360"/>
    </w:pPr>
  </w:style>
  <w:style w:type="paragraph" w:styleId="TOC3">
    <w:name w:val="toc 3"/>
    <w:basedOn w:val="Normal"/>
    <w:next w:val="Normal"/>
    <w:autoRedefine/>
    <w:uiPriority w:val="39"/>
    <w:unhideWhenUsed/>
    <w:rsid w:val="007B7ACB"/>
    <w:pPr>
      <w:tabs>
        <w:tab w:val="left" w:pos="1350"/>
        <w:tab w:val="right" w:leader="dot" w:pos="9350"/>
      </w:tabs>
      <w:spacing w:after="100"/>
      <w:ind w:left="1350" w:right="720" w:hanging="450"/>
    </w:pPr>
  </w:style>
  <w:style w:type="paragraph" w:styleId="TOC4">
    <w:name w:val="toc 4"/>
    <w:basedOn w:val="Normal"/>
    <w:next w:val="Normal"/>
    <w:autoRedefine/>
    <w:uiPriority w:val="39"/>
    <w:unhideWhenUsed/>
    <w:rsid w:val="007B7ACB"/>
    <w:pPr>
      <w:tabs>
        <w:tab w:val="left" w:pos="1800"/>
        <w:tab w:val="right" w:leader="dot" w:pos="9350"/>
      </w:tabs>
      <w:spacing w:after="100"/>
      <w:ind w:left="1800" w:right="720" w:hanging="450"/>
    </w:pPr>
  </w:style>
  <w:style w:type="paragraph" w:styleId="TOC5">
    <w:name w:val="toc 5"/>
    <w:basedOn w:val="Normal"/>
    <w:next w:val="Normal"/>
    <w:autoRedefine/>
    <w:uiPriority w:val="39"/>
    <w:semiHidden/>
    <w:unhideWhenUsed/>
    <w:rsid w:val="007B7ACB"/>
    <w:pPr>
      <w:spacing w:after="100"/>
      <w:ind w:left="960"/>
    </w:pPr>
  </w:style>
  <w:style w:type="paragraph" w:styleId="TOC6">
    <w:name w:val="toc 6"/>
    <w:basedOn w:val="Normal"/>
    <w:next w:val="Normal"/>
    <w:autoRedefine/>
    <w:uiPriority w:val="39"/>
    <w:semiHidden/>
    <w:unhideWhenUsed/>
    <w:rsid w:val="007B7ACB"/>
    <w:pPr>
      <w:spacing w:after="100"/>
      <w:ind w:left="1200"/>
    </w:pPr>
  </w:style>
  <w:style w:type="paragraph" w:styleId="TOC7">
    <w:name w:val="toc 7"/>
    <w:basedOn w:val="Normal"/>
    <w:next w:val="Normal"/>
    <w:autoRedefine/>
    <w:uiPriority w:val="39"/>
    <w:semiHidden/>
    <w:unhideWhenUsed/>
    <w:rsid w:val="007B7ACB"/>
    <w:pPr>
      <w:spacing w:after="100"/>
      <w:ind w:left="1440"/>
    </w:pPr>
  </w:style>
  <w:style w:type="paragraph" w:styleId="TOC8">
    <w:name w:val="toc 8"/>
    <w:basedOn w:val="Normal"/>
    <w:next w:val="Normal"/>
    <w:autoRedefine/>
    <w:uiPriority w:val="39"/>
    <w:semiHidden/>
    <w:unhideWhenUsed/>
    <w:rsid w:val="007B7ACB"/>
    <w:pPr>
      <w:spacing w:after="100"/>
      <w:ind w:left="1680"/>
    </w:pPr>
  </w:style>
  <w:style w:type="paragraph" w:styleId="TOC9">
    <w:name w:val="toc 9"/>
    <w:basedOn w:val="Normal"/>
    <w:next w:val="Normal"/>
    <w:autoRedefine/>
    <w:uiPriority w:val="39"/>
    <w:semiHidden/>
    <w:unhideWhenUsed/>
    <w:rsid w:val="007B7ACB"/>
    <w:pPr>
      <w:spacing w:after="100"/>
      <w:ind w:left="1920"/>
    </w:pPr>
  </w:style>
  <w:style w:type="paragraph" w:customStyle="1" w:styleId="TOCPage">
    <w:name w:val="TOC Page"/>
    <w:basedOn w:val="Normal"/>
    <w:next w:val="Normal"/>
    <w:link w:val="TOCPageChar"/>
    <w:rsid w:val="007B7ACB"/>
    <w:pPr>
      <w:autoSpaceDE w:val="0"/>
      <w:autoSpaceDN w:val="0"/>
      <w:adjustRightInd w:val="0"/>
      <w:spacing w:after="240" w:line="240" w:lineRule="auto"/>
      <w:jc w:val="right"/>
    </w:pPr>
    <w:rPr>
      <w:b/>
      <w:smallCaps/>
      <w:szCs w:val="28"/>
    </w:rPr>
  </w:style>
  <w:style w:type="character" w:customStyle="1" w:styleId="TOCPageChar">
    <w:name w:val="TOC Page Char"/>
    <w:basedOn w:val="DefaultParagraphFont"/>
    <w:link w:val="TOCPage"/>
    <w:rsid w:val="007B7ACB"/>
    <w:rPr>
      <w:b/>
      <w:smallCaps/>
      <w:szCs w:val="28"/>
    </w:rPr>
  </w:style>
  <w:style w:type="paragraph" w:styleId="Revision">
    <w:name w:val="Revision"/>
    <w:hidden/>
    <w:uiPriority w:val="99"/>
    <w:semiHidden/>
    <w:rsid w:val="00970DE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889222">
      <w:bodyDiv w:val="1"/>
      <w:marLeft w:val="0"/>
      <w:marRight w:val="0"/>
      <w:marTop w:val="0"/>
      <w:marBottom w:val="0"/>
      <w:divBdr>
        <w:top w:val="none" w:sz="0" w:space="0" w:color="auto"/>
        <w:left w:val="none" w:sz="0" w:space="0" w:color="auto"/>
        <w:bottom w:val="none" w:sz="0" w:space="0" w:color="auto"/>
        <w:right w:val="none" w:sz="0" w:space="0" w:color="auto"/>
      </w:divBdr>
    </w:div>
    <w:div w:id="766970447">
      <w:bodyDiv w:val="1"/>
      <w:marLeft w:val="0"/>
      <w:marRight w:val="0"/>
      <w:marTop w:val="0"/>
      <w:marBottom w:val="0"/>
      <w:divBdr>
        <w:top w:val="none" w:sz="0" w:space="0" w:color="auto"/>
        <w:left w:val="none" w:sz="0" w:space="0" w:color="auto"/>
        <w:bottom w:val="none" w:sz="0" w:space="0" w:color="auto"/>
        <w:right w:val="none" w:sz="0" w:space="0" w:color="auto"/>
      </w:divBdr>
    </w:div>
    <w:div w:id="1184320514">
      <w:bodyDiv w:val="1"/>
      <w:marLeft w:val="0"/>
      <w:marRight w:val="0"/>
      <w:marTop w:val="0"/>
      <w:marBottom w:val="0"/>
      <w:divBdr>
        <w:top w:val="none" w:sz="0" w:space="0" w:color="auto"/>
        <w:left w:val="none" w:sz="0" w:space="0" w:color="auto"/>
        <w:bottom w:val="none" w:sz="0" w:space="0" w:color="auto"/>
        <w:right w:val="none" w:sz="0" w:space="0" w:color="auto"/>
      </w:divBdr>
    </w:div>
    <w:div w:id="1466966988">
      <w:bodyDiv w:val="1"/>
      <w:marLeft w:val="0"/>
      <w:marRight w:val="0"/>
      <w:marTop w:val="0"/>
      <w:marBottom w:val="0"/>
      <w:divBdr>
        <w:top w:val="none" w:sz="0" w:space="0" w:color="auto"/>
        <w:left w:val="none" w:sz="0" w:space="0" w:color="auto"/>
        <w:bottom w:val="none" w:sz="0" w:space="0" w:color="auto"/>
        <w:right w:val="none" w:sz="0" w:space="0" w:color="auto"/>
      </w:divBdr>
    </w:div>
    <w:div w:id="1688169693">
      <w:bodyDiv w:val="1"/>
      <w:marLeft w:val="0"/>
      <w:marRight w:val="0"/>
      <w:marTop w:val="0"/>
      <w:marBottom w:val="0"/>
      <w:divBdr>
        <w:top w:val="none" w:sz="0" w:space="0" w:color="auto"/>
        <w:left w:val="none" w:sz="0" w:space="0" w:color="auto"/>
        <w:bottom w:val="none" w:sz="0" w:space="0" w:color="auto"/>
        <w:right w:val="none" w:sz="0" w:space="0" w:color="auto"/>
      </w:divBdr>
    </w:div>
    <w:div w:id="197953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2DE24-CA97-4216-8862-533DDBEA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34</Pages>
  <Words>7093</Words>
  <Characters>41847</Characters>
  <Application>Microsoft Office Word</Application>
  <DocSecurity>0</DocSecurity>
  <PresentationFormat/>
  <Lines>872</Lines>
  <Paragraphs>319</Paragraphs>
  <ScaleCrop>false</ScaleCrop>
  <HeadingPairs>
    <vt:vector size="2" baseType="variant">
      <vt:variant>
        <vt:lpstr>Title</vt:lpstr>
      </vt:variant>
      <vt:variant>
        <vt:i4>1</vt:i4>
      </vt:variant>
    </vt:vector>
  </HeadingPairs>
  <TitlesOfParts>
    <vt:vector size="1" baseType="lpstr">
      <vt:lpstr>Memo Contra re: SSR-E (16-395) (C49905).DOCX</vt:lpstr>
    </vt:vector>
  </TitlesOfParts>
  <Company/>
  <LinksUpToDate>false</LinksUpToDate>
  <CharactersWithSpaces>48878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Contra re: SSR-E (16-395) (C49905).DOCX</dc:title>
  <dc:subject>C49905: /font=8</dc:subject>
  <dc:creator>Matthew Pritchard</dc:creator>
  <cp:keywords/>
  <dc:description/>
  <cp:lastModifiedBy>Karen Bowman</cp:lastModifiedBy>
  <cp:revision>6</cp:revision>
  <cp:lastPrinted>2016-04-29T17:32:00Z</cp:lastPrinted>
  <dcterms:created xsi:type="dcterms:W3CDTF">2016-04-29T13:36:00Z</dcterms:created>
  <dcterms:modified xsi:type="dcterms:W3CDTF">2016-04-29T17:36:00Z</dcterms:modified>
</cp:coreProperties>
</file>