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F6090" w:rsidRPr="00ED3604" w:rsidP="0055150D" w14:paraId="00F4E140" w14:textId="59195B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bookmarkStart w:id="0" w:name="_GoBack"/>
      <w:bookmarkEnd w:id="0"/>
      <w:r w:rsidRPr="00ED3604">
        <w:rPr>
          <w:rFonts w:ascii="Times New Roman" w:hAnsi="Times New Roman" w:cs="Times New Roman"/>
          <w:b/>
          <w:bCs/>
          <w:sz w:val="24"/>
          <w:szCs w:val="24"/>
        </w:rPr>
        <w:t>BEFORE</w:t>
      </w:r>
    </w:p>
    <w:p w:rsidR="00DF6090" w:rsidRPr="00ED3604" w:rsidP="00DF6090" w14:paraId="4D71F7C4" w14:textId="77777777">
      <w:pPr>
        <w:pStyle w:val="HTMLPreformatted"/>
        <w:jc w:val="center"/>
        <w:rPr>
          <w:rFonts w:ascii="Times New Roman" w:hAnsi="Times New Roman" w:cs="Times New Roman"/>
          <w:sz w:val="24"/>
          <w:szCs w:val="24"/>
        </w:rPr>
      </w:pPr>
      <w:r w:rsidRPr="00ED3604">
        <w:rPr>
          <w:rFonts w:ascii="Times New Roman" w:hAnsi="Times New Roman" w:cs="Times New Roman"/>
          <w:b/>
          <w:bCs/>
          <w:sz w:val="24"/>
          <w:szCs w:val="24"/>
        </w:rPr>
        <w:t>THE PUBLIC UTILITIES COMMISSION OF OHIO</w:t>
      </w:r>
    </w:p>
    <w:p w:rsidR="00DF6090" w:rsidRPr="00ED3604" w:rsidP="00DF6090" w14:paraId="283AF7CB" w14:textId="77777777">
      <w:pPr>
        <w:pStyle w:val="HTMLPreformatted"/>
        <w:rPr>
          <w:rFonts w:ascii="Times New Roman" w:hAnsi="Times New Roman" w:cs="Times New Roman"/>
          <w:sz w:val="24"/>
          <w:szCs w:val="24"/>
        </w:rPr>
      </w:pPr>
    </w:p>
    <w:tbl>
      <w:tblPr>
        <w:tblW w:w="9092" w:type="dxa"/>
        <w:tblLook w:val="01E0"/>
      </w:tblPr>
      <w:tblGrid>
        <w:gridCol w:w="4332"/>
        <w:gridCol w:w="360"/>
        <w:gridCol w:w="4400"/>
      </w:tblGrid>
      <w:tr w14:paraId="5BFA4CE2" w14:textId="77777777" w:rsidTr="008A58B3">
        <w:tblPrEx>
          <w:tblW w:w="9092" w:type="dxa"/>
          <w:tblLook w:val="01E0"/>
        </w:tblPrEx>
        <w:trPr>
          <w:trHeight w:val="807"/>
        </w:trPr>
        <w:tc>
          <w:tcPr>
            <w:tcW w:w="4332" w:type="dxa"/>
            <w:shd w:val="clear" w:color="auto" w:fill="auto"/>
          </w:tcPr>
          <w:p w:rsidR="00DF6090" w:rsidRPr="00ED3604" w:rsidP="008A58B3" w14:paraId="13D06200" w14:textId="77777777">
            <w:pPr>
              <w:autoSpaceDE w:val="0"/>
              <w:autoSpaceDN w:val="0"/>
              <w:adjustRightInd w:val="0"/>
            </w:pPr>
            <w:r w:rsidRPr="00ED3604">
              <w:t>In the Matter of the Seamless Move Operational Plan of Ohio Power Company.</w:t>
            </w:r>
          </w:p>
          <w:p w:rsidR="00DF6090" w:rsidRPr="00ED3604" w:rsidP="00DF6090" w14:paraId="5FB3F2AF" w14:textId="15243CF4">
            <w:pPr>
              <w:pStyle w:val="NormalWeb"/>
              <w:rPr>
                <w:color w:val="212121"/>
              </w:rPr>
            </w:pPr>
            <w:r w:rsidRPr="00ED3604">
              <w:t>In the Matter of the A</w:t>
            </w:r>
            <w:r w:rsidRPr="00ED3604">
              <w:rPr>
                <w:color w:val="212121"/>
              </w:rPr>
              <w:t>pplication of The Dayton Power and Light Company for Approval of a Future Seamless Move</w:t>
            </w:r>
            <w:r w:rsidRPr="00ED3604">
              <w:t xml:space="preserve"> </w:t>
            </w:r>
            <w:r w:rsidRPr="00ED3604">
              <w:rPr>
                <w:color w:val="212121"/>
              </w:rPr>
              <w:t xml:space="preserve">Operational Plan. </w:t>
            </w:r>
          </w:p>
          <w:p w:rsidR="00DF6090" w:rsidRPr="00ED3604" w:rsidP="00DF6090" w14:paraId="5AB36C15" w14:textId="5A9AD7DE">
            <w:pPr>
              <w:pStyle w:val="NormalWeb"/>
              <w:rPr>
                <w:color w:val="232323"/>
              </w:rPr>
            </w:pPr>
            <w:r w:rsidRPr="00ED3604">
              <w:t xml:space="preserve">In the Matter of the </w:t>
            </w:r>
            <w:r w:rsidRPr="00ED3604">
              <w:rPr>
                <w:color w:val="232323"/>
              </w:rPr>
              <w:t>Seamless Move Operational Plan of Ohio Edison Company, The Cleveland Electric Illuminating Company and The Toledo Edison Company.</w:t>
            </w:r>
          </w:p>
          <w:p w:rsidR="00DF6090" w:rsidRPr="00ED3604" w:rsidP="00DF6090" w14:paraId="7940E0AA" w14:textId="03673F4C">
            <w:pPr>
              <w:pStyle w:val="NormalWeb"/>
            </w:pPr>
            <w:r w:rsidRPr="00ED3604">
              <w:t>In the Matter of Duke Energy Ohio, Inc. for Approval of an Operational Plan for Seamless Move.</w:t>
            </w:r>
          </w:p>
        </w:tc>
        <w:tc>
          <w:tcPr>
            <w:tcW w:w="360" w:type="dxa"/>
            <w:shd w:val="clear" w:color="auto" w:fill="auto"/>
          </w:tcPr>
          <w:p w:rsidR="00DF6090" w:rsidRPr="00ED3604" w:rsidP="008A58B3" w14:paraId="48F7C342" w14:textId="77777777">
            <w:pPr>
              <w:pStyle w:val="HTMLPreformatted"/>
              <w:rPr>
                <w:rFonts w:ascii="Times New Roman" w:hAnsi="Times New Roman" w:cs="Times New Roman"/>
                <w:sz w:val="24"/>
                <w:szCs w:val="24"/>
              </w:rPr>
            </w:pPr>
            <w:r w:rsidRPr="00ED3604">
              <w:rPr>
                <w:rFonts w:ascii="Times New Roman" w:hAnsi="Times New Roman" w:cs="Times New Roman"/>
                <w:sz w:val="24"/>
                <w:szCs w:val="24"/>
              </w:rPr>
              <w:t>)</w:t>
            </w:r>
          </w:p>
          <w:p w:rsidR="00DF6090" w:rsidRPr="00ED3604" w:rsidP="008A58B3" w14:paraId="640A8B39" w14:textId="77777777">
            <w:pPr>
              <w:pStyle w:val="HTMLPreformatted"/>
              <w:rPr>
                <w:rFonts w:ascii="Times New Roman" w:hAnsi="Times New Roman" w:cs="Times New Roman"/>
                <w:sz w:val="24"/>
                <w:szCs w:val="24"/>
              </w:rPr>
            </w:pPr>
            <w:r w:rsidRPr="00ED3604">
              <w:rPr>
                <w:rFonts w:ascii="Times New Roman" w:hAnsi="Times New Roman" w:cs="Times New Roman"/>
                <w:sz w:val="24"/>
                <w:szCs w:val="24"/>
              </w:rPr>
              <w:t>)</w:t>
            </w:r>
          </w:p>
          <w:p w:rsidR="00DF6090" w:rsidRPr="00ED3604" w:rsidP="008A58B3" w14:paraId="038BF828" w14:textId="18AD6505">
            <w:pPr>
              <w:pStyle w:val="HTMLPreformatted"/>
              <w:rPr>
                <w:rFonts w:ascii="Times New Roman" w:hAnsi="Times New Roman" w:cs="Times New Roman"/>
                <w:sz w:val="24"/>
                <w:szCs w:val="24"/>
              </w:rPr>
            </w:pPr>
            <w:r w:rsidRPr="00ED3604">
              <w:rPr>
                <w:rFonts w:ascii="Times New Roman" w:hAnsi="Times New Roman" w:cs="Times New Roman"/>
                <w:sz w:val="24"/>
                <w:szCs w:val="24"/>
              </w:rPr>
              <w:t>)</w:t>
            </w:r>
          </w:p>
          <w:p w:rsidR="00DF6090" w:rsidRPr="00ED3604" w:rsidP="008A58B3" w14:paraId="4F092C4F" w14:textId="2DF5B515">
            <w:pPr>
              <w:pStyle w:val="HTMLPreformatted"/>
              <w:rPr>
                <w:rFonts w:ascii="Times New Roman" w:hAnsi="Times New Roman" w:cs="Times New Roman"/>
                <w:sz w:val="24"/>
                <w:szCs w:val="24"/>
              </w:rPr>
            </w:pPr>
          </w:p>
          <w:p w:rsidR="00DF6090" w:rsidRPr="00ED3604" w:rsidP="008A58B3" w14:paraId="4630AD10" w14:textId="507F2169">
            <w:pPr>
              <w:pStyle w:val="HTMLPreformatted"/>
              <w:rPr>
                <w:rFonts w:ascii="Times New Roman" w:hAnsi="Times New Roman" w:cs="Times New Roman"/>
                <w:sz w:val="24"/>
                <w:szCs w:val="24"/>
              </w:rPr>
            </w:pPr>
            <w:r w:rsidRPr="00ED3604">
              <w:rPr>
                <w:rFonts w:ascii="Times New Roman" w:hAnsi="Times New Roman" w:cs="Times New Roman"/>
                <w:sz w:val="24"/>
                <w:szCs w:val="24"/>
              </w:rPr>
              <w:t>)</w:t>
            </w:r>
          </w:p>
          <w:p w:rsidR="00DF6090" w:rsidRPr="00ED3604" w:rsidP="008A58B3" w14:paraId="3831996E" w14:textId="2FF09355">
            <w:pPr>
              <w:pStyle w:val="HTMLPreformatted"/>
              <w:rPr>
                <w:rFonts w:ascii="Times New Roman" w:hAnsi="Times New Roman" w:cs="Times New Roman"/>
                <w:sz w:val="24"/>
                <w:szCs w:val="24"/>
              </w:rPr>
            </w:pPr>
            <w:r w:rsidRPr="00ED3604">
              <w:rPr>
                <w:rFonts w:ascii="Times New Roman" w:hAnsi="Times New Roman" w:cs="Times New Roman"/>
                <w:sz w:val="24"/>
                <w:szCs w:val="24"/>
              </w:rPr>
              <w:t>)</w:t>
            </w:r>
          </w:p>
          <w:p w:rsidR="00DF6090" w:rsidRPr="00ED3604" w:rsidP="008A58B3" w14:paraId="3B50EBF6" w14:textId="552CD153">
            <w:pPr>
              <w:pStyle w:val="HTMLPreformatted"/>
              <w:rPr>
                <w:rFonts w:ascii="Times New Roman" w:hAnsi="Times New Roman" w:cs="Times New Roman"/>
                <w:sz w:val="24"/>
                <w:szCs w:val="24"/>
              </w:rPr>
            </w:pPr>
            <w:r w:rsidRPr="00ED3604">
              <w:rPr>
                <w:rFonts w:ascii="Times New Roman" w:hAnsi="Times New Roman" w:cs="Times New Roman"/>
                <w:sz w:val="24"/>
                <w:szCs w:val="24"/>
              </w:rPr>
              <w:t>)</w:t>
            </w:r>
          </w:p>
          <w:p w:rsidR="00DF6090" w:rsidRPr="00ED3604" w:rsidP="008A58B3" w14:paraId="33673E30" w14:textId="1AC97388">
            <w:pPr>
              <w:pStyle w:val="HTMLPreformatted"/>
              <w:rPr>
                <w:rFonts w:ascii="Times New Roman" w:hAnsi="Times New Roman" w:cs="Times New Roman"/>
                <w:sz w:val="24"/>
                <w:szCs w:val="24"/>
              </w:rPr>
            </w:pPr>
            <w:r w:rsidRPr="00ED3604">
              <w:rPr>
                <w:rFonts w:ascii="Times New Roman" w:hAnsi="Times New Roman" w:cs="Times New Roman"/>
                <w:sz w:val="24"/>
                <w:szCs w:val="24"/>
              </w:rPr>
              <w:t>)</w:t>
            </w:r>
          </w:p>
          <w:p w:rsidR="00DF6090" w:rsidRPr="00ED3604" w:rsidP="008A58B3" w14:paraId="75FBB023" w14:textId="53A11777">
            <w:pPr>
              <w:pStyle w:val="HTMLPreformatted"/>
              <w:rPr>
                <w:rFonts w:ascii="Times New Roman" w:hAnsi="Times New Roman" w:cs="Times New Roman"/>
                <w:sz w:val="24"/>
                <w:szCs w:val="24"/>
              </w:rPr>
            </w:pPr>
          </w:p>
          <w:p w:rsidR="00DF6090" w:rsidRPr="00ED3604" w:rsidP="008A58B3" w14:paraId="660E130F" w14:textId="62B961E2">
            <w:pPr>
              <w:pStyle w:val="HTMLPreformatted"/>
              <w:rPr>
                <w:rFonts w:ascii="Times New Roman" w:hAnsi="Times New Roman" w:cs="Times New Roman"/>
                <w:sz w:val="24"/>
                <w:szCs w:val="24"/>
              </w:rPr>
            </w:pPr>
            <w:r w:rsidRPr="00ED3604">
              <w:rPr>
                <w:rFonts w:ascii="Times New Roman" w:hAnsi="Times New Roman" w:cs="Times New Roman"/>
                <w:sz w:val="24"/>
                <w:szCs w:val="24"/>
              </w:rPr>
              <w:t>)</w:t>
            </w:r>
          </w:p>
          <w:p w:rsidR="00DF6090" w:rsidRPr="00ED3604" w:rsidP="008A58B3" w14:paraId="7CED1648" w14:textId="01EBDC85">
            <w:pPr>
              <w:pStyle w:val="HTMLPreformatted"/>
              <w:rPr>
                <w:rFonts w:ascii="Times New Roman" w:hAnsi="Times New Roman" w:cs="Times New Roman"/>
                <w:sz w:val="24"/>
                <w:szCs w:val="24"/>
              </w:rPr>
            </w:pPr>
            <w:r w:rsidRPr="00ED3604">
              <w:rPr>
                <w:rFonts w:ascii="Times New Roman" w:hAnsi="Times New Roman" w:cs="Times New Roman"/>
                <w:sz w:val="24"/>
                <w:szCs w:val="24"/>
              </w:rPr>
              <w:t>)</w:t>
            </w:r>
          </w:p>
          <w:p w:rsidR="00DF6090" w:rsidRPr="00ED3604" w:rsidP="008A58B3" w14:paraId="50779669" w14:textId="2642EAA0">
            <w:pPr>
              <w:pStyle w:val="HTMLPreformatted"/>
              <w:rPr>
                <w:rFonts w:ascii="Times New Roman" w:hAnsi="Times New Roman" w:cs="Times New Roman"/>
                <w:sz w:val="24"/>
                <w:szCs w:val="24"/>
              </w:rPr>
            </w:pPr>
            <w:r w:rsidRPr="00ED3604">
              <w:rPr>
                <w:rFonts w:ascii="Times New Roman" w:hAnsi="Times New Roman" w:cs="Times New Roman"/>
                <w:sz w:val="24"/>
                <w:szCs w:val="24"/>
              </w:rPr>
              <w:t>)</w:t>
            </w:r>
          </w:p>
          <w:p w:rsidR="00DF6090" w:rsidRPr="00ED3604" w:rsidP="008A58B3" w14:paraId="702FB1FF" w14:textId="6E9D5B70">
            <w:pPr>
              <w:pStyle w:val="HTMLPreformatted"/>
              <w:rPr>
                <w:rFonts w:ascii="Times New Roman" w:hAnsi="Times New Roman" w:cs="Times New Roman"/>
                <w:sz w:val="24"/>
                <w:szCs w:val="24"/>
              </w:rPr>
            </w:pPr>
            <w:r w:rsidRPr="00ED3604">
              <w:rPr>
                <w:rFonts w:ascii="Times New Roman" w:hAnsi="Times New Roman" w:cs="Times New Roman"/>
                <w:sz w:val="24"/>
                <w:szCs w:val="24"/>
              </w:rPr>
              <w:t>)</w:t>
            </w:r>
          </w:p>
          <w:p w:rsidR="00DF6090" w:rsidRPr="00ED3604" w:rsidP="008A58B3" w14:paraId="25C9BFEA" w14:textId="47D440F6">
            <w:pPr>
              <w:pStyle w:val="HTMLPreformatted"/>
              <w:rPr>
                <w:rFonts w:ascii="Times New Roman" w:hAnsi="Times New Roman" w:cs="Times New Roman"/>
                <w:sz w:val="24"/>
                <w:szCs w:val="24"/>
              </w:rPr>
            </w:pPr>
            <w:r w:rsidRPr="00ED3604">
              <w:rPr>
                <w:rFonts w:ascii="Times New Roman" w:hAnsi="Times New Roman" w:cs="Times New Roman"/>
                <w:sz w:val="24"/>
                <w:szCs w:val="24"/>
              </w:rPr>
              <w:t>)</w:t>
            </w:r>
          </w:p>
          <w:p w:rsidR="00DF6090" w:rsidRPr="00ED3604" w:rsidP="008A58B3" w14:paraId="3055182E" w14:textId="4B8D7A4C">
            <w:pPr>
              <w:pStyle w:val="HTMLPreformatted"/>
              <w:rPr>
                <w:rFonts w:ascii="Times New Roman" w:hAnsi="Times New Roman" w:cs="Times New Roman"/>
                <w:sz w:val="24"/>
                <w:szCs w:val="24"/>
              </w:rPr>
            </w:pPr>
          </w:p>
          <w:p w:rsidR="00DF6090" w:rsidRPr="00ED3604" w:rsidP="008A58B3" w14:paraId="0D998A6E" w14:textId="4BAD5E7E">
            <w:pPr>
              <w:pStyle w:val="HTMLPreformatted"/>
              <w:rPr>
                <w:rFonts w:ascii="Times New Roman" w:hAnsi="Times New Roman" w:cs="Times New Roman"/>
                <w:sz w:val="24"/>
                <w:szCs w:val="24"/>
              </w:rPr>
            </w:pPr>
            <w:r w:rsidRPr="00ED3604">
              <w:rPr>
                <w:rFonts w:ascii="Times New Roman" w:hAnsi="Times New Roman" w:cs="Times New Roman"/>
                <w:sz w:val="24"/>
                <w:szCs w:val="24"/>
              </w:rPr>
              <w:t>)</w:t>
            </w:r>
          </w:p>
          <w:p w:rsidR="00DF6090" w:rsidRPr="00ED3604" w:rsidP="008A58B3" w14:paraId="550EE343" w14:textId="7A44B3BC">
            <w:pPr>
              <w:pStyle w:val="HTMLPreformatted"/>
              <w:rPr>
                <w:rFonts w:ascii="Times New Roman" w:hAnsi="Times New Roman" w:cs="Times New Roman"/>
                <w:sz w:val="24"/>
                <w:szCs w:val="24"/>
              </w:rPr>
            </w:pPr>
            <w:r w:rsidRPr="00ED3604">
              <w:rPr>
                <w:rFonts w:ascii="Times New Roman" w:hAnsi="Times New Roman" w:cs="Times New Roman"/>
                <w:sz w:val="24"/>
                <w:szCs w:val="24"/>
              </w:rPr>
              <w:t>)</w:t>
            </w:r>
          </w:p>
          <w:p w:rsidR="00DF6090" w:rsidRPr="00ED3604" w:rsidP="008A58B3" w14:paraId="38B03021" w14:textId="5A332D24">
            <w:pPr>
              <w:pStyle w:val="HTMLPreformatted"/>
              <w:rPr>
                <w:rFonts w:ascii="Times New Roman" w:hAnsi="Times New Roman" w:cs="Times New Roman"/>
                <w:sz w:val="24"/>
                <w:szCs w:val="24"/>
              </w:rPr>
            </w:pPr>
            <w:r w:rsidRPr="00ED3604">
              <w:rPr>
                <w:rFonts w:ascii="Times New Roman" w:hAnsi="Times New Roman" w:cs="Times New Roman"/>
                <w:sz w:val="24"/>
                <w:szCs w:val="24"/>
              </w:rPr>
              <w:t>)</w:t>
            </w:r>
          </w:p>
          <w:p w:rsidR="00DF6090" w:rsidRPr="00ED3604" w:rsidP="008A58B3" w14:paraId="2BBBBFF8" w14:textId="77777777">
            <w:pPr>
              <w:pStyle w:val="HTMLPreformatted"/>
              <w:rPr>
                <w:rFonts w:ascii="Times New Roman" w:hAnsi="Times New Roman" w:cs="Times New Roman"/>
                <w:sz w:val="24"/>
                <w:szCs w:val="24"/>
              </w:rPr>
            </w:pPr>
          </w:p>
        </w:tc>
        <w:tc>
          <w:tcPr>
            <w:tcW w:w="4400" w:type="dxa"/>
            <w:shd w:val="clear" w:color="auto" w:fill="auto"/>
          </w:tcPr>
          <w:p w:rsidR="00DF6090" w:rsidRPr="00ED3604" w:rsidP="008A58B3" w14:paraId="5CC051BA" w14:textId="77777777">
            <w:pPr>
              <w:pStyle w:val="HTMLPreformatted"/>
              <w:rPr>
                <w:rFonts w:ascii="Times New Roman" w:hAnsi="Times New Roman" w:cs="Times New Roman"/>
                <w:sz w:val="24"/>
                <w:szCs w:val="24"/>
              </w:rPr>
            </w:pPr>
          </w:p>
          <w:p w:rsidR="00DF6090" w:rsidRPr="00ED3604" w:rsidP="008A58B3" w14:paraId="590C3518" w14:textId="39FD7F5D">
            <w:pPr>
              <w:pStyle w:val="HTMLPreformatted"/>
              <w:rPr>
                <w:rFonts w:ascii="Times New Roman" w:hAnsi="Times New Roman" w:cs="Times New Roman"/>
                <w:sz w:val="24"/>
                <w:szCs w:val="24"/>
              </w:rPr>
            </w:pPr>
            <w:r w:rsidRPr="00ED3604">
              <w:rPr>
                <w:rFonts w:ascii="Times New Roman" w:hAnsi="Times New Roman" w:cs="Times New Roman"/>
                <w:sz w:val="24"/>
                <w:szCs w:val="24"/>
              </w:rPr>
              <w:t>Case No. 19-2141-EL-EDI</w:t>
            </w:r>
          </w:p>
          <w:p w:rsidR="00DF6090" w:rsidRPr="00ED3604" w:rsidP="008A58B3" w14:paraId="57D7BBDC" w14:textId="77777777">
            <w:pPr>
              <w:pStyle w:val="HTMLPreformatted"/>
              <w:rPr>
                <w:rFonts w:ascii="Times New Roman" w:hAnsi="Times New Roman" w:cs="Times New Roman"/>
                <w:sz w:val="24"/>
                <w:szCs w:val="24"/>
              </w:rPr>
            </w:pPr>
          </w:p>
          <w:p w:rsidR="00DF6090" w:rsidRPr="00ED3604" w:rsidP="008A58B3" w14:paraId="09573540" w14:textId="77777777">
            <w:pPr>
              <w:pStyle w:val="HTMLPreformatted"/>
              <w:rPr>
                <w:rFonts w:ascii="Times New Roman" w:hAnsi="Times New Roman" w:cs="Times New Roman"/>
                <w:sz w:val="24"/>
                <w:szCs w:val="24"/>
              </w:rPr>
            </w:pPr>
          </w:p>
          <w:p w:rsidR="00DF6090" w:rsidRPr="00ED3604" w:rsidP="008A58B3" w14:paraId="034A5695" w14:textId="77777777">
            <w:pPr>
              <w:pStyle w:val="HTMLPreformatted"/>
              <w:rPr>
                <w:rFonts w:ascii="Times New Roman" w:hAnsi="Times New Roman" w:cs="Times New Roman"/>
                <w:sz w:val="24"/>
                <w:szCs w:val="24"/>
              </w:rPr>
            </w:pPr>
          </w:p>
          <w:p w:rsidR="00DF6090" w:rsidRPr="00ED3604" w:rsidP="008A58B3" w14:paraId="0467F0D8" w14:textId="77777777">
            <w:pPr>
              <w:pStyle w:val="HTMLPreformatted"/>
              <w:rPr>
                <w:rFonts w:ascii="Times New Roman" w:hAnsi="Times New Roman" w:cs="Times New Roman"/>
                <w:sz w:val="24"/>
                <w:szCs w:val="24"/>
              </w:rPr>
            </w:pPr>
            <w:r w:rsidRPr="00ED3604">
              <w:rPr>
                <w:rFonts w:ascii="Times New Roman" w:hAnsi="Times New Roman" w:cs="Times New Roman"/>
                <w:sz w:val="24"/>
                <w:szCs w:val="24"/>
              </w:rPr>
              <w:t>Case No. 19-2144-EL-UNC</w:t>
            </w:r>
          </w:p>
          <w:p w:rsidR="00DF6090" w:rsidRPr="00ED3604" w:rsidP="008A58B3" w14:paraId="6C68F804" w14:textId="77777777">
            <w:pPr>
              <w:pStyle w:val="HTMLPreformatted"/>
              <w:rPr>
                <w:rFonts w:ascii="Times New Roman" w:hAnsi="Times New Roman" w:cs="Times New Roman"/>
                <w:sz w:val="24"/>
                <w:szCs w:val="24"/>
              </w:rPr>
            </w:pPr>
          </w:p>
          <w:p w:rsidR="00DF6090" w:rsidRPr="00ED3604" w:rsidP="008A58B3" w14:paraId="166F6CE3" w14:textId="77777777">
            <w:pPr>
              <w:pStyle w:val="HTMLPreformatted"/>
              <w:rPr>
                <w:rFonts w:ascii="Times New Roman" w:hAnsi="Times New Roman" w:cs="Times New Roman"/>
                <w:sz w:val="24"/>
                <w:szCs w:val="24"/>
              </w:rPr>
            </w:pPr>
          </w:p>
          <w:p w:rsidR="00DF6090" w:rsidRPr="00ED3604" w:rsidP="008A58B3" w14:paraId="626529DD" w14:textId="77777777">
            <w:pPr>
              <w:pStyle w:val="HTMLPreformatted"/>
              <w:rPr>
                <w:rFonts w:ascii="Times New Roman" w:hAnsi="Times New Roman" w:cs="Times New Roman"/>
                <w:sz w:val="24"/>
                <w:szCs w:val="24"/>
              </w:rPr>
            </w:pPr>
          </w:p>
          <w:p w:rsidR="00DF6090" w:rsidRPr="00ED3604" w:rsidP="008A58B3" w14:paraId="721FD206" w14:textId="77777777">
            <w:pPr>
              <w:pStyle w:val="HTMLPreformatted"/>
              <w:rPr>
                <w:rFonts w:ascii="Times New Roman" w:hAnsi="Times New Roman" w:cs="Times New Roman"/>
                <w:sz w:val="24"/>
                <w:szCs w:val="24"/>
              </w:rPr>
            </w:pPr>
          </w:p>
          <w:p w:rsidR="00DF6090" w:rsidRPr="00ED3604" w:rsidP="008A58B3" w14:paraId="3396BC0F" w14:textId="77777777">
            <w:pPr>
              <w:pStyle w:val="HTMLPreformatted"/>
              <w:rPr>
                <w:rFonts w:ascii="Times New Roman" w:hAnsi="Times New Roman" w:cs="Times New Roman"/>
                <w:sz w:val="24"/>
                <w:szCs w:val="24"/>
              </w:rPr>
            </w:pPr>
          </w:p>
          <w:p w:rsidR="00DF6090" w:rsidRPr="00ED3604" w:rsidP="008A58B3" w14:paraId="64359CCB" w14:textId="34CCE5C0">
            <w:pPr>
              <w:pStyle w:val="HTMLPreformatted"/>
              <w:rPr>
                <w:rFonts w:ascii="Times New Roman" w:hAnsi="Times New Roman" w:cs="Times New Roman"/>
                <w:sz w:val="24"/>
                <w:szCs w:val="24"/>
              </w:rPr>
            </w:pPr>
            <w:r w:rsidRPr="00ED3604">
              <w:rPr>
                <w:rFonts w:ascii="Times New Roman" w:hAnsi="Times New Roman" w:cs="Times New Roman"/>
                <w:sz w:val="24"/>
                <w:szCs w:val="24"/>
              </w:rPr>
              <w:t>Case No. 19-2150-EL-UNC</w:t>
            </w:r>
          </w:p>
          <w:p w:rsidR="00DF6090" w:rsidRPr="00ED3604" w:rsidP="008A58B3" w14:paraId="0E84CBCD" w14:textId="77777777">
            <w:pPr>
              <w:pStyle w:val="HTMLPreformatted"/>
              <w:rPr>
                <w:rFonts w:ascii="Times New Roman" w:hAnsi="Times New Roman" w:cs="Times New Roman"/>
                <w:sz w:val="24"/>
                <w:szCs w:val="24"/>
              </w:rPr>
            </w:pPr>
          </w:p>
          <w:p w:rsidR="00DF6090" w:rsidRPr="00ED3604" w:rsidP="008A58B3" w14:paraId="51E1739A" w14:textId="77777777">
            <w:pPr>
              <w:pStyle w:val="HTMLPreformatted"/>
              <w:rPr>
                <w:rFonts w:ascii="Times New Roman" w:hAnsi="Times New Roman" w:cs="Times New Roman"/>
                <w:sz w:val="24"/>
                <w:szCs w:val="24"/>
              </w:rPr>
            </w:pPr>
          </w:p>
          <w:p w:rsidR="00DF6090" w:rsidRPr="00ED3604" w:rsidP="008A58B3" w14:paraId="5794FA91" w14:textId="77777777">
            <w:pPr>
              <w:pStyle w:val="HTMLPreformatted"/>
              <w:rPr>
                <w:rFonts w:ascii="Times New Roman" w:hAnsi="Times New Roman" w:cs="Times New Roman"/>
                <w:sz w:val="24"/>
                <w:szCs w:val="24"/>
              </w:rPr>
            </w:pPr>
          </w:p>
          <w:p w:rsidR="00DF6090" w:rsidRPr="00ED3604" w:rsidP="008A58B3" w14:paraId="3B897864" w14:textId="77777777">
            <w:pPr>
              <w:pStyle w:val="HTMLPreformatted"/>
              <w:rPr>
                <w:rFonts w:ascii="Times New Roman" w:hAnsi="Times New Roman" w:cs="Times New Roman"/>
                <w:sz w:val="24"/>
                <w:szCs w:val="24"/>
              </w:rPr>
            </w:pPr>
          </w:p>
          <w:p w:rsidR="00DF6090" w:rsidRPr="00ED3604" w:rsidP="008A58B3" w14:paraId="445DC278" w14:textId="4366CDDD">
            <w:pPr>
              <w:pStyle w:val="HTMLPreformatted"/>
              <w:rPr>
                <w:rFonts w:ascii="Times New Roman" w:hAnsi="Times New Roman" w:cs="Times New Roman"/>
                <w:sz w:val="24"/>
                <w:szCs w:val="24"/>
              </w:rPr>
            </w:pPr>
            <w:r w:rsidRPr="00ED3604">
              <w:rPr>
                <w:rFonts w:ascii="Times New Roman" w:hAnsi="Times New Roman" w:cs="Times New Roman"/>
                <w:sz w:val="24"/>
                <w:szCs w:val="24"/>
              </w:rPr>
              <w:t>Case No. 19-2151-EL-EDI</w:t>
            </w:r>
          </w:p>
        </w:tc>
      </w:tr>
    </w:tbl>
    <w:p w:rsidR="00DF6090" w:rsidRPr="00ED3604" w:rsidP="00DF6090" w14:paraId="2C646B65" w14:textId="77777777">
      <w:pPr>
        <w:pStyle w:val="HTMLPreformatted"/>
        <w:pBdr>
          <w:top w:val="single" w:sz="12" w:space="1" w:color="auto"/>
        </w:pBdr>
        <w:rPr>
          <w:rFonts w:ascii="Times New Roman" w:hAnsi="Times New Roman" w:cs="Times New Roman"/>
          <w:sz w:val="24"/>
          <w:szCs w:val="24"/>
        </w:rPr>
      </w:pPr>
    </w:p>
    <w:p w:rsidR="00DF6090" w:rsidRPr="00ED3604" w:rsidP="00DF6090" w14:paraId="2378CDBF" w14:textId="0923FD37">
      <w:pPr>
        <w:jc w:val="center"/>
        <w:rPr>
          <w:b/>
          <w:bCs/>
        </w:rPr>
      </w:pPr>
      <w:r w:rsidRPr="00ED3604">
        <w:rPr>
          <w:b/>
          <w:bCs/>
        </w:rPr>
        <w:t>REPLY</w:t>
      </w:r>
      <w:r w:rsidRPr="00ED3604" w:rsidR="00285463">
        <w:rPr>
          <w:b/>
          <w:bCs/>
        </w:rPr>
        <w:t xml:space="preserve"> COMMENTS </w:t>
      </w:r>
    </w:p>
    <w:p w:rsidR="00DF6090" w:rsidRPr="00ED3604" w:rsidP="00DF6090" w14:paraId="6C79D9DF" w14:textId="77777777">
      <w:pPr>
        <w:jc w:val="center"/>
        <w:rPr>
          <w:b/>
          <w:bCs/>
        </w:rPr>
      </w:pPr>
      <w:r w:rsidRPr="00ED3604">
        <w:rPr>
          <w:b/>
          <w:bCs/>
        </w:rPr>
        <w:t xml:space="preserve">BY </w:t>
      </w:r>
    </w:p>
    <w:p w:rsidR="00DF6090" w:rsidRPr="00ED3604" w:rsidP="00DF6090" w14:paraId="19A836C7" w14:textId="77777777">
      <w:pPr>
        <w:jc w:val="center"/>
        <w:rPr>
          <w:b/>
          <w:bCs/>
        </w:rPr>
      </w:pPr>
      <w:r w:rsidRPr="00ED3604">
        <w:rPr>
          <w:b/>
          <w:bCs/>
        </w:rPr>
        <w:t>THE OFFICE OF THE OHIO CONSUMERS' COUNSEL</w:t>
      </w:r>
    </w:p>
    <w:p w:rsidR="00DF6090" w:rsidRPr="00ED3604" w:rsidP="00DF6090" w14:paraId="654A2005" w14:textId="77777777">
      <w:pPr>
        <w:pBdr>
          <w:bottom w:val="single" w:sz="12" w:space="1" w:color="auto"/>
        </w:pBdr>
        <w:tabs>
          <w:tab w:val="left" w:pos="4320"/>
        </w:tabs>
      </w:pPr>
    </w:p>
    <w:p w:rsidR="00DF6090" w:rsidRPr="00ED3604" w:rsidP="00DF6090" w14:paraId="67BB54B4" w14:textId="77777777">
      <w:pPr>
        <w:tabs>
          <w:tab w:val="left" w:pos="4320"/>
        </w:tabs>
      </w:pPr>
    </w:p>
    <w:p w:rsidR="006D1B4D" w:rsidRPr="00ED3604" w:rsidP="00737F9E" w14:paraId="03A3F864" w14:textId="2D1DAA32">
      <w:pPr>
        <w:pStyle w:val="ListParagraph"/>
        <w:numPr>
          <w:ilvl w:val="0"/>
          <w:numId w:val="4"/>
        </w:numPr>
        <w:ind w:left="720"/>
        <w:rPr>
          <w:rFonts w:ascii="Times New Roman" w:hAnsi="Times New Roman" w:cs="Times New Roman"/>
          <w:b/>
          <w:bCs/>
        </w:rPr>
      </w:pPr>
      <w:r w:rsidRPr="00ED3604">
        <w:rPr>
          <w:rFonts w:ascii="Times New Roman" w:hAnsi="Times New Roman" w:cs="Times New Roman"/>
          <w:b/>
          <w:bCs/>
        </w:rPr>
        <w:t>I</w:t>
      </w:r>
      <w:r w:rsidRPr="00ED3604" w:rsidR="00B46D40">
        <w:rPr>
          <w:rFonts w:ascii="Times New Roman" w:hAnsi="Times New Roman" w:cs="Times New Roman"/>
          <w:b/>
          <w:bCs/>
        </w:rPr>
        <w:t>NTRODUCTION</w:t>
      </w:r>
    </w:p>
    <w:p w:rsidR="0070546C" w:rsidRPr="00ED3604" w:rsidP="006D1B4D" w14:paraId="447CD0B8" w14:textId="77777777"/>
    <w:p w:rsidR="0055150D" w:rsidP="0055150D" w14:paraId="4E4804DF" w14:textId="5FF41B41">
      <w:pPr>
        <w:spacing w:line="480" w:lineRule="auto"/>
        <w:ind w:firstLine="720"/>
        <w:sectPr w:rsidSect="0055150D">
          <w:footerReference w:type="default" r:id="rId6"/>
          <w:pgSz w:w="12240" w:h="15840"/>
          <w:pgMar w:top="1440" w:right="1800" w:bottom="1440" w:left="1800" w:header="720" w:footer="720" w:gutter="0"/>
          <w:pgNumType w:start="2"/>
          <w:cols w:space="720"/>
          <w:docGrid w:linePitch="360"/>
        </w:sectPr>
      </w:pPr>
      <w:r w:rsidRPr="00ED3604">
        <w:t>The</w:t>
      </w:r>
      <w:r w:rsidR="0026181C">
        <w:t xml:space="preserve">re is no justification for imposing higher rates on all customers for a service (seamless moves) that benefits few customers. The </w:t>
      </w:r>
      <w:r w:rsidRPr="00ED3604">
        <w:t>PUCO should protect</w:t>
      </w:r>
      <w:r w:rsidRPr="00ED3604" w:rsidR="00CB01C4">
        <w:t xml:space="preserve"> Ohio’s residential electric consumers fr</w:t>
      </w:r>
      <w:r w:rsidRPr="00ED3604" w:rsidR="00FD646B">
        <w:t>om</w:t>
      </w:r>
      <w:r w:rsidRPr="00ED3604" w:rsidR="00CB01C4">
        <w:t xml:space="preserve"> </w:t>
      </w:r>
      <w:r w:rsidR="00593438">
        <w:t xml:space="preserve">having to pay unnecessary costs for </w:t>
      </w:r>
      <w:r w:rsidRPr="00ED3604" w:rsidR="00CB01C4">
        <w:t xml:space="preserve">electric </w:t>
      </w:r>
      <w:r w:rsidRPr="00ED3604" w:rsidR="00FD646B">
        <w:t>servic</w:t>
      </w:r>
      <w:r w:rsidR="00593438">
        <w:t xml:space="preserve">e. This is especially important when </w:t>
      </w:r>
      <w:r w:rsidR="009A6887">
        <w:t>consumers are facing perilous times</w:t>
      </w:r>
      <w:r w:rsidR="00F803A5">
        <w:t>-</w:t>
      </w:r>
      <w:r w:rsidR="009A6887">
        <w:t>a health crisis and an ensuing personal-finance crisis.</w:t>
      </w:r>
      <w:r w:rsidR="00CC35DC">
        <w:t xml:space="preserve"> I</w:t>
      </w:r>
      <w:r w:rsidRPr="00CC35DC" w:rsidR="00CC35DC">
        <w:t xml:space="preserve">n the coming months and potentially years, many Ohioans will struggle to pay their utility bills. Those Ohioans with financial challenges will include customers who have historically paid their bills in full and on time but who may be unable to continue doing so following the economic fallout of the coronavirus </w:t>
      </w:r>
    </w:p>
    <w:p w:rsidR="00CC35DC" w:rsidRPr="00CC35DC" w:rsidP="0055150D" w14:paraId="5E943A36" w14:textId="699F687D">
      <w:pPr>
        <w:spacing w:line="480" w:lineRule="auto"/>
      </w:pPr>
      <w:r w:rsidRPr="00CC35DC">
        <w:t xml:space="preserve">pandemic. Ohio businesses and families will face financial burdens that were unforeseeable just a few months ago. As a result of lost wages, unemployment, and other financial hardships from the coronavirus, the need to make sure that all customers pay only fair, just, and reasonable rates is especially heightened. </w:t>
      </w:r>
      <w:r w:rsidR="008C5DE8">
        <w:t>Consumer</w:t>
      </w:r>
      <w:r w:rsidR="004E0A85">
        <w:t>s</w:t>
      </w:r>
      <w:r w:rsidR="008C5DE8">
        <w:t xml:space="preserve"> should not be asked to pay unnecessary</w:t>
      </w:r>
      <w:r w:rsidR="004E0A85">
        <w:t>, unfair, unjust, and unreasonable</w:t>
      </w:r>
      <w:r w:rsidR="008C5DE8">
        <w:t xml:space="preserve"> </w:t>
      </w:r>
      <w:r w:rsidR="00DB20C7">
        <w:t xml:space="preserve">costs </w:t>
      </w:r>
      <w:r w:rsidR="008C5DE8">
        <w:t xml:space="preserve">for an initiative that </w:t>
      </w:r>
      <w:r w:rsidR="002C0AAB">
        <w:t xml:space="preserve">primarily </w:t>
      </w:r>
      <w:r w:rsidR="008C5DE8">
        <w:t xml:space="preserve">benefits </w:t>
      </w:r>
      <w:r w:rsidR="004E0A85">
        <w:t>marketers.</w:t>
      </w:r>
    </w:p>
    <w:p w:rsidR="00207350" w:rsidP="00FD646B" w14:paraId="4EE19055" w14:textId="6B16258E">
      <w:pPr>
        <w:spacing w:line="480" w:lineRule="auto"/>
        <w:ind w:firstLine="720"/>
      </w:pPr>
      <w:r>
        <w:t>I</w:t>
      </w:r>
      <w:r w:rsidRPr="00ED3604" w:rsidR="00CB01C4">
        <w:t xml:space="preserve">f the PUCO </w:t>
      </w:r>
      <w:r w:rsidR="00593438">
        <w:t xml:space="preserve">proceeds with the </w:t>
      </w:r>
      <w:r w:rsidR="00E74517">
        <w:t>s</w:t>
      </w:r>
      <w:r w:rsidRPr="00ED3604" w:rsidR="00CB01C4">
        <w:t xml:space="preserve">eamless </w:t>
      </w:r>
      <w:r w:rsidR="00E74517">
        <w:t>m</w:t>
      </w:r>
      <w:r w:rsidRPr="00ED3604" w:rsidR="00CB01C4">
        <w:t xml:space="preserve">ove </w:t>
      </w:r>
      <w:r w:rsidR="00593438">
        <w:t xml:space="preserve">initiative, it should at the very least </w:t>
      </w:r>
      <w:r w:rsidRPr="00ED3604" w:rsidR="00247095">
        <w:t>suspend</w:t>
      </w:r>
      <w:r w:rsidR="00593438">
        <w:t xml:space="preserve"> any work on the initiative </w:t>
      </w:r>
      <w:r w:rsidRPr="00ED3604" w:rsidR="00247095">
        <w:t xml:space="preserve">until after the pandemic emergency ends (or the PUCO determines otherwise based on a review and analysis of information available at the that time). </w:t>
      </w:r>
      <w:r w:rsidR="00593438">
        <w:t xml:space="preserve">And if </w:t>
      </w:r>
      <w:r w:rsidRPr="00ED3604" w:rsidR="00247095">
        <w:t xml:space="preserve">the PUCO </w:t>
      </w:r>
      <w:r w:rsidRPr="00ED3604" w:rsidR="00FD646B">
        <w:t xml:space="preserve">proceeds </w:t>
      </w:r>
      <w:r w:rsidRPr="00ED3604" w:rsidR="00A52637">
        <w:t xml:space="preserve">with seamless move, then </w:t>
      </w:r>
      <w:r w:rsidRPr="00ED3604" w:rsidR="00FD646B">
        <w:t>it should require that marketers pay all of the costs for seamless move as the OCC</w:t>
      </w:r>
      <w:r w:rsidRPr="00ED3604" w:rsidR="00A52637">
        <w:t>,</w:t>
      </w:r>
      <w:r w:rsidRPr="00ED3604" w:rsidR="00FD646B">
        <w:t xml:space="preserve"> PUCO Staff</w:t>
      </w:r>
      <w:r w:rsidRPr="00ED3604" w:rsidR="00A52637">
        <w:t>, and NOPEC</w:t>
      </w:r>
      <w:r w:rsidRPr="00ED3604" w:rsidR="00FD646B">
        <w:t xml:space="preserve"> have recommended. </w:t>
      </w:r>
    </w:p>
    <w:p w:rsidR="0055150D" w:rsidP="0055150D" w14:paraId="7155E8A8" w14:textId="77777777">
      <w:pPr>
        <w:ind w:firstLine="720"/>
      </w:pPr>
    </w:p>
    <w:p w:rsidR="00B418DD" w:rsidRPr="00ED3604" w:rsidP="00C32387" w14:paraId="69D66268" w14:textId="569CF60D">
      <w:pPr>
        <w:pStyle w:val="BodyTextIndent3"/>
        <w:widowControl w:val="0"/>
        <w:numPr>
          <w:ilvl w:val="0"/>
          <w:numId w:val="4"/>
        </w:numPr>
        <w:spacing w:after="0" w:line="480" w:lineRule="auto"/>
        <w:ind w:left="720" w:right="-24"/>
        <w:rPr>
          <w:b/>
          <w:bCs/>
          <w:szCs w:val="24"/>
        </w:rPr>
      </w:pPr>
      <w:r w:rsidRPr="00ED3604">
        <w:rPr>
          <w:b/>
          <w:bCs/>
          <w:szCs w:val="24"/>
        </w:rPr>
        <w:t>RECOMMENDATIONS</w:t>
      </w:r>
    </w:p>
    <w:p w:rsidR="00A213AD" w:rsidRPr="00ED3604" w:rsidP="00740003" w14:paraId="608A30F5" w14:textId="1765A60C">
      <w:pPr>
        <w:pStyle w:val="ListParagraph"/>
        <w:numPr>
          <w:ilvl w:val="1"/>
          <w:numId w:val="1"/>
        </w:numPr>
        <w:ind w:hanging="720"/>
        <w:rPr>
          <w:rFonts w:ascii="Times New Roman" w:hAnsi="Times New Roman" w:cs="Times New Roman"/>
          <w:b/>
          <w:bCs/>
        </w:rPr>
      </w:pPr>
      <w:r w:rsidRPr="00ED3604">
        <w:rPr>
          <w:rFonts w:ascii="Times New Roman" w:hAnsi="Times New Roman" w:cs="Times New Roman"/>
          <w:b/>
          <w:bCs/>
        </w:rPr>
        <w:t>T</w:t>
      </w:r>
      <w:r w:rsidRPr="00ED3604" w:rsidR="00F33DD4">
        <w:rPr>
          <w:rFonts w:ascii="Times New Roman" w:hAnsi="Times New Roman" w:cs="Times New Roman"/>
          <w:b/>
          <w:bCs/>
        </w:rPr>
        <w:t>o protect consumers, t</w:t>
      </w:r>
      <w:r w:rsidRPr="00ED3604">
        <w:rPr>
          <w:rFonts w:ascii="Times New Roman" w:hAnsi="Times New Roman" w:cs="Times New Roman"/>
          <w:b/>
          <w:bCs/>
        </w:rPr>
        <w:t>he</w:t>
      </w:r>
      <w:r w:rsidRPr="00ED3604" w:rsidR="00DB5869">
        <w:rPr>
          <w:rFonts w:ascii="Times New Roman" w:hAnsi="Times New Roman" w:cs="Times New Roman"/>
          <w:b/>
          <w:bCs/>
        </w:rPr>
        <w:t xml:space="preserve"> PUCO </w:t>
      </w:r>
      <w:r w:rsidRPr="00ED3604">
        <w:rPr>
          <w:rFonts w:ascii="Times New Roman" w:hAnsi="Times New Roman" w:cs="Times New Roman"/>
          <w:b/>
          <w:bCs/>
        </w:rPr>
        <w:t xml:space="preserve">should </w:t>
      </w:r>
      <w:r w:rsidRPr="00ED3604" w:rsidR="00AF1F8F">
        <w:rPr>
          <w:rFonts w:ascii="Times New Roman" w:hAnsi="Times New Roman" w:cs="Times New Roman"/>
          <w:b/>
          <w:bCs/>
        </w:rPr>
        <w:t>accept OCC’s</w:t>
      </w:r>
      <w:r w:rsidRPr="00ED3604" w:rsidR="00A52637">
        <w:rPr>
          <w:rFonts w:ascii="Times New Roman" w:hAnsi="Times New Roman" w:cs="Times New Roman"/>
          <w:b/>
          <w:bCs/>
        </w:rPr>
        <w:t>,</w:t>
      </w:r>
      <w:r w:rsidRPr="00ED3604" w:rsidR="00AF1F8F">
        <w:rPr>
          <w:rFonts w:ascii="Times New Roman" w:hAnsi="Times New Roman" w:cs="Times New Roman"/>
          <w:b/>
          <w:bCs/>
        </w:rPr>
        <w:t xml:space="preserve"> its Staff’s</w:t>
      </w:r>
      <w:r w:rsidRPr="00ED3604" w:rsidR="00A52637">
        <w:rPr>
          <w:rFonts w:ascii="Times New Roman" w:hAnsi="Times New Roman" w:cs="Times New Roman"/>
          <w:b/>
          <w:bCs/>
        </w:rPr>
        <w:t xml:space="preserve">, and the </w:t>
      </w:r>
      <w:r w:rsidRPr="00ED3604" w:rsidR="00D90FFF">
        <w:rPr>
          <w:rFonts w:ascii="Times New Roman" w:hAnsi="Times New Roman" w:cs="Times New Roman"/>
          <w:b/>
          <w:bCs/>
        </w:rPr>
        <w:t xml:space="preserve">Northeast Ohio Public Energy Council’s </w:t>
      </w:r>
      <w:r w:rsidRPr="00ED3604" w:rsidR="00AF1F8F">
        <w:rPr>
          <w:rFonts w:ascii="Times New Roman" w:hAnsi="Times New Roman" w:cs="Times New Roman"/>
          <w:b/>
          <w:bCs/>
        </w:rPr>
        <w:t>recommendation</w:t>
      </w:r>
      <w:r w:rsidRPr="00ED3604" w:rsidR="00676880">
        <w:rPr>
          <w:rFonts w:ascii="Times New Roman" w:hAnsi="Times New Roman" w:cs="Times New Roman"/>
          <w:b/>
          <w:bCs/>
        </w:rPr>
        <w:t>s</w:t>
      </w:r>
      <w:r w:rsidRPr="00ED3604" w:rsidR="00AF1F8F">
        <w:rPr>
          <w:rFonts w:ascii="Times New Roman" w:hAnsi="Times New Roman" w:cs="Times New Roman"/>
          <w:b/>
          <w:bCs/>
        </w:rPr>
        <w:t xml:space="preserve"> to </w:t>
      </w:r>
      <w:r w:rsidRPr="00ED3604" w:rsidR="00DF6090">
        <w:rPr>
          <w:rFonts w:ascii="Times New Roman" w:hAnsi="Times New Roman" w:cs="Times New Roman"/>
          <w:b/>
          <w:bCs/>
        </w:rPr>
        <w:t>require marketers to pay for the implementation and ongoing costs related to seamless move when and if the PUCO moves forward with implementation of the seamless move mechanism.</w:t>
      </w:r>
      <w:r w:rsidRPr="00593438" w:rsidR="00593438">
        <w:t xml:space="preserve"> </w:t>
      </w:r>
    </w:p>
    <w:p w:rsidR="00740003" w:rsidRPr="00ED3604" w:rsidP="00740003" w14:paraId="5766BD2D" w14:textId="77777777">
      <w:pPr>
        <w:pStyle w:val="ListParagraph"/>
        <w:ind w:left="1440"/>
        <w:rPr>
          <w:rFonts w:ascii="Times New Roman" w:hAnsi="Times New Roman" w:cs="Times New Roman"/>
        </w:rPr>
      </w:pPr>
    </w:p>
    <w:p w:rsidR="00593438" w:rsidP="0055150D" w14:paraId="5F164259" w14:textId="7B7BD47C">
      <w:pPr>
        <w:spacing w:line="480" w:lineRule="auto"/>
        <w:ind w:firstLine="720"/>
      </w:pPr>
      <w:r>
        <w:t xml:space="preserve">As a result of the </w:t>
      </w:r>
      <w:r w:rsidR="00C7167D">
        <w:t xml:space="preserve">health and </w:t>
      </w:r>
      <w:r>
        <w:t xml:space="preserve">financial </w:t>
      </w:r>
      <w:r w:rsidR="00C7167D">
        <w:t xml:space="preserve">crises resulting </w:t>
      </w:r>
      <w:r>
        <w:t xml:space="preserve">from the coronavirus, many Ohioans have lost their jobs or had their </w:t>
      </w:r>
      <w:r w:rsidR="008F5B3C">
        <w:t>income</w:t>
      </w:r>
      <w:r>
        <w:t xml:space="preserve"> substantially reduced. </w:t>
      </w:r>
      <w:r w:rsidR="008F5B3C">
        <w:t>T</w:t>
      </w:r>
      <w:r w:rsidRPr="00196916">
        <w:t xml:space="preserve">he </w:t>
      </w:r>
      <w:r>
        <w:t xml:space="preserve">financial </w:t>
      </w:r>
      <w:r w:rsidRPr="00196916">
        <w:t>harm to Ohioans from these crises will persist for some time, potentially years, after the formal health emergency ends.</w:t>
      </w:r>
      <w:r>
        <w:t xml:space="preserve"> But m</w:t>
      </w:r>
      <w:r w:rsidRPr="00822A3E" w:rsidR="004741D2">
        <w:t xml:space="preserve">aintaining essential utility service to consumers in this </w:t>
      </w:r>
      <w:r w:rsidR="006E1A44">
        <w:t xml:space="preserve">coronavirus </w:t>
      </w:r>
      <w:r w:rsidRPr="00822A3E" w:rsidR="004741D2">
        <w:t xml:space="preserve">emergency is crucial. </w:t>
      </w:r>
      <w:r w:rsidR="00201777">
        <w:t>To protect consumers a</w:t>
      </w:r>
      <w:r w:rsidR="00CC5660">
        <w:t xml:space="preserve">t this </w:t>
      </w:r>
      <w:r w:rsidR="00201777">
        <w:t>difficul</w:t>
      </w:r>
      <w:r w:rsidR="00CC555B">
        <w:t>t</w:t>
      </w:r>
      <w:r w:rsidR="00201777">
        <w:t xml:space="preserve"> </w:t>
      </w:r>
      <w:r w:rsidR="00CC5660">
        <w:t xml:space="preserve">time, </w:t>
      </w:r>
      <w:r w:rsidRPr="00822A3E" w:rsidR="00822A3E">
        <w:t>“</w:t>
      </w:r>
      <w:r w:rsidR="00CC5660">
        <w:t>n</w:t>
      </w:r>
      <w:r w:rsidRPr="00822A3E" w:rsidR="00822A3E">
        <w:t>on-</w:t>
      </w:r>
      <w:r w:rsidRPr="00822A3E" w:rsidR="00822A3E">
        <w:t>essential” utility services (and charges for them) should be suspended.</w:t>
      </w:r>
      <w:r>
        <w:rPr>
          <w:rStyle w:val="FootnoteReference"/>
        </w:rPr>
        <w:footnoteReference w:id="2"/>
      </w:r>
      <w:r w:rsidRPr="00822A3E" w:rsidR="00822A3E">
        <w:t xml:space="preserve"> Suspending “non-essential” utility services during the emergency will help consumers dealing with the financial hardships they are facing because consumers would not be paying charges associated with those “non-essential” utility services. </w:t>
      </w:r>
      <w:r w:rsidR="002C1FEA">
        <w:t>S</w:t>
      </w:r>
      <w:r w:rsidRPr="00ED3604" w:rsidR="007D5CE3">
        <w:t xml:space="preserve">eamless move implementation is </w:t>
      </w:r>
      <w:r w:rsidR="00C7687B">
        <w:t xml:space="preserve">a </w:t>
      </w:r>
      <w:r w:rsidRPr="00ED3604" w:rsidR="007D5CE3">
        <w:t>non-</w:t>
      </w:r>
      <w:r w:rsidR="001F48CA">
        <w:t>esse</w:t>
      </w:r>
      <w:r w:rsidRPr="00ED3604" w:rsidR="007D5CE3">
        <w:t xml:space="preserve">ntial </w:t>
      </w:r>
      <w:r w:rsidR="001F48CA">
        <w:t xml:space="preserve">service </w:t>
      </w:r>
      <w:r w:rsidRPr="00ED3604" w:rsidR="007D5CE3">
        <w:t>a</w:t>
      </w:r>
      <w:r w:rsidRPr="00ED3604" w:rsidR="0041663D">
        <w:t>nd should be suspended until after the pandemic emergency ends or until the PUCO determines otherwise.</w:t>
      </w:r>
      <w:r>
        <w:rPr>
          <w:rStyle w:val="FootnoteReference"/>
        </w:rPr>
        <w:footnoteReference w:id="3"/>
      </w:r>
      <w:r w:rsidRPr="00ED3604" w:rsidR="007D5CE3">
        <w:t xml:space="preserve"> </w:t>
      </w:r>
    </w:p>
    <w:p w:rsidR="00407568" w:rsidRPr="00ED3604" w:rsidP="00DF6090" w14:paraId="1BE1C7C0" w14:textId="7ED38C08">
      <w:pPr>
        <w:pStyle w:val="BodyTextIndent3"/>
        <w:widowControl w:val="0"/>
        <w:spacing w:after="0" w:line="480" w:lineRule="auto"/>
        <w:ind w:right="-24"/>
        <w:rPr>
          <w:szCs w:val="24"/>
        </w:rPr>
      </w:pPr>
      <w:r w:rsidRPr="00ED3604">
        <w:rPr>
          <w:szCs w:val="24"/>
        </w:rPr>
        <w:t xml:space="preserve">But if the PUCO moves forward with seamless move </w:t>
      </w:r>
      <w:r w:rsidR="00C7687B">
        <w:rPr>
          <w:szCs w:val="24"/>
        </w:rPr>
        <w:t>(which it should not)</w:t>
      </w:r>
      <w:r w:rsidRPr="00ED3604">
        <w:rPr>
          <w:szCs w:val="24"/>
        </w:rPr>
        <w:t xml:space="preserve"> the</w:t>
      </w:r>
      <w:r w:rsidRPr="00ED3604" w:rsidR="00CF7C6B">
        <w:rPr>
          <w:szCs w:val="24"/>
        </w:rPr>
        <w:t>n</w:t>
      </w:r>
      <w:r w:rsidRPr="00ED3604">
        <w:rPr>
          <w:szCs w:val="24"/>
        </w:rPr>
        <w:t xml:space="preserve"> it </w:t>
      </w:r>
      <w:r w:rsidRPr="00ED3604" w:rsidR="001865D0">
        <w:rPr>
          <w:szCs w:val="24"/>
        </w:rPr>
        <w:t>should adopt OCC</w:t>
      </w:r>
      <w:r w:rsidRPr="00ED3604" w:rsidR="00CF7C6B">
        <w:rPr>
          <w:szCs w:val="24"/>
        </w:rPr>
        <w:t>’s</w:t>
      </w:r>
      <w:r w:rsidRPr="00ED3604" w:rsidR="00D90FFF">
        <w:rPr>
          <w:szCs w:val="24"/>
        </w:rPr>
        <w:t xml:space="preserve">, </w:t>
      </w:r>
      <w:r w:rsidRPr="00ED3604" w:rsidR="001865D0">
        <w:rPr>
          <w:szCs w:val="24"/>
        </w:rPr>
        <w:t>its Staff’s</w:t>
      </w:r>
      <w:r w:rsidRPr="00ED3604" w:rsidR="00D90FFF">
        <w:rPr>
          <w:szCs w:val="24"/>
        </w:rPr>
        <w:t xml:space="preserve">, and the Northeast Ohio Public Energy Council’s (“NOPEC”) </w:t>
      </w:r>
      <w:r w:rsidRPr="00ED3604" w:rsidR="001865D0">
        <w:rPr>
          <w:szCs w:val="24"/>
        </w:rPr>
        <w:t>recommendation</w:t>
      </w:r>
      <w:r w:rsidRPr="00ED3604" w:rsidR="000200F4">
        <w:rPr>
          <w:szCs w:val="24"/>
        </w:rPr>
        <w:t>s</w:t>
      </w:r>
      <w:r w:rsidRPr="00ED3604" w:rsidR="001865D0">
        <w:rPr>
          <w:szCs w:val="24"/>
        </w:rPr>
        <w:t xml:space="preserve"> </w:t>
      </w:r>
      <w:r w:rsidRPr="00ED3604" w:rsidR="00AD05F3">
        <w:rPr>
          <w:szCs w:val="24"/>
        </w:rPr>
        <w:t xml:space="preserve">that marketers </w:t>
      </w:r>
      <w:r w:rsidR="00C7687B">
        <w:rPr>
          <w:szCs w:val="24"/>
        </w:rPr>
        <w:t xml:space="preserve">should </w:t>
      </w:r>
      <w:r w:rsidRPr="00ED3604" w:rsidR="001865D0">
        <w:rPr>
          <w:szCs w:val="24"/>
        </w:rPr>
        <w:t>pay</w:t>
      </w:r>
      <w:r w:rsidRPr="00ED3604" w:rsidR="00AD05F3">
        <w:rPr>
          <w:szCs w:val="24"/>
        </w:rPr>
        <w:t xml:space="preserve"> </w:t>
      </w:r>
      <w:r w:rsidR="006B6265">
        <w:rPr>
          <w:szCs w:val="24"/>
        </w:rPr>
        <w:t>100%</w:t>
      </w:r>
      <w:r w:rsidRPr="00ED3604" w:rsidR="00AD05F3">
        <w:rPr>
          <w:szCs w:val="24"/>
        </w:rPr>
        <w:t xml:space="preserve"> of the </w:t>
      </w:r>
      <w:r w:rsidRPr="00ED3604" w:rsidR="00F445BE">
        <w:rPr>
          <w:szCs w:val="24"/>
        </w:rPr>
        <w:t>expense</w:t>
      </w:r>
      <w:r w:rsidRPr="00ED3604" w:rsidR="00AD05F3">
        <w:rPr>
          <w:szCs w:val="24"/>
        </w:rPr>
        <w:t xml:space="preserve"> of the seamless move </w:t>
      </w:r>
      <w:r w:rsidR="00CC555B">
        <w:rPr>
          <w:szCs w:val="24"/>
        </w:rPr>
        <w:t>initiative</w:t>
      </w:r>
      <w:r w:rsidRPr="00ED3604" w:rsidR="00AD05F3">
        <w:rPr>
          <w:szCs w:val="24"/>
        </w:rPr>
        <w:t>.</w:t>
      </w:r>
      <w:r>
        <w:rPr>
          <w:rStyle w:val="FootnoteReference"/>
          <w:szCs w:val="24"/>
        </w:rPr>
        <w:footnoteReference w:id="4"/>
      </w:r>
      <w:r w:rsidRPr="00ED3604" w:rsidR="00F445BE">
        <w:rPr>
          <w:szCs w:val="24"/>
        </w:rPr>
        <w:t xml:space="preserve"> </w:t>
      </w:r>
      <w:r w:rsidR="00CA2065">
        <w:t xml:space="preserve">The marketers are the primary beneficiary of the seamless move and in accordance with the principles of costs causation, it is only fair that marketers fully shoulder these costs. </w:t>
      </w:r>
      <w:r w:rsidR="00466C2E">
        <w:t xml:space="preserve">Consumers deserve to pay rates that are no more than what is just and reasonable. </w:t>
      </w:r>
      <w:r w:rsidR="002C0AAB">
        <w:t xml:space="preserve">And </w:t>
      </w:r>
      <w:r w:rsidR="00CC555B">
        <w:t xml:space="preserve">paying for </w:t>
      </w:r>
      <w:r w:rsidR="00752A4E">
        <w:t xml:space="preserve">seamless move </w:t>
      </w:r>
      <w:r w:rsidR="002C0AAB">
        <w:t>is neither just nor reasonable for consumers.</w:t>
      </w:r>
      <w:r w:rsidR="00CA2065">
        <w:t xml:space="preserve"> </w:t>
      </w:r>
    </w:p>
    <w:p w:rsidR="00DE4EF2" w:rsidP="00DF6090" w14:paraId="05E33BE8" w14:textId="556D8E48">
      <w:pPr>
        <w:pStyle w:val="BodyTextIndent3"/>
        <w:widowControl w:val="0"/>
        <w:spacing w:after="0" w:line="480" w:lineRule="auto"/>
        <w:ind w:right="-24"/>
        <w:rPr>
          <w:szCs w:val="24"/>
        </w:rPr>
      </w:pPr>
      <w:r w:rsidRPr="00ED3604">
        <w:rPr>
          <w:szCs w:val="24"/>
        </w:rPr>
        <w:t xml:space="preserve">The </w:t>
      </w:r>
      <w:r w:rsidRPr="00ED3604" w:rsidR="009D7513">
        <w:rPr>
          <w:szCs w:val="24"/>
        </w:rPr>
        <w:t>m</w:t>
      </w:r>
      <w:r w:rsidRPr="00ED3604">
        <w:rPr>
          <w:szCs w:val="24"/>
        </w:rPr>
        <w:t xml:space="preserve">arketers disagree with any operational plan that </w:t>
      </w:r>
      <w:r w:rsidR="002C1FEA">
        <w:rPr>
          <w:szCs w:val="24"/>
        </w:rPr>
        <w:t xml:space="preserve">increases their </w:t>
      </w:r>
      <w:r w:rsidRPr="00ED3604">
        <w:rPr>
          <w:szCs w:val="24"/>
        </w:rPr>
        <w:t>costs</w:t>
      </w:r>
      <w:r w:rsidR="002C1FEA">
        <w:rPr>
          <w:szCs w:val="24"/>
        </w:rPr>
        <w:t>.</w:t>
      </w:r>
      <w:r>
        <w:rPr>
          <w:rStyle w:val="FootnoteReference"/>
          <w:szCs w:val="24"/>
        </w:rPr>
        <w:footnoteReference w:id="5"/>
      </w:r>
      <w:r w:rsidRPr="00ED3604" w:rsidR="00CF557A">
        <w:rPr>
          <w:szCs w:val="24"/>
        </w:rPr>
        <w:t xml:space="preserve"> </w:t>
      </w:r>
      <w:r w:rsidRPr="00ED3604" w:rsidR="00A3123A">
        <w:rPr>
          <w:szCs w:val="24"/>
        </w:rPr>
        <w:t xml:space="preserve">They argue that </w:t>
      </w:r>
      <w:r>
        <w:rPr>
          <w:szCs w:val="24"/>
        </w:rPr>
        <w:t>they</w:t>
      </w:r>
      <w:r w:rsidRPr="00ED3604" w:rsidR="00A3123A">
        <w:rPr>
          <w:szCs w:val="24"/>
        </w:rPr>
        <w:t xml:space="preserve"> should not have to pay for the </w:t>
      </w:r>
      <w:r w:rsidR="00DC12D9">
        <w:rPr>
          <w:szCs w:val="24"/>
        </w:rPr>
        <w:t>u</w:t>
      </w:r>
      <w:r w:rsidRPr="00ED3604" w:rsidR="00A3123A">
        <w:rPr>
          <w:szCs w:val="24"/>
        </w:rPr>
        <w:t xml:space="preserve">tilities’ </w:t>
      </w:r>
      <w:r w:rsidRPr="00ED3604" w:rsidR="00CF7C6B">
        <w:rPr>
          <w:szCs w:val="24"/>
        </w:rPr>
        <w:t xml:space="preserve">customer information system </w:t>
      </w:r>
      <w:r w:rsidRPr="00ED3604" w:rsidR="00A3123A">
        <w:rPr>
          <w:szCs w:val="24"/>
        </w:rPr>
        <w:t xml:space="preserve"> upgrades that will benefit all customers.</w:t>
      </w:r>
      <w:r>
        <w:rPr>
          <w:rStyle w:val="FootnoteReference"/>
          <w:szCs w:val="24"/>
        </w:rPr>
        <w:footnoteReference w:id="6"/>
      </w:r>
      <w:r w:rsidRPr="00ED3604" w:rsidR="00A3123A">
        <w:rPr>
          <w:szCs w:val="24"/>
        </w:rPr>
        <w:t xml:space="preserve"> </w:t>
      </w:r>
      <w:r w:rsidRPr="00ED3604" w:rsidR="00CF7C6B">
        <w:rPr>
          <w:szCs w:val="24"/>
        </w:rPr>
        <w:t>T</w:t>
      </w:r>
      <w:r w:rsidRPr="00ED3604" w:rsidR="00EB21A9">
        <w:rPr>
          <w:szCs w:val="24"/>
        </w:rPr>
        <w:t xml:space="preserve">he </w:t>
      </w:r>
      <w:r w:rsidRPr="00ED3604" w:rsidR="009D7513">
        <w:rPr>
          <w:szCs w:val="24"/>
        </w:rPr>
        <w:t>m</w:t>
      </w:r>
      <w:r w:rsidRPr="00ED3604" w:rsidR="00EB21A9">
        <w:rPr>
          <w:szCs w:val="24"/>
        </w:rPr>
        <w:t xml:space="preserve">arketers recommend that the cost of seamless move should be included in the cost of the </w:t>
      </w:r>
      <w:r w:rsidR="00752A4E">
        <w:rPr>
          <w:szCs w:val="24"/>
        </w:rPr>
        <w:t>u</w:t>
      </w:r>
      <w:r w:rsidRPr="00ED3604" w:rsidR="00EB21A9">
        <w:rPr>
          <w:szCs w:val="24"/>
        </w:rPr>
        <w:t xml:space="preserve">tilities’ future system upgrades </w:t>
      </w:r>
      <w:r w:rsidRPr="00ED3604" w:rsidR="00EB21A9">
        <w:rPr>
          <w:szCs w:val="24"/>
        </w:rPr>
        <w:t>through a traditional rate proceeding or a PUCO</w:t>
      </w:r>
      <w:r>
        <w:rPr>
          <w:szCs w:val="24"/>
        </w:rPr>
        <w:t>-</w:t>
      </w:r>
      <w:r w:rsidRPr="00ED3604" w:rsidR="00EB21A9">
        <w:rPr>
          <w:szCs w:val="24"/>
        </w:rPr>
        <w:t xml:space="preserve">approved </w:t>
      </w:r>
      <w:r>
        <w:rPr>
          <w:szCs w:val="24"/>
        </w:rPr>
        <w:t>r</w:t>
      </w:r>
      <w:r w:rsidRPr="00ED3604" w:rsidR="00EB21A9">
        <w:rPr>
          <w:szCs w:val="24"/>
        </w:rPr>
        <w:t>ider</w:t>
      </w:r>
      <w:r w:rsidRPr="00ED3604" w:rsidR="00CF7C6B">
        <w:rPr>
          <w:szCs w:val="24"/>
        </w:rPr>
        <w:t>, or a non</w:t>
      </w:r>
      <w:r w:rsidR="00462242">
        <w:rPr>
          <w:szCs w:val="24"/>
        </w:rPr>
        <w:t>-</w:t>
      </w:r>
      <w:r w:rsidRPr="00ED3604" w:rsidR="00CF7C6B">
        <w:rPr>
          <w:szCs w:val="24"/>
        </w:rPr>
        <w:t>bypassable charge</w:t>
      </w:r>
      <w:r w:rsidRPr="00ED3604" w:rsidR="009D7513">
        <w:rPr>
          <w:szCs w:val="24"/>
        </w:rPr>
        <w:t xml:space="preserve"> (i.e. </w:t>
      </w:r>
      <w:r w:rsidR="00F75F65">
        <w:rPr>
          <w:szCs w:val="24"/>
        </w:rPr>
        <w:t>all</w:t>
      </w:r>
      <w:r w:rsidR="00C7687B">
        <w:rPr>
          <w:szCs w:val="24"/>
        </w:rPr>
        <w:t xml:space="preserve"> </w:t>
      </w:r>
      <w:r w:rsidRPr="00ED3604" w:rsidR="009D7513">
        <w:rPr>
          <w:szCs w:val="24"/>
        </w:rPr>
        <w:t>consumers pay for it)</w:t>
      </w:r>
      <w:r w:rsidRPr="00ED3604" w:rsidR="00EB21A9">
        <w:rPr>
          <w:szCs w:val="24"/>
        </w:rPr>
        <w:t>.</w:t>
      </w:r>
      <w:r>
        <w:rPr>
          <w:rStyle w:val="FootnoteReference"/>
          <w:szCs w:val="24"/>
        </w:rPr>
        <w:footnoteReference w:id="7"/>
      </w:r>
      <w:r w:rsidRPr="00ED3604" w:rsidR="00052F51">
        <w:rPr>
          <w:szCs w:val="24"/>
        </w:rPr>
        <w:t xml:space="preserve"> </w:t>
      </w:r>
      <w:r w:rsidRPr="00ED3604" w:rsidR="007A32BB">
        <w:rPr>
          <w:szCs w:val="24"/>
        </w:rPr>
        <w:t xml:space="preserve">The PUCO should reject the </w:t>
      </w:r>
      <w:r w:rsidRPr="00ED3604" w:rsidR="005541ED">
        <w:rPr>
          <w:szCs w:val="24"/>
        </w:rPr>
        <w:t>m</w:t>
      </w:r>
      <w:r w:rsidRPr="00ED3604" w:rsidR="007A32BB">
        <w:rPr>
          <w:szCs w:val="24"/>
        </w:rPr>
        <w:t>arketers</w:t>
      </w:r>
      <w:r w:rsidRPr="00ED3604" w:rsidR="00BF1AA5">
        <w:rPr>
          <w:szCs w:val="24"/>
        </w:rPr>
        <w:t xml:space="preserve">’ recommendation. </w:t>
      </w:r>
    </w:p>
    <w:p w:rsidR="006001FA" w:rsidRPr="00ED3604" w:rsidP="00DF6090" w14:paraId="2CBB6CAB" w14:textId="38187022">
      <w:pPr>
        <w:pStyle w:val="BodyTextIndent3"/>
        <w:widowControl w:val="0"/>
        <w:spacing w:after="0" w:line="480" w:lineRule="auto"/>
        <w:ind w:right="-24"/>
        <w:rPr>
          <w:szCs w:val="24"/>
        </w:rPr>
      </w:pPr>
      <w:r w:rsidRPr="00ED3604">
        <w:rPr>
          <w:szCs w:val="24"/>
        </w:rPr>
        <w:t xml:space="preserve">The </w:t>
      </w:r>
      <w:r w:rsidRPr="00ED3604" w:rsidR="0074149F">
        <w:rPr>
          <w:szCs w:val="24"/>
        </w:rPr>
        <w:t>m</w:t>
      </w:r>
      <w:r w:rsidRPr="00ED3604">
        <w:rPr>
          <w:szCs w:val="24"/>
        </w:rPr>
        <w:t xml:space="preserve">arketers want consumers to pay </w:t>
      </w:r>
      <w:r w:rsidR="00593438">
        <w:rPr>
          <w:szCs w:val="24"/>
        </w:rPr>
        <w:t xml:space="preserve">so they can </w:t>
      </w:r>
      <w:r w:rsidRPr="00ED3604">
        <w:rPr>
          <w:szCs w:val="24"/>
        </w:rPr>
        <w:t xml:space="preserve">retain </w:t>
      </w:r>
      <w:r w:rsidRPr="00ED3604" w:rsidR="000955AF">
        <w:rPr>
          <w:szCs w:val="24"/>
        </w:rPr>
        <w:t>customers</w:t>
      </w:r>
      <w:r w:rsidRPr="00ED3604">
        <w:rPr>
          <w:szCs w:val="24"/>
        </w:rPr>
        <w:t xml:space="preserve"> </w:t>
      </w:r>
      <w:r w:rsidR="00593438">
        <w:rPr>
          <w:szCs w:val="24"/>
        </w:rPr>
        <w:t xml:space="preserve">even when customers move, </w:t>
      </w:r>
      <w:r w:rsidR="00C3680D">
        <w:rPr>
          <w:szCs w:val="24"/>
        </w:rPr>
        <w:t xml:space="preserve">and </w:t>
      </w:r>
      <w:r w:rsidR="00593438">
        <w:rPr>
          <w:szCs w:val="24"/>
        </w:rPr>
        <w:t>e</w:t>
      </w:r>
      <w:r w:rsidRPr="00ED3604">
        <w:rPr>
          <w:szCs w:val="24"/>
        </w:rPr>
        <w:t xml:space="preserve">ven if </w:t>
      </w:r>
      <w:r w:rsidRPr="00ED3604" w:rsidR="000955AF">
        <w:rPr>
          <w:szCs w:val="24"/>
        </w:rPr>
        <w:t>it’s</w:t>
      </w:r>
      <w:r w:rsidRPr="00ED3604">
        <w:rPr>
          <w:szCs w:val="24"/>
        </w:rPr>
        <w:t xml:space="preserve"> not in the customer</w:t>
      </w:r>
      <w:r w:rsidRPr="00ED3604" w:rsidR="0074149F">
        <w:rPr>
          <w:szCs w:val="24"/>
        </w:rPr>
        <w:t>’</w:t>
      </w:r>
      <w:r w:rsidRPr="00ED3604">
        <w:rPr>
          <w:szCs w:val="24"/>
        </w:rPr>
        <w:t>s best interest.</w:t>
      </w:r>
      <w:r>
        <w:rPr>
          <w:rStyle w:val="FootnoteReference"/>
          <w:szCs w:val="24"/>
        </w:rPr>
        <w:footnoteReference w:id="8"/>
      </w:r>
      <w:r w:rsidRPr="00ED3604">
        <w:rPr>
          <w:szCs w:val="24"/>
        </w:rPr>
        <w:t xml:space="preserve"> Neither consumers nor the </w:t>
      </w:r>
      <w:r w:rsidR="00752A4E">
        <w:rPr>
          <w:szCs w:val="24"/>
        </w:rPr>
        <w:t>u</w:t>
      </w:r>
      <w:r w:rsidRPr="00ED3604">
        <w:rPr>
          <w:szCs w:val="24"/>
        </w:rPr>
        <w:t xml:space="preserve">tilities </w:t>
      </w:r>
      <w:r w:rsidRPr="00ED3604" w:rsidR="000955AF">
        <w:rPr>
          <w:szCs w:val="24"/>
        </w:rPr>
        <w:t xml:space="preserve">requested seamless move capability. </w:t>
      </w:r>
      <w:r w:rsidRPr="00ED3604" w:rsidR="00485328">
        <w:rPr>
          <w:szCs w:val="24"/>
        </w:rPr>
        <w:t>Consumers should not be required to foot the bill and t</w:t>
      </w:r>
      <w:r w:rsidRPr="00ED3604" w:rsidR="003044A7">
        <w:rPr>
          <w:szCs w:val="24"/>
        </w:rPr>
        <w:t xml:space="preserve">he </w:t>
      </w:r>
      <w:r w:rsidR="00752A4E">
        <w:rPr>
          <w:szCs w:val="24"/>
        </w:rPr>
        <w:t>u</w:t>
      </w:r>
      <w:r w:rsidRPr="00ED3604" w:rsidR="003044A7">
        <w:rPr>
          <w:szCs w:val="24"/>
        </w:rPr>
        <w:t xml:space="preserve">tilities should not be required to update their </w:t>
      </w:r>
      <w:r w:rsidRPr="00ED3604" w:rsidR="007E10C7">
        <w:rPr>
          <w:szCs w:val="24"/>
        </w:rPr>
        <w:t>customer information system</w:t>
      </w:r>
      <w:r w:rsidR="007E10C7">
        <w:rPr>
          <w:szCs w:val="24"/>
        </w:rPr>
        <w:t>s</w:t>
      </w:r>
      <w:r w:rsidRPr="00ED3604" w:rsidR="007E10C7">
        <w:rPr>
          <w:szCs w:val="24"/>
        </w:rPr>
        <w:t xml:space="preserve"> </w:t>
      </w:r>
      <w:r w:rsidRPr="00ED3604" w:rsidR="003044A7">
        <w:rPr>
          <w:szCs w:val="24"/>
        </w:rPr>
        <w:t xml:space="preserve">solely to benefit marketers. </w:t>
      </w:r>
      <w:r w:rsidRPr="00ED3604" w:rsidR="000955AF">
        <w:rPr>
          <w:szCs w:val="24"/>
        </w:rPr>
        <w:t xml:space="preserve">The </w:t>
      </w:r>
      <w:r w:rsidRPr="00ED3604" w:rsidR="00485328">
        <w:rPr>
          <w:szCs w:val="24"/>
        </w:rPr>
        <w:t>m</w:t>
      </w:r>
      <w:r w:rsidRPr="00ED3604" w:rsidR="000955AF">
        <w:rPr>
          <w:szCs w:val="24"/>
        </w:rPr>
        <w:t xml:space="preserve">arketers should bear the cost of any program that will </w:t>
      </w:r>
      <w:r w:rsidR="00DE4EF2">
        <w:rPr>
          <w:szCs w:val="24"/>
        </w:rPr>
        <w:t>primarily b</w:t>
      </w:r>
      <w:r w:rsidRPr="00ED3604" w:rsidR="000955AF">
        <w:rPr>
          <w:szCs w:val="24"/>
        </w:rPr>
        <w:t xml:space="preserve">enefit </w:t>
      </w:r>
      <w:r w:rsidRPr="00ED3604" w:rsidR="00485328">
        <w:rPr>
          <w:szCs w:val="24"/>
        </w:rPr>
        <w:t>the</w:t>
      </w:r>
      <w:r w:rsidR="00DE4EF2">
        <w:rPr>
          <w:szCs w:val="24"/>
        </w:rPr>
        <w:t>mselves.</w:t>
      </w:r>
      <w:r w:rsidRPr="00ED3604" w:rsidR="008F0C71">
        <w:rPr>
          <w:szCs w:val="24"/>
        </w:rPr>
        <w:t xml:space="preserve"> </w:t>
      </w:r>
      <w:r w:rsidRPr="00ED3604" w:rsidR="00485328">
        <w:rPr>
          <w:szCs w:val="24"/>
        </w:rPr>
        <w:t xml:space="preserve">If a consumer wants to choose a new </w:t>
      </w:r>
      <w:r w:rsidR="00DE4EF2">
        <w:rPr>
          <w:szCs w:val="24"/>
        </w:rPr>
        <w:t xml:space="preserve">marketer </w:t>
      </w:r>
      <w:r w:rsidRPr="00ED3604" w:rsidR="00485328">
        <w:rPr>
          <w:szCs w:val="24"/>
        </w:rPr>
        <w:t>when they move, they have the choice to do so now</w:t>
      </w:r>
      <w:r w:rsidRPr="00ED3604" w:rsidR="00202E9C">
        <w:rPr>
          <w:szCs w:val="24"/>
        </w:rPr>
        <w:t>.</w:t>
      </w:r>
      <w:r w:rsidRPr="00ED3604" w:rsidR="00817CCC">
        <w:rPr>
          <w:szCs w:val="24"/>
        </w:rPr>
        <w:t xml:space="preserve"> </w:t>
      </w:r>
      <w:r w:rsidRPr="00ED3604" w:rsidR="00202E9C">
        <w:rPr>
          <w:szCs w:val="24"/>
        </w:rPr>
        <w:t>B</w:t>
      </w:r>
      <w:r w:rsidRPr="00ED3604" w:rsidR="00817CCC">
        <w:rPr>
          <w:szCs w:val="24"/>
        </w:rPr>
        <w:t>ut they should be given the opportunity to make the best choice when they move and th</w:t>
      </w:r>
      <w:r w:rsidRPr="00ED3604" w:rsidR="00202E9C">
        <w:rPr>
          <w:szCs w:val="24"/>
        </w:rPr>
        <w:t xml:space="preserve">ere is no choice when </w:t>
      </w:r>
      <w:r w:rsidRPr="00ED3604" w:rsidR="0074149F">
        <w:rPr>
          <w:szCs w:val="24"/>
        </w:rPr>
        <w:t xml:space="preserve">their old contract with </w:t>
      </w:r>
      <w:r w:rsidRPr="00ED3604" w:rsidR="00817CCC">
        <w:rPr>
          <w:szCs w:val="24"/>
        </w:rPr>
        <w:t xml:space="preserve">the same marketer </w:t>
      </w:r>
      <w:r w:rsidRPr="00ED3604" w:rsidR="0074149F">
        <w:rPr>
          <w:szCs w:val="24"/>
        </w:rPr>
        <w:t xml:space="preserve">and the same terms and conditions </w:t>
      </w:r>
      <w:r w:rsidR="00DE4EF2">
        <w:rPr>
          <w:szCs w:val="24"/>
        </w:rPr>
        <w:t xml:space="preserve">automatically </w:t>
      </w:r>
      <w:r w:rsidRPr="00ED3604" w:rsidR="0074149F">
        <w:rPr>
          <w:szCs w:val="24"/>
        </w:rPr>
        <w:t>mo</w:t>
      </w:r>
      <w:r w:rsidR="00DE4EF2">
        <w:rPr>
          <w:szCs w:val="24"/>
        </w:rPr>
        <w:t>v</w:t>
      </w:r>
      <w:r w:rsidRPr="00ED3604" w:rsidR="0074149F">
        <w:rPr>
          <w:szCs w:val="24"/>
        </w:rPr>
        <w:t>e</w:t>
      </w:r>
      <w:r w:rsidR="00DE4EF2">
        <w:rPr>
          <w:szCs w:val="24"/>
        </w:rPr>
        <w:t>s</w:t>
      </w:r>
      <w:r w:rsidRPr="00ED3604" w:rsidR="0074149F">
        <w:rPr>
          <w:szCs w:val="24"/>
        </w:rPr>
        <w:t xml:space="preserve"> with them</w:t>
      </w:r>
      <w:r w:rsidRPr="00ED3604" w:rsidR="00202E9C">
        <w:rPr>
          <w:szCs w:val="24"/>
        </w:rPr>
        <w:t>.</w:t>
      </w:r>
    </w:p>
    <w:p w:rsidR="00EA55A5" w:rsidRPr="00ED3604" w:rsidP="00C2693D" w14:paraId="27088DEB" w14:textId="3FBDC28D">
      <w:pPr>
        <w:pStyle w:val="ListParagraph"/>
        <w:numPr>
          <w:ilvl w:val="1"/>
          <w:numId w:val="1"/>
        </w:numPr>
        <w:spacing w:after="240"/>
        <w:ind w:hanging="720"/>
        <w:rPr>
          <w:rFonts w:ascii="Times New Roman" w:hAnsi="Times New Roman" w:cs="Times New Roman"/>
          <w:b/>
          <w:bCs/>
        </w:rPr>
      </w:pPr>
      <w:r w:rsidRPr="00ED3604">
        <w:rPr>
          <w:rFonts w:ascii="Times New Roman" w:hAnsi="Times New Roman" w:cs="Times New Roman"/>
          <w:b/>
          <w:bCs/>
        </w:rPr>
        <w:t xml:space="preserve">The PUCO should adopt </w:t>
      </w:r>
      <w:r w:rsidRPr="00ED3604" w:rsidR="000329FC">
        <w:rPr>
          <w:rFonts w:ascii="Times New Roman" w:hAnsi="Times New Roman" w:cs="Times New Roman"/>
          <w:b/>
          <w:bCs/>
        </w:rPr>
        <w:t xml:space="preserve">the </w:t>
      </w:r>
      <w:r w:rsidRPr="00ED3604">
        <w:rPr>
          <w:rFonts w:ascii="Times New Roman" w:hAnsi="Times New Roman" w:cs="Times New Roman"/>
          <w:b/>
          <w:bCs/>
        </w:rPr>
        <w:t>N</w:t>
      </w:r>
      <w:r w:rsidRPr="00ED3604" w:rsidR="000329FC">
        <w:rPr>
          <w:rFonts w:ascii="Times New Roman" w:hAnsi="Times New Roman" w:cs="Times New Roman"/>
          <w:b/>
          <w:bCs/>
        </w:rPr>
        <w:t>ortheast Ohio Public Energy Council</w:t>
      </w:r>
      <w:r w:rsidRPr="00ED3604">
        <w:rPr>
          <w:rFonts w:ascii="Times New Roman" w:hAnsi="Times New Roman" w:cs="Times New Roman"/>
          <w:b/>
          <w:bCs/>
        </w:rPr>
        <w:t>’s recommendation to include governmental aggregators</w:t>
      </w:r>
      <w:r w:rsidRPr="00ED3604" w:rsidR="00E04529">
        <w:rPr>
          <w:rFonts w:ascii="Times New Roman" w:hAnsi="Times New Roman" w:cs="Times New Roman"/>
          <w:b/>
          <w:bCs/>
        </w:rPr>
        <w:t xml:space="preserve"> if Seamless Move is implemented.</w:t>
      </w:r>
    </w:p>
    <w:p w:rsidR="00E83BC8" w:rsidRPr="00ED3604" w:rsidP="00E83BC8" w14:paraId="01304160" w14:textId="77777777">
      <w:pPr>
        <w:pStyle w:val="ListParagraph"/>
        <w:ind w:left="1440"/>
        <w:rPr>
          <w:rFonts w:ascii="Times New Roman" w:hAnsi="Times New Roman" w:cs="Times New Roman"/>
          <w:b/>
          <w:bCs/>
        </w:rPr>
      </w:pPr>
    </w:p>
    <w:p w:rsidR="000529E8" w:rsidP="00E83BC8" w14:paraId="71F2916E" w14:textId="77777777">
      <w:pPr>
        <w:pStyle w:val="BodyTextIndent3"/>
        <w:widowControl w:val="0"/>
        <w:spacing w:after="0" w:line="480" w:lineRule="auto"/>
        <w:ind w:right="-29"/>
        <w:rPr>
          <w:szCs w:val="24"/>
        </w:rPr>
        <w:sectPr w:rsidSect="0055150D">
          <w:footerReference w:type="default" r:id="rId7"/>
          <w:pgSz w:w="12240" w:h="15840"/>
          <w:pgMar w:top="1440" w:right="1800" w:bottom="1440" w:left="1800" w:header="720" w:footer="720" w:gutter="0"/>
          <w:pgNumType w:start="2"/>
          <w:cols w:space="720"/>
          <w:docGrid w:linePitch="360"/>
        </w:sectPr>
      </w:pPr>
      <w:r w:rsidRPr="00ED3604">
        <w:rPr>
          <w:szCs w:val="24"/>
        </w:rPr>
        <w:t>AEP’s and FirstEnergy’s proposed plans specifically exclude governmental aggregation customers from seamless move eligibility.</w:t>
      </w:r>
      <w:r>
        <w:rPr>
          <w:rStyle w:val="FootnoteReference"/>
          <w:szCs w:val="24"/>
        </w:rPr>
        <w:footnoteReference w:id="9"/>
      </w:r>
      <w:r w:rsidRPr="00ED3604">
        <w:rPr>
          <w:szCs w:val="24"/>
        </w:rPr>
        <w:t xml:space="preserve"> </w:t>
      </w:r>
      <w:r w:rsidR="00E03A6E">
        <w:rPr>
          <w:szCs w:val="24"/>
        </w:rPr>
        <w:t xml:space="preserve"> These plans are unlawful.</w:t>
      </w:r>
      <w:r>
        <w:rPr>
          <w:rStyle w:val="FootnoteReference"/>
          <w:szCs w:val="24"/>
        </w:rPr>
        <w:footnoteReference w:id="10"/>
      </w:r>
      <w:r w:rsidR="00E03A6E">
        <w:rPr>
          <w:szCs w:val="24"/>
        </w:rPr>
        <w:t xml:space="preserve">  </w:t>
      </w:r>
    </w:p>
    <w:p w:rsidR="00DE4EF2" w:rsidP="000529E8" w14:paraId="652DB1B6" w14:textId="0B5A743F">
      <w:pPr>
        <w:pStyle w:val="BodyTextIndent3"/>
        <w:widowControl w:val="0"/>
        <w:spacing w:after="0" w:line="480" w:lineRule="auto"/>
        <w:ind w:right="-29" w:firstLine="0"/>
        <w:rPr>
          <w:szCs w:val="24"/>
        </w:rPr>
      </w:pPr>
      <w:r>
        <w:rPr>
          <w:szCs w:val="24"/>
        </w:rPr>
        <w:t xml:space="preserve">Under Ohio law, if seamless move technology </w:t>
      </w:r>
      <w:r w:rsidRPr="00ED3604">
        <w:rPr>
          <w:szCs w:val="24"/>
        </w:rPr>
        <w:t>is implemented</w:t>
      </w:r>
      <w:r>
        <w:rPr>
          <w:szCs w:val="24"/>
        </w:rPr>
        <w:t xml:space="preserve">, </w:t>
      </w:r>
      <w:r w:rsidRPr="00ED3604">
        <w:rPr>
          <w:szCs w:val="24"/>
        </w:rPr>
        <w:t xml:space="preserve">it </w:t>
      </w:r>
      <w:r>
        <w:rPr>
          <w:szCs w:val="24"/>
        </w:rPr>
        <w:t>can</w:t>
      </w:r>
      <w:r w:rsidRPr="00ED3604">
        <w:rPr>
          <w:szCs w:val="24"/>
        </w:rPr>
        <w:t>not exclude governmental aggregat</w:t>
      </w:r>
      <w:r>
        <w:rPr>
          <w:szCs w:val="24"/>
        </w:rPr>
        <w:t>ion customers</w:t>
      </w:r>
      <w:r w:rsidRPr="00ED3604">
        <w:rPr>
          <w:szCs w:val="24"/>
        </w:rPr>
        <w:t>.</w:t>
      </w:r>
      <w:r>
        <w:rPr>
          <w:rStyle w:val="FootnoteReference"/>
          <w:szCs w:val="24"/>
        </w:rPr>
        <w:footnoteReference w:id="11"/>
      </w:r>
      <w:r w:rsidRPr="00ED3604">
        <w:rPr>
          <w:szCs w:val="24"/>
        </w:rPr>
        <w:t xml:space="preserve"> </w:t>
      </w:r>
    </w:p>
    <w:p w:rsidR="00831239" w:rsidRPr="00ED3604" w:rsidP="00E83BC8" w14:paraId="509095E2" w14:textId="4E04E230">
      <w:pPr>
        <w:pStyle w:val="BodyTextIndent3"/>
        <w:widowControl w:val="0"/>
        <w:spacing w:after="0" w:line="480" w:lineRule="auto"/>
        <w:ind w:right="-29"/>
        <w:rPr>
          <w:szCs w:val="24"/>
        </w:rPr>
      </w:pPr>
      <w:r w:rsidRPr="00ED3604">
        <w:rPr>
          <w:szCs w:val="24"/>
        </w:rPr>
        <w:t>As NOPEC correctly stated in its comments, Ohio law requires that consumers have effective choices over the selection of electric supplies and suppliers.</w:t>
      </w:r>
      <w:r>
        <w:rPr>
          <w:rStyle w:val="FootnoteReference"/>
          <w:szCs w:val="24"/>
        </w:rPr>
        <w:footnoteReference w:id="12"/>
      </w:r>
      <w:r w:rsidRPr="00ED3604">
        <w:rPr>
          <w:szCs w:val="24"/>
        </w:rPr>
        <w:t xml:space="preserve"> Ohio consumers have three choices under which they may receive electric supply: through the </w:t>
      </w:r>
      <w:r w:rsidRPr="00ED3604" w:rsidR="00AF379A">
        <w:rPr>
          <w:szCs w:val="24"/>
        </w:rPr>
        <w:t>utilities’</w:t>
      </w:r>
      <w:r w:rsidRPr="00ED3604">
        <w:rPr>
          <w:szCs w:val="24"/>
        </w:rPr>
        <w:t xml:space="preserve"> </w:t>
      </w:r>
      <w:r w:rsidRPr="00ED3604" w:rsidR="00AF379A">
        <w:rPr>
          <w:szCs w:val="24"/>
        </w:rPr>
        <w:t>standard service offer</w:t>
      </w:r>
      <w:r w:rsidRPr="00ED3604" w:rsidR="00B463D5">
        <w:rPr>
          <w:szCs w:val="24"/>
        </w:rPr>
        <w:t>,</w:t>
      </w:r>
      <w:r>
        <w:rPr>
          <w:rStyle w:val="FootnoteReference"/>
          <w:szCs w:val="24"/>
        </w:rPr>
        <w:footnoteReference w:id="13"/>
      </w:r>
      <w:r w:rsidRPr="00ED3604">
        <w:rPr>
          <w:szCs w:val="24"/>
        </w:rPr>
        <w:t xml:space="preserve"> through communities that have adopted governmental aggregation programs</w:t>
      </w:r>
      <w:r w:rsidRPr="00ED3604" w:rsidR="00B463D5">
        <w:rPr>
          <w:szCs w:val="24"/>
        </w:rPr>
        <w:t>,</w:t>
      </w:r>
      <w:r>
        <w:rPr>
          <w:rStyle w:val="FootnoteReference"/>
          <w:szCs w:val="24"/>
        </w:rPr>
        <w:footnoteReference w:id="14"/>
      </w:r>
      <w:r w:rsidRPr="00ED3604">
        <w:rPr>
          <w:szCs w:val="24"/>
        </w:rPr>
        <w:t xml:space="preserve"> and through </w:t>
      </w:r>
      <w:r w:rsidRPr="00ED3604" w:rsidR="00B463D5">
        <w:rPr>
          <w:szCs w:val="24"/>
        </w:rPr>
        <w:t>marketers</w:t>
      </w:r>
      <w:r w:rsidRPr="00ED3604">
        <w:rPr>
          <w:szCs w:val="24"/>
        </w:rPr>
        <w:t>’ bilateral contracts.</w:t>
      </w:r>
      <w:r>
        <w:rPr>
          <w:rStyle w:val="FootnoteReference"/>
          <w:szCs w:val="24"/>
        </w:rPr>
        <w:footnoteReference w:id="15"/>
      </w:r>
      <w:r w:rsidRPr="00ED3604">
        <w:rPr>
          <w:szCs w:val="24"/>
        </w:rPr>
        <w:t xml:space="preserve"> </w:t>
      </w:r>
      <w:r w:rsidRPr="00ED3604" w:rsidR="00C2693D">
        <w:rPr>
          <w:szCs w:val="24"/>
        </w:rPr>
        <w:t xml:space="preserve">OCC agrees with </w:t>
      </w:r>
      <w:r w:rsidRPr="00ED3604" w:rsidR="00AF379A">
        <w:rPr>
          <w:szCs w:val="24"/>
        </w:rPr>
        <w:t>NOPEC’s</w:t>
      </w:r>
      <w:r w:rsidRPr="00ED3604" w:rsidR="00A8667B">
        <w:rPr>
          <w:szCs w:val="24"/>
        </w:rPr>
        <w:t xml:space="preserve"> recommend</w:t>
      </w:r>
      <w:r w:rsidRPr="00ED3604" w:rsidR="00C2693D">
        <w:rPr>
          <w:szCs w:val="24"/>
        </w:rPr>
        <w:t>ation</w:t>
      </w:r>
      <w:r w:rsidRPr="00ED3604" w:rsidR="00A8667B">
        <w:rPr>
          <w:szCs w:val="24"/>
        </w:rPr>
        <w:t xml:space="preserve"> that the </w:t>
      </w:r>
      <w:r w:rsidRPr="00ED3604" w:rsidR="00605140">
        <w:rPr>
          <w:szCs w:val="24"/>
        </w:rPr>
        <w:t>utilities</w:t>
      </w:r>
      <w:r w:rsidRPr="00ED3604" w:rsidR="00A8667B">
        <w:rPr>
          <w:szCs w:val="24"/>
        </w:rPr>
        <w:t xml:space="preserve"> should be required to use a script that identifies </w:t>
      </w:r>
      <w:r w:rsidRPr="00ED3604" w:rsidR="00BF6389">
        <w:rPr>
          <w:szCs w:val="24"/>
        </w:rPr>
        <w:t>all of the</w:t>
      </w:r>
      <w:r w:rsidRPr="00ED3604" w:rsidR="00A8667B">
        <w:rPr>
          <w:szCs w:val="24"/>
        </w:rPr>
        <w:t xml:space="preserve"> choices that a</w:t>
      </w:r>
      <w:r w:rsidRPr="00ED3604" w:rsidR="00605140">
        <w:rPr>
          <w:szCs w:val="24"/>
        </w:rPr>
        <w:t>n electric customer has when moving.</w:t>
      </w:r>
      <w:r>
        <w:rPr>
          <w:rStyle w:val="FootnoteReference"/>
          <w:szCs w:val="24"/>
        </w:rPr>
        <w:footnoteReference w:id="16"/>
      </w:r>
    </w:p>
    <w:p w:rsidR="002F60DD" w:rsidP="004A32B6" w14:paraId="594D737A" w14:textId="111AA1AD">
      <w:pPr>
        <w:pStyle w:val="BodyTextIndent3"/>
        <w:widowControl w:val="0"/>
        <w:spacing w:after="0" w:line="480" w:lineRule="auto"/>
        <w:ind w:right="-29"/>
        <w:rPr>
          <w:szCs w:val="24"/>
        </w:rPr>
      </w:pPr>
      <w:r w:rsidRPr="00ED3604">
        <w:rPr>
          <w:szCs w:val="24"/>
        </w:rPr>
        <w:t xml:space="preserve">The PUCO should </w:t>
      </w:r>
      <w:r w:rsidRPr="00ED3604" w:rsidR="00AD36DB">
        <w:rPr>
          <w:szCs w:val="24"/>
        </w:rPr>
        <w:t xml:space="preserve">protect </w:t>
      </w:r>
      <w:r w:rsidRPr="00ED3604" w:rsidR="00295733">
        <w:rPr>
          <w:szCs w:val="24"/>
        </w:rPr>
        <w:t xml:space="preserve">consumer rights </w:t>
      </w:r>
      <w:r w:rsidRPr="00ED3604" w:rsidR="0034308E">
        <w:rPr>
          <w:szCs w:val="24"/>
        </w:rPr>
        <w:t>when choosing its electric provider. Operational plans</w:t>
      </w:r>
      <w:r w:rsidR="003F1B58">
        <w:rPr>
          <w:szCs w:val="24"/>
        </w:rPr>
        <w:t>,</w:t>
      </w:r>
      <w:r w:rsidRPr="00ED3604" w:rsidR="0034308E">
        <w:rPr>
          <w:szCs w:val="24"/>
        </w:rPr>
        <w:t xml:space="preserve"> </w:t>
      </w:r>
      <w:r w:rsidR="00E03A6E">
        <w:rPr>
          <w:szCs w:val="24"/>
        </w:rPr>
        <w:t>for implementing seamless move technology</w:t>
      </w:r>
      <w:r w:rsidR="003F1B58">
        <w:rPr>
          <w:szCs w:val="24"/>
        </w:rPr>
        <w:t>,</w:t>
      </w:r>
      <w:r w:rsidR="00E03A6E">
        <w:rPr>
          <w:szCs w:val="24"/>
        </w:rPr>
        <w:t xml:space="preserve"> </w:t>
      </w:r>
      <w:r w:rsidRPr="00ED3604" w:rsidR="0034308E">
        <w:rPr>
          <w:szCs w:val="24"/>
        </w:rPr>
        <w:t>that do not include governmental aggregators</w:t>
      </w:r>
      <w:r w:rsidRPr="00ED3604" w:rsidR="001932EC">
        <w:rPr>
          <w:szCs w:val="24"/>
        </w:rPr>
        <w:t xml:space="preserve"> cannot provide consumers this </w:t>
      </w:r>
      <w:r w:rsidR="00E03A6E">
        <w:rPr>
          <w:szCs w:val="24"/>
        </w:rPr>
        <w:t>protection</w:t>
      </w:r>
      <w:r w:rsidRPr="00ED3604" w:rsidR="001932EC">
        <w:rPr>
          <w:szCs w:val="24"/>
        </w:rPr>
        <w:t>. The PUCO should include all electric providers</w:t>
      </w:r>
      <w:r w:rsidRPr="00ED3604" w:rsidR="00076CCD">
        <w:rPr>
          <w:szCs w:val="24"/>
        </w:rPr>
        <w:t>-the utilities, the governmental aggregators, and the marketers-</w:t>
      </w:r>
      <w:r w:rsidRPr="00ED3604" w:rsidR="001932EC">
        <w:rPr>
          <w:szCs w:val="24"/>
        </w:rPr>
        <w:t>if it implements seamless move</w:t>
      </w:r>
      <w:r w:rsidRPr="00ED3604" w:rsidR="00076CCD">
        <w:rPr>
          <w:szCs w:val="24"/>
        </w:rPr>
        <w:t>. To do otherwise is unfair to consumers and governmental aggregators and violates Ohio law.</w:t>
      </w:r>
      <w:r>
        <w:rPr>
          <w:rStyle w:val="FootnoteReference"/>
          <w:szCs w:val="24"/>
        </w:rPr>
        <w:footnoteReference w:id="17"/>
      </w:r>
    </w:p>
    <w:p w:rsidR="003817D6" w:rsidRPr="00ED3604" w:rsidP="003817D6" w14:paraId="32409F88" w14:textId="77777777">
      <w:pPr>
        <w:pStyle w:val="BodyTextIndent3"/>
        <w:widowControl w:val="0"/>
        <w:spacing w:after="0" w:line="240" w:lineRule="auto"/>
        <w:ind w:right="-29"/>
        <w:rPr>
          <w:szCs w:val="24"/>
        </w:rPr>
      </w:pPr>
    </w:p>
    <w:p w:rsidR="000529E8" w:rsidP="004A32B6" w14:paraId="0C8D51CE" w14:textId="77777777">
      <w:pPr>
        <w:pStyle w:val="ListParagraph"/>
        <w:numPr>
          <w:ilvl w:val="0"/>
          <w:numId w:val="4"/>
        </w:numPr>
        <w:spacing w:line="480" w:lineRule="auto"/>
        <w:ind w:left="720"/>
        <w:rPr>
          <w:rFonts w:ascii="Times New Roman" w:hAnsi="Times New Roman" w:cs="Times New Roman"/>
          <w:b/>
          <w:bCs/>
        </w:rPr>
        <w:sectPr w:rsidSect="000529E8">
          <w:headerReference w:type="default" r:id="rId8"/>
          <w:pgSz w:w="12240" w:h="15840"/>
          <w:pgMar w:top="1440" w:right="1800" w:bottom="1440" w:left="1800" w:header="720" w:footer="720" w:gutter="0"/>
          <w:cols w:space="720"/>
          <w:docGrid w:linePitch="360"/>
        </w:sectPr>
      </w:pPr>
    </w:p>
    <w:p w:rsidR="005E11B8" w:rsidRPr="00ED3604" w:rsidP="004A32B6" w14:paraId="19F07814" w14:textId="01C20D85">
      <w:pPr>
        <w:pStyle w:val="ListParagraph"/>
        <w:numPr>
          <w:ilvl w:val="0"/>
          <w:numId w:val="4"/>
        </w:numPr>
        <w:spacing w:line="480" w:lineRule="auto"/>
        <w:ind w:left="720"/>
        <w:rPr>
          <w:rFonts w:ascii="Times New Roman" w:hAnsi="Times New Roman" w:cs="Times New Roman"/>
        </w:rPr>
      </w:pPr>
      <w:r w:rsidRPr="00ED3604">
        <w:rPr>
          <w:rFonts w:ascii="Times New Roman" w:hAnsi="Times New Roman" w:cs="Times New Roman"/>
          <w:b/>
          <w:bCs/>
        </w:rPr>
        <w:t>C</w:t>
      </w:r>
      <w:r w:rsidRPr="00ED3604" w:rsidR="003E7AF6">
        <w:rPr>
          <w:rFonts w:ascii="Times New Roman" w:hAnsi="Times New Roman" w:cs="Times New Roman"/>
          <w:b/>
          <w:bCs/>
        </w:rPr>
        <w:t>ONCLUSION</w:t>
      </w:r>
    </w:p>
    <w:p w:rsidR="00DE4EF2" w:rsidP="000A2D1C" w14:paraId="7775E93B" w14:textId="77777777">
      <w:pPr>
        <w:spacing w:line="480" w:lineRule="auto"/>
        <w:ind w:firstLine="720"/>
      </w:pPr>
      <w:r w:rsidRPr="00ED3604">
        <w:t xml:space="preserve">To best protect consumers in this challenging time, the PUCO should suspend further work on seamless move. Consumers should not have to pay for a capability that provides little, if any, benefit to a very small number of customers. </w:t>
      </w:r>
    </w:p>
    <w:p w:rsidR="00E55E31" w:rsidP="000A2D1C" w14:paraId="46B457A9" w14:textId="28F72F20">
      <w:pPr>
        <w:spacing w:line="480" w:lineRule="auto"/>
        <w:ind w:firstLine="720"/>
      </w:pPr>
      <w:r w:rsidRPr="00ED3604">
        <w:t xml:space="preserve">But </w:t>
      </w:r>
      <w:r w:rsidRPr="00ED3604" w:rsidR="008B60A8">
        <w:t>i</w:t>
      </w:r>
      <w:r w:rsidRPr="00ED3604" w:rsidR="00285463">
        <w:t xml:space="preserve">f the PUCO </w:t>
      </w:r>
      <w:r w:rsidRPr="00ED3604">
        <w:t xml:space="preserve">proceeds </w:t>
      </w:r>
      <w:r w:rsidRPr="00ED3604" w:rsidR="00285463">
        <w:t xml:space="preserve">with its </w:t>
      </w:r>
      <w:r w:rsidR="00E03A6E">
        <w:t xml:space="preserve">implementation of </w:t>
      </w:r>
      <w:r w:rsidRPr="00ED3604" w:rsidR="00285463">
        <w:t xml:space="preserve">seamless move </w:t>
      </w:r>
      <w:r w:rsidR="00E03A6E">
        <w:t>technology</w:t>
      </w:r>
      <w:r w:rsidRPr="00ED3604" w:rsidR="00285463">
        <w:t>, the PUCO should allocate all costs related to the implementation of seamless move to the marketers</w:t>
      </w:r>
      <w:r w:rsidRPr="00ED3604" w:rsidR="00831239">
        <w:t xml:space="preserve"> who get the primary benefit from the technology. </w:t>
      </w:r>
      <w:r w:rsidR="00DE4EF2">
        <w:t>And if seamless move technology is implemented, t</w:t>
      </w:r>
      <w:r w:rsidRPr="00ED3604" w:rsidR="00E57B3D">
        <w:t>he PUCO should al</w:t>
      </w:r>
      <w:r w:rsidR="00DE4EF2">
        <w:t xml:space="preserve">low </w:t>
      </w:r>
      <w:r w:rsidRPr="00ED3604" w:rsidR="00E57B3D">
        <w:t>consumer</w:t>
      </w:r>
      <w:r w:rsidR="00DE4EF2">
        <w:t xml:space="preserve">s to choose among all options, </w:t>
      </w:r>
      <w:r w:rsidR="0026181C">
        <w:t xml:space="preserve">including </w:t>
      </w:r>
      <w:r w:rsidRPr="00ED3604" w:rsidR="00E57B3D">
        <w:t>governmental aggregat</w:t>
      </w:r>
      <w:r w:rsidR="0026181C">
        <w:t>ion.</w:t>
      </w:r>
    </w:p>
    <w:p w:rsidR="00AB1B6C" w:rsidP="000A2D1C" w14:paraId="2DD7A668" w14:textId="4517BE12">
      <w:pPr>
        <w:spacing w:line="480" w:lineRule="auto"/>
        <w:ind w:firstLine="720"/>
      </w:pPr>
    </w:p>
    <w:p w:rsidR="00E55E31" w:rsidRPr="00ED3604" w:rsidP="000529E8" w14:paraId="41D802A7" w14:textId="3E2FB15F">
      <w:pPr>
        <w:pStyle w:val="BodyTextIndent3"/>
        <w:widowControl w:val="0"/>
        <w:spacing w:line="480" w:lineRule="auto"/>
        <w:ind w:left="3600" w:right="-312" w:firstLine="0"/>
        <w:rPr>
          <w:szCs w:val="24"/>
        </w:rPr>
      </w:pPr>
      <w:r w:rsidRPr="00ED3604">
        <w:rPr>
          <w:szCs w:val="24"/>
        </w:rPr>
        <w:t>Respectfully submitted,</w:t>
      </w:r>
    </w:p>
    <w:p w:rsidR="00E55E31" w:rsidRPr="00ED3604" w:rsidP="000529E8" w14:paraId="16EA9D48" w14:textId="77777777">
      <w:pPr>
        <w:pStyle w:val="BodyTextIndent3"/>
        <w:widowControl w:val="0"/>
        <w:spacing w:line="240" w:lineRule="auto"/>
        <w:ind w:left="3600" w:right="-672" w:firstLine="0"/>
        <w:rPr>
          <w:szCs w:val="24"/>
        </w:rPr>
      </w:pPr>
      <w:r w:rsidRPr="00ED3604">
        <w:rPr>
          <w:szCs w:val="24"/>
        </w:rPr>
        <w:t>Bruce Weston (0016973)</w:t>
      </w:r>
      <w:r w:rsidRPr="00ED3604">
        <w:rPr>
          <w:szCs w:val="24"/>
        </w:rPr>
        <w:br/>
        <w:t>Ohio Consumers’ Counsel</w:t>
      </w:r>
    </w:p>
    <w:p w:rsidR="00E55E31" w:rsidRPr="00ED3604" w:rsidP="000529E8" w14:paraId="494524E6" w14:textId="2AA38D4C">
      <w:pPr>
        <w:pStyle w:val="BodyTextIndent3"/>
        <w:widowControl w:val="0"/>
        <w:spacing w:after="0" w:line="240" w:lineRule="auto"/>
        <w:ind w:left="3600" w:right="-677" w:firstLine="0"/>
        <w:rPr>
          <w:szCs w:val="24"/>
        </w:rPr>
      </w:pPr>
      <w:r w:rsidRPr="00ED3604">
        <w:rPr>
          <w:szCs w:val="24"/>
          <w:u w:val="single"/>
        </w:rPr>
        <w:t xml:space="preserve">/s/ </w:t>
      </w:r>
      <w:r w:rsidRPr="00ED3604">
        <w:rPr>
          <w:i/>
          <w:iCs/>
          <w:szCs w:val="24"/>
          <w:u w:val="single"/>
        </w:rPr>
        <w:t xml:space="preserve">Ambrosia E. </w:t>
      </w:r>
      <w:r w:rsidRPr="00ED3604" w:rsidR="00C12F0F">
        <w:rPr>
          <w:i/>
          <w:iCs/>
          <w:szCs w:val="24"/>
          <w:u w:val="single"/>
        </w:rPr>
        <w:t>Wilson</w:t>
      </w:r>
    </w:p>
    <w:p w:rsidR="00E55E31" w:rsidRPr="00ED3604" w:rsidP="000529E8" w14:paraId="7CA567A3" w14:textId="215EA4DB">
      <w:pPr>
        <w:pStyle w:val="BodyTextIndent3"/>
        <w:widowControl w:val="0"/>
        <w:spacing w:after="0" w:line="240" w:lineRule="auto"/>
        <w:ind w:left="3600" w:right="-677" w:firstLine="0"/>
        <w:rPr>
          <w:szCs w:val="24"/>
        </w:rPr>
      </w:pPr>
      <w:r w:rsidRPr="00ED3604">
        <w:rPr>
          <w:szCs w:val="24"/>
        </w:rPr>
        <w:t xml:space="preserve">Ambrosia E. </w:t>
      </w:r>
      <w:r w:rsidRPr="00ED3604" w:rsidR="00C12F0F">
        <w:rPr>
          <w:szCs w:val="24"/>
        </w:rPr>
        <w:t>Wilson</w:t>
      </w:r>
      <w:r w:rsidRPr="00ED3604">
        <w:rPr>
          <w:szCs w:val="24"/>
        </w:rPr>
        <w:t xml:space="preserve"> (0096598)</w:t>
      </w:r>
    </w:p>
    <w:p w:rsidR="00E55E31" w:rsidRPr="00ED3604" w:rsidP="000529E8" w14:paraId="7085E17B" w14:textId="77777777">
      <w:pPr>
        <w:pStyle w:val="BodyTextIndent3"/>
        <w:widowControl w:val="0"/>
        <w:spacing w:after="0" w:line="240" w:lineRule="auto"/>
        <w:ind w:left="3600" w:right="-677" w:firstLine="0"/>
        <w:rPr>
          <w:szCs w:val="24"/>
        </w:rPr>
      </w:pPr>
      <w:r w:rsidRPr="00ED3604">
        <w:rPr>
          <w:szCs w:val="24"/>
        </w:rPr>
        <w:t>Counsel of Record</w:t>
      </w:r>
    </w:p>
    <w:p w:rsidR="00E55E31" w:rsidRPr="00ED3604" w:rsidP="000529E8" w14:paraId="5B2822E5" w14:textId="77777777">
      <w:pPr>
        <w:pStyle w:val="BodyTextIndent3"/>
        <w:widowControl w:val="0"/>
        <w:spacing w:after="0" w:line="240" w:lineRule="auto"/>
        <w:ind w:left="3600" w:right="-677" w:firstLine="0"/>
        <w:rPr>
          <w:szCs w:val="24"/>
        </w:rPr>
      </w:pPr>
      <w:r w:rsidRPr="00ED3604">
        <w:rPr>
          <w:szCs w:val="24"/>
        </w:rPr>
        <w:t>Amy Botschner O’Brien (0074423)</w:t>
      </w:r>
    </w:p>
    <w:p w:rsidR="00E55E31" w:rsidRPr="00ED3604" w:rsidP="000529E8" w14:paraId="2DCF84BB" w14:textId="77777777">
      <w:pPr>
        <w:pStyle w:val="BodyTextIndent3"/>
        <w:widowControl w:val="0"/>
        <w:spacing w:after="0" w:line="240" w:lineRule="auto"/>
        <w:ind w:left="3600" w:right="-677" w:firstLine="0"/>
        <w:rPr>
          <w:szCs w:val="24"/>
        </w:rPr>
      </w:pPr>
      <w:r w:rsidRPr="00ED3604">
        <w:rPr>
          <w:szCs w:val="24"/>
        </w:rPr>
        <w:t>Assistant Consumers’ Counsel</w:t>
      </w:r>
    </w:p>
    <w:p w:rsidR="00E55E31" w:rsidRPr="00ED3604" w:rsidP="000529E8" w14:paraId="0D23D619" w14:textId="77777777">
      <w:pPr>
        <w:pStyle w:val="Heading1"/>
        <w:ind w:left="3600" w:right="-648"/>
        <w:rPr>
          <w:u w:val="none"/>
        </w:rPr>
      </w:pPr>
      <w:r w:rsidRPr="00ED3604">
        <w:rPr>
          <w:u w:val="none"/>
        </w:rPr>
        <w:tab/>
      </w:r>
    </w:p>
    <w:p w:rsidR="00E55E31" w:rsidRPr="00ED3604" w:rsidP="000529E8" w14:paraId="32D94098" w14:textId="77777777">
      <w:pPr>
        <w:pStyle w:val="Heading1"/>
        <w:ind w:left="3600" w:right="-648"/>
        <w:rPr>
          <w:u w:val="none"/>
        </w:rPr>
      </w:pPr>
      <w:r w:rsidRPr="00ED3604">
        <w:rPr>
          <w:u w:val="none"/>
        </w:rPr>
        <w:t>Office of the Ohio Consumers’ Counsel</w:t>
      </w:r>
    </w:p>
    <w:p w:rsidR="00E55E31" w:rsidRPr="00ED3604" w:rsidP="000529E8" w14:paraId="538FD3F2" w14:textId="77777777">
      <w:pPr>
        <w:pStyle w:val="Heading1"/>
        <w:ind w:left="3600" w:right="-648"/>
        <w:rPr>
          <w:b w:val="0"/>
          <w:u w:val="none"/>
        </w:rPr>
      </w:pPr>
      <w:r w:rsidRPr="00ED3604">
        <w:rPr>
          <w:b w:val="0"/>
          <w:u w:val="none"/>
        </w:rPr>
        <w:t>65 East State Street, 7th Floor</w:t>
      </w:r>
    </w:p>
    <w:p w:rsidR="00E55E31" w:rsidRPr="00ED3604" w:rsidP="000529E8" w14:paraId="4FC2C4C1" w14:textId="77777777">
      <w:pPr>
        <w:pStyle w:val="Heading1"/>
        <w:ind w:left="3600" w:right="-648"/>
        <w:rPr>
          <w:b w:val="0"/>
          <w:u w:val="none"/>
        </w:rPr>
      </w:pPr>
      <w:r w:rsidRPr="00ED3604">
        <w:rPr>
          <w:b w:val="0"/>
          <w:u w:val="none"/>
        </w:rPr>
        <w:t>Columbus, Ohio 43215</w:t>
      </w:r>
    </w:p>
    <w:p w:rsidR="00E55E31" w:rsidRPr="00ED3604" w:rsidP="000529E8" w14:paraId="7E02F1C8" w14:textId="3D3604D2">
      <w:pPr>
        <w:autoSpaceDE w:val="0"/>
        <w:autoSpaceDN w:val="0"/>
        <w:adjustRightInd w:val="0"/>
        <w:ind w:left="2880" w:firstLine="720"/>
      </w:pPr>
      <w:r w:rsidRPr="00ED3604">
        <w:t>Telephone [</w:t>
      </w:r>
      <w:r w:rsidRPr="00ED3604" w:rsidR="00C12F0F">
        <w:t>Wilson</w:t>
      </w:r>
      <w:r w:rsidRPr="00ED3604">
        <w:t>]: (614) 466-1292</w:t>
      </w:r>
    </w:p>
    <w:p w:rsidR="00E55E31" w:rsidRPr="00ED3604" w:rsidP="000529E8" w14:paraId="52028569" w14:textId="633077B7">
      <w:pPr>
        <w:autoSpaceDE w:val="0"/>
        <w:autoSpaceDN w:val="0"/>
        <w:adjustRightInd w:val="0"/>
        <w:ind w:left="3600"/>
      </w:pPr>
      <w:r w:rsidRPr="00ED3604">
        <w:t>Telephone: [Botschner O’Brien]: (614) 466-957</w:t>
      </w:r>
      <w:r w:rsidR="00462242">
        <w:t>5</w:t>
      </w:r>
    </w:p>
    <w:p w:rsidR="00E55E31" w:rsidRPr="00ED3604" w:rsidP="000529E8" w14:paraId="45C4DB72" w14:textId="1AC9D256">
      <w:pPr>
        <w:ind w:left="3600"/>
      </w:pPr>
      <w:hyperlink r:id="rId9" w:history="1">
        <w:r w:rsidRPr="00ED3604" w:rsidR="00C12F0F">
          <w:rPr>
            <w:rStyle w:val="Hyperlink"/>
          </w:rPr>
          <w:t>ambrosia.wilson@occ.ohio.gov</w:t>
        </w:r>
      </w:hyperlink>
      <w:r w:rsidRPr="00ED3604" w:rsidR="00310574">
        <w:tab/>
      </w:r>
    </w:p>
    <w:p w:rsidR="00E55E31" w:rsidRPr="00ED3604" w:rsidP="000529E8" w14:paraId="2C237723" w14:textId="3B529D28">
      <w:pPr>
        <w:autoSpaceDE w:val="0"/>
        <w:autoSpaceDN w:val="0"/>
        <w:adjustRightInd w:val="0"/>
        <w:ind w:left="3600"/>
        <w:rPr>
          <w:rStyle w:val="Hyperlink"/>
        </w:rPr>
      </w:pPr>
      <w:hyperlink r:id="rId10" w:history="1">
        <w:r w:rsidRPr="00ED3604" w:rsidR="00310574">
          <w:rPr>
            <w:rStyle w:val="Hyperlink"/>
          </w:rPr>
          <w:t>amy.botschner.obrien@occ.ohio.gov</w:t>
        </w:r>
      </w:hyperlink>
    </w:p>
    <w:p w:rsidR="00E55E31" w:rsidRPr="00ED3604" w:rsidP="000529E8" w14:paraId="679E4192" w14:textId="77777777">
      <w:pPr>
        <w:ind w:left="3600"/>
      </w:pPr>
      <w:r w:rsidRPr="00ED3604">
        <w:t>(willing to accept service by e-mail)</w:t>
      </w:r>
    </w:p>
    <w:p w:rsidR="00E55E31" w:rsidRPr="00ED3604" w:rsidP="00DF6090" w14:paraId="6784DD92" w14:textId="314B55D3">
      <w:pPr>
        <w:spacing w:line="480" w:lineRule="auto"/>
        <w:ind w:firstLine="720"/>
      </w:pPr>
    </w:p>
    <w:p w:rsidR="00C32387" w:rsidRPr="00ED3604" w:rsidP="00DF6090" w14:paraId="3228572B" w14:textId="50A4EC74">
      <w:pPr>
        <w:spacing w:line="480" w:lineRule="auto"/>
        <w:ind w:firstLine="720"/>
      </w:pPr>
    </w:p>
    <w:p w:rsidR="00C32387" w:rsidRPr="00ED3604" w:rsidP="00DF6090" w14:paraId="408CFC20" w14:textId="77777777">
      <w:pPr>
        <w:spacing w:line="480" w:lineRule="auto"/>
        <w:ind w:firstLine="720"/>
        <w:sectPr w:rsidSect="000529E8">
          <w:headerReference w:type="default" r:id="rId11"/>
          <w:pgSz w:w="12240" w:h="15840"/>
          <w:pgMar w:top="1440" w:right="1800" w:bottom="1440" w:left="1800" w:header="720" w:footer="720" w:gutter="0"/>
          <w:cols w:space="720"/>
          <w:docGrid w:linePitch="360"/>
        </w:sectPr>
      </w:pPr>
    </w:p>
    <w:p w:rsidR="00C32387" w:rsidRPr="00ED3604" w:rsidP="00C32387" w14:paraId="235DC348" w14:textId="77777777">
      <w:pPr>
        <w:jc w:val="center"/>
        <w:rPr>
          <w:b/>
          <w:bCs/>
          <w:u w:val="single"/>
        </w:rPr>
      </w:pPr>
      <w:r w:rsidRPr="00ED3604">
        <w:rPr>
          <w:b/>
          <w:bCs/>
          <w:u w:val="single"/>
        </w:rPr>
        <w:t>CERTIFICATE OF SERVICE</w:t>
      </w:r>
    </w:p>
    <w:p w:rsidR="00C32387" w:rsidRPr="00ED3604" w:rsidP="00C32387" w14:paraId="5F195F0C" w14:textId="0082765C">
      <w:pPr>
        <w:spacing w:line="480" w:lineRule="atLeast"/>
      </w:pPr>
      <w:r w:rsidRPr="00ED3604">
        <w:tab/>
        <w:t xml:space="preserve">I hereby certify that a copy of these </w:t>
      </w:r>
      <w:r w:rsidR="000529E8">
        <w:t xml:space="preserve">Reply </w:t>
      </w:r>
      <w:r w:rsidRPr="00ED3604">
        <w:t xml:space="preserve">Comments were served on the persons stated below via electronic transmission, this </w:t>
      </w:r>
      <w:r w:rsidR="003817D6">
        <w:t>20</w:t>
      </w:r>
      <w:r w:rsidRPr="00ED3604">
        <w:t>th day of May 2020.</w:t>
      </w:r>
    </w:p>
    <w:p w:rsidR="00C32387" w:rsidRPr="00ED3604" w:rsidP="00C32387" w14:paraId="6B602A8B" w14:textId="77777777">
      <w:pPr>
        <w:spacing w:line="480" w:lineRule="atLeast"/>
      </w:pPr>
    </w:p>
    <w:p w:rsidR="00C32387" w:rsidRPr="00ED3604" w:rsidP="00C32387" w14:paraId="634D18DF" w14:textId="303AAE71">
      <w:pPr>
        <w:tabs>
          <w:tab w:val="left" w:pos="4320"/>
        </w:tabs>
      </w:pPr>
      <w:r w:rsidRPr="00ED3604">
        <w:tab/>
      </w:r>
      <w:r w:rsidRPr="00ED3604">
        <w:rPr>
          <w:i/>
          <w:u w:val="single"/>
        </w:rPr>
        <w:t xml:space="preserve">/s/ Ambrosia E. </w:t>
      </w:r>
      <w:r w:rsidRPr="00ED3604" w:rsidR="00C12F0F">
        <w:rPr>
          <w:i/>
          <w:u w:val="single"/>
        </w:rPr>
        <w:t>Wilson</w:t>
      </w:r>
    </w:p>
    <w:p w:rsidR="00C32387" w:rsidRPr="00ED3604" w:rsidP="00C32387" w14:paraId="1FBFFEF3" w14:textId="062F1D8D">
      <w:pPr>
        <w:tabs>
          <w:tab w:val="left" w:pos="4320"/>
        </w:tabs>
        <w:rPr>
          <w:iCs/>
        </w:rPr>
      </w:pPr>
      <w:r w:rsidRPr="00ED3604">
        <w:tab/>
      </w:r>
      <w:r w:rsidRPr="00ED3604">
        <w:rPr>
          <w:iCs/>
        </w:rPr>
        <w:t xml:space="preserve">Ambrosia E. </w:t>
      </w:r>
      <w:r w:rsidRPr="00ED3604" w:rsidR="00C12F0F">
        <w:rPr>
          <w:iCs/>
        </w:rPr>
        <w:t>Wilson</w:t>
      </w:r>
    </w:p>
    <w:p w:rsidR="00C32387" w:rsidRPr="00ED3604" w:rsidP="00C32387" w14:paraId="23A48540" w14:textId="77777777">
      <w:pPr>
        <w:tabs>
          <w:tab w:val="left" w:pos="4320"/>
        </w:tabs>
      </w:pPr>
      <w:r w:rsidRPr="00ED3604">
        <w:tab/>
        <w:t>Assistant Consumers’ Counsel</w:t>
      </w:r>
    </w:p>
    <w:p w:rsidR="00C32387" w:rsidRPr="00ED3604" w:rsidP="00C32387" w14:paraId="79989AF9" w14:textId="77777777">
      <w:pPr>
        <w:tabs>
          <w:tab w:val="left" w:pos="4320"/>
        </w:tabs>
      </w:pPr>
    </w:p>
    <w:p w:rsidR="00C32387" w:rsidRPr="00ED3604" w:rsidP="00C32387" w14:paraId="6E7E4188" w14:textId="77777777">
      <w:pPr>
        <w:pStyle w:val="CommentText"/>
        <w:rPr>
          <w:rFonts w:ascii="Times New Roman" w:hAnsi="Times New Roman" w:cs="Times New Roman"/>
          <w:sz w:val="24"/>
          <w:szCs w:val="24"/>
        </w:rPr>
      </w:pPr>
      <w:r w:rsidRPr="00ED3604">
        <w:rPr>
          <w:rFonts w:ascii="Times New Roman" w:hAnsi="Times New Roman" w:cs="Times New Roman"/>
          <w:sz w:val="24"/>
          <w:szCs w:val="24"/>
        </w:rPr>
        <w:t>The PUCO’s e-filing system will electronically serve notice of the filing of this document on the following parties:</w:t>
      </w:r>
    </w:p>
    <w:p w:rsidR="00C32387" w:rsidRPr="00ED3604" w:rsidP="00C32387" w14:paraId="7CA50101" w14:textId="77777777">
      <w:pPr>
        <w:tabs>
          <w:tab w:val="left" w:pos="4320"/>
        </w:tabs>
      </w:pPr>
    </w:p>
    <w:p w:rsidR="00C32387" w:rsidRPr="00ED3604" w:rsidP="00C32387" w14:paraId="61247447" w14:textId="77777777">
      <w:pPr>
        <w:pStyle w:val="CommentText"/>
        <w:jc w:val="center"/>
        <w:rPr>
          <w:rFonts w:ascii="Times New Roman" w:hAnsi="Times New Roman" w:cs="Times New Roman"/>
          <w:b/>
          <w:sz w:val="24"/>
          <w:szCs w:val="24"/>
          <w:u w:val="single"/>
        </w:rPr>
      </w:pPr>
      <w:r w:rsidRPr="00ED3604">
        <w:rPr>
          <w:rFonts w:ascii="Times New Roman" w:hAnsi="Times New Roman" w:cs="Times New Roman"/>
          <w:b/>
          <w:sz w:val="24"/>
          <w:szCs w:val="24"/>
          <w:u w:val="single"/>
        </w:rPr>
        <w:t>SERVICE LIST</w:t>
      </w:r>
    </w:p>
    <w:p w:rsidR="00C32387" w:rsidRPr="00ED3604" w:rsidP="00C32387" w14:paraId="4E8DBDCE" w14:textId="77777777">
      <w:pPr>
        <w:pStyle w:val="BodyText"/>
        <w:spacing w:after="0"/>
        <w:rPr>
          <w:b/>
          <w:bCs/>
        </w:rPr>
      </w:pPr>
    </w:p>
    <w:tbl>
      <w:tblPr>
        <w:tblW w:w="0" w:type="auto"/>
        <w:tblLook w:val="04A0"/>
      </w:tblPr>
      <w:tblGrid>
        <w:gridCol w:w="4368"/>
        <w:gridCol w:w="4272"/>
      </w:tblGrid>
      <w:tr w14:paraId="332D0828" w14:textId="77777777" w:rsidTr="008F5C1C">
        <w:tblPrEx>
          <w:tblW w:w="0" w:type="auto"/>
          <w:tblLook w:val="04A0"/>
        </w:tblPrEx>
        <w:trPr>
          <w:trHeight w:val="1620"/>
        </w:trPr>
        <w:tc>
          <w:tcPr>
            <w:tcW w:w="4428" w:type="dxa"/>
            <w:shd w:val="clear" w:color="auto" w:fill="auto"/>
          </w:tcPr>
          <w:p w:rsidR="00C32387" w:rsidRPr="00ED3604" w:rsidP="008F5C1C" w14:paraId="2EB764E6" w14:textId="77777777">
            <w:pPr>
              <w:autoSpaceDE w:val="0"/>
              <w:autoSpaceDN w:val="0"/>
              <w:adjustRightInd w:val="0"/>
              <w:rPr>
                <w:rStyle w:val="Hyperlink"/>
                <w:bCs/>
              </w:rPr>
            </w:pPr>
            <w:hyperlink r:id="rId12" w:history="1">
              <w:r w:rsidRPr="00ED3604" w:rsidR="00310574">
                <w:rPr>
                  <w:rStyle w:val="Hyperlink"/>
                </w:rPr>
                <w:t>steven.darnell@ohioattorneygeneral.gov</w:t>
              </w:r>
            </w:hyperlink>
          </w:p>
          <w:p w:rsidR="00C32387" w:rsidRPr="00ED3604" w:rsidP="008F5C1C" w14:paraId="4CA695F5" w14:textId="7C77718A">
            <w:pPr>
              <w:autoSpaceDE w:val="0"/>
              <w:autoSpaceDN w:val="0"/>
              <w:adjustRightInd w:val="0"/>
              <w:rPr>
                <w:rStyle w:val="Hyperlink"/>
                <w:bCs/>
              </w:rPr>
            </w:pPr>
            <w:hyperlink r:id="rId13" w:history="1">
              <w:r w:rsidRPr="00ED3604" w:rsidR="00310574">
                <w:rPr>
                  <w:rStyle w:val="Hyperlink"/>
                  <w:bCs/>
                </w:rPr>
                <w:t>steven.beeler@ohioattornegeneral.gov</w:t>
              </w:r>
            </w:hyperlink>
          </w:p>
          <w:p w:rsidR="00314E80" w:rsidRPr="00ED3604" w:rsidP="008F5C1C" w14:paraId="0D4BBB7D" w14:textId="62587C39">
            <w:pPr>
              <w:autoSpaceDE w:val="0"/>
              <w:autoSpaceDN w:val="0"/>
              <w:adjustRightInd w:val="0"/>
              <w:rPr>
                <w:rFonts w:eastAsiaTheme="minorHAnsi"/>
                <w:color w:val="0563C2"/>
              </w:rPr>
            </w:pPr>
            <w:hyperlink r:id="rId14" w:history="1">
              <w:r w:rsidRPr="00ED3604" w:rsidR="00310574">
                <w:rPr>
                  <w:rStyle w:val="Hyperlink"/>
                  <w:rFonts w:eastAsiaTheme="minorHAnsi"/>
                </w:rPr>
                <w:t>gkrassen@bricker.com</w:t>
              </w:r>
            </w:hyperlink>
          </w:p>
          <w:p w:rsidR="00314E80" w:rsidRPr="00ED3604" w:rsidP="00314E80" w14:paraId="479F6A8A" w14:textId="1E60F59C">
            <w:pPr>
              <w:autoSpaceDE w:val="0"/>
              <w:autoSpaceDN w:val="0"/>
              <w:adjustRightInd w:val="0"/>
              <w:rPr>
                <w:rFonts w:eastAsiaTheme="minorHAnsi"/>
                <w:color w:val="0563C2"/>
              </w:rPr>
            </w:pPr>
            <w:hyperlink r:id="rId15" w:history="1">
              <w:r w:rsidRPr="00ED3604" w:rsidR="00310574">
                <w:rPr>
                  <w:rStyle w:val="Hyperlink"/>
                  <w:rFonts w:eastAsiaTheme="minorHAnsi"/>
                </w:rPr>
                <w:t>dstinson@bricker.com</w:t>
              </w:r>
            </w:hyperlink>
          </w:p>
          <w:p w:rsidR="00314E80" w:rsidRPr="00ED3604" w:rsidP="00314E80" w14:paraId="49C6F90A" w14:textId="7E7E0880">
            <w:pPr>
              <w:autoSpaceDE w:val="0"/>
              <w:autoSpaceDN w:val="0"/>
              <w:adjustRightInd w:val="0"/>
              <w:rPr>
                <w:rFonts w:eastAsiaTheme="minorHAnsi"/>
                <w:color w:val="0563C2"/>
              </w:rPr>
            </w:pPr>
            <w:hyperlink r:id="rId16" w:history="1">
              <w:r w:rsidRPr="00ED3604" w:rsidR="00310574">
                <w:rPr>
                  <w:rStyle w:val="Hyperlink"/>
                  <w:rFonts w:eastAsiaTheme="minorHAnsi"/>
                </w:rPr>
                <w:t>dparram@bricker.com</w:t>
              </w:r>
            </w:hyperlink>
          </w:p>
          <w:p w:rsidR="00C32387" w:rsidRPr="00ED3604" w:rsidP="008F5C1C" w14:paraId="2DD3C001" w14:textId="6C459BA5">
            <w:pPr>
              <w:autoSpaceDE w:val="0"/>
              <w:autoSpaceDN w:val="0"/>
              <w:adjustRightInd w:val="0"/>
              <w:rPr>
                <w:rFonts w:eastAsiaTheme="minorHAnsi"/>
                <w:color w:val="0000FF"/>
              </w:rPr>
            </w:pPr>
            <w:hyperlink r:id="rId17" w:history="1">
              <w:r w:rsidRPr="00ED3604" w:rsidR="00314E80">
                <w:rPr>
                  <w:rStyle w:val="Hyperlink"/>
                  <w:rFonts w:eastAsiaTheme="minorHAnsi"/>
                </w:rPr>
                <w:t>bethany.allen@igs.com</w:t>
              </w:r>
            </w:hyperlink>
          </w:p>
          <w:p w:rsidR="00314E80" w:rsidRPr="00ED3604" w:rsidP="008F5C1C" w14:paraId="02C39504" w14:textId="32943C30">
            <w:pPr>
              <w:autoSpaceDE w:val="0"/>
              <w:autoSpaceDN w:val="0"/>
              <w:adjustRightInd w:val="0"/>
              <w:rPr>
                <w:rFonts w:eastAsiaTheme="minorHAnsi"/>
                <w:color w:val="0000FF"/>
              </w:rPr>
            </w:pPr>
            <w:hyperlink r:id="rId18" w:history="1">
              <w:r w:rsidRPr="00ED3604" w:rsidR="00310574">
                <w:rPr>
                  <w:rStyle w:val="Hyperlink"/>
                  <w:rFonts w:eastAsiaTheme="minorHAnsi"/>
                </w:rPr>
                <w:t>joe.oliker@igs.com</w:t>
              </w:r>
            </w:hyperlink>
          </w:p>
          <w:p w:rsidR="00314E80" w:rsidRPr="00ED3604" w:rsidP="008F5C1C" w14:paraId="770BED56" w14:textId="3A09ADDA">
            <w:pPr>
              <w:autoSpaceDE w:val="0"/>
              <w:autoSpaceDN w:val="0"/>
              <w:adjustRightInd w:val="0"/>
              <w:rPr>
                <w:rFonts w:eastAsiaTheme="minorHAnsi"/>
                <w:color w:val="0000FF"/>
              </w:rPr>
            </w:pPr>
            <w:hyperlink r:id="rId19" w:history="1">
              <w:r w:rsidRPr="00ED3604" w:rsidR="00310574">
                <w:rPr>
                  <w:rStyle w:val="Hyperlink"/>
                  <w:rFonts w:eastAsiaTheme="minorHAnsi"/>
                </w:rPr>
                <w:t>michael.nugent@igs.com</w:t>
              </w:r>
            </w:hyperlink>
          </w:p>
          <w:p w:rsidR="00314E80" w:rsidRPr="00ED3604" w:rsidP="008F5C1C" w14:paraId="784B6C98" w14:textId="77777777">
            <w:pPr>
              <w:autoSpaceDE w:val="0"/>
              <w:autoSpaceDN w:val="0"/>
              <w:adjustRightInd w:val="0"/>
              <w:rPr>
                <w:bCs/>
              </w:rPr>
            </w:pPr>
          </w:p>
          <w:p w:rsidR="00C32387" w:rsidRPr="00ED3604" w:rsidP="008F5C1C" w14:paraId="2F79C4B3" w14:textId="77777777">
            <w:pPr>
              <w:autoSpaceDE w:val="0"/>
              <w:autoSpaceDN w:val="0"/>
              <w:adjustRightInd w:val="0"/>
              <w:rPr>
                <w:bCs/>
              </w:rPr>
            </w:pPr>
          </w:p>
          <w:p w:rsidR="00C32387" w:rsidRPr="00ED3604" w:rsidP="008F5C1C" w14:paraId="6D7BD4CD" w14:textId="77777777">
            <w:pPr>
              <w:autoSpaceDE w:val="0"/>
              <w:autoSpaceDN w:val="0"/>
              <w:adjustRightInd w:val="0"/>
              <w:rPr>
                <w:bCs/>
              </w:rPr>
            </w:pPr>
            <w:r w:rsidRPr="00ED3604">
              <w:rPr>
                <w:bCs/>
              </w:rPr>
              <w:t>Attorney Examiner:</w:t>
            </w:r>
          </w:p>
          <w:p w:rsidR="00C32387" w:rsidRPr="00ED3604" w:rsidP="008F5C1C" w14:paraId="429FAB24" w14:textId="77777777">
            <w:pPr>
              <w:autoSpaceDE w:val="0"/>
              <w:autoSpaceDN w:val="0"/>
              <w:adjustRightInd w:val="0"/>
              <w:rPr>
                <w:bCs/>
              </w:rPr>
            </w:pPr>
            <w:r w:rsidRPr="00ED3604">
              <w:rPr>
                <w:rStyle w:val="Hyperlink"/>
              </w:rPr>
              <w:t>matthew.sandor@puco.ohio.gov</w:t>
            </w:r>
          </w:p>
        </w:tc>
        <w:tc>
          <w:tcPr>
            <w:tcW w:w="4428" w:type="dxa"/>
            <w:shd w:val="clear" w:color="auto" w:fill="auto"/>
          </w:tcPr>
          <w:p w:rsidR="00C32387" w:rsidRPr="00ED3604" w:rsidP="008F5C1C" w14:paraId="027568DC" w14:textId="77777777">
            <w:pPr>
              <w:pStyle w:val="BodyText"/>
              <w:spacing w:after="0"/>
              <w:ind w:left="232"/>
              <w:rPr>
                <w:rStyle w:val="Hyperlink"/>
              </w:rPr>
            </w:pPr>
            <w:hyperlink r:id="rId20" w:history="1">
              <w:r w:rsidRPr="00ED3604" w:rsidR="00310574">
                <w:rPr>
                  <w:rStyle w:val="Hyperlink"/>
                </w:rPr>
                <w:t>michael.schuler@aes.com</w:t>
              </w:r>
            </w:hyperlink>
          </w:p>
          <w:p w:rsidR="00C32387" w:rsidRPr="00ED3604" w:rsidP="008F5C1C" w14:paraId="6D447F29" w14:textId="77777777">
            <w:pPr>
              <w:pStyle w:val="BodyText"/>
              <w:spacing w:after="0"/>
              <w:ind w:left="232"/>
              <w:rPr>
                <w:rStyle w:val="Hyperlink"/>
              </w:rPr>
            </w:pPr>
            <w:hyperlink r:id="rId21" w:history="1">
              <w:r w:rsidRPr="00ED3604" w:rsidR="00310574">
                <w:rPr>
                  <w:rStyle w:val="Hyperlink"/>
                </w:rPr>
                <w:t>stnourse@aep.com</w:t>
              </w:r>
            </w:hyperlink>
          </w:p>
          <w:p w:rsidR="00C32387" w:rsidRPr="00ED3604" w:rsidP="008F5C1C" w14:paraId="77CF2D6C" w14:textId="77777777">
            <w:pPr>
              <w:pStyle w:val="BodyText"/>
              <w:spacing w:after="0"/>
              <w:ind w:left="232"/>
              <w:rPr>
                <w:rStyle w:val="Hyperlink"/>
              </w:rPr>
            </w:pPr>
            <w:hyperlink r:id="rId22" w:history="1">
              <w:r w:rsidRPr="00ED3604" w:rsidR="00310574">
                <w:rPr>
                  <w:rStyle w:val="Hyperlink"/>
                </w:rPr>
                <w:t>cmblend@aep.com</w:t>
              </w:r>
            </w:hyperlink>
          </w:p>
          <w:p w:rsidR="00C32387" w:rsidRPr="00ED3604" w:rsidP="008F5C1C" w14:paraId="620E7DCC" w14:textId="77777777">
            <w:pPr>
              <w:pStyle w:val="BodyText"/>
              <w:spacing w:after="0"/>
              <w:ind w:left="232"/>
              <w:rPr>
                <w:rStyle w:val="Hyperlink"/>
              </w:rPr>
            </w:pPr>
            <w:hyperlink r:id="rId23" w:history="1">
              <w:r w:rsidRPr="00ED3604" w:rsidR="00310574">
                <w:rPr>
                  <w:rStyle w:val="Hyperlink"/>
                </w:rPr>
                <w:t>cwatchorn@firstenergycorp.com</w:t>
              </w:r>
            </w:hyperlink>
          </w:p>
          <w:p w:rsidR="00C32387" w:rsidRPr="00ED3604" w:rsidP="008F5C1C" w14:paraId="60FCD4CC" w14:textId="77777777">
            <w:pPr>
              <w:pStyle w:val="BodyText"/>
              <w:spacing w:after="0"/>
              <w:ind w:left="232"/>
              <w:rPr>
                <w:rStyle w:val="Hyperlink"/>
              </w:rPr>
            </w:pPr>
            <w:hyperlink r:id="rId24" w:history="1">
              <w:r w:rsidRPr="00ED3604" w:rsidR="00310574">
                <w:rPr>
                  <w:rStyle w:val="Hyperlink"/>
                </w:rPr>
                <w:t>rocco.dascenzo@duke-energy.com</w:t>
              </w:r>
            </w:hyperlink>
          </w:p>
          <w:p w:rsidR="00C32387" w:rsidP="008F5C1C" w14:paraId="5E7C8035" w14:textId="08506580">
            <w:pPr>
              <w:pStyle w:val="BodyText"/>
              <w:spacing w:after="0"/>
              <w:ind w:left="232"/>
              <w:rPr>
                <w:rStyle w:val="Hyperlink"/>
              </w:rPr>
            </w:pPr>
            <w:hyperlink r:id="rId25" w:history="1">
              <w:r w:rsidRPr="00ED3604" w:rsidR="00310574">
                <w:rPr>
                  <w:rStyle w:val="Hyperlink"/>
                </w:rPr>
                <w:t>larisa.maysman@duke-energy.com</w:t>
              </w:r>
            </w:hyperlink>
          </w:p>
          <w:p w:rsidR="003817D6" w:rsidP="003817D6" w14:paraId="0F52954D" w14:textId="468E7B63">
            <w:pPr>
              <w:pStyle w:val="BodyText"/>
              <w:spacing w:after="0"/>
              <w:ind w:left="232"/>
              <w:rPr>
                <w:rFonts w:ascii="TimesNewRomanPSMT" w:hAnsi="TimesNewRomanPSMT" w:eastAsiaTheme="minorHAnsi" w:cs="TimesNewRomanPSMT"/>
              </w:rPr>
            </w:pPr>
            <w:hyperlink r:id="rId26" w:history="1">
              <w:r w:rsidRPr="003B37C6" w:rsidR="00CC5660">
                <w:rPr>
                  <w:rStyle w:val="Hyperlink"/>
                  <w:rFonts w:ascii="TimesNewRomanPSMT" w:hAnsi="TimesNewRomanPSMT" w:eastAsiaTheme="minorHAnsi" w:cs="TimesNewRomanPSMT"/>
                </w:rPr>
                <w:t>whitt@whitt-sturtevant.com</w:t>
              </w:r>
            </w:hyperlink>
          </w:p>
          <w:p w:rsidR="003817D6" w:rsidP="003817D6" w14:paraId="41DC9BB0" w14:textId="2BA128D0">
            <w:pPr>
              <w:pStyle w:val="BodyText"/>
              <w:spacing w:after="0"/>
              <w:ind w:left="232"/>
              <w:rPr>
                <w:rFonts w:ascii="TimesNewRomanPSMT" w:hAnsi="TimesNewRomanPSMT" w:eastAsiaTheme="minorHAnsi" w:cs="TimesNewRomanPSMT"/>
              </w:rPr>
            </w:pPr>
            <w:hyperlink r:id="rId27" w:history="1">
              <w:r w:rsidRPr="003B37C6" w:rsidR="00CC5660">
                <w:rPr>
                  <w:rStyle w:val="Hyperlink"/>
                  <w:rFonts w:ascii="TimesNewRomanPSMT" w:hAnsi="TimesNewRomanPSMT" w:eastAsiaTheme="minorHAnsi" w:cs="TimesNewRomanPSMT"/>
                </w:rPr>
                <w:t>fykes@whitt-sturtevant.com</w:t>
              </w:r>
            </w:hyperlink>
          </w:p>
          <w:p w:rsidR="003817D6" w:rsidRPr="00ED3604" w:rsidP="003817D6" w14:paraId="68E156A4" w14:textId="77777777">
            <w:pPr>
              <w:pStyle w:val="BodyText"/>
              <w:spacing w:after="0"/>
              <w:ind w:left="232"/>
              <w:rPr>
                <w:rStyle w:val="Hyperlink"/>
              </w:rPr>
            </w:pPr>
          </w:p>
          <w:p w:rsidR="00C32387" w:rsidRPr="00ED3604" w:rsidP="008F5C1C" w14:paraId="694F52E2" w14:textId="77777777">
            <w:pPr>
              <w:pStyle w:val="BodyText"/>
              <w:spacing w:after="0"/>
              <w:ind w:left="232"/>
              <w:rPr>
                <w:rStyle w:val="Hyperlink"/>
              </w:rPr>
            </w:pPr>
          </w:p>
          <w:p w:rsidR="00C32387" w:rsidRPr="00ED3604" w:rsidP="008F5C1C" w14:paraId="232B9BF1" w14:textId="77777777">
            <w:pPr>
              <w:pStyle w:val="BodyText"/>
              <w:spacing w:after="0"/>
              <w:ind w:left="232"/>
              <w:rPr>
                <w:rStyle w:val="Hyperlink"/>
              </w:rPr>
            </w:pPr>
          </w:p>
          <w:p w:rsidR="00C32387" w:rsidRPr="00ED3604" w:rsidP="008F5C1C" w14:paraId="5B0A3F58" w14:textId="77777777">
            <w:pPr>
              <w:pStyle w:val="BodyText"/>
              <w:spacing w:after="0"/>
              <w:rPr>
                <w:bCs/>
              </w:rPr>
            </w:pPr>
          </w:p>
        </w:tc>
      </w:tr>
    </w:tbl>
    <w:p w:rsidR="00C32387" w:rsidRPr="00ED3604" w:rsidP="00DF6090" w14:paraId="62100431" w14:textId="1B7DB4C7">
      <w:pPr>
        <w:spacing w:line="480" w:lineRule="auto"/>
        <w:ind w:firstLine="720"/>
      </w:pPr>
    </w:p>
    <w:sectPr w:rsidSect="005515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03681829"/>
      <w:docPartObj>
        <w:docPartGallery w:val="Page Numbers (Bottom of Page)"/>
        <w:docPartUnique/>
      </w:docPartObj>
    </w:sdtPr>
    <w:sdtEndPr>
      <w:rPr>
        <w:noProof/>
      </w:rPr>
    </w:sdtEndPr>
    <w:sdtContent>
      <w:p w:rsidR="0055150D" w14:paraId="6AC80761" w14:textId="1A2F5F7B">
        <w:pPr>
          <w:pStyle w:val="Footer"/>
          <w:jc w:val="center"/>
        </w:pPr>
      </w:p>
    </w:sdtContent>
  </w:sdt>
  <w:p w:rsidR="00207350" w14:paraId="6D28D155"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80349487"/>
      <w:docPartObj>
        <w:docPartGallery w:val="Page Numbers (Bottom of Page)"/>
        <w:docPartUnique/>
      </w:docPartObj>
    </w:sdtPr>
    <w:sdtEndPr>
      <w:rPr>
        <w:noProof/>
      </w:rPr>
    </w:sdtEndPr>
    <w:sdtContent>
      <w:p w:rsidR="0055150D" w14:paraId="78D3AA0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5150D" w14:paraId="6B2F8C89"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C5660" w:rsidP="00693E30" w14:paraId="58FD84A2" w14:textId="77777777">
      <w:r>
        <w:separator/>
      </w:r>
    </w:p>
  </w:footnote>
  <w:footnote w:type="continuationSeparator" w:id="1">
    <w:p w:rsidR="00CC5660" w:rsidP="00693E30" w14:paraId="7F3B0399" w14:textId="77777777">
      <w:r>
        <w:continuationSeparator/>
      </w:r>
    </w:p>
  </w:footnote>
  <w:footnote w:id="2">
    <w:p w:rsidR="003A43E2" w:rsidRPr="0044448F" w:rsidP="0044448F" w14:paraId="2103A78B" w14:textId="5B10F80B">
      <w:pPr>
        <w:spacing w:after="120"/>
        <w:rPr>
          <w:sz w:val="20"/>
          <w:szCs w:val="20"/>
        </w:rPr>
      </w:pPr>
      <w:r w:rsidRPr="0044448F">
        <w:rPr>
          <w:rStyle w:val="FootnoteReference"/>
          <w:sz w:val="20"/>
          <w:szCs w:val="20"/>
        </w:rPr>
        <w:footnoteRef/>
      </w:r>
      <w:r w:rsidRPr="0044448F">
        <w:rPr>
          <w:sz w:val="20"/>
          <w:szCs w:val="20"/>
        </w:rPr>
        <w:t xml:space="preserve"> </w:t>
      </w:r>
      <w:r w:rsidRPr="0044448F">
        <w:rPr>
          <w:i/>
          <w:iCs/>
          <w:sz w:val="20"/>
          <w:szCs w:val="20"/>
        </w:rPr>
        <w:t>See</w:t>
      </w:r>
      <w:r w:rsidRPr="0044448F">
        <w:rPr>
          <w:sz w:val="20"/>
          <w:szCs w:val="20"/>
        </w:rPr>
        <w:t xml:space="preserve"> R.C. 4905.22</w:t>
      </w:r>
      <w:r w:rsidRPr="0044448F" w:rsidR="005902F7">
        <w:rPr>
          <w:sz w:val="20"/>
          <w:szCs w:val="20"/>
        </w:rPr>
        <w:t xml:space="preserve"> (Essential utility services are those necessary to make sure that Utilities have necessary and adequate facilities to provide basic reliable service to customers. Non-essential services are those not needed to provide basic utility services to customers)</w:t>
      </w:r>
      <w:r w:rsidRPr="0044448F">
        <w:rPr>
          <w:sz w:val="20"/>
          <w:szCs w:val="20"/>
        </w:rPr>
        <w:t xml:space="preserve">. </w:t>
      </w:r>
    </w:p>
  </w:footnote>
  <w:footnote w:id="3">
    <w:p w:rsidR="0041663D" w:rsidRPr="0044448F" w:rsidP="0044448F" w14:paraId="69FDC671" w14:textId="1382AAA0">
      <w:pPr>
        <w:pStyle w:val="FootnoteText"/>
        <w:spacing w:after="120"/>
        <w:rPr>
          <w:rFonts w:ascii="Times New Roman" w:hAnsi="Times New Roman" w:cs="Times New Roman"/>
        </w:rPr>
      </w:pPr>
      <w:r w:rsidRPr="0044448F">
        <w:rPr>
          <w:rStyle w:val="FootnoteReference"/>
          <w:rFonts w:ascii="Times New Roman" w:hAnsi="Times New Roman" w:cs="Times New Roman"/>
        </w:rPr>
        <w:footnoteRef/>
      </w:r>
      <w:r w:rsidRPr="0044448F">
        <w:rPr>
          <w:rFonts w:ascii="Times New Roman" w:hAnsi="Times New Roman" w:cs="Times New Roman"/>
        </w:rPr>
        <w:t xml:space="preserve"> </w:t>
      </w:r>
      <w:r w:rsidRPr="0044448F" w:rsidR="00CD4B6F">
        <w:rPr>
          <w:rFonts w:ascii="Times New Roman" w:hAnsi="Times New Roman" w:cs="Times New Roman"/>
          <w:i/>
          <w:iCs/>
        </w:rPr>
        <w:t>See</w:t>
      </w:r>
      <w:r w:rsidRPr="0044448F" w:rsidR="00CD4B6F">
        <w:rPr>
          <w:rFonts w:ascii="Times New Roman" w:hAnsi="Times New Roman" w:cs="Times New Roman"/>
        </w:rPr>
        <w:t xml:space="preserve"> </w:t>
      </w:r>
      <w:r w:rsidRPr="0044448F">
        <w:rPr>
          <w:rFonts w:ascii="Times New Roman" w:hAnsi="Times New Roman" w:cs="Times New Roman"/>
        </w:rPr>
        <w:t>OCC Comments at 3.</w:t>
      </w:r>
    </w:p>
  </w:footnote>
  <w:footnote w:id="4">
    <w:p w:rsidR="00AD05F3" w:rsidRPr="0044448F" w:rsidP="0044448F" w14:paraId="4F4010C5" w14:textId="5C046C16">
      <w:pPr>
        <w:pStyle w:val="FootnoteText"/>
        <w:spacing w:after="120"/>
        <w:rPr>
          <w:rFonts w:ascii="Times New Roman" w:hAnsi="Times New Roman" w:cs="Times New Roman"/>
        </w:rPr>
      </w:pPr>
      <w:r w:rsidRPr="0044448F">
        <w:rPr>
          <w:rStyle w:val="FootnoteReference"/>
          <w:rFonts w:ascii="Times New Roman" w:hAnsi="Times New Roman" w:cs="Times New Roman"/>
        </w:rPr>
        <w:footnoteRef/>
      </w:r>
      <w:r w:rsidRPr="0044448F" w:rsidR="00DE6584">
        <w:rPr>
          <w:rFonts w:ascii="Times New Roman" w:hAnsi="Times New Roman" w:cs="Times New Roman"/>
        </w:rPr>
        <w:t xml:space="preserve"> </w:t>
      </w:r>
      <w:r w:rsidRPr="0044448F" w:rsidR="00DE6584">
        <w:rPr>
          <w:rFonts w:ascii="Times New Roman" w:hAnsi="Times New Roman" w:cs="Times New Roman"/>
          <w:i/>
          <w:iCs/>
        </w:rPr>
        <w:t>See Id.</w:t>
      </w:r>
      <w:r w:rsidRPr="0044448F" w:rsidR="00D90FFF">
        <w:rPr>
          <w:rFonts w:ascii="Times New Roman" w:hAnsi="Times New Roman" w:cs="Times New Roman"/>
        </w:rPr>
        <w:t xml:space="preserve">; </w:t>
      </w:r>
      <w:r w:rsidRPr="0044448F" w:rsidR="00DE6584">
        <w:rPr>
          <w:rFonts w:ascii="Times New Roman" w:hAnsi="Times New Roman" w:cs="Times New Roman"/>
          <w:i/>
          <w:iCs/>
        </w:rPr>
        <w:t>see also</w:t>
      </w:r>
      <w:r w:rsidRPr="0044448F" w:rsidR="00D90FFF">
        <w:rPr>
          <w:rFonts w:ascii="Times New Roman" w:hAnsi="Times New Roman" w:cs="Times New Roman"/>
        </w:rPr>
        <w:t xml:space="preserve"> </w:t>
      </w:r>
      <w:r w:rsidRPr="0044448F">
        <w:rPr>
          <w:rFonts w:ascii="Times New Roman" w:hAnsi="Times New Roman" w:cs="Times New Roman"/>
        </w:rPr>
        <w:t>Staff Comments at 3</w:t>
      </w:r>
      <w:r w:rsidRPr="0044448F" w:rsidR="00D90FFF">
        <w:rPr>
          <w:rFonts w:ascii="Times New Roman" w:hAnsi="Times New Roman" w:cs="Times New Roman"/>
        </w:rPr>
        <w:t xml:space="preserve">; </w:t>
      </w:r>
      <w:r w:rsidRPr="0044448F" w:rsidR="00DE6584">
        <w:rPr>
          <w:rFonts w:ascii="Times New Roman" w:hAnsi="Times New Roman" w:cs="Times New Roman"/>
          <w:i/>
          <w:iCs/>
        </w:rPr>
        <w:t>see also</w:t>
      </w:r>
      <w:r w:rsidRPr="0044448F" w:rsidR="00DE6584">
        <w:rPr>
          <w:rFonts w:ascii="Times New Roman" w:hAnsi="Times New Roman" w:cs="Times New Roman"/>
        </w:rPr>
        <w:t xml:space="preserve"> </w:t>
      </w:r>
      <w:r w:rsidRPr="0044448F" w:rsidR="00D90FFF">
        <w:rPr>
          <w:rFonts w:ascii="Times New Roman" w:hAnsi="Times New Roman" w:cs="Times New Roman"/>
        </w:rPr>
        <w:t>NOPEC comments at 3</w:t>
      </w:r>
      <w:r w:rsidRPr="0044448F">
        <w:rPr>
          <w:rFonts w:ascii="Times New Roman" w:hAnsi="Times New Roman" w:cs="Times New Roman"/>
        </w:rPr>
        <w:t>.</w:t>
      </w:r>
    </w:p>
  </w:footnote>
  <w:footnote w:id="5">
    <w:p w:rsidR="00DE3475" w:rsidRPr="0044448F" w:rsidP="0044448F" w14:paraId="4D0E1739" w14:textId="6308F154">
      <w:pPr>
        <w:pStyle w:val="FootnoteText"/>
        <w:spacing w:after="120"/>
        <w:rPr>
          <w:rFonts w:ascii="Times New Roman" w:hAnsi="Times New Roman" w:cs="Times New Roman"/>
        </w:rPr>
      </w:pPr>
      <w:r w:rsidRPr="0044448F">
        <w:rPr>
          <w:rStyle w:val="FootnoteReference"/>
          <w:rFonts w:ascii="Times New Roman" w:hAnsi="Times New Roman" w:cs="Times New Roman"/>
        </w:rPr>
        <w:footnoteRef/>
      </w:r>
      <w:r w:rsidRPr="0044448F">
        <w:rPr>
          <w:rFonts w:ascii="Times New Roman" w:hAnsi="Times New Roman" w:cs="Times New Roman"/>
        </w:rPr>
        <w:t xml:space="preserve"> </w:t>
      </w:r>
      <w:r w:rsidRPr="0044448F" w:rsidR="00DE6584">
        <w:rPr>
          <w:rFonts w:ascii="Times New Roman" w:hAnsi="Times New Roman" w:cs="Times New Roman"/>
          <w:i/>
          <w:iCs/>
        </w:rPr>
        <w:t xml:space="preserve">See </w:t>
      </w:r>
      <w:r w:rsidRPr="0044448F" w:rsidR="00DE6584">
        <w:rPr>
          <w:rFonts w:ascii="Times New Roman" w:hAnsi="Times New Roman" w:cs="Times New Roman"/>
        </w:rPr>
        <w:t>I</w:t>
      </w:r>
      <w:r w:rsidRPr="0044448F">
        <w:rPr>
          <w:rFonts w:ascii="Times New Roman" w:hAnsi="Times New Roman" w:cs="Times New Roman"/>
        </w:rPr>
        <w:t xml:space="preserve">GS Comments at 4; </w:t>
      </w:r>
      <w:r w:rsidRPr="0044448F" w:rsidR="00DE6584">
        <w:rPr>
          <w:rFonts w:ascii="Times New Roman" w:hAnsi="Times New Roman" w:cs="Times New Roman"/>
          <w:i/>
          <w:iCs/>
        </w:rPr>
        <w:t xml:space="preserve">See </w:t>
      </w:r>
      <w:r w:rsidRPr="0044448F">
        <w:rPr>
          <w:rFonts w:ascii="Times New Roman" w:hAnsi="Times New Roman" w:cs="Times New Roman"/>
        </w:rPr>
        <w:t xml:space="preserve">RESA and Direct Joint Comments at </w:t>
      </w:r>
      <w:r w:rsidRPr="0044448F" w:rsidR="00CF557A">
        <w:rPr>
          <w:rFonts w:ascii="Times New Roman" w:hAnsi="Times New Roman" w:cs="Times New Roman"/>
        </w:rPr>
        <w:t>8-11.</w:t>
      </w:r>
    </w:p>
  </w:footnote>
  <w:footnote w:id="6">
    <w:p w:rsidR="00A3123A" w:rsidRPr="0044448F" w:rsidP="0044448F" w14:paraId="111AA7CB" w14:textId="042E0D92">
      <w:pPr>
        <w:pStyle w:val="FootnoteText"/>
        <w:spacing w:after="120"/>
        <w:rPr>
          <w:rFonts w:ascii="Times New Roman" w:hAnsi="Times New Roman" w:cs="Times New Roman"/>
        </w:rPr>
      </w:pPr>
      <w:r w:rsidRPr="0044448F">
        <w:rPr>
          <w:rStyle w:val="FootnoteReference"/>
          <w:rFonts w:ascii="Times New Roman" w:hAnsi="Times New Roman" w:cs="Times New Roman"/>
        </w:rPr>
        <w:footnoteRef/>
      </w:r>
      <w:r w:rsidRPr="0044448F">
        <w:rPr>
          <w:rFonts w:ascii="Times New Roman" w:hAnsi="Times New Roman" w:cs="Times New Roman"/>
        </w:rPr>
        <w:t xml:space="preserve"> </w:t>
      </w:r>
      <w:r w:rsidRPr="0044448F" w:rsidR="005D2283">
        <w:rPr>
          <w:rFonts w:ascii="Times New Roman" w:hAnsi="Times New Roman" w:cs="Times New Roman"/>
          <w:i/>
          <w:iCs/>
        </w:rPr>
        <w:t>See Id</w:t>
      </w:r>
      <w:r w:rsidRPr="0044448F">
        <w:rPr>
          <w:rFonts w:ascii="Times New Roman" w:hAnsi="Times New Roman" w:cs="Times New Roman"/>
        </w:rPr>
        <w:t>.</w:t>
      </w:r>
    </w:p>
  </w:footnote>
  <w:footnote w:id="7">
    <w:p w:rsidR="00A83C1A" w:rsidRPr="0044448F" w:rsidP="0044448F" w14:paraId="397950CF" w14:textId="4D4BEA92">
      <w:pPr>
        <w:pStyle w:val="FootnoteText"/>
        <w:spacing w:after="120"/>
        <w:rPr>
          <w:rFonts w:ascii="Times New Roman" w:hAnsi="Times New Roman" w:cs="Times New Roman"/>
        </w:rPr>
      </w:pPr>
      <w:r w:rsidRPr="0044448F">
        <w:rPr>
          <w:rStyle w:val="FootnoteReference"/>
          <w:rFonts w:ascii="Times New Roman" w:hAnsi="Times New Roman" w:cs="Times New Roman"/>
        </w:rPr>
        <w:footnoteRef/>
      </w:r>
      <w:r w:rsidRPr="0044448F">
        <w:rPr>
          <w:rFonts w:ascii="Times New Roman" w:hAnsi="Times New Roman" w:cs="Times New Roman"/>
        </w:rPr>
        <w:t xml:space="preserve"> </w:t>
      </w:r>
      <w:r w:rsidRPr="0044448F" w:rsidR="005D2283">
        <w:rPr>
          <w:rFonts w:ascii="Times New Roman" w:hAnsi="Times New Roman" w:cs="Times New Roman"/>
          <w:i/>
          <w:iCs/>
        </w:rPr>
        <w:t>See Id</w:t>
      </w:r>
      <w:r w:rsidRPr="0044448F" w:rsidR="005D2283">
        <w:rPr>
          <w:rFonts w:ascii="Times New Roman" w:hAnsi="Times New Roman" w:cs="Times New Roman"/>
        </w:rPr>
        <w:t>.</w:t>
      </w:r>
    </w:p>
  </w:footnote>
  <w:footnote w:id="8">
    <w:p w:rsidR="00DE2110" w:rsidRPr="0044448F" w:rsidP="0044448F" w14:paraId="643CE4B8" w14:textId="18CA03BC">
      <w:pPr>
        <w:pStyle w:val="FootnoteText"/>
        <w:spacing w:after="120"/>
        <w:rPr>
          <w:rFonts w:ascii="Times New Roman" w:hAnsi="Times New Roman" w:cs="Times New Roman"/>
        </w:rPr>
      </w:pPr>
      <w:r w:rsidRPr="0044448F">
        <w:rPr>
          <w:rStyle w:val="FootnoteReference"/>
          <w:rFonts w:ascii="Times New Roman" w:hAnsi="Times New Roman" w:cs="Times New Roman"/>
        </w:rPr>
        <w:footnoteRef/>
      </w:r>
      <w:r w:rsidRPr="0044448F">
        <w:rPr>
          <w:rFonts w:ascii="Times New Roman" w:hAnsi="Times New Roman" w:cs="Times New Roman"/>
        </w:rPr>
        <w:t xml:space="preserve"> </w:t>
      </w:r>
      <w:r w:rsidRPr="0044448F">
        <w:rPr>
          <w:rFonts w:ascii="Times New Roman" w:hAnsi="Times New Roman" w:cs="Times New Roman"/>
          <w:i/>
          <w:iCs/>
        </w:rPr>
        <w:t>See</w:t>
      </w:r>
      <w:r w:rsidRPr="0044448F">
        <w:rPr>
          <w:rFonts w:ascii="Times New Roman" w:hAnsi="Times New Roman" w:cs="Times New Roman"/>
        </w:rPr>
        <w:t xml:space="preserve"> OCC Comments at 4-5.</w:t>
      </w:r>
    </w:p>
  </w:footnote>
  <w:footnote w:id="9">
    <w:p w:rsidR="00DE4EF2" w:rsidRPr="0044448F" w:rsidP="0044448F" w14:paraId="3E463D3F" w14:textId="77777777">
      <w:pPr>
        <w:pStyle w:val="FootnoteText"/>
        <w:spacing w:after="120"/>
        <w:rPr>
          <w:rFonts w:ascii="Times New Roman" w:hAnsi="Times New Roman" w:cs="Times New Roman"/>
        </w:rPr>
      </w:pPr>
      <w:r w:rsidRPr="0044448F">
        <w:rPr>
          <w:rStyle w:val="FootnoteReference"/>
          <w:rFonts w:ascii="Times New Roman" w:hAnsi="Times New Roman" w:cs="Times New Roman"/>
        </w:rPr>
        <w:footnoteRef/>
      </w:r>
      <w:r w:rsidRPr="0044448F">
        <w:rPr>
          <w:rFonts w:ascii="Times New Roman" w:hAnsi="Times New Roman" w:cs="Times New Roman"/>
        </w:rPr>
        <w:t xml:space="preserve"> </w:t>
      </w:r>
      <w:r w:rsidRPr="0044448F">
        <w:rPr>
          <w:rFonts w:ascii="Times New Roman" w:hAnsi="Times New Roman" w:cs="Times New Roman"/>
          <w:i/>
          <w:iCs/>
        </w:rPr>
        <w:t>See</w:t>
      </w:r>
      <w:r w:rsidRPr="0044448F">
        <w:rPr>
          <w:rFonts w:ascii="Times New Roman" w:hAnsi="Times New Roman" w:cs="Times New Roman"/>
        </w:rPr>
        <w:t xml:space="preserve"> AEP’s Seamless Move Plan, Case No. 19-2141-EL-EDI, NOPEC Comments at 4; </w:t>
      </w:r>
      <w:r w:rsidRPr="0044448F">
        <w:rPr>
          <w:rFonts w:ascii="Times New Roman" w:hAnsi="Times New Roman" w:cs="Times New Roman"/>
          <w:i/>
          <w:iCs/>
        </w:rPr>
        <w:t>see also</w:t>
      </w:r>
      <w:r w:rsidRPr="0044448F">
        <w:rPr>
          <w:rFonts w:ascii="Times New Roman" w:hAnsi="Times New Roman" w:cs="Times New Roman"/>
        </w:rPr>
        <w:t xml:space="preserve"> FirstEnergy’s Seamless Move Plan, Case No. 19-2150-EL-UNC, NOPEC Comments at 4. </w:t>
      </w:r>
    </w:p>
  </w:footnote>
  <w:footnote w:id="10">
    <w:p w:rsidR="00003D71" w:rsidRPr="0044448F" w:rsidP="0044448F" w14:paraId="683EC07A" w14:textId="07A90376">
      <w:pPr>
        <w:spacing w:after="120"/>
        <w:rPr>
          <w:sz w:val="20"/>
          <w:szCs w:val="20"/>
        </w:rPr>
      </w:pPr>
      <w:r w:rsidRPr="0044448F">
        <w:rPr>
          <w:rStyle w:val="FootnoteReference"/>
          <w:sz w:val="20"/>
          <w:szCs w:val="20"/>
        </w:rPr>
        <w:footnoteRef/>
      </w:r>
      <w:r w:rsidRPr="0044448F">
        <w:rPr>
          <w:sz w:val="20"/>
          <w:szCs w:val="20"/>
        </w:rPr>
        <w:t xml:space="preserve"> </w:t>
      </w:r>
      <w:r w:rsidRPr="0044448F" w:rsidR="00EC643F">
        <w:rPr>
          <w:i/>
          <w:iCs/>
          <w:sz w:val="20"/>
          <w:szCs w:val="20"/>
        </w:rPr>
        <w:t xml:space="preserve">See </w:t>
      </w:r>
      <w:r w:rsidRPr="0044448F" w:rsidR="00EC643F">
        <w:rPr>
          <w:sz w:val="20"/>
          <w:szCs w:val="20"/>
        </w:rPr>
        <w:t>R.C. 4905.35</w:t>
      </w:r>
      <w:r w:rsidRPr="0044448F">
        <w:rPr>
          <w:sz w:val="20"/>
          <w:szCs w:val="20"/>
        </w:rPr>
        <w:t xml:space="preserve">; </w:t>
      </w:r>
      <w:r w:rsidRPr="0044448F">
        <w:rPr>
          <w:i/>
          <w:iCs/>
          <w:sz w:val="20"/>
          <w:szCs w:val="20"/>
        </w:rPr>
        <w:t xml:space="preserve">see also </w:t>
      </w:r>
      <w:r w:rsidRPr="0044448F">
        <w:rPr>
          <w:sz w:val="20"/>
          <w:szCs w:val="20"/>
        </w:rPr>
        <w:t xml:space="preserve">R.C. 4928.02(H) (FirstEnergy’s Plan seeks to exclude governmental aggregation customers from making seamless moves, but would require them to pay for </w:t>
      </w:r>
      <w:r w:rsidRPr="0044448F" w:rsidR="00DE0023">
        <w:rPr>
          <w:sz w:val="20"/>
          <w:szCs w:val="20"/>
        </w:rPr>
        <w:t>marketer</w:t>
      </w:r>
      <w:r w:rsidRPr="0044448F">
        <w:rPr>
          <w:sz w:val="20"/>
          <w:szCs w:val="20"/>
        </w:rPr>
        <w:t xml:space="preserve"> customers’ moves through </w:t>
      </w:r>
      <w:r w:rsidRPr="0044448F" w:rsidR="00DE0023">
        <w:rPr>
          <w:sz w:val="20"/>
          <w:szCs w:val="20"/>
        </w:rPr>
        <w:t xml:space="preserve">the </w:t>
      </w:r>
      <w:r w:rsidRPr="0044448F">
        <w:rPr>
          <w:sz w:val="20"/>
          <w:szCs w:val="20"/>
        </w:rPr>
        <w:t xml:space="preserve">non-bypassable Rider GDR. </w:t>
      </w:r>
      <w:r w:rsidRPr="0044448F" w:rsidR="00DE0023">
        <w:rPr>
          <w:sz w:val="20"/>
          <w:szCs w:val="20"/>
        </w:rPr>
        <w:t>This</w:t>
      </w:r>
      <w:r w:rsidRPr="0044448F">
        <w:rPr>
          <w:sz w:val="20"/>
          <w:szCs w:val="20"/>
        </w:rPr>
        <w:t xml:space="preserve"> proposal violate</w:t>
      </w:r>
      <w:r w:rsidRPr="0044448F" w:rsidR="00DE0023">
        <w:rPr>
          <w:sz w:val="20"/>
          <w:szCs w:val="20"/>
        </w:rPr>
        <w:t>s</w:t>
      </w:r>
      <w:r w:rsidRPr="0044448F">
        <w:rPr>
          <w:sz w:val="20"/>
          <w:szCs w:val="20"/>
        </w:rPr>
        <w:t xml:space="preserve"> the anti-subsidy provisions of R.C. 4928.02(H) and the anti-discrimination provisions of R.C. 4905.35(A)</w:t>
      </w:r>
      <w:r w:rsidR="00D05F6C">
        <w:rPr>
          <w:sz w:val="20"/>
          <w:szCs w:val="20"/>
        </w:rPr>
        <w:t>)</w:t>
      </w:r>
      <w:r w:rsidRPr="0044448F">
        <w:rPr>
          <w:sz w:val="20"/>
          <w:szCs w:val="20"/>
        </w:rPr>
        <w:t xml:space="preserve">. </w:t>
      </w:r>
    </w:p>
    <w:p w:rsidR="00E03A6E" w:rsidRPr="0044448F" w:rsidP="0044448F" w14:paraId="218CA565" w14:textId="4A6B0766">
      <w:pPr>
        <w:pStyle w:val="FootnoteText"/>
        <w:spacing w:after="120"/>
        <w:rPr>
          <w:rFonts w:ascii="Times New Roman" w:hAnsi="Times New Roman" w:cs="Times New Roman"/>
        </w:rPr>
      </w:pPr>
    </w:p>
  </w:footnote>
  <w:footnote w:id="11">
    <w:p w:rsidR="00922CD8" w:rsidP="00922CD8" w14:paraId="6D9A91E0" w14:textId="5DDB2D6B">
      <w:pPr>
        <w:pStyle w:val="FootnoteText"/>
        <w:spacing w:after="120"/>
      </w:pPr>
      <w:r>
        <w:rPr>
          <w:rStyle w:val="FootnoteReference"/>
        </w:rPr>
        <w:footnoteRef/>
      </w:r>
      <w:r>
        <w:t xml:space="preserve"> </w:t>
      </w:r>
      <w:r w:rsidRPr="0044448F">
        <w:rPr>
          <w:rFonts w:ascii="Times New Roman" w:hAnsi="Times New Roman" w:cs="Times New Roman"/>
          <w:i/>
          <w:iCs/>
        </w:rPr>
        <w:t>See Id.</w:t>
      </w:r>
    </w:p>
  </w:footnote>
  <w:footnote w:id="12">
    <w:p w:rsidR="00FD14E5" w:rsidRPr="0044448F" w:rsidP="0044448F" w14:paraId="4F9FBA5E" w14:textId="147E2B1A">
      <w:pPr>
        <w:pStyle w:val="FootnoteText"/>
        <w:spacing w:after="120"/>
        <w:rPr>
          <w:rFonts w:ascii="Times New Roman" w:hAnsi="Times New Roman" w:cs="Times New Roman"/>
        </w:rPr>
      </w:pPr>
      <w:r w:rsidRPr="0044448F">
        <w:rPr>
          <w:rStyle w:val="FootnoteReference"/>
          <w:rFonts w:ascii="Times New Roman" w:hAnsi="Times New Roman" w:cs="Times New Roman"/>
        </w:rPr>
        <w:footnoteRef/>
      </w:r>
      <w:r w:rsidRPr="0044448F">
        <w:rPr>
          <w:rFonts w:ascii="Times New Roman" w:hAnsi="Times New Roman" w:cs="Times New Roman"/>
        </w:rPr>
        <w:t xml:space="preserve"> </w:t>
      </w:r>
      <w:r w:rsidRPr="0044448F" w:rsidR="004566E6">
        <w:rPr>
          <w:rFonts w:ascii="Times New Roman" w:hAnsi="Times New Roman" w:cs="Times New Roman"/>
          <w:i/>
          <w:iCs/>
        </w:rPr>
        <w:t xml:space="preserve">See </w:t>
      </w:r>
      <w:r w:rsidRPr="0044448F" w:rsidR="004A32B6">
        <w:rPr>
          <w:rFonts w:ascii="Times New Roman" w:hAnsi="Times New Roman" w:cs="Times New Roman"/>
          <w:i/>
          <w:iCs/>
        </w:rPr>
        <w:t>Id.</w:t>
      </w:r>
      <w:r w:rsidRPr="0044448F" w:rsidR="004566E6">
        <w:rPr>
          <w:rFonts w:ascii="Times New Roman" w:hAnsi="Times New Roman" w:cs="Times New Roman"/>
        </w:rPr>
        <w:t xml:space="preserve"> at 5; </w:t>
      </w:r>
      <w:r w:rsidRPr="0044448F" w:rsidR="004566E6">
        <w:rPr>
          <w:rFonts w:ascii="Times New Roman" w:hAnsi="Times New Roman" w:cs="Times New Roman"/>
          <w:i/>
          <w:iCs/>
        </w:rPr>
        <w:t>see also</w:t>
      </w:r>
      <w:r w:rsidRPr="0044448F" w:rsidR="004566E6">
        <w:rPr>
          <w:rFonts w:ascii="Times New Roman" w:hAnsi="Times New Roman" w:cs="Times New Roman"/>
        </w:rPr>
        <w:t xml:space="preserve"> R.C. 4928.02(C)</w:t>
      </w:r>
      <w:r w:rsidRPr="0044448F" w:rsidR="003817D6">
        <w:rPr>
          <w:rFonts w:ascii="Times New Roman" w:hAnsi="Times New Roman" w:cs="Times New Roman"/>
        </w:rPr>
        <w:t>.</w:t>
      </w:r>
    </w:p>
  </w:footnote>
  <w:footnote w:id="13">
    <w:p w:rsidR="004566E6" w:rsidRPr="0044448F" w:rsidP="0044448F" w14:paraId="195636E0" w14:textId="240D830F">
      <w:pPr>
        <w:pStyle w:val="FootnoteText"/>
        <w:spacing w:after="120"/>
        <w:rPr>
          <w:rFonts w:ascii="Times New Roman" w:hAnsi="Times New Roman" w:cs="Times New Roman"/>
        </w:rPr>
      </w:pPr>
      <w:r w:rsidRPr="0044448F">
        <w:rPr>
          <w:rStyle w:val="FootnoteReference"/>
          <w:rFonts w:ascii="Times New Roman" w:hAnsi="Times New Roman" w:cs="Times New Roman"/>
        </w:rPr>
        <w:footnoteRef/>
      </w:r>
      <w:r w:rsidRPr="0044448F">
        <w:rPr>
          <w:rFonts w:ascii="Times New Roman" w:hAnsi="Times New Roman" w:cs="Times New Roman"/>
        </w:rPr>
        <w:t xml:space="preserve"> </w:t>
      </w:r>
      <w:r w:rsidRPr="0044448F">
        <w:rPr>
          <w:rFonts w:ascii="Times New Roman" w:hAnsi="Times New Roman" w:cs="Times New Roman"/>
          <w:i/>
          <w:iCs/>
        </w:rPr>
        <w:t>See</w:t>
      </w:r>
      <w:r w:rsidRPr="0044448F">
        <w:rPr>
          <w:rFonts w:ascii="Times New Roman" w:hAnsi="Times New Roman" w:cs="Times New Roman"/>
        </w:rPr>
        <w:t xml:space="preserve"> R.C. 4928.141</w:t>
      </w:r>
      <w:r w:rsidRPr="0044448F" w:rsidR="00B463D5">
        <w:rPr>
          <w:rFonts w:ascii="Times New Roman" w:hAnsi="Times New Roman" w:cs="Times New Roman"/>
        </w:rPr>
        <w:t>.</w:t>
      </w:r>
    </w:p>
  </w:footnote>
  <w:footnote w:id="14">
    <w:p w:rsidR="00B463D5" w:rsidRPr="0044448F" w:rsidP="0044448F" w14:paraId="095C7CE4" w14:textId="459D5CED">
      <w:pPr>
        <w:pStyle w:val="FootnoteText"/>
        <w:spacing w:after="120"/>
        <w:rPr>
          <w:rFonts w:ascii="Times New Roman" w:hAnsi="Times New Roman" w:cs="Times New Roman"/>
        </w:rPr>
      </w:pPr>
      <w:r w:rsidRPr="0044448F">
        <w:rPr>
          <w:rStyle w:val="FootnoteReference"/>
          <w:rFonts w:ascii="Times New Roman" w:hAnsi="Times New Roman" w:cs="Times New Roman"/>
        </w:rPr>
        <w:footnoteRef/>
      </w:r>
      <w:r w:rsidRPr="0044448F">
        <w:rPr>
          <w:rFonts w:ascii="Times New Roman" w:hAnsi="Times New Roman" w:cs="Times New Roman"/>
        </w:rPr>
        <w:t xml:space="preserve"> </w:t>
      </w:r>
      <w:r w:rsidRPr="0044448F">
        <w:rPr>
          <w:rFonts w:ascii="Times New Roman" w:hAnsi="Times New Roman" w:cs="Times New Roman"/>
          <w:i/>
          <w:iCs/>
        </w:rPr>
        <w:t>See</w:t>
      </w:r>
      <w:r w:rsidRPr="0044448F">
        <w:rPr>
          <w:rFonts w:ascii="Times New Roman" w:hAnsi="Times New Roman" w:cs="Times New Roman"/>
        </w:rPr>
        <w:t xml:space="preserve"> R.C. 4928.20.</w:t>
      </w:r>
    </w:p>
  </w:footnote>
  <w:footnote w:id="15">
    <w:p w:rsidR="00B463D5" w:rsidRPr="0044448F" w:rsidP="0044448F" w14:paraId="34E81658" w14:textId="44492033">
      <w:pPr>
        <w:pStyle w:val="FootnoteText"/>
        <w:spacing w:after="120"/>
        <w:rPr>
          <w:rFonts w:ascii="Times New Roman" w:hAnsi="Times New Roman" w:cs="Times New Roman"/>
        </w:rPr>
      </w:pPr>
      <w:r w:rsidRPr="0044448F">
        <w:rPr>
          <w:rStyle w:val="FootnoteReference"/>
          <w:rFonts w:ascii="Times New Roman" w:hAnsi="Times New Roman" w:cs="Times New Roman"/>
        </w:rPr>
        <w:footnoteRef/>
      </w:r>
      <w:r w:rsidRPr="0044448F">
        <w:rPr>
          <w:rFonts w:ascii="Times New Roman" w:hAnsi="Times New Roman" w:cs="Times New Roman"/>
        </w:rPr>
        <w:t xml:space="preserve"> </w:t>
      </w:r>
      <w:r w:rsidRPr="0044448F">
        <w:rPr>
          <w:rFonts w:ascii="Times New Roman" w:hAnsi="Times New Roman" w:cs="Times New Roman"/>
          <w:i/>
          <w:iCs/>
        </w:rPr>
        <w:t>See</w:t>
      </w:r>
      <w:r w:rsidRPr="0044448F">
        <w:rPr>
          <w:rFonts w:ascii="Times New Roman" w:hAnsi="Times New Roman" w:cs="Times New Roman"/>
        </w:rPr>
        <w:t xml:space="preserve"> R.C. 4928.08.</w:t>
      </w:r>
    </w:p>
  </w:footnote>
  <w:footnote w:id="16">
    <w:p w:rsidR="00605140" w:rsidRPr="0044448F" w:rsidP="0044448F" w14:paraId="74F43612" w14:textId="6D7A3A34">
      <w:pPr>
        <w:pStyle w:val="FootnoteText"/>
        <w:spacing w:after="120"/>
        <w:rPr>
          <w:rFonts w:ascii="Times New Roman" w:hAnsi="Times New Roman" w:cs="Times New Roman"/>
        </w:rPr>
      </w:pPr>
      <w:r w:rsidRPr="0044448F">
        <w:rPr>
          <w:rStyle w:val="FootnoteReference"/>
          <w:rFonts w:ascii="Times New Roman" w:hAnsi="Times New Roman" w:cs="Times New Roman"/>
        </w:rPr>
        <w:footnoteRef/>
      </w:r>
      <w:r w:rsidRPr="0044448F">
        <w:rPr>
          <w:rFonts w:ascii="Times New Roman" w:hAnsi="Times New Roman" w:cs="Times New Roman"/>
        </w:rPr>
        <w:t xml:space="preserve"> </w:t>
      </w:r>
      <w:r w:rsidRPr="0044448F">
        <w:rPr>
          <w:rFonts w:ascii="Times New Roman" w:hAnsi="Times New Roman" w:cs="Times New Roman"/>
          <w:i/>
          <w:iCs/>
        </w:rPr>
        <w:t>See</w:t>
      </w:r>
      <w:r w:rsidRPr="0044448F">
        <w:rPr>
          <w:rFonts w:ascii="Times New Roman" w:hAnsi="Times New Roman" w:cs="Times New Roman"/>
        </w:rPr>
        <w:t xml:space="preserve"> NOPEC </w:t>
      </w:r>
      <w:r w:rsidRPr="0044448F" w:rsidR="00E83BC8">
        <w:rPr>
          <w:rFonts w:ascii="Times New Roman" w:hAnsi="Times New Roman" w:cs="Times New Roman"/>
        </w:rPr>
        <w:t>Comments</w:t>
      </w:r>
      <w:r w:rsidRPr="0044448F">
        <w:rPr>
          <w:rFonts w:ascii="Times New Roman" w:hAnsi="Times New Roman" w:cs="Times New Roman"/>
        </w:rPr>
        <w:t xml:space="preserve"> at 4 (the choices include</w:t>
      </w:r>
      <w:r w:rsidRPr="0044448F" w:rsidR="00E83BC8">
        <w:rPr>
          <w:rFonts w:ascii="Times New Roman" w:hAnsi="Times New Roman" w:cs="Times New Roman"/>
        </w:rPr>
        <w:t xml:space="preserve"> enrolling with a governmental aggregator, remain on the SSO, choose a new marketer, or view the Energy Choice Website)</w:t>
      </w:r>
      <w:r w:rsidRPr="0044448F">
        <w:rPr>
          <w:rFonts w:ascii="Times New Roman" w:hAnsi="Times New Roman" w:cs="Times New Roman"/>
        </w:rPr>
        <w:t>.</w:t>
      </w:r>
    </w:p>
  </w:footnote>
  <w:footnote w:id="17">
    <w:p w:rsidR="00076CCD" w:rsidRPr="0044448F" w:rsidP="0044448F" w14:paraId="05F21021" w14:textId="7D4E591D">
      <w:pPr>
        <w:spacing w:after="120"/>
        <w:rPr>
          <w:sz w:val="20"/>
          <w:szCs w:val="20"/>
        </w:rPr>
      </w:pPr>
      <w:r w:rsidRPr="0044448F">
        <w:rPr>
          <w:rStyle w:val="FootnoteReference"/>
          <w:sz w:val="20"/>
          <w:szCs w:val="20"/>
        </w:rPr>
        <w:footnoteRef/>
      </w:r>
      <w:r w:rsidRPr="0044448F">
        <w:rPr>
          <w:sz w:val="20"/>
          <w:szCs w:val="20"/>
        </w:rPr>
        <w:t xml:space="preserve"> </w:t>
      </w:r>
      <w:r w:rsidRPr="0044448F" w:rsidR="00C46EF7">
        <w:rPr>
          <w:i/>
          <w:iCs/>
          <w:sz w:val="20"/>
          <w:szCs w:val="20"/>
        </w:rPr>
        <w:t>See</w:t>
      </w:r>
      <w:r w:rsidRPr="0044448F" w:rsidR="00C46EF7">
        <w:rPr>
          <w:sz w:val="20"/>
          <w:szCs w:val="20"/>
        </w:rPr>
        <w:t xml:space="preserve"> </w:t>
      </w:r>
      <w:r w:rsidRPr="0044448F">
        <w:rPr>
          <w:sz w:val="20"/>
          <w:szCs w:val="20"/>
        </w:rPr>
        <w:t>R.C. 4928.02(C) (</w:t>
      </w:r>
      <w:r w:rsidRPr="0044448F" w:rsidR="002F5AE9">
        <w:rPr>
          <w:sz w:val="20"/>
          <w:szCs w:val="20"/>
        </w:rPr>
        <w:t>Consumers must have effective choices over the selection of electric supplies and suppliers)</w:t>
      </w:r>
      <w:r w:rsidRPr="0044448F" w:rsidR="00C46EF7">
        <w:rPr>
          <w:sz w:val="20"/>
          <w:szCs w:val="20"/>
        </w:rPr>
        <w:t>.</w:t>
      </w:r>
      <w:r w:rsidRPr="0044448F" w:rsidR="002F5AE9">
        <w:rPr>
          <w:sz w:val="20"/>
          <w:szCs w:val="20"/>
        </w:rPr>
        <w:t xml:space="preserve"> </w:t>
      </w:r>
    </w:p>
    <w:p w:rsidR="00076CCD" w:rsidRPr="0044448F" w:rsidP="0044448F" w14:paraId="3AC65DEC" w14:textId="326177CA">
      <w:pPr>
        <w:pStyle w:val="FootnoteText"/>
        <w:spacing w:after="120"/>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29E8" w14:paraId="10B7095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29E8" w14:paraId="27BC52F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B927F5"/>
    <w:multiLevelType w:val="hybridMultilevel"/>
    <w:tmpl w:val="BEC66B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1157394"/>
    <w:multiLevelType w:val="hybridMultilevel"/>
    <w:tmpl w:val="70B8D1FE"/>
    <w:lvl w:ilvl="0">
      <w:start w:val="1"/>
      <w:numFmt w:val="lowerRoman"/>
      <w:lvlText w:val="%1."/>
      <w:lvlJc w:val="right"/>
      <w:pPr>
        <w:ind w:left="2160"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F4425B3"/>
    <w:multiLevelType w:val="hybridMultilevel"/>
    <w:tmpl w:val="C4AEC69C"/>
    <w:lvl w:ilvl="0">
      <w:start w:val="1"/>
      <w:numFmt w:val="upperRoman"/>
      <w:lvlText w:val="%1."/>
      <w:lvlJc w:val="left"/>
      <w:pPr>
        <w:ind w:left="1080" w:hanging="72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99841C4"/>
    <w:multiLevelType w:val="hybridMultilevel"/>
    <w:tmpl w:val="4080F70A"/>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ascii="Times New Roman" w:hAnsi="Times New Roman" w:eastAsiaTheme="minorHAnsi" w:cs="Times New Roman" w:hint="default"/>
        <w:b/>
        <w:bCs/>
      </w:rPr>
    </w:lvl>
    <w:lvl w:ilvl="2">
      <w:start w:val="1"/>
      <w:numFmt w:val="decimal"/>
      <w:lvlText w:val="%3."/>
      <w:lvlJc w:val="left"/>
      <w:pPr>
        <w:ind w:left="2340" w:hanging="360"/>
      </w:pPr>
    </w:lvl>
    <w:lvl w:ilvl="3">
      <w:start w:val="1"/>
      <w:numFmt w:val="lowerRoman"/>
      <w:lvlText w:val="%4."/>
      <w:lvlJc w:val="righ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A285913"/>
    <w:multiLevelType w:val="hybridMultilevel"/>
    <w:tmpl w:val="08C847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1B8"/>
    <w:rsid w:val="00001B5C"/>
    <w:rsid w:val="000024D6"/>
    <w:rsid w:val="00003D71"/>
    <w:rsid w:val="00007110"/>
    <w:rsid w:val="00010096"/>
    <w:rsid w:val="00015337"/>
    <w:rsid w:val="000200F4"/>
    <w:rsid w:val="00024916"/>
    <w:rsid w:val="000329FC"/>
    <w:rsid w:val="00036A9B"/>
    <w:rsid w:val="0004123C"/>
    <w:rsid w:val="00051075"/>
    <w:rsid w:val="000529E8"/>
    <w:rsid w:val="00052F51"/>
    <w:rsid w:val="00073AE3"/>
    <w:rsid w:val="00076CCD"/>
    <w:rsid w:val="000955AF"/>
    <w:rsid w:val="000A2D1C"/>
    <w:rsid w:val="000A61EF"/>
    <w:rsid w:val="000F4930"/>
    <w:rsid w:val="001120DB"/>
    <w:rsid w:val="00143538"/>
    <w:rsid w:val="001467BB"/>
    <w:rsid w:val="0015477F"/>
    <w:rsid w:val="00165ED2"/>
    <w:rsid w:val="0017457C"/>
    <w:rsid w:val="00180697"/>
    <w:rsid w:val="001865D0"/>
    <w:rsid w:val="001932EC"/>
    <w:rsid w:val="00196916"/>
    <w:rsid w:val="001C5228"/>
    <w:rsid w:val="001C56C7"/>
    <w:rsid w:val="001D0E2D"/>
    <w:rsid w:val="001F48CA"/>
    <w:rsid w:val="001F77A1"/>
    <w:rsid w:val="00201777"/>
    <w:rsid w:val="00202E9C"/>
    <w:rsid w:val="00207350"/>
    <w:rsid w:val="002333D6"/>
    <w:rsid w:val="00240B3B"/>
    <w:rsid w:val="00247095"/>
    <w:rsid w:val="0026181C"/>
    <w:rsid w:val="00285463"/>
    <w:rsid w:val="002854C5"/>
    <w:rsid w:val="00295733"/>
    <w:rsid w:val="002C0AAB"/>
    <w:rsid w:val="002C1FEA"/>
    <w:rsid w:val="002F5AE9"/>
    <w:rsid w:val="002F60DD"/>
    <w:rsid w:val="003044A7"/>
    <w:rsid w:val="00310574"/>
    <w:rsid w:val="00314E80"/>
    <w:rsid w:val="0033226E"/>
    <w:rsid w:val="0034308E"/>
    <w:rsid w:val="00347981"/>
    <w:rsid w:val="003627E2"/>
    <w:rsid w:val="003817D6"/>
    <w:rsid w:val="00393928"/>
    <w:rsid w:val="003A43E2"/>
    <w:rsid w:val="003A6ED0"/>
    <w:rsid w:val="003B37C6"/>
    <w:rsid w:val="003C40DB"/>
    <w:rsid w:val="003D23ED"/>
    <w:rsid w:val="003E7AF6"/>
    <w:rsid w:val="003F1B58"/>
    <w:rsid w:val="00402B35"/>
    <w:rsid w:val="00407568"/>
    <w:rsid w:val="0041663D"/>
    <w:rsid w:val="00433817"/>
    <w:rsid w:val="00440923"/>
    <w:rsid w:val="0044448F"/>
    <w:rsid w:val="004566E6"/>
    <w:rsid w:val="00462242"/>
    <w:rsid w:val="00466C2E"/>
    <w:rsid w:val="004741D2"/>
    <w:rsid w:val="00485328"/>
    <w:rsid w:val="004958AD"/>
    <w:rsid w:val="004A32B6"/>
    <w:rsid w:val="004D2774"/>
    <w:rsid w:val="004E0A85"/>
    <w:rsid w:val="004E4EF3"/>
    <w:rsid w:val="00506662"/>
    <w:rsid w:val="005427B5"/>
    <w:rsid w:val="00550447"/>
    <w:rsid w:val="0055150D"/>
    <w:rsid w:val="005541ED"/>
    <w:rsid w:val="00567E85"/>
    <w:rsid w:val="00570A62"/>
    <w:rsid w:val="00586094"/>
    <w:rsid w:val="00586C32"/>
    <w:rsid w:val="005902F7"/>
    <w:rsid w:val="00591312"/>
    <w:rsid w:val="00593438"/>
    <w:rsid w:val="005A0D90"/>
    <w:rsid w:val="005C5141"/>
    <w:rsid w:val="005D2283"/>
    <w:rsid w:val="005E11B8"/>
    <w:rsid w:val="006001FA"/>
    <w:rsid w:val="00605140"/>
    <w:rsid w:val="006221C4"/>
    <w:rsid w:val="00633CC0"/>
    <w:rsid w:val="0063474B"/>
    <w:rsid w:val="00636DDB"/>
    <w:rsid w:val="00651CF8"/>
    <w:rsid w:val="006548D4"/>
    <w:rsid w:val="006662F8"/>
    <w:rsid w:val="006710DE"/>
    <w:rsid w:val="00674101"/>
    <w:rsid w:val="00676880"/>
    <w:rsid w:val="00693E30"/>
    <w:rsid w:val="00696777"/>
    <w:rsid w:val="006B6265"/>
    <w:rsid w:val="006D0907"/>
    <w:rsid w:val="006D1B4D"/>
    <w:rsid w:val="006E1A44"/>
    <w:rsid w:val="006F597B"/>
    <w:rsid w:val="0070546C"/>
    <w:rsid w:val="007240BD"/>
    <w:rsid w:val="00730B54"/>
    <w:rsid w:val="00737F9E"/>
    <w:rsid w:val="00740003"/>
    <w:rsid w:val="0074149F"/>
    <w:rsid w:val="00752A4E"/>
    <w:rsid w:val="00767BD7"/>
    <w:rsid w:val="00776CF0"/>
    <w:rsid w:val="0079198D"/>
    <w:rsid w:val="007A32BB"/>
    <w:rsid w:val="007A4C15"/>
    <w:rsid w:val="007A55CD"/>
    <w:rsid w:val="007D2701"/>
    <w:rsid w:val="007D5CE3"/>
    <w:rsid w:val="007E10C7"/>
    <w:rsid w:val="007E1D1C"/>
    <w:rsid w:val="007E3309"/>
    <w:rsid w:val="007F0030"/>
    <w:rsid w:val="007F315A"/>
    <w:rsid w:val="007F6491"/>
    <w:rsid w:val="00810A04"/>
    <w:rsid w:val="008121EF"/>
    <w:rsid w:val="00817CCC"/>
    <w:rsid w:val="00822A3E"/>
    <w:rsid w:val="00831239"/>
    <w:rsid w:val="00833E65"/>
    <w:rsid w:val="00837C37"/>
    <w:rsid w:val="00851248"/>
    <w:rsid w:val="00865955"/>
    <w:rsid w:val="00880BBC"/>
    <w:rsid w:val="008A58B3"/>
    <w:rsid w:val="008B60A8"/>
    <w:rsid w:val="008C1719"/>
    <w:rsid w:val="008C5DE8"/>
    <w:rsid w:val="008D5E93"/>
    <w:rsid w:val="008F0C71"/>
    <w:rsid w:val="008F5B3C"/>
    <w:rsid w:val="008F5C1C"/>
    <w:rsid w:val="00906922"/>
    <w:rsid w:val="00914435"/>
    <w:rsid w:val="009164B3"/>
    <w:rsid w:val="00922CD8"/>
    <w:rsid w:val="00943F77"/>
    <w:rsid w:val="00947B60"/>
    <w:rsid w:val="00947DDA"/>
    <w:rsid w:val="00950D7C"/>
    <w:rsid w:val="009520EB"/>
    <w:rsid w:val="009717BB"/>
    <w:rsid w:val="00975827"/>
    <w:rsid w:val="00981306"/>
    <w:rsid w:val="009831FD"/>
    <w:rsid w:val="00996F4A"/>
    <w:rsid w:val="009A6887"/>
    <w:rsid w:val="009C7057"/>
    <w:rsid w:val="009D3ED5"/>
    <w:rsid w:val="009D41EE"/>
    <w:rsid w:val="009D65A3"/>
    <w:rsid w:val="009D7513"/>
    <w:rsid w:val="009E57F9"/>
    <w:rsid w:val="009F0696"/>
    <w:rsid w:val="00A0432C"/>
    <w:rsid w:val="00A060FE"/>
    <w:rsid w:val="00A213AD"/>
    <w:rsid w:val="00A24D58"/>
    <w:rsid w:val="00A25F6F"/>
    <w:rsid w:val="00A27FC3"/>
    <w:rsid w:val="00A3123A"/>
    <w:rsid w:val="00A52637"/>
    <w:rsid w:val="00A629F5"/>
    <w:rsid w:val="00A64AF1"/>
    <w:rsid w:val="00A66F51"/>
    <w:rsid w:val="00A722D3"/>
    <w:rsid w:val="00A7554D"/>
    <w:rsid w:val="00A83C1A"/>
    <w:rsid w:val="00A8667B"/>
    <w:rsid w:val="00A97489"/>
    <w:rsid w:val="00AB1B6C"/>
    <w:rsid w:val="00AB3C03"/>
    <w:rsid w:val="00AC0A16"/>
    <w:rsid w:val="00AC0DF7"/>
    <w:rsid w:val="00AC1EBB"/>
    <w:rsid w:val="00AC2B62"/>
    <w:rsid w:val="00AC36B9"/>
    <w:rsid w:val="00AC51E3"/>
    <w:rsid w:val="00AD05F3"/>
    <w:rsid w:val="00AD36DB"/>
    <w:rsid w:val="00AD4B55"/>
    <w:rsid w:val="00AF0EED"/>
    <w:rsid w:val="00AF1F8F"/>
    <w:rsid w:val="00AF379A"/>
    <w:rsid w:val="00B147DD"/>
    <w:rsid w:val="00B15E27"/>
    <w:rsid w:val="00B418DD"/>
    <w:rsid w:val="00B463D5"/>
    <w:rsid w:val="00B46D40"/>
    <w:rsid w:val="00B65BC0"/>
    <w:rsid w:val="00B67657"/>
    <w:rsid w:val="00BA6206"/>
    <w:rsid w:val="00BB25B1"/>
    <w:rsid w:val="00BB5434"/>
    <w:rsid w:val="00BB57C7"/>
    <w:rsid w:val="00BB6905"/>
    <w:rsid w:val="00BC0054"/>
    <w:rsid w:val="00BC65A6"/>
    <w:rsid w:val="00BD07C8"/>
    <w:rsid w:val="00BE75DA"/>
    <w:rsid w:val="00BF1AA5"/>
    <w:rsid w:val="00BF6389"/>
    <w:rsid w:val="00BF69A8"/>
    <w:rsid w:val="00C10E4F"/>
    <w:rsid w:val="00C12F0F"/>
    <w:rsid w:val="00C17E3A"/>
    <w:rsid w:val="00C2693D"/>
    <w:rsid w:val="00C32387"/>
    <w:rsid w:val="00C3680D"/>
    <w:rsid w:val="00C46EF7"/>
    <w:rsid w:val="00C502CD"/>
    <w:rsid w:val="00C5228B"/>
    <w:rsid w:val="00C7167D"/>
    <w:rsid w:val="00C7687B"/>
    <w:rsid w:val="00C93EBA"/>
    <w:rsid w:val="00C97410"/>
    <w:rsid w:val="00CA2065"/>
    <w:rsid w:val="00CB01C4"/>
    <w:rsid w:val="00CB4178"/>
    <w:rsid w:val="00CC35DC"/>
    <w:rsid w:val="00CC555B"/>
    <w:rsid w:val="00CC5660"/>
    <w:rsid w:val="00CD4129"/>
    <w:rsid w:val="00CD4B6F"/>
    <w:rsid w:val="00CD5D47"/>
    <w:rsid w:val="00CF557A"/>
    <w:rsid w:val="00CF6750"/>
    <w:rsid w:val="00CF7C6B"/>
    <w:rsid w:val="00D05F6C"/>
    <w:rsid w:val="00D22B8F"/>
    <w:rsid w:val="00D32FC8"/>
    <w:rsid w:val="00D40A2C"/>
    <w:rsid w:val="00D54C32"/>
    <w:rsid w:val="00D621B5"/>
    <w:rsid w:val="00D8154B"/>
    <w:rsid w:val="00D90CAF"/>
    <w:rsid w:val="00D90FFF"/>
    <w:rsid w:val="00D933EB"/>
    <w:rsid w:val="00D95445"/>
    <w:rsid w:val="00D95B7F"/>
    <w:rsid w:val="00DA4FF4"/>
    <w:rsid w:val="00DB20C7"/>
    <w:rsid w:val="00DB5869"/>
    <w:rsid w:val="00DC0455"/>
    <w:rsid w:val="00DC12D9"/>
    <w:rsid w:val="00DE0023"/>
    <w:rsid w:val="00DE2110"/>
    <w:rsid w:val="00DE3475"/>
    <w:rsid w:val="00DE423D"/>
    <w:rsid w:val="00DE4EF2"/>
    <w:rsid w:val="00DE6584"/>
    <w:rsid w:val="00DF6090"/>
    <w:rsid w:val="00E03A6E"/>
    <w:rsid w:val="00E04529"/>
    <w:rsid w:val="00E10223"/>
    <w:rsid w:val="00E41AA5"/>
    <w:rsid w:val="00E44521"/>
    <w:rsid w:val="00E44C67"/>
    <w:rsid w:val="00E552B4"/>
    <w:rsid w:val="00E55E31"/>
    <w:rsid w:val="00E57B3D"/>
    <w:rsid w:val="00E71C07"/>
    <w:rsid w:val="00E74361"/>
    <w:rsid w:val="00E74517"/>
    <w:rsid w:val="00E83BC8"/>
    <w:rsid w:val="00EA55A5"/>
    <w:rsid w:val="00EB21A9"/>
    <w:rsid w:val="00EB3500"/>
    <w:rsid w:val="00EC643F"/>
    <w:rsid w:val="00ED3604"/>
    <w:rsid w:val="00EE2A3D"/>
    <w:rsid w:val="00EE2B78"/>
    <w:rsid w:val="00F039A1"/>
    <w:rsid w:val="00F07F7C"/>
    <w:rsid w:val="00F11C42"/>
    <w:rsid w:val="00F12B1E"/>
    <w:rsid w:val="00F1703E"/>
    <w:rsid w:val="00F33DD4"/>
    <w:rsid w:val="00F445BE"/>
    <w:rsid w:val="00F4709A"/>
    <w:rsid w:val="00F53335"/>
    <w:rsid w:val="00F561C2"/>
    <w:rsid w:val="00F570E2"/>
    <w:rsid w:val="00F75F65"/>
    <w:rsid w:val="00F803A5"/>
    <w:rsid w:val="00FA15D4"/>
    <w:rsid w:val="00FD14E5"/>
    <w:rsid w:val="00FD646B"/>
    <w:rsid w:val="00FD7DB5"/>
    <w:rsid w:val="00FE3D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CCD"/>
    <w:rPr>
      <w:rFonts w:ascii="Times New Roman" w:eastAsia="Times New Roman" w:hAnsi="Times New Roman" w:cs="Times New Roman"/>
    </w:rPr>
  </w:style>
  <w:style w:type="paragraph" w:styleId="Heading1">
    <w:name w:val="heading 1"/>
    <w:basedOn w:val="Normal"/>
    <w:next w:val="Normal"/>
    <w:link w:val="Heading1Char"/>
    <w:qFormat/>
    <w:rsid w:val="00E55E31"/>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1B8"/>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6D1B4D"/>
    <w:rPr>
      <w:rFonts w:ascii="Segoe UI" w:hAnsi="Segoe UI" w:eastAsiaTheme="minorHAnsi" w:cs="Segoe UI"/>
      <w:sz w:val="18"/>
      <w:szCs w:val="18"/>
    </w:rPr>
  </w:style>
  <w:style w:type="character" w:customStyle="1" w:styleId="BalloonTextChar">
    <w:name w:val="Balloon Text Char"/>
    <w:basedOn w:val="DefaultParagraphFont"/>
    <w:link w:val="BalloonText"/>
    <w:uiPriority w:val="99"/>
    <w:semiHidden/>
    <w:rsid w:val="006D1B4D"/>
    <w:rPr>
      <w:rFonts w:ascii="Segoe UI" w:hAnsi="Segoe UI" w:cs="Segoe UI"/>
      <w:sz w:val="18"/>
      <w:szCs w:val="18"/>
    </w:rPr>
  </w:style>
  <w:style w:type="character" w:styleId="CommentReference">
    <w:name w:val="annotation reference"/>
    <w:basedOn w:val="DefaultParagraphFont"/>
    <w:uiPriority w:val="99"/>
    <w:semiHidden/>
    <w:unhideWhenUsed/>
    <w:rsid w:val="007240BD"/>
    <w:rPr>
      <w:sz w:val="16"/>
      <w:szCs w:val="16"/>
    </w:rPr>
  </w:style>
  <w:style w:type="paragraph" w:styleId="CommentText">
    <w:name w:val="annotation text"/>
    <w:basedOn w:val="Normal"/>
    <w:link w:val="CommentTextChar"/>
    <w:uiPriority w:val="99"/>
    <w:semiHidden/>
    <w:unhideWhenUsed/>
    <w:rsid w:val="007240B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240BD"/>
    <w:rPr>
      <w:sz w:val="20"/>
      <w:szCs w:val="20"/>
    </w:rPr>
  </w:style>
  <w:style w:type="paragraph" w:styleId="CommentSubject">
    <w:name w:val="annotation subject"/>
    <w:basedOn w:val="CommentText"/>
    <w:next w:val="CommentText"/>
    <w:link w:val="CommentSubjectChar"/>
    <w:uiPriority w:val="99"/>
    <w:semiHidden/>
    <w:unhideWhenUsed/>
    <w:rsid w:val="007240BD"/>
    <w:rPr>
      <w:b/>
      <w:bCs/>
    </w:rPr>
  </w:style>
  <w:style w:type="character" w:customStyle="1" w:styleId="CommentSubjectChar">
    <w:name w:val="Comment Subject Char"/>
    <w:basedOn w:val="CommentTextChar"/>
    <w:link w:val="CommentSubject"/>
    <w:uiPriority w:val="99"/>
    <w:semiHidden/>
    <w:rsid w:val="007240BD"/>
    <w:rPr>
      <w:b/>
      <w:bCs/>
      <w:sz w:val="20"/>
      <w:szCs w:val="20"/>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unhideWhenUsed/>
    <w:rsid w:val="00693E30"/>
    <w:rPr>
      <w:rFonts w:asciiTheme="minorHAnsi" w:eastAsiaTheme="minorHAnsi" w:hAnsiTheme="minorHAnsi" w:cstheme="minorBidi"/>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rsid w:val="00693E30"/>
    <w:rPr>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semiHidden/>
    <w:unhideWhenUsed/>
    <w:rsid w:val="00693E30"/>
    <w:rPr>
      <w:vertAlign w:val="superscript"/>
    </w:rPr>
  </w:style>
  <w:style w:type="paragraph" w:styleId="BodyTextIndent3">
    <w:name w:val="Body Text Indent 3"/>
    <w:basedOn w:val="Normal"/>
    <w:link w:val="BodyTextIndent3Char"/>
    <w:rsid w:val="00737F9E"/>
    <w:pPr>
      <w:spacing w:after="120" w:line="480" w:lineRule="atLeast"/>
      <w:ind w:firstLine="720"/>
    </w:pPr>
    <w:rPr>
      <w:szCs w:val="20"/>
    </w:rPr>
  </w:style>
  <w:style w:type="character" w:customStyle="1" w:styleId="BodyTextIndent3Char">
    <w:name w:val="Body Text Indent 3 Char"/>
    <w:basedOn w:val="DefaultParagraphFont"/>
    <w:link w:val="BodyTextIndent3"/>
    <w:rsid w:val="00737F9E"/>
    <w:rPr>
      <w:rFonts w:ascii="Times New Roman" w:eastAsia="Times New Roman" w:hAnsi="Times New Roman" w:cs="Times New Roman"/>
      <w:szCs w:val="20"/>
    </w:rPr>
  </w:style>
  <w:style w:type="paragraph" w:styleId="Header">
    <w:name w:val="header"/>
    <w:basedOn w:val="Normal"/>
    <w:link w:val="HeaderChar"/>
    <w:uiPriority w:val="99"/>
    <w:unhideWhenUsed/>
    <w:rsid w:val="00810A04"/>
    <w:pPr>
      <w:tabs>
        <w:tab w:val="center" w:pos="4680"/>
        <w:tab w:val="right" w:pos="9360"/>
      </w:tabs>
    </w:pPr>
  </w:style>
  <w:style w:type="character" w:customStyle="1" w:styleId="HeaderChar">
    <w:name w:val="Header Char"/>
    <w:basedOn w:val="DefaultParagraphFont"/>
    <w:link w:val="Header"/>
    <w:uiPriority w:val="99"/>
    <w:rsid w:val="00810A04"/>
    <w:rPr>
      <w:rFonts w:ascii="Times New Roman" w:eastAsia="Times New Roman" w:hAnsi="Times New Roman" w:cs="Times New Roman"/>
    </w:rPr>
  </w:style>
  <w:style w:type="paragraph" w:styleId="Footer">
    <w:name w:val="footer"/>
    <w:basedOn w:val="Normal"/>
    <w:link w:val="FooterChar"/>
    <w:uiPriority w:val="99"/>
    <w:unhideWhenUsed/>
    <w:rsid w:val="00810A04"/>
    <w:pPr>
      <w:tabs>
        <w:tab w:val="center" w:pos="4680"/>
        <w:tab w:val="right" w:pos="9360"/>
      </w:tabs>
    </w:pPr>
  </w:style>
  <w:style w:type="character" w:customStyle="1" w:styleId="FooterChar">
    <w:name w:val="Footer Char"/>
    <w:basedOn w:val="DefaultParagraphFont"/>
    <w:link w:val="Footer"/>
    <w:uiPriority w:val="99"/>
    <w:rsid w:val="00810A04"/>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E10223"/>
    <w:rPr>
      <w:sz w:val="20"/>
      <w:szCs w:val="20"/>
    </w:rPr>
  </w:style>
  <w:style w:type="character" w:customStyle="1" w:styleId="EndnoteTextChar">
    <w:name w:val="Endnote Text Char"/>
    <w:basedOn w:val="DefaultParagraphFont"/>
    <w:link w:val="EndnoteText"/>
    <w:uiPriority w:val="99"/>
    <w:semiHidden/>
    <w:rsid w:val="00E1022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10223"/>
    <w:rPr>
      <w:vertAlign w:val="superscript"/>
    </w:rPr>
  </w:style>
  <w:style w:type="paragraph" w:styleId="HTMLPreformatted">
    <w:name w:val="HTML Preformatted"/>
    <w:basedOn w:val="Normal"/>
    <w:link w:val="HTMLPreformattedChar"/>
    <w:rsid w:val="00DF6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DF6090"/>
    <w:rPr>
      <w:rFonts w:ascii="Courier New" w:eastAsia="Courier New" w:hAnsi="Courier New" w:cs="Courier New"/>
      <w:sz w:val="20"/>
      <w:szCs w:val="20"/>
    </w:rPr>
  </w:style>
  <w:style w:type="paragraph" w:styleId="NormalWeb">
    <w:name w:val="Normal (Web)"/>
    <w:basedOn w:val="Normal"/>
    <w:uiPriority w:val="99"/>
    <w:unhideWhenUsed/>
    <w:rsid w:val="00DF6090"/>
    <w:pPr>
      <w:spacing w:before="100" w:beforeAutospacing="1" w:after="100" w:afterAutospacing="1"/>
    </w:pPr>
  </w:style>
  <w:style w:type="character" w:customStyle="1" w:styleId="Heading1Char">
    <w:name w:val="Heading 1 Char"/>
    <w:basedOn w:val="DefaultParagraphFont"/>
    <w:link w:val="Heading1"/>
    <w:rsid w:val="00E55E31"/>
    <w:rPr>
      <w:rFonts w:ascii="Times New Roman" w:eastAsia="Times New Roman" w:hAnsi="Times New Roman" w:cs="Times New Roman"/>
      <w:b/>
      <w:u w:val="single"/>
    </w:rPr>
  </w:style>
  <w:style w:type="character" w:styleId="Hyperlink">
    <w:name w:val="Hyperlink"/>
    <w:rsid w:val="00E55E31"/>
    <w:rPr>
      <w:color w:val="0000FF"/>
      <w:u w:val="single"/>
    </w:rPr>
  </w:style>
  <w:style w:type="character" w:customStyle="1" w:styleId="UnresolvedMention1">
    <w:name w:val="Unresolved Mention1"/>
    <w:basedOn w:val="DefaultParagraphFont"/>
    <w:uiPriority w:val="99"/>
    <w:semiHidden/>
    <w:unhideWhenUsed/>
    <w:rsid w:val="00E55E31"/>
    <w:rPr>
      <w:color w:val="605E5C"/>
      <w:shd w:val="clear" w:color="auto" w:fill="E1DFDD"/>
    </w:rPr>
  </w:style>
  <w:style w:type="character" w:styleId="FollowedHyperlink">
    <w:name w:val="FollowedHyperlink"/>
    <w:basedOn w:val="DefaultParagraphFont"/>
    <w:uiPriority w:val="99"/>
    <w:semiHidden/>
    <w:unhideWhenUsed/>
    <w:rsid w:val="00E55E31"/>
    <w:rPr>
      <w:color w:val="954F72" w:themeColor="followedHyperlink"/>
      <w:u w:val="single"/>
    </w:rPr>
  </w:style>
  <w:style w:type="paragraph" w:styleId="BodyText">
    <w:name w:val="Body Text"/>
    <w:basedOn w:val="Normal"/>
    <w:link w:val="BodyTextChar"/>
    <w:uiPriority w:val="99"/>
    <w:semiHidden/>
    <w:unhideWhenUsed/>
    <w:rsid w:val="00C32387"/>
    <w:pPr>
      <w:spacing w:after="120"/>
    </w:pPr>
  </w:style>
  <w:style w:type="character" w:customStyle="1" w:styleId="BodyTextChar">
    <w:name w:val="Body Text Char"/>
    <w:basedOn w:val="DefaultParagraphFont"/>
    <w:link w:val="BodyText"/>
    <w:uiPriority w:val="99"/>
    <w:semiHidden/>
    <w:rsid w:val="00C32387"/>
    <w:rPr>
      <w:rFonts w:ascii="Times New Roman" w:eastAsia="Times New Roman" w:hAnsi="Times New Roman" w:cs="Times New Roman"/>
    </w:rPr>
  </w:style>
  <w:style w:type="character" w:customStyle="1" w:styleId="UnresolvedMention2">
    <w:name w:val="Unresolved Mention2"/>
    <w:basedOn w:val="DefaultParagraphFont"/>
    <w:uiPriority w:val="99"/>
    <w:rsid w:val="00C12F0F"/>
    <w:rPr>
      <w:color w:val="605E5C"/>
      <w:shd w:val="clear" w:color="auto" w:fill="E1DFDD"/>
    </w:rPr>
  </w:style>
  <w:style w:type="character" w:customStyle="1" w:styleId="UnresolvedMention3">
    <w:name w:val="Unresolved Mention3"/>
    <w:basedOn w:val="DefaultParagraphFont"/>
    <w:uiPriority w:val="99"/>
    <w:rsid w:val="00381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my.botschner.obrien@occ.ohio.gov" TargetMode="External" /><Relationship Id="rId11" Type="http://schemas.openxmlformats.org/officeDocument/2006/relationships/header" Target="header2.xml" /><Relationship Id="rId12" Type="http://schemas.openxmlformats.org/officeDocument/2006/relationships/hyperlink" Target="mailto:steven.darnell@ohioattorneygeneral.gov" TargetMode="External" /><Relationship Id="rId13" Type="http://schemas.openxmlformats.org/officeDocument/2006/relationships/hyperlink" Target="mailto:steven.beeler@ohioattornegeneral.gov" TargetMode="External" /><Relationship Id="rId14" Type="http://schemas.openxmlformats.org/officeDocument/2006/relationships/hyperlink" Target="mailto:gkrassen@bricker.com" TargetMode="External" /><Relationship Id="rId15" Type="http://schemas.openxmlformats.org/officeDocument/2006/relationships/hyperlink" Target="mailto:dstinson@bricker.com" TargetMode="External" /><Relationship Id="rId16" Type="http://schemas.openxmlformats.org/officeDocument/2006/relationships/hyperlink" Target="mailto:dparram@bricker.com" TargetMode="External" /><Relationship Id="rId17" Type="http://schemas.openxmlformats.org/officeDocument/2006/relationships/hyperlink" Target="mailto:bethany.allen@igs.com" TargetMode="External" /><Relationship Id="rId18" Type="http://schemas.openxmlformats.org/officeDocument/2006/relationships/hyperlink" Target="mailto:joe.oliker@igs.com" TargetMode="External" /><Relationship Id="rId19" Type="http://schemas.openxmlformats.org/officeDocument/2006/relationships/hyperlink" Target="mailto:michael.nugent@igs.com" TargetMode="External" /><Relationship Id="rId2" Type="http://schemas.openxmlformats.org/officeDocument/2006/relationships/settings" Target="settings.xml" /><Relationship Id="rId20" Type="http://schemas.openxmlformats.org/officeDocument/2006/relationships/hyperlink" Target="mailto:michael.schuler@aes.com" TargetMode="External" /><Relationship Id="rId21" Type="http://schemas.openxmlformats.org/officeDocument/2006/relationships/hyperlink" Target="mailto:stnourse@aep.com" TargetMode="External" /><Relationship Id="rId22" Type="http://schemas.openxmlformats.org/officeDocument/2006/relationships/hyperlink" Target="mailto:cmblend@aep.com" TargetMode="External" /><Relationship Id="rId23" Type="http://schemas.openxmlformats.org/officeDocument/2006/relationships/hyperlink" Target="mailto:cwatchorn@firstenergycorp.com" TargetMode="External" /><Relationship Id="rId24" Type="http://schemas.openxmlformats.org/officeDocument/2006/relationships/hyperlink" Target="mailto:rocco.dascenzo@duke-energy.com" TargetMode="External" /><Relationship Id="rId25" Type="http://schemas.openxmlformats.org/officeDocument/2006/relationships/hyperlink" Target="mailto:larisa.maysman@duke-energy.com" TargetMode="External" /><Relationship Id="rId26" Type="http://schemas.openxmlformats.org/officeDocument/2006/relationships/hyperlink" Target="mailto:whitt@whitt-sturtevant.com" TargetMode="External" /><Relationship Id="rId27" Type="http://schemas.openxmlformats.org/officeDocument/2006/relationships/hyperlink" Target="mailto:fykes@whitt-sturtevant.com" TargetMode="Externa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webSettings" Target="webSettings.xml" /><Relationship Id="rId30"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hyperlink" Target="mailto:ambrosia.wilson@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6A1D5-F295-48D8-8D1B-0C853087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2020-05-19T12:48:38Z</dcterms:created>
  <dcterms:modified xsi:type="dcterms:W3CDTF">2020-05-19T12:48:38Z</dcterms:modified>
</cp:coreProperties>
</file>