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226B2E" w:rsidRPr="001D6D5E" w:rsidP="005D2D59" w14:paraId="353F8E88" w14:textId="77777777">
      <w:pPr>
        <w:pStyle w:val="List"/>
        <w:tabs>
          <w:tab w:val="left" w:pos="9180"/>
        </w:tabs>
        <w:ind w:left="0" w:firstLine="0"/>
        <w:jc w:val="center"/>
        <w:rPr>
          <w:b/>
          <w:szCs w:val="24"/>
        </w:rPr>
      </w:pPr>
      <w:r w:rsidRPr="001D6D5E">
        <w:rPr>
          <w:b/>
          <w:szCs w:val="24"/>
        </w:rPr>
        <w:t>BEFORE</w:t>
      </w:r>
    </w:p>
    <w:p w:rsidR="00226B2E" w:rsidRPr="001D6D5E" w:rsidP="005D2D59" w14:paraId="624BBDE9" w14:textId="77777777">
      <w:pPr>
        <w:pStyle w:val="List"/>
        <w:ind w:left="0" w:firstLine="0"/>
        <w:jc w:val="center"/>
        <w:rPr>
          <w:b/>
          <w:szCs w:val="24"/>
        </w:rPr>
      </w:pPr>
      <w:r w:rsidRPr="001D6D5E">
        <w:rPr>
          <w:b/>
          <w:szCs w:val="24"/>
        </w:rPr>
        <w:t>THE PUBLIC UTILITIES COMMISSION OF OHIO</w:t>
      </w:r>
    </w:p>
    <w:p w:rsidR="004E5944" w:rsidRPr="001D6D5E" w:rsidP="005D2D59" w14:paraId="0EC190EE" w14:textId="77777777">
      <w:pPr>
        <w:pStyle w:val="List"/>
        <w:ind w:left="0" w:firstLine="0"/>
        <w:jc w:val="center"/>
        <w:rPr>
          <w:b/>
          <w:szCs w:val="24"/>
        </w:rPr>
      </w:pPr>
    </w:p>
    <w:tbl>
      <w:tblPr>
        <w:tblW w:w="9360" w:type="dxa"/>
        <w:tblLook w:val="01E0"/>
      </w:tblPr>
      <w:tblGrid>
        <w:gridCol w:w="4230"/>
        <w:gridCol w:w="630"/>
        <w:gridCol w:w="4500"/>
      </w:tblGrid>
      <w:tr w14:paraId="6FE6F71C" w14:textId="77777777" w:rsidTr="00357F44">
        <w:tblPrEx>
          <w:tblW w:w="9360" w:type="dxa"/>
          <w:tblLook w:val="01E0"/>
        </w:tblPrEx>
        <w:trPr>
          <w:trHeight w:val="807"/>
        </w:trPr>
        <w:tc>
          <w:tcPr>
            <w:tcW w:w="4230" w:type="dxa"/>
            <w:shd w:val="clear" w:color="auto" w:fill="auto"/>
          </w:tcPr>
          <w:p w:rsidR="001930AB" w:rsidRPr="001D6D5E" w:rsidP="005D2D59" w14:paraId="32E1A28C" w14:textId="77777777">
            <w:pPr>
              <w:pStyle w:val="HTMLPreformatted"/>
              <w:rPr>
                <w:rFonts w:ascii="Times New Roman" w:hAnsi="Times New Roman" w:cs="Times New Roman"/>
                <w:sz w:val="24"/>
                <w:szCs w:val="24"/>
              </w:rPr>
            </w:pPr>
            <w:r w:rsidRPr="001D6D5E">
              <w:rPr>
                <w:rFonts w:ascii="Times New Roman" w:hAnsi="Times New Roman" w:cs="Times New Roman"/>
                <w:sz w:val="24"/>
                <w:szCs w:val="24"/>
              </w:rPr>
              <w:t xml:space="preserve">In the Matter of </w:t>
            </w:r>
            <w:r w:rsidRPr="001D6D5E" w:rsidR="00721C91">
              <w:rPr>
                <w:rFonts w:ascii="Times New Roman" w:hAnsi="Times New Roman" w:cs="Times New Roman"/>
                <w:sz w:val="24"/>
                <w:szCs w:val="24"/>
              </w:rPr>
              <w:t>the Ohio Edison Company, the Cleveland Electric Illuminating Company, and the Toledo Edison Company’s Compliance with R.C. 4928.17 and the Ohio Adm. Code Chapter 4901:1-37.</w:t>
            </w:r>
          </w:p>
        </w:tc>
        <w:tc>
          <w:tcPr>
            <w:tcW w:w="630" w:type="dxa"/>
            <w:shd w:val="clear" w:color="auto" w:fill="auto"/>
          </w:tcPr>
          <w:p w:rsidR="001930AB" w:rsidRPr="001D6D5E" w:rsidP="005D2D59" w14:paraId="1525B585" w14:textId="77777777">
            <w:pPr>
              <w:pStyle w:val="HTMLPreformatted"/>
              <w:rPr>
                <w:rFonts w:ascii="Times New Roman" w:hAnsi="Times New Roman" w:cs="Times New Roman"/>
                <w:sz w:val="24"/>
                <w:szCs w:val="24"/>
              </w:rPr>
            </w:pPr>
            <w:r w:rsidRPr="001D6D5E">
              <w:rPr>
                <w:rFonts w:ascii="Times New Roman" w:hAnsi="Times New Roman" w:cs="Times New Roman"/>
                <w:sz w:val="24"/>
                <w:szCs w:val="24"/>
              </w:rPr>
              <w:t>)</w:t>
            </w:r>
          </w:p>
          <w:p w:rsidR="001930AB" w:rsidRPr="001D6D5E" w:rsidP="005D2D59" w14:paraId="62B16EEE" w14:textId="77777777">
            <w:pPr>
              <w:pStyle w:val="HTMLPreformatted"/>
              <w:rPr>
                <w:rFonts w:ascii="Times New Roman" w:hAnsi="Times New Roman" w:cs="Times New Roman"/>
                <w:sz w:val="24"/>
                <w:szCs w:val="24"/>
              </w:rPr>
            </w:pPr>
            <w:r w:rsidRPr="001D6D5E">
              <w:rPr>
                <w:rFonts w:ascii="Times New Roman" w:hAnsi="Times New Roman" w:cs="Times New Roman"/>
                <w:sz w:val="24"/>
                <w:szCs w:val="24"/>
              </w:rPr>
              <w:t>)</w:t>
            </w:r>
          </w:p>
          <w:p w:rsidR="001930AB" w:rsidRPr="001D6D5E" w:rsidP="005D2D59" w14:paraId="4BF98277" w14:textId="77777777">
            <w:pPr>
              <w:pStyle w:val="HTMLPreformatted"/>
              <w:rPr>
                <w:rFonts w:ascii="Times New Roman" w:hAnsi="Times New Roman" w:cs="Times New Roman"/>
                <w:sz w:val="24"/>
                <w:szCs w:val="24"/>
              </w:rPr>
            </w:pPr>
            <w:r w:rsidRPr="001D6D5E">
              <w:rPr>
                <w:rFonts w:ascii="Times New Roman" w:hAnsi="Times New Roman" w:cs="Times New Roman"/>
                <w:sz w:val="24"/>
                <w:szCs w:val="24"/>
              </w:rPr>
              <w:t>)</w:t>
            </w:r>
          </w:p>
          <w:p w:rsidR="001930AB" w:rsidRPr="001D6D5E" w:rsidP="005D2D59" w14:paraId="3E0EFF8C" w14:textId="77777777">
            <w:pPr>
              <w:pStyle w:val="HTMLPreformatted"/>
              <w:rPr>
                <w:rFonts w:ascii="Times New Roman" w:hAnsi="Times New Roman" w:cs="Times New Roman"/>
                <w:sz w:val="24"/>
                <w:szCs w:val="24"/>
              </w:rPr>
            </w:pPr>
            <w:r w:rsidRPr="001D6D5E">
              <w:rPr>
                <w:rFonts w:ascii="Times New Roman" w:hAnsi="Times New Roman" w:cs="Times New Roman"/>
                <w:sz w:val="24"/>
                <w:szCs w:val="24"/>
              </w:rPr>
              <w:t>)</w:t>
            </w:r>
          </w:p>
          <w:p w:rsidR="00357F44" w:rsidRPr="001D6D5E" w:rsidP="005D2D59" w14:paraId="606E8269" w14:textId="77777777">
            <w:pPr>
              <w:pStyle w:val="HTMLPreformatted"/>
              <w:rPr>
                <w:rFonts w:ascii="Times New Roman" w:hAnsi="Times New Roman" w:cs="Times New Roman"/>
                <w:sz w:val="24"/>
                <w:szCs w:val="24"/>
              </w:rPr>
            </w:pPr>
            <w:r w:rsidRPr="001D6D5E">
              <w:rPr>
                <w:rFonts w:ascii="Times New Roman" w:hAnsi="Times New Roman" w:cs="Times New Roman"/>
                <w:sz w:val="24"/>
                <w:szCs w:val="24"/>
              </w:rPr>
              <w:t>)</w:t>
            </w:r>
          </w:p>
          <w:p w:rsidR="00B97B72" w:rsidRPr="001D6D5E" w:rsidP="005D2D59" w14:paraId="0A8DED36" w14:textId="77777777">
            <w:pPr>
              <w:pStyle w:val="HTMLPreformatted"/>
              <w:rPr>
                <w:rFonts w:ascii="Times New Roman" w:hAnsi="Times New Roman" w:cs="Times New Roman"/>
                <w:sz w:val="24"/>
                <w:szCs w:val="24"/>
              </w:rPr>
            </w:pPr>
            <w:r w:rsidRPr="001D6D5E">
              <w:rPr>
                <w:rFonts w:ascii="Times New Roman" w:hAnsi="Times New Roman" w:cs="Times New Roman"/>
                <w:sz w:val="24"/>
                <w:szCs w:val="24"/>
              </w:rPr>
              <w:t>)</w:t>
            </w:r>
          </w:p>
        </w:tc>
        <w:tc>
          <w:tcPr>
            <w:tcW w:w="4500" w:type="dxa"/>
            <w:shd w:val="clear" w:color="auto" w:fill="auto"/>
          </w:tcPr>
          <w:p w:rsidR="001930AB" w:rsidRPr="001D6D5E" w:rsidP="005D2D59" w14:paraId="01D1D5C9" w14:textId="77777777">
            <w:pPr>
              <w:pStyle w:val="HTMLPreformatted"/>
              <w:rPr>
                <w:rFonts w:ascii="Times New Roman" w:hAnsi="Times New Roman" w:cs="Times New Roman"/>
                <w:sz w:val="24"/>
                <w:szCs w:val="24"/>
              </w:rPr>
            </w:pPr>
          </w:p>
          <w:p w:rsidR="00B97B72" w:rsidRPr="001D6D5E" w:rsidP="005D2D59" w14:paraId="6A033717" w14:textId="77777777">
            <w:pPr>
              <w:pStyle w:val="HTMLPreformatted"/>
              <w:rPr>
                <w:rFonts w:ascii="Times New Roman" w:hAnsi="Times New Roman" w:cs="Times New Roman"/>
                <w:sz w:val="24"/>
                <w:szCs w:val="24"/>
              </w:rPr>
            </w:pPr>
          </w:p>
          <w:p w:rsidR="001930AB" w:rsidRPr="001D6D5E" w:rsidP="005D2D59" w14:paraId="18655A9B" w14:textId="77777777">
            <w:pPr>
              <w:pStyle w:val="HTMLPreformatted"/>
              <w:rPr>
                <w:rFonts w:ascii="Times New Roman" w:hAnsi="Times New Roman" w:cs="Times New Roman"/>
                <w:sz w:val="24"/>
                <w:szCs w:val="24"/>
              </w:rPr>
            </w:pPr>
            <w:r w:rsidRPr="001D6D5E">
              <w:rPr>
                <w:rFonts w:ascii="Times New Roman" w:hAnsi="Times New Roman" w:cs="Times New Roman"/>
                <w:sz w:val="24"/>
                <w:szCs w:val="24"/>
              </w:rPr>
              <w:t>Case No. 17-</w:t>
            </w:r>
            <w:r w:rsidRPr="001D6D5E" w:rsidR="00BF5F76">
              <w:rPr>
                <w:rFonts w:ascii="Times New Roman" w:hAnsi="Times New Roman" w:cs="Times New Roman"/>
                <w:sz w:val="24"/>
                <w:szCs w:val="24"/>
              </w:rPr>
              <w:t>974</w:t>
            </w:r>
            <w:r w:rsidRPr="001D6D5E">
              <w:rPr>
                <w:rFonts w:ascii="Times New Roman" w:hAnsi="Times New Roman" w:cs="Times New Roman"/>
                <w:sz w:val="24"/>
                <w:szCs w:val="24"/>
              </w:rPr>
              <w:t>-EL</w:t>
            </w:r>
            <w:r w:rsidRPr="001D6D5E" w:rsidR="00BF5F76">
              <w:rPr>
                <w:rFonts w:ascii="Times New Roman" w:hAnsi="Times New Roman" w:cs="Times New Roman"/>
                <w:sz w:val="24"/>
                <w:szCs w:val="24"/>
              </w:rPr>
              <w:t>-UNC</w:t>
            </w:r>
          </w:p>
          <w:p w:rsidR="001930AB" w:rsidRPr="001D6D5E" w:rsidP="005D2D59" w14:paraId="0351B059" w14:textId="77777777">
            <w:pPr>
              <w:pStyle w:val="HTMLPreformatted"/>
              <w:rPr>
                <w:rFonts w:ascii="Times New Roman" w:hAnsi="Times New Roman" w:cs="Times New Roman"/>
                <w:sz w:val="24"/>
                <w:szCs w:val="24"/>
              </w:rPr>
            </w:pPr>
          </w:p>
        </w:tc>
      </w:tr>
    </w:tbl>
    <w:p w:rsidR="00226B2E" w:rsidRPr="001D6D5E" w:rsidP="005D2D59" w14:paraId="0AA2D088" w14:textId="77777777">
      <w:pPr>
        <w:pBdr>
          <w:bottom w:val="single" w:sz="12" w:space="1" w:color="auto"/>
        </w:pBdr>
        <w:rPr>
          <w:szCs w:val="24"/>
        </w:rPr>
      </w:pPr>
    </w:p>
    <w:p w:rsidR="00226B2E" w:rsidRPr="001D6D5E" w:rsidP="005D2D59" w14:paraId="2326B66B" w14:textId="77777777">
      <w:pPr>
        <w:rPr>
          <w:b/>
          <w:bCs w:val="0"/>
          <w:szCs w:val="24"/>
        </w:rPr>
      </w:pPr>
    </w:p>
    <w:p w:rsidR="00C05918" w:rsidRPr="001D6D5E" w:rsidP="006E4CAF" w14:paraId="38C65376" w14:textId="0D69411E">
      <w:pPr>
        <w:jc w:val="center"/>
        <w:rPr>
          <w:b/>
          <w:bCs w:val="0"/>
          <w:szCs w:val="24"/>
        </w:rPr>
      </w:pPr>
      <w:bookmarkStart w:id="0" w:name="_Hlk94783649"/>
      <w:r w:rsidRPr="001D6D5E">
        <w:rPr>
          <w:b/>
          <w:bCs w:val="0"/>
          <w:szCs w:val="24"/>
        </w:rPr>
        <w:t>MEMOR</w:t>
      </w:r>
      <w:r w:rsidRPr="001D6D5E" w:rsidR="00886CD5">
        <w:rPr>
          <w:b/>
          <w:bCs w:val="0"/>
          <w:szCs w:val="24"/>
        </w:rPr>
        <w:t>AN</w:t>
      </w:r>
      <w:r w:rsidRPr="001D6D5E">
        <w:rPr>
          <w:b/>
          <w:bCs w:val="0"/>
          <w:szCs w:val="24"/>
        </w:rPr>
        <w:t xml:space="preserve">DUM CONTRA </w:t>
      </w:r>
      <w:r w:rsidRPr="001D6D5E" w:rsidR="00E46067">
        <w:rPr>
          <w:b/>
          <w:bCs w:val="0"/>
          <w:szCs w:val="24"/>
        </w:rPr>
        <w:t xml:space="preserve">FIRSTENERGY’S </w:t>
      </w:r>
      <w:r w:rsidRPr="001D6D5E" w:rsidR="00870C01">
        <w:rPr>
          <w:b/>
          <w:bCs w:val="0"/>
          <w:szCs w:val="24"/>
        </w:rPr>
        <w:t xml:space="preserve">MOTION </w:t>
      </w:r>
      <w:r w:rsidRPr="001D6D5E">
        <w:rPr>
          <w:b/>
          <w:bCs w:val="0"/>
          <w:szCs w:val="24"/>
        </w:rPr>
        <w:t xml:space="preserve">TO QUASH </w:t>
      </w:r>
      <w:r w:rsidRPr="001D6D5E" w:rsidR="00EA1A7C">
        <w:rPr>
          <w:b/>
          <w:bCs w:val="0"/>
          <w:szCs w:val="24"/>
        </w:rPr>
        <w:t xml:space="preserve">OCC’S </w:t>
      </w:r>
      <w:r w:rsidRPr="001D6D5E" w:rsidR="00870C01">
        <w:rPr>
          <w:b/>
          <w:bCs w:val="0"/>
          <w:szCs w:val="24"/>
        </w:rPr>
        <w:t xml:space="preserve">SUBPOENA </w:t>
      </w:r>
      <w:r w:rsidRPr="001D6D5E" w:rsidR="000729A6">
        <w:rPr>
          <w:b/>
          <w:bCs w:val="0"/>
          <w:szCs w:val="24"/>
        </w:rPr>
        <w:t>TO FIRSTENERGY</w:t>
      </w:r>
      <w:r w:rsidRPr="001D6D5E" w:rsidR="00064E5A">
        <w:rPr>
          <w:b/>
          <w:bCs w:val="0"/>
          <w:szCs w:val="24"/>
        </w:rPr>
        <w:t xml:space="preserve"> CORP.</w:t>
      </w:r>
      <w:r w:rsidRPr="001D6D5E" w:rsidR="00870C01">
        <w:rPr>
          <w:b/>
          <w:bCs w:val="0"/>
          <w:szCs w:val="24"/>
        </w:rPr>
        <w:t xml:space="preserve"> </w:t>
      </w:r>
    </w:p>
    <w:p w:rsidR="00F55CE0" w:rsidRPr="001D6D5E" w:rsidP="005D2D59" w14:paraId="2B7CB58D" w14:textId="77777777">
      <w:pPr>
        <w:jc w:val="center"/>
        <w:rPr>
          <w:b/>
          <w:bCs w:val="0"/>
          <w:szCs w:val="24"/>
        </w:rPr>
      </w:pPr>
      <w:r w:rsidRPr="001D6D5E">
        <w:rPr>
          <w:b/>
          <w:bCs w:val="0"/>
          <w:szCs w:val="24"/>
        </w:rPr>
        <w:t>BY</w:t>
      </w:r>
    </w:p>
    <w:p w:rsidR="00C90A01" w:rsidRPr="001D6D5E" w:rsidP="005D2D59" w14:paraId="6A4DBA56" w14:textId="77777777">
      <w:pPr>
        <w:pBdr>
          <w:bottom w:val="single" w:sz="12" w:space="1" w:color="auto"/>
        </w:pBdr>
        <w:jc w:val="center"/>
        <w:rPr>
          <w:b/>
          <w:bCs w:val="0"/>
          <w:szCs w:val="24"/>
        </w:rPr>
      </w:pPr>
      <w:r w:rsidRPr="001D6D5E">
        <w:rPr>
          <w:b/>
          <w:bCs w:val="0"/>
          <w:szCs w:val="24"/>
        </w:rPr>
        <w:t>OFFICE OF THE OHIO CONSUMERS’ COUNSEL</w:t>
      </w:r>
    </w:p>
    <w:bookmarkEnd w:id="0"/>
    <w:p w:rsidR="00226B2E" w:rsidRPr="001D6D5E" w:rsidP="005D2D59" w14:paraId="42F26675" w14:textId="77777777">
      <w:pPr>
        <w:pBdr>
          <w:bottom w:val="single" w:sz="12" w:space="1" w:color="auto"/>
        </w:pBdr>
        <w:jc w:val="center"/>
        <w:rPr>
          <w:b/>
          <w:bCs w:val="0"/>
          <w:szCs w:val="24"/>
        </w:rPr>
      </w:pPr>
    </w:p>
    <w:p w:rsidR="00E16825" w:rsidRPr="001D6D5E" w:rsidP="005D2D59" w14:paraId="685181F3" w14:textId="7DEF8AE3">
      <w:pPr>
        <w:pStyle w:val="List"/>
        <w:ind w:left="0" w:firstLine="0"/>
        <w:rPr>
          <w:b/>
          <w:szCs w:val="24"/>
        </w:rPr>
      </w:pPr>
    </w:p>
    <w:p w:rsidR="00FF21FC" w:rsidRPr="001D6D5E" w:rsidP="005D2D59" w14:paraId="69B02D7C" w14:textId="77777777">
      <w:pPr>
        <w:pStyle w:val="List"/>
        <w:ind w:left="0" w:firstLine="0"/>
        <w:rPr>
          <w:b/>
          <w:szCs w:val="24"/>
        </w:rPr>
      </w:pPr>
    </w:p>
    <w:p w:rsidR="00B57A2E" w:rsidRPr="001D6D5E" w:rsidP="005D2D59" w14:paraId="19F33340" w14:textId="77777777">
      <w:pPr>
        <w:pStyle w:val="Footer"/>
        <w:tabs>
          <w:tab w:val="left" w:pos="4320"/>
        </w:tabs>
        <w:ind w:left="4320"/>
        <w:rPr>
          <w:szCs w:val="24"/>
        </w:rPr>
      </w:pPr>
      <w:r w:rsidRPr="001D6D5E">
        <w:rPr>
          <w:szCs w:val="24"/>
        </w:rPr>
        <w:t>Bruce Weston (0016973)</w:t>
      </w:r>
    </w:p>
    <w:p w:rsidR="00B57A2E" w:rsidRPr="001D6D5E" w:rsidP="005D2D59" w14:paraId="2201EE47" w14:textId="77777777">
      <w:pPr>
        <w:tabs>
          <w:tab w:val="left" w:pos="4320"/>
        </w:tabs>
        <w:ind w:left="4320"/>
        <w:rPr>
          <w:szCs w:val="24"/>
        </w:rPr>
      </w:pPr>
      <w:r w:rsidRPr="001D6D5E">
        <w:rPr>
          <w:szCs w:val="24"/>
        </w:rPr>
        <w:t>Ohio Consumers’ Counsel</w:t>
      </w:r>
    </w:p>
    <w:p w:rsidR="00B57A2E" w:rsidRPr="001D6D5E" w:rsidP="005D2D59" w14:paraId="3F1ECCF8" w14:textId="77777777">
      <w:pPr>
        <w:pStyle w:val="ListParagraph"/>
        <w:tabs>
          <w:tab w:val="left" w:pos="4320"/>
        </w:tabs>
        <w:ind w:left="3600"/>
        <w:rPr>
          <w:szCs w:val="24"/>
        </w:rPr>
      </w:pPr>
      <w:r w:rsidRPr="001D6D5E">
        <w:rPr>
          <w:szCs w:val="24"/>
        </w:rPr>
        <w:tab/>
      </w:r>
    </w:p>
    <w:p w:rsidR="00B57A2E" w:rsidRPr="001D6D5E" w:rsidP="005D2D59" w14:paraId="1BAA2242" w14:textId="77777777">
      <w:pPr>
        <w:pStyle w:val="ListParagraph"/>
        <w:tabs>
          <w:tab w:val="left" w:pos="4320"/>
        </w:tabs>
        <w:ind w:left="4320"/>
        <w:rPr>
          <w:szCs w:val="24"/>
        </w:rPr>
      </w:pPr>
      <w:r w:rsidRPr="001D6D5E">
        <w:rPr>
          <w:szCs w:val="24"/>
        </w:rPr>
        <w:t>Maureen R. Willis (0020847)</w:t>
      </w:r>
    </w:p>
    <w:p w:rsidR="00B57A2E" w:rsidRPr="001D6D5E" w:rsidP="005D2D59" w14:paraId="68F1017C" w14:textId="77777777">
      <w:pPr>
        <w:pStyle w:val="ListParagraph"/>
        <w:tabs>
          <w:tab w:val="left" w:pos="4320"/>
        </w:tabs>
        <w:ind w:left="4320"/>
        <w:rPr>
          <w:szCs w:val="24"/>
        </w:rPr>
      </w:pPr>
      <w:r w:rsidRPr="001D6D5E">
        <w:rPr>
          <w:szCs w:val="24"/>
        </w:rPr>
        <w:t>Counsel of Record</w:t>
      </w:r>
    </w:p>
    <w:p w:rsidR="00B57A2E" w:rsidRPr="001D6D5E" w:rsidP="005D2D59" w14:paraId="00D2E524" w14:textId="77777777">
      <w:pPr>
        <w:pStyle w:val="ListParagraph"/>
        <w:tabs>
          <w:tab w:val="left" w:pos="4320"/>
        </w:tabs>
        <w:ind w:left="4320"/>
        <w:rPr>
          <w:szCs w:val="24"/>
        </w:rPr>
      </w:pPr>
      <w:r w:rsidRPr="001D6D5E">
        <w:rPr>
          <w:szCs w:val="24"/>
        </w:rPr>
        <w:t>John Finnigan (0018689)</w:t>
      </w:r>
      <w:r w:rsidRPr="001D6D5E">
        <w:rPr>
          <w:szCs w:val="24"/>
        </w:rPr>
        <w:br/>
        <w:t>Assistant Consumers’ Counsel</w:t>
      </w:r>
    </w:p>
    <w:p w:rsidR="00B57A2E" w:rsidRPr="001D6D5E" w:rsidP="005D2D59" w14:paraId="35AD498E" w14:textId="77777777">
      <w:pPr>
        <w:pStyle w:val="ListParagraph"/>
        <w:tabs>
          <w:tab w:val="left" w:pos="4320"/>
        </w:tabs>
        <w:ind w:left="4320"/>
        <w:rPr>
          <w:szCs w:val="24"/>
        </w:rPr>
      </w:pPr>
    </w:p>
    <w:p w:rsidR="00B57A2E" w:rsidRPr="001D6D5E" w:rsidP="005D2D59" w14:paraId="53EB9E42" w14:textId="77777777">
      <w:pPr>
        <w:pStyle w:val="ListParagraph"/>
        <w:tabs>
          <w:tab w:val="left" w:pos="4320"/>
        </w:tabs>
        <w:ind w:left="4320"/>
        <w:rPr>
          <w:b/>
          <w:bCs w:val="0"/>
          <w:szCs w:val="24"/>
        </w:rPr>
      </w:pPr>
      <w:r w:rsidRPr="001D6D5E">
        <w:rPr>
          <w:b/>
          <w:szCs w:val="24"/>
        </w:rPr>
        <w:t>Office of the Ohio Consumers’ Counsel</w:t>
      </w:r>
    </w:p>
    <w:p w:rsidR="00B57A2E" w:rsidRPr="001D6D5E" w:rsidP="005D2D59" w14:paraId="11232ED5" w14:textId="77777777">
      <w:pPr>
        <w:ind w:left="4320"/>
        <w:rPr>
          <w:szCs w:val="24"/>
        </w:rPr>
      </w:pPr>
      <w:r w:rsidRPr="001D6D5E">
        <w:rPr>
          <w:szCs w:val="24"/>
        </w:rPr>
        <w:t>65 East State Street, Suite 700</w:t>
      </w:r>
    </w:p>
    <w:p w:rsidR="00B57A2E" w:rsidRPr="001D6D5E" w:rsidP="005D2D59" w14:paraId="0DC86797" w14:textId="77777777">
      <w:pPr>
        <w:ind w:left="4320"/>
        <w:rPr>
          <w:szCs w:val="24"/>
        </w:rPr>
      </w:pPr>
      <w:r w:rsidRPr="001D6D5E">
        <w:rPr>
          <w:szCs w:val="24"/>
        </w:rPr>
        <w:t>Columbus, Ohio 43215</w:t>
      </w:r>
    </w:p>
    <w:p w:rsidR="00B57A2E" w:rsidRPr="001D6D5E" w:rsidP="005D2D59" w14:paraId="5C3AC6E6" w14:textId="77777777">
      <w:pPr>
        <w:autoSpaceDE w:val="0"/>
        <w:autoSpaceDN w:val="0"/>
        <w:adjustRightInd w:val="0"/>
        <w:ind w:left="3600" w:firstLine="720"/>
        <w:rPr>
          <w:szCs w:val="24"/>
        </w:rPr>
      </w:pPr>
      <w:r w:rsidRPr="001D6D5E">
        <w:rPr>
          <w:szCs w:val="24"/>
        </w:rPr>
        <w:t>Telephone [Willis]: (614) 466-9567</w:t>
      </w:r>
    </w:p>
    <w:p w:rsidR="00B57A2E" w:rsidRPr="001D6D5E" w:rsidP="005D2D59" w14:paraId="55ED447D" w14:textId="77777777">
      <w:pPr>
        <w:pStyle w:val="ListParagraph"/>
        <w:autoSpaceDE w:val="0"/>
        <w:autoSpaceDN w:val="0"/>
        <w:adjustRightInd w:val="0"/>
        <w:ind w:left="3600" w:firstLine="720"/>
        <w:rPr>
          <w:szCs w:val="24"/>
        </w:rPr>
      </w:pPr>
      <w:r w:rsidRPr="001D6D5E">
        <w:rPr>
          <w:szCs w:val="24"/>
        </w:rPr>
        <w:t>Telephone [Finnigan]: (614) 466-9585</w:t>
      </w:r>
    </w:p>
    <w:p w:rsidR="00B57A2E" w:rsidRPr="001D6D5E" w:rsidP="005D2D59" w14:paraId="0A694E93" w14:textId="77777777">
      <w:pPr>
        <w:pStyle w:val="ListParagraph"/>
        <w:autoSpaceDE w:val="0"/>
        <w:autoSpaceDN w:val="0"/>
        <w:adjustRightInd w:val="0"/>
        <w:ind w:left="0"/>
        <w:rPr>
          <w:color w:val="0000FF"/>
          <w:szCs w:val="24"/>
        </w:rPr>
      </w:pPr>
      <w:r w:rsidRPr="001D6D5E">
        <w:rPr>
          <w:szCs w:val="24"/>
        </w:rPr>
        <w:tab/>
      </w:r>
      <w:r w:rsidRPr="001D6D5E">
        <w:rPr>
          <w:szCs w:val="24"/>
        </w:rPr>
        <w:tab/>
      </w:r>
      <w:r w:rsidRPr="001D6D5E">
        <w:rPr>
          <w:szCs w:val="24"/>
        </w:rPr>
        <w:tab/>
      </w:r>
      <w:r w:rsidRPr="001D6D5E">
        <w:rPr>
          <w:szCs w:val="24"/>
        </w:rPr>
        <w:tab/>
      </w:r>
      <w:r w:rsidRPr="001D6D5E">
        <w:rPr>
          <w:szCs w:val="24"/>
        </w:rPr>
        <w:tab/>
      </w:r>
      <w:r w:rsidRPr="001D6D5E">
        <w:rPr>
          <w:szCs w:val="24"/>
        </w:rPr>
        <w:tab/>
      </w:r>
      <w:hyperlink r:id="rId6" w:history="1">
        <w:r w:rsidRPr="001D6D5E">
          <w:rPr>
            <w:rStyle w:val="Hyperlink"/>
            <w:color w:val="0000FF"/>
            <w:szCs w:val="24"/>
          </w:rPr>
          <w:t>maureen.willis@occ.ohio.gov</w:t>
        </w:r>
      </w:hyperlink>
    </w:p>
    <w:p w:rsidR="00B57A2E" w:rsidRPr="001D6D5E" w:rsidP="005D2D59" w14:paraId="04F804BE" w14:textId="77777777">
      <w:pPr>
        <w:pStyle w:val="ListParagraph"/>
        <w:autoSpaceDE w:val="0"/>
        <w:autoSpaceDN w:val="0"/>
        <w:adjustRightInd w:val="0"/>
        <w:ind w:left="3600" w:firstLine="720"/>
        <w:rPr>
          <w:rStyle w:val="Hyperlink"/>
          <w:color w:val="0000FF"/>
          <w:szCs w:val="24"/>
        </w:rPr>
      </w:pPr>
      <w:hyperlink r:id="rId7" w:history="1">
        <w:r w:rsidRPr="001D6D5E" w:rsidR="00945291">
          <w:rPr>
            <w:rStyle w:val="Hyperlink"/>
            <w:color w:val="0000FF"/>
            <w:szCs w:val="24"/>
          </w:rPr>
          <w:t>john.finnigan@occ.ohio.gov</w:t>
        </w:r>
      </w:hyperlink>
    </w:p>
    <w:p w:rsidR="00B57A2E" w:rsidRPr="001D6D5E" w:rsidP="005D2D59" w14:paraId="39DAAE5D" w14:textId="3EF807E2">
      <w:pPr>
        <w:autoSpaceDE w:val="0"/>
        <w:autoSpaceDN w:val="0"/>
        <w:adjustRightInd w:val="0"/>
        <w:ind w:left="4320" w:hanging="4320"/>
        <w:rPr>
          <w:rStyle w:val="Hyperlink"/>
          <w:color w:val="auto"/>
          <w:szCs w:val="24"/>
          <w:u w:val="none"/>
        </w:rPr>
      </w:pPr>
      <w:r w:rsidRPr="001D6D5E">
        <w:rPr>
          <w:rStyle w:val="Hyperlink"/>
          <w:color w:val="auto"/>
          <w:szCs w:val="24"/>
          <w:u w:val="none"/>
        </w:rPr>
        <w:t xml:space="preserve">April </w:t>
      </w:r>
      <w:r w:rsidRPr="001D6D5E" w:rsidR="00077A46">
        <w:rPr>
          <w:rStyle w:val="Hyperlink"/>
          <w:color w:val="auto"/>
          <w:szCs w:val="24"/>
          <w:u w:val="none"/>
        </w:rPr>
        <w:t>21</w:t>
      </w:r>
      <w:r w:rsidRPr="001D6D5E" w:rsidR="00870C01">
        <w:rPr>
          <w:rStyle w:val="Hyperlink"/>
          <w:color w:val="auto"/>
          <w:szCs w:val="24"/>
          <w:u w:val="none"/>
        </w:rPr>
        <w:t>, 2022</w:t>
      </w:r>
      <w:r w:rsidRPr="001D6D5E" w:rsidR="00870C01">
        <w:rPr>
          <w:rStyle w:val="Hyperlink"/>
          <w:color w:val="auto"/>
          <w:szCs w:val="24"/>
          <w:u w:val="none"/>
        </w:rPr>
        <w:tab/>
        <w:t>(willing to accept service by e-mail)</w:t>
      </w:r>
    </w:p>
    <w:p w:rsidR="00B165B3" w:rsidRPr="001D6D5E" w:rsidP="005D2D59" w14:paraId="1AFA5C15" w14:textId="77777777">
      <w:pPr>
        <w:pStyle w:val="List"/>
        <w:ind w:left="0" w:firstLine="0"/>
        <w:jc w:val="center"/>
        <w:rPr>
          <w:b/>
          <w:szCs w:val="24"/>
        </w:rPr>
        <w:sectPr w:rsidSect="00357F44">
          <w:footerReference w:type="default" r:id="rId8"/>
          <w:pgSz w:w="12240" w:h="15840"/>
          <w:pgMar w:top="1440" w:right="1800" w:bottom="1440" w:left="1800" w:header="720" w:footer="720" w:gutter="0"/>
          <w:pgNumType w:start="1"/>
          <w:cols w:space="720"/>
          <w:docGrid w:linePitch="360"/>
        </w:sectPr>
      </w:pPr>
    </w:p>
    <w:p w:rsidR="00B165B3" w:rsidRPr="001D6D5E" w:rsidP="00B165B3" w14:paraId="4C7A3906" w14:textId="77777777">
      <w:pPr>
        <w:jc w:val="center"/>
        <w:rPr>
          <w:b/>
          <w:szCs w:val="24"/>
          <w:u w:val="single"/>
        </w:rPr>
      </w:pPr>
      <w:r w:rsidRPr="001D6D5E">
        <w:rPr>
          <w:b/>
          <w:szCs w:val="24"/>
          <w:u w:val="single"/>
        </w:rPr>
        <w:t>TABLE OF CONTENTS</w:t>
      </w:r>
    </w:p>
    <w:p w:rsidR="00B165B3" w:rsidRPr="001D6D5E" w:rsidP="00B165B3" w14:paraId="07EA8176" w14:textId="77777777">
      <w:pPr>
        <w:jc w:val="right"/>
        <w:rPr>
          <w:b/>
          <w:szCs w:val="24"/>
        </w:rPr>
      </w:pPr>
      <w:r w:rsidRPr="001D6D5E">
        <w:rPr>
          <w:b/>
          <w:szCs w:val="24"/>
        </w:rPr>
        <w:tab/>
      </w:r>
      <w:r w:rsidRPr="001D6D5E">
        <w:rPr>
          <w:b/>
          <w:szCs w:val="24"/>
        </w:rPr>
        <w:tab/>
      </w:r>
      <w:r w:rsidRPr="001D6D5E">
        <w:rPr>
          <w:b/>
          <w:szCs w:val="24"/>
        </w:rPr>
        <w:tab/>
      </w:r>
      <w:r w:rsidRPr="001D6D5E">
        <w:rPr>
          <w:b/>
          <w:szCs w:val="24"/>
        </w:rPr>
        <w:tab/>
      </w:r>
      <w:r w:rsidRPr="001D6D5E">
        <w:rPr>
          <w:b/>
          <w:szCs w:val="24"/>
        </w:rPr>
        <w:tab/>
      </w:r>
      <w:r w:rsidRPr="001D6D5E">
        <w:rPr>
          <w:b/>
          <w:szCs w:val="24"/>
        </w:rPr>
        <w:tab/>
      </w:r>
      <w:r w:rsidRPr="001D6D5E">
        <w:rPr>
          <w:b/>
          <w:szCs w:val="24"/>
        </w:rPr>
        <w:tab/>
      </w:r>
      <w:r w:rsidRPr="001D6D5E">
        <w:rPr>
          <w:b/>
          <w:szCs w:val="24"/>
        </w:rPr>
        <w:tab/>
      </w:r>
      <w:r w:rsidRPr="001D6D5E">
        <w:rPr>
          <w:b/>
          <w:szCs w:val="24"/>
        </w:rPr>
        <w:tab/>
      </w:r>
      <w:r w:rsidRPr="001D6D5E">
        <w:rPr>
          <w:b/>
          <w:szCs w:val="24"/>
        </w:rPr>
        <w:tab/>
        <w:t>PAGE</w:t>
      </w:r>
    </w:p>
    <w:p w:rsidR="00B57A2E" w:rsidRPr="001D6D5E" w:rsidP="005D2D59" w14:paraId="5D268DB8" w14:textId="77777777">
      <w:pPr>
        <w:pStyle w:val="List"/>
        <w:ind w:left="0" w:firstLine="0"/>
        <w:jc w:val="center"/>
        <w:rPr>
          <w:b/>
          <w:szCs w:val="24"/>
        </w:rPr>
      </w:pPr>
    </w:p>
    <w:p w:rsidR="0036494D" w14:paraId="062CD497" w14:textId="7275AB98">
      <w:pPr>
        <w:pStyle w:val="TOC1"/>
        <w:rPr>
          <w:rFonts w:asciiTheme="minorHAnsi" w:eastAsiaTheme="minorEastAsia" w:hAnsiTheme="minorHAnsi" w:cstheme="minorBidi"/>
          <w:bCs w:val="0"/>
          <w:caps w:val="0"/>
          <w:noProof/>
          <w:sz w:val="22"/>
          <w:szCs w:val="22"/>
        </w:rPr>
      </w:pPr>
      <w:r w:rsidRPr="001D6D5E">
        <w:rPr>
          <w:rFonts w:eastAsia="Times New Roman"/>
          <w:b/>
          <w:bCs w:val="0"/>
          <w:szCs w:val="24"/>
        </w:rPr>
        <w:fldChar w:fldCharType="begin"/>
      </w:r>
      <w:r w:rsidRPr="001D6D5E">
        <w:rPr>
          <w:rFonts w:eastAsia="Times New Roman"/>
          <w:b/>
          <w:bCs w:val="0"/>
          <w:szCs w:val="24"/>
        </w:rPr>
        <w:instrText xml:space="preserve"> TOC \o "1-3" \h \z \u </w:instrText>
      </w:r>
      <w:r w:rsidRPr="001D6D5E">
        <w:rPr>
          <w:rFonts w:eastAsia="Times New Roman"/>
          <w:b/>
          <w:bCs w:val="0"/>
          <w:szCs w:val="24"/>
        </w:rPr>
        <w:fldChar w:fldCharType="separate"/>
      </w:r>
      <w:hyperlink w:anchor="_Toc101451869" w:history="1">
        <w:r w:rsidRPr="005670F7">
          <w:rPr>
            <w:rStyle w:val="Hyperlink"/>
            <w:noProof/>
          </w:rPr>
          <w:t>I.</w:t>
        </w:r>
        <w:r>
          <w:rPr>
            <w:rFonts w:asciiTheme="minorHAnsi" w:eastAsiaTheme="minorEastAsia" w:hAnsiTheme="minorHAnsi" w:cstheme="minorBidi"/>
            <w:bCs w:val="0"/>
            <w:caps w:val="0"/>
            <w:noProof/>
            <w:sz w:val="22"/>
            <w:szCs w:val="22"/>
          </w:rPr>
          <w:tab/>
        </w:r>
        <w:r w:rsidRPr="005670F7">
          <w:rPr>
            <w:rStyle w:val="Hyperlink"/>
            <w:noProof/>
          </w:rPr>
          <w:t>Introduction</w:t>
        </w:r>
        <w:r>
          <w:rPr>
            <w:noProof/>
            <w:webHidden/>
          </w:rPr>
          <w:tab/>
        </w:r>
        <w:r>
          <w:rPr>
            <w:noProof/>
            <w:webHidden/>
          </w:rPr>
          <w:fldChar w:fldCharType="begin"/>
        </w:r>
        <w:r>
          <w:rPr>
            <w:noProof/>
            <w:webHidden/>
          </w:rPr>
          <w:instrText xml:space="preserve"> PAGEREF _Toc101451869 \h </w:instrText>
        </w:r>
        <w:r>
          <w:rPr>
            <w:noProof/>
            <w:webHidden/>
          </w:rPr>
          <w:fldChar w:fldCharType="separate"/>
        </w:r>
        <w:r>
          <w:rPr>
            <w:noProof/>
            <w:webHidden/>
          </w:rPr>
          <w:t>1</w:t>
        </w:r>
        <w:r>
          <w:rPr>
            <w:noProof/>
            <w:webHidden/>
          </w:rPr>
          <w:fldChar w:fldCharType="end"/>
        </w:r>
      </w:hyperlink>
    </w:p>
    <w:p w:rsidR="0036494D" w14:paraId="00E45F4E" w14:textId="35F9A67C">
      <w:pPr>
        <w:pStyle w:val="TOC1"/>
        <w:rPr>
          <w:rFonts w:asciiTheme="minorHAnsi" w:eastAsiaTheme="minorEastAsia" w:hAnsiTheme="minorHAnsi" w:cstheme="minorBidi"/>
          <w:bCs w:val="0"/>
          <w:caps w:val="0"/>
          <w:noProof/>
          <w:sz w:val="22"/>
          <w:szCs w:val="22"/>
        </w:rPr>
      </w:pPr>
      <w:hyperlink w:anchor="_Toc101451870" w:history="1">
        <w:r w:rsidRPr="005670F7">
          <w:rPr>
            <w:rStyle w:val="Hyperlink"/>
            <w:noProof/>
          </w:rPr>
          <w:t>II.</w:t>
        </w:r>
        <w:r>
          <w:rPr>
            <w:rFonts w:asciiTheme="minorHAnsi" w:eastAsiaTheme="minorEastAsia" w:hAnsiTheme="minorHAnsi" w:cstheme="minorBidi"/>
            <w:bCs w:val="0"/>
            <w:caps w:val="0"/>
            <w:noProof/>
            <w:sz w:val="22"/>
            <w:szCs w:val="22"/>
          </w:rPr>
          <w:tab/>
        </w:r>
        <w:r w:rsidRPr="005670F7">
          <w:rPr>
            <w:rStyle w:val="Hyperlink"/>
            <w:noProof/>
          </w:rPr>
          <w:t>Argument</w:t>
        </w:r>
        <w:r>
          <w:rPr>
            <w:noProof/>
            <w:webHidden/>
          </w:rPr>
          <w:tab/>
        </w:r>
        <w:r>
          <w:rPr>
            <w:noProof/>
            <w:webHidden/>
          </w:rPr>
          <w:fldChar w:fldCharType="begin"/>
        </w:r>
        <w:r>
          <w:rPr>
            <w:noProof/>
            <w:webHidden/>
          </w:rPr>
          <w:instrText xml:space="preserve"> PAGEREF _Toc101451870 \h </w:instrText>
        </w:r>
        <w:r>
          <w:rPr>
            <w:noProof/>
            <w:webHidden/>
          </w:rPr>
          <w:fldChar w:fldCharType="separate"/>
        </w:r>
        <w:r>
          <w:rPr>
            <w:noProof/>
            <w:webHidden/>
          </w:rPr>
          <w:t>2</w:t>
        </w:r>
        <w:r>
          <w:rPr>
            <w:noProof/>
            <w:webHidden/>
          </w:rPr>
          <w:fldChar w:fldCharType="end"/>
        </w:r>
      </w:hyperlink>
    </w:p>
    <w:p w:rsidR="0036494D" w14:paraId="5428DA86" w14:textId="538387D7">
      <w:pPr>
        <w:pStyle w:val="TOC2"/>
        <w:tabs>
          <w:tab w:val="left" w:pos="1440"/>
        </w:tabs>
        <w:rPr>
          <w:rFonts w:asciiTheme="minorHAnsi" w:eastAsiaTheme="minorEastAsia" w:hAnsiTheme="minorHAnsi" w:cstheme="minorBidi"/>
          <w:bCs w:val="0"/>
          <w:noProof/>
          <w:sz w:val="22"/>
          <w:szCs w:val="22"/>
        </w:rPr>
      </w:pPr>
      <w:hyperlink w:anchor="_Toc101451871" w:history="1">
        <w:r w:rsidRPr="005670F7">
          <w:rPr>
            <w:rStyle w:val="Hyperlink"/>
            <w:noProof/>
          </w:rPr>
          <w:t>A.</w:t>
        </w:r>
        <w:r>
          <w:rPr>
            <w:rFonts w:asciiTheme="minorHAnsi" w:eastAsiaTheme="minorEastAsia" w:hAnsiTheme="minorHAnsi" w:cstheme="minorBidi"/>
            <w:bCs w:val="0"/>
            <w:noProof/>
            <w:sz w:val="22"/>
            <w:szCs w:val="22"/>
          </w:rPr>
          <w:tab/>
        </w:r>
        <w:r w:rsidRPr="005670F7">
          <w:rPr>
            <w:rStyle w:val="Hyperlink"/>
            <w:noProof/>
          </w:rPr>
          <w:t xml:space="preserve">FirstEnergy is mistaken that OCC must show a “substantial </w:t>
        </w:r>
        <w:r>
          <w:rPr>
            <w:rStyle w:val="Hyperlink"/>
            <w:noProof/>
          </w:rPr>
          <w:br/>
        </w:r>
        <w:r w:rsidRPr="005670F7">
          <w:rPr>
            <w:rStyle w:val="Hyperlink"/>
            <w:noProof/>
          </w:rPr>
          <w:t xml:space="preserve">need” for the information it has subpoenaed, for consumer </w:t>
        </w:r>
        <w:r>
          <w:rPr>
            <w:rStyle w:val="Hyperlink"/>
            <w:noProof/>
          </w:rPr>
          <w:br/>
        </w:r>
        <w:r w:rsidRPr="005670F7">
          <w:rPr>
            <w:rStyle w:val="Hyperlink"/>
            <w:noProof/>
          </w:rPr>
          <w:t>protection.</w:t>
        </w:r>
        <w:r>
          <w:rPr>
            <w:noProof/>
            <w:webHidden/>
          </w:rPr>
          <w:tab/>
        </w:r>
        <w:r>
          <w:rPr>
            <w:noProof/>
            <w:webHidden/>
          </w:rPr>
          <w:fldChar w:fldCharType="begin"/>
        </w:r>
        <w:r>
          <w:rPr>
            <w:noProof/>
            <w:webHidden/>
          </w:rPr>
          <w:instrText xml:space="preserve"> PAGEREF _Toc101451871 \h </w:instrText>
        </w:r>
        <w:r>
          <w:rPr>
            <w:noProof/>
            <w:webHidden/>
          </w:rPr>
          <w:fldChar w:fldCharType="separate"/>
        </w:r>
        <w:r>
          <w:rPr>
            <w:noProof/>
            <w:webHidden/>
          </w:rPr>
          <w:t>2</w:t>
        </w:r>
        <w:r>
          <w:rPr>
            <w:noProof/>
            <w:webHidden/>
          </w:rPr>
          <w:fldChar w:fldCharType="end"/>
        </w:r>
      </w:hyperlink>
    </w:p>
    <w:p w:rsidR="0036494D" w14:paraId="3E542072" w14:textId="12313424">
      <w:pPr>
        <w:pStyle w:val="TOC2"/>
        <w:tabs>
          <w:tab w:val="left" w:pos="1440"/>
        </w:tabs>
        <w:rPr>
          <w:rFonts w:asciiTheme="minorHAnsi" w:eastAsiaTheme="minorEastAsia" w:hAnsiTheme="minorHAnsi" w:cstheme="minorBidi"/>
          <w:bCs w:val="0"/>
          <w:noProof/>
          <w:sz w:val="22"/>
          <w:szCs w:val="22"/>
        </w:rPr>
      </w:pPr>
      <w:hyperlink w:anchor="_Toc101451872" w:history="1">
        <w:r w:rsidRPr="005670F7">
          <w:rPr>
            <w:rStyle w:val="Hyperlink"/>
            <w:noProof/>
          </w:rPr>
          <w:t>B.</w:t>
        </w:r>
        <w:r>
          <w:rPr>
            <w:rFonts w:asciiTheme="minorHAnsi" w:eastAsiaTheme="minorEastAsia" w:hAnsiTheme="minorHAnsi" w:cstheme="minorBidi"/>
            <w:bCs w:val="0"/>
            <w:noProof/>
            <w:sz w:val="22"/>
            <w:szCs w:val="22"/>
          </w:rPr>
          <w:tab/>
        </w:r>
        <w:r w:rsidRPr="005670F7">
          <w:rPr>
            <w:rStyle w:val="Hyperlink"/>
            <w:noProof/>
          </w:rPr>
          <w:t xml:space="preserve">OCC’s subpoena duces tecum is in consumers’ interest and </w:t>
        </w:r>
        <w:r>
          <w:rPr>
            <w:rStyle w:val="Hyperlink"/>
            <w:noProof/>
          </w:rPr>
          <w:br/>
        </w:r>
        <w:r w:rsidRPr="005670F7">
          <w:rPr>
            <w:rStyle w:val="Hyperlink"/>
            <w:noProof/>
          </w:rPr>
          <w:t xml:space="preserve">does not violate the procedural schedule for discovery in this </w:t>
        </w:r>
        <w:r>
          <w:rPr>
            <w:rStyle w:val="Hyperlink"/>
            <w:noProof/>
          </w:rPr>
          <w:br/>
        </w:r>
        <w:r w:rsidRPr="005670F7">
          <w:rPr>
            <w:rStyle w:val="Hyperlink"/>
            <w:noProof/>
          </w:rPr>
          <w:t>case, as FirstEnergy Corp. wrongly asserts.</w:t>
        </w:r>
        <w:r>
          <w:rPr>
            <w:noProof/>
            <w:webHidden/>
          </w:rPr>
          <w:tab/>
        </w:r>
        <w:r>
          <w:rPr>
            <w:noProof/>
            <w:webHidden/>
          </w:rPr>
          <w:fldChar w:fldCharType="begin"/>
        </w:r>
        <w:r>
          <w:rPr>
            <w:noProof/>
            <w:webHidden/>
          </w:rPr>
          <w:instrText xml:space="preserve"> PAGEREF _Toc101451872 \h </w:instrText>
        </w:r>
        <w:r>
          <w:rPr>
            <w:noProof/>
            <w:webHidden/>
          </w:rPr>
          <w:fldChar w:fldCharType="separate"/>
        </w:r>
        <w:r>
          <w:rPr>
            <w:noProof/>
            <w:webHidden/>
          </w:rPr>
          <w:t>8</w:t>
        </w:r>
        <w:r>
          <w:rPr>
            <w:noProof/>
            <w:webHidden/>
          </w:rPr>
          <w:fldChar w:fldCharType="end"/>
        </w:r>
      </w:hyperlink>
    </w:p>
    <w:p w:rsidR="0036494D" w14:paraId="3C6D8B95" w14:textId="61DE715E">
      <w:pPr>
        <w:pStyle w:val="TOC1"/>
        <w:rPr>
          <w:rFonts w:asciiTheme="minorHAnsi" w:eastAsiaTheme="minorEastAsia" w:hAnsiTheme="minorHAnsi" w:cstheme="minorBidi"/>
          <w:bCs w:val="0"/>
          <w:caps w:val="0"/>
          <w:noProof/>
          <w:sz w:val="22"/>
          <w:szCs w:val="22"/>
        </w:rPr>
      </w:pPr>
      <w:hyperlink w:anchor="_Toc101451873" w:history="1">
        <w:r w:rsidRPr="005670F7">
          <w:rPr>
            <w:rStyle w:val="Hyperlink"/>
            <w:noProof/>
          </w:rPr>
          <w:t>III.</w:t>
        </w:r>
        <w:r>
          <w:rPr>
            <w:rFonts w:asciiTheme="minorHAnsi" w:eastAsiaTheme="minorEastAsia" w:hAnsiTheme="minorHAnsi" w:cstheme="minorBidi"/>
            <w:bCs w:val="0"/>
            <w:caps w:val="0"/>
            <w:noProof/>
            <w:sz w:val="22"/>
            <w:szCs w:val="22"/>
          </w:rPr>
          <w:tab/>
        </w:r>
        <w:r w:rsidRPr="005670F7">
          <w:rPr>
            <w:rStyle w:val="Hyperlink"/>
            <w:noProof/>
          </w:rPr>
          <w:t>Conclusion</w:t>
        </w:r>
        <w:r>
          <w:rPr>
            <w:noProof/>
            <w:webHidden/>
          </w:rPr>
          <w:tab/>
        </w:r>
        <w:r>
          <w:rPr>
            <w:noProof/>
            <w:webHidden/>
          </w:rPr>
          <w:fldChar w:fldCharType="begin"/>
        </w:r>
        <w:r>
          <w:rPr>
            <w:noProof/>
            <w:webHidden/>
          </w:rPr>
          <w:instrText xml:space="preserve"> PAGEREF _Toc101451873 \h </w:instrText>
        </w:r>
        <w:r>
          <w:rPr>
            <w:noProof/>
            <w:webHidden/>
          </w:rPr>
          <w:fldChar w:fldCharType="separate"/>
        </w:r>
        <w:r>
          <w:rPr>
            <w:noProof/>
            <w:webHidden/>
          </w:rPr>
          <w:t>10</w:t>
        </w:r>
        <w:r>
          <w:rPr>
            <w:noProof/>
            <w:webHidden/>
          </w:rPr>
          <w:fldChar w:fldCharType="end"/>
        </w:r>
      </w:hyperlink>
    </w:p>
    <w:p w:rsidR="00B165B3" w:rsidRPr="001D6D5E" w:rsidP="00B165B3" w14:paraId="7963188D" w14:textId="5190A89F">
      <w:pPr>
        <w:tabs>
          <w:tab w:val="left" w:pos="3464"/>
        </w:tabs>
        <w:rPr>
          <w:rFonts w:eastAsia="Times New Roman"/>
          <w:b/>
          <w:bCs w:val="0"/>
          <w:color w:val="auto"/>
          <w:szCs w:val="24"/>
        </w:rPr>
      </w:pPr>
      <w:r w:rsidRPr="001D6D5E">
        <w:rPr>
          <w:rFonts w:eastAsia="Times New Roman"/>
          <w:b/>
          <w:bCs w:val="0"/>
          <w:color w:val="auto"/>
          <w:szCs w:val="24"/>
        </w:rPr>
        <w:fldChar w:fldCharType="end"/>
      </w:r>
    </w:p>
    <w:p w:rsidR="00B165B3" w:rsidRPr="001D6D5E" w:rsidP="00B165B3" w14:paraId="155FE840" w14:textId="69B1C737">
      <w:pPr>
        <w:tabs>
          <w:tab w:val="left" w:pos="3464"/>
        </w:tabs>
        <w:rPr>
          <w:szCs w:val="24"/>
        </w:rPr>
        <w:sectPr w:rsidSect="00B165B3">
          <w:footerReference w:type="default" r:id="rId9"/>
          <w:pgSz w:w="12240" w:h="15840"/>
          <w:pgMar w:top="1440" w:right="1800" w:bottom="1440" w:left="1800" w:header="720" w:footer="720" w:gutter="0"/>
          <w:pgNumType w:fmt="lowerRoman" w:start="1"/>
          <w:cols w:space="720"/>
          <w:docGrid w:linePitch="360"/>
        </w:sectPr>
      </w:pPr>
      <w:r w:rsidRPr="001D6D5E">
        <w:rPr>
          <w:szCs w:val="24"/>
        </w:rPr>
        <w:tab/>
      </w:r>
    </w:p>
    <w:p w:rsidR="00322352" w:rsidRPr="001D6D5E" w:rsidP="005D2D59" w14:paraId="1B5D9726" w14:textId="77777777">
      <w:pPr>
        <w:pStyle w:val="List"/>
        <w:ind w:left="0" w:firstLine="0"/>
        <w:jc w:val="center"/>
        <w:rPr>
          <w:b/>
          <w:szCs w:val="24"/>
        </w:rPr>
      </w:pPr>
      <w:r w:rsidRPr="001D6D5E">
        <w:rPr>
          <w:b/>
          <w:szCs w:val="24"/>
        </w:rPr>
        <w:t>BEFORE</w:t>
      </w:r>
    </w:p>
    <w:p w:rsidR="00322352" w:rsidRPr="001D6D5E" w:rsidP="005D2D59" w14:paraId="707C539C" w14:textId="77777777">
      <w:pPr>
        <w:pStyle w:val="List"/>
        <w:ind w:left="0" w:firstLine="0"/>
        <w:jc w:val="center"/>
        <w:rPr>
          <w:b/>
          <w:szCs w:val="24"/>
        </w:rPr>
      </w:pPr>
      <w:r w:rsidRPr="001D6D5E">
        <w:rPr>
          <w:b/>
          <w:szCs w:val="24"/>
        </w:rPr>
        <w:t>THE PUBLIC UTILITIES COMMISSION OF OHIO</w:t>
      </w:r>
    </w:p>
    <w:p w:rsidR="00414C8B" w:rsidRPr="001D6D5E" w:rsidP="005D2D59" w14:paraId="6CA07A76" w14:textId="77777777">
      <w:pPr>
        <w:pStyle w:val="List"/>
        <w:ind w:left="0" w:firstLine="0"/>
        <w:jc w:val="center"/>
        <w:rPr>
          <w:b/>
          <w:szCs w:val="24"/>
        </w:rPr>
      </w:pPr>
    </w:p>
    <w:tbl>
      <w:tblPr>
        <w:tblW w:w="9360" w:type="dxa"/>
        <w:tblLook w:val="01E0"/>
      </w:tblPr>
      <w:tblGrid>
        <w:gridCol w:w="4230"/>
        <w:gridCol w:w="630"/>
        <w:gridCol w:w="4500"/>
      </w:tblGrid>
      <w:tr w14:paraId="60DF6F0D" w14:textId="77777777" w:rsidTr="00722290">
        <w:tblPrEx>
          <w:tblW w:w="9360" w:type="dxa"/>
          <w:tblLook w:val="01E0"/>
        </w:tblPrEx>
        <w:trPr>
          <w:trHeight w:val="807"/>
        </w:trPr>
        <w:tc>
          <w:tcPr>
            <w:tcW w:w="4230" w:type="dxa"/>
            <w:shd w:val="clear" w:color="auto" w:fill="auto"/>
          </w:tcPr>
          <w:p w:rsidR="00B97B72" w:rsidRPr="001D6D5E" w:rsidP="005D2D59" w14:paraId="6386E532" w14:textId="77777777">
            <w:pPr>
              <w:pStyle w:val="HTMLPreformatted"/>
              <w:rPr>
                <w:rFonts w:ascii="Times New Roman" w:hAnsi="Times New Roman" w:cs="Times New Roman"/>
                <w:sz w:val="24"/>
                <w:szCs w:val="24"/>
              </w:rPr>
            </w:pPr>
            <w:r w:rsidRPr="001D6D5E">
              <w:rPr>
                <w:rFonts w:ascii="Times New Roman" w:hAnsi="Times New Roman" w:cs="Times New Roman"/>
                <w:sz w:val="24"/>
                <w:szCs w:val="24"/>
              </w:rPr>
              <w:t>In the Matter of the Ohio Edison Company, the Cleveland Electric Illuminating Company, and the Toledo Edison Company’s Compliance with R.C. 4928.17 and the Ohio Adm. Code Chapter 4901:1-37.</w:t>
            </w:r>
          </w:p>
        </w:tc>
        <w:tc>
          <w:tcPr>
            <w:tcW w:w="630" w:type="dxa"/>
            <w:shd w:val="clear" w:color="auto" w:fill="auto"/>
          </w:tcPr>
          <w:p w:rsidR="00B97B72" w:rsidRPr="001D6D5E" w:rsidP="005D2D59" w14:paraId="49139165" w14:textId="77777777">
            <w:pPr>
              <w:pStyle w:val="HTMLPreformatted"/>
              <w:rPr>
                <w:rFonts w:ascii="Times New Roman" w:hAnsi="Times New Roman" w:cs="Times New Roman"/>
                <w:sz w:val="24"/>
                <w:szCs w:val="24"/>
              </w:rPr>
            </w:pPr>
            <w:r w:rsidRPr="001D6D5E">
              <w:rPr>
                <w:rFonts w:ascii="Times New Roman" w:hAnsi="Times New Roman" w:cs="Times New Roman"/>
                <w:sz w:val="24"/>
                <w:szCs w:val="24"/>
              </w:rPr>
              <w:t>)</w:t>
            </w:r>
          </w:p>
          <w:p w:rsidR="00B97B72" w:rsidRPr="001D6D5E" w:rsidP="005D2D59" w14:paraId="0EBDAE8E" w14:textId="77777777">
            <w:pPr>
              <w:pStyle w:val="HTMLPreformatted"/>
              <w:rPr>
                <w:rFonts w:ascii="Times New Roman" w:hAnsi="Times New Roman" w:cs="Times New Roman"/>
                <w:sz w:val="24"/>
                <w:szCs w:val="24"/>
              </w:rPr>
            </w:pPr>
            <w:r w:rsidRPr="001D6D5E">
              <w:rPr>
                <w:rFonts w:ascii="Times New Roman" w:hAnsi="Times New Roman" w:cs="Times New Roman"/>
                <w:sz w:val="24"/>
                <w:szCs w:val="24"/>
              </w:rPr>
              <w:t>)</w:t>
            </w:r>
          </w:p>
          <w:p w:rsidR="00B97B72" w:rsidRPr="001D6D5E" w:rsidP="005D2D59" w14:paraId="1DDE2F6A" w14:textId="77777777">
            <w:pPr>
              <w:pStyle w:val="HTMLPreformatted"/>
              <w:rPr>
                <w:rFonts w:ascii="Times New Roman" w:hAnsi="Times New Roman" w:cs="Times New Roman"/>
                <w:sz w:val="24"/>
                <w:szCs w:val="24"/>
              </w:rPr>
            </w:pPr>
            <w:r w:rsidRPr="001D6D5E">
              <w:rPr>
                <w:rFonts w:ascii="Times New Roman" w:hAnsi="Times New Roman" w:cs="Times New Roman"/>
                <w:sz w:val="24"/>
                <w:szCs w:val="24"/>
              </w:rPr>
              <w:t>)</w:t>
            </w:r>
          </w:p>
          <w:p w:rsidR="00B97B72" w:rsidRPr="001D6D5E" w:rsidP="005D2D59" w14:paraId="6FCDC754" w14:textId="77777777">
            <w:pPr>
              <w:pStyle w:val="HTMLPreformatted"/>
              <w:rPr>
                <w:rFonts w:ascii="Times New Roman" w:hAnsi="Times New Roman" w:cs="Times New Roman"/>
                <w:sz w:val="24"/>
                <w:szCs w:val="24"/>
              </w:rPr>
            </w:pPr>
            <w:r w:rsidRPr="001D6D5E">
              <w:rPr>
                <w:rFonts w:ascii="Times New Roman" w:hAnsi="Times New Roman" w:cs="Times New Roman"/>
                <w:sz w:val="24"/>
                <w:szCs w:val="24"/>
              </w:rPr>
              <w:t>)</w:t>
            </w:r>
          </w:p>
          <w:p w:rsidR="00B97B72" w:rsidRPr="001D6D5E" w:rsidP="005D2D59" w14:paraId="4464C8D8" w14:textId="77777777">
            <w:pPr>
              <w:pStyle w:val="HTMLPreformatted"/>
              <w:rPr>
                <w:rFonts w:ascii="Times New Roman" w:hAnsi="Times New Roman" w:cs="Times New Roman"/>
                <w:sz w:val="24"/>
                <w:szCs w:val="24"/>
              </w:rPr>
            </w:pPr>
            <w:r w:rsidRPr="001D6D5E">
              <w:rPr>
                <w:rFonts w:ascii="Times New Roman" w:hAnsi="Times New Roman" w:cs="Times New Roman"/>
                <w:sz w:val="24"/>
                <w:szCs w:val="24"/>
              </w:rPr>
              <w:t>)</w:t>
            </w:r>
          </w:p>
          <w:p w:rsidR="00B97B72" w:rsidRPr="001D6D5E" w:rsidP="005D2D59" w14:paraId="6979CC86" w14:textId="77777777">
            <w:pPr>
              <w:pStyle w:val="HTMLPreformatted"/>
              <w:rPr>
                <w:rFonts w:ascii="Times New Roman" w:hAnsi="Times New Roman" w:cs="Times New Roman"/>
                <w:sz w:val="24"/>
                <w:szCs w:val="24"/>
              </w:rPr>
            </w:pPr>
            <w:r w:rsidRPr="001D6D5E">
              <w:rPr>
                <w:rFonts w:ascii="Times New Roman" w:hAnsi="Times New Roman" w:cs="Times New Roman"/>
                <w:sz w:val="24"/>
                <w:szCs w:val="24"/>
              </w:rPr>
              <w:t>)</w:t>
            </w:r>
          </w:p>
        </w:tc>
        <w:tc>
          <w:tcPr>
            <w:tcW w:w="4500" w:type="dxa"/>
            <w:shd w:val="clear" w:color="auto" w:fill="auto"/>
          </w:tcPr>
          <w:p w:rsidR="00B97B72" w:rsidRPr="001D6D5E" w:rsidP="005D2D59" w14:paraId="00A82A84" w14:textId="77777777">
            <w:pPr>
              <w:pStyle w:val="HTMLPreformatted"/>
              <w:rPr>
                <w:rFonts w:ascii="Times New Roman" w:hAnsi="Times New Roman" w:cs="Times New Roman"/>
                <w:sz w:val="24"/>
                <w:szCs w:val="24"/>
              </w:rPr>
            </w:pPr>
          </w:p>
          <w:p w:rsidR="00B97B72" w:rsidRPr="001D6D5E" w:rsidP="005D2D59" w14:paraId="4E73CAC4" w14:textId="77777777">
            <w:pPr>
              <w:pStyle w:val="HTMLPreformatted"/>
              <w:rPr>
                <w:rFonts w:ascii="Times New Roman" w:hAnsi="Times New Roman" w:cs="Times New Roman"/>
                <w:sz w:val="24"/>
                <w:szCs w:val="24"/>
              </w:rPr>
            </w:pPr>
          </w:p>
          <w:p w:rsidR="00B97B72" w:rsidRPr="001D6D5E" w:rsidP="005D2D59" w14:paraId="4B369F9D" w14:textId="77777777">
            <w:pPr>
              <w:pStyle w:val="HTMLPreformatted"/>
              <w:rPr>
                <w:rFonts w:ascii="Times New Roman" w:hAnsi="Times New Roman" w:cs="Times New Roman"/>
                <w:sz w:val="24"/>
                <w:szCs w:val="24"/>
              </w:rPr>
            </w:pPr>
            <w:r w:rsidRPr="001D6D5E">
              <w:rPr>
                <w:rFonts w:ascii="Times New Roman" w:hAnsi="Times New Roman" w:cs="Times New Roman"/>
                <w:sz w:val="24"/>
                <w:szCs w:val="24"/>
              </w:rPr>
              <w:t>Case No. 17-974-EL-UNC</w:t>
            </w:r>
          </w:p>
          <w:p w:rsidR="00B97B72" w:rsidRPr="001D6D5E" w:rsidP="005D2D59" w14:paraId="09962A3F" w14:textId="77777777">
            <w:pPr>
              <w:pStyle w:val="HTMLPreformatted"/>
              <w:rPr>
                <w:rFonts w:ascii="Times New Roman" w:hAnsi="Times New Roman" w:cs="Times New Roman"/>
                <w:sz w:val="24"/>
                <w:szCs w:val="24"/>
              </w:rPr>
            </w:pPr>
          </w:p>
        </w:tc>
      </w:tr>
    </w:tbl>
    <w:p w:rsidR="003932EA" w:rsidRPr="001D6D5E" w:rsidP="005D2D59" w14:paraId="76B44074" w14:textId="77777777">
      <w:pPr>
        <w:pBdr>
          <w:bottom w:val="single" w:sz="12" w:space="1" w:color="auto"/>
        </w:pBdr>
        <w:rPr>
          <w:szCs w:val="24"/>
        </w:rPr>
      </w:pPr>
    </w:p>
    <w:p w:rsidR="003932EA" w:rsidRPr="001D6D5E" w:rsidP="005D2D59" w14:paraId="7C199035" w14:textId="77777777">
      <w:pPr>
        <w:rPr>
          <w:b/>
          <w:bCs w:val="0"/>
          <w:szCs w:val="24"/>
        </w:rPr>
      </w:pPr>
    </w:p>
    <w:p w:rsidR="006E4CAF" w:rsidRPr="001D6D5E" w:rsidP="006E4CAF" w14:paraId="1DEA24BA" w14:textId="4BF8E70C">
      <w:pPr>
        <w:jc w:val="center"/>
        <w:rPr>
          <w:b/>
          <w:bCs w:val="0"/>
          <w:szCs w:val="24"/>
        </w:rPr>
      </w:pPr>
      <w:r w:rsidRPr="001D6D5E">
        <w:rPr>
          <w:b/>
          <w:bCs w:val="0"/>
          <w:szCs w:val="24"/>
        </w:rPr>
        <w:t xml:space="preserve">MEMORANDUM CONTRA FIRSTENERGY’S MOTION TO QUASH </w:t>
      </w:r>
      <w:r w:rsidRPr="001D6D5E" w:rsidR="00EA1A7C">
        <w:rPr>
          <w:b/>
          <w:bCs w:val="0"/>
          <w:szCs w:val="24"/>
        </w:rPr>
        <w:t xml:space="preserve">OCC’S </w:t>
      </w:r>
      <w:r w:rsidRPr="001D6D5E">
        <w:rPr>
          <w:b/>
          <w:bCs w:val="0"/>
          <w:szCs w:val="24"/>
        </w:rPr>
        <w:t>SUBPOENA TO FIRSTENERGY</w:t>
      </w:r>
      <w:r w:rsidRPr="001D6D5E" w:rsidR="00064E5A">
        <w:rPr>
          <w:b/>
          <w:bCs w:val="0"/>
          <w:szCs w:val="24"/>
        </w:rPr>
        <w:t xml:space="preserve"> CORP.</w:t>
      </w:r>
      <w:r w:rsidRPr="001D6D5E">
        <w:rPr>
          <w:b/>
          <w:bCs w:val="0"/>
          <w:szCs w:val="24"/>
        </w:rPr>
        <w:t xml:space="preserve"> </w:t>
      </w:r>
    </w:p>
    <w:p w:rsidR="006E4CAF" w:rsidRPr="001D6D5E" w:rsidP="006E4CAF" w14:paraId="3A8FAB8B" w14:textId="77777777">
      <w:pPr>
        <w:jc w:val="center"/>
        <w:rPr>
          <w:b/>
          <w:bCs w:val="0"/>
          <w:szCs w:val="24"/>
        </w:rPr>
      </w:pPr>
      <w:r w:rsidRPr="001D6D5E">
        <w:rPr>
          <w:b/>
          <w:bCs w:val="0"/>
          <w:szCs w:val="24"/>
        </w:rPr>
        <w:t>BY</w:t>
      </w:r>
    </w:p>
    <w:p w:rsidR="006E4CAF" w:rsidRPr="001D6D5E" w:rsidP="006E4CAF" w14:paraId="34B4C146" w14:textId="77777777">
      <w:pPr>
        <w:pBdr>
          <w:bottom w:val="single" w:sz="12" w:space="1" w:color="auto"/>
        </w:pBdr>
        <w:jc w:val="center"/>
        <w:rPr>
          <w:b/>
          <w:bCs w:val="0"/>
          <w:szCs w:val="24"/>
        </w:rPr>
      </w:pPr>
      <w:r w:rsidRPr="001D6D5E">
        <w:rPr>
          <w:b/>
          <w:bCs w:val="0"/>
          <w:szCs w:val="24"/>
        </w:rPr>
        <w:t>OFFICE OF THE OHIO CONSUMERS’ COUNSEL</w:t>
      </w:r>
    </w:p>
    <w:p w:rsidR="00AD6D16" w:rsidRPr="001D6D5E" w:rsidP="005D2D59" w14:paraId="0EA927F1" w14:textId="77777777">
      <w:pPr>
        <w:pBdr>
          <w:bottom w:val="single" w:sz="12" w:space="1" w:color="auto"/>
        </w:pBdr>
        <w:jc w:val="center"/>
        <w:rPr>
          <w:b/>
          <w:bCs w:val="0"/>
          <w:szCs w:val="24"/>
        </w:rPr>
      </w:pPr>
    </w:p>
    <w:p w:rsidR="000D18C7" w:rsidRPr="001D6D5E" w:rsidP="005D2D59" w14:paraId="0A6E09AB" w14:textId="77777777">
      <w:pPr>
        <w:ind w:firstLine="720"/>
        <w:rPr>
          <w:szCs w:val="24"/>
        </w:rPr>
      </w:pPr>
    </w:p>
    <w:p w:rsidR="0001513F" w:rsidRPr="001D6D5E" w:rsidP="00F42D6F" w14:paraId="31BCCCFF" w14:textId="1E4DE1D2">
      <w:pPr>
        <w:pStyle w:val="Heading1"/>
        <w:rPr>
          <w:rFonts w:ascii="Times New Roman" w:hAnsi="Times New Roman" w:cs="Times New Roman"/>
          <w:bCs w:val="0"/>
          <w:szCs w:val="24"/>
        </w:rPr>
      </w:pPr>
      <w:bookmarkStart w:id="1" w:name="_Toc101451869"/>
      <w:r w:rsidRPr="001D6D5E">
        <w:rPr>
          <w:rFonts w:ascii="Times New Roman" w:hAnsi="Times New Roman" w:cs="Times New Roman"/>
          <w:bCs w:val="0"/>
          <w:szCs w:val="24"/>
        </w:rPr>
        <w:t>I.</w:t>
      </w:r>
      <w:r w:rsidRPr="001D6D5E">
        <w:rPr>
          <w:rFonts w:ascii="Times New Roman" w:hAnsi="Times New Roman" w:cs="Times New Roman"/>
          <w:bCs w:val="0"/>
          <w:szCs w:val="24"/>
        </w:rPr>
        <w:tab/>
      </w:r>
      <w:r w:rsidRPr="001D6D5E" w:rsidR="00096867">
        <w:rPr>
          <w:rFonts w:ascii="Times New Roman" w:hAnsi="Times New Roman" w:cs="Times New Roman"/>
          <w:bCs w:val="0"/>
          <w:szCs w:val="24"/>
        </w:rPr>
        <w:t>Introduction</w:t>
      </w:r>
      <w:bookmarkEnd w:id="1"/>
    </w:p>
    <w:p w:rsidR="006B640A" w:rsidRPr="001D6D5E" w:rsidP="00E50260" w14:paraId="4D6B2580" w14:textId="231F4674">
      <w:pPr>
        <w:spacing w:line="480" w:lineRule="auto"/>
        <w:ind w:firstLine="720"/>
        <w:rPr>
          <w:szCs w:val="24"/>
        </w:rPr>
      </w:pPr>
      <w:r w:rsidRPr="001D6D5E">
        <w:rPr>
          <w:szCs w:val="24"/>
        </w:rPr>
        <w:t xml:space="preserve">OCC </w:t>
      </w:r>
      <w:r w:rsidRPr="001D6D5E" w:rsidR="00AB207D">
        <w:rPr>
          <w:szCs w:val="24"/>
        </w:rPr>
        <w:t>requested</w:t>
      </w:r>
      <w:r w:rsidRPr="001D6D5E" w:rsidR="00064E5A">
        <w:rPr>
          <w:szCs w:val="24"/>
        </w:rPr>
        <w:t xml:space="preserve"> a subpoena to depose a FirstEnergy Corp</w:t>
      </w:r>
      <w:r w:rsidRPr="001D6D5E" w:rsidR="00E05B8A">
        <w:rPr>
          <w:szCs w:val="24"/>
        </w:rPr>
        <w:t>.</w:t>
      </w:r>
      <w:r w:rsidRPr="001D6D5E" w:rsidR="00AB207D">
        <w:rPr>
          <w:szCs w:val="24"/>
        </w:rPr>
        <w:t xml:space="preserve"> designate</w:t>
      </w:r>
      <w:r w:rsidRPr="001D6D5E" w:rsidR="003B3C43">
        <w:rPr>
          <w:szCs w:val="24"/>
        </w:rPr>
        <w:t xml:space="preserve"> on </w:t>
      </w:r>
      <w:r w:rsidRPr="001D6D5E" w:rsidR="005F204A">
        <w:rPr>
          <w:szCs w:val="24"/>
        </w:rPr>
        <w:t>corporate separation policies, procedures and practice of the FirstEnergy Ohio Utilities.</w:t>
      </w:r>
      <w:r w:rsidRPr="001D6D5E" w:rsidR="005D2D59">
        <w:rPr>
          <w:szCs w:val="24"/>
        </w:rPr>
        <w:t xml:space="preserve"> </w:t>
      </w:r>
      <w:r w:rsidRPr="001D6D5E">
        <w:rPr>
          <w:szCs w:val="24"/>
        </w:rPr>
        <w:t xml:space="preserve">Consistent with the PUCO rules on discovery, OCC also asked </w:t>
      </w:r>
      <w:r w:rsidRPr="001D6D5E" w:rsidR="00064E5A">
        <w:rPr>
          <w:szCs w:val="24"/>
        </w:rPr>
        <w:t>FirstEnergy Corp.</w:t>
      </w:r>
      <w:r w:rsidRPr="001D6D5E">
        <w:rPr>
          <w:szCs w:val="24"/>
        </w:rPr>
        <w:t xml:space="preserve"> to produce documents several days before </w:t>
      </w:r>
      <w:r w:rsidRPr="001D6D5E" w:rsidR="00064E5A">
        <w:rPr>
          <w:szCs w:val="24"/>
        </w:rPr>
        <w:t xml:space="preserve">the </w:t>
      </w:r>
      <w:r w:rsidRPr="001D6D5E">
        <w:rPr>
          <w:szCs w:val="24"/>
        </w:rPr>
        <w:t xml:space="preserve">deposition. </w:t>
      </w:r>
      <w:r w:rsidRPr="001D6D5E" w:rsidR="00064E5A">
        <w:rPr>
          <w:szCs w:val="24"/>
        </w:rPr>
        <w:t xml:space="preserve">The </w:t>
      </w:r>
      <w:r w:rsidRPr="001D6D5E">
        <w:rPr>
          <w:szCs w:val="24"/>
        </w:rPr>
        <w:t xml:space="preserve">subpoena </w:t>
      </w:r>
      <w:r w:rsidRPr="001D6D5E" w:rsidR="00064E5A">
        <w:rPr>
          <w:szCs w:val="24"/>
        </w:rPr>
        <w:t xml:space="preserve">was signed and </w:t>
      </w:r>
      <w:r w:rsidRPr="001D6D5E">
        <w:rPr>
          <w:szCs w:val="24"/>
        </w:rPr>
        <w:t>properly served.</w:t>
      </w:r>
      <w:r w:rsidRPr="001D6D5E" w:rsidR="00B16F43">
        <w:rPr>
          <w:szCs w:val="24"/>
        </w:rPr>
        <w:t xml:space="preserve"> </w:t>
      </w:r>
    </w:p>
    <w:p w:rsidR="00350484" w:rsidRPr="001D6D5E" w:rsidP="00E50260" w14:paraId="652794C4" w14:textId="35448A97">
      <w:pPr>
        <w:spacing w:line="480" w:lineRule="auto"/>
        <w:ind w:firstLine="720"/>
        <w:rPr>
          <w:szCs w:val="24"/>
        </w:rPr>
      </w:pPr>
      <w:r w:rsidRPr="001D6D5E">
        <w:rPr>
          <w:szCs w:val="24"/>
        </w:rPr>
        <w:t xml:space="preserve">Now FirstEnergy Corp. is </w:t>
      </w:r>
      <w:r w:rsidRPr="001D6D5E" w:rsidR="00EA1A7C">
        <w:rPr>
          <w:szCs w:val="24"/>
        </w:rPr>
        <w:t xml:space="preserve">again </w:t>
      </w:r>
      <w:r w:rsidRPr="001D6D5E">
        <w:rPr>
          <w:szCs w:val="24"/>
        </w:rPr>
        <w:t>seeking to limit OCC’s fact</w:t>
      </w:r>
      <w:r w:rsidRPr="001D6D5E" w:rsidR="006B640A">
        <w:rPr>
          <w:szCs w:val="24"/>
        </w:rPr>
        <w:t>-</w:t>
      </w:r>
      <w:r w:rsidRPr="001D6D5E">
        <w:rPr>
          <w:szCs w:val="24"/>
        </w:rPr>
        <w:t>finding</w:t>
      </w:r>
      <w:r w:rsidRPr="001D6D5E" w:rsidR="00EA1A7C">
        <w:rPr>
          <w:szCs w:val="24"/>
        </w:rPr>
        <w:t xml:space="preserve"> and case preparation</w:t>
      </w:r>
      <w:r w:rsidRPr="001D6D5E" w:rsidR="00AB207D">
        <w:rPr>
          <w:szCs w:val="24"/>
        </w:rPr>
        <w:t>.</w:t>
      </w:r>
      <w:r w:rsidRPr="001D6D5E" w:rsidR="00B16F43">
        <w:rPr>
          <w:szCs w:val="24"/>
        </w:rPr>
        <w:t xml:space="preserve"> </w:t>
      </w:r>
      <w:r w:rsidRPr="001D6D5E" w:rsidR="00E05B8A">
        <w:rPr>
          <w:szCs w:val="24"/>
        </w:rPr>
        <w:t xml:space="preserve">FirstEnergy Corp. has moved to quash the subpoena duces tecum </w:t>
      </w:r>
      <w:r w:rsidRPr="001D6D5E">
        <w:rPr>
          <w:szCs w:val="24"/>
        </w:rPr>
        <w:t xml:space="preserve">on </w:t>
      </w:r>
      <w:r w:rsidRPr="001D6D5E" w:rsidR="00064E5A">
        <w:rPr>
          <w:szCs w:val="24"/>
        </w:rPr>
        <w:t>a corporate designate</w:t>
      </w:r>
      <w:r w:rsidRPr="001D6D5E" w:rsidR="00E05B8A">
        <w:rPr>
          <w:szCs w:val="24"/>
        </w:rPr>
        <w:t>.</w:t>
      </w:r>
      <w:r w:rsidRPr="001D6D5E" w:rsidR="00AB207D">
        <w:rPr>
          <w:szCs w:val="24"/>
        </w:rPr>
        <w:t xml:space="preserve"> </w:t>
      </w:r>
      <w:r w:rsidRPr="001D6D5E">
        <w:rPr>
          <w:szCs w:val="24"/>
        </w:rPr>
        <w:t xml:space="preserve">FirstEnergy Corp. </w:t>
      </w:r>
      <w:r w:rsidRPr="001D6D5E" w:rsidR="00064E5A">
        <w:rPr>
          <w:szCs w:val="24"/>
        </w:rPr>
        <w:t xml:space="preserve">asserts that OCC has not shown a “substantial need” for the </w:t>
      </w:r>
      <w:r w:rsidRPr="001D6D5E" w:rsidR="00BB7514">
        <w:rPr>
          <w:szCs w:val="24"/>
        </w:rPr>
        <w:t>“</w:t>
      </w:r>
      <w:r w:rsidRPr="001D6D5E" w:rsidR="00B26BE0">
        <w:rPr>
          <w:szCs w:val="24"/>
        </w:rPr>
        <w:t>purportedly irrelevant</w:t>
      </w:r>
      <w:r w:rsidRPr="001D6D5E" w:rsidR="00BB7514">
        <w:rPr>
          <w:szCs w:val="24"/>
        </w:rPr>
        <w:t>”</w:t>
      </w:r>
      <w:r w:rsidRPr="001D6D5E" w:rsidR="00B26BE0">
        <w:rPr>
          <w:szCs w:val="24"/>
        </w:rPr>
        <w:t xml:space="preserve"> </w:t>
      </w:r>
      <w:r w:rsidRPr="001D6D5E" w:rsidR="00064E5A">
        <w:rPr>
          <w:szCs w:val="24"/>
        </w:rPr>
        <w:t>discovery it seeks.</w:t>
      </w:r>
      <w:r>
        <w:rPr>
          <w:rStyle w:val="FootnoteReference"/>
          <w:szCs w:val="24"/>
        </w:rPr>
        <w:footnoteReference w:id="3"/>
      </w:r>
      <w:r w:rsidRPr="001D6D5E" w:rsidR="001B1673">
        <w:rPr>
          <w:szCs w:val="24"/>
        </w:rPr>
        <w:t xml:space="preserve"> </w:t>
      </w:r>
      <w:r w:rsidRPr="001D6D5E" w:rsidR="00064E5A">
        <w:rPr>
          <w:szCs w:val="24"/>
        </w:rPr>
        <w:t>And it says that OCC’s document requests are untimely.</w:t>
      </w:r>
      <w:r>
        <w:rPr>
          <w:rStyle w:val="FootnoteReference"/>
          <w:szCs w:val="24"/>
        </w:rPr>
        <w:footnoteReference w:id="4"/>
      </w:r>
      <w:r w:rsidRPr="001D6D5E" w:rsidR="00B16F43">
        <w:rPr>
          <w:szCs w:val="24"/>
        </w:rPr>
        <w:t xml:space="preserve"> </w:t>
      </w:r>
    </w:p>
    <w:p w:rsidR="00350484" w:rsidRPr="001D6D5E" w:rsidP="00E50260" w14:paraId="5F533128" w14:textId="2B22D75D">
      <w:pPr>
        <w:spacing w:line="480" w:lineRule="auto"/>
        <w:ind w:firstLine="720"/>
        <w:rPr>
          <w:szCs w:val="24"/>
        </w:rPr>
      </w:pPr>
      <w:r w:rsidRPr="001D6D5E">
        <w:rPr>
          <w:szCs w:val="24"/>
        </w:rPr>
        <w:t xml:space="preserve">FirstEnergy’s </w:t>
      </w:r>
      <w:r w:rsidRPr="001D6D5E" w:rsidR="006D3E66">
        <w:rPr>
          <w:szCs w:val="24"/>
        </w:rPr>
        <w:t>M</w:t>
      </w:r>
      <w:r w:rsidRPr="001D6D5E">
        <w:rPr>
          <w:szCs w:val="24"/>
        </w:rPr>
        <w:t xml:space="preserve">otion to </w:t>
      </w:r>
      <w:r w:rsidRPr="001D6D5E" w:rsidR="006D3E66">
        <w:rPr>
          <w:szCs w:val="24"/>
        </w:rPr>
        <w:t>Q</w:t>
      </w:r>
      <w:r w:rsidRPr="001D6D5E">
        <w:rPr>
          <w:szCs w:val="24"/>
        </w:rPr>
        <w:t xml:space="preserve">uash should be </w:t>
      </w:r>
      <w:r w:rsidRPr="001D6D5E" w:rsidR="000B5DEF">
        <w:rPr>
          <w:szCs w:val="24"/>
        </w:rPr>
        <w:t>denied</w:t>
      </w:r>
      <w:r w:rsidRPr="001D6D5E" w:rsidR="006C37E3">
        <w:rPr>
          <w:szCs w:val="24"/>
        </w:rPr>
        <w:t>.</w:t>
      </w:r>
      <w:r>
        <w:rPr>
          <w:rStyle w:val="FootnoteReference"/>
          <w:szCs w:val="24"/>
        </w:rPr>
        <w:footnoteReference w:id="5"/>
      </w:r>
      <w:r w:rsidRPr="001D6D5E" w:rsidR="00E05B8A">
        <w:rPr>
          <w:szCs w:val="24"/>
        </w:rPr>
        <w:t xml:space="preserve"> </w:t>
      </w:r>
    </w:p>
    <w:p w:rsidR="000D3B7C" w:rsidRPr="001D6D5E" w:rsidP="007E45E0" w14:paraId="03CA06FE" w14:textId="77777777">
      <w:pPr>
        <w:ind w:firstLine="720"/>
        <w:rPr>
          <w:szCs w:val="24"/>
        </w:rPr>
      </w:pPr>
    </w:p>
    <w:p w:rsidR="0001513F" w:rsidRPr="001D6D5E" w:rsidP="00660C8D" w14:paraId="44BF05CE" w14:textId="35B0D69A">
      <w:pPr>
        <w:pStyle w:val="Heading1"/>
        <w:rPr>
          <w:rFonts w:ascii="Times New Roman" w:hAnsi="Times New Roman" w:cs="Times New Roman"/>
          <w:bCs w:val="0"/>
          <w:szCs w:val="24"/>
        </w:rPr>
      </w:pPr>
      <w:bookmarkStart w:id="2" w:name="_Toc101451870"/>
      <w:r w:rsidRPr="001D6D5E">
        <w:rPr>
          <w:rFonts w:ascii="Times New Roman" w:hAnsi="Times New Roman" w:cs="Times New Roman"/>
          <w:bCs w:val="0"/>
          <w:szCs w:val="24"/>
        </w:rPr>
        <w:t>II.</w:t>
      </w:r>
      <w:r w:rsidRPr="001D6D5E">
        <w:rPr>
          <w:rFonts w:ascii="Times New Roman" w:hAnsi="Times New Roman" w:cs="Times New Roman"/>
          <w:bCs w:val="0"/>
          <w:szCs w:val="24"/>
        </w:rPr>
        <w:tab/>
      </w:r>
      <w:r w:rsidRPr="001D6D5E" w:rsidR="00350484">
        <w:rPr>
          <w:rFonts w:ascii="Times New Roman" w:hAnsi="Times New Roman" w:cs="Times New Roman"/>
          <w:bCs w:val="0"/>
          <w:szCs w:val="24"/>
        </w:rPr>
        <w:t>Argument</w:t>
      </w:r>
      <w:bookmarkEnd w:id="2"/>
    </w:p>
    <w:p w:rsidR="00350484" w:rsidRPr="001D6D5E" w:rsidP="00660C8D" w14:paraId="267DF78F" w14:textId="5D48DE90">
      <w:pPr>
        <w:pStyle w:val="Heading2"/>
        <w:rPr>
          <w:rFonts w:ascii="Times New Roman" w:hAnsi="Times New Roman" w:cs="Times New Roman"/>
          <w:bCs w:val="0"/>
        </w:rPr>
      </w:pPr>
      <w:bookmarkStart w:id="3" w:name="_Toc101451871"/>
      <w:r w:rsidRPr="001D6D5E">
        <w:rPr>
          <w:rFonts w:ascii="Times New Roman" w:hAnsi="Times New Roman" w:cs="Times New Roman"/>
          <w:bCs w:val="0"/>
        </w:rPr>
        <w:t xml:space="preserve">FirstEnergy is mistaken that </w:t>
      </w:r>
      <w:r w:rsidRPr="001D6D5E" w:rsidR="0041656F">
        <w:rPr>
          <w:rFonts w:ascii="Times New Roman" w:hAnsi="Times New Roman" w:cs="Times New Roman"/>
          <w:bCs w:val="0"/>
        </w:rPr>
        <w:t xml:space="preserve">OCC </w:t>
      </w:r>
      <w:r w:rsidRPr="001D6D5E">
        <w:rPr>
          <w:rFonts w:ascii="Times New Roman" w:hAnsi="Times New Roman" w:cs="Times New Roman"/>
          <w:bCs w:val="0"/>
        </w:rPr>
        <w:t>must</w:t>
      </w:r>
      <w:r w:rsidRPr="001D6D5E" w:rsidR="0041656F">
        <w:rPr>
          <w:rFonts w:ascii="Times New Roman" w:hAnsi="Times New Roman" w:cs="Times New Roman"/>
          <w:bCs w:val="0"/>
        </w:rPr>
        <w:t xml:space="preserve"> show a </w:t>
      </w:r>
      <w:r w:rsidRPr="001D6D5E">
        <w:rPr>
          <w:rFonts w:ascii="Times New Roman" w:hAnsi="Times New Roman" w:cs="Times New Roman"/>
          <w:bCs w:val="0"/>
        </w:rPr>
        <w:t>“</w:t>
      </w:r>
      <w:r w:rsidRPr="001D6D5E" w:rsidR="0041656F">
        <w:rPr>
          <w:rFonts w:ascii="Times New Roman" w:hAnsi="Times New Roman" w:cs="Times New Roman"/>
          <w:bCs w:val="0"/>
        </w:rPr>
        <w:t>substantial need</w:t>
      </w:r>
      <w:r w:rsidRPr="001D6D5E">
        <w:rPr>
          <w:rFonts w:ascii="Times New Roman" w:hAnsi="Times New Roman" w:cs="Times New Roman"/>
          <w:bCs w:val="0"/>
        </w:rPr>
        <w:t>”</w:t>
      </w:r>
      <w:r w:rsidRPr="001D6D5E" w:rsidR="0041656F">
        <w:rPr>
          <w:rFonts w:ascii="Times New Roman" w:hAnsi="Times New Roman" w:cs="Times New Roman"/>
          <w:bCs w:val="0"/>
        </w:rPr>
        <w:t xml:space="preserve"> for the information it has subpoenaed</w:t>
      </w:r>
      <w:r w:rsidRPr="001D6D5E" w:rsidR="009967EA">
        <w:rPr>
          <w:rFonts w:ascii="Times New Roman" w:hAnsi="Times New Roman" w:cs="Times New Roman"/>
          <w:bCs w:val="0"/>
        </w:rPr>
        <w:t xml:space="preserve">, for </w:t>
      </w:r>
      <w:r w:rsidRPr="001D6D5E" w:rsidR="00482063">
        <w:rPr>
          <w:rFonts w:ascii="Times New Roman" w:hAnsi="Times New Roman" w:cs="Times New Roman"/>
          <w:bCs w:val="0"/>
        </w:rPr>
        <w:t>consumer</w:t>
      </w:r>
      <w:r w:rsidRPr="001D6D5E" w:rsidR="009967EA">
        <w:rPr>
          <w:rFonts w:ascii="Times New Roman" w:hAnsi="Times New Roman" w:cs="Times New Roman"/>
          <w:bCs w:val="0"/>
        </w:rPr>
        <w:t xml:space="preserve"> protection.</w:t>
      </w:r>
      <w:bookmarkEnd w:id="3"/>
    </w:p>
    <w:p w:rsidR="00BC13DC" w:rsidRPr="001D6D5E" w:rsidP="006564B7" w14:paraId="0AB0CB99" w14:textId="5DA3B4C8">
      <w:pPr>
        <w:spacing w:line="480" w:lineRule="auto"/>
        <w:ind w:firstLine="720"/>
        <w:rPr>
          <w:szCs w:val="24"/>
        </w:rPr>
      </w:pPr>
      <w:r w:rsidRPr="001D6D5E">
        <w:rPr>
          <w:szCs w:val="24"/>
        </w:rPr>
        <w:t>FirstEnergy Corp. claims that OCC must show “substantial need” for its subpoena</w:t>
      </w:r>
      <w:r w:rsidRPr="001D6D5E" w:rsidR="00137F2B">
        <w:rPr>
          <w:szCs w:val="24"/>
        </w:rPr>
        <w:t xml:space="preserve"> and that OCC has not done so</w:t>
      </w:r>
      <w:r w:rsidRPr="001D6D5E">
        <w:rPr>
          <w:szCs w:val="24"/>
        </w:rPr>
        <w:t xml:space="preserve">. FirstEnergy is wrong. </w:t>
      </w:r>
    </w:p>
    <w:p w:rsidR="00137F2B" w:rsidRPr="001D6D5E" w:rsidP="006564B7" w14:paraId="2B5D817B" w14:textId="7D183C7D">
      <w:pPr>
        <w:spacing w:line="480" w:lineRule="auto"/>
        <w:ind w:firstLine="720"/>
        <w:rPr>
          <w:szCs w:val="24"/>
        </w:rPr>
      </w:pPr>
      <w:r w:rsidRPr="001D6D5E">
        <w:rPr>
          <w:szCs w:val="24"/>
        </w:rPr>
        <w:t>Substantial need is a standard in Ohio Civ. R. 45(C). FirstEnergy is regulated by the PUCO</w:t>
      </w:r>
      <w:r w:rsidRPr="001D6D5E" w:rsidR="00BC13DC">
        <w:rPr>
          <w:szCs w:val="24"/>
        </w:rPr>
        <w:t>. For decades the PUCO</w:t>
      </w:r>
      <w:r w:rsidRPr="001D6D5E">
        <w:rPr>
          <w:szCs w:val="24"/>
        </w:rPr>
        <w:t xml:space="preserve"> has</w:t>
      </w:r>
      <w:r w:rsidRPr="001D6D5E" w:rsidR="00BC13DC">
        <w:rPr>
          <w:szCs w:val="24"/>
        </w:rPr>
        <w:t xml:space="preserve"> had</w:t>
      </w:r>
      <w:r w:rsidRPr="001D6D5E">
        <w:rPr>
          <w:szCs w:val="24"/>
        </w:rPr>
        <w:t xml:space="preserve"> its own specific rule on subpoenas and quashing subpoenas.</w:t>
      </w:r>
      <w:r w:rsidRPr="001D6D5E" w:rsidR="00BC13DC">
        <w:rPr>
          <w:szCs w:val="24"/>
        </w:rPr>
        <w:t xml:space="preserve"> That rule is </w:t>
      </w:r>
      <w:r w:rsidRPr="001D6D5E">
        <w:rPr>
          <w:szCs w:val="24"/>
        </w:rPr>
        <w:t>O.A.C. 4901-1-25</w:t>
      </w:r>
      <w:r w:rsidRPr="001D6D5E" w:rsidR="00BC13DC">
        <w:rPr>
          <w:szCs w:val="24"/>
        </w:rPr>
        <w:t>. Rule 25</w:t>
      </w:r>
      <w:r w:rsidRPr="001D6D5E">
        <w:rPr>
          <w:szCs w:val="24"/>
        </w:rPr>
        <w:t xml:space="preserve"> does not </w:t>
      </w:r>
      <w:r w:rsidRPr="001D6D5E" w:rsidR="00BC13DC">
        <w:rPr>
          <w:szCs w:val="24"/>
        </w:rPr>
        <w:t xml:space="preserve">even reference </w:t>
      </w:r>
      <w:r w:rsidRPr="001D6D5E">
        <w:rPr>
          <w:szCs w:val="24"/>
        </w:rPr>
        <w:t xml:space="preserve">substantial need </w:t>
      </w:r>
      <w:r w:rsidRPr="001D6D5E" w:rsidR="00BC13DC">
        <w:rPr>
          <w:szCs w:val="24"/>
        </w:rPr>
        <w:t>as a standard</w:t>
      </w:r>
      <w:r w:rsidRPr="001D6D5E">
        <w:rPr>
          <w:szCs w:val="24"/>
        </w:rPr>
        <w:t>.</w:t>
      </w:r>
    </w:p>
    <w:p w:rsidR="006564B7" w:rsidRPr="001D6D5E" w:rsidP="006564B7" w14:paraId="41F55096" w14:textId="2CE5AA7F">
      <w:pPr>
        <w:spacing w:line="480" w:lineRule="auto"/>
        <w:ind w:firstLine="720"/>
        <w:rPr>
          <w:szCs w:val="24"/>
        </w:rPr>
      </w:pPr>
      <w:r w:rsidRPr="001D6D5E">
        <w:rPr>
          <w:szCs w:val="24"/>
        </w:rPr>
        <w:t>Were OCC required to show substantial need, the need we’ve shown is even greater than substantial. OCC’s grounds for its motion for a subpoena, as set forth in the motion, show more than a substantial need for taking the deposition as part of our case preparation. Depositions are an imperative in this investigation of FirstEnergy’s corporate separation (or lack of it) and related issues involving its House Bill 6 scandal.</w:t>
      </w:r>
      <w:r w:rsidR="001D6D5E">
        <w:rPr>
          <w:szCs w:val="24"/>
        </w:rPr>
        <w:t xml:space="preserve"> </w:t>
      </w:r>
    </w:p>
    <w:p w:rsidR="006564B7" w:rsidRPr="001D6D5E" w:rsidP="006564B7" w14:paraId="7B2165C0" w14:textId="4BE4517E">
      <w:pPr>
        <w:spacing w:line="480" w:lineRule="auto"/>
        <w:ind w:firstLine="720"/>
        <w:rPr>
          <w:szCs w:val="24"/>
        </w:rPr>
      </w:pPr>
      <w:r w:rsidRPr="001D6D5E">
        <w:rPr>
          <w:szCs w:val="24"/>
        </w:rPr>
        <w:t xml:space="preserve">Also </w:t>
      </w:r>
      <w:r w:rsidRPr="001D6D5E" w:rsidR="00675881">
        <w:rPr>
          <w:szCs w:val="24"/>
        </w:rPr>
        <w:t>lacking in</w:t>
      </w:r>
      <w:r w:rsidRPr="001D6D5E">
        <w:rPr>
          <w:szCs w:val="24"/>
        </w:rPr>
        <w:t xml:space="preserve"> FirstEnergy’s claim</w:t>
      </w:r>
      <w:r w:rsidRPr="001D6D5E" w:rsidR="00675881">
        <w:rPr>
          <w:szCs w:val="24"/>
        </w:rPr>
        <w:t xml:space="preserve"> about substantial need</w:t>
      </w:r>
      <w:r w:rsidRPr="001D6D5E">
        <w:rPr>
          <w:szCs w:val="24"/>
        </w:rPr>
        <w:t xml:space="preserve"> is that OCC’s discovery rights are protected by R.C. 4903.082, which states that “[a]ll parties and intervenors shall be granted ample rights of discovery.” </w:t>
      </w:r>
      <w:r w:rsidRPr="001D6D5E">
        <w:rPr>
          <w:i/>
          <w:iCs/>
          <w:szCs w:val="24"/>
        </w:rPr>
        <w:t>See OCC v. PUC</w:t>
      </w:r>
      <w:r w:rsidRPr="001D6D5E">
        <w:rPr>
          <w:szCs w:val="24"/>
        </w:rPr>
        <w:t xml:space="preserve">, 111 Ohio St.3d 300, 2006-Ohio 5789. The PUCO has also adopted rules that broadly define the scope of discovery. O.A.C. 4901-1-16(B) provides: </w:t>
      </w:r>
    </w:p>
    <w:p w:rsidR="006564B7" w:rsidRPr="001D6D5E" w:rsidP="007E45E0" w14:paraId="4B498018" w14:textId="77777777">
      <w:pPr>
        <w:ind w:left="1440" w:right="1440"/>
        <w:rPr>
          <w:szCs w:val="24"/>
        </w:rPr>
      </w:pPr>
      <w:r w:rsidRPr="001D6D5E">
        <w:rPr>
          <w:szCs w:val="24"/>
        </w:rPr>
        <w:t xml:space="preserve">any party to a commission proceeding may obtain discovery of any matter, not privileged, which is relevant to the subject matter of the proceeding. It is not a ground for objection that the information sought would be inadmissible at the hearing, if the information sought </w:t>
      </w:r>
      <w:r w:rsidRPr="001D6D5E">
        <w:rPr>
          <w:i/>
          <w:iCs/>
          <w:szCs w:val="24"/>
        </w:rPr>
        <w:t>appears</w:t>
      </w:r>
      <w:r w:rsidRPr="001D6D5E">
        <w:rPr>
          <w:szCs w:val="24"/>
        </w:rPr>
        <w:t xml:space="preserve"> reasonably calculated to lead to the discovery of admissible evidence. (Emphasis added.) </w:t>
      </w:r>
    </w:p>
    <w:p w:rsidR="006564B7" w:rsidRPr="001D6D5E" w:rsidP="006564B7" w14:paraId="5DC3F09C" w14:textId="77777777">
      <w:pPr>
        <w:ind w:left="720"/>
        <w:rPr>
          <w:szCs w:val="24"/>
        </w:rPr>
      </w:pPr>
    </w:p>
    <w:p w:rsidR="006A31C0" w:rsidRPr="001D6D5E" w:rsidP="00CB3B5E" w14:paraId="04418A05" w14:textId="40977AC8">
      <w:pPr>
        <w:spacing w:line="480" w:lineRule="auto"/>
        <w:ind w:firstLine="720"/>
        <w:rPr>
          <w:szCs w:val="24"/>
        </w:rPr>
      </w:pPr>
      <w:r w:rsidRPr="001D6D5E">
        <w:rPr>
          <w:szCs w:val="24"/>
        </w:rPr>
        <w:t>FirstEnergy Corp. alleges that</w:t>
      </w:r>
      <w:r w:rsidRPr="001D6D5E" w:rsidR="0041656F">
        <w:rPr>
          <w:szCs w:val="24"/>
        </w:rPr>
        <w:t xml:space="preserve"> OCC has failed “to specify the topics upon which it expects any FirstEnergy Corp. witness to testify.”</w:t>
      </w:r>
      <w:r>
        <w:rPr>
          <w:rStyle w:val="FootnoteReference"/>
          <w:szCs w:val="24"/>
        </w:rPr>
        <w:footnoteReference w:id="6"/>
      </w:r>
      <w:r w:rsidRPr="001D6D5E" w:rsidR="001B1673">
        <w:rPr>
          <w:szCs w:val="24"/>
        </w:rPr>
        <w:t xml:space="preserve"> </w:t>
      </w:r>
      <w:r w:rsidRPr="001D6D5E" w:rsidR="008F3541">
        <w:rPr>
          <w:szCs w:val="24"/>
        </w:rPr>
        <w:t>It alleges that OCC “demands documents and testimony that are irrelevant to or inappropriate for the Commission’s consideration in these corporate separation proceedings.”</w:t>
      </w:r>
      <w:r>
        <w:rPr>
          <w:rStyle w:val="FootnoteReference"/>
          <w:szCs w:val="24"/>
        </w:rPr>
        <w:footnoteReference w:id="7"/>
      </w:r>
      <w:r w:rsidRPr="001D6D5E" w:rsidR="008F3541">
        <w:rPr>
          <w:szCs w:val="24"/>
        </w:rPr>
        <w:t xml:space="preserve"> </w:t>
      </w:r>
      <w:r w:rsidRPr="001D6D5E" w:rsidR="00AB207D">
        <w:rPr>
          <w:szCs w:val="24"/>
        </w:rPr>
        <w:t>In this regard</w:t>
      </w:r>
      <w:r w:rsidRPr="001D6D5E" w:rsidR="000F427B">
        <w:rPr>
          <w:szCs w:val="24"/>
        </w:rPr>
        <w:t>,</w:t>
      </w:r>
      <w:r w:rsidRPr="001D6D5E" w:rsidR="008F3541">
        <w:rPr>
          <w:szCs w:val="24"/>
        </w:rPr>
        <w:t xml:space="preserve"> FirstEnergy Corp. alleges that “nowhere in OCC’s motion for a subpoena or accompanying memorandum does OCC explain the relevance of FERC-related discovery (where FERC regulations are distinct from Ohio corporate separation rules) or all communications, conversations, or intentions of a former employee (where that information is uniquely within that former employee’s knowledge in their individual capacity).”</w:t>
      </w:r>
      <w:r>
        <w:rPr>
          <w:rStyle w:val="FootnoteReference"/>
          <w:szCs w:val="24"/>
        </w:rPr>
        <w:footnoteReference w:id="8"/>
      </w:r>
      <w:r w:rsidRPr="001D6D5E" w:rsidR="008F3541">
        <w:rPr>
          <w:szCs w:val="24"/>
        </w:rPr>
        <w:t xml:space="preserve"> </w:t>
      </w:r>
      <w:r w:rsidRPr="001D6D5E" w:rsidR="00EC04B1">
        <w:rPr>
          <w:szCs w:val="24"/>
        </w:rPr>
        <w:t>FirstEnergy</w:t>
      </w:r>
      <w:r w:rsidRPr="001D6D5E" w:rsidR="00675881">
        <w:rPr>
          <w:szCs w:val="24"/>
        </w:rPr>
        <w:t xml:space="preserve"> </w:t>
      </w:r>
      <w:r w:rsidRPr="001D6D5E" w:rsidR="003F479A">
        <w:rPr>
          <w:szCs w:val="24"/>
        </w:rPr>
        <w:t xml:space="preserve">is </w:t>
      </w:r>
      <w:r w:rsidRPr="001D6D5E" w:rsidR="00675881">
        <w:rPr>
          <w:szCs w:val="24"/>
        </w:rPr>
        <w:t>mistaken</w:t>
      </w:r>
      <w:r w:rsidRPr="001D6D5E" w:rsidR="00BB7514">
        <w:rPr>
          <w:szCs w:val="24"/>
        </w:rPr>
        <w:t>.</w:t>
      </w:r>
      <w:r w:rsidR="001D6D5E">
        <w:rPr>
          <w:szCs w:val="24"/>
        </w:rPr>
        <w:t xml:space="preserve"> </w:t>
      </w:r>
    </w:p>
    <w:p w:rsidR="003F479A" w:rsidRPr="001D6D5E" w:rsidP="00D410EE" w14:paraId="42A289E0" w14:textId="00421CA5">
      <w:pPr>
        <w:spacing w:line="480" w:lineRule="auto"/>
        <w:rPr>
          <w:szCs w:val="24"/>
        </w:rPr>
      </w:pPr>
      <w:r w:rsidRPr="001D6D5E">
        <w:rPr>
          <w:szCs w:val="24"/>
        </w:rPr>
        <w:tab/>
      </w:r>
      <w:r w:rsidRPr="001D6D5E" w:rsidR="001D0454">
        <w:rPr>
          <w:szCs w:val="24"/>
        </w:rPr>
        <w:t>First</w:t>
      </w:r>
      <w:r w:rsidRPr="001D6D5E">
        <w:rPr>
          <w:szCs w:val="24"/>
        </w:rPr>
        <w:t xml:space="preserve">, </w:t>
      </w:r>
      <w:r w:rsidRPr="001D6D5E" w:rsidR="000F427B">
        <w:rPr>
          <w:szCs w:val="24"/>
        </w:rPr>
        <w:t xml:space="preserve">OCC has a substantial need for </w:t>
      </w:r>
      <w:r w:rsidRPr="001D6D5E">
        <w:rPr>
          <w:szCs w:val="24"/>
        </w:rPr>
        <w:t xml:space="preserve">the documents </w:t>
      </w:r>
      <w:r w:rsidRPr="001D6D5E" w:rsidR="000F427B">
        <w:rPr>
          <w:szCs w:val="24"/>
        </w:rPr>
        <w:t>(all of which are relevant) it</w:t>
      </w:r>
      <w:r w:rsidRPr="001D6D5E">
        <w:rPr>
          <w:szCs w:val="24"/>
        </w:rPr>
        <w:t xml:space="preserve"> seeks </w:t>
      </w:r>
      <w:r w:rsidRPr="001D6D5E" w:rsidR="000F427B">
        <w:rPr>
          <w:szCs w:val="24"/>
        </w:rPr>
        <w:t>in this</w:t>
      </w:r>
      <w:r w:rsidRPr="001D6D5E">
        <w:rPr>
          <w:szCs w:val="24"/>
        </w:rPr>
        <w:t xml:space="preserve"> proceeding.</w:t>
      </w:r>
      <w:r w:rsidRPr="001D6D5E" w:rsidR="00D410EE">
        <w:rPr>
          <w:szCs w:val="24"/>
        </w:rPr>
        <w:t xml:space="preserve"> </w:t>
      </w:r>
      <w:r w:rsidRPr="001D6D5E" w:rsidR="001405B1">
        <w:rPr>
          <w:szCs w:val="24"/>
        </w:rPr>
        <w:t xml:space="preserve">Here is some context </w:t>
      </w:r>
      <w:r w:rsidRPr="001D6D5E" w:rsidR="00906CCB">
        <w:rPr>
          <w:szCs w:val="24"/>
        </w:rPr>
        <w:t xml:space="preserve">for </w:t>
      </w:r>
      <w:r w:rsidRPr="001D6D5E" w:rsidR="001405B1">
        <w:rPr>
          <w:szCs w:val="24"/>
        </w:rPr>
        <w:t xml:space="preserve">OCC’s discovery </w:t>
      </w:r>
      <w:r w:rsidRPr="001D6D5E" w:rsidR="000A350C">
        <w:rPr>
          <w:szCs w:val="24"/>
        </w:rPr>
        <w:t xml:space="preserve">for “FERC-related” information </w:t>
      </w:r>
      <w:r w:rsidRPr="001D6D5E" w:rsidR="001405B1">
        <w:rPr>
          <w:szCs w:val="24"/>
        </w:rPr>
        <w:t>and FirstEnergy</w:t>
      </w:r>
      <w:r w:rsidRPr="001D6D5E" w:rsidR="008F3541">
        <w:rPr>
          <w:szCs w:val="24"/>
        </w:rPr>
        <w:t xml:space="preserve"> Corp.</w:t>
      </w:r>
      <w:r w:rsidRPr="001D6D5E" w:rsidR="001405B1">
        <w:rPr>
          <w:szCs w:val="24"/>
        </w:rPr>
        <w:t>’s efforts to avoid this discovery. Under Ohio law, the FirstEnergy Ohio Utilities must implement and operate under a corporate separation plan that “satisfies the public interest” and is “sufficient” to protect Ohioans from undue preference or advantage being given to the utilities’ affiliate(s).</w:t>
      </w:r>
      <w:r>
        <w:rPr>
          <w:rStyle w:val="FootnoteReference"/>
          <w:szCs w:val="24"/>
        </w:rPr>
        <w:footnoteReference w:id="9"/>
      </w:r>
      <w:r w:rsidRPr="001D6D5E" w:rsidR="001405B1">
        <w:rPr>
          <w:szCs w:val="24"/>
        </w:rPr>
        <w:t xml:space="preserve"> </w:t>
      </w:r>
    </w:p>
    <w:p w:rsidR="00FE692B" w:rsidRPr="001D6D5E" w:rsidP="00DE2718" w14:paraId="16766F9B" w14:textId="4E6CE103">
      <w:pPr>
        <w:spacing w:line="480" w:lineRule="auto"/>
        <w:ind w:firstLine="720"/>
        <w:rPr>
          <w:szCs w:val="24"/>
        </w:rPr>
      </w:pPr>
      <w:r w:rsidRPr="001D6D5E">
        <w:rPr>
          <w:szCs w:val="24"/>
        </w:rPr>
        <w:t>The PUCO-appointed auditor (Daymark) noted that FirstEnergy’s compliance approach to corporate separation was set up to meet FERC requirements. It found that “FirstEnergy leans heavily on compliance with FERC requirements as a way to meet Ohio corporate separation requirements.”</w:t>
      </w:r>
      <w:r>
        <w:rPr>
          <w:rStyle w:val="FootnoteReference"/>
          <w:szCs w:val="24"/>
        </w:rPr>
        <w:footnoteReference w:id="10"/>
      </w:r>
      <w:r w:rsidRPr="001D6D5E">
        <w:rPr>
          <w:szCs w:val="24"/>
        </w:rPr>
        <w:t xml:space="preserve"> Daymark reported that “[i]n many cases, FirstEnergy had no Ohio-specific processes or documentation; rather they relied on procedures developed to meet FERC’s Affiliate Restrictions rules that are laid out in 18 CFR §35.39.”</w:t>
      </w:r>
      <w:r>
        <w:rPr>
          <w:rStyle w:val="FootnoteReference"/>
          <w:szCs w:val="24"/>
        </w:rPr>
        <w:footnoteReference w:id="11"/>
      </w:r>
      <w:r w:rsidR="001D6D5E">
        <w:rPr>
          <w:szCs w:val="24"/>
        </w:rPr>
        <w:t xml:space="preserve"> </w:t>
      </w:r>
      <w:r w:rsidRPr="001D6D5E" w:rsidR="00077A46">
        <w:rPr>
          <w:szCs w:val="24"/>
        </w:rPr>
        <w:t xml:space="preserve">Thus, FirstEnergy Corp.’s insistence that FERC regulations </w:t>
      </w:r>
      <w:r w:rsidRPr="001D6D5E" w:rsidR="00BB7514">
        <w:rPr>
          <w:szCs w:val="24"/>
        </w:rPr>
        <w:t xml:space="preserve">on corporate separation compliance </w:t>
      </w:r>
      <w:r w:rsidRPr="001D6D5E" w:rsidR="00077A46">
        <w:rPr>
          <w:szCs w:val="24"/>
        </w:rPr>
        <w:t xml:space="preserve">are distinct from Ohio corporate separation rules </w:t>
      </w:r>
      <w:r w:rsidRPr="001D6D5E" w:rsidR="00BB7514">
        <w:rPr>
          <w:szCs w:val="24"/>
        </w:rPr>
        <w:t>is without merit and should be rejected.</w:t>
      </w:r>
      <w:r w:rsidR="001D6D5E">
        <w:rPr>
          <w:szCs w:val="24"/>
        </w:rPr>
        <w:t xml:space="preserve"> </w:t>
      </w:r>
    </w:p>
    <w:p w:rsidR="00E328B0" w:rsidRPr="001D6D5E" w:rsidP="005D2D59" w14:paraId="368EDD8C" w14:textId="54777230">
      <w:pPr>
        <w:spacing w:line="480" w:lineRule="auto"/>
        <w:ind w:firstLine="720"/>
        <w:rPr>
          <w:szCs w:val="24"/>
        </w:rPr>
      </w:pPr>
      <w:r w:rsidRPr="001D6D5E">
        <w:rPr>
          <w:szCs w:val="24"/>
        </w:rPr>
        <w:t xml:space="preserve">Recently, FERC’s Division of Audits and Accounting undertook </w:t>
      </w:r>
      <w:r w:rsidRPr="001D6D5E" w:rsidR="00BB7514">
        <w:rPr>
          <w:szCs w:val="24"/>
        </w:rPr>
        <w:t xml:space="preserve">and completed </w:t>
      </w:r>
      <w:r w:rsidRPr="001D6D5E">
        <w:rPr>
          <w:szCs w:val="24"/>
        </w:rPr>
        <w:t>an audit of FirstEnergy Corp.</w:t>
      </w:r>
      <w:r w:rsidRPr="001D6D5E" w:rsidR="00B672EF">
        <w:rPr>
          <w:szCs w:val="24"/>
        </w:rPr>
        <w:t>,</w:t>
      </w:r>
      <w:r w:rsidRPr="001D6D5E">
        <w:rPr>
          <w:szCs w:val="24"/>
        </w:rPr>
        <w:t xml:space="preserve"> includ</w:t>
      </w:r>
      <w:r w:rsidRPr="001D6D5E" w:rsidR="00B672EF">
        <w:rPr>
          <w:szCs w:val="24"/>
        </w:rPr>
        <w:t>ing</w:t>
      </w:r>
      <w:r w:rsidRPr="001D6D5E">
        <w:rPr>
          <w:szCs w:val="24"/>
        </w:rPr>
        <w:t xml:space="preserve"> its service companies and other companies in the FirstEnergy holding company system.</w:t>
      </w:r>
      <w:r>
        <w:rPr>
          <w:rStyle w:val="FootnoteReference"/>
          <w:szCs w:val="24"/>
        </w:rPr>
        <w:footnoteReference w:id="12"/>
      </w:r>
      <w:r w:rsidRPr="001D6D5E">
        <w:rPr>
          <w:szCs w:val="24"/>
        </w:rPr>
        <w:t xml:space="preserve"> </w:t>
      </w:r>
      <w:r w:rsidRPr="001D6D5E" w:rsidR="00906CCB">
        <w:rPr>
          <w:szCs w:val="24"/>
        </w:rPr>
        <w:t>That audit covered a five</w:t>
      </w:r>
      <w:r w:rsidRPr="001D6D5E" w:rsidR="00BA3434">
        <w:rPr>
          <w:szCs w:val="24"/>
        </w:rPr>
        <w:t>-</w:t>
      </w:r>
      <w:r w:rsidRPr="001D6D5E" w:rsidR="00906CCB">
        <w:rPr>
          <w:szCs w:val="24"/>
        </w:rPr>
        <w:t xml:space="preserve">year period </w:t>
      </w:r>
      <w:r w:rsidRPr="001D6D5E" w:rsidR="00511404">
        <w:rPr>
          <w:szCs w:val="24"/>
        </w:rPr>
        <w:t>and evaluated, among other things, compliance with cross</w:t>
      </w:r>
      <w:r w:rsidRPr="001D6D5E" w:rsidR="003F479A">
        <w:rPr>
          <w:szCs w:val="24"/>
        </w:rPr>
        <w:t>-</w:t>
      </w:r>
      <w:r w:rsidRPr="001D6D5E" w:rsidR="00511404">
        <w:rPr>
          <w:szCs w:val="24"/>
        </w:rPr>
        <w:t>subsidization restrictions on affiliate transactions, service companies accounting and recordkeeping, and accounting and reporting for franchised public utilities for their transactions with associated entities.</w:t>
      </w:r>
      <w:r>
        <w:rPr>
          <w:rStyle w:val="FootnoteReference"/>
          <w:szCs w:val="24"/>
        </w:rPr>
        <w:footnoteReference w:id="13"/>
      </w:r>
    </w:p>
    <w:p w:rsidR="008D4297" w:rsidRPr="001D6D5E" w:rsidP="005D2D59" w14:paraId="3F0A73CF" w14:textId="0B7AFEF6">
      <w:pPr>
        <w:spacing w:line="480" w:lineRule="auto"/>
        <w:ind w:firstLine="720"/>
        <w:rPr>
          <w:szCs w:val="24"/>
        </w:rPr>
      </w:pPr>
      <w:r w:rsidRPr="001D6D5E">
        <w:rPr>
          <w:szCs w:val="24"/>
        </w:rPr>
        <w:t>Note that FERC’s audit findings included “significant shortcomings” in FirstEnergy and its subsidiaries’ internal controls over financial reporting for expenses relating to civic, political and lobbying activities.</w:t>
      </w:r>
      <w:r w:rsidRPr="001D6D5E" w:rsidR="0015578E">
        <w:rPr>
          <w:szCs w:val="24"/>
        </w:rPr>
        <w:t xml:space="preserve"> </w:t>
      </w:r>
      <w:r w:rsidRPr="001D6D5E">
        <w:rPr>
          <w:szCs w:val="24"/>
        </w:rPr>
        <w:t xml:space="preserve">FERC </w:t>
      </w:r>
      <w:r w:rsidRPr="001D6D5E" w:rsidR="00474732">
        <w:rPr>
          <w:szCs w:val="24"/>
        </w:rPr>
        <w:t>additionally noted that:</w:t>
      </w:r>
      <w:r w:rsidRPr="001D6D5E" w:rsidR="0015578E">
        <w:rPr>
          <w:szCs w:val="24"/>
        </w:rPr>
        <w:t xml:space="preserve"> </w:t>
      </w:r>
    </w:p>
    <w:p w:rsidR="00D53690" w:rsidRPr="001D6D5E" w:rsidP="008D4297" w14:paraId="38E78F8A" w14:textId="69D61D6F">
      <w:pPr>
        <w:ind w:left="1440" w:right="1440"/>
        <w:rPr>
          <w:szCs w:val="24"/>
        </w:rPr>
      </w:pPr>
      <w:r w:rsidRPr="001D6D5E">
        <w:rPr>
          <w:szCs w:val="24"/>
        </w:rPr>
        <w:t xml:space="preserve">[e]ven more concerning, several factual assertions agreed to by FirstEnergy in DPA [deferred prosecution agreement] and the remedies FirstEnergy agreed to undertake, point towards </w:t>
      </w:r>
      <w:r w:rsidRPr="001D6D5E">
        <w:rPr>
          <w:i/>
          <w:iCs/>
          <w:szCs w:val="24"/>
        </w:rPr>
        <w:t>internal controls having been possibly obfuscated or circumvented to conceal or mislea</w:t>
      </w:r>
      <w:r w:rsidRPr="001D6D5E">
        <w:rPr>
          <w:szCs w:val="24"/>
        </w:rPr>
        <w:t>d as to the actual amounts, nature, and purpose of the lobbying expenditures made, and as a result, the improper inclusion of lobbying and other nonutility costs in wholesale transmission billing rates.</w:t>
      </w:r>
      <w:r w:rsidRPr="001D6D5E" w:rsidR="0015578E">
        <w:rPr>
          <w:szCs w:val="24"/>
        </w:rPr>
        <w:t xml:space="preserve"> </w:t>
      </w:r>
      <w:r w:rsidRPr="001D6D5E" w:rsidR="00BB53A9">
        <w:rPr>
          <w:szCs w:val="24"/>
        </w:rPr>
        <w:t>(Emphasis added.)</w:t>
      </w:r>
      <w:r>
        <w:rPr>
          <w:rStyle w:val="FootnoteReference"/>
          <w:szCs w:val="24"/>
        </w:rPr>
        <w:footnoteReference w:id="14"/>
      </w:r>
      <w:r w:rsidRPr="001D6D5E" w:rsidR="0015578E">
        <w:rPr>
          <w:szCs w:val="24"/>
        </w:rPr>
        <w:t xml:space="preserve"> </w:t>
      </w:r>
    </w:p>
    <w:p w:rsidR="00474732" w:rsidRPr="001D6D5E" w:rsidP="008D4297" w14:paraId="1259420B" w14:textId="77777777">
      <w:pPr>
        <w:ind w:left="1440" w:right="1440"/>
        <w:rPr>
          <w:szCs w:val="24"/>
        </w:rPr>
      </w:pPr>
    </w:p>
    <w:p w:rsidR="00BD7769" w:rsidRPr="001D6D5E" w:rsidP="005D2D59" w14:paraId="1F8CAC6A" w14:textId="0893E682">
      <w:pPr>
        <w:spacing w:line="480" w:lineRule="auto"/>
        <w:ind w:firstLine="720"/>
        <w:rPr>
          <w:szCs w:val="24"/>
        </w:rPr>
      </w:pPr>
      <w:r w:rsidRPr="001D6D5E">
        <w:rPr>
          <w:szCs w:val="24"/>
        </w:rPr>
        <w:t xml:space="preserve">Given the FirstEnergy </w:t>
      </w:r>
      <w:r w:rsidRPr="001D6D5E" w:rsidR="00146D57">
        <w:rPr>
          <w:szCs w:val="24"/>
        </w:rPr>
        <w:t xml:space="preserve">Ohio </w:t>
      </w:r>
      <w:r w:rsidRPr="001D6D5E">
        <w:rPr>
          <w:szCs w:val="24"/>
        </w:rPr>
        <w:t xml:space="preserve">Utilities’ heavy reliance on maintaining a corporate separation plan that meets FERC requirements, it is crucial to understand whether and to what extent FirstEnergy </w:t>
      </w:r>
      <w:r w:rsidRPr="001D6D5E" w:rsidR="00146D57">
        <w:rPr>
          <w:szCs w:val="24"/>
        </w:rPr>
        <w:t xml:space="preserve">Corp. and the FirstEnergy Ohio Utilities </w:t>
      </w:r>
      <w:r w:rsidRPr="001D6D5E" w:rsidR="006C37E3">
        <w:rPr>
          <w:szCs w:val="24"/>
        </w:rPr>
        <w:t>are</w:t>
      </w:r>
      <w:r w:rsidRPr="001D6D5E">
        <w:rPr>
          <w:szCs w:val="24"/>
        </w:rPr>
        <w:t xml:space="preserve"> complying with FERC’s rules and regulations on corporate separation.</w:t>
      </w:r>
      <w:r w:rsidRPr="001D6D5E" w:rsidR="00B16F43">
        <w:rPr>
          <w:szCs w:val="24"/>
        </w:rPr>
        <w:t xml:space="preserve"> </w:t>
      </w:r>
      <w:r w:rsidRPr="001D6D5E">
        <w:rPr>
          <w:szCs w:val="24"/>
        </w:rPr>
        <w:t>The “FERC-related” documents</w:t>
      </w:r>
      <w:r w:rsidRPr="001D6D5E">
        <w:rPr>
          <w:szCs w:val="24"/>
        </w:rPr>
        <w:t xml:space="preserve"> </w:t>
      </w:r>
      <w:r w:rsidRPr="001D6D5E">
        <w:rPr>
          <w:szCs w:val="24"/>
        </w:rPr>
        <w:t>are highly relevant to this case involving corporate separation compliance.</w:t>
      </w:r>
      <w:r w:rsidRPr="001D6D5E" w:rsidR="00B16F43">
        <w:rPr>
          <w:szCs w:val="24"/>
        </w:rPr>
        <w:t xml:space="preserve"> </w:t>
      </w:r>
      <w:r w:rsidRPr="001D6D5E" w:rsidR="00146D57">
        <w:rPr>
          <w:szCs w:val="24"/>
        </w:rPr>
        <w:t>FirstEnergy Corp. and the FirstEnergy Ohio Utilities have themselves made them highly relevant.</w:t>
      </w:r>
    </w:p>
    <w:p w:rsidR="00603A1D" w:rsidRPr="001D6D5E" w:rsidP="005D2D59" w14:paraId="766C6D97" w14:textId="516519C8">
      <w:pPr>
        <w:spacing w:line="480" w:lineRule="auto"/>
        <w:ind w:firstLine="720"/>
        <w:rPr>
          <w:szCs w:val="24"/>
        </w:rPr>
      </w:pPr>
      <w:r w:rsidRPr="001D6D5E">
        <w:rPr>
          <w:szCs w:val="24"/>
        </w:rPr>
        <w:t xml:space="preserve">The </w:t>
      </w:r>
      <w:r w:rsidRPr="001D6D5E" w:rsidR="00670E52">
        <w:rPr>
          <w:szCs w:val="24"/>
        </w:rPr>
        <w:t xml:space="preserve">Attorney Examiner in Case No. 20-1502 recently issued a ruling on a similar </w:t>
      </w:r>
      <w:r w:rsidRPr="001D6D5E" w:rsidR="003503E7">
        <w:rPr>
          <w:szCs w:val="24"/>
        </w:rPr>
        <w:t xml:space="preserve">issue where OCC had filed a motion to compel discovery </w:t>
      </w:r>
      <w:r w:rsidRPr="001D6D5E" w:rsidR="00670E52">
        <w:rPr>
          <w:szCs w:val="24"/>
        </w:rPr>
        <w:t>seeking FERC audit related documents.</w:t>
      </w:r>
      <w:r>
        <w:rPr>
          <w:rStyle w:val="FootnoteReference"/>
          <w:szCs w:val="24"/>
        </w:rPr>
        <w:footnoteReference w:id="15"/>
      </w:r>
      <w:r w:rsidRPr="001D6D5E" w:rsidR="00B16F43">
        <w:rPr>
          <w:szCs w:val="24"/>
        </w:rPr>
        <w:t xml:space="preserve"> </w:t>
      </w:r>
      <w:r w:rsidRPr="001D6D5E" w:rsidR="00670E52">
        <w:rPr>
          <w:szCs w:val="24"/>
        </w:rPr>
        <w:t>The examiner ruled that OCC is entitled to all documents and communications provided to FERC Staff by all FirstEnergy entities during the course of the FERC audit</w:t>
      </w:r>
      <w:r w:rsidRPr="001D6D5E" w:rsidR="003503E7">
        <w:rPr>
          <w:szCs w:val="24"/>
        </w:rPr>
        <w:t>, pertaining to the FirstEnergy</w:t>
      </w:r>
      <w:r w:rsidRPr="001D6D5E" w:rsidR="00271782">
        <w:rPr>
          <w:szCs w:val="24"/>
        </w:rPr>
        <w:t xml:space="preserve"> Ohio</w:t>
      </w:r>
      <w:r w:rsidRPr="001D6D5E" w:rsidR="003503E7">
        <w:rPr>
          <w:szCs w:val="24"/>
        </w:rPr>
        <w:t xml:space="preserve"> Utilities.</w:t>
      </w:r>
      <w:r>
        <w:rPr>
          <w:rStyle w:val="FootnoteReference"/>
          <w:szCs w:val="24"/>
        </w:rPr>
        <w:footnoteReference w:id="16"/>
      </w:r>
      <w:r w:rsidR="001D6D5E">
        <w:rPr>
          <w:szCs w:val="24"/>
        </w:rPr>
        <w:t xml:space="preserve"> </w:t>
      </w:r>
      <w:r w:rsidRPr="001D6D5E" w:rsidR="003B3C43">
        <w:rPr>
          <w:szCs w:val="24"/>
        </w:rPr>
        <w:t>That ruling was affirmed by the PUCO, when it denied the FirstEnergy Utilities request for an interlocutory appeal.</w:t>
      </w:r>
      <w:r>
        <w:rPr>
          <w:rStyle w:val="FootnoteReference"/>
          <w:szCs w:val="24"/>
        </w:rPr>
        <w:footnoteReference w:id="17"/>
      </w:r>
    </w:p>
    <w:p w:rsidR="001E2E24" w:rsidRPr="001D6D5E" w:rsidP="005D2D59" w14:paraId="18499CCC" w14:textId="422A279E">
      <w:pPr>
        <w:spacing w:line="480" w:lineRule="auto"/>
        <w:ind w:firstLine="720"/>
        <w:rPr>
          <w:szCs w:val="24"/>
        </w:rPr>
      </w:pPr>
      <w:r w:rsidRPr="001D6D5E">
        <w:rPr>
          <w:szCs w:val="24"/>
        </w:rPr>
        <w:t>We note this ruling for several reasons.</w:t>
      </w:r>
      <w:r w:rsidRPr="001D6D5E" w:rsidR="00B16F43">
        <w:rPr>
          <w:szCs w:val="24"/>
        </w:rPr>
        <w:t xml:space="preserve"> </w:t>
      </w:r>
      <w:r w:rsidRPr="001D6D5E" w:rsidR="001D0454">
        <w:rPr>
          <w:szCs w:val="24"/>
        </w:rPr>
        <w:t>T</w:t>
      </w:r>
      <w:r w:rsidRPr="001D6D5E">
        <w:rPr>
          <w:szCs w:val="24"/>
        </w:rPr>
        <w:t>he utilities (unlike FirstEnergy Corp.) did not claim the information was not relevant to the proceeding.</w:t>
      </w:r>
      <w:r w:rsidRPr="001D6D5E" w:rsidR="00B16F43">
        <w:rPr>
          <w:szCs w:val="24"/>
        </w:rPr>
        <w:t xml:space="preserve"> </w:t>
      </w:r>
      <w:r w:rsidRPr="001D6D5E" w:rsidR="001D0454">
        <w:rPr>
          <w:szCs w:val="24"/>
        </w:rPr>
        <w:t>Additionally</w:t>
      </w:r>
      <w:r w:rsidRPr="001D6D5E">
        <w:rPr>
          <w:szCs w:val="24"/>
        </w:rPr>
        <w:t>, the FERC documents at issue here pertain to the same audit.</w:t>
      </w:r>
      <w:r w:rsidRPr="001D6D5E" w:rsidR="00B16F43">
        <w:rPr>
          <w:szCs w:val="24"/>
        </w:rPr>
        <w:t xml:space="preserve"> </w:t>
      </w:r>
      <w:r w:rsidRPr="001D6D5E" w:rsidR="00603A1D">
        <w:rPr>
          <w:szCs w:val="24"/>
        </w:rPr>
        <w:t xml:space="preserve">The PUCO should, consistent with its ruling in Case No. 20-1502, require the production of these documents prior to the deposition of </w:t>
      </w:r>
      <w:r w:rsidRPr="001D6D5E" w:rsidR="00D410EE">
        <w:rPr>
          <w:szCs w:val="24"/>
        </w:rPr>
        <w:t>FirstEnergy Corp.’s designate</w:t>
      </w:r>
      <w:r w:rsidRPr="001D6D5E" w:rsidR="00603A1D">
        <w:rPr>
          <w:szCs w:val="24"/>
        </w:rPr>
        <w:t>.</w:t>
      </w:r>
    </w:p>
    <w:p w:rsidR="001D0454" w:rsidRPr="001D6D5E" w:rsidP="001D0454" w14:paraId="2A1B0D30" w14:textId="7C0DAC48">
      <w:pPr>
        <w:spacing w:line="480" w:lineRule="auto"/>
        <w:ind w:firstLine="720"/>
        <w:rPr>
          <w:szCs w:val="24"/>
        </w:rPr>
      </w:pPr>
      <w:r w:rsidRPr="001D6D5E">
        <w:rPr>
          <w:szCs w:val="24"/>
        </w:rPr>
        <w:t>Second, OCC specified the topics upon which it expects any FirstEnergy Corp. designate to testify. We said that the person designated by FirstEnergy Corp. would be cross-examined about “corporate separation policies, practices, and procedures[.]”</w:t>
      </w:r>
      <w:r>
        <w:rPr>
          <w:rStyle w:val="FootnoteReference"/>
          <w:szCs w:val="24"/>
        </w:rPr>
        <w:footnoteReference w:id="18"/>
      </w:r>
      <w:r w:rsidRPr="001D6D5E">
        <w:rPr>
          <w:szCs w:val="24"/>
        </w:rPr>
        <w:t xml:space="preserve"> We explained that the issues for deposition “relate to how (and whether) the FirstEnergy Ohio Utilities complied with Ohio’s corporate separation law and rules during 2016 through 2020.”</w:t>
      </w:r>
      <w:r>
        <w:rPr>
          <w:rStyle w:val="FootnoteReference"/>
          <w:szCs w:val="24"/>
        </w:rPr>
        <w:footnoteReference w:id="19"/>
      </w:r>
      <w:r w:rsidRPr="001D6D5E">
        <w:rPr>
          <w:szCs w:val="24"/>
        </w:rPr>
        <w:t xml:space="preserve"> We specified that </w:t>
      </w:r>
    </w:p>
    <w:p w:rsidR="001D0454" w:rsidRPr="001D6D5E" w:rsidP="001D0454" w14:paraId="6AD5C4A6" w14:textId="77777777">
      <w:pPr>
        <w:ind w:left="1440" w:right="1440"/>
        <w:rPr>
          <w:szCs w:val="24"/>
        </w:rPr>
      </w:pPr>
      <w:r w:rsidRPr="001D6D5E">
        <w:rPr>
          <w:szCs w:val="24"/>
        </w:rPr>
        <w:t>[t]he FirstEnergy Corp. designee should have knowledge regarding the corporate separation policies, practices, and procedures of the FirstEnergy Ohio Utilities and should be familiar with the documents and able to authenticate documents produced as part of this subpoena.</w:t>
      </w:r>
      <w:r>
        <w:rPr>
          <w:rStyle w:val="FootnoteReference"/>
          <w:szCs w:val="24"/>
        </w:rPr>
        <w:footnoteReference w:id="20"/>
      </w:r>
    </w:p>
    <w:p w:rsidR="001D0454" w:rsidRPr="001D6D5E" w:rsidP="001D0454" w14:paraId="25E608D2" w14:textId="77777777">
      <w:pPr>
        <w:rPr>
          <w:szCs w:val="24"/>
        </w:rPr>
      </w:pPr>
    </w:p>
    <w:p w:rsidR="001D0454" w:rsidRPr="001D6D5E" w:rsidP="00E50260" w14:paraId="04ED2527" w14:textId="03E7A962">
      <w:pPr>
        <w:spacing w:line="480" w:lineRule="auto"/>
        <w:rPr>
          <w:szCs w:val="24"/>
        </w:rPr>
      </w:pPr>
      <w:r w:rsidRPr="001D6D5E">
        <w:rPr>
          <w:szCs w:val="24"/>
        </w:rPr>
        <w:t xml:space="preserve">And we pointed out that a corporate subpoena (at issue here) is </w:t>
      </w:r>
      <w:r w:rsidRPr="001D6D5E">
        <w:rPr>
          <w:i/>
          <w:iCs/>
          <w:szCs w:val="24"/>
        </w:rPr>
        <w:t xml:space="preserve">exactly </w:t>
      </w:r>
      <w:r w:rsidRPr="001D6D5E">
        <w:rPr>
          <w:szCs w:val="24"/>
        </w:rPr>
        <w:t>what FirstEnergy Corp. had previously said we should pursue.</w:t>
      </w:r>
      <w:r>
        <w:rPr>
          <w:rStyle w:val="FootnoteReference"/>
          <w:szCs w:val="24"/>
        </w:rPr>
        <w:footnoteReference w:id="21"/>
      </w:r>
      <w:r w:rsidRPr="001D6D5E">
        <w:rPr>
          <w:szCs w:val="24"/>
        </w:rPr>
        <w:t xml:space="preserve"> For FirstEnergy Corp. to assert that OCC did not specify the topics upon which it expects any FirstEnergy Corp. designate to testify cannot be reconciled with the actual contents</w:t>
      </w:r>
      <w:r w:rsidR="001D6D5E">
        <w:rPr>
          <w:szCs w:val="24"/>
        </w:rPr>
        <w:t xml:space="preserve"> </w:t>
      </w:r>
      <w:r w:rsidRPr="001D6D5E">
        <w:rPr>
          <w:szCs w:val="24"/>
        </w:rPr>
        <w:t>of OCC’s motion for subpoena.</w:t>
      </w:r>
    </w:p>
    <w:p w:rsidR="001E2E24" w:rsidRPr="001D6D5E" w:rsidP="00E50260" w14:paraId="5B11031E" w14:textId="323B5183">
      <w:pPr>
        <w:pStyle w:val="FootnoteText"/>
        <w:spacing w:line="480" w:lineRule="auto"/>
        <w:ind w:firstLine="720"/>
        <w:rPr>
          <w:b w:val="0"/>
          <w:bCs w:val="0"/>
          <w:sz w:val="24"/>
          <w:szCs w:val="24"/>
        </w:rPr>
      </w:pPr>
      <w:r w:rsidRPr="001D6D5E">
        <w:rPr>
          <w:b w:val="0"/>
          <w:bCs w:val="0"/>
          <w:sz w:val="24"/>
          <w:szCs w:val="24"/>
        </w:rPr>
        <w:t>Regarding OCC’s request for what FirstEnergy Corp. characterizes as “all communications, conversations, or intentions of a former employee (where that information is uniquely within that former employee’s knowledge in their individual capacity)[,]”</w:t>
      </w:r>
      <w:r>
        <w:rPr>
          <w:rStyle w:val="FootnoteReference"/>
          <w:b w:val="0"/>
          <w:bCs w:val="0"/>
          <w:sz w:val="24"/>
          <w:szCs w:val="24"/>
        </w:rPr>
        <w:footnoteReference w:id="22"/>
      </w:r>
      <w:r w:rsidRPr="001D6D5E">
        <w:rPr>
          <w:b w:val="0"/>
          <w:bCs w:val="0"/>
          <w:sz w:val="24"/>
          <w:szCs w:val="24"/>
        </w:rPr>
        <w:t xml:space="preserve"> </w:t>
      </w:r>
      <w:r w:rsidRPr="001D6D5E" w:rsidR="00B26BE0">
        <w:rPr>
          <w:b w:val="0"/>
          <w:bCs w:val="0"/>
          <w:sz w:val="24"/>
          <w:szCs w:val="24"/>
        </w:rPr>
        <w:t xml:space="preserve">it </w:t>
      </w:r>
      <w:r w:rsidRPr="001D6D5E">
        <w:rPr>
          <w:b w:val="0"/>
          <w:bCs w:val="0"/>
          <w:sz w:val="24"/>
          <w:szCs w:val="24"/>
        </w:rPr>
        <w:t>is equally relevant. The former employee is Ms. Ebony Yeboah-Amankwah. OCC has explained in detail the importance of obtaining information (testimony and documents) concerning Ms. Yeboah-Amankwah, who was FirstEnergy Corp.’s former Vice President, General Counsel and Chief Ethics Officer.</w:t>
      </w:r>
      <w:r>
        <w:rPr>
          <w:rStyle w:val="FootnoteReference"/>
          <w:b w:val="0"/>
          <w:bCs w:val="0"/>
          <w:sz w:val="24"/>
          <w:szCs w:val="24"/>
        </w:rPr>
        <w:footnoteReference w:id="23"/>
      </w:r>
      <w:r w:rsidRPr="001D6D5E">
        <w:rPr>
          <w:b w:val="0"/>
          <w:bCs w:val="0"/>
          <w:sz w:val="24"/>
          <w:szCs w:val="24"/>
        </w:rPr>
        <w:t xml:space="preserve"> Reiterating, Ms. Yeboah-Amankwah was ultimately responsible for corporate separation compliance during most of the time-period being investigated here.</w:t>
      </w:r>
      <w:r>
        <w:rPr>
          <w:rStyle w:val="FootnoteReference"/>
          <w:b w:val="0"/>
          <w:bCs w:val="0"/>
          <w:sz w:val="24"/>
          <w:szCs w:val="24"/>
        </w:rPr>
        <w:footnoteReference w:id="24"/>
      </w:r>
      <w:r w:rsidR="001D6D5E">
        <w:rPr>
          <w:b w:val="0"/>
          <w:bCs w:val="0"/>
          <w:sz w:val="24"/>
          <w:szCs w:val="24"/>
        </w:rPr>
        <w:t xml:space="preserve"> </w:t>
      </w:r>
      <w:r w:rsidRPr="001D6D5E">
        <w:rPr>
          <w:b w:val="0"/>
          <w:bCs w:val="0"/>
          <w:sz w:val="24"/>
          <w:szCs w:val="24"/>
        </w:rPr>
        <w:t xml:space="preserve">OCC’s explanation is equally applicable here in response to FirstEnergy Corp.’s objection to </w:t>
      </w:r>
      <w:r w:rsidRPr="001D6D5E" w:rsidR="00B26BE0">
        <w:rPr>
          <w:b w:val="0"/>
          <w:bCs w:val="0"/>
          <w:sz w:val="24"/>
          <w:szCs w:val="24"/>
        </w:rPr>
        <w:t xml:space="preserve">us </w:t>
      </w:r>
      <w:r w:rsidRPr="001D6D5E">
        <w:rPr>
          <w:b w:val="0"/>
          <w:bCs w:val="0"/>
          <w:sz w:val="24"/>
          <w:szCs w:val="24"/>
        </w:rPr>
        <w:t xml:space="preserve">obtaining </w:t>
      </w:r>
      <w:r w:rsidRPr="001D6D5E" w:rsidR="00B26BE0">
        <w:rPr>
          <w:b w:val="0"/>
          <w:bCs w:val="0"/>
          <w:sz w:val="24"/>
          <w:szCs w:val="24"/>
        </w:rPr>
        <w:t>information concerning</w:t>
      </w:r>
      <w:r w:rsidRPr="001D6D5E">
        <w:rPr>
          <w:b w:val="0"/>
          <w:bCs w:val="0"/>
          <w:sz w:val="24"/>
          <w:szCs w:val="24"/>
        </w:rPr>
        <w:t xml:space="preserve"> Ms. Yeboah-Amankwah.</w:t>
      </w:r>
    </w:p>
    <w:p w:rsidR="001E2E24" w:rsidRPr="001D6D5E" w:rsidP="00E50260" w14:paraId="0FB112A7" w14:textId="29AFD58D">
      <w:pPr>
        <w:pStyle w:val="FootnoteText"/>
        <w:spacing w:line="480" w:lineRule="auto"/>
        <w:ind w:firstLine="720"/>
        <w:rPr>
          <w:b w:val="0"/>
          <w:bCs w:val="0"/>
          <w:sz w:val="24"/>
          <w:szCs w:val="24"/>
        </w:rPr>
      </w:pPr>
      <w:r w:rsidRPr="001D6D5E">
        <w:rPr>
          <w:b w:val="0"/>
          <w:bCs w:val="0"/>
          <w:sz w:val="24"/>
          <w:szCs w:val="24"/>
        </w:rPr>
        <w:t>The importance of obtaining information concerning Ms. Yeboah-Amankwah is highlighted by the finger-pointing between her and FirstEnergy Corp. in response to OCC’s subpoenas.</w:t>
      </w:r>
      <w:r w:rsidR="001D6D5E">
        <w:rPr>
          <w:b w:val="0"/>
          <w:bCs w:val="0"/>
          <w:sz w:val="24"/>
          <w:szCs w:val="24"/>
        </w:rPr>
        <w:t xml:space="preserve"> </w:t>
      </w:r>
      <w:r w:rsidRPr="001D6D5E">
        <w:rPr>
          <w:b w:val="0"/>
          <w:bCs w:val="0"/>
          <w:sz w:val="24"/>
          <w:szCs w:val="24"/>
        </w:rPr>
        <w:t>Ms. Yeboah-Amankwah has asserted that documents we subpoenaed from her are FirstEnergy Corp.’s property and that she returned all documents to FirstEnergy Corp. at the time of her separation.</w:t>
      </w:r>
      <w:r>
        <w:rPr>
          <w:rStyle w:val="FootnoteReference"/>
          <w:b w:val="0"/>
          <w:bCs w:val="0"/>
          <w:sz w:val="24"/>
          <w:szCs w:val="24"/>
        </w:rPr>
        <w:footnoteReference w:id="25"/>
      </w:r>
      <w:r w:rsidR="001D6D5E">
        <w:rPr>
          <w:b w:val="0"/>
          <w:bCs w:val="0"/>
          <w:sz w:val="24"/>
          <w:szCs w:val="24"/>
        </w:rPr>
        <w:t xml:space="preserve"> </w:t>
      </w:r>
      <w:r w:rsidRPr="001D6D5E" w:rsidR="00E95665">
        <w:rPr>
          <w:b w:val="0"/>
          <w:bCs w:val="0"/>
          <w:sz w:val="24"/>
          <w:szCs w:val="24"/>
        </w:rPr>
        <w:t>FirstEnergy Corp. is now asserting that Ms. Yeboah-Amankwah has the documents.</w:t>
      </w:r>
      <w:r>
        <w:rPr>
          <w:rStyle w:val="FootnoteReference"/>
          <w:b w:val="0"/>
          <w:bCs w:val="0"/>
          <w:sz w:val="24"/>
          <w:szCs w:val="24"/>
        </w:rPr>
        <w:footnoteReference w:id="26"/>
      </w:r>
      <w:r w:rsidR="001D6D5E">
        <w:rPr>
          <w:b w:val="0"/>
          <w:bCs w:val="0"/>
          <w:sz w:val="24"/>
          <w:szCs w:val="24"/>
        </w:rPr>
        <w:t xml:space="preserve"> </w:t>
      </w:r>
    </w:p>
    <w:p w:rsidR="00B330CF" w:rsidRPr="001D6D5E" w:rsidP="00E50260" w14:paraId="5C9FFF08" w14:textId="77777777">
      <w:pPr>
        <w:spacing w:line="480" w:lineRule="auto"/>
        <w:ind w:firstLine="720"/>
        <w:rPr>
          <w:szCs w:val="24"/>
        </w:rPr>
      </w:pPr>
      <w:r w:rsidRPr="001D6D5E">
        <w:rPr>
          <w:szCs w:val="24"/>
        </w:rPr>
        <w:t>The documents requested by OC</w:t>
      </w:r>
      <w:r w:rsidRPr="001D6D5E" w:rsidR="00E05474">
        <w:rPr>
          <w:szCs w:val="24"/>
        </w:rPr>
        <w:t>C cannot be obtained from other sources.</w:t>
      </w:r>
      <w:r w:rsidRPr="001D6D5E" w:rsidR="00B16F43">
        <w:rPr>
          <w:szCs w:val="24"/>
        </w:rPr>
        <w:t xml:space="preserve"> </w:t>
      </w:r>
      <w:r w:rsidRPr="001D6D5E" w:rsidR="00E328B0">
        <w:rPr>
          <w:szCs w:val="24"/>
        </w:rPr>
        <w:t xml:space="preserve">FirstEnergy should identify those </w:t>
      </w:r>
      <w:r w:rsidRPr="001D6D5E" w:rsidR="002B12FB">
        <w:rPr>
          <w:szCs w:val="24"/>
        </w:rPr>
        <w:t>sources if</w:t>
      </w:r>
      <w:r w:rsidRPr="001D6D5E" w:rsidR="00E328B0">
        <w:rPr>
          <w:szCs w:val="24"/>
        </w:rPr>
        <w:t xml:space="preserve"> it claims otherwise.</w:t>
      </w:r>
      <w:r w:rsidRPr="001D6D5E" w:rsidR="00B16F43">
        <w:rPr>
          <w:szCs w:val="24"/>
        </w:rPr>
        <w:t xml:space="preserve"> </w:t>
      </w:r>
      <w:r w:rsidRPr="001D6D5E" w:rsidR="00E05474">
        <w:rPr>
          <w:szCs w:val="24"/>
        </w:rPr>
        <w:t xml:space="preserve">OCC would face undue hardship if it </w:t>
      </w:r>
      <w:r w:rsidRPr="001D6D5E" w:rsidR="002B12FB">
        <w:rPr>
          <w:szCs w:val="24"/>
        </w:rPr>
        <w:t>were</w:t>
      </w:r>
      <w:r w:rsidRPr="001D6D5E" w:rsidR="00E05474">
        <w:rPr>
          <w:szCs w:val="24"/>
        </w:rPr>
        <w:t xml:space="preserve"> deprived of these documents.</w:t>
      </w:r>
      <w:r w:rsidRPr="001D6D5E" w:rsidR="00B16F43">
        <w:rPr>
          <w:szCs w:val="24"/>
        </w:rPr>
        <w:t xml:space="preserve"> </w:t>
      </w:r>
      <w:r w:rsidRPr="001D6D5E">
        <w:rPr>
          <w:szCs w:val="24"/>
        </w:rPr>
        <w:t>OCC clearly has a substantial need for the</w:t>
      </w:r>
      <w:r w:rsidRPr="001D6D5E" w:rsidR="00E05474">
        <w:rPr>
          <w:szCs w:val="24"/>
        </w:rPr>
        <w:t xml:space="preserve"> documents that cannot be met through other means.</w:t>
      </w:r>
      <w:r w:rsidRPr="001D6D5E" w:rsidR="00B16F43">
        <w:rPr>
          <w:szCs w:val="24"/>
        </w:rPr>
        <w:t xml:space="preserve"> </w:t>
      </w:r>
    </w:p>
    <w:p w:rsidR="00FE692B" w:rsidRPr="001D6D5E" w:rsidP="00F1082F" w14:paraId="3BE68B2F" w14:textId="5C558560">
      <w:pPr>
        <w:spacing w:line="480" w:lineRule="auto"/>
        <w:ind w:firstLine="720"/>
        <w:rPr>
          <w:szCs w:val="24"/>
        </w:rPr>
      </w:pPr>
      <w:r w:rsidRPr="001D6D5E">
        <w:rPr>
          <w:szCs w:val="24"/>
        </w:rPr>
        <w:t>Again, as we explained in our motion for subpoena</w:t>
      </w:r>
      <w:r w:rsidRPr="001D6D5E" w:rsidR="00B26BE0">
        <w:rPr>
          <w:szCs w:val="24"/>
        </w:rPr>
        <w:t>,</w:t>
      </w:r>
      <w:r w:rsidRPr="001D6D5E">
        <w:rPr>
          <w:szCs w:val="24"/>
        </w:rPr>
        <w:t xml:space="preserve"> a corporate subpoena is </w:t>
      </w:r>
      <w:r w:rsidRPr="001D6D5E">
        <w:rPr>
          <w:i/>
          <w:iCs/>
          <w:szCs w:val="24"/>
        </w:rPr>
        <w:t xml:space="preserve">exactly </w:t>
      </w:r>
      <w:r w:rsidRPr="001D6D5E">
        <w:rPr>
          <w:szCs w:val="24"/>
        </w:rPr>
        <w:t>what FirstEnergy Corp. had previously said we should pursue.</w:t>
      </w:r>
      <w:r>
        <w:rPr>
          <w:rStyle w:val="FootnoteReference"/>
          <w:szCs w:val="24"/>
        </w:rPr>
        <w:footnoteReference w:id="27"/>
      </w:r>
      <w:r w:rsidRPr="001D6D5E" w:rsidR="001B1673">
        <w:rPr>
          <w:szCs w:val="24"/>
        </w:rPr>
        <w:t xml:space="preserve"> </w:t>
      </w:r>
      <w:r w:rsidRPr="001D6D5E" w:rsidR="004B514D">
        <w:rPr>
          <w:szCs w:val="24"/>
        </w:rPr>
        <w:t>FirstEnergy Corp. has failed to show that producing the documents would create an undue burden on it.</w:t>
      </w:r>
      <w:r w:rsidRPr="001D6D5E" w:rsidR="00B16F43">
        <w:rPr>
          <w:szCs w:val="24"/>
        </w:rPr>
        <w:t xml:space="preserve"> </w:t>
      </w:r>
    </w:p>
    <w:p w:rsidR="002D1E7B" w:rsidRPr="001D6D5E" w:rsidP="00E50260" w14:paraId="3399B8A5" w14:textId="5764E32D">
      <w:pPr>
        <w:spacing w:line="480" w:lineRule="auto"/>
        <w:ind w:firstLine="720"/>
        <w:rPr>
          <w:szCs w:val="24"/>
        </w:rPr>
      </w:pPr>
      <w:r w:rsidRPr="001D6D5E">
        <w:rPr>
          <w:szCs w:val="24"/>
        </w:rPr>
        <w:t xml:space="preserve">The Motion to Quash </w:t>
      </w:r>
      <w:r w:rsidRPr="001D6D5E" w:rsidR="00D410EE">
        <w:rPr>
          <w:szCs w:val="24"/>
        </w:rPr>
        <w:t>should</w:t>
      </w:r>
      <w:r w:rsidRPr="001D6D5E">
        <w:rPr>
          <w:szCs w:val="24"/>
        </w:rPr>
        <w:t xml:space="preserve"> be denied.</w:t>
      </w:r>
    </w:p>
    <w:p w:rsidR="00766D5C" w:rsidRPr="001D6D5E" w:rsidP="005D2D59" w14:paraId="0D19C1BC" w14:textId="254E43DD">
      <w:pPr>
        <w:pStyle w:val="Heading2"/>
        <w:rPr>
          <w:rFonts w:ascii="Times New Roman" w:hAnsi="Times New Roman" w:cs="Times New Roman"/>
          <w:bCs w:val="0"/>
        </w:rPr>
      </w:pPr>
      <w:bookmarkStart w:id="4" w:name="_Toc101451872"/>
      <w:r w:rsidRPr="001D6D5E">
        <w:rPr>
          <w:rFonts w:ascii="Times New Roman" w:hAnsi="Times New Roman" w:cs="Times New Roman"/>
          <w:bCs w:val="0"/>
        </w:rPr>
        <w:t>OCC</w:t>
      </w:r>
      <w:r w:rsidRPr="001D6D5E" w:rsidR="000B5DEF">
        <w:rPr>
          <w:rFonts w:ascii="Times New Roman" w:hAnsi="Times New Roman" w:cs="Times New Roman"/>
          <w:bCs w:val="0"/>
        </w:rPr>
        <w:t>’s</w:t>
      </w:r>
      <w:r w:rsidRPr="001D6D5E">
        <w:rPr>
          <w:rFonts w:ascii="Times New Roman" w:hAnsi="Times New Roman" w:cs="Times New Roman"/>
          <w:bCs w:val="0"/>
        </w:rPr>
        <w:t xml:space="preserve"> subpoena duces tecum is in consumers’ interest and does not violate the procedural schedule</w:t>
      </w:r>
      <w:r w:rsidRPr="001D6D5E" w:rsidR="003C5AAC">
        <w:rPr>
          <w:rFonts w:ascii="Times New Roman" w:hAnsi="Times New Roman" w:cs="Times New Roman"/>
          <w:bCs w:val="0"/>
        </w:rPr>
        <w:t xml:space="preserve"> for discovery</w:t>
      </w:r>
      <w:r w:rsidRPr="001D6D5E">
        <w:rPr>
          <w:rFonts w:ascii="Times New Roman" w:hAnsi="Times New Roman" w:cs="Times New Roman"/>
          <w:bCs w:val="0"/>
        </w:rPr>
        <w:t xml:space="preserve"> in this case, as FirstEnergy Corp. </w:t>
      </w:r>
      <w:r w:rsidRPr="001D6D5E" w:rsidR="001E5E3B">
        <w:rPr>
          <w:rFonts w:ascii="Times New Roman" w:hAnsi="Times New Roman" w:cs="Times New Roman"/>
          <w:bCs w:val="0"/>
        </w:rPr>
        <w:t xml:space="preserve">wrongly </w:t>
      </w:r>
      <w:r w:rsidRPr="001D6D5E">
        <w:rPr>
          <w:rFonts w:ascii="Times New Roman" w:hAnsi="Times New Roman" w:cs="Times New Roman"/>
          <w:bCs w:val="0"/>
        </w:rPr>
        <w:t>asserts.</w:t>
      </w:r>
      <w:bookmarkEnd w:id="4"/>
    </w:p>
    <w:p w:rsidR="00766D5C" w:rsidRPr="001D6D5E" w:rsidP="005D2D59" w14:paraId="563133BF" w14:textId="381A0D1D">
      <w:pPr>
        <w:spacing w:line="480" w:lineRule="auto"/>
        <w:ind w:firstLine="720"/>
        <w:rPr>
          <w:szCs w:val="24"/>
        </w:rPr>
      </w:pPr>
      <w:r w:rsidRPr="001D6D5E">
        <w:rPr>
          <w:szCs w:val="24"/>
        </w:rPr>
        <w:t>FirstEnergy Corp. asserts that the subpoena signed by the Attorney Examiner is “</w:t>
      </w:r>
      <w:r w:rsidRPr="001D6D5E" w:rsidR="00482063">
        <w:rPr>
          <w:szCs w:val="24"/>
        </w:rPr>
        <w:t>procedurally improper</w:t>
      </w:r>
      <w:r w:rsidRPr="001D6D5E">
        <w:rPr>
          <w:szCs w:val="24"/>
        </w:rPr>
        <w:t>” because discovery is closed.</w:t>
      </w:r>
      <w:r>
        <w:rPr>
          <w:rStyle w:val="FootnoteReference"/>
          <w:szCs w:val="24"/>
        </w:rPr>
        <w:footnoteReference w:id="28"/>
      </w:r>
      <w:r w:rsidRPr="001D6D5E" w:rsidR="005D2D59">
        <w:rPr>
          <w:szCs w:val="24"/>
        </w:rPr>
        <w:t xml:space="preserve"> </w:t>
      </w:r>
      <w:r w:rsidRPr="001D6D5E">
        <w:rPr>
          <w:szCs w:val="24"/>
        </w:rPr>
        <w:t>FirstEnergy Corp.’s effort to prevent OCC’s fact-finding is, once again, wrong.</w:t>
      </w:r>
    </w:p>
    <w:p w:rsidR="00D4204F" w:rsidRPr="001D6D5E" w:rsidP="00F1082F" w14:paraId="7744C2FF" w14:textId="6864964E">
      <w:pPr>
        <w:spacing w:line="480" w:lineRule="auto"/>
        <w:ind w:firstLine="720"/>
        <w:rPr>
          <w:szCs w:val="24"/>
        </w:rPr>
      </w:pPr>
      <w:r w:rsidRPr="001D6D5E">
        <w:rPr>
          <w:szCs w:val="24"/>
        </w:rPr>
        <w:t xml:space="preserve"> FirstEnergy Corp. </w:t>
      </w:r>
      <w:r w:rsidRPr="001D6D5E" w:rsidR="00B31D9B">
        <w:rPr>
          <w:szCs w:val="24"/>
        </w:rPr>
        <w:t>ignores</w:t>
      </w:r>
      <w:r w:rsidRPr="001D6D5E">
        <w:rPr>
          <w:szCs w:val="24"/>
        </w:rPr>
        <w:t xml:space="preserve"> that </w:t>
      </w:r>
      <w:r w:rsidRPr="001D6D5E">
        <w:rPr>
          <w:szCs w:val="24"/>
        </w:rPr>
        <w:t xml:space="preserve">in </w:t>
      </w:r>
      <w:r w:rsidRPr="001D6D5E">
        <w:rPr>
          <w:szCs w:val="24"/>
        </w:rPr>
        <w:t xml:space="preserve">the </w:t>
      </w:r>
      <w:r w:rsidRPr="001D6D5E">
        <w:rPr>
          <w:szCs w:val="24"/>
        </w:rPr>
        <w:t xml:space="preserve">very </w:t>
      </w:r>
      <w:r w:rsidRPr="001D6D5E">
        <w:rPr>
          <w:szCs w:val="24"/>
        </w:rPr>
        <w:t xml:space="preserve">Entries which set a discovery cut-off, the </w:t>
      </w:r>
      <w:r w:rsidRPr="001D6D5E" w:rsidR="004A188B">
        <w:rPr>
          <w:szCs w:val="24"/>
        </w:rPr>
        <w:t xml:space="preserve">Attorney Examiner </w:t>
      </w:r>
      <w:r w:rsidRPr="001D6D5E">
        <w:rPr>
          <w:szCs w:val="24"/>
        </w:rPr>
        <w:t xml:space="preserve">expressly exempted </w:t>
      </w:r>
      <w:r w:rsidRPr="001D6D5E">
        <w:rPr>
          <w:szCs w:val="24"/>
        </w:rPr>
        <w:t>depositions.</w:t>
      </w:r>
      <w:r>
        <w:rPr>
          <w:rStyle w:val="FootnoteReference"/>
          <w:szCs w:val="24"/>
        </w:rPr>
        <w:footnoteReference w:id="29"/>
      </w:r>
      <w:r w:rsidRPr="001D6D5E" w:rsidR="006642A5">
        <w:rPr>
          <w:szCs w:val="24"/>
        </w:rPr>
        <w:t xml:space="preserve"> </w:t>
      </w:r>
      <w:r w:rsidRPr="001D6D5E" w:rsidR="00215F28">
        <w:rPr>
          <w:szCs w:val="24"/>
        </w:rPr>
        <w:t>The attorney Examiner stated:</w:t>
      </w:r>
      <w:r w:rsidRPr="001D6D5E" w:rsidR="001D0454">
        <w:rPr>
          <w:szCs w:val="24"/>
        </w:rPr>
        <w:t xml:space="preserve"> </w:t>
      </w:r>
      <w:r w:rsidRPr="001D6D5E" w:rsidR="001D0454">
        <w:rPr>
          <w:bCs w:val="0"/>
          <w:szCs w:val="24"/>
        </w:rPr>
        <w:t>“The deadline for the service of discovery, except for notices of deposition, shall be set for November 1, 2021.”</w:t>
      </w:r>
      <w:r>
        <w:rPr>
          <w:rStyle w:val="FootnoteReference"/>
          <w:bCs w:val="0"/>
          <w:szCs w:val="24"/>
        </w:rPr>
        <w:footnoteReference w:id="30"/>
      </w:r>
      <w:r w:rsidRPr="001D6D5E" w:rsidR="000D7227">
        <w:rPr>
          <w:bCs w:val="0"/>
          <w:szCs w:val="24"/>
        </w:rPr>
        <w:t xml:space="preserve"> Depositions were expressly exempted from the </w:t>
      </w:r>
      <w:r w:rsidRPr="001D6D5E" w:rsidR="009F539E">
        <w:rPr>
          <w:bCs w:val="0"/>
          <w:szCs w:val="24"/>
        </w:rPr>
        <w:t xml:space="preserve">discovery </w:t>
      </w:r>
      <w:r w:rsidRPr="001D6D5E" w:rsidR="000D7227">
        <w:rPr>
          <w:bCs w:val="0"/>
          <w:szCs w:val="24"/>
        </w:rPr>
        <w:t>cut-off.</w:t>
      </w:r>
      <w:r w:rsidR="001D6D5E">
        <w:rPr>
          <w:bCs w:val="0"/>
          <w:szCs w:val="24"/>
        </w:rPr>
        <w:t xml:space="preserve"> </w:t>
      </w:r>
      <w:r w:rsidRPr="001D6D5E" w:rsidR="00836E0C">
        <w:rPr>
          <w:bCs w:val="0"/>
          <w:szCs w:val="24"/>
        </w:rPr>
        <w:t>(The discovery cut-off is itself wrong and should be extended as OCC and others have argued elsewhere.)</w:t>
      </w:r>
    </w:p>
    <w:p w:rsidR="006D3E66" w:rsidRPr="001D6D5E" w:rsidP="005D2D59" w14:paraId="0BC301C2" w14:textId="4D3EA134">
      <w:pPr>
        <w:spacing w:line="480" w:lineRule="auto"/>
        <w:ind w:firstLine="720"/>
        <w:rPr>
          <w:szCs w:val="24"/>
        </w:rPr>
      </w:pPr>
      <w:r w:rsidRPr="001D6D5E">
        <w:rPr>
          <w:szCs w:val="24"/>
        </w:rPr>
        <w:t>Further, d</w:t>
      </w:r>
      <w:r w:rsidRPr="001D6D5E" w:rsidR="00957115">
        <w:rPr>
          <w:szCs w:val="24"/>
        </w:rPr>
        <w:t>epositions of non-party deponents can be conducted</w:t>
      </w:r>
      <w:r w:rsidRPr="001D6D5E" w:rsidR="006E10AC">
        <w:rPr>
          <w:szCs w:val="24"/>
        </w:rPr>
        <w:t xml:space="preserve">, with attendance compelled </w:t>
      </w:r>
      <w:r w:rsidRPr="001D6D5E" w:rsidR="00957115">
        <w:rPr>
          <w:szCs w:val="24"/>
        </w:rPr>
        <w:t>through subpoenas.</w:t>
      </w:r>
      <w:r w:rsidRPr="001D6D5E" w:rsidR="00B16F43">
        <w:rPr>
          <w:szCs w:val="24"/>
        </w:rPr>
        <w:t xml:space="preserve"> </w:t>
      </w:r>
      <w:r w:rsidRPr="001D6D5E" w:rsidR="00957115">
        <w:rPr>
          <w:szCs w:val="24"/>
        </w:rPr>
        <w:t>O.A.C. 4901-1-25(A) allows the PUCO (and those acting on its behalf) to issue a subpoena to compel a person to give testimony at a time and place specified and command such person to produce “books, papers, documents, or other tangible things.”</w:t>
      </w:r>
      <w:r w:rsidRPr="001D6D5E" w:rsidR="00B16F43">
        <w:rPr>
          <w:szCs w:val="24"/>
        </w:rPr>
        <w:t xml:space="preserve"> </w:t>
      </w:r>
      <w:r w:rsidRPr="001D6D5E" w:rsidR="00F1441D">
        <w:rPr>
          <w:szCs w:val="24"/>
        </w:rPr>
        <w:t>O.A.C. 4901-1-25(D</w:t>
      </w:r>
      <w:r w:rsidRPr="001D6D5E" w:rsidR="004A188B">
        <w:rPr>
          <w:szCs w:val="24"/>
        </w:rPr>
        <w:t>) allows</w:t>
      </w:r>
      <w:r w:rsidRPr="001D6D5E" w:rsidR="00F1441D">
        <w:rPr>
          <w:szCs w:val="24"/>
        </w:rPr>
        <w:t xml:space="preserve"> parties to subpoena a person to attend and give testimony at a deposition, </w:t>
      </w:r>
      <w:r w:rsidRPr="001D6D5E" w:rsidR="00F1441D">
        <w:rPr>
          <w:i/>
          <w:iCs/>
          <w:szCs w:val="24"/>
        </w:rPr>
        <w:t>an</w:t>
      </w:r>
      <w:r w:rsidRPr="001D6D5E" w:rsidR="004A188B">
        <w:rPr>
          <w:i/>
          <w:iCs/>
          <w:szCs w:val="24"/>
        </w:rPr>
        <w:t>d “to produce designated books, papers, document</w:t>
      </w:r>
      <w:r w:rsidRPr="001D6D5E" w:rsidR="00B758D0">
        <w:rPr>
          <w:i/>
          <w:iCs/>
          <w:szCs w:val="24"/>
        </w:rPr>
        <w:t>s</w:t>
      </w:r>
      <w:r w:rsidRPr="001D6D5E" w:rsidR="004A188B">
        <w:rPr>
          <w:i/>
          <w:iCs/>
          <w:szCs w:val="24"/>
        </w:rPr>
        <w:t xml:space="preserve">, or other tangible things within the scope of discovery.” </w:t>
      </w:r>
      <w:r w:rsidRPr="001D6D5E" w:rsidR="00C241DA">
        <w:rPr>
          <w:szCs w:val="24"/>
        </w:rPr>
        <w:t>That is just what OCC</w:t>
      </w:r>
      <w:r w:rsidRPr="001D6D5E" w:rsidR="0082469B">
        <w:rPr>
          <w:szCs w:val="24"/>
        </w:rPr>
        <w:t xml:space="preserve"> </w:t>
      </w:r>
      <w:r w:rsidRPr="001D6D5E" w:rsidR="00C241DA">
        <w:rPr>
          <w:szCs w:val="24"/>
        </w:rPr>
        <w:t xml:space="preserve">has done, consistent with the Entries allowing depositions to go forward, despite a discovery cut-off. </w:t>
      </w:r>
    </w:p>
    <w:p w:rsidR="0082469B" w:rsidRPr="001D6D5E" w:rsidP="0082469B" w14:paraId="11508198" w14:textId="262AEF09">
      <w:pPr>
        <w:spacing w:line="480" w:lineRule="auto"/>
        <w:ind w:firstLine="720"/>
        <w:rPr>
          <w:szCs w:val="24"/>
        </w:rPr>
      </w:pPr>
      <w:r w:rsidRPr="001D6D5E">
        <w:rPr>
          <w:szCs w:val="24"/>
        </w:rPr>
        <w:t>The Attorney Examiner did not rule that parties could not exercise their right to ask for documents to be produced at depositions. Nor did FirstEnergy Corp. or the FirstEnergy Utilities seek clarification of the Examiner</w:t>
      </w:r>
      <w:r w:rsidRPr="001D6D5E" w:rsidR="00480443">
        <w:rPr>
          <w:szCs w:val="24"/>
        </w:rPr>
        <w:t>’</w:t>
      </w:r>
      <w:r w:rsidRPr="001D6D5E">
        <w:rPr>
          <w:szCs w:val="24"/>
        </w:rPr>
        <w:t>s ruling.</w:t>
      </w:r>
      <w:r w:rsidRPr="001D6D5E" w:rsidR="00B16F43">
        <w:rPr>
          <w:szCs w:val="24"/>
        </w:rPr>
        <w:t xml:space="preserve"> </w:t>
      </w:r>
      <w:r w:rsidRPr="001D6D5E" w:rsidR="006642A5">
        <w:rPr>
          <w:szCs w:val="24"/>
        </w:rPr>
        <w:t>Unfortunately for consumers, OCC does not have subpoena power (</w:t>
      </w:r>
      <w:r w:rsidRPr="001D6D5E" w:rsidR="00836E0C">
        <w:rPr>
          <w:szCs w:val="24"/>
        </w:rPr>
        <w:t xml:space="preserve">and </w:t>
      </w:r>
      <w:r w:rsidRPr="001D6D5E" w:rsidR="006642A5">
        <w:rPr>
          <w:szCs w:val="24"/>
        </w:rPr>
        <w:t>the General Assembly should change that).</w:t>
      </w:r>
      <w:r w:rsidRPr="001D6D5E" w:rsidR="005D2D59">
        <w:rPr>
          <w:szCs w:val="24"/>
        </w:rPr>
        <w:t xml:space="preserve"> </w:t>
      </w:r>
      <w:r w:rsidRPr="001D6D5E" w:rsidR="00836E0C">
        <w:rPr>
          <w:szCs w:val="24"/>
        </w:rPr>
        <w:t>OCC</w:t>
      </w:r>
      <w:r w:rsidRPr="001D6D5E" w:rsidR="006642A5">
        <w:rPr>
          <w:szCs w:val="24"/>
        </w:rPr>
        <w:t xml:space="preserve"> must first </w:t>
      </w:r>
      <w:r w:rsidRPr="001D6D5E" w:rsidR="00836E0C">
        <w:rPr>
          <w:szCs w:val="24"/>
        </w:rPr>
        <w:t xml:space="preserve">ask the </w:t>
      </w:r>
      <w:r w:rsidRPr="001D6D5E" w:rsidR="006642A5">
        <w:rPr>
          <w:szCs w:val="24"/>
        </w:rPr>
        <w:t>PUCO</w:t>
      </w:r>
      <w:r w:rsidRPr="001D6D5E" w:rsidR="00836E0C">
        <w:rPr>
          <w:szCs w:val="24"/>
        </w:rPr>
        <w:t xml:space="preserve"> </w:t>
      </w:r>
      <w:r w:rsidRPr="001D6D5E" w:rsidR="006642A5">
        <w:rPr>
          <w:szCs w:val="24"/>
        </w:rPr>
        <w:t>to issue a subpoena.</w:t>
      </w:r>
    </w:p>
    <w:p w:rsidR="006E10AC" w:rsidRPr="001D6D5E" w:rsidP="00F77F9F" w14:paraId="2E404C43" w14:textId="3A61F771">
      <w:pPr>
        <w:spacing w:line="480" w:lineRule="auto"/>
        <w:ind w:firstLine="720"/>
        <w:rPr>
          <w:szCs w:val="24"/>
        </w:rPr>
      </w:pPr>
      <w:r w:rsidRPr="001D6D5E">
        <w:rPr>
          <w:szCs w:val="24"/>
        </w:rPr>
        <w:t>FirstEnergy</w:t>
      </w:r>
      <w:r w:rsidRPr="001D6D5E" w:rsidR="00482063">
        <w:rPr>
          <w:szCs w:val="24"/>
        </w:rPr>
        <w:t xml:space="preserve"> Corp.</w:t>
      </w:r>
      <w:r w:rsidRPr="001D6D5E">
        <w:rPr>
          <w:szCs w:val="24"/>
        </w:rPr>
        <w:t xml:space="preserve"> cites to several proceedings where the PUCO granted motions to quash the production of documents under a deposition subpoena.</w:t>
      </w:r>
      <w:r>
        <w:rPr>
          <w:rStyle w:val="FootnoteReference"/>
          <w:szCs w:val="24"/>
        </w:rPr>
        <w:footnoteReference w:id="31"/>
      </w:r>
      <w:r w:rsidRPr="001D6D5E" w:rsidR="00B16F43">
        <w:rPr>
          <w:szCs w:val="24"/>
        </w:rPr>
        <w:t xml:space="preserve"> </w:t>
      </w:r>
      <w:r w:rsidRPr="001D6D5E">
        <w:rPr>
          <w:szCs w:val="24"/>
        </w:rPr>
        <w:t xml:space="preserve">Those cases, however, did not involve the </w:t>
      </w:r>
      <w:r w:rsidRPr="001D6D5E" w:rsidR="00624790">
        <w:rPr>
          <w:szCs w:val="24"/>
        </w:rPr>
        <w:t>truly unique circumstances that surround the PUCO’s FirstEnergy investigation cases concerning FirstEnergy’s H.B. 6 activities</w:t>
      </w:r>
      <w:r w:rsidRPr="001D6D5E" w:rsidR="00480443">
        <w:rPr>
          <w:szCs w:val="24"/>
        </w:rPr>
        <w:t>.</w:t>
      </w:r>
      <w:r w:rsidRPr="001D6D5E" w:rsidR="00B16F43">
        <w:rPr>
          <w:szCs w:val="24"/>
        </w:rPr>
        <w:t xml:space="preserve"> </w:t>
      </w:r>
      <w:r w:rsidRPr="001D6D5E" w:rsidR="00480443">
        <w:rPr>
          <w:szCs w:val="24"/>
        </w:rPr>
        <w:t xml:space="preserve">These cases </w:t>
      </w:r>
      <w:r w:rsidRPr="001D6D5E" w:rsidR="00624790">
        <w:rPr>
          <w:szCs w:val="24"/>
        </w:rPr>
        <w:t xml:space="preserve">stem from </w:t>
      </w:r>
      <w:r w:rsidRPr="001D6D5E" w:rsidR="00480443">
        <w:rPr>
          <w:szCs w:val="24"/>
        </w:rPr>
        <w:t xml:space="preserve">what has been described as </w:t>
      </w:r>
      <w:r w:rsidRPr="001D6D5E" w:rsidR="00624790">
        <w:rPr>
          <w:szCs w:val="24"/>
        </w:rPr>
        <w:t>“likely the largest bribery, money laundering scheme ever perpetrated against the people of the state of Ohio.”</w:t>
      </w:r>
      <w:r w:rsidRPr="001D6D5E" w:rsidR="00B16F43">
        <w:rPr>
          <w:szCs w:val="24"/>
        </w:rPr>
        <w:t xml:space="preserve"> </w:t>
      </w:r>
      <w:r w:rsidRPr="001D6D5E" w:rsidR="00624790">
        <w:rPr>
          <w:szCs w:val="24"/>
        </w:rPr>
        <w:t>FirstEnergy Corp., the entity seeking to shut down OCC’s fact</w:t>
      </w:r>
      <w:r w:rsidRPr="001D6D5E" w:rsidR="003A2641">
        <w:rPr>
          <w:szCs w:val="24"/>
        </w:rPr>
        <w:t>-</w:t>
      </w:r>
      <w:r w:rsidRPr="001D6D5E" w:rsidR="00624790">
        <w:rPr>
          <w:szCs w:val="24"/>
        </w:rPr>
        <w:t>finding, stands charged with a federal crime—a crime which it has admitted.</w:t>
      </w:r>
      <w:r>
        <w:rPr>
          <w:rStyle w:val="FootnoteReference"/>
          <w:szCs w:val="24"/>
        </w:rPr>
        <w:footnoteReference w:id="32"/>
      </w:r>
      <w:r w:rsidRPr="001D6D5E" w:rsidR="00B16F43">
        <w:rPr>
          <w:szCs w:val="24"/>
        </w:rPr>
        <w:t xml:space="preserve"> </w:t>
      </w:r>
    </w:p>
    <w:p w:rsidR="009869B7" w:rsidRPr="001D6D5E" w:rsidP="0082469B" w14:paraId="4B64C39E" w14:textId="2311BA09">
      <w:pPr>
        <w:spacing w:line="480" w:lineRule="auto"/>
        <w:ind w:firstLine="720"/>
        <w:rPr>
          <w:szCs w:val="24"/>
        </w:rPr>
      </w:pPr>
      <w:r w:rsidRPr="001D6D5E">
        <w:rPr>
          <w:szCs w:val="24"/>
        </w:rPr>
        <w:t>The Motion to Quash should be denied</w:t>
      </w:r>
      <w:r w:rsidRPr="001D6D5E" w:rsidR="005A05D0">
        <w:rPr>
          <w:szCs w:val="24"/>
        </w:rPr>
        <w:t>.</w:t>
      </w:r>
    </w:p>
    <w:p w:rsidR="00D35CD5" w:rsidRPr="001D6D5E" w:rsidP="00D35CD5" w14:paraId="7186B67E" w14:textId="77777777">
      <w:pPr>
        <w:ind w:firstLine="720"/>
        <w:rPr>
          <w:szCs w:val="24"/>
        </w:rPr>
      </w:pPr>
    </w:p>
    <w:p w:rsidR="009869B7" w:rsidRPr="001D6D5E" w:rsidP="00703740" w14:paraId="5B867648" w14:textId="55B35048">
      <w:pPr>
        <w:pStyle w:val="Heading1"/>
        <w:rPr>
          <w:rFonts w:ascii="Times New Roman" w:hAnsi="Times New Roman" w:cs="Times New Roman"/>
          <w:bCs w:val="0"/>
          <w:szCs w:val="24"/>
        </w:rPr>
      </w:pPr>
      <w:bookmarkStart w:id="5" w:name="_Toc101451873"/>
      <w:r w:rsidRPr="001D6D5E">
        <w:rPr>
          <w:rFonts w:ascii="Times New Roman" w:hAnsi="Times New Roman" w:cs="Times New Roman"/>
          <w:bCs w:val="0"/>
          <w:szCs w:val="24"/>
        </w:rPr>
        <w:t>III.</w:t>
      </w:r>
      <w:r w:rsidRPr="001D6D5E">
        <w:rPr>
          <w:rFonts w:ascii="Times New Roman" w:hAnsi="Times New Roman" w:cs="Times New Roman"/>
          <w:bCs w:val="0"/>
          <w:szCs w:val="24"/>
        </w:rPr>
        <w:tab/>
        <w:t>Conclusion</w:t>
      </w:r>
      <w:bookmarkEnd w:id="5"/>
      <w:r w:rsidRPr="001D6D5E" w:rsidR="006642A5">
        <w:rPr>
          <w:rFonts w:ascii="Times New Roman" w:hAnsi="Times New Roman" w:cs="Times New Roman"/>
          <w:bCs w:val="0"/>
          <w:szCs w:val="24"/>
        </w:rPr>
        <w:t xml:space="preserve"> </w:t>
      </w:r>
    </w:p>
    <w:p w:rsidR="00F77F9F" w:rsidRPr="001D6D5E" w:rsidP="005D2D59" w14:paraId="79C1A916" w14:textId="7F231228">
      <w:pPr>
        <w:pStyle w:val="NormalWeb"/>
        <w:shd w:val="clear" w:color="auto" w:fill="FFFFFF"/>
        <w:spacing w:before="0" w:beforeAutospacing="0" w:after="0" w:afterAutospacing="0" w:line="480" w:lineRule="auto"/>
        <w:ind w:firstLine="720"/>
        <w:textAlignment w:val="baseline"/>
      </w:pPr>
      <w:r w:rsidRPr="001D6D5E">
        <w:t>The PUCO’s Attorney Examiner signed OCC’s subpoena</w:t>
      </w:r>
      <w:r w:rsidRPr="001D6D5E" w:rsidR="00C649BA">
        <w:t>, which is part of</w:t>
      </w:r>
      <w:r w:rsidRPr="001D6D5E">
        <w:t xml:space="preserve"> giving Ohioans the benefit of a full investigation of FirstEnergy’s corporate separation plan, including issues involving the FirstEnergy scandals. The PUCO must consider whether the plan satisfies the public interest</w:t>
      </w:r>
      <w:r w:rsidRPr="001D6D5E" w:rsidR="00C649BA">
        <w:t>. And the PUCO must consider whether the plan</w:t>
      </w:r>
      <w:r w:rsidRPr="001D6D5E">
        <w:t xml:space="preserve"> is sufficient to ensure the FirstEnergy Ohio Utilities do not extend undue preference or advantage to FirstEnergy affiliates, to the detriment of Ohio consumers. </w:t>
      </w:r>
    </w:p>
    <w:p w:rsidR="009869B7" w:rsidRPr="001D6D5E" w:rsidP="00D35CD5" w14:paraId="339EF9AB" w14:textId="1BF89733">
      <w:pPr>
        <w:pStyle w:val="NormalWeb"/>
        <w:shd w:val="clear" w:color="auto" w:fill="FFFFFF"/>
        <w:spacing w:before="0" w:beforeAutospacing="0" w:after="0" w:afterAutospacing="0" w:line="480" w:lineRule="auto"/>
        <w:ind w:firstLine="720"/>
        <w:textAlignment w:val="baseline"/>
      </w:pPr>
      <w:r w:rsidRPr="001D6D5E">
        <w:t xml:space="preserve">The </w:t>
      </w:r>
      <w:r w:rsidRPr="001D6D5E" w:rsidR="00B26BE0">
        <w:t xml:space="preserve">testimony and </w:t>
      </w:r>
      <w:r w:rsidRPr="001D6D5E">
        <w:t xml:space="preserve">documents subpoenaed from </w:t>
      </w:r>
      <w:r w:rsidRPr="001D6D5E" w:rsidR="00D17631">
        <w:t>FirstEnergy Corp.</w:t>
      </w:r>
      <w:r w:rsidRPr="001D6D5E">
        <w:t xml:space="preserve"> </w:t>
      </w:r>
      <w:r w:rsidRPr="001D6D5E" w:rsidR="00C649BA">
        <w:t>are discoverable under law and the Ohio Administrative Code.</w:t>
      </w:r>
      <w:r w:rsidRPr="001D6D5E">
        <w:t xml:space="preserve"> </w:t>
      </w:r>
      <w:r w:rsidRPr="001D6D5E" w:rsidR="00C649BA">
        <w:t xml:space="preserve">FirstEnergy’s </w:t>
      </w:r>
      <w:r w:rsidRPr="001D6D5E">
        <w:t>Motion to Quash should be denied</w:t>
      </w:r>
      <w:r w:rsidR="00823E0A">
        <w:t>.</w:t>
      </w:r>
    </w:p>
    <w:p w:rsidR="00823E0A" w14:paraId="1CAC04BA" w14:textId="77777777">
      <w:pPr>
        <w:rPr>
          <w:szCs w:val="24"/>
        </w:rPr>
      </w:pPr>
      <w:r>
        <w:rPr>
          <w:szCs w:val="24"/>
        </w:rPr>
        <w:br w:type="page"/>
      </w:r>
    </w:p>
    <w:p w:rsidR="000D18C7" w:rsidRPr="001D6D5E" w:rsidP="001A7D6F" w14:paraId="25824F0C" w14:textId="2ACD2FB5">
      <w:pPr>
        <w:pStyle w:val="ListParagraph"/>
        <w:spacing w:line="480" w:lineRule="auto"/>
        <w:ind w:left="4320"/>
        <w:rPr>
          <w:szCs w:val="24"/>
        </w:rPr>
      </w:pPr>
      <w:r w:rsidRPr="001D6D5E">
        <w:rPr>
          <w:szCs w:val="24"/>
        </w:rPr>
        <w:t>Respectfully submitted,</w:t>
      </w:r>
    </w:p>
    <w:p w:rsidR="000D18C7" w:rsidRPr="001D6D5E" w:rsidP="005D2D59" w14:paraId="131F541B" w14:textId="77777777">
      <w:pPr>
        <w:pStyle w:val="Footer"/>
        <w:tabs>
          <w:tab w:val="left" w:pos="4320"/>
        </w:tabs>
        <w:ind w:left="4320"/>
        <w:rPr>
          <w:szCs w:val="24"/>
        </w:rPr>
      </w:pPr>
      <w:r w:rsidRPr="001D6D5E">
        <w:rPr>
          <w:szCs w:val="24"/>
        </w:rPr>
        <w:t>Bruce Weston (0016973)</w:t>
      </w:r>
    </w:p>
    <w:p w:rsidR="000D18C7" w:rsidRPr="001D6D5E" w:rsidP="005D2D59" w14:paraId="33EA53FF" w14:textId="77777777">
      <w:pPr>
        <w:tabs>
          <w:tab w:val="left" w:pos="4320"/>
        </w:tabs>
        <w:ind w:left="4320"/>
        <w:rPr>
          <w:szCs w:val="24"/>
        </w:rPr>
      </w:pPr>
      <w:r w:rsidRPr="001D6D5E">
        <w:rPr>
          <w:szCs w:val="24"/>
        </w:rPr>
        <w:t>Ohio Consumers’ Counsel</w:t>
      </w:r>
    </w:p>
    <w:p w:rsidR="000D18C7" w:rsidRPr="001D6D5E" w:rsidP="005D2D59" w14:paraId="3FA51C5A" w14:textId="77777777">
      <w:pPr>
        <w:pStyle w:val="ListParagraph"/>
        <w:tabs>
          <w:tab w:val="left" w:pos="4320"/>
        </w:tabs>
        <w:ind w:left="3600"/>
        <w:rPr>
          <w:szCs w:val="24"/>
        </w:rPr>
      </w:pPr>
      <w:r w:rsidRPr="001D6D5E">
        <w:rPr>
          <w:szCs w:val="24"/>
        </w:rPr>
        <w:tab/>
      </w:r>
    </w:p>
    <w:p w:rsidR="001930AB" w:rsidRPr="001D6D5E" w:rsidP="005D2D59" w14:paraId="3C3D83CF" w14:textId="77777777">
      <w:pPr>
        <w:pStyle w:val="ListParagraph"/>
        <w:tabs>
          <w:tab w:val="left" w:pos="4320"/>
        </w:tabs>
        <w:ind w:left="3600"/>
        <w:rPr>
          <w:i/>
          <w:iCs/>
          <w:szCs w:val="24"/>
          <w:u w:val="single"/>
        </w:rPr>
      </w:pPr>
      <w:r w:rsidRPr="001D6D5E">
        <w:rPr>
          <w:i/>
          <w:iCs/>
          <w:szCs w:val="24"/>
        </w:rPr>
        <w:tab/>
      </w:r>
      <w:r w:rsidRPr="001D6D5E">
        <w:rPr>
          <w:i/>
          <w:iCs/>
          <w:szCs w:val="24"/>
          <w:u w:val="single"/>
        </w:rPr>
        <w:t xml:space="preserve">/s/ </w:t>
      </w:r>
      <w:r w:rsidRPr="001D6D5E" w:rsidR="00304F7E">
        <w:rPr>
          <w:i/>
          <w:iCs/>
          <w:szCs w:val="24"/>
          <w:u w:val="single"/>
        </w:rPr>
        <w:t>Maureen R. Willis</w:t>
      </w:r>
      <w:r w:rsidRPr="001D6D5E" w:rsidR="004E69A3">
        <w:rPr>
          <w:i/>
          <w:iCs/>
          <w:szCs w:val="24"/>
          <w:u w:val="single"/>
        </w:rPr>
        <w:tab/>
      </w:r>
      <w:r w:rsidRPr="001D6D5E" w:rsidR="004E69A3">
        <w:rPr>
          <w:i/>
          <w:iCs/>
          <w:szCs w:val="24"/>
          <w:u w:val="single"/>
        </w:rPr>
        <w:tab/>
      </w:r>
    </w:p>
    <w:p w:rsidR="001930AB" w:rsidRPr="001D6D5E" w:rsidP="005D2D59" w14:paraId="1EF6713F" w14:textId="77777777">
      <w:pPr>
        <w:pStyle w:val="ListParagraph"/>
        <w:tabs>
          <w:tab w:val="left" w:pos="4320"/>
        </w:tabs>
        <w:ind w:left="4320"/>
        <w:rPr>
          <w:szCs w:val="24"/>
        </w:rPr>
      </w:pPr>
      <w:r w:rsidRPr="001D6D5E">
        <w:rPr>
          <w:szCs w:val="24"/>
        </w:rPr>
        <w:t>Maureen R. Willis (0020847)</w:t>
      </w:r>
    </w:p>
    <w:p w:rsidR="001930AB" w:rsidRPr="001D6D5E" w:rsidP="005D2D59" w14:paraId="6F633794" w14:textId="77777777">
      <w:pPr>
        <w:pStyle w:val="ListParagraph"/>
        <w:tabs>
          <w:tab w:val="left" w:pos="4320"/>
        </w:tabs>
        <w:ind w:left="4320"/>
        <w:rPr>
          <w:szCs w:val="24"/>
        </w:rPr>
      </w:pPr>
      <w:r w:rsidRPr="001D6D5E">
        <w:rPr>
          <w:szCs w:val="24"/>
        </w:rPr>
        <w:t>Counsel of Record</w:t>
      </w:r>
    </w:p>
    <w:p w:rsidR="001930AB" w:rsidRPr="001D6D5E" w:rsidP="005D2D59" w14:paraId="4C5823B9" w14:textId="77777777">
      <w:pPr>
        <w:pStyle w:val="ListParagraph"/>
        <w:tabs>
          <w:tab w:val="left" w:pos="4320"/>
        </w:tabs>
        <w:ind w:left="4320"/>
        <w:rPr>
          <w:szCs w:val="24"/>
        </w:rPr>
      </w:pPr>
      <w:r w:rsidRPr="001D6D5E">
        <w:rPr>
          <w:szCs w:val="24"/>
        </w:rPr>
        <w:t>John Finnigan (0018689)</w:t>
      </w:r>
      <w:r w:rsidRPr="001D6D5E">
        <w:rPr>
          <w:szCs w:val="24"/>
        </w:rPr>
        <w:br/>
        <w:t>Assistant Consumers’ Counsel</w:t>
      </w:r>
    </w:p>
    <w:p w:rsidR="001930AB" w:rsidRPr="001D6D5E" w:rsidP="005D2D59" w14:paraId="6C5F4CE4" w14:textId="77777777">
      <w:pPr>
        <w:pStyle w:val="ListParagraph"/>
        <w:tabs>
          <w:tab w:val="left" w:pos="4320"/>
        </w:tabs>
        <w:ind w:left="4320"/>
        <w:rPr>
          <w:szCs w:val="24"/>
        </w:rPr>
      </w:pPr>
    </w:p>
    <w:p w:rsidR="001930AB" w:rsidRPr="001D6D5E" w:rsidP="005D2D59" w14:paraId="1F15BB1F" w14:textId="77777777">
      <w:pPr>
        <w:pStyle w:val="ListParagraph"/>
        <w:tabs>
          <w:tab w:val="left" w:pos="4320"/>
        </w:tabs>
        <w:ind w:left="4320"/>
        <w:rPr>
          <w:b/>
          <w:bCs w:val="0"/>
          <w:szCs w:val="24"/>
        </w:rPr>
      </w:pPr>
      <w:r w:rsidRPr="001D6D5E">
        <w:rPr>
          <w:b/>
          <w:szCs w:val="24"/>
        </w:rPr>
        <w:t>Office of the Ohio Consumers’ Counsel</w:t>
      </w:r>
    </w:p>
    <w:p w:rsidR="001930AB" w:rsidRPr="001D6D5E" w:rsidP="005D2D59" w14:paraId="1FB84425" w14:textId="77777777">
      <w:pPr>
        <w:ind w:left="4320"/>
        <w:rPr>
          <w:szCs w:val="24"/>
        </w:rPr>
      </w:pPr>
      <w:r w:rsidRPr="001D6D5E">
        <w:rPr>
          <w:szCs w:val="24"/>
        </w:rPr>
        <w:t xml:space="preserve">65 East State Street, </w:t>
      </w:r>
      <w:r w:rsidRPr="001D6D5E" w:rsidR="00FE0DA0">
        <w:rPr>
          <w:szCs w:val="24"/>
        </w:rPr>
        <w:t>Suite 700</w:t>
      </w:r>
    </w:p>
    <w:p w:rsidR="001930AB" w:rsidRPr="001D6D5E" w:rsidP="005D2D59" w14:paraId="7B1AF589" w14:textId="77777777">
      <w:pPr>
        <w:ind w:left="4320"/>
        <w:rPr>
          <w:szCs w:val="24"/>
        </w:rPr>
      </w:pPr>
      <w:r w:rsidRPr="001D6D5E">
        <w:rPr>
          <w:szCs w:val="24"/>
        </w:rPr>
        <w:t>Columbus, Ohio 43215</w:t>
      </w:r>
    </w:p>
    <w:p w:rsidR="001930AB" w:rsidRPr="001D6D5E" w:rsidP="005D2D59" w14:paraId="544A8E84" w14:textId="77777777">
      <w:pPr>
        <w:autoSpaceDE w:val="0"/>
        <w:autoSpaceDN w:val="0"/>
        <w:adjustRightInd w:val="0"/>
        <w:ind w:left="3600" w:firstLine="720"/>
        <w:rPr>
          <w:szCs w:val="24"/>
        </w:rPr>
      </w:pPr>
      <w:r w:rsidRPr="001D6D5E">
        <w:rPr>
          <w:szCs w:val="24"/>
        </w:rPr>
        <w:t>Telephone [Willis]: (614) 466-9567</w:t>
      </w:r>
    </w:p>
    <w:p w:rsidR="001930AB" w:rsidRPr="001D6D5E" w:rsidP="005D2D59" w14:paraId="4B4A40A2" w14:textId="77777777">
      <w:pPr>
        <w:pStyle w:val="ListParagraph"/>
        <w:autoSpaceDE w:val="0"/>
        <w:autoSpaceDN w:val="0"/>
        <w:adjustRightInd w:val="0"/>
        <w:ind w:left="3600" w:firstLine="720"/>
        <w:rPr>
          <w:szCs w:val="24"/>
        </w:rPr>
      </w:pPr>
      <w:r w:rsidRPr="001D6D5E">
        <w:rPr>
          <w:szCs w:val="24"/>
        </w:rPr>
        <w:t>Telephone [Finnigan]: (614) 466-9585</w:t>
      </w:r>
    </w:p>
    <w:p w:rsidR="001930AB" w:rsidRPr="001D6D5E" w:rsidP="005D2D59" w14:paraId="7A9E6927" w14:textId="77777777">
      <w:pPr>
        <w:pStyle w:val="ListParagraph"/>
        <w:autoSpaceDE w:val="0"/>
        <w:autoSpaceDN w:val="0"/>
        <w:adjustRightInd w:val="0"/>
        <w:ind w:left="0"/>
        <w:rPr>
          <w:color w:val="0000FF"/>
          <w:szCs w:val="24"/>
        </w:rPr>
      </w:pPr>
      <w:r w:rsidRPr="001D6D5E">
        <w:rPr>
          <w:szCs w:val="24"/>
        </w:rPr>
        <w:tab/>
      </w:r>
      <w:r w:rsidRPr="001D6D5E">
        <w:rPr>
          <w:szCs w:val="24"/>
        </w:rPr>
        <w:tab/>
      </w:r>
      <w:r w:rsidRPr="001D6D5E">
        <w:rPr>
          <w:szCs w:val="24"/>
        </w:rPr>
        <w:tab/>
      </w:r>
      <w:r w:rsidRPr="001D6D5E">
        <w:rPr>
          <w:szCs w:val="24"/>
        </w:rPr>
        <w:tab/>
      </w:r>
      <w:r w:rsidRPr="001D6D5E">
        <w:rPr>
          <w:szCs w:val="24"/>
        </w:rPr>
        <w:tab/>
      </w:r>
      <w:r w:rsidRPr="001D6D5E">
        <w:rPr>
          <w:szCs w:val="24"/>
        </w:rPr>
        <w:tab/>
      </w:r>
      <w:hyperlink r:id="rId6" w:history="1">
        <w:r w:rsidRPr="001D6D5E" w:rsidR="00FE0DA0">
          <w:rPr>
            <w:rStyle w:val="Hyperlink"/>
            <w:color w:val="0000FF"/>
            <w:szCs w:val="24"/>
          </w:rPr>
          <w:t>maureen.willis@occ.ohio.gov</w:t>
        </w:r>
      </w:hyperlink>
    </w:p>
    <w:p w:rsidR="001930AB" w:rsidRPr="001D6D5E" w:rsidP="005D2D59" w14:paraId="2A35095C" w14:textId="77777777">
      <w:pPr>
        <w:pStyle w:val="ListParagraph"/>
        <w:autoSpaceDE w:val="0"/>
        <w:autoSpaceDN w:val="0"/>
        <w:adjustRightInd w:val="0"/>
        <w:ind w:left="3600" w:firstLine="720"/>
        <w:rPr>
          <w:rStyle w:val="Hyperlink"/>
          <w:color w:val="0000FF"/>
          <w:szCs w:val="24"/>
        </w:rPr>
      </w:pPr>
      <w:hyperlink r:id="rId7" w:history="1">
        <w:r w:rsidRPr="001D6D5E" w:rsidR="00B91966">
          <w:rPr>
            <w:rStyle w:val="Hyperlink"/>
            <w:color w:val="0000FF"/>
            <w:szCs w:val="24"/>
          </w:rPr>
          <w:t>john.finnigan@occ.ohio.gov</w:t>
        </w:r>
      </w:hyperlink>
    </w:p>
    <w:p w:rsidR="001930AB" w:rsidRPr="001D6D5E" w:rsidP="005D2D59" w14:paraId="4FB4E291" w14:textId="77777777">
      <w:pPr>
        <w:autoSpaceDE w:val="0"/>
        <w:autoSpaceDN w:val="0"/>
        <w:adjustRightInd w:val="0"/>
        <w:rPr>
          <w:rStyle w:val="Hyperlink"/>
          <w:color w:val="auto"/>
          <w:szCs w:val="24"/>
          <w:u w:val="none"/>
        </w:rPr>
      </w:pPr>
      <w:r w:rsidRPr="001D6D5E">
        <w:rPr>
          <w:rStyle w:val="Hyperlink"/>
          <w:color w:val="auto"/>
          <w:szCs w:val="24"/>
          <w:u w:val="none"/>
        </w:rPr>
        <w:tab/>
      </w:r>
      <w:r w:rsidRPr="001D6D5E">
        <w:rPr>
          <w:rStyle w:val="Hyperlink"/>
          <w:color w:val="auto"/>
          <w:szCs w:val="24"/>
          <w:u w:val="none"/>
        </w:rPr>
        <w:tab/>
      </w:r>
      <w:r w:rsidRPr="001D6D5E">
        <w:rPr>
          <w:rStyle w:val="Hyperlink"/>
          <w:color w:val="auto"/>
          <w:szCs w:val="24"/>
          <w:u w:val="none"/>
        </w:rPr>
        <w:tab/>
      </w:r>
      <w:r w:rsidRPr="001D6D5E">
        <w:rPr>
          <w:rStyle w:val="Hyperlink"/>
          <w:color w:val="auto"/>
          <w:szCs w:val="24"/>
          <w:u w:val="none"/>
        </w:rPr>
        <w:tab/>
      </w:r>
      <w:r w:rsidRPr="001D6D5E">
        <w:rPr>
          <w:rStyle w:val="Hyperlink"/>
          <w:color w:val="auto"/>
          <w:szCs w:val="24"/>
          <w:u w:val="none"/>
        </w:rPr>
        <w:tab/>
      </w:r>
      <w:r w:rsidRPr="001D6D5E">
        <w:rPr>
          <w:rStyle w:val="Hyperlink"/>
          <w:color w:val="auto"/>
          <w:szCs w:val="24"/>
          <w:u w:val="none"/>
        </w:rPr>
        <w:tab/>
        <w:t>(willing to accept service by e-mail)</w:t>
      </w:r>
    </w:p>
    <w:p w:rsidR="00322352" w:rsidRPr="001D6D5E" w:rsidP="005D2D59" w14:paraId="19DB8932" w14:textId="77777777">
      <w:pPr>
        <w:pStyle w:val="NormalWeb"/>
        <w:shd w:val="clear" w:color="auto" w:fill="FFFFFF"/>
        <w:spacing w:before="0" w:beforeAutospacing="0" w:after="0" w:afterAutospacing="0" w:line="480" w:lineRule="auto"/>
        <w:textAlignment w:val="baseline"/>
        <w:rPr>
          <w:rFonts w:eastAsiaTheme="minorHAnsi"/>
        </w:rPr>
        <w:sectPr w:rsidSect="00357F44">
          <w:footerReference w:type="default" r:id="rId10"/>
          <w:pgSz w:w="12240" w:h="15840"/>
          <w:pgMar w:top="1440" w:right="1800" w:bottom="1440" w:left="1800" w:header="720" w:footer="720" w:gutter="0"/>
          <w:pgNumType w:start="1"/>
          <w:cols w:space="720"/>
          <w:docGrid w:linePitch="360"/>
        </w:sectPr>
      </w:pPr>
    </w:p>
    <w:p w:rsidR="009030AA" w:rsidRPr="001D6D5E" w:rsidP="005D2D59" w14:paraId="162B0B53" w14:textId="77777777">
      <w:pPr>
        <w:jc w:val="center"/>
        <w:rPr>
          <w:b/>
          <w:bCs w:val="0"/>
          <w:szCs w:val="24"/>
          <w:u w:val="single"/>
        </w:rPr>
      </w:pPr>
      <w:r w:rsidRPr="001D6D5E">
        <w:rPr>
          <w:b/>
          <w:szCs w:val="24"/>
          <w:u w:val="single"/>
        </w:rPr>
        <w:t>CERTIFICATE OF SERVICE</w:t>
      </w:r>
    </w:p>
    <w:p w:rsidR="009030AA" w:rsidRPr="001D6D5E" w:rsidP="005D2D59" w14:paraId="0C5E1F8F" w14:textId="77777777">
      <w:pPr>
        <w:jc w:val="center"/>
        <w:rPr>
          <w:szCs w:val="24"/>
          <w:u w:val="single"/>
        </w:rPr>
      </w:pPr>
    </w:p>
    <w:p w:rsidR="009030AA" w:rsidRPr="001D6D5E" w:rsidP="005D2D59" w14:paraId="11ED7177" w14:textId="1A8F2F4F">
      <w:pPr>
        <w:spacing w:line="480" w:lineRule="auto"/>
        <w:rPr>
          <w:b/>
          <w:bCs w:val="0"/>
          <w:szCs w:val="24"/>
        </w:rPr>
      </w:pPr>
      <w:r w:rsidRPr="001D6D5E">
        <w:rPr>
          <w:szCs w:val="24"/>
        </w:rPr>
        <w:tab/>
        <w:t>I hereby certify that a copy of th</w:t>
      </w:r>
      <w:r w:rsidRPr="001D6D5E" w:rsidR="003379E1">
        <w:rPr>
          <w:szCs w:val="24"/>
        </w:rPr>
        <w:t>is</w:t>
      </w:r>
      <w:r w:rsidRPr="001D6D5E">
        <w:rPr>
          <w:szCs w:val="24"/>
        </w:rPr>
        <w:t xml:space="preserve"> M</w:t>
      </w:r>
      <w:r w:rsidRPr="001D6D5E" w:rsidR="001A7D6F">
        <w:rPr>
          <w:szCs w:val="24"/>
        </w:rPr>
        <w:t>emorandum Contra</w:t>
      </w:r>
      <w:r w:rsidRPr="001D6D5E">
        <w:rPr>
          <w:szCs w:val="24"/>
        </w:rPr>
        <w:t xml:space="preserve"> was served on the persons stated below via electric transmission this</w:t>
      </w:r>
      <w:r w:rsidRPr="001D6D5E" w:rsidR="0094683F">
        <w:rPr>
          <w:szCs w:val="24"/>
        </w:rPr>
        <w:t xml:space="preserve"> </w:t>
      </w:r>
      <w:r w:rsidRPr="001D6D5E" w:rsidR="00077A46">
        <w:rPr>
          <w:szCs w:val="24"/>
        </w:rPr>
        <w:t>21</w:t>
      </w:r>
      <w:r w:rsidRPr="001D6D5E" w:rsidR="00077A46">
        <w:rPr>
          <w:szCs w:val="24"/>
          <w:vertAlign w:val="superscript"/>
        </w:rPr>
        <w:t>st</w:t>
      </w:r>
      <w:r w:rsidRPr="001D6D5E" w:rsidR="00077A46">
        <w:rPr>
          <w:szCs w:val="24"/>
        </w:rPr>
        <w:t xml:space="preserve"> </w:t>
      </w:r>
      <w:r w:rsidRPr="001D6D5E">
        <w:rPr>
          <w:szCs w:val="24"/>
        </w:rPr>
        <w:t xml:space="preserve">day of </w:t>
      </w:r>
      <w:r w:rsidRPr="001D6D5E" w:rsidR="00E4723B">
        <w:rPr>
          <w:szCs w:val="24"/>
        </w:rPr>
        <w:t>April</w:t>
      </w:r>
      <w:r w:rsidRPr="001D6D5E" w:rsidR="007004E3">
        <w:rPr>
          <w:szCs w:val="24"/>
        </w:rPr>
        <w:t xml:space="preserve"> </w:t>
      </w:r>
      <w:r w:rsidRPr="001D6D5E">
        <w:rPr>
          <w:szCs w:val="24"/>
        </w:rPr>
        <w:t>202</w:t>
      </w:r>
      <w:r w:rsidRPr="001D6D5E" w:rsidR="00FE0DA0">
        <w:rPr>
          <w:szCs w:val="24"/>
        </w:rPr>
        <w:t>2</w:t>
      </w:r>
      <w:r w:rsidRPr="001D6D5E">
        <w:rPr>
          <w:szCs w:val="24"/>
        </w:rPr>
        <w:t>.</w:t>
      </w:r>
    </w:p>
    <w:p w:rsidR="009030AA" w:rsidRPr="001D6D5E" w:rsidP="005D2D59" w14:paraId="5D26A4C4" w14:textId="77777777">
      <w:pPr>
        <w:rPr>
          <w:b/>
          <w:bCs w:val="0"/>
          <w:i/>
          <w:iCs/>
          <w:szCs w:val="24"/>
          <w:u w:val="single"/>
        </w:rPr>
      </w:pPr>
      <w:bookmarkStart w:id="6" w:name="_Hlk60904023"/>
      <w:r w:rsidRPr="001D6D5E">
        <w:rPr>
          <w:szCs w:val="24"/>
        </w:rPr>
        <w:tab/>
      </w:r>
      <w:r w:rsidRPr="001D6D5E">
        <w:rPr>
          <w:szCs w:val="24"/>
        </w:rPr>
        <w:tab/>
      </w:r>
      <w:r w:rsidRPr="001D6D5E">
        <w:rPr>
          <w:szCs w:val="24"/>
        </w:rPr>
        <w:tab/>
      </w:r>
      <w:r w:rsidRPr="001D6D5E">
        <w:rPr>
          <w:szCs w:val="24"/>
        </w:rPr>
        <w:tab/>
      </w:r>
      <w:r w:rsidRPr="001D6D5E">
        <w:rPr>
          <w:szCs w:val="24"/>
        </w:rPr>
        <w:tab/>
      </w:r>
      <w:r w:rsidRPr="001D6D5E">
        <w:rPr>
          <w:szCs w:val="24"/>
        </w:rPr>
        <w:tab/>
      </w:r>
      <w:r w:rsidRPr="001D6D5E">
        <w:rPr>
          <w:i/>
          <w:iCs/>
          <w:szCs w:val="24"/>
          <w:u w:val="single"/>
        </w:rPr>
        <w:t xml:space="preserve">/s/ </w:t>
      </w:r>
      <w:r w:rsidRPr="001D6D5E" w:rsidR="00304F7E">
        <w:rPr>
          <w:i/>
          <w:iCs/>
          <w:szCs w:val="24"/>
          <w:u w:val="single"/>
        </w:rPr>
        <w:t>Maureen R. Willis</w:t>
      </w:r>
      <w:r w:rsidRPr="001D6D5E" w:rsidR="00DC167B">
        <w:rPr>
          <w:i/>
          <w:iCs/>
          <w:szCs w:val="24"/>
          <w:u w:val="single"/>
        </w:rPr>
        <w:tab/>
      </w:r>
      <w:r w:rsidRPr="001D6D5E" w:rsidR="00DC167B">
        <w:rPr>
          <w:i/>
          <w:iCs/>
          <w:szCs w:val="24"/>
          <w:u w:val="single"/>
        </w:rPr>
        <w:tab/>
      </w:r>
      <w:r w:rsidRPr="001D6D5E" w:rsidR="00304F7E">
        <w:rPr>
          <w:i/>
          <w:iCs/>
          <w:szCs w:val="24"/>
          <w:u w:val="single"/>
        </w:rPr>
        <w:t xml:space="preserve"> </w:t>
      </w:r>
    </w:p>
    <w:p w:rsidR="00304F7E" w:rsidRPr="001D6D5E" w:rsidP="005D2D59" w14:paraId="2E8BD86F" w14:textId="77777777">
      <w:pPr>
        <w:rPr>
          <w:b/>
          <w:bCs w:val="0"/>
          <w:szCs w:val="24"/>
        </w:rPr>
      </w:pPr>
      <w:r w:rsidRPr="001D6D5E">
        <w:rPr>
          <w:szCs w:val="24"/>
        </w:rPr>
        <w:tab/>
      </w:r>
      <w:r w:rsidRPr="001D6D5E">
        <w:rPr>
          <w:szCs w:val="24"/>
        </w:rPr>
        <w:tab/>
      </w:r>
      <w:r w:rsidRPr="001D6D5E">
        <w:rPr>
          <w:szCs w:val="24"/>
        </w:rPr>
        <w:tab/>
      </w:r>
      <w:r w:rsidRPr="001D6D5E">
        <w:rPr>
          <w:szCs w:val="24"/>
        </w:rPr>
        <w:tab/>
      </w:r>
      <w:r w:rsidRPr="001D6D5E">
        <w:rPr>
          <w:szCs w:val="24"/>
        </w:rPr>
        <w:tab/>
      </w:r>
      <w:r w:rsidRPr="001D6D5E">
        <w:rPr>
          <w:szCs w:val="24"/>
        </w:rPr>
        <w:tab/>
        <w:t>Maureen R. Willis</w:t>
      </w:r>
      <w:r w:rsidRPr="001D6D5E" w:rsidR="00C01BBA">
        <w:rPr>
          <w:szCs w:val="24"/>
        </w:rPr>
        <w:t xml:space="preserve"> </w:t>
      </w:r>
    </w:p>
    <w:p w:rsidR="009030AA" w:rsidRPr="001D6D5E" w:rsidP="005D2D59" w14:paraId="45FADD03" w14:textId="77777777">
      <w:pPr>
        <w:ind w:left="3600" w:firstLine="720"/>
        <w:rPr>
          <w:b/>
          <w:bCs w:val="0"/>
          <w:szCs w:val="24"/>
        </w:rPr>
      </w:pPr>
      <w:r w:rsidRPr="001D6D5E">
        <w:rPr>
          <w:szCs w:val="24"/>
        </w:rPr>
        <w:t>Assistant Consumers’ Counsel</w:t>
      </w:r>
    </w:p>
    <w:bookmarkEnd w:id="6"/>
    <w:p w:rsidR="009030AA" w:rsidRPr="001D6D5E" w:rsidP="005D2D59" w14:paraId="43FD88E4" w14:textId="77777777">
      <w:pPr>
        <w:rPr>
          <w:b/>
          <w:bCs w:val="0"/>
          <w:szCs w:val="24"/>
        </w:rPr>
      </w:pPr>
    </w:p>
    <w:p w:rsidR="009030AA" w:rsidRPr="001D6D5E" w:rsidP="005D2D59" w14:paraId="707973A2" w14:textId="77777777">
      <w:pPr>
        <w:rPr>
          <w:b/>
          <w:bCs w:val="0"/>
          <w:szCs w:val="24"/>
        </w:rPr>
      </w:pPr>
      <w:r w:rsidRPr="001D6D5E">
        <w:rPr>
          <w:szCs w:val="24"/>
        </w:rPr>
        <w:t>The PUCO’s e-filing system will electronically serve notice of the filing of this document on the following parties:</w:t>
      </w:r>
    </w:p>
    <w:p w:rsidR="009030AA" w:rsidRPr="001D6D5E" w:rsidP="005D2D59" w14:paraId="7E5601C3" w14:textId="77777777">
      <w:pPr>
        <w:rPr>
          <w:b/>
          <w:bCs w:val="0"/>
          <w:szCs w:val="24"/>
        </w:rPr>
      </w:pPr>
    </w:p>
    <w:p w:rsidR="00922AF8" w:rsidRPr="001D6D5E" w:rsidP="005D2D59" w14:paraId="448E960B" w14:textId="77777777">
      <w:pPr>
        <w:pStyle w:val="CommentText"/>
        <w:jc w:val="center"/>
        <w:rPr>
          <w:b/>
          <w:sz w:val="24"/>
          <w:szCs w:val="24"/>
          <w:u w:val="single"/>
        </w:rPr>
      </w:pPr>
      <w:r w:rsidRPr="001D6D5E">
        <w:rPr>
          <w:b/>
          <w:sz w:val="24"/>
          <w:szCs w:val="24"/>
          <w:u w:val="single"/>
        </w:rPr>
        <w:t>SERVICE LIST</w:t>
      </w:r>
    </w:p>
    <w:p w:rsidR="001930AB" w:rsidRPr="00F66C8E" w:rsidP="005D2D59" w14:paraId="2D1EF5BF" w14:textId="77777777">
      <w:pPr>
        <w:pStyle w:val="CommentText"/>
        <w:jc w:val="center"/>
        <w:rPr>
          <w:b/>
          <w:color w:val="0000FF"/>
          <w:sz w:val="24"/>
          <w:szCs w:val="24"/>
          <w:u w:val="single"/>
        </w:rPr>
      </w:pPr>
    </w:p>
    <w:tbl>
      <w:tblPr>
        <w:tblW w:w="0" w:type="auto"/>
        <w:tblLook w:val="04A0"/>
      </w:tblPr>
      <w:tblGrid>
        <w:gridCol w:w="4257"/>
        <w:gridCol w:w="4383"/>
      </w:tblGrid>
      <w:tr w14:paraId="5B75C1BF" w14:textId="77777777" w:rsidTr="00473008">
        <w:tblPrEx>
          <w:tblW w:w="0" w:type="auto"/>
          <w:tblLook w:val="04A0"/>
        </w:tblPrEx>
        <w:trPr>
          <w:trHeight w:val="6912"/>
        </w:trPr>
        <w:tc>
          <w:tcPr>
            <w:tcW w:w="4257" w:type="dxa"/>
          </w:tcPr>
          <w:bookmarkStart w:id="7" w:name="_Hlk92973184"/>
          <w:p w:rsidR="00F66C8E" w:rsidRPr="00F66C8E" w:rsidP="00473008" w14:paraId="53D8979F" w14:textId="77777777">
            <w:pPr>
              <w:widowControl w:val="0"/>
              <w:autoSpaceDE w:val="0"/>
              <w:autoSpaceDN w:val="0"/>
              <w:adjustRightInd w:val="0"/>
              <w:rPr>
                <w:rFonts w:eastAsia="Calibri"/>
                <w:bCs w:val="0"/>
                <w:color w:val="0000FF"/>
                <w:szCs w:val="24"/>
                <w:u w:val="single"/>
              </w:rPr>
            </w:pPr>
            <w:hyperlink r:id="rId11" w:history="1">
              <w:r w:rsidRPr="00F66C8E">
                <w:rPr>
                  <w:rFonts w:eastAsia="Calibri"/>
                  <w:color w:val="0000FF"/>
                  <w:szCs w:val="24"/>
                  <w:u w:val="single"/>
                </w:rPr>
                <w:t>thomas.lindgren@ohioAGO.gov</w:t>
              </w:r>
            </w:hyperlink>
          </w:p>
          <w:p w:rsidR="00F66C8E" w:rsidRPr="00F66C8E" w:rsidP="00473008" w14:paraId="373D92B8" w14:textId="77777777">
            <w:pPr>
              <w:widowControl w:val="0"/>
              <w:autoSpaceDE w:val="0"/>
              <w:autoSpaceDN w:val="0"/>
              <w:adjustRightInd w:val="0"/>
              <w:rPr>
                <w:rFonts w:eastAsia="Calibri"/>
                <w:bCs w:val="0"/>
                <w:color w:val="0000FF"/>
                <w:szCs w:val="24"/>
                <w:u w:val="single"/>
              </w:rPr>
            </w:pPr>
            <w:hyperlink r:id="rId12" w:history="1">
              <w:r w:rsidRPr="00F66C8E">
                <w:rPr>
                  <w:rFonts w:eastAsia="Calibri"/>
                  <w:color w:val="0000FF"/>
                  <w:szCs w:val="24"/>
                  <w:u w:val="single"/>
                </w:rPr>
                <w:t>werner.margard@ohioAGO.gov</w:t>
              </w:r>
            </w:hyperlink>
          </w:p>
          <w:p w:rsidR="00F66C8E" w:rsidRPr="00F66C8E" w:rsidP="00473008" w14:paraId="50325C28" w14:textId="77777777">
            <w:pPr>
              <w:widowControl w:val="0"/>
              <w:autoSpaceDE w:val="0"/>
              <w:autoSpaceDN w:val="0"/>
              <w:adjustRightInd w:val="0"/>
              <w:rPr>
                <w:rFonts w:eastAsia="Calibri"/>
                <w:color w:val="0000FF"/>
                <w:szCs w:val="24"/>
              </w:rPr>
            </w:pPr>
            <w:hyperlink r:id="rId13" w:history="1">
              <w:r w:rsidRPr="00F66C8E">
                <w:rPr>
                  <w:rFonts w:eastAsia="Calibri"/>
                  <w:color w:val="0000FF"/>
                  <w:szCs w:val="24"/>
                  <w:u w:val="single"/>
                </w:rPr>
                <w:t>joliker@igsenergy.com</w:t>
              </w:r>
            </w:hyperlink>
          </w:p>
          <w:p w:rsidR="00F66C8E" w:rsidRPr="00F66C8E" w:rsidP="00473008" w14:paraId="37065707" w14:textId="77777777">
            <w:pPr>
              <w:widowControl w:val="0"/>
              <w:autoSpaceDE w:val="0"/>
              <w:autoSpaceDN w:val="0"/>
              <w:adjustRightInd w:val="0"/>
              <w:rPr>
                <w:rFonts w:eastAsia="Calibri"/>
                <w:color w:val="0000FF"/>
                <w:szCs w:val="24"/>
                <w:u w:val="single"/>
              </w:rPr>
            </w:pPr>
            <w:hyperlink r:id="rId14" w:history="1">
              <w:r w:rsidRPr="00F66C8E">
                <w:rPr>
                  <w:rFonts w:eastAsia="Calibri"/>
                  <w:color w:val="0000FF"/>
                  <w:szCs w:val="24"/>
                  <w:u w:val="single"/>
                </w:rPr>
                <w:t>Mnugent@igsenergy.com</w:t>
              </w:r>
            </w:hyperlink>
          </w:p>
          <w:p w:rsidR="00F66C8E" w:rsidRPr="00F66C8E" w:rsidP="00473008" w14:paraId="094581FC" w14:textId="77777777">
            <w:pPr>
              <w:widowControl w:val="0"/>
              <w:autoSpaceDE w:val="0"/>
              <w:autoSpaceDN w:val="0"/>
              <w:adjustRightInd w:val="0"/>
              <w:rPr>
                <w:rFonts w:eastAsia="Calibri"/>
                <w:color w:val="0000FF"/>
                <w:szCs w:val="24"/>
                <w:u w:val="single"/>
              </w:rPr>
            </w:pPr>
            <w:hyperlink r:id="rId15" w:history="1">
              <w:r w:rsidRPr="00F66C8E">
                <w:rPr>
                  <w:rFonts w:eastAsia="Calibri"/>
                  <w:color w:val="0000FF"/>
                  <w:szCs w:val="24"/>
                  <w:u w:val="single"/>
                </w:rPr>
                <w:t>bethany.allen@igs.com</w:t>
              </w:r>
            </w:hyperlink>
          </w:p>
          <w:p w:rsidR="00F66C8E" w:rsidRPr="00F66C8E" w:rsidP="00473008" w14:paraId="4A985D3D" w14:textId="77777777">
            <w:pPr>
              <w:widowControl w:val="0"/>
              <w:autoSpaceDE w:val="0"/>
              <w:autoSpaceDN w:val="0"/>
              <w:adjustRightInd w:val="0"/>
              <w:rPr>
                <w:rFonts w:eastAsia="Calibri"/>
                <w:color w:val="0000FF"/>
                <w:szCs w:val="24"/>
              </w:rPr>
            </w:pPr>
            <w:hyperlink r:id="rId16" w:history="1">
              <w:r w:rsidRPr="00F66C8E">
                <w:rPr>
                  <w:rFonts w:eastAsia="Calibri"/>
                  <w:color w:val="0000FF"/>
                  <w:szCs w:val="24"/>
                  <w:u w:val="single"/>
                </w:rPr>
                <w:t>evan.betterton@igs.com</w:t>
              </w:r>
            </w:hyperlink>
          </w:p>
          <w:p w:rsidR="00F66C8E" w:rsidRPr="00F66C8E" w:rsidP="00473008" w14:paraId="523DCBF2" w14:textId="77777777">
            <w:pPr>
              <w:widowControl w:val="0"/>
              <w:autoSpaceDE w:val="0"/>
              <w:autoSpaceDN w:val="0"/>
              <w:adjustRightInd w:val="0"/>
              <w:rPr>
                <w:rFonts w:eastAsia="Calibri"/>
                <w:color w:val="0000FF"/>
                <w:szCs w:val="24"/>
              </w:rPr>
            </w:pPr>
            <w:hyperlink r:id="rId17" w:history="1">
              <w:r w:rsidRPr="00F66C8E">
                <w:rPr>
                  <w:rFonts w:eastAsia="Calibri"/>
                  <w:color w:val="0000FF"/>
                  <w:szCs w:val="24"/>
                  <w:u w:val="single"/>
                </w:rPr>
                <w:t>gkrassen@bricker.com</w:t>
              </w:r>
            </w:hyperlink>
          </w:p>
          <w:p w:rsidR="00F66C8E" w:rsidRPr="00F66C8E" w:rsidP="00473008" w14:paraId="27C5D423" w14:textId="77777777">
            <w:pPr>
              <w:widowControl w:val="0"/>
              <w:autoSpaceDE w:val="0"/>
              <w:autoSpaceDN w:val="0"/>
              <w:adjustRightInd w:val="0"/>
              <w:rPr>
                <w:rFonts w:eastAsia="Calibri"/>
                <w:color w:val="0000FF"/>
                <w:szCs w:val="24"/>
                <w:u w:val="single"/>
              </w:rPr>
            </w:pPr>
            <w:hyperlink r:id="rId18" w:history="1">
              <w:r w:rsidRPr="00F66C8E">
                <w:rPr>
                  <w:rFonts w:eastAsia="Calibri"/>
                  <w:color w:val="0000FF"/>
                  <w:szCs w:val="24"/>
                  <w:u w:val="single"/>
                </w:rPr>
                <w:t>dstinson@bricker.com</w:t>
              </w:r>
            </w:hyperlink>
          </w:p>
          <w:p w:rsidR="00F66C8E" w:rsidRPr="00F66C8E" w:rsidP="00473008" w14:paraId="6B6818A8" w14:textId="77777777">
            <w:pPr>
              <w:widowControl w:val="0"/>
              <w:autoSpaceDE w:val="0"/>
              <w:autoSpaceDN w:val="0"/>
              <w:adjustRightInd w:val="0"/>
              <w:rPr>
                <w:rFonts w:eastAsia="Calibri"/>
                <w:color w:val="0000FF"/>
                <w:szCs w:val="24"/>
                <w:u w:val="single"/>
              </w:rPr>
            </w:pPr>
            <w:hyperlink r:id="rId19" w:history="1">
              <w:r w:rsidRPr="00F66C8E">
                <w:rPr>
                  <w:rStyle w:val="Hyperlink"/>
                  <w:rFonts w:eastAsia="Calibri"/>
                  <w:color w:val="0000FF"/>
                  <w:szCs w:val="24"/>
                </w:rPr>
                <w:t>whitt@whitt-sturtevant.com</w:t>
              </w:r>
            </w:hyperlink>
          </w:p>
          <w:p w:rsidR="00F66C8E" w:rsidRPr="00F66C8E" w:rsidP="00473008" w14:paraId="1386CBFC" w14:textId="77777777">
            <w:pPr>
              <w:widowControl w:val="0"/>
              <w:autoSpaceDE w:val="0"/>
              <w:autoSpaceDN w:val="0"/>
              <w:adjustRightInd w:val="0"/>
              <w:rPr>
                <w:rFonts w:eastAsia="Calibri"/>
                <w:color w:val="0000FF"/>
                <w:szCs w:val="24"/>
                <w:u w:val="single"/>
              </w:rPr>
            </w:pPr>
            <w:hyperlink r:id="rId20" w:history="1">
              <w:r w:rsidRPr="00F66C8E">
                <w:rPr>
                  <w:rStyle w:val="Hyperlink"/>
                  <w:rFonts w:eastAsia="Calibri"/>
                  <w:color w:val="0000FF"/>
                  <w:szCs w:val="24"/>
                </w:rPr>
                <w:t>fykes@whitt-sturtevant.com</w:t>
              </w:r>
            </w:hyperlink>
          </w:p>
          <w:p w:rsidR="00F66C8E" w:rsidRPr="00F66C8E" w:rsidP="00473008" w14:paraId="354C4C34" w14:textId="77777777">
            <w:pPr>
              <w:pStyle w:val="CommentText"/>
              <w:rPr>
                <w:rStyle w:val="Hyperlink"/>
                <w:color w:val="0000FF"/>
                <w:sz w:val="24"/>
                <w:szCs w:val="24"/>
              </w:rPr>
            </w:pPr>
            <w:r w:rsidRPr="00F66C8E">
              <w:rPr>
                <w:rStyle w:val="Hyperlink"/>
                <w:color w:val="0000FF"/>
                <w:sz w:val="24"/>
                <w:szCs w:val="24"/>
              </w:rPr>
              <w:t>trent@hubaydougherty.com</w:t>
            </w:r>
          </w:p>
          <w:p w:rsidR="00F66C8E" w:rsidRPr="00F66C8E" w:rsidP="00473008" w14:paraId="4B142F92" w14:textId="77777777">
            <w:pPr>
              <w:widowControl w:val="0"/>
              <w:rPr>
                <w:color w:val="0000FF"/>
                <w:szCs w:val="24"/>
                <w:u w:val="single"/>
              </w:rPr>
            </w:pPr>
            <w:hyperlink r:id="rId21" w:history="1">
              <w:r w:rsidRPr="00F66C8E">
                <w:rPr>
                  <w:rStyle w:val="Hyperlink"/>
                  <w:color w:val="0000FF"/>
                  <w:szCs w:val="24"/>
                </w:rPr>
                <w:t>mwise@mcdonaldhopkins.com</w:t>
              </w:r>
            </w:hyperlink>
          </w:p>
          <w:p w:rsidR="00F66C8E" w:rsidRPr="00F66C8E" w:rsidP="00473008" w14:paraId="6071D538" w14:textId="77777777">
            <w:pPr>
              <w:pStyle w:val="CommentText"/>
              <w:rPr>
                <w:rStyle w:val="Hyperlink"/>
                <w:color w:val="0000FF"/>
                <w:sz w:val="24"/>
                <w:szCs w:val="24"/>
              </w:rPr>
            </w:pPr>
            <w:hyperlink r:id="rId22" w:history="1">
              <w:r w:rsidRPr="00F66C8E">
                <w:rPr>
                  <w:rStyle w:val="Hyperlink"/>
                  <w:color w:val="0000FF"/>
                  <w:sz w:val="24"/>
                  <w:szCs w:val="24"/>
                </w:rPr>
                <w:t>mkurtz@BKLlawfirm.com</w:t>
              </w:r>
            </w:hyperlink>
          </w:p>
          <w:p w:rsidR="00F66C8E" w:rsidRPr="00F66C8E" w:rsidP="00473008" w14:paraId="0A0DB5BD" w14:textId="77777777">
            <w:pPr>
              <w:pStyle w:val="CommentText"/>
              <w:rPr>
                <w:rStyle w:val="Hyperlink"/>
                <w:color w:val="0000FF"/>
                <w:sz w:val="24"/>
                <w:szCs w:val="24"/>
              </w:rPr>
            </w:pPr>
            <w:hyperlink r:id="rId23" w:history="1">
              <w:r w:rsidRPr="00F66C8E">
                <w:rPr>
                  <w:rStyle w:val="Hyperlink"/>
                  <w:color w:val="0000FF"/>
                  <w:sz w:val="24"/>
                  <w:szCs w:val="24"/>
                </w:rPr>
                <w:t>kboehm@BKLlawfirm.com</w:t>
              </w:r>
            </w:hyperlink>
          </w:p>
          <w:p w:rsidR="00F66C8E" w:rsidRPr="00F66C8E" w:rsidP="00473008" w14:paraId="4B01D8D2" w14:textId="77777777">
            <w:pPr>
              <w:pStyle w:val="CommentText"/>
              <w:rPr>
                <w:rStyle w:val="Hyperlink"/>
                <w:color w:val="0000FF"/>
                <w:sz w:val="24"/>
                <w:szCs w:val="24"/>
              </w:rPr>
            </w:pPr>
            <w:hyperlink r:id="rId24" w:history="1">
              <w:r w:rsidRPr="00F66C8E">
                <w:rPr>
                  <w:rStyle w:val="Hyperlink"/>
                  <w:color w:val="0000FF"/>
                  <w:sz w:val="24"/>
                  <w:szCs w:val="24"/>
                </w:rPr>
                <w:t>jkylercohn@BKLlawfirm.com</w:t>
              </w:r>
            </w:hyperlink>
          </w:p>
          <w:p w:rsidR="00F66C8E" w:rsidRPr="00F66C8E" w:rsidP="00473008" w14:paraId="20E7BCDE" w14:textId="77777777">
            <w:pPr>
              <w:pStyle w:val="CommentText"/>
              <w:rPr>
                <w:rStyle w:val="Hyperlink"/>
                <w:color w:val="0000FF"/>
                <w:sz w:val="24"/>
                <w:szCs w:val="24"/>
              </w:rPr>
            </w:pPr>
            <w:hyperlink r:id="rId25" w:history="1">
              <w:r w:rsidRPr="00F66C8E">
                <w:rPr>
                  <w:rStyle w:val="Hyperlink"/>
                  <w:color w:val="0000FF"/>
                  <w:sz w:val="24"/>
                  <w:szCs w:val="24"/>
                </w:rPr>
                <w:t>talexander@beneschlaw.com</w:t>
              </w:r>
            </w:hyperlink>
          </w:p>
          <w:p w:rsidR="00F66C8E" w:rsidRPr="00F66C8E" w:rsidP="00473008" w14:paraId="75455C8C" w14:textId="77777777">
            <w:pPr>
              <w:widowControl w:val="0"/>
              <w:rPr>
                <w:color w:val="0000FF"/>
                <w:szCs w:val="24"/>
                <w:u w:val="single"/>
              </w:rPr>
            </w:pPr>
            <w:r w:rsidRPr="00F66C8E">
              <w:rPr>
                <w:rStyle w:val="Hyperlink"/>
                <w:color w:val="0000FF"/>
                <w:szCs w:val="24"/>
              </w:rPr>
              <w:t>khehmeyer@beneschlaw.com</w:t>
            </w:r>
          </w:p>
          <w:p w:rsidR="00F66C8E" w:rsidRPr="00F66C8E" w:rsidP="00473008" w14:paraId="00FC6724" w14:textId="77777777">
            <w:pPr>
              <w:widowControl w:val="0"/>
              <w:autoSpaceDE w:val="0"/>
              <w:autoSpaceDN w:val="0"/>
              <w:adjustRightInd w:val="0"/>
              <w:rPr>
                <w:rFonts w:eastAsia="Calibri"/>
                <w:color w:val="0000FF"/>
                <w:szCs w:val="24"/>
              </w:rPr>
            </w:pPr>
          </w:p>
          <w:p w:rsidR="00F66C8E" w:rsidRPr="00EF4117" w:rsidP="00473008" w14:paraId="6E0D825A" w14:textId="77777777">
            <w:pPr>
              <w:widowControl w:val="0"/>
              <w:rPr>
                <w:color w:val="auto"/>
                <w:szCs w:val="24"/>
              </w:rPr>
            </w:pPr>
          </w:p>
          <w:p w:rsidR="00F66C8E" w:rsidRPr="00EF4117" w:rsidP="00473008" w14:paraId="174EB255" w14:textId="77777777">
            <w:pPr>
              <w:widowControl w:val="0"/>
              <w:suppressLineNumbers/>
              <w:ind w:left="-19"/>
              <w:rPr>
                <w:color w:val="auto"/>
                <w:szCs w:val="24"/>
              </w:rPr>
            </w:pPr>
            <w:r w:rsidRPr="00EF4117">
              <w:rPr>
                <w:color w:val="auto"/>
                <w:szCs w:val="24"/>
              </w:rPr>
              <w:t>Attorney Examiners:</w:t>
            </w:r>
          </w:p>
          <w:p w:rsidR="00F66C8E" w:rsidRPr="00F66C8E" w:rsidP="00473008" w14:paraId="411C1AA8" w14:textId="77777777">
            <w:pPr>
              <w:widowControl w:val="0"/>
              <w:suppressLineNumbers/>
              <w:ind w:left="-19"/>
              <w:rPr>
                <w:color w:val="0000FF"/>
                <w:szCs w:val="24"/>
                <w:u w:val="single"/>
              </w:rPr>
            </w:pPr>
            <w:hyperlink r:id="rId26" w:history="1">
              <w:r w:rsidRPr="00F66C8E">
                <w:rPr>
                  <w:rStyle w:val="Hyperlink"/>
                  <w:color w:val="0000FF"/>
                  <w:szCs w:val="24"/>
                </w:rPr>
                <w:t>megan.addison@puco.ohio.gov</w:t>
              </w:r>
            </w:hyperlink>
          </w:p>
          <w:p w:rsidR="00F66C8E" w:rsidRPr="00F66C8E" w:rsidP="00473008" w14:paraId="6E376636" w14:textId="77777777">
            <w:pPr>
              <w:widowControl w:val="0"/>
              <w:suppressLineNumbers/>
              <w:ind w:left="-19"/>
              <w:rPr>
                <w:bCs w:val="0"/>
                <w:color w:val="0000FF"/>
                <w:szCs w:val="24"/>
              </w:rPr>
            </w:pPr>
            <w:r w:rsidRPr="00F66C8E">
              <w:rPr>
                <w:color w:val="0000FF"/>
                <w:szCs w:val="24"/>
                <w:u w:val="single"/>
              </w:rPr>
              <w:t>jacqueline.st.john@puco.ohio.gov</w:t>
            </w:r>
          </w:p>
        </w:tc>
        <w:tc>
          <w:tcPr>
            <w:tcW w:w="4383" w:type="dxa"/>
          </w:tcPr>
          <w:p w:rsidR="00F66C8E" w:rsidRPr="00F66C8E" w:rsidP="00473008" w14:paraId="5E5914E2" w14:textId="77777777">
            <w:pPr>
              <w:widowControl w:val="0"/>
              <w:ind w:left="804"/>
              <w:rPr>
                <w:color w:val="0000FF"/>
                <w:szCs w:val="24"/>
              </w:rPr>
            </w:pPr>
            <w:hyperlink r:id="rId27" w:history="1">
              <w:r w:rsidRPr="00F66C8E">
                <w:rPr>
                  <w:rStyle w:val="Hyperlink"/>
                  <w:color w:val="0000FF"/>
                  <w:szCs w:val="24"/>
                </w:rPr>
                <w:t>edanford@firstenergycorp.com</w:t>
              </w:r>
            </w:hyperlink>
          </w:p>
          <w:p w:rsidR="00F66C8E" w:rsidRPr="00F66C8E" w:rsidP="00473008" w14:paraId="1A831844" w14:textId="77777777">
            <w:pPr>
              <w:widowControl w:val="0"/>
              <w:ind w:left="804"/>
              <w:rPr>
                <w:color w:val="0000FF"/>
                <w:szCs w:val="24"/>
              </w:rPr>
            </w:pPr>
            <w:hyperlink r:id="rId28" w:history="1">
              <w:r w:rsidRPr="00F66C8E">
                <w:rPr>
                  <w:rStyle w:val="Hyperlink"/>
                  <w:color w:val="0000FF"/>
                  <w:szCs w:val="24"/>
                </w:rPr>
                <w:t>cwatchorn@firstenergycorp.com</w:t>
              </w:r>
            </w:hyperlink>
          </w:p>
          <w:p w:rsidR="00F66C8E" w:rsidRPr="00F66C8E" w:rsidP="00473008" w14:paraId="3246AD57" w14:textId="77777777">
            <w:pPr>
              <w:widowControl w:val="0"/>
              <w:ind w:left="804"/>
              <w:rPr>
                <w:rFonts w:eastAsia="Calibri"/>
                <w:bCs w:val="0"/>
                <w:color w:val="0000FF"/>
                <w:szCs w:val="24"/>
              </w:rPr>
            </w:pPr>
            <w:hyperlink r:id="rId29" w:history="1">
              <w:r w:rsidRPr="00F66C8E">
                <w:rPr>
                  <w:rStyle w:val="Hyperlink"/>
                  <w:rFonts w:eastAsia="Calibri"/>
                  <w:color w:val="0000FF"/>
                  <w:szCs w:val="24"/>
                </w:rPr>
                <w:t>bknipe@firstenergycorp.com</w:t>
              </w:r>
            </w:hyperlink>
          </w:p>
          <w:p w:rsidR="00F66C8E" w:rsidRPr="00F66C8E" w:rsidP="00473008" w14:paraId="5C74A4C4" w14:textId="77777777">
            <w:pPr>
              <w:widowControl w:val="0"/>
              <w:autoSpaceDE w:val="0"/>
              <w:autoSpaceDN w:val="0"/>
              <w:adjustRightInd w:val="0"/>
              <w:ind w:left="804"/>
              <w:rPr>
                <w:rFonts w:eastAsia="Calibri"/>
                <w:color w:val="0000FF"/>
                <w:szCs w:val="24"/>
              </w:rPr>
            </w:pPr>
            <w:hyperlink r:id="rId30" w:history="1">
              <w:r w:rsidRPr="00F66C8E">
                <w:rPr>
                  <w:rFonts w:eastAsia="Calibri"/>
                  <w:color w:val="0000FF"/>
                  <w:szCs w:val="24"/>
                  <w:u w:val="single"/>
                </w:rPr>
                <w:t>mrgladman@jonesday.com</w:t>
              </w:r>
            </w:hyperlink>
          </w:p>
          <w:p w:rsidR="00F66C8E" w:rsidRPr="00F66C8E" w:rsidP="00473008" w14:paraId="01E1DBF5" w14:textId="77777777">
            <w:pPr>
              <w:widowControl w:val="0"/>
              <w:autoSpaceDE w:val="0"/>
              <w:autoSpaceDN w:val="0"/>
              <w:adjustRightInd w:val="0"/>
              <w:ind w:left="804"/>
              <w:rPr>
                <w:rFonts w:eastAsia="Calibri"/>
                <w:color w:val="0000FF"/>
                <w:szCs w:val="24"/>
              </w:rPr>
            </w:pPr>
            <w:hyperlink r:id="rId31" w:history="1">
              <w:r w:rsidRPr="00F66C8E">
                <w:rPr>
                  <w:rFonts w:eastAsia="Calibri"/>
                  <w:color w:val="0000FF"/>
                  <w:szCs w:val="24"/>
                  <w:u w:val="single"/>
                </w:rPr>
                <w:t>mdengler@jonesday.com</w:t>
              </w:r>
            </w:hyperlink>
          </w:p>
          <w:p w:rsidR="00F66C8E" w:rsidRPr="00F66C8E" w:rsidP="00473008" w14:paraId="50BFF6EE" w14:textId="77777777">
            <w:pPr>
              <w:widowControl w:val="0"/>
              <w:ind w:left="804"/>
              <w:rPr>
                <w:rFonts w:eastAsia="Calibri"/>
                <w:color w:val="0000FF"/>
                <w:szCs w:val="24"/>
                <w:u w:val="single"/>
              </w:rPr>
            </w:pPr>
            <w:hyperlink r:id="rId32" w:history="1">
              <w:r w:rsidRPr="00F66C8E">
                <w:rPr>
                  <w:rFonts w:eastAsia="Calibri"/>
                  <w:color w:val="0000FF"/>
                  <w:szCs w:val="24"/>
                  <w:u w:val="single"/>
                </w:rPr>
                <w:t>radoringo@jonesday.com</w:t>
              </w:r>
            </w:hyperlink>
          </w:p>
          <w:p w:rsidR="00F66C8E" w:rsidRPr="00F66C8E" w:rsidP="00473008" w14:paraId="6F70F9C1" w14:textId="77777777">
            <w:pPr>
              <w:widowControl w:val="0"/>
              <w:ind w:left="804"/>
              <w:rPr>
                <w:rFonts w:eastAsia="Calibri"/>
                <w:color w:val="0000FF"/>
                <w:szCs w:val="24"/>
              </w:rPr>
            </w:pPr>
            <w:hyperlink r:id="rId33" w:history="1">
              <w:r w:rsidRPr="00F66C8E">
                <w:rPr>
                  <w:rStyle w:val="Hyperlink"/>
                  <w:rFonts w:eastAsia="Calibri"/>
                  <w:color w:val="0000FF"/>
                  <w:szCs w:val="24"/>
                </w:rPr>
                <w:t>marcie.lape@skadden.com</w:t>
              </w:r>
            </w:hyperlink>
          </w:p>
          <w:p w:rsidR="00F66C8E" w:rsidRPr="00F66C8E" w:rsidP="00473008" w14:paraId="5C2A442B" w14:textId="77777777">
            <w:pPr>
              <w:widowControl w:val="0"/>
              <w:autoSpaceDE w:val="0"/>
              <w:autoSpaceDN w:val="0"/>
              <w:adjustRightInd w:val="0"/>
              <w:ind w:left="804"/>
              <w:rPr>
                <w:rFonts w:eastAsia="Calibri"/>
                <w:color w:val="0000FF"/>
                <w:szCs w:val="24"/>
                <w:u w:val="single"/>
              </w:rPr>
            </w:pPr>
            <w:hyperlink r:id="rId34" w:history="1">
              <w:r w:rsidRPr="00F66C8E">
                <w:rPr>
                  <w:rFonts w:eastAsia="Calibri"/>
                  <w:color w:val="0000FF"/>
                  <w:szCs w:val="24"/>
                  <w:u w:val="single"/>
                </w:rPr>
                <w:t>iavalon@taftlaw.com</w:t>
              </w:r>
            </w:hyperlink>
          </w:p>
          <w:p w:rsidR="00F66C8E" w:rsidRPr="00F66C8E" w:rsidP="00473008" w14:paraId="5C86048E" w14:textId="77777777">
            <w:pPr>
              <w:widowControl w:val="0"/>
              <w:autoSpaceDE w:val="0"/>
              <w:autoSpaceDN w:val="0"/>
              <w:adjustRightInd w:val="0"/>
              <w:ind w:left="804"/>
              <w:rPr>
                <w:rFonts w:eastAsia="Calibri"/>
                <w:color w:val="0000FF"/>
                <w:szCs w:val="24"/>
                <w:u w:val="single"/>
              </w:rPr>
            </w:pPr>
            <w:r w:rsidRPr="00F66C8E">
              <w:rPr>
                <w:rFonts w:eastAsia="Calibri"/>
                <w:color w:val="0000FF"/>
                <w:szCs w:val="24"/>
                <w:u w:val="single"/>
              </w:rPr>
              <w:t>kverhalen@taftlaw.com</w:t>
            </w:r>
          </w:p>
          <w:p w:rsidR="00F66C8E" w:rsidRPr="00F66C8E" w:rsidP="00473008" w14:paraId="1C699ABF" w14:textId="77777777">
            <w:pPr>
              <w:widowControl w:val="0"/>
              <w:autoSpaceDE w:val="0"/>
              <w:autoSpaceDN w:val="0"/>
              <w:adjustRightInd w:val="0"/>
              <w:ind w:left="804"/>
              <w:rPr>
                <w:rFonts w:eastAsia="Calibri"/>
                <w:color w:val="0000FF"/>
                <w:szCs w:val="24"/>
              </w:rPr>
            </w:pPr>
            <w:hyperlink r:id="rId35" w:history="1">
              <w:r w:rsidRPr="00F66C8E">
                <w:rPr>
                  <w:rFonts w:eastAsia="Calibri"/>
                  <w:color w:val="0000FF"/>
                  <w:szCs w:val="24"/>
                  <w:u w:val="single"/>
                </w:rPr>
                <w:t>mpritchard@mcneeslaw.com</w:t>
              </w:r>
            </w:hyperlink>
          </w:p>
          <w:p w:rsidR="00F66C8E" w:rsidRPr="00F66C8E" w:rsidP="00473008" w14:paraId="1A625F17" w14:textId="77777777">
            <w:pPr>
              <w:widowControl w:val="0"/>
              <w:autoSpaceDE w:val="0"/>
              <w:autoSpaceDN w:val="0"/>
              <w:adjustRightInd w:val="0"/>
              <w:ind w:left="804"/>
              <w:rPr>
                <w:rFonts w:eastAsia="Calibri"/>
                <w:color w:val="0000FF"/>
                <w:szCs w:val="24"/>
                <w:u w:val="single"/>
              </w:rPr>
            </w:pPr>
            <w:hyperlink r:id="rId36" w:history="1">
              <w:r w:rsidRPr="00F66C8E">
                <w:rPr>
                  <w:rFonts w:eastAsia="Calibri"/>
                  <w:color w:val="0000FF"/>
                  <w:szCs w:val="24"/>
                  <w:u w:val="single"/>
                </w:rPr>
                <w:t>rdove@keglerbrown.com</w:t>
              </w:r>
            </w:hyperlink>
          </w:p>
          <w:p w:rsidR="00F66C8E" w:rsidRPr="00F66C8E" w:rsidP="00473008" w14:paraId="4AE6B6B1" w14:textId="77777777">
            <w:pPr>
              <w:widowControl w:val="0"/>
              <w:autoSpaceDE w:val="0"/>
              <w:autoSpaceDN w:val="0"/>
              <w:adjustRightInd w:val="0"/>
              <w:ind w:left="804"/>
              <w:rPr>
                <w:rFonts w:eastAsia="Calibri"/>
                <w:color w:val="0000FF"/>
                <w:szCs w:val="24"/>
                <w:u w:val="single"/>
              </w:rPr>
            </w:pPr>
            <w:hyperlink r:id="rId37" w:history="1">
              <w:r w:rsidRPr="00F66C8E">
                <w:rPr>
                  <w:rFonts w:eastAsia="Calibri"/>
                  <w:color w:val="0000FF"/>
                  <w:szCs w:val="24"/>
                  <w:u w:val="single"/>
                </w:rPr>
                <w:t>bojko@carpenterlipps.com</w:t>
              </w:r>
            </w:hyperlink>
          </w:p>
          <w:p w:rsidR="00F66C8E" w:rsidRPr="00F66C8E" w:rsidP="00473008" w14:paraId="0FFB8D21" w14:textId="77777777">
            <w:pPr>
              <w:widowControl w:val="0"/>
              <w:autoSpaceDE w:val="0"/>
              <w:autoSpaceDN w:val="0"/>
              <w:adjustRightInd w:val="0"/>
              <w:ind w:left="804"/>
              <w:rPr>
                <w:rFonts w:eastAsia="Calibri"/>
                <w:color w:val="0000FF"/>
                <w:szCs w:val="24"/>
              </w:rPr>
            </w:pPr>
            <w:hyperlink r:id="rId38" w:history="1">
              <w:r w:rsidRPr="00F66C8E">
                <w:rPr>
                  <w:rFonts w:eastAsia="Calibri"/>
                  <w:color w:val="0000FF"/>
                  <w:szCs w:val="24"/>
                  <w:u w:val="single"/>
                </w:rPr>
                <w:t>tdougherty@theOEC.org</w:t>
              </w:r>
            </w:hyperlink>
          </w:p>
          <w:p w:rsidR="00F66C8E" w:rsidRPr="00F66C8E" w:rsidP="00473008" w14:paraId="4061E2E3" w14:textId="77777777">
            <w:pPr>
              <w:widowControl w:val="0"/>
              <w:autoSpaceDE w:val="0"/>
              <w:autoSpaceDN w:val="0"/>
              <w:adjustRightInd w:val="0"/>
              <w:ind w:left="804"/>
              <w:rPr>
                <w:rFonts w:eastAsia="Calibri"/>
                <w:color w:val="0000FF"/>
                <w:szCs w:val="24"/>
                <w:u w:val="single"/>
              </w:rPr>
            </w:pPr>
            <w:hyperlink r:id="rId39" w:history="1">
              <w:r w:rsidRPr="00F66C8E">
                <w:rPr>
                  <w:rFonts w:eastAsia="Calibri"/>
                  <w:color w:val="0000FF"/>
                  <w:szCs w:val="24"/>
                  <w:u w:val="single"/>
                </w:rPr>
                <w:t>ctavenor@theOEC.org</w:t>
              </w:r>
            </w:hyperlink>
          </w:p>
          <w:p w:rsidR="00F66C8E" w:rsidRPr="00F66C8E" w:rsidP="00473008" w14:paraId="0649E547" w14:textId="77777777">
            <w:pPr>
              <w:widowControl w:val="0"/>
              <w:autoSpaceDE w:val="0"/>
              <w:autoSpaceDN w:val="0"/>
              <w:adjustRightInd w:val="0"/>
              <w:ind w:left="804"/>
              <w:rPr>
                <w:rStyle w:val="Hyperlink"/>
                <w:rFonts w:eastAsia="Calibri"/>
                <w:color w:val="0000FF"/>
                <w:szCs w:val="24"/>
              </w:rPr>
            </w:pPr>
            <w:hyperlink r:id="rId40" w:history="1">
              <w:r w:rsidRPr="00F66C8E">
                <w:rPr>
                  <w:rStyle w:val="Hyperlink"/>
                  <w:rFonts w:eastAsia="Calibri"/>
                  <w:color w:val="0000FF"/>
                  <w:szCs w:val="24"/>
                </w:rPr>
                <w:t>jweber@elpc.org</w:t>
              </w:r>
            </w:hyperlink>
          </w:p>
          <w:p w:rsidR="00F66C8E" w:rsidRPr="00F66C8E" w:rsidP="00473008" w14:paraId="5BED7ADB" w14:textId="77777777">
            <w:pPr>
              <w:widowControl w:val="0"/>
              <w:ind w:left="804"/>
              <w:rPr>
                <w:color w:val="0000FF"/>
                <w:szCs w:val="24"/>
                <w:u w:val="single"/>
              </w:rPr>
            </w:pPr>
            <w:r w:rsidRPr="00F66C8E">
              <w:rPr>
                <w:color w:val="0000FF"/>
                <w:szCs w:val="24"/>
                <w:u w:val="single"/>
              </w:rPr>
              <w:t>trhayslaw@gmail.com</w:t>
            </w:r>
          </w:p>
          <w:p w:rsidR="00F66C8E" w:rsidRPr="00F66C8E" w:rsidP="00473008" w14:paraId="408F07E3" w14:textId="77777777">
            <w:pPr>
              <w:widowControl w:val="0"/>
              <w:ind w:left="804"/>
              <w:rPr>
                <w:color w:val="0000FF"/>
                <w:szCs w:val="24"/>
                <w:u w:val="single"/>
              </w:rPr>
            </w:pPr>
            <w:r w:rsidRPr="00F66C8E">
              <w:rPr>
                <w:color w:val="0000FF"/>
                <w:szCs w:val="24"/>
                <w:u w:val="single"/>
              </w:rPr>
              <w:t>leslie.kovacik@toledo.oh.gov</w:t>
            </w:r>
          </w:p>
          <w:p w:rsidR="00F66C8E" w:rsidRPr="00F66C8E" w:rsidP="00473008" w14:paraId="4A2E719F" w14:textId="77777777">
            <w:pPr>
              <w:ind w:left="804"/>
              <w:rPr>
                <w:color w:val="0000FF"/>
                <w:szCs w:val="24"/>
              </w:rPr>
            </w:pPr>
            <w:hyperlink r:id="rId41" w:history="1">
              <w:r w:rsidRPr="00F66C8E">
                <w:rPr>
                  <w:rStyle w:val="Hyperlink"/>
                  <w:color w:val="0000FF"/>
                  <w:szCs w:val="24"/>
                </w:rPr>
                <w:t>sgoyal@jonesday.com</w:t>
              </w:r>
            </w:hyperlink>
          </w:p>
          <w:p w:rsidR="00F66C8E" w:rsidRPr="00F66C8E" w:rsidP="00473008" w14:paraId="72C9B8A6" w14:textId="77777777">
            <w:pPr>
              <w:pStyle w:val="CommentText"/>
              <w:ind w:left="804"/>
              <w:rPr>
                <w:color w:val="0000FF"/>
                <w:sz w:val="24"/>
                <w:szCs w:val="24"/>
              </w:rPr>
            </w:pPr>
            <w:hyperlink r:id="rId42" w:history="1">
              <w:r w:rsidRPr="00F66C8E">
                <w:rPr>
                  <w:rStyle w:val="Hyperlink"/>
                  <w:color w:val="0000FF"/>
                  <w:sz w:val="24"/>
                  <w:szCs w:val="24"/>
                </w:rPr>
                <w:t>calee@jonesday.com</w:t>
              </w:r>
            </w:hyperlink>
          </w:p>
          <w:p w:rsidR="00F66C8E" w:rsidRPr="00F66C8E" w:rsidP="00473008" w14:paraId="3FBDBAFB" w14:textId="77777777">
            <w:pPr>
              <w:widowControl w:val="0"/>
              <w:ind w:left="777"/>
              <w:rPr>
                <w:color w:val="0000FF"/>
                <w:szCs w:val="24"/>
                <w:u w:val="single"/>
              </w:rPr>
            </w:pPr>
            <w:r w:rsidRPr="00F66C8E">
              <w:rPr>
                <w:color w:val="0000FF"/>
                <w:szCs w:val="24"/>
                <w:u w:val="single"/>
              </w:rPr>
              <w:t>glpetrucci@vorys.com</w:t>
            </w:r>
          </w:p>
          <w:p w:rsidR="00F66C8E" w:rsidRPr="00F66C8E" w:rsidP="00473008" w14:paraId="6CBB00A1" w14:textId="77777777">
            <w:pPr>
              <w:widowControl w:val="0"/>
              <w:ind w:left="777"/>
              <w:rPr>
                <w:color w:val="0000FF"/>
                <w:szCs w:val="24"/>
                <w:u w:val="single"/>
              </w:rPr>
            </w:pPr>
            <w:r w:rsidRPr="00F66C8E">
              <w:rPr>
                <w:color w:val="0000FF"/>
                <w:szCs w:val="24"/>
                <w:u w:val="single"/>
              </w:rPr>
              <w:t>dparram@bricker.com</w:t>
            </w:r>
          </w:p>
          <w:p w:rsidR="00F66C8E" w:rsidRPr="00F66C8E" w:rsidP="00473008" w14:paraId="5D140B56" w14:textId="77777777">
            <w:pPr>
              <w:widowControl w:val="0"/>
              <w:ind w:left="777"/>
              <w:rPr>
                <w:color w:val="0000FF"/>
                <w:szCs w:val="24"/>
                <w:u w:val="single"/>
              </w:rPr>
            </w:pPr>
            <w:r w:rsidRPr="00F66C8E">
              <w:rPr>
                <w:color w:val="0000FF"/>
                <w:szCs w:val="24"/>
                <w:u w:val="single"/>
              </w:rPr>
              <w:t>rmains@bricker.com</w:t>
            </w:r>
          </w:p>
          <w:p w:rsidR="00F66C8E" w:rsidRPr="00F66C8E" w:rsidP="00473008" w14:paraId="6503BCFA" w14:textId="77777777">
            <w:pPr>
              <w:pStyle w:val="CommentText"/>
              <w:ind w:left="804"/>
              <w:rPr>
                <w:color w:val="0000FF"/>
                <w:sz w:val="24"/>
                <w:szCs w:val="24"/>
                <w:u w:val="single"/>
              </w:rPr>
            </w:pPr>
          </w:p>
        </w:tc>
      </w:tr>
      <w:bookmarkEnd w:id="7"/>
    </w:tbl>
    <w:p w:rsidR="00266D86" w:rsidRPr="001D6D5E" w:rsidP="00266D86" w14:paraId="72067477" w14:textId="60BABC73">
      <w:pPr>
        <w:tabs>
          <w:tab w:val="left" w:pos="5081"/>
        </w:tabs>
        <w:rPr>
          <w:szCs w:val="24"/>
        </w:rPr>
      </w:pPr>
    </w:p>
    <w:sectPr w:rsidSect="00266D86">
      <w:headerReference w:type="default" r:id="rId43"/>
      <w:footerReference w:type="even" r:id="rId44"/>
      <w:footerReference w:type="default" r:id="rId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50B3" w14:paraId="66AC4F60" w14:textId="77777777">
    <w:pPr>
      <w:pStyle w:val="Footer"/>
      <w:jc w:val="center"/>
    </w:pPr>
  </w:p>
  <w:p w:rsidR="005E50B3" w14:paraId="7B6DF9C0"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74853390"/>
      <w:docPartObj>
        <w:docPartGallery w:val="Page Numbers (Bottom of Page)"/>
        <w:docPartUnique/>
      </w:docPartObj>
    </w:sdtPr>
    <w:sdtEndPr>
      <w:rPr>
        <w:noProof/>
        <w:szCs w:val="24"/>
      </w:rPr>
    </w:sdtEndPr>
    <w:sdtContent>
      <w:p w:rsidR="00B165B3" w:rsidRPr="00B165B3" w14:paraId="222CDA00" w14:textId="6C62A95D">
        <w:pPr>
          <w:pStyle w:val="Footer"/>
          <w:jc w:val="center"/>
          <w:rPr>
            <w:szCs w:val="24"/>
          </w:rPr>
        </w:pPr>
        <w:r w:rsidRPr="00B165B3">
          <w:rPr>
            <w:szCs w:val="24"/>
          </w:rPr>
          <w:fldChar w:fldCharType="begin"/>
        </w:r>
        <w:r w:rsidRPr="00B165B3">
          <w:rPr>
            <w:szCs w:val="24"/>
          </w:rPr>
          <w:instrText xml:space="preserve"> PAGE   \* MERGEFORMAT </w:instrText>
        </w:r>
        <w:r w:rsidRPr="00B165B3">
          <w:rPr>
            <w:szCs w:val="24"/>
          </w:rPr>
          <w:fldChar w:fldCharType="separate"/>
        </w:r>
        <w:r w:rsidRPr="00B165B3">
          <w:rPr>
            <w:noProof/>
            <w:szCs w:val="24"/>
          </w:rPr>
          <w:t>2</w:t>
        </w:r>
        <w:r w:rsidRPr="00B165B3">
          <w:rPr>
            <w:noProof/>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07671290"/>
      <w:docPartObj>
        <w:docPartGallery w:val="Page Numbers (Bottom of Page)"/>
        <w:docPartUnique/>
      </w:docPartObj>
    </w:sdtPr>
    <w:sdtEndPr>
      <w:rPr>
        <w:noProof/>
      </w:rPr>
    </w:sdtEndPr>
    <w:sdtContent>
      <w:p w:rsidR="005E50B3" w14:paraId="13185F8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05095397"/>
      <w:docPartObj>
        <w:docPartGallery w:val="Page Numbers (Bottom of Page)"/>
        <w:docPartUnique/>
      </w:docPartObj>
    </w:sdtPr>
    <w:sdtEndPr>
      <w:rPr>
        <w:noProof/>
      </w:rPr>
    </w:sdtEndPr>
    <w:sdtContent>
      <w:p w:rsidR="0061608D" w14:paraId="10B0376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1608D" w14:paraId="534B10BC"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42214548"/>
      <w:docPartObj>
        <w:docPartGallery w:val="Page Numbers (Bottom of Page)"/>
        <w:docPartUnique/>
      </w:docPartObj>
    </w:sdtPr>
    <w:sdtEndPr>
      <w:rPr>
        <w:noProof/>
      </w:rPr>
    </w:sdtEndPr>
    <w:sdtContent>
      <w:p w:rsidR="00266D86" w14:paraId="4CD295A8" w14:textId="13DB09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00F02" w:rsidP="00F219D1" w14:paraId="6DBEF53D" w14:textId="77777777">
      <w:r>
        <w:separator/>
      </w:r>
    </w:p>
  </w:footnote>
  <w:footnote w:type="continuationSeparator" w:id="1">
    <w:p w:rsidR="00F00F02" w:rsidP="00F219D1" w14:paraId="2B953ACF" w14:textId="77777777">
      <w:r>
        <w:continuationSeparator/>
      </w:r>
    </w:p>
  </w:footnote>
  <w:footnote w:type="continuationNotice" w:id="2">
    <w:p w:rsidR="00F00F02" w14:paraId="2756FB55" w14:textId="77777777"/>
  </w:footnote>
  <w:footnote w:id="3">
    <w:p w:rsidR="0041656F" w:rsidRPr="0041656F" w:rsidP="0034544C" w14:paraId="71C91EA9" w14:textId="70E27E32">
      <w:pPr>
        <w:pStyle w:val="FootnoteText"/>
        <w:spacing w:after="120"/>
        <w:rPr>
          <w:b w:val="0"/>
          <w:bCs w:val="0"/>
        </w:rPr>
      </w:pPr>
      <w:r w:rsidRPr="0041656F">
        <w:rPr>
          <w:rStyle w:val="FootnoteReference"/>
          <w:b w:val="0"/>
          <w:bCs w:val="0"/>
        </w:rPr>
        <w:footnoteRef/>
      </w:r>
      <w:r w:rsidRPr="0041656F">
        <w:rPr>
          <w:b w:val="0"/>
          <w:bCs w:val="0"/>
        </w:rPr>
        <w:t xml:space="preserve"> </w:t>
      </w:r>
      <w:r>
        <w:rPr>
          <w:b w:val="0"/>
          <w:bCs w:val="0"/>
          <w:i/>
          <w:iCs/>
        </w:rPr>
        <w:t xml:space="preserve">See </w:t>
      </w:r>
      <w:r>
        <w:rPr>
          <w:b w:val="0"/>
          <w:bCs w:val="0"/>
        </w:rPr>
        <w:t>FirstEnergy Corp.’s Motion to Quash at 6-8.</w:t>
      </w:r>
    </w:p>
  </w:footnote>
  <w:footnote w:id="4">
    <w:p w:rsidR="00350484" w:rsidRPr="00350484" w:rsidP="0034544C" w14:paraId="24DC37BD" w14:textId="1BEF9AEF">
      <w:pPr>
        <w:pStyle w:val="FootnoteText"/>
        <w:spacing w:after="120"/>
        <w:rPr>
          <w:b w:val="0"/>
          <w:bCs w:val="0"/>
        </w:rPr>
      </w:pPr>
      <w:r w:rsidRPr="009049A3">
        <w:rPr>
          <w:rStyle w:val="FootnoteReference"/>
          <w:b w:val="0"/>
          <w:bCs w:val="0"/>
        </w:rPr>
        <w:footnoteRef/>
      </w:r>
      <w:r>
        <w:t xml:space="preserve"> </w:t>
      </w:r>
      <w:r w:rsidR="0041656F">
        <w:rPr>
          <w:b w:val="0"/>
          <w:bCs w:val="0"/>
          <w:i/>
          <w:iCs/>
        </w:rPr>
        <w:t xml:space="preserve">Id. </w:t>
      </w:r>
      <w:r w:rsidR="0041656F">
        <w:rPr>
          <w:b w:val="0"/>
          <w:bCs w:val="0"/>
        </w:rPr>
        <w:t>at 8-10.</w:t>
      </w:r>
    </w:p>
  </w:footnote>
  <w:footnote w:id="5">
    <w:p w:rsidR="0041656F" w:rsidRPr="0041656F" w:rsidP="0034544C" w14:paraId="72ACD2F0" w14:textId="2A78426C">
      <w:pPr>
        <w:pStyle w:val="FootnoteText"/>
        <w:spacing w:after="120"/>
        <w:rPr>
          <w:b w:val="0"/>
          <w:bCs w:val="0"/>
        </w:rPr>
      </w:pPr>
      <w:r w:rsidRPr="0041656F">
        <w:rPr>
          <w:rStyle w:val="FootnoteReference"/>
          <w:b w:val="0"/>
          <w:bCs w:val="0"/>
        </w:rPr>
        <w:footnoteRef/>
      </w:r>
      <w:r w:rsidRPr="0041656F">
        <w:rPr>
          <w:b w:val="0"/>
          <w:bCs w:val="0"/>
        </w:rPr>
        <w:t xml:space="preserve"> </w:t>
      </w:r>
      <w:r>
        <w:rPr>
          <w:b w:val="0"/>
          <w:bCs w:val="0"/>
        </w:rPr>
        <w:t>Gratuitously, FirstEnergy Corp. notes that “[t]</w:t>
      </w:r>
      <w:r w:rsidRPr="0041656F">
        <w:rPr>
          <w:b w:val="0"/>
          <w:bCs w:val="0"/>
        </w:rPr>
        <w:t>he FirstEnergy Ohio Utilities have offered to designate a witness to speak on the Utilities’ compliance with R.C. 4928.17 and O.A.C. 4901:1-37, yet OCC has not noticed a deposition of any party witness.</w:t>
      </w:r>
      <w:r>
        <w:rPr>
          <w:b w:val="0"/>
          <w:bCs w:val="0"/>
        </w:rPr>
        <w:t>”</w:t>
      </w:r>
      <w:r w:rsidR="001B1673">
        <w:rPr>
          <w:b w:val="0"/>
          <w:bCs w:val="0"/>
        </w:rPr>
        <w:t xml:space="preserve"> </w:t>
      </w:r>
      <w:r>
        <w:rPr>
          <w:b w:val="0"/>
          <w:bCs w:val="0"/>
          <w:i/>
          <w:iCs/>
        </w:rPr>
        <w:t xml:space="preserve">Id. </w:t>
      </w:r>
      <w:r>
        <w:rPr>
          <w:b w:val="0"/>
          <w:bCs w:val="0"/>
        </w:rPr>
        <w:t>at 1.</w:t>
      </w:r>
      <w:r w:rsidR="001B1673">
        <w:rPr>
          <w:b w:val="0"/>
          <w:bCs w:val="0"/>
        </w:rPr>
        <w:t xml:space="preserve"> </w:t>
      </w:r>
      <w:r>
        <w:rPr>
          <w:b w:val="0"/>
          <w:bCs w:val="0"/>
        </w:rPr>
        <w:t>This is beside the point, as FirstEnergy Corp. itself acknowledges by not making this gratuitous assertion in its argument to quash OCC’s subpoena.</w:t>
      </w:r>
      <w:r w:rsidR="001B1673">
        <w:rPr>
          <w:b w:val="0"/>
          <w:bCs w:val="0"/>
        </w:rPr>
        <w:t xml:space="preserve"> </w:t>
      </w:r>
      <w:r>
        <w:rPr>
          <w:b w:val="0"/>
          <w:bCs w:val="0"/>
        </w:rPr>
        <w:t>In any event, OCC has noticed deposition</w:t>
      </w:r>
      <w:r w:rsidR="003C0280">
        <w:rPr>
          <w:b w:val="0"/>
          <w:bCs w:val="0"/>
        </w:rPr>
        <w:t>s</w:t>
      </w:r>
      <w:r>
        <w:rPr>
          <w:b w:val="0"/>
          <w:bCs w:val="0"/>
        </w:rPr>
        <w:t xml:space="preserve"> of party witnesses. </w:t>
      </w:r>
    </w:p>
  </w:footnote>
  <w:footnote w:id="6">
    <w:p w:rsidR="0041656F" w:rsidRPr="0041656F" w:rsidP="0034544C" w14:paraId="59D29E5C" w14:textId="0F4FC686">
      <w:pPr>
        <w:pStyle w:val="FootnoteText"/>
        <w:spacing w:after="120"/>
        <w:rPr>
          <w:b w:val="0"/>
          <w:bCs w:val="0"/>
        </w:rPr>
      </w:pPr>
      <w:r w:rsidRPr="0041656F">
        <w:rPr>
          <w:rStyle w:val="FootnoteReference"/>
          <w:b w:val="0"/>
          <w:bCs w:val="0"/>
        </w:rPr>
        <w:footnoteRef/>
      </w:r>
      <w:r w:rsidRPr="0041656F">
        <w:rPr>
          <w:b w:val="0"/>
          <w:bCs w:val="0"/>
        </w:rPr>
        <w:t xml:space="preserve"> </w:t>
      </w:r>
      <w:r>
        <w:rPr>
          <w:b w:val="0"/>
          <w:bCs w:val="0"/>
          <w:i/>
          <w:iCs/>
        </w:rPr>
        <w:t xml:space="preserve">Id. </w:t>
      </w:r>
      <w:r>
        <w:rPr>
          <w:b w:val="0"/>
          <w:bCs w:val="0"/>
        </w:rPr>
        <w:t>at 6.</w:t>
      </w:r>
    </w:p>
  </w:footnote>
  <w:footnote w:id="7">
    <w:p w:rsidR="008F3541" w:rsidRPr="008F3541" w:rsidP="0034544C" w14:paraId="5BDD8AC4" w14:textId="375A28D9">
      <w:pPr>
        <w:pStyle w:val="FootnoteText"/>
        <w:spacing w:after="120"/>
        <w:rPr>
          <w:b w:val="0"/>
          <w:bCs w:val="0"/>
          <w:i/>
          <w:iCs/>
        </w:rPr>
      </w:pPr>
      <w:r w:rsidRPr="008F3541">
        <w:rPr>
          <w:rStyle w:val="FootnoteReference"/>
          <w:b w:val="0"/>
          <w:bCs w:val="0"/>
        </w:rPr>
        <w:footnoteRef/>
      </w:r>
      <w:r w:rsidRPr="008F3541">
        <w:rPr>
          <w:b w:val="0"/>
          <w:bCs w:val="0"/>
        </w:rPr>
        <w:t xml:space="preserve"> </w:t>
      </w:r>
      <w:r>
        <w:rPr>
          <w:b w:val="0"/>
          <w:bCs w:val="0"/>
          <w:i/>
          <w:iCs/>
        </w:rPr>
        <w:t>Id.</w:t>
      </w:r>
    </w:p>
  </w:footnote>
  <w:footnote w:id="8">
    <w:p w:rsidR="008F3541" w:rsidRPr="00E95665" w:rsidP="0034544C" w14:paraId="5ABD531A" w14:textId="6EA43064">
      <w:pPr>
        <w:pStyle w:val="FootnoteText"/>
        <w:spacing w:after="120"/>
        <w:rPr>
          <w:b w:val="0"/>
          <w:bCs w:val="0"/>
        </w:rPr>
      </w:pPr>
      <w:r w:rsidRPr="008F3541">
        <w:rPr>
          <w:rStyle w:val="FootnoteReference"/>
          <w:b w:val="0"/>
          <w:bCs w:val="0"/>
        </w:rPr>
        <w:footnoteRef/>
      </w:r>
      <w:r w:rsidRPr="008F3541">
        <w:rPr>
          <w:b w:val="0"/>
          <w:bCs w:val="0"/>
        </w:rPr>
        <w:t xml:space="preserve"> </w:t>
      </w:r>
      <w:r>
        <w:rPr>
          <w:b w:val="0"/>
          <w:bCs w:val="0"/>
          <w:i/>
          <w:iCs/>
        </w:rPr>
        <w:t xml:space="preserve">Id. </w:t>
      </w:r>
      <w:r>
        <w:rPr>
          <w:b w:val="0"/>
          <w:bCs w:val="0"/>
        </w:rPr>
        <w:t>at 7.</w:t>
      </w:r>
      <w:r w:rsidR="001D6D5E">
        <w:rPr>
          <w:b w:val="0"/>
          <w:bCs w:val="0"/>
        </w:rPr>
        <w:t xml:space="preserve"> </w:t>
      </w:r>
      <w:r w:rsidR="00BD7769">
        <w:rPr>
          <w:b w:val="0"/>
          <w:bCs w:val="0"/>
        </w:rPr>
        <w:t>FirstEnergy Corp. does not name the former employee. But it is apparent based on the subpoena that FirstEnergy Corp. is referring to Ms. Ebony Yeboah-Amankwah.</w:t>
      </w:r>
      <w:r w:rsidR="00E95665">
        <w:rPr>
          <w:b w:val="0"/>
          <w:bCs w:val="0"/>
        </w:rPr>
        <w:t xml:space="preserve"> Further, the documentation concerning Ms. Yeboah-Amankwah that OCC </w:t>
      </w:r>
      <w:r w:rsidR="00E95665">
        <w:rPr>
          <w:b w:val="0"/>
          <w:bCs w:val="0"/>
          <w:i/>
          <w:iCs/>
        </w:rPr>
        <w:t xml:space="preserve">actually </w:t>
      </w:r>
      <w:r w:rsidR="00E95665">
        <w:rPr>
          <w:b w:val="0"/>
          <w:bCs w:val="0"/>
        </w:rPr>
        <w:t xml:space="preserve">asked for was defined with much more precision than FirstEnergy Corp. characterizes it. </w:t>
      </w:r>
      <w:r w:rsidR="00E95665">
        <w:rPr>
          <w:b w:val="0"/>
          <w:bCs w:val="0"/>
          <w:i/>
          <w:iCs/>
        </w:rPr>
        <w:t xml:space="preserve">See </w:t>
      </w:r>
      <w:r w:rsidR="00E95665">
        <w:rPr>
          <w:b w:val="0"/>
          <w:bCs w:val="0"/>
        </w:rPr>
        <w:t xml:space="preserve">Subpoena at requests 1, 9, 11, 12, 13, </w:t>
      </w:r>
      <w:r w:rsidR="00B26BE0">
        <w:rPr>
          <w:b w:val="0"/>
          <w:bCs w:val="0"/>
        </w:rPr>
        <w:t xml:space="preserve">and </w:t>
      </w:r>
      <w:r w:rsidR="00E95665">
        <w:rPr>
          <w:b w:val="0"/>
          <w:bCs w:val="0"/>
        </w:rPr>
        <w:t>15</w:t>
      </w:r>
      <w:r w:rsidR="00B26BE0">
        <w:rPr>
          <w:b w:val="0"/>
          <w:bCs w:val="0"/>
        </w:rPr>
        <w:t>.</w:t>
      </w:r>
      <w:r w:rsidR="00E95665">
        <w:rPr>
          <w:b w:val="0"/>
          <w:bCs w:val="0"/>
        </w:rPr>
        <w:t xml:space="preserve"> </w:t>
      </w:r>
    </w:p>
  </w:footnote>
  <w:footnote w:id="9">
    <w:p w:rsidR="00FE692B" w:rsidRPr="003D33FF" w:rsidP="0034544C" w14:paraId="310B488C" w14:textId="77777777">
      <w:pPr>
        <w:pStyle w:val="FootnoteText"/>
        <w:spacing w:after="120"/>
        <w:rPr>
          <w:b w:val="0"/>
          <w:bCs w:val="0"/>
        </w:rPr>
      </w:pPr>
      <w:r w:rsidRPr="003D33FF">
        <w:rPr>
          <w:rStyle w:val="FootnoteReference"/>
          <w:b w:val="0"/>
          <w:bCs w:val="0"/>
        </w:rPr>
        <w:footnoteRef/>
      </w:r>
      <w:r w:rsidRPr="003D33FF">
        <w:rPr>
          <w:b w:val="0"/>
          <w:bCs w:val="0"/>
        </w:rPr>
        <w:t xml:space="preserve"> R.C. 4928.17.</w:t>
      </w:r>
    </w:p>
  </w:footnote>
  <w:footnote w:id="10">
    <w:p w:rsidR="00FE692B" w:rsidRPr="003D33FF" w:rsidP="0034544C" w14:paraId="18EADECE" w14:textId="77777777">
      <w:pPr>
        <w:pStyle w:val="FootnoteText"/>
        <w:spacing w:after="120"/>
        <w:rPr>
          <w:b w:val="0"/>
          <w:bCs w:val="0"/>
        </w:rPr>
      </w:pPr>
      <w:r w:rsidRPr="003D33FF">
        <w:rPr>
          <w:rStyle w:val="FootnoteReference"/>
          <w:b w:val="0"/>
          <w:bCs w:val="0"/>
        </w:rPr>
        <w:footnoteRef/>
      </w:r>
      <w:r w:rsidRPr="003D33FF">
        <w:t xml:space="preserve"> </w:t>
      </w:r>
      <w:r w:rsidRPr="003D33FF">
        <w:rPr>
          <w:b w:val="0"/>
          <w:bCs w:val="0"/>
        </w:rPr>
        <w:t xml:space="preserve">Daymark Audit at 28 (Sept. 13, 2021). </w:t>
      </w:r>
    </w:p>
  </w:footnote>
  <w:footnote w:id="11">
    <w:p w:rsidR="00FE692B" w:rsidRPr="003D33FF" w:rsidP="0034544C" w14:paraId="0572444E" w14:textId="77777777">
      <w:pPr>
        <w:pStyle w:val="FootnoteText"/>
        <w:spacing w:after="120"/>
        <w:rPr>
          <w:b w:val="0"/>
          <w:bCs w:val="0"/>
        </w:rPr>
      </w:pPr>
      <w:r w:rsidRPr="003D33FF">
        <w:rPr>
          <w:rStyle w:val="FootnoteReference"/>
          <w:b w:val="0"/>
          <w:bCs w:val="0"/>
        </w:rPr>
        <w:footnoteRef/>
      </w:r>
      <w:r w:rsidRPr="003D33FF">
        <w:rPr>
          <w:b w:val="0"/>
          <w:bCs w:val="0"/>
        </w:rPr>
        <w:t xml:space="preserve"> </w:t>
      </w:r>
      <w:r w:rsidRPr="003D33FF">
        <w:rPr>
          <w:b w:val="0"/>
          <w:bCs w:val="0"/>
          <w:i/>
          <w:iCs/>
        </w:rPr>
        <w:t>Id</w:t>
      </w:r>
      <w:r w:rsidRPr="003D33FF">
        <w:rPr>
          <w:b w:val="0"/>
          <w:bCs w:val="0"/>
        </w:rPr>
        <w:t xml:space="preserve">. at 29. </w:t>
      </w:r>
    </w:p>
  </w:footnote>
  <w:footnote w:id="12">
    <w:p w:rsidR="00FE692B" w:rsidRPr="00FE692B" w:rsidP="0034544C" w14:paraId="104ECE8B" w14:textId="45EE9C2D">
      <w:pPr>
        <w:pStyle w:val="FootnoteText"/>
        <w:spacing w:after="120"/>
        <w:rPr>
          <w:b w:val="0"/>
          <w:bCs w:val="0"/>
        </w:rPr>
      </w:pPr>
      <w:r w:rsidRPr="00FE692B">
        <w:rPr>
          <w:rStyle w:val="FootnoteReference"/>
          <w:b w:val="0"/>
          <w:bCs w:val="0"/>
        </w:rPr>
        <w:footnoteRef/>
      </w:r>
      <w:r w:rsidRPr="00FE692B">
        <w:rPr>
          <w:b w:val="0"/>
          <w:bCs w:val="0"/>
        </w:rPr>
        <w:t xml:space="preserve"> </w:t>
      </w:r>
      <w:r w:rsidRPr="00FE692B">
        <w:rPr>
          <w:b w:val="0"/>
          <w:bCs w:val="0"/>
          <w:szCs w:val="24"/>
        </w:rPr>
        <w:t xml:space="preserve">(Docket No. </w:t>
      </w:r>
      <w:r w:rsidRPr="00B5155B">
        <w:rPr>
          <w:b w:val="0"/>
          <w:bCs w:val="0"/>
          <w:szCs w:val="24"/>
        </w:rPr>
        <w:t>FA19-1-000</w:t>
      </w:r>
      <w:r w:rsidRPr="00FE692B">
        <w:rPr>
          <w:b w:val="0"/>
          <w:bCs w:val="0"/>
          <w:szCs w:val="24"/>
        </w:rPr>
        <w:t>).</w:t>
      </w:r>
      <w:r w:rsidR="00B16F43">
        <w:rPr>
          <w:b w:val="0"/>
          <w:bCs w:val="0"/>
          <w:szCs w:val="24"/>
        </w:rPr>
        <w:t xml:space="preserve"> </w:t>
      </w:r>
    </w:p>
  </w:footnote>
  <w:footnote w:id="13">
    <w:p w:rsidR="007F1275" w:rsidRPr="007F1275" w:rsidP="0034544C" w14:paraId="08BCE9BD" w14:textId="33EBA203">
      <w:pPr>
        <w:pStyle w:val="FootnoteText"/>
        <w:spacing w:after="120"/>
        <w:rPr>
          <w:b w:val="0"/>
          <w:bCs w:val="0"/>
        </w:rPr>
      </w:pPr>
      <w:r w:rsidRPr="007F1275">
        <w:rPr>
          <w:rStyle w:val="FootnoteReference"/>
          <w:b w:val="0"/>
          <w:bCs w:val="0"/>
        </w:rPr>
        <w:footnoteRef/>
      </w:r>
      <w:r w:rsidRPr="007F1275">
        <w:rPr>
          <w:b w:val="0"/>
          <w:bCs w:val="0"/>
        </w:rPr>
        <w:t xml:space="preserve"> </w:t>
      </w:r>
      <w:r w:rsidRPr="00405441">
        <w:rPr>
          <w:b w:val="0"/>
          <w:bCs w:val="0"/>
          <w:i/>
          <w:iCs/>
        </w:rPr>
        <w:t>See</w:t>
      </w:r>
      <w:r w:rsidRPr="007F1275">
        <w:rPr>
          <w:b w:val="0"/>
          <w:bCs w:val="0"/>
        </w:rPr>
        <w:t xml:space="preserve"> link to FERC Audit: </w:t>
      </w:r>
      <w:hyperlink r:id="rId1" w:history="1">
        <w:r w:rsidRPr="007F1275">
          <w:rPr>
            <w:rStyle w:val="Hyperlink"/>
            <w:b w:val="0"/>
            <w:bCs w:val="0"/>
          </w:rPr>
          <w:t>https://elibrary.ferc.gov/eLibrary/filedownload?fileid=9DDE513A-470F-CAC6-97AD-7EC4D2800000</w:t>
        </w:r>
      </w:hyperlink>
      <w:r w:rsidRPr="007F1275">
        <w:rPr>
          <w:b w:val="0"/>
          <w:bCs w:val="0"/>
        </w:rPr>
        <w:t>.</w:t>
      </w:r>
    </w:p>
  </w:footnote>
  <w:footnote w:id="14">
    <w:p w:rsidR="00474732" w:rsidRPr="00474732" w:rsidP="0034544C" w14:paraId="1FDDD227" w14:textId="167274E4">
      <w:pPr>
        <w:pStyle w:val="FootnoteText"/>
        <w:spacing w:after="120"/>
        <w:rPr>
          <w:b w:val="0"/>
          <w:bCs w:val="0"/>
        </w:rPr>
      </w:pPr>
      <w:r w:rsidRPr="00BB53A9">
        <w:rPr>
          <w:rStyle w:val="FootnoteReference"/>
          <w:b w:val="0"/>
          <w:bCs w:val="0"/>
        </w:rPr>
        <w:footnoteRef/>
      </w:r>
      <w:r w:rsidR="00C33BCB">
        <w:rPr>
          <w:b w:val="0"/>
          <w:bCs w:val="0"/>
          <w:i/>
          <w:iCs/>
        </w:rPr>
        <w:t xml:space="preserve"> </w:t>
      </w:r>
      <w:r w:rsidRPr="00BB53A9" w:rsidR="00BB53A9">
        <w:rPr>
          <w:b w:val="0"/>
          <w:bCs w:val="0"/>
          <w:i/>
          <w:iCs/>
        </w:rPr>
        <w:t>Id.</w:t>
      </w:r>
      <w:r w:rsidRPr="00C33BCB" w:rsidR="00BB53A9">
        <w:rPr>
          <w:b w:val="0"/>
          <w:bCs w:val="0"/>
        </w:rPr>
        <w:t>,</w:t>
      </w:r>
      <w:r w:rsidR="00BB53A9">
        <w:t xml:space="preserve"> </w:t>
      </w:r>
      <w:r>
        <w:rPr>
          <w:b w:val="0"/>
          <w:bCs w:val="0"/>
        </w:rPr>
        <w:t>Audit Report at 48 (Feb. 4, 2022).</w:t>
      </w:r>
      <w:r w:rsidR="0015578E">
        <w:rPr>
          <w:b w:val="0"/>
          <w:bCs w:val="0"/>
        </w:rPr>
        <w:t xml:space="preserve"> </w:t>
      </w:r>
    </w:p>
  </w:footnote>
  <w:footnote w:id="15">
    <w:p w:rsidR="00670E52" w:rsidRPr="00670E52" w:rsidP="0034544C" w14:paraId="365FBB22" w14:textId="1EB15544">
      <w:pPr>
        <w:pStyle w:val="FootnoteText"/>
        <w:spacing w:after="120"/>
        <w:rPr>
          <w:b w:val="0"/>
          <w:bCs w:val="0"/>
        </w:rPr>
      </w:pPr>
      <w:r w:rsidRPr="00670E52">
        <w:rPr>
          <w:rStyle w:val="FootnoteReference"/>
          <w:b w:val="0"/>
          <w:bCs w:val="0"/>
        </w:rPr>
        <w:footnoteRef/>
      </w:r>
      <w:r w:rsidRPr="00670E52">
        <w:rPr>
          <w:b w:val="0"/>
          <w:bCs w:val="0"/>
        </w:rPr>
        <w:t xml:space="preserve"> </w:t>
      </w:r>
      <w:r w:rsidRPr="003503E7">
        <w:rPr>
          <w:b w:val="0"/>
          <w:bCs w:val="0"/>
          <w:i/>
          <w:iCs/>
        </w:rPr>
        <w:t>In the Matter of the Review of the Political and Charitable Spe</w:t>
      </w:r>
      <w:r w:rsidRPr="003503E7" w:rsidR="003503E7">
        <w:rPr>
          <w:b w:val="0"/>
          <w:bCs w:val="0"/>
          <w:i/>
          <w:iCs/>
        </w:rPr>
        <w:t>nding</w:t>
      </w:r>
      <w:r w:rsidR="00B16F43">
        <w:rPr>
          <w:b w:val="0"/>
          <w:bCs w:val="0"/>
          <w:i/>
          <w:iCs/>
        </w:rPr>
        <w:t xml:space="preserve"> </w:t>
      </w:r>
      <w:r w:rsidRPr="003503E7">
        <w:rPr>
          <w:b w:val="0"/>
          <w:bCs w:val="0"/>
          <w:i/>
          <w:iCs/>
        </w:rPr>
        <w:t>by Ohio Edison Company et al.,</w:t>
      </w:r>
      <w:r w:rsidRPr="00670E52">
        <w:rPr>
          <w:b w:val="0"/>
          <w:bCs w:val="0"/>
        </w:rPr>
        <w:t xml:space="preserve"> Case No. 20-1502-EL-UNC, Prehearing Conference, Tr. 55-59 (Mar. 11, 2022). </w:t>
      </w:r>
    </w:p>
  </w:footnote>
  <w:footnote w:id="16">
    <w:p w:rsidR="003503E7" w:rsidP="0034544C" w14:paraId="10E4BD5B" w14:textId="4B69A2A7">
      <w:pPr>
        <w:pStyle w:val="FootnoteText"/>
        <w:spacing w:after="120"/>
      </w:pPr>
      <w:r w:rsidRPr="00321806">
        <w:rPr>
          <w:rStyle w:val="FootnoteReference"/>
          <w:b w:val="0"/>
          <w:bCs w:val="0"/>
        </w:rPr>
        <w:footnoteRef/>
      </w:r>
      <w:r w:rsidRPr="00321806">
        <w:rPr>
          <w:b w:val="0"/>
          <w:bCs w:val="0"/>
        </w:rPr>
        <w:t xml:space="preserve"> </w:t>
      </w:r>
      <w:r w:rsidRPr="00424BEA">
        <w:rPr>
          <w:b w:val="0"/>
          <w:bCs w:val="0"/>
          <w:i/>
          <w:iCs/>
        </w:rPr>
        <w:t>Id</w:t>
      </w:r>
      <w:r w:rsidRPr="003503E7">
        <w:rPr>
          <w:b w:val="0"/>
          <w:bCs w:val="0"/>
        </w:rPr>
        <w:t>. Tr. 37, 56-59.</w:t>
      </w:r>
      <w:r w:rsidR="00B16F43">
        <w:t xml:space="preserve"> </w:t>
      </w:r>
    </w:p>
  </w:footnote>
  <w:footnote w:id="17">
    <w:p w:rsidR="00B330CF" w:rsidP="0034544C" w14:paraId="07592C93" w14:textId="3D5D416B">
      <w:pPr>
        <w:pStyle w:val="FootnoteText"/>
        <w:spacing w:after="120"/>
      </w:pPr>
      <w:r w:rsidRPr="00390BAE">
        <w:rPr>
          <w:rStyle w:val="FootnoteReference"/>
          <w:b w:val="0"/>
          <w:bCs w:val="0"/>
        </w:rPr>
        <w:footnoteRef/>
      </w:r>
      <w:r w:rsidR="00390BAE">
        <w:rPr>
          <w:b w:val="0"/>
          <w:bCs w:val="0"/>
          <w:i/>
          <w:iCs/>
        </w:rPr>
        <w:t xml:space="preserve"> </w:t>
      </w:r>
      <w:r w:rsidRPr="00B330CF">
        <w:rPr>
          <w:b w:val="0"/>
          <w:bCs w:val="0"/>
          <w:i/>
          <w:iCs/>
        </w:rPr>
        <w:t>In the Matter of the Review of the Political and Charitable Spending by Ohio Edison Company, the Cleveland Electric Illuminating Company, and the Toledo Edison Company</w:t>
      </w:r>
      <w:r w:rsidRPr="00B330CF">
        <w:rPr>
          <w:b w:val="0"/>
          <w:bCs w:val="0"/>
        </w:rPr>
        <w:t>, Case No. 20-1502-EL-UNC, Entry (Apr. 6, 2022).</w:t>
      </w:r>
      <w:r w:rsidR="001D6D5E">
        <w:t xml:space="preserve"> </w:t>
      </w:r>
    </w:p>
  </w:footnote>
  <w:footnote w:id="18">
    <w:p w:rsidR="001D0454" w:rsidRPr="006A31C0" w:rsidP="0034544C" w14:paraId="18B6F9E0" w14:textId="406C69F0">
      <w:pPr>
        <w:pStyle w:val="FootnoteText"/>
        <w:spacing w:after="120"/>
        <w:rPr>
          <w:b w:val="0"/>
          <w:bCs w:val="0"/>
        </w:rPr>
      </w:pPr>
      <w:r w:rsidRPr="006A31C0">
        <w:rPr>
          <w:rStyle w:val="FootnoteReference"/>
          <w:b w:val="0"/>
          <w:bCs w:val="0"/>
        </w:rPr>
        <w:footnoteRef/>
      </w:r>
      <w:r w:rsidRPr="006A31C0">
        <w:rPr>
          <w:b w:val="0"/>
          <w:bCs w:val="0"/>
        </w:rPr>
        <w:t xml:space="preserve"> </w:t>
      </w:r>
      <w:r>
        <w:rPr>
          <w:b w:val="0"/>
          <w:bCs w:val="0"/>
        </w:rPr>
        <w:t xml:space="preserve">OCC’s Motion for Subpoena at 1; </w:t>
      </w:r>
      <w:r>
        <w:rPr>
          <w:b w:val="0"/>
          <w:bCs w:val="0"/>
          <w:i/>
          <w:iCs/>
        </w:rPr>
        <w:t>see also</w:t>
      </w:r>
      <w:r w:rsidR="00480041">
        <w:rPr>
          <w:b w:val="0"/>
          <w:bCs w:val="0"/>
          <w:i/>
          <w:iCs/>
        </w:rPr>
        <w:t xml:space="preserve"> </w:t>
      </w:r>
      <w:r w:rsidR="00125BEE">
        <w:rPr>
          <w:b w:val="0"/>
          <w:bCs w:val="0"/>
          <w:i/>
          <w:iCs/>
        </w:rPr>
        <w:t>I</w:t>
      </w:r>
      <w:r>
        <w:rPr>
          <w:b w:val="0"/>
          <w:bCs w:val="0"/>
          <w:i/>
          <w:iCs/>
        </w:rPr>
        <w:t xml:space="preserve">d. </w:t>
      </w:r>
      <w:r>
        <w:rPr>
          <w:b w:val="0"/>
          <w:bCs w:val="0"/>
        </w:rPr>
        <w:t>at 7.</w:t>
      </w:r>
    </w:p>
  </w:footnote>
  <w:footnote w:id="19">
    <w:p w:rsidR="001D0454" w:rsidRPr="006A31C0" w:rsidP="0034544C" w14:paraId="3E9CBC66" w14:textId="77777777">
      <w:pPr>
        <w:pStyle w:val="FootnoteText"/>
        <w:spacing w:after="120"/>
        <w:rPr>
          <w:b w:val="0"/>
          <w:bCs w:val="0"/>
          <w:i/>
          <w:iCs/>
        </w:rPr>
      </w:pPr>
      <w:r w:rsidRPr="006A31C0">
        <w:rPr>
          <w:rStyle w:val="FootnoteReference"/>
          <w:b w:val="0"/>
          <w:bCs w:val="0"/>
        </w:rPr>
        <w:footnoteRef/>
      </w:r>
      <w:r w:rsidRPr="006A31C0">
        <w:rPr>
          <w:b w:val="0"/>
          <w:bCs w:val="0"/>
        </w:rPr>
        <w:t xml:space="preserve"> </w:t>
      </w:r>
      <w:r>
        <w:rPr>
          <w:b w:val="0"/>
          <w:bCs w:val="0"/>
          <w:i/>
          <w:iCs/>
        </w:rPr>
        <w:t>Id.</w:t>
      </w:r>
    </w:p>
  </w:footnote>
  <w:footnote w:id="20">
    <w:p w:rsidR="001D0454" w:rsidRPr="006A31C0" w:rsidP="0034544C" w14:paraId="1DF46D79" w14:textId="77777777">
      <w:pPr>
        <w:pStyle w:val="FootnoteText"/>
        <w:spacing w:after="120"/>
        <w:rPr>
          <w:b w:val="0"/>
          <w:bCs w:val="0"/>
        </w:rPr>
      </w:pPr>
      <w:r w:rsidRPr="006A31C0">
        <w:rPr>
          <w:rStyle w:val="FootnoteReference"/>
          <w:b w:val="0"/>
          <w:bCs w:val="0"/>
        </w:rPr>
        <w:footnoteRef/>
      </w:r>
      <w:r w:rsidRPr="006A31C0">
        <w:rPr>
          <w:b w:val="0"/>
          <w:bCs w:val="0"/>
        </w:rPr>
        <w:t xml:space="preserve"> </w:t>
      </w:r>
      <w:r>
        <w:rPr>
          <w:b w:val="0"/>
          <w:bCs w:val="0"/>
          <w:i/>
          <w:iCs/>
        </w:rPr>
        <w:t xml:space="preserve">Id. </w:t>
      </w:r>
      <w:r>
        <w:rPr>
          <w:b w:val="0"/>
          <w:bCs w:val="0"/>
        </w:rPr>
        <w:t>at 2.</w:t>
      </w:r>
    </w:p>
  </w:footnote>
  <w:footnote w:id="21">
    <w:p w:rsidR="001D0454" w:rsidRPr="00670DAB" w:rsidP="0034544C" w14:paraId="45187B52" w14:textId="77777777">
      <w:pPr>
        <w:pStyle w:val="FootnoteText"/>
        <w:spacing w:after="120"/>
        <w:rPr>
          <w:b w:val="0"/>
          <w:bCs w:val="0"/>
        </w:rPr>
      </w:pPr>
      <w:r w:rsidRPr="00670DAB">
        <w:rPr>
          <w:rStyle w:val="FootnoteReference"/>
          <w:b w:val="0"/>
          <w:bCs w:val="0"/>
        </w:rPr>
        <w:footnoteRef/>
      </w:r>
      <w:r w:rsidRPr="00670DAB">
        <w:rPr>
          <w:b w:val="0"/>
          <w:bCs w:val="0"/>
        </w:rPr>
        <w:t xml:space="preserve"> </w:t>
      </w:r>
      <w:r>
        <w:rPr>
          <w:b w:val="0"/>
          <w:bCs w:val="0"/>
          <w:i/>
          <w:iCs/>
        </w:rPr>
        <w:t xml:space="preserve">Id. </w:t>
      </w:r>
      <w:r>
        <w:rPr>
          <w:b w:val="0"/>
          <w:bCs w:val="0"/>
        </w:rPr>
        <w:t>at 3-4.</w:t>
      </w:r>
    </w:p>
  </w:footnote>
  <w:footnote w:id="22">
    <w:p w:rsidR="001E2E24" w:rsidRPr="000A350C" w:rsidP="0034544C" w14:paraId="36B17AE7" w14:textId="77777777">
      <w:pPr>
        <w:pStyle w:val="FootnoteText"/>
        <w:spacing w:after="120"/>
        <w:rPr>
          <w:b w:val="0"/>
          <w:bCs w:val="0"/>
        </w:rPr>
      </w:pPr>
      <w:r w:rsidRPr="000A350C">
        <w:rPr>
          <w:rStyle w:val="FootnoteReference"/>
          <w:b w:val="0"/>
          <w:bCs w:val="0"/>
        </w:rPr>
        <w:footnoteRef/>
      </w:r>
      <w:r w:rsidRPr="000A350C">
        <w:rPr>
          <w:b w:val="0"/>
          <w:bCs w:val="0"/>
        </w:rPr>
        <w:t xml:space="preserve"> </w:t>
      </w:r>
      <w:r>
        <w:rPr>
          <w:b w:val="0"/>
          <w:bCs w:val="0"/>
        </w:rPr>
        <w:t>Motion to Quash at 7.</w:t>
      </w:r>
    </w:p>
  </w:footnote>
  <w:footnote w:id="23">
    <w:p w:rsidR="001E2E24" w:rsidRPr="00482063" w:rsidP="0034544C" w14:paraId="51C4C410" w14:textId="25EC54AE">
      <w:pPr>
        <w:pStyle w:val="FootnoteText"/>
        <w:spacing w:after="120"/>
        <w:rPr>
          <w:b w:val="0"/>
          <w:bCs w:val="0"/>
        </w:rPr>
      </w:pPr>
      <w:r w:rsidRPr="000F427B">
        <w:rPr>
          <w:rStyle w:val="FootnoteReference"/>
          <w:b w:val="0"/>
          <w:bCs w:val="0"/>
        </w:rPr>
        <w:footnoteRef/>
      </w:r>
      <w:r w:rsidRPr="000F427B">
        <w:rPr>
          <w:b w:val="0"/>
          <w:bCs w:val="0"/>
        </w:rPr>
        <w:t xml:space="preserve"> </w:t>
      </w:r>
      <w:r>
        <w:rPr>
          <w:b w:val="0"/>
          <w:bCs w:val="0"/>
          <w:i/>
          <w:iCs/>
        </w:rPr>
        <w:t xml:space="preserve">See </w:t>
      </w:r>
      <w:r>
        <w:rPr>
          <w:b w:val="0"/>
          <w:bCs w:val="0"/>
        </w:rPr>
        <w:t>OCC’s Memorandum Contra Motion to Quash (Mar. 22, 2022).</w:t>
      </w:r>
    </w:p>
  </w:footnote>
  <w:footnote w:id="24">
    <w:p w:rsidR="001E2E24" w:rsidRPr="001E2E24" w:rsidP="0034544C" w14:paraId="29B2A45F" w14:textId="2CC802A4">
      <w:pPr>
        <w:pStyle w:val="FootnoteText"/>
        <w:spacing w:after="120"/>
        <w:rPr>
          <w:b w:val="0"/>
          <w:bCs w:val="0"/>
          <w:i/>
          <w:iCs/>
        </w:rPr>
      </w:pPr>
      <w:r w:rsidRPr="001E2E24">
        <w:rPr>
          <w:rStyle w:val="FootnoteReference"/>
          <w:b w:val="0"/>
          <w:bCs w:val="0"/>
        </w:rPr>
        <w:footnoteRef/>
      </w:r>
      <w:r w:rsidRPr="001E2E24">
        <w:rPr>
          <w:b w:val="0"/>
          <w:bCs w:val="0"/>
        </w:rPr>
        <w:t xml:space="preserve"> </w:t>
      </w:r>
      <w:r>
        <w:rPr>
          <w:b w:val="0"/>
          <w:bCs w:val="0"/>
          <w:i/>
          <w:iCs/>
        </w:rPr>
        <w:t xml:space="preserve">See generally </w:t>
      </w:r>
      <w:r w:rsidR="00DF5C61">
        <w:rPr>
          <w:b w:val="0"/>
          <w:bCs w:val="0"/>
          <w:i/>
          <w:iCs/>
        </w:rPr>
        <w:t>I</w:t>
      </w:r>
      <w:r>
        <w:rPr>
          <w:b w:val="0"/>
          <w:bCs w:val="0"/>
          <w:i/>
          <w:iCs/>
        </w:rPr>
        <w:t>d.</w:t>
      </w:r>
    </w:p>
  </w:footnote>
  <w:footnote w:id="25">
    <w:p w:rsidR="001E2E24" w:rsidRPr="001E2E24" w:rsidP="0034544C" w14:paraId="0F9A105D" w14:textId="314EB620">
      <w:pPr>
        <w:pStyle w:val="FootnoteText"/>
        <w:spacing w:after="120"/>
        <w:rPr>
          <w:b w:val="0"/>
          <w:bCs w:val="0"/>
        </w:rPr>
      </w:pPr>
      <w:r w:rsidRPr="001E2E24">
        <w:rPr>
          <w:rStyle w:val="FootnoteReference"/>
          <w:b w:val="0"/>
          <w:bCs w:val="0"/>
        </w:rPr>
        <w:footnoteRef/>
      </w:r>
      <w:r w:rsidRPr="001E2E24">
        <w:rPr>
          <w:b w:val="0"/>
          <w:bCs w:val="0"/>
        </w:rPr>
        <w:t xml:space="preserve"> </w:t>
      </w:r>
      <w:r>
        <w:rPr>
          <w:b w:val="0"/>
          <w:bCs w:val="0"/>
          <w:i/>
          <w:iCs/>
        </w:rPr>
        <w:t xml:space="preserve">See </w:t>
      </w:r>
      <w:r>
        <w:rPr>
          <w:b w:val="0"/>
          <w:bCs w:val="0"/>
        </w:rPr>
        <w:t>Ebony Yeboah</w:t>
      </w:r>
      <w:r w:rsidR="00E95665">
        <w:rPr>
          <w:b w:val="0"/>
          <w:bCs w:val="0"/>
        </w:rPr>
        <w:t xml:space="preserve">-Amankwah’s Motion to Quash the Office of the Ohio Consumer Counsel’s Subpoena (Mar. 7, 2022) </w:t>
      </w:r>
      <w:r>
        <w:rPr>
          <w:b w:val="0"/>
          <w:bCs w:val="0"/>
        </w:rPr>
        <w:t>at 6</w:t>
      </w:r>
      <w:r w:rsidR="00E95665">
        <w:rPr>
          <w:b w:val="0"/>
          <w:bCs w:val="0"/>
        </w:rPr>
        <w:t>.</w:t>
      </w:r>
    </w:p>
  </w:footnote>
  <w:footnote w:id="26">
    <w:p w:rsidR="00E95665" w:rsidRPr="00E95665" w:rsidP="0034544C" w14:paraId="56DBE84E" w14:textId="79DBF7BA">
      <w:pPr>
        <w:pStyle w:val="FootnoteText"/>
        <w:spacing w:after="120"/>
        <w:rPr>
          <w:b w:val="0"/>
          <w:bCs w:val="0"/>
        </w:rPr>
      </w:pPr>
      <w:r w:rsidRPr="00E95665">
        <w:rPr>
          <w:rStyle w:val="FootnoteReference"/>
          <w:b w:val="0"/>
          <w:bCs w:val="0"/>
        </w:rPr>
        <w:footnoteRef/>
      </w:r>
      <w:r w:rsidRPr="00E95665">
        <w:rPr>
          <w:b w:val="0"/>
          <w:bCs w:val="0"/>
        </w:rPr>
        <w:t xml:space="preserve"> </w:t>
      </w:r>
      <w:r>
        <w:rPr>
          <w:b w:val="0"/>
          <w:bCs w:val="0"/>
        </w:rPr>
        <w:t>Motion to Quash at 7.</w:t>
      </w:r>
    </w:p>
  </w:footnote>
  <w:footnote w:id="27">
    <w:p w:rsidR="00D410EE" w:rsidRPr="00670DAB" w:rsidP="0034544C" w14:paraId="34BA5F66" w14:textId="77777777">
      <w:pPr>
        <w:pStyle w:val="FootnoteText"/>
        <w:spacing w:after="120"/>
        <w:rPr>
          <w:b w:val="0"/>
          <w:bCs w:val="0"/>
        </w:rPr>
      </w:pPr>
      <w:r w:rsidRPr="00670DAB">
        <w:rPr>
          <w:rStyle w:val="FootnoteReference"/>
          <w:b w:val="0"/>
          <w:bCs w:val="0"/>
        </w:rPr>
        <w:footnoteRef/>
      </w:r>
      <w:r w:rsidRPr="00670DAB">
        <w:rPr>
          <w:b w:val="0"/>
          <w:bCs w:val="0"/>
        </w:rPr>
        <w:t xml:space="preserve"> </w:t>
      </w:r>
      <w:r>
        <w:rPr>
          <w:b w:val="0"/>
          <w:bCs w:val="0"/>
          <w:i/>
          <w:iCs/>
        </w:rPr>
        <w:t xml:space="preserve">Id. </w:t>
      </w:r>
      <w:r>
        <w:rPr>
          <w:b w:val="0"/>
          <w:bCs w:val="0"/>
        </w:rPr>
        <w:t>at 3-4.</w:t>
      </w:r>
    </w:p>
  </w:footnote>
  <w:footnote w:id="28">
    <w:p w:rsidR="00766D5C" w:rsidRPr="00766D5C" w:rsidP="0034544C" w14:paraId="5803076B" w14:textId="6A99C1E1">
      <w:pPr>
        <w:pStyle w:val="FootnoteText"/>
        <w:spacing w:after="120"/>
        <w:rPr>
          <w:b w:val="0"/>
          <w:bCs w:val="0"/>
        </w:rPr>
      </w:pPr>
      <w:r w:rsidRPr="009049A3">
        <w:rPr>
          <w:rStyle w:val="FootnoteReference"/>
          <w:b w:val="0"/>
          <w:bCs w:val="0"/>
        </w:rPr>
        <w:footnoteRef/>
      </w:r>
      <w:r>
        <w:t xml:space="preserve"> </w:t>
      </w:r>
      <w:r>
        <w:rPr>
          <w:b w:val="0"/>
          <w:bCs w:val="0"/>
          <w:i/>
          <w:iCs/>
        </w:rPr>
        <w:t xml:space="preserve">See </w:t>
      </w:r>
      <w:r>
        <w:rPr>
          <w:b w:val="0"/>
          <w:bCs w:val="0"/>
        </w:rPr>
        <w:t>Motion to Quash at 7-8.</w:t>
      </w:r>
    </w:p>
  </w:footnote>
  <w:footnote w:id="29">
    <w:p w:rsidR="00766D5C" w:rsidRPr="006642A5" w:rsidP="0034544C" w14:paraId="7729926F" w14:textId="21504610">
      <w:pPr>
        <w:pStyle w:val="FootnoteText"/>
        <w:spacing w:after="120"/>
        <w:rPr>
          <w:b w:val="0"/>
          <w:bCs w:val="0"/>
        </w:rPr>
      </w:pPr>
      <w:r w:rsidRPr="006642A5">
        <w:rPr>
          <w:rStyle w:val="FootnoteReference"/>
          <w:b w:val="0"/>
          <w:bCs w:val="0"/>
        </w:rPr>
        <w:footnoteRef/>
      </w:r>
      <w:r w:rsidRPr="006642A5">
        <w:rPr>
          <w:b w:val="0"/>
          <w:bCs w:val="0"/>
        </w:rPr>
        <w:t xml:space="preserve"> Case No. 17-974-EL-UNC, Entry, at ¶</w:t>
      </w:r>
      <w:r w:rsidR="00FB0B59">
        <w:rPr>
          <w:b w:val="0"/>
          <w:bCs w:val="0"/>
        </w:rPr>
        <w:t xml:space="preserve"> </w:t>
      </w:r>
      <w:r w:rsidRPr="006642A5">
        <w:rPr>
          <w:b w:val="0"/>
          <w:bCs w:val="0"/>
        </w:rPr>
        <w:t>18(a) (Sept. 17, 2021) (“The deadline for the service of discovery, except for notices of deposition, shall be set for November 1, 2021.”)</w:t>
      </w:r>
      <w:r w:rsidR="006642A5">
        <w:rPr>
          <w:b w:val="0"/>
          <w:bCs w:val="0"/>
        </w:rPr>
        <w:t xml:space="preserve">; </w:t>
      </w:r>
      <w:r w:rsidRPr="006642A5" w:rsidR="006642A5">
        <w:rPr>
          <w:b w:val="0"/>
          <w:bCs w:val="0"/>
        </w:rPr>
        <w:t>Case No. 17-974-EL-UNC, Entry, at ¶</w:t>
      </w:r>
      <w:r w:rsidR="00FB0B59">
        <w:rPr>
          <w:b w:val="0"/>
          <w:bCs w:val="0"/>
        </w:rPr>
        <w:t xml:space="preserve"> </w:t>
      </w:r>
      <w:r w:rsidRPr="006642A5" w:rsidR="006642A5">
        <w:rPr>
          <w:b w:val="0"/>
          <w:bCs w:val="0"/>
        </w:rPr>
        <w:t>24(a) (Oct. 12, 2021) (extending discovery cut-off to Nov</w:t>
      </w:r>
      <w:r w:rsidR="00551CA1">
        <w:rPr>
          <w:b w:val="0"/>
          <w:bCs w:val="0"/>
        </w:rPr>
        <w:t>.</w:t>
      </w:r>
      <w:r w:rsidRPr="006642A5" w:rsidR="006642A5">
        <w:rPr>
          <w:b w:val="0"/>
          <w:bCs w:val="0"/>
        </w:rPr>
        <w:t xml:space="preserve"> 24, 2021)</w:t>
      </w:r>
      <w:r w:rsidRPr="006642A5">
        <w:rPr>
          <w:b w:val="0"/>
          <w:bCs w:val="0"/>
        </w:rPr>
        <w:t>.</w:t>
      </w:r>
    </w:p>
  </w:footnote>
  <w:footnote w:id="30">
    <w:p w:rsidR="001D0454" w:rsidP="0034544C" w14:paraId="0BBEFA60" w14:textId="01788C32">
      <w:pPr>
        <w:pStyle w:val="FootnoteText"/>
        <w:spacing w:after="120"/>
      </w:pPr>
      <w:r w:rsidRPr="00DE2718">
        <w:rPr>
          <w:rStyle w:val="FootnoteReference"/>
          <w:b w:val="0"/>
          <w:bCs w:val="0"/>
        </w:rPr>
        <w:footnoteRef/>
      </w:r>
      <w:r>
        <w:t xml:space="preserve"> </w:t>
      </w:r>
      <w:r w:rsidRPr="006642A5">
        <w:rPr>
          <w:b w:val="0"/>
          <w:bCs w:val="0"/>
        </w:rPr>
        <w:t>Case No. 17-974-EL-UNC, Entry, at ¶</w:t>
      </w:r>
      <w:r w:rsidR="00C60928">
        <w:rPr>
          <w:b w:val="0"/>
          <w:bCs w:val="0"/>
        </w:rPr>
        <w:t xml:space="preserve"> </w:t>
      </w:r>
      <w:r w:rsidRPr="006642A5">
        <w:rPr>
          <w:b w:val="0"/>
          <w:bCs w:val="0"/>
        </w:rPr>
        <w:t>18(a) (Sept. 17, 2021)</w:t>
      </w:r>
      <w:r>
        <w:rPr>
          <w:b w:val="0"/>
          <w:bCs w:val="0"/>
        </w:rPr>
        <w:t>.</w:t>
      </w:r>
    </w:p>
  </w:footnote>
  <w:footnote w:id="31">
    <w:p w:rsidR="009F4071" w:rsidRPr="00BA3434" w:rsidP="0034544C" w14:paraId="1EF81B3D" w14:textId="07AF5CCB">
      <w:pPr>
        <w:pStyle w:val="FootnoteText"/>
        <w:spacing w:after="120"/>
        <w:rPr>
          <w:b w:val="0"/>
          <w:bCs w:val="0"/>
        </w:rPr>
      </w:pPr>
      <w:r w:rsidRPr="00321806">
        <w:rPr>
          <w:rStyle w:val="FootnoteReference"/>
          <w:b w:val="0"/>
          <w:bCs w:val="0"/>
        </w:rPr>
        <w:footnoteRef/>
      </w:r>
      <w:r>
        <w:t xml:space="preserve"> </w:t>
      </w:r>
      <w:r>
        <w:rPr>
          <w:b w:val="0"/>
          <w:bCs w:val="0"/>
          <w:i/>
          <w:iCs/>
        </w:rPr>
        <w:t xml:space="preserve">See, e.g., </w:t>
      </w:r>
      <w:r>
        <w:rPr>
          <w:b w:val="0"/>
          <w:bCs w:val="0"/>
        </w:rPr>
        <w:t>Motion to Quash at 4.</w:t>
      </w:r>
    </w:p>
  </w:footnote>
  <w:footnote w:id="32">
    <w:p w:rsidR="009F4071" w:rsidRPr="00BA3434" w:rsidP="0034544C" w14:paraId="2FA05A0B" w14:textId="07BA6CD0">
      <w:pPr>
        <w:pStyle w:val="FootnoteText"/>
        <w:spacing w:after="120"/>
        <w:rPr>
          <w:b w:val="0"/>
          <w:bCs w:val="0"/>
        </w:rPr>
      </w:pPr>
      <w:r w:rsidRPr="00321806">
        <w:rPr>
          <w:rStyle w:val="FootnoteReference"/>
          <w:b w:val="0"/>
          <w:bCs w:val="0"/>
        </w:rPr>
        <w:footnoteRef/>
      </w:r>
      <w:r>
        <w:t xml:space="preserve"> </w:t>
      </w:r>
      <w:r w:rsidRPr="008B7A28">
        <w:rPr>
          <w:b w:val="0"/>
          <w:bCs w:val="0"/>
          <w:i/>
          <w:iCs/>
        </w:rPr>
        <w:t>United States of America v. FirstEnergy Corp.,</w:t>
      </w:r>
      <w:r w:rsidRPr="00BA3434">
        <w:rPr>
          <w:b w:val="0"/>
          <w:bCs w:val="0"/>
        </w:rPr>
        <w:t xml:space="preserve"> Case No. 1:21-cr-86, Deferred Prosecution Agreement (Jul. 22,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2590" w14:paraId="5743B5D0" w14:textId="77777777">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795AD6"/>
    <w:multiLevelType w:val="hybridMultilevel"/>
    <w:tmpl w:val="062AFBD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3682069"/>
    <w:multiLevelType w:val="hybridMultilevel"/>
    <w:tmpl w:val="C17A1312"/>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15C72CDC"/>
    <w:multiLevelType w:val="hybridMultilevel"/>
    <w:tmpl w:val="84182E3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8E27CA"/>
    <w:multiLevelType w:val="hybridMultilevel"/>
    <w:tmpl w:val="8516FFE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24E47EED"/>
    <w:multiLevelType w:val="hybridMultilevel"/>
    <w:tmpl w:val="81F8A446"/>
    <w:lvl w:ilvl="0">
      <w:start w:val="1"/>
      <w:numFmt w:val="upperLetter"/>
      <w:pStyle w:val="Heading2"/>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89E705C"/>
    <w:multiLevelType w:val="hybridMultilevel"/>
    <w:tmpl w:val="C1567A8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2D072D03"/>
    <w:multiLevelType w:val="hybridMultilevel"/>
    <w:tmpl w:val="A5CAD15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9BA4CE3"/>
    <w:multiLevelType w:val="hybridMultilevel"/>
    <w:tmpl w:val="733E7A7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F056EC6"/>
    <w:multiLevelType w:val="hybridMultilevel"/>
    <w:tmpl w:val="DA163FC8"/>
    <w:lvl w:ilvl="0">
      <w:start w:val="1"/>
      <w:numFmt w:val="upperLetter"/>
      <w:lvlText w:val="%1."/>
      <w:lvlJc w:val="left"/>
      <w:pPr>
        <w:ind w:left="1800" w:hanging="990"/>
      </w:pPr>
      <w:rPr>
        <w:rFonts w:hint="default"/>
        <w:b/>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9">
    <w:nsid w:val="413B2DC6"/>
    <w:multiLevelType w:val="hybridMultilevel"/>
    <w:tmpl w:val="84BC8F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B49522D"/>
    <w:multiLevelType w:val="hybridMultilevel"/>
    <w:tmpl w:val="DC4E2ECC"/>
    <w:lvl w:ilvl="0">
      <w:start w:val="1"/>
      <w:numFmt w:val="upperLetter"/>
      <w:lvlText w:val="%1."/>
      <w:lvlJc w:val="left"/>
      <w:pPr>
        <w:ind w:left="1800" w:hanging="990"/>
      </w:pPr>
      <w:rPr>
        <w:rFonts w:hint="default"/>
        <w:b/>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11">
    <w:nsid w:val="5EF81B1A"/>
    <w:multiLevelType w:val="hybridMultilevel"/>
    <w:tmpl w:val="F1E696F6"/>
    <w:lvl w:ilvl="0">
      <w:start w:val="1"/>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FBD7F31"/>
    <w:multiLevelType w:val="hybridMultilevel"/>
    <w:tmpl w:val="BA74AE9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2796ECA"/>
    <w:multiLevelType w:val="hybridMultilevel"/>
    <w:tmpl w:val="9B4658A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75144116"/>
    <w:multiLevelType w:val="hybridMultilevel"/>
    <w:tmpl w:val="76ECB39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8F684F"/>
    <w:multiLevelType w:val="hybridMultilevel"/>
    <w:tmpl w:val="2A7AE02C"/>
    <w:lvl w:ilvl="0">
      <w:start w:val="1"/>
      <w:numFmt w:val="upperRoman"/>
      <w:lvlText w:val="%1."/>
      <w:lvlJc w:val="left"/>
      <w:pPr>
        <w:ind w:left="297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9131712"/>
    <w:multiLevelType w:val="hybridMultilevel"/>
    <w:tmpl w:val="318AD49E"/>
    <w:lvl w:ilvl="0">
      <w:start w:val="4"/>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BC4594B"/>
    <w:multiLevelType w:val="hybridMultilevel"/>
    <w:tmpl w:val="CF6ACDEC"/>
    <w:lvl w:ilvl="0">
      <w:start w:val="1"/>
      <w:numFmt w:val="upperLetter"/>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8">
    <w:nsid w:val="7E013A65"/>
    <w:multiLevelType w:val="hybridMultilevel"/>
    <w:tmpl w:val="FDE8460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7EB52879"/>
    <w:multiLevelType w:val="hybridMultilevel"/>
    <w:tmpl w:val="0BB6CB64"/>
    <w:lvl w:ilvl="0">
      <w:start w:val="10"/>
      <w:numFmt w:val="bullet"/>
      <w:lvlText w:val=""/>
      <w:lvlJc w:val="left"/>
      <w:pPr>
        <w:ind w:left="1800" w:hanging="360"/>
      </w:pPr>
      <w:rPr>
        <w:rFonts w:ascii="Symbol" w:hAnsi="Symbol" w:eastAsiaTheme="minorHAnsi"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14"/>
  </w:num>
  <w:num w:numId="2">
    <w:abstractNumId w:val="15"/>
  </w:num>
  <w:num w:numId="3">
    <w:abstractNumId w:val="7"/>
  </w:num>
  <w:num w:numId="4">
    <w:abstractNumId w:val="5"/>
  </w:num>
  <w:num w:numId="5">
    <w:abstractNumId w:val="1"/>
  </w:num>
  <w:num w:numId="6">
    <w:abstractNumId w:val="1"/>
    <w:lvlOverride w:ilvl="0">
      <w:startOverride w:val="1"/>
    </w:lvlOverride>
  </w:num>
  <w:num w:numId="7">
    <w:abstractNumId w:val="1"/>
    <w:lvlOverride w:ilvl="0">
      <w:startOverride w:val="1"/>
    </w:lvlOverride>
  </w:num>
  <w:num w:numId="8">
    <w:abstractNumId w:val="3"/>
  </w:num>
  <w:num w:numId="9">
    <w:abstractNumId w:val="18"/>
  </w:num>
  <w:num w:numId="10">
    <w:abstractNumId w:val="17"/>
  </w:num>
  <w:num w:numId="11">
    <w:abstractNumId w:val="13"/>
  </w:num>
  <w:num w:numId="12">
    <w:abstractNumId w:val="16"/>
  </w:num>
  <w:num w:numId="13">
    <w:abstractNumId w:val="19"/>
  </w:num>
  <w:num w:numId="14">
    <w:abstractNumId w:val="10"/>
  </w:num>
  <w:num w:numId="15">
    <w:abstractNumId w:val="8"/>
  </w:num>
  <w:num w:numId="16">
    <w:abstractNumId w:val="10"/>
    <w:lvlOverride w:ilvl="0">
      <w:startOverride w:val="1"/>
    </w:lvlOverride>
  </w:num>
  <w:num w:numId="17">
    <w:abstractNumId w:val="4"/>
  </w:num>
  <w:num w:numId="18">
    <w:abstractNumId w:val="9"/>
  </w:num>
  <w:num w:numId="19">
    <w:abstractNumId w:val="6"/>
  </w:num>
  <w:num w:numId="20">
    <w:abstractNumId w:val="2"/>
  </w:num>
  <w:num w:numId="21">
    <w:abstractNumId w:val="11"/>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2EA"/>
    <w:rsid w:val="0000053C"/>
    <w:rsid w:val="00000F6F"/>
    <w:rsid w:val="00001BAF"/>
    <w:rsid w:val="00004D0A"/>
    <w:rsid w:val="00005108"/>
    <w:rsid w:val="000064CA"/>
    <w:rsid w:val="00007165"/>
    <w:rsid w:val="00012B24"/>
    <w:rsid w:val="00013800"/>
    <w:rsid w:val="00014515"/>
    <w:rsid w:val="00014974"/>
    <w:rsid w:val="0001513F"/>
    <w:rsid w:val="00015A12"/>
    <w:rsid w:val="00016A85"/>
    <w:rsid w:val="00017972"/>
    <w:rsid w:val="000203A9"/>
    <w:rsid w:val="000206F7"/>
    <w:rsid w:val="00024882"/>
    <w:rsid w:val="00025E6F"/>
    <w:rsid w:val="0002629A"/>
    <w:rsid w:val="000275DD"/>
    <w:rsid w:val="000313BB"/>
    <w:rsid w:val="00032005"/>
    <w:rsid w:val="00032099"/>
    <w:rsid w:val="00037221"/>
    <w:rsid w:val="00037357"/>
    <w:rsid w:val="000377FE"/>
    <w:rsid w:val="00037EC2"/>
    <w:rsid w:val="00040A34"/>
    <w:rsid w:val="00041AE8"/>
    <w:rsid w:val="000438AF"/>
    <w:rsid w:val="0005217A"/>
    <w:rsid w:val="000551AB"/>
    <w:rsid w:val="00055A1C"/>
    <w:rsid w:val="00057EC7"/>
    <w:rsid w:val="00060274"/>
    <w:rsid w:val="00060BA0"/>
    <w:rsid w:val="00061C44"/>
    <w:rsid w:val="00063D3D"/>
    <w:rsid w:val="00064762"/>
    <w:rsid w:val="00064E5A"/>
    <w:rsid w:val="0006540C"/>
    <w:rsid w:val="000655CA"/>
    <w:rsid w:val="0006568A"/>
    <w:rsid w:val="00065AC3"/>
    <w:rsid w:val="00065D7B"/>
    <w:rsid w:val="00066725"/>
    <w:rsid w:val="00067CEC"/>
    <w:rsid w:val="00070701"/>
    <w:rsid w:val="00072899"/>
    <w:rsid w:val="000729A6"/>
    <w:rsid w:val="0007352B"/>
    <w:rsid w:val="00074DD3"/>
    <w:rsid w:val="00077A46"/>
    <w:rsid w:val="000818A9"/>
    <w:rsid w:val="000835B2"/>
    <w:rsid w:val="00084A86"/>
    <w:rsid w:val="00087869"/>
    <w:rsid w:val="00091451"/>
    <w:rsid w:val="00091DDC"/>
    <w:rsid w:val="00092E7F"/>
    <w:rsid w:val="0009319D"/>
    <w:rsid w:val="00093263"/>
    <w:rsid w:val="00096478"/>
    <w:rsid w:val="00096867"/>
    <w:rsid w:val="000969A8"/>
    <w:rsid w:val="00097E7A"/>
    <w:rsid w:val="000A1DED"/>
    <w:rsid w:val="000A350C"/>
    <w:rsid w:val="000A6653"/>
    <w:rsid w:val="000B0E98"/>
    <w:rsid w:val="000B1D1F"/>
    <w:rsid w:val="000B2075"/>
    <w:rsid w:val="000B2FE2"/>
    <w:rsid w:val="000B5DEF"/>
    <w:rsid w:val="000B7475"/>
    <w:rsid w:val="000B7479"/>
    <w:rsid w:val="000C099B"/>
    <w:rsid w:val="000C0A43"/>
    <w:rsid w:val="000C3A86"/>
    <w:rsid w:val="000C7E23"/>
    <w:rsid w:val="000C7E80"/>
    <w:rsid w:val="000D0EC3"/>
    <w:rsid w:val="000D18C7"/>
    <w:rsid w:val="000D1C5E"/>
    <w:rsid w:val="000D2F76"/>
    <w:rsid w:val="000D3B7C"/>
    <w:rsid w:val="000D40A1"/>
    <w:rsid w:val="000D68F5"/>
    <w:rsid w:val="000D6C27"/>
    <w:rsid w:val="000D7227"/>
    <w:rsid w:val="000E1A1F"/>
    <w:rsid w:val="000E1C1B"/>
    <w:rsid w:val="000E41A6"/>
    <w:rsid w:val="000E5CD9"/>
    <w:rsid w:val="000E7A47"/>
    <w:rsid w:val="000F0F5F"/>
    <w:rsid w:val="000F1514"/>
    <w:rsid w:val="000F1B21"/>
    <w:rsid w:val="000F2C57"/>
    <w:rsid w:val="000F427B"/>
    <w:rsid w:val="000F4783"/>
    <w:rsid w:val="000F4ACD"/>
    <w:rsid w:val="000F6DFE"/>
    <w:rsid w:val="000F747E"/>
    <w:rsid w:val="000F74D3"/>
    <w:rsid w:val="000F7DE3"/>
    <w:rsid w:val="0010262B"/>
    <w:rsid w:val="001029A4"/>
    <w:rsid w:val="00102EBB"/>
    <w:rsid w:val="00104905"/>
    <w:rsid w:val="00107C26"/>
    <w:rsid w:val="001127CD"/>
    <w:rsid w:val="00112988"/>
    <w:rsid w:val="00113322"/>
    <w:rsid w:val="00113715"/>
    <w:rsid w:val="00117595"/>
    <w:rsid w:val="00120C08"/>
    <w:rsid w:val="00120DBC"/>
    <w:rsid w:val="00122815"/>
    <w:rsid w:val="00123326"/>
    <w:rsid w:val="00125BEE"/>
    <w:rsid w:val="00126CB5"/>
    <w:rsid w:val="001277BC"/>
    <w:rsid w:val="00131CEE"/>
    <w:rsid w:val="00134A5D"/>
    <w:rsid w:val="001357A9"/>
    <w:rsid w:val="00135E70"/>
    <w:rsid w:val="001364C8"/>
    <w:rsid w:val="00137700"/>
    <w:rsid w:val="00137CD6"/>
    <w:rsid w:val="00137F2B"/>
    <w:rsid w:val="001405B1"/>
    <w:rsid w:val="00141533"/>
    <w:rsid w:val="00141B3F"/>
    <w:rsid w:val="00145FB3"/>
    <w:rsid w:val="00146228"/>
    <w:rsid w:val="001467CA"/>
    <w:rsid w:val="00146D57"/>
    <w:rsid w:val="001479F2"/>
    <w:rsid w:val="00151E96"/>
    <w:rsid w:val="0015578E"/>
    <w:rsid w:val="00155A7B"/>
    <w:rsid w:val="00160181"/>
    <w:rsid w:val="0016079F"/>
    <w:rsid w:val="00162088"/>
    <w:rsid w:val="00164E67"/>
    <w:rsid w:val="00165A92"/>
    <w:rsid w:val="00170553"/>
    <w:rsid w:val="00171CD8"/>
    <w:rsid w:val="001775AC"/>
    <w:rsid w:val="00177979"/>
    <w:rsid w:val="0018031A"/>
    <w:rsid w:val="00180959"/>
    <w:rsid w:val="0018269A"/>
    <w:rsid w:val="0018294C"/>
    <w:rsid w:val="00183E36"/>
    <w:rsid w:val="001862C2"/>
    <w:rsid w:val="00186FB2"/>
    <w:rsid w:val="00190518"/>
    <w:rsid w:val="00191977"/>
    <w:rsid w:val="001930AB"/>
    <w:rsid w:val="00193DDA"/>
    <w:rsid w:val="001965D3"/>
    <w:rsid w:val="00197020"/>
    <w:rsid w:val="001978B4"/>
    <w:rsid w:val="001A02AF"/>
    <w:rsid w:val="001A1ADB"/>
    <w:rsid w:val="001A21F1"/>
    <w:rsid w:val="001A52B2"/>
    <w:rsid w:val="001A6C43"/>
    <w:rsid w:val="001A7D6F"/>
    <w:rsid w:val="001B0797"/>
    <w:rsid w:val="001B1673"/>
    <w:rsid w:val="001B19CC"/>
    <w:rsid w:val="001B256A"/>
    <w:rsid w:val="001B4EE5"/>
    <w:rsid w:val="001B580C"/>
    <w:rsid w:val="001B616C"/>
    <w:rsid w:val="001B77D9"/>
    <w:rsid w:val="001B77E5"/>
    <w:rsid w:val="001C1270"/>
    <w:rsid w:val="001C389B"/>
    <w:rsid w:val="001C4AF0"/>
    <w:rsid w:val="001C4B65"/>
    <w:rsid w:val="001C7147"/>
    <w:rsid w:val="001C799F"/>
    <w:rsid w:val="001C79B2"/>
    <w:rsid w:val="001C7C57"/>
    <w:rsid w:val="001C7CBF"/>
    <w:rsid w:val="001D0454"/>
    <w:rsid w:val="001D115B"/>
    <w:rsid w:val="001D177D"/>
    <w:rsid w:val="001D1E48"/>
    <w:rsid w:val="001D38E8"/>
    <w:rsid w:val="001D3EF5"/>
    <w:rsid w:val="001D409A"/>
    <w:rsid w:val="001D5906"/>
    <w:rsid w:val="001D5D8C"/>
    <w:rsid w:val="001D6014"/>
    <w:rsid w:val="001D6D5E"/>
    <w:rsid w:val="001D7401"/>
    <w:rsid w:val="001E07A6"/>
    <w:rsid w:val="001E1DE0"/>
    <w:rsid w:val="001E2832"/>
    <w:rsid w:val="001E2E24"/>
    <w:rsid w:val="001E5E3B"/>
    <w:rsid w:val="001F00B3"/>
    <w:rsid w:val="001F53AB"/>
    <w:rsid w:val="002004DA"/>
    <w:rsid w:val="0020073C"/>
    <w:rsid w:val="002008A8"/>
    <w:rsid w:val="002010C3"/>
    <w:rsid w:val="00203E24"/>
    <w:rsid w:val="00204E98"/>
    <w:rsid w:val="002052E9"/>
    <w:rsid w:val="0020759D"/>
    <w:rsid w:val="00212805"/>
    <w:rsid w:val="00212CAF"/>
    <w:rsid w:val="00213019"/>
    <w:rsid w:val="002135BF"/>
    <w:rsid w:val="00214355"/>
    <w:rsid w:val="00215F28"/>
    <w:rsid w:val="00216499"/>
    <w:rsid w:val="00216E45"/>
    <w:rsid w:val="00220800"/>
    <w:rsid w:val="0022201E"/>
    <w:rsid w:val="002232D8"/>
    <w:rsid w:val="00224930"/>
    <w:rsid w:val="002251F9"/>
    <w:rsid w:val="00225D30"/>
    <w:rsid w:val="00226283"/>
    <w:rsid w:val="002268B9"/>
    <w:rsid w:val="00226B2E"/>
    <w:rsid w:val="00227213"/>
    <w:rsid w:val="002326CA"/>
    <w:rsid w:val="002371AB"/>
    <w:rsid w:val="00243468"/>
    <w:rsid w:val="00246EED"/>
    <w:rsid w:val="002521DB"/>
    <w:rsid w:val="00252A84"/>
    <w:rsid w:val="00253841"/>
    <w:rsid w:val="00253E76"/>
    <w:rsid w:val="00254D5B"/>
    <w:rsid w:val="00255992"/>
    <w:rsid w:val="002604FA"/>
    <w:rsid w:val="0026217A"/>
    <w:rsid w:val="00262784"/>
    <w:rsid w:val="0026389F"/>
    <w:rsid w:val="002644BD"/>
    <w:rsid w:val="002650B9"/>
    <w:rsid w:val="002666C4"/>
    <w:rsid w:val="00266D86"/>
    <w:rsid w:val="0027041E"/>
    <w:rsid w:val="00271782"/>
    <w:rsid w:val="0027499C"/>
    <w:rsid w:val="002752FB"/>
    <w:rsid w:val="00277B14"/>
    <w:rsid w:val="00281A60"/>
    <w:rsid w:val="002865C3"/>
    <w:rsid w:val="002900A1"/>
    <w:rsid w:val="0029145D"/>
    <w:rsid w:val="00292D92"/>
    <w:rsid w:val="00292F68"/>
    <w:rsid w:val="002932B7"/>
    <w:rsid w:val="002A00BA"/>
    <w:rsid w:val="002A261C"/>
    <w:rsid w:val="002A6EAF"/>
    <w:rsid w:val="002A7ECB"/>
    <w:rsid w:val="002B0AE1"/>
    <w:rsid w:val="002B12FB"/>
    <w:rsid w:val="002B48E2"/>
    <w:rsid w:val="002B539C"/>
    <w:rsid w:val="002B581C"/>
    <w:rsid w:val="002C256E"/>
    <w:rsid w:val="002C339A"/>
    <w:rsid w:val="002C58F3"/>
    <w:rsid w:val="002C6236"/>
    <w:rsid w:val="002C7156"/>
    <w:rsid w:val="002C79E0"/>
    <w:rsid w:val="002D1093"/>
    <w:rsid w:val="002D1E7B"/>
    <w:rsid w:val="002D2FD9"/>
    <w:rsid w:val="002D4AB1"/>
    <w:rsid w:val="002D716C"/>
    <w:rsid w:val="002E077F"/>
    <w:rsid w:val="002E14B0"/>
    <w:rsid w:val="002E2A07"/>
    <w:rsid w:val="002E2DA8"/>
    <w:rsid w:val="002E596C"/>
    <w:rsid w:val="002E75F1"/>
    <w:rsid w:val="002E7604"/>
    <w:rsid w:val="002F0842"/>
    <w:rsid w:val="002F4D14"/>
    <w:rsid w:val="002F57BE"/>
    <w:rsid w:val="002F6AF5"/>
    <w:rsid w:val="002F700D"/>
    <w:rsid w:val="002F7997"/>
    <w:rsid w:val="003024E6"/>
    <w:rsid w:val="00302580"/>
    <w:rsid w:val="00302D3F"/>
    <w:rsid w:val="0030383E"/>
    <w:rsid w:val="00303D3F"/>
    <w:rsid w:val="00304F7E"/>
    <w:rsid w:val="003062AA"/>
    <w:rsid w:val="0030768E"/>
    <w:rsid w:val="00311DB3"/>
    <w:rsid w:val="00315987"/>
    <w:rsid w:val="003159AC"/>
    <w:rsid w:val="00316FB5"/>
    <w:rsid w:val="00317B9B"/>
    <w:rsid w:val="00317EA3"/>
    <w:rsid w:val="00320A0A"/>
    <w:rsid w:val="00321806"/>
    <w:rsid w:val="00322213"/>
    <w:rsid w:val="00322352"/>
    <w:rsid w:val="0032557B"/>
    <w:rsid w:val="00326642"/>
    <w:rsid w:val="00326F5B"/>
    <w:rsid w:val="003279A6"/>
    <w:rsid w:val="0033153E"/>
    <w:rsid w:val="00331871"/>
    <w:rsid w:val="003330D2"/>
    <w:rsid w:val="00335924"/>
    <w:rsid w:val="003360BF"/>
    <w:rsid w:val="003379E1"/>
    <w:rsid w:val="0034206D"/>
    <w:rsid w:val="003432AD"/>
    <w:rsid w:val="00343F10"/>
    <w:rsid w:val="0034544C"/>
    <w:rsid w:val="003503E7"/>
    <w:rsid w:val="00350484"/>
    <w:rsid w:val="0035164C"/>
    <w:rsid w:val="00356FD4"/>
    <w:rsid w:val="0035739A"/>
    <w:rsid w:val="00357E6A"/>
    <w:rsid w:val="00357F44"/>
    <w:rsid w:val="003614AA"/>
    <w:rsid w:val="0036167C"/>
    <w:rsid w:val="00362A91"/>
    <w:rsid w:val="003635AC"/>
    <w:rsid w:val="0036413E"/>
    <w:rsid w:val="0036494D"/>
    <w:rsid w:val="00366615"/>
    <w:rsid w:val="003677F2"/>
    <w:rsid w:val="003703DA"/>
    <w:rsid w:val="00370906"/>
    <w:rsid w:val="00372876"/>
    <w:rsid w:val="003754F0"/>
    <w:rsid w:val="00375E11"/>
    <w:rsid w:val="00375E2D"/>
    <w:rsid w:val="003762E1"/>
    <w:rsid w:val="00377DDF"/>
    <w:rsid w:val="00384988"/>
    <w:rsid w:val="00384D72"/>
    <w:rsid w:val="0038588B"/>
    <w:rsid w:val="00386DD7"/>
    <w:rsid w:val="003875F6"/>
    <w:rsid w:val="00390BAE"/>
    <w:rsid w:val="003932EA"/>
    <w:rsid w:val="00394390"/>
    <w:rsid w:val="00394E6F"/>
    <w:rsid w:val="003A07D2"/>
    <w:rsid w:val="003A2641"/>
    <w:rsid w:val="003A3F62"/>
    <w:rsid w:val="003A5451"/>
    <w:rsid w:val="003A6394"/>
    <w:rsid w:val="003A6E86"/>
    <w:rsid w:val="003B0510"/>
    <w:rsid w:val="003B1B2E"/>
    <w:rsid w:val="003B3C43"/>
    <w:rsid w:val="003B4221"/>
    <w:rsid w:val="003B5D05"/>
    <w:rsid w:val="003B5E77"/>
    <w:rsid w:val="003B70DB"/>
    <w:rsid w:val="003B72CB"/>
    <w:rsid w:val="003B7464"/>
    <w:rsid w:val="003B7D4B"/>
    <w:rsid w:val="003C0280"/>
    <w:rsid w:val="003C0828"/>
    <w:rsid w:val="003C0F3D"/>
    <w:rsid w:val="003C29B0"/>
    <w:rsid w:val="003C5AAC"/>
    <w:rsid w:val="003C60F7"/>
    <w:rsid w:val="003C6948"/>
    <w:rsid w:val="003D0D32"/>
    <w:rsid w:val="003D2593"/>
    <w:rsid w:val="003D33FF"/>
    <w:rsid w:val="003D41DE"/>
    <w:rsid w:val="003D5002"/>
    <w:rsid w:val="003E3061"/>
    <w:rsid w:val="003E6EBF"/>
    <w:rsid w:val="003E75CF"/>
    <w:rsid w:val="003F14D3"/>
    <w:rsid w:val="003F1E55"/>
    <w:rsid w:val="003F2BE6"/>
    <w:rsid w:val="003F2FFD"/>
    <w:rsid w:val="003F479A"/>
    <w:rsid w:val="003F535A"/>
    <w:rsid w:val="003F7232"/>
    <w:rsid w:val="004000BC"/>
    <w:rsid w:val="0040068F"/>
    <w:rsid w:val="004008B4"/>
    <w:rsid w:val="00402C52"/>
    <w:rsid w:val="00403814"/>
    <w:rsid w:val="00405441"/>
    <w:rsid w:val="00410724"/>
    <w:rsid w:val="00410ED7"/>
    <w:rsid w:val="004113FC"/>
    <w:rsid w:val="0041201B"/>
    <w:rsid w:val="00414C8B"/>
    <w:rsid w:val="0041656F"/>
    <w:rsid w:val="004166D3"/>
    <w:rsid w:val="00416A44"/>
    <w:rsid w:val="0041740A"/>
    <w:rsid w:val="004236E5"/>
    <w:rsid w:val="004236E8"/>
    <w:rsid w:val="00424BEA"/>
    <w:rsid w:val="00424E46"/>
    <w:rsid w:val="00425C33"/>
    <w:rsid w:val="00426455"/>
    <w:rsid w:val="00430DCE"/>
    <w:rsid w:val="00430FF9"/>
    <w:rsid w:val="00435759"/>
    <w:rsid w:val="00435951"/>
    <w:rsid w:val="00436C05"/>
    <w:rsid w:val="00437608"/>
    <w:rsid w:val="00437B9B"/>
    <w:rsid w:val="00443CB0"/>
    <w:rsid w:val="00444A99"/>
    <w:rsid w:val="00451E0C"/>
    <w:rsid w:val="004527C7"/>
    <w:rsid w:val="00454933"/>
    <w:rsid w:val="004549AD"/>
    <w:rsid w:val="00454EC9"/>
    <w:rsid w:val="00454EDF"/>
    <w:rsid w:val="00460041"/>
    <w:rsid w:val="00463951"/>
    <w:rsid w:val="00463D79"/>
    <w:rsid w:val="00463F89"/>
    <w:rsid w:val="00464DC6"/>
    <w:rsid w:val="00465701"/>
    <w:rsid w:val="00465FE5"/>
    <w:rsid w:val="00466893"/>
    <w:rsid w:val="0046751F"/>
    <w:rsid w:val="004676DB"/>
    <w:rsid w:val="00472552"/>
    <w:rsid w:val="00473008"/>
    <w:rsid w:val="00474732"/>
    <w:rsid w:val="00474C2B"/>
    <w:rsid w:val="00475D3A"/>
    <w:rsid w:val="00480041"/>
    <w:rsid w:val="00480443"/>
    <w:rsid w:val="004806D0"/>
    <w:rsid w:val="00482063"/>
    <w:rsid w:val="00482B92"/>
    <w:rsid w:val="0048520C"/>
    <w:rsid w:val="0048630F"/>
    <w:rsid w:val="00487B4A"/>
    <w:rsid w:val="00490C08"/>
    <w:rsid w:val="0049253A"/>
    <w:rsid w:val="00492A3E"/>
    <w:rsid w:val="00492AFE"/>
    <w:rsid w:val="00494681"/>
    <w:rsid w:val="00494F12"/>
    <w:rsid w:val="00495ABC"/>
    <w:rsid w:val="004967F4"/>
    <w:rsid w:val="004978AB"/>
    <w:rsid w:val="004A188B"/>
    <w:rsid w:val="004A199D"/>
    <w:rsid w:val="004A2301"/>
    <w:rsid w:val="004A26CD"/>
    <w:rsid w:val="004A3104"/>
    <w:rsid w:val="004A4B13"/>
    <w:rsid w:val="004A550B"/>
    <w:rsid w:val="004A5A15"/>
    <w:rsid w:val="004A64FE"/>
    <w:rsid w:val="004A68B5"/>
    <w:rsid w:val="004A6E82"/>
    <w:rsid w:val="004B2DE3"/>
    <w:rsid w:val="004B3AD5"/>
    <w:rsid w:val="004B4315"/>
    <w:rsid w:val="004B4BC8"/>
    <w:rsid w:val="004B4E5E"/>
    <w:rsid w:val="004B514D"/>
    <w:rsid w:val="004B6C08"/>
    <w:rsid w:val="004B76AB"/>
    <w:rsid w:val="004C0229"/>
    <w:rsid w:val="004C1145"/>
    <w:rsid w:val="004C1D3B"/>
    <w:rsid w:val="004C1FE5"/>
    <w:rsid w:val="004C6B46"/>
    <w:rsid w:val="004C7A47"/>
    <w:rsid w:val="004D0C02"/>
    <w:rsid w:val="004D2592"/>
    <w:rsid w:val="004D2632"/>
    <w:rsid w:val="004D4CED"/>
    <w:rsid w:val="004D5374"/>
    <w:rsid w:val="004D7F77"/>
    <w:rsid w:val="004E125D"/>
    <w:rsid w:val="004E517B"/>
    <w:rsid w:val="004E5944"/>
    <w:rsid w:val="004E5DF0"/>
    <w:rsid w:val="004E609D"/>
    <w:rsid w:val="004E6490"/>
    <w:rsid w:val="004E69A3"/>
    <w:rsid w:val="004E7B62"/>
    <w:rsid w:val="004F1A72"/>
    <w:rsid w:val="004F1EC9"/>
    <w:rsid w:val="004F5265"/>
    <w:rsid w:val="004F5268"/>
    <w:rsid w:val="004F5DD3"/>
    <w:rsid w:val="004F6201"/>
    <w:rsid w:val="005002CD"/>
    <w:rsid w:val="005056D9"/>
    <w:rsid w:val="00505CBB"/>
    <w:rsid w:val="00506D9E"/>
    <w:rsid w:val="00510A6D"/>
    <w:rsid w:val="00511404"/>
    <w:rsid w:val="00511BFC"/>
    <w:rsid w:val="0051453E"/>
    <w:rsid w:val="00516BC5"/>
    <w:rsid w:val="005173D2"/>
    <w:rsid w:val="005179EC"/>
    <w:rsid w:val="00517C19"/>
    <w:rsid w:val="00520C68"/>
    <w:rsid w:val="0052110B"/>
    <w:rsid w:val="0052370A"/>
    <w:rsid w:val="005262CF"/>
    <w:rsid w:val="00526F44"/>
    <w:rsid w:val="00527620"/>
    <w:rsid w:val="00527F79"/>
    <w:rsid w:val="00530075"/>
    <w:rsid w:val="00531953"/>
    <w:rsid w:val="005319CF"/>
    <w:rsid w:val="00534558"/>
    <w:rsid w:val="00535039"/>
    <w:rsid w:val="00536BE7"/>
    <w:rsid w:val="00540469"/>
    <w:rsid w:val="0054169A"/>
    <w:rsid w:val="00542F15"/>
    <w:rsid w:val="0054329A"/>
    <w:rsid w:val="00544DD2"/>
    <w:rsid w:val="005469AB"/>
    <w:rsid w:val="005476B8"/>
    <w:rsid w:val="005477C9"/>
    <w:rsid w:val="00550DE9"/>
    <w:rsid w:val="00551B51"/>
    <w:rsid w:val="00551CA1"/>
    <w:rsid w:val="005530E1"/>
    <w:rsid w:val="005533EE"/>
    <w:rsid w:val="00555CB9"/>
    <w:rsid w:val="005569DF"/>
    <w:rsid w:val="00556A1F"/>
    <w:rsid w:val="00556FBE"/>
    <w:rsid w:val="0056013E"/>
    <w:rsid w:val="00560179"/>
    <w:rsid w:val="00560619"/>
    <w:rsid w:val="00562AD5"/>
    <w:rsid w:val="00562D6B"/>
    <w:rsid w:val="00563EA6"/>
    <w:rsid w:val="00564704"/>
    <w:rsid w:val="005670F7"/>
    <w:rsid w:val="005674F9"/>
    <w:rsid w:val="00570854"/>
    <w:rsid w:val="00571A19"/>
    <w:rsid w:val="005759D6"/>
    <w:rsid w:val="00576388"/>
    <w:rsid w:val="0058098D"/>
    <w:rsid w:val="00580ECF"/>
    <w:rsid w:val="00580F2B"/>
    <w:rsid w:val="00582536"/>
    <w:rsid w:val="0058349E"/>
    <w:rsid w:val="00583507"/>
    <w:rsid w:val="00583774"/>
    <w:rsid w:val="00583B35"/>
    <w:rsid w:val="00583EF3"/>
    <w:rsid w:val="005846B4"/>
    <w:rsid w:val="005901C9"/>
    <w:rsid w:val="0059155A"/>
    <w:rsid w:val="005944FB"/>
    <w:rsid w:val="00594693"/>
    <w:rsid w:val="005A05D0"/>
    <w:rsid w:val="005A087E"/>
    <w:rsid w:val="005A19B8"/>
    <w:rsid w:val="005A1E45"/>
    <w:rsid w:val="005A22AE"/>
    <w:rsid w:val="005A267C"/>
    <w:rsid w:val="005A28E3"/>
    <w:rsid w:val="005A2FA6"/>
    <w:rsid w:val="005A42B8"/>
    <w:rsid w:val="005A5693"/>
    <w:rsid w:val="005A7590"/>
    <w:rsid w:val="005B15BD"/>
    <w:rsid w:val="005B1A38"/>
    <w:rsid w:val="005B3D08"/>
    <w:rsid w:val="005B3F02"/>
    <w:rsid w:val="005B6CFF"/>
    <w:rsid w:val="005B74FF"/>
    <w:rsid w:val="005B7828"/>
    <w:rsid w:val="005C3F48"/>
    <w:rsid w:val="005C57D7"/>
    <w:rsid w:val="005C6133"/>
    <w:rsid w:val="005C79BA"/>
    <w:rsid w:val="005C7BDD"/>
    <w:rsid w:val="005D0B1B"/>
    <w:rsid w:val="005D1CE3"/>
    <w:rsid w:val="005D2D59"/>
    <w:rsid w:val="005D4D06"/>
    <w:rsid w:val="005D4E8D"/>
    <w:rsid w:val="005D5C93"/>
    <w:rsid w:val="005D79F2"/>
    <w:rsid w:val="005E1553"/>
    <w:rsid w:val="005E50B3"/>
    <w:rsid w:val="005E5E4D"/>
    <w:rsid w:val="005F112E"/>
    <w:rsid w:val="005F204A"/>
    <w:rsid w:val="005F2CD3"/>
    <w:rsid w:val="005F575C"/>
    <w:rsid w:val="005F6536"/>
    <w:rsid w:val="0060145B"/>
    <w:rsid w:val="00603A1D"/>
    <w:rsid w:val="00605694"/>
    <w:rsid w:val="00607BDD"/>
    <w:rsid w:val="00612136"/>
    <w:rsid w:val="00612492"/>
    <w:rsid w:val="0061608D"/>
    <w:rsid w:val="00616CCF"/>
    <w:rsid w:val="006170B9"/>
    <w:rsid w:val="0062420E"/>
    <w:rsid w:val="00624790"/>
    <w:rsid w:val="00624885"/>
    <w:rsid w:val="00625FAB"/>
    <w:rsid w:val="00626A65"/>
    <w:rsid w:val="00627720"/>
    <w:rsid w:val="0063190B"/>
    <w:rsid w:val="00632EB9"/>
    <w:rsid w:val="006356E7"/>
    <w:rsid w:val="006360EE"/>
    <w:rsid w:val="006363B6"/>
    <w:rsid w:val="00637B9B"/>
    <w:rsid w:val="0064187A"/>
    <w:rsid w:val="00642046"/>
    <w:rsid w:val="00643349"/>
    <w:rsid w:val="00645FB8"/>
    <w:rsid w:val="006527AC"/>
    <w:rsid w:val="0065342D"/>
    <w:rsid w:val="0065353B"/>
    <w:rsid w:val="00653A42"/>
    <w:rsid w:val="00655EC0"/>
    <w:rsid w:val="006564B7"/>
    <w:rsid w:val="00656B4A"/>
    <w:rsid w:val="006572D2"/>
    <w:rsid w:val="00657FE2"/>
    <w:rsid w:val="00660C8D"/>
    <w:rsid w:val="00660D37"/>
    <w:rsid w:val="00662548"/>
    <w:rsid w:val="00662F13"/>
    <w:rsid w:val="006642A5"/>
    <w:rsid w:val="006648A3"/>
    <w:rsid w:val="00664962"/>
    <w:rsid w:val="00665448"/>
    <w:rsid w:val="006656DB"/>
    <w:rsid w:val="00665707"/>
    <w:rsid w:val="006663B8"/>
    <w:rsid w:val="006671E6"/>
    <w:rsid w:val="00670DAB"/>
    <w:rsid w:val="00670E52"/>
    <w:rsid w:val="00671A30"/>
    <w:rsid w:val="00674312"/>
    <w:rsid w:val="00674B4F"/>
    <w:rsid w:val="00674BAF"/>
    <w:rsid w:val="00675484"/>
    <w:rsid w:val="006756C7"/>
    <w:rsid w:val="00675881"/>
    <w:rsid w:val="00676F98"/>
    <w:rsid w:val="006775FF"/>
    <w:rsid w:val="0068009C"/>
    <w:rsid w:val="00681A80"/>
    <w:rsid w:val="006828E4"/>
    <w:rsid w:val="006868C2"/>
    <w:rsid w:val="00686DE0"/>
    <w:rsid w:val="00690E56"/>
    <w:rsid w:val="00691014"/>
    <w:rsid w:val="00692F1D"/>
    <w:rsid w:val="00694651"/>
    <w:rsid w:val="00694BAF"/>
    <w:rsid w:val="006963ED"/>
    <w:rsid w:val="006A16DF"/>
    <w:rsid w:val="006A29E5"/>
    <w:rsid w:val="006A31C0"/>
    <w:rsid w:val="006A33F4"/>
    <w:rsid w:val="006A4C9A"/>
    <w:rsid w:val="006B2111"/>
    <w:rsid w:val="006B2A51"/>
    <w:rsid w:val="006B639A"/>
    <w:rsid w:val="006B640A"/>
    <w:rsid w:val="006C0B2B"/>
    <w:rsid w:val="006C2514"/>
    <w:rsid w:val="006C30E1"/>
    <w:rsid w:val="006C37E3"/>
    <w:rsid w:val="006C6DDD"/>
    <w:rsid w:val="006D0355"/>
    <w:rsid w:val="006D17BF"/>
    <w:rsid w:val="006D1B1C"/>
    <w:rsid w:val="006D2275"/>
    <w:rsid w:val="006D2609"/>
    <w:rsid w:val="006D3BE2"/>
    <w:rsid w:val="006D3E66"/>
    <w:rsid w:val="006D4D67"/>
    <w:rsid w:val="006D6B47"/>
    <w:rsid w:val="006E053D"/>
    <w:rsid w:val="006E10AC"/>
    <w:rsid w:val="006E3B97"/>
    <w:rsid w:val="006E4CAF"/>
    <w:rsid w:val="006F02C2"/>
    <w:rsid w:val="006F1AAF"/>
    <w:rsid w:val="006F2547"/>
    <w:rsid w:val="006F4B50"/>
    <w:rsid w:val="006F78D8"/>
    <w:rsid w:val="0070041D"/>
    <w:rsid w:val="007004E3"/>
    <w:rsid w:val="00702604"/>
    <w:rsid w:val="00702D8B"/>
    <w:rsid w:val="00703740"/>
    <w:rsid w:val="007037CD"/>
    <w:rsid w:val="00704728"/>
    <w:rsid w:val="00704955"/>
    <w:rsid w:val="00706648"/>
    <w:rsid w:val="00707FA3"/>
    <w:rsid w:val="0071053A"/>
    <w:rsid w:val="00712279"/>
    <w:rsid w:val="007143E4"/>
    <w:rsid w:val="00714F9F"/>
    <w:rsid w:val="00715D57"/>
    <w:rsid w:val="00721C91"/>
    <w:rsid w:val="00722290"/>
    <w:rsid w:val="00724D98"/>
    <w:rsid w:val="00725131"/>
    <w:rsid w:val="00725FB4"/>
    <w:rsid w:val="00727217"/>
    <w:rsid w:val="007277B6"/>
    <w:rsid w:val="00727B88"/>
    <w:rsid w:val="00730C6B"/>
    <w:rsid w:val="00733489"/>
    <w:rsid w:val="00734B3D"/>
    <w:rsid w:val="0073660E"/>
    <w:rsid w:val="007366AD"/>
    <w:rsid w:val="00737BDE"/>
    <w:rsid w:val="007418CA"/>
    <w:rsid w:val="00742252"/>
    <w:rsid w:val="00743712"/>
    <w:rsid w:val="00744229"/>
    <w:rsid w:val="00745042"/>
    <w:rsid w:val="00746654"/>
    <w:rsid w:val="00746842"/>
    <w:rsid w:val="00746C9E"/>
    <w:rsid w:val="00754ABD"/>
    <w:rsid w:val="007573AA"/>
    <w:rsid w:val="00757851"/>
    <w:rsid w:val="00760078"/>
    <w:rsid w:val="00762CB3"/>
    <w:rsid w:val="00763922"/>
    <w:rsid w:val="007652A3"/>
    <w:rsid w:val="00765FF0"/>
    <w:rsid w:val="00766D5C"/>
    <w:rsid w:val="007675F4"/>
    <w:rsid w:val="00767B1C"/>
    <w:rsid w:val="007710FC"/>
    <w:rsid w:val="00772F59"/>
    <w:rsid w:val="00773CB5"/>
    <w:rsid w:val="00774F1A"/>
    <w:rsid w:val="00775351"/>
    <w:rsid w:val="007754A0"/>
    <w:rsid w:val="00775542"/>
    <w:rsid w:val="0077798C"/>
    <w:rsid w:val="007801D9"/>
    <w:rsid w:val="007804F3"/>
    <w:rsid w:val="00781353"/>
    <w:rsid w:val="0078176C"/>
    <w:rsid w:val="007826DB"/>
    <w:rsid w:val="00786A93"/>
    <w:rsid w:val="00787C34"/>
    <w:rsid w:val="00790A2D"/>
    <w:rsid w:val="00790B5C"/>
    <w:rsid w:val="00790CC7"/>
    <w:rsid w:val="0079105F"/>
    <w:rsid w:val="007932B5"/>
    <w:rsid w:val="00797DB5"/>
    <w:rsid w:val="007A10AF"/>
    <w:rsid w:val="007A23D8"/>
    <w:rsid w:val="007B156D"/>
    <w:rsid w:val="007B198E"/>
    <w:rsid w:val="007B2036"/>
    <w:rsid w:val="007B462D"/>
    <w:rsid w:val="007B6E32"/>
    <w:rsid w:val="007B7E3B"/>
    <w:rsid w:val="007C018C"/>
    <w:rsid w:val="007C08D1"/>
    <w:rsid w:val="007C14CF"/>
    <w:rsid w:val="007C2A63"/>
    <w:rsid w:val="007C3903"/>
    <w:rsid w:val="007C3A13"/>
    <w:rsid w:val="007C3DD5"/>
    <w:rsid w:val="007C5F92"/>
    <w:rsid w:val="007C63DE"/>
    <w:rsid w:val="007C6944"/>
    <w:rsid w:val="007C7F06"/>
    <w:rsid w:val="007D13B1"/>
    <w:rsid w:val="007D23A2"/>
    <w:rsid w:val="007D34A9"/>
    <w:rsid w:val="007D42BC"/>
    <w:rsid w:val="007D4800"/>
    <w:rsid w:val="007D5944"/>
    <w:rsid w:val="007D5C48"/>
    <w:rsid w:val="007E2339"/>
    <w:rsid w:val="007E288E"/>
    <w:rsid w:val="007E4322"/>
    <w:rsid w:val="007E45E0"/>
    <w:rsid w:val="007E4803"/>
    <w:rsid w:val="007E4E23"/>
    <w:rsid w:val="007E4F0C"/>
    <w:rsid w:val="007E563D"/>
    <w:rsid w:val="007E7F55"/>
    <w:rsid w:val="007F0B8C"/>
    <w:rsid w:val="007F1275"/>
    <w:rsid w:val="007F1C33"/>
    <w:rsid w:val="007F424D"/>
    <w:rsid w:val="007F4D31"/>
    <w:rsid w:val="007F5123"/>
    <w:rsid w:val="007F56BE"/>
    <w:rsid w:val="007F5C52"/>
    <w:rsid w:val="007F63E8"/>
    <w:rsid w:val="00800032"/>
    <w:rsid w:val="008007E6"/>
    <w:rsid w:val="00801106"/>
    <w:rsid w:val="00801201"/>
    <w:rsid w:val="008026A0"/>
    <w:rsid w:val="00804B50"/>
    <w:rsid w:val="008057AE"/>
    <w:rsid w:val="00805D30"/>
    <w:rsid w:val="00810AA8"/>
    <w:rsid w:val="00810B42"/>
    <w:rsid w:val="00810DC5"/>
    <w:rsid w:val="00811693"/>
    <w:rsid w:val="00811D15"/>
    <w:rsid w:val="00813EA8"/>
    <w:rsid w:val="00815411"/>
    <w:rsid w:val="00815C6E"/>
    <w:rsid w:val="00821609"/>
    <w:rsid w:val="00821738"/>
    <w:rsid w:val="00822AF2"/>
    <w:rsid w:val="00822D55"/>
    <w:rsid w:val="0082302A"/>
    <w:rsid w:val="00823E0A"/>
    <w:rsid w:val="0082469B"/>
    <w:rsid w:val="00827068"/>
    <w:rsid w:val="00827A7F"/>
    <w:rsid w:val="00830EFE"/>
    <w:rsid w:val="00831AEE"/>
    <w:rsid w:val="00832491"/>
    <w:rsid w:val="00833437"/>
    <w:rsid w:val="00836E0C"/>
    <w:rsid w:val="00837041"/>
    <w:rsid w:val="008438E7"/>
    <w:rsid w:val="00844031"/>
    <w:rsid w:val="00844A02"/>
    <w:rsid w:val="00851521"/>
    <w:rsid w:val="008517AD"/>
    <w:rsid w:val="008520F8"/>
    <w:rsid w:val="008525E6"/>
    <w:rsid w:val="00852EB3"/>
    <w:rsid w:val="0085360C"/>
    <w:rsid w:val="00853E38"/>
    <w:rsid w:val="00854F25"/>
    <w:rsid w:val="00855F71"/>
    <w:rsid w:val="00857F27"/>
    <w:rsid w:val="008600C1"/>
    <w:rsid w:val="008628EE"/>
    <w:rsid w:val="00863653"/>
    <w:rsid w:val="00863C7A"/>
    <w:rsid w:val="00865606"/>
    <w:rsid w:val="008662ED"/>
    <w:rsid w:val="00866A6C"/>
    <w:rsid w:val="00866AB5"/>
    <w:rsid w:val="00866B89"/>
    <w:rsid w:val="0086700A"/>
    <w:rsid w:val="008677C4"/>
    <w:rsid w:val="00870847"/>
    <w:rsid w:val="00870C01"/>
    <w:rsid w:val="00871E9E"/>
    <w:rsid w:val="008720A2"/>
    <w:rsid w:val="00873153"/>
    <w:rsid w:val="0087608B"/>
    <w:rsid w:val="008768AB"/>
    <w:rsid w:val="00876AA8"/>
    <w:rsid w:val="008808FD"/>
    <w:rsid w:val="008819CE"/>
    <w:rsid w:val="00883674"/>
    <w:rsid w:val="00886CD5"/>
    <w:rsid w:val="0089060D"/>
    <w:rsid w:val="00891033"/>
    <w:rsid w:val="008922BA"/>
    <w:rsid w:val="00897192"/>
    <w:rsid w:val="008972A1"/>
    <w:rsid w:val="008A26DA"/>
    <w:rsid w:val="008A2C3E"/>
    <w:rsid w:val="008A3A66"/>
    <w:rsid w:val="008A6FF4"/>
    <w:rsid w:val="008B365B"/>
    <w:rsid w:val="008B4FDE"/>
    <w:rsid w:val="008B7A28"/>
    <w:rsid w:val="008C02BE"/>
    <w:rsid w:val="008C1396"/>
    <w:rsid w:val="008C258D"/>
    <w:rsid w:val="008C2830"/>
    <w:rsid w:val="008C3330"/>
    <w:rsid w:val="008C3AB4"/>
    <w:rsid w:val="008C4A7D"/>
    <w:rsid w:val="008C72D1"/>
    <w:rsid w:val="008C7F9C"/>
    <w:rsid w:val="008D257B"/>
    <w:rsid w:val="008D25E5"/>
    <w:rsid w:val="008D3175"/>
    <w:rsid w:val="008D33D6"/>
    <w:rsid w:val="008D4297"/>
    <w:rsid w:val="008D458B"/>
    <w:rsid w:val="008D58E3"/>
    <w:rsid w:val="008D705C"/>
    <w:rsid w:val="008E100D"/>
    <w:rsid w:val="008E1AA3"/>
    <w:rsid w:val="008E2623"/>
    <w:rsid w:val="008E2AD7"/>
    <w:rsid w:val="008E3E8B"/>
    <w:rsid w:val="008E5153"/>
    <w:rsid w:val="008E6C4D"/>
    <w:rsid w:val="008E7218"/>
    <w:rsid w:val="008F0087"/>
    <w:rsid w:val="008F041A"/>
    <w:rsid w:val="008F110F"/>
    <w:rsid w:val="008F1B19"/>
    <w:rsid w:val="008F1F04"/>
    <w:rsid w:val="008F27E7"/>
    <w:rsid w:val="008F3541"/>
    <w:rsid w:val="008F7E9E"/>
    <w:rsid w:val="009016AE"/>
    <w:rsid w:val="0090246E"/>
    <w:rsid w:val="00902512"/>
    <w:rsid w:val="00902808"/>
    <w:rsid w:val="009030AA"/>
    <w:rsid w:val="009049A3"/>
    <w:rsid w:val="00906CCB"/>
    <w:rsid w:val="00907FA9"/>
    <w:rsid w:val="00911F29"/>
    <w:rsid w:val="00914CDD"/>
    <w:rsid w:val="0091663B"/>
    <w:rsid w:val="00917B14"/>
    <w:rsid w:val="00917FAC"/>
    <w:rsid w:val="00922AF8"/>
    <w:rsid w:val="0092490B"/>
    <w:rsid w:val="00927191"/>
    <w:rsid w:val="0093339D"/>
    <w:rsid w:val="0093437E"/>
    <w:rsid w:val="009352E0"/>
    <w:rsid w:val="009355AF"/>
    <w:rsid w:val="0093721E"/>
    <w:rsid w:val="0094027C"/>
    <w:rsid w:val="009419F2"/>
    <w:rsid w:val="00943330"/>
    <w:rsid w:val="00943933"/>
    <w:rsid w:val="00943FB5"/>
    <w:rsid w:val="00944206"/>
    <w:rsid w:val="00945291"/>
    <w:rsid w:val="0094683F"/>
    <w:rsid w:val="009514A8"/>
    <w:rsid w:val="00955549"/>
    <w:rsid w:val="00957115"/>
    <w:rsid w:val="00960C02"/>
    <w:rsid w:val="00961516"/>
    <w:rsid w:val="009640C3"/>
    <w:rsid w:val="00964192"/>
    <w:rsid w:val="0096465F"/>
    <w:rsid w:val="0096476B"/>
    <w:rsid w:val="009657D2"/>
    <w:rsid w:val="00965E39"/>
    <w:rsid w:val="00967960"/>
    <w:rsid w:val="00971193"/>
    <w:rsid w:val="009721AA"/>
    <w:rsid w:val="0097425E"/>
    <w:rsid w:val="00974A42"/>
    <w:rsid w:val="009863FA"/>
    <w:rsid w:val="00986621"/>
    <w:rsid w:val="009869AB"/>
    <w:rsid w:val="009869B7"/>
    <w:rsid w:val="00987202"/>
    <w:rsid w:val="00990EC3"/>
    <w:rsid w:val="00991B31"/>
    <w:rsid w:val="009936FA"/>
    <w:rsid w:val="00993EBC"/>
    <w:rsid w:val="00994C5B"/>
    <w:rsid w:val="009967EA"/>
    <w:rsid w:val="009A1EBA"/>
    <w:rsid w:val="009A2360"/>
    <w:rsid w:val="009A516D"/>
    <w:rsid w:val="009A5771"/>
    <w:rsid w:val="009A586C"/>
    <w:rsid w:val="009A5957"/>
    <w:rsid w:val="009A6405"/>
    <w:rsid w:val="009A7DF0"/>
    <w:rsid w:val="009B34A2"/>
    <w:rsid w:val="009B3925"/>
    <w:rsid w:val="009B41E6"/>
    <w:rsid w:val="009B49F5"/>
    <w:rsid w:val="009B77A7"/>
    <w:rsid w:val="009C0BFB"/>
    <w:rsid w:val="009C16BF"/>
    <w:rsid w:val="009C3C41"/>
    <w:rsid w:val="009C779F"/>
    <w:rsid w:val="009D0008"/>
    <w:rsid w:val="009D0068"/>
    <w:rsid w:val="009D043E"/>
    <w:rsid w:val="009D1848"/>
    <w:rsid w:val="009D2FA1"/>
    <w:rsid w:val="009D4DE6"/>
    <w:rsid w:val="009D4FE4"/>
    <w:rsid w:val="009D5594"/>
    <w:rsid w:val="009D773F"/>
    <w:rsid w:val="009E14AE"/>
    <w:rsid w:val="009E437C"/>
    <w:rsid w:val="009E50E4"/>
    <w:rsid w:val="009E5267"/>
    <w:rsid w:val="009E5476"/>
    <w:rsid w:val="009E79D5"/>
    <w:rsid w:val="009F321A"/>
    <w:rsid w:val="009F3AC6"/>
    <w:rsid w:val="009F4071"/>
    <w:rsid w:val="009F4735"/>
    <w:rsid w:val="009F4ED9"/>
    <w:rsid w:val="009F539E"/>
    <w:rsid w:val="009F551F"/>
    <w:rsid w:val="009F6CDA"/>
    <w:rsid w:val="00A00AC3"/>
    <w:rsid w:val="00A02688"/>
    <w:rsid w:val="00A027F2"/>
    <w:rsid w:val="00A03990"/>
    <w:rsid w:val="00A0535B"/>
    <w:rsid w:val="00A0689A"/>
    <w:rsid w:val="00A07E9D"/>
    <w:rsid w:val="00A105A3"/>
    <w:rsid w:val="00A13237"/>
    <w:rsid w:val="00A13339"/>
    <w:rsid w:val="00A15CD5"/>
    <w:rsid w:val="00A2196E"/>
    <w:rsid w:val="00A23D70"/>
    <w:rsid w:val="00A27D71"/>
    <w:rsid w:val="00A30907"/>
    <w:rsid w:val="00A32419"/>
    <w:rsid w:val="00A325C1"/>
    <w:rsid w:val="00A3372E"/>
    <w:rsid w:val="00A35285"/>
    <w:rsid w:val="00A35E4C"/>
    <w:rsid w:val="00A361C5"/>
    <w:rsid w:val="00A372E0"/>
    <w:rsid w:val="00A404DE"/>
    <w:rsid w:val="00A4142C"/>
    <w:rsid w:val="00A418CC"/>
    <w:rsid w:val="00A41E45"/>
    <w:rsid w:val="00A4400B"/>
    <w:rsid w:val="00A44199"/>
    <w:rsid w:val="00A450B1"/>
    <w:rsid w:val="00A47A07"/>
    <w:rsid w:val="00A51E51"/>
    <w:rsid w:val="00A533B4"/>
    <w:rsid w:val="00A55525"/>
    <w:rsid w:val="00A55956"/>
    <w:rsid w:val="00A5635E"/>
    <w:rsid w:val="00A600ED"/>
    <w:rsid w:val="00A61028"/>
    <w:rsid w:val="00A613BB"/>
    <w:rsid w:val="00A63276"/>
    <w:rsid w:val="00A64944"/>
    <w:rsid w:val="00A66606"/>
    <w:rsid w:val="00A66B45"/>
    <w:rsid w:val="00A7018D"/>
    <w:rsid w:val="00A738DE"/>
    <w:rsid w:val="00A73AB2"/>
    <w:rsid w:val="00A76D16"/>
    <w:rsid w:val="00A77A25"/>
    <w:rsid w:val="00A831F6"/>
    <w:rsid w:val="00A8438A"/>
    <w:rsid w:val="00A84C37"/>
    <w:rsid w:val="00A84CD6"/>
    <w:rsid w:val="00A91A25"/>
    <w:rsid w:val="00A927CE"/>
    <w:rsid w:val="00A95C8C"/>
    <w:rsid w:val="00A961DF"/>
    <w:rsid w:val="00A96A7F"/>
    <w:rsid w:val="00A97BB1"/>
    <w:rsid w:val="00AA0C07"/>
    <w:rsid w:val="00AA3F11"/>
    <w:rsid w:val="00AA5544"/>
    <w:rsid w:val="00AA56D7"/>
    <w:rsid w:val="00AA6B14"/>
    <w:rsid w:val="00AB0871"/>
    <w:rsid w:val="00AB16B5"/>
    <w:rsid w:val="00AB207D"/>
    <w:rsid w:val="00AB22E8"/>
    <w:rsid w:val="00AB7DA1"/>
    <w:rsid w:val="00AC0627"/>
    <w:rsid w:val="00AC0646"/>
    <w:rsid w:val="00AC0F57"/>
    <w:rsid w:val="00AC1643"/>
    <w:rsid w:val="00AC16A8"/>
    <w:rsid w:val="00AC2DE9"/>
    <w:rsid w:val="00AC66BB"/>
    <w:rsid w:val="00AC6E66"/>
    <w:rsid w:val="00AC7118"/>
    <w:rsid w:val="00AC7941"/>
    <w:rsid w:val="00AD0D4F"/>
    <w:rsid w:val="00AD338E"/>
    <w:rsid w:val="00AD3F0B"/>
    <w:rsid w:val="00AD5F83"/>
    <w:rsid w:val="00AD6D16"/>
    <w:rsid w:val="00AD7999"/>
    <w:rsid w:val="00AD7DC6"/>
    <w:rsid w:val="00AE0FAE"/>
    <w:rsid w:val="00AE38C0"/>
    <w:rsid w:val="00AE7249"/>
    <w:rsid w:val="00AE7327"/>
    <w:rsid w:val="00AE7C59"/>
    <w:rsid w:val="00AF0D62"/>
    <w:rsid w:val="00AF0FA4"/>
    <w:rsid w:val="00AF2B74"/>
    <w:rsid w:val="00AF2FB7"/>
    <w:rsid w:val="00AF3442"/>
    <w:rsid w:val="00AF4EDA"/>
    <w:rsid w:val="00AF640D"/>
    <w:rsid w:val="00AF6567"/>
    <w:rsid w:val="00AF6F9A"/>
    <w:rsid w:val="00AF71FA"/>
    <w:rsid w:val="00AF74D0"/>
    <w:rsid w:val="00AF7C93"/>
    <w:rsid w:val="00B0280F"/>
    <w:rsid w:val="00B04661"/>
    <w:rsid w:val="00B05558"/>
    <w:rsid w:val="00B057F1"/>
    <w:rsid w:val="00B060DE"/>
    <w:rsid w:val="00B13180"/>
    <w:rsid w:val="00B13FFF"/>
    <w:rsid w:val="00B165B3"/>
    <w:rsid w:val="00B16A7B"/>
    <w:rsid w:val="00B16F43"/>
    <w:rsid w:val="00B223CE"/>
    <w:rsid w:val="00B22723"/>
    <w:rsid w:val="00B23C1F"/>
    <w:rsid w:val="00B25128"/>
    <w:rsid w:val="00B25DDE"/>
    <w:rsid w:val="00B26BE0"/>
    <w:rsid w:val="00B27358"/>
    <w:rsid w:val="00B27749"/>
    <w:rsid w:val="00B27C6D"/>
    <w:rsid w:val="00B27D1B"/>
    <w:rsid w:val="00B31D9B"/>
    <w:rsid w:val="00B330CF"/>
    <w:rsid w:val="00B33901"/>
    <w:rsid w:val="00B35D70"/>
    <w:rsid w:val="00B367FC"/>
    <w:rsid w:val="00B3726C"/>
    <w:rsid w:val="00B4315B"/>
    <w:rsid w:val="00B4371F"/>
    <w:rsid w:val="00B43F03"/>
    <w:rsid w:val="00B47EBC"/>
    <w:rsid w:val="00B5155B"/>
    <w:rsid w:val="00B51C58"/>
    <w:rsid w:val="00B54ECC"/>
    <w:rsid w:val="00B551AE"/>
    <w:rsid w:val="00B55286"/>
    <w:rsid w:val="00B553BD"/>
    <w:rsid w:val="00B5715E"/>
    <w:rsid w:val="00B57A2E"/>
    <w:rsid w:val="00B6216C"/>
    <w:rsid w:val="00B6439F"/>
    <w:rsid w:val="00B672EF"/>
    <w:rsid w:val="00B72136"/>
    <w:rsid w:val="00B758D0"/>
    <w:rsid w:val="00B81D86"/>
    <w:rsid w:val="00B8224A"/>
    <w:rsid w:val="00B8238F"/>
    <w:rsid w:val="00B828A5"/>
    <w:rsid w:val="00B8401D"/>
    <w:rsid w:val="00B84098"/>
    <w:rsid w:val="00B84CBD"/>
    <w:rsid w:val="00B84DE6"/>
    <w:rsid w:val="00B854DB"/>
    <w:rsid w:val="00B8720D"/>
    <w:rsid w:val="00B879A1"/>
    <w:rsid w:val="00B87E8A"/>
    <w:rsid w:val="00B90241"/>
    <w:rsid w:val="00B91966"/>
    <w:rsid w:val="00B97B72"/>
    <w:rsid w:val="00B97D14"/>
    <w:rsid w:val="00BA0659"/>
    <w:rsid w:val="00BA113A"/>
    <w:rsid w:val="00BA24D3"/>
    <w:rsid w:val="00BA3434"/>
    <w:rsid w:val="00BA36B6"/>
    <w:rsid w:val="00BA5798"/>
    <w:rsid w:val="00BA73FD"/>
    <w:rsid w:val="00BB12A6"/>
    <w:rsid w:val="00BB2680"/>
    <w:rsid w:val="00BB53A9"/>
    <w:rsid w:val="00BB58A4"/>
    <w:rsid w:val="00BB6E5D"/>
    <w:rsid w:val="00BB7514"/>
    <w:rsid w:val="00BC0216"/>
    <w:rsid w:val="00BC09C0"/>
    <w:rsid w:val="00BC0F3D"/>
    <w:rsid w:val="00BC0FF9"/>
    <w:rsid w:val="00BC13DC"/>
    <w:rsid w:val="00BC6ED9"/>
    <w:rsid w:val="00BD0DA6"/>
    <w:rsid w:val="00BD1AA7"/>
    <w:rsid w:val="00BD51F8"/>
    <w:rsid w:val="00BD522D"/>
    <w:rsid w:val="00BD5CC5"/>
    <w:rsid w:val="00BD7769"/>
    <w:rsid w:val="00BE05DD"/>
    <w:rsid w:val="00BE06E8"/>
    <w:rsid w:val="00BE084C"/>
    <w:rsid w:val="00BE0D21"/>
    <w:rsid w:val="00BE15B1"/>
    <w:rsid w:val="00BE1994"/>
    <w:rsid w:val="00BE19D8"/>
    <w:rsid w:val="00BE29B7"/>
    <w:rsid w:val="00BE61E2"/>
    <w:rsid w:val="00BE6526"/>
    <w:rsid w:val="00BE7D6F"/>
    <w:rsid w:val="00BF03DD"/>
    <w:rsid w:val="00BF2197"/>
    <w:rsid w:val="00BF3207"/>
    <w:rsid w:val="00BF3292"/>
    <w:rsid w:val="00BF496D"/>
    <w:rsid w:val="00BF4A1C"/>
    <w:rsid w:val="00BF5F76"/>
    <w:rsid w:val="00C0069F"/>
    <w:rsid w:val="00C009B8"/>
    <w:rsid w:val="00C01BBA"/>
    <w:rsid w:val="00C01C0E"/>
    <w:rsid w:val="00C02C8C"/>
    <w:rsid w:val="00C05224"/>
    <w:rsid w:val="00C05918"/>
    <w:rsid w:val="00C0686A"/>
    <w:rsid w:val="00C073E6"/>
    <w:rsid w:val="00C07639"/>
    <w:rsid w:val="00C10D87"/>
    <w:rsid w:val="00C10DD8"/>
    <w:rsid w:val="00C12B07"/>
    <w:rsid w:val="00C155D0"/>
    <w:rsid w:val="00C15C32"/>
    <w:rsid w:val="00C2066A"/>
    <w:rsid w:val="00C209AA"/>
    <w:rsid w:val="00C20D05"/>
    <w:rsid w:val="00C22FF0"/>
    <w:rsid w:val="00C24031"/>
    <w:rsid w:val="00C2414F"/>
    <w:rsid w:val="00C241DA"/>
    <w:rsid w:val="00C24212"/>
    <w:rsid w:val="00C250AB"/>
    <w:rsid w:val="00C31E85"/>
    <w:rsid w:val="00C335FB"/>
    <w:rsid w:val="00C33BCB"/>
    <w:rsid w:val="00C35FA4"/>
    <w:rsid w:val="00C3793D"/>
    <w:rsid w:val="00C441B1"/>
    <w:rsid w:val="00C44295"/>
    <w:rsid w:val="00C44302"/>
    <w:rsid w:val="00C44A22"/>
    <w:rsid w:val="00C44E84"/>
    <w:rsid w:val="00C47FA3"/>
    <w:rsid w:val="00C51916"/>
    <w:rsid w:val="00C51B31"/>
    <w:rsid w:val="00C51BDE"/>
    <w:rsid w:val="00C522D7"/>
    <w:rsid w:val="00C557B4"/>
    <w:rsid w:val="00C56ED2"/>
    <w:rsid w:val="00C60928"/>
    <w:rsid w:val="00C649BA"/>
    <w:rsid w:val="00C709A8"/>
    <w:rsid w:val="00C715E8"/>
    <w:rsid w:val="00C72D6E"/>
    <w:rsid w:val="00C732EC"/>
    <w:rsid w:val="00C739C1"/>
    <w:rsid w:val="00C73CCB"/>
    <w:rsid w:val="00C73EB0"/>
    <w:rsid w:val="00C76B6E"/>
    <w:rsid w:val="00C81454"/>
    <w:rsid w:val="00C83623"/>
    <w:rsid w:val="00C87B0B"/>
    <w:rsid w:val="00C90166"/>
    <w:rsid w:val="00C90A01"/>
    <w:rsid w:val="00C910CB"/>
    <w:rsid w:val="00C93225"/>
    <w:rsid w:val="00C9485E"/>
    <w:rsid w:val="00C9746F"/>
    <w:rsid w:val="00CA12F5"/>
    <w:rsid w:val="00CA2645"/>
    <w:rsid w:val="00CA367C"/>
    <w:rsid w:val="00CA390B"/>
    <w:rsid w:val="00CA53EF"/>
    <w:rsid w:val="00CA6139"/>
    <w:rsid w:val="00CA6322"/>
    <w:rsid w:val="00CA7B5F"/>
    <w:rsid w:val="00CB1C44"/>
    <w:rsid w:val="00CB2917"/>
    <w:rsid w:val="00CB2E08"/>
    <w:rsid w:val="00CB3B5E"/>
    <w:rsid w:val="00CC03C5"/>
    <w:rsid w:val="00CC0CFC"/>
    <w:rsid w:val="00CC20B0"/>
    <w:rsid w:val="00CC26CB"/>
    <w:rsid w:val="00CC3CF0"/>
    <w:rsid w:val="00CC48C0"/>
    <w:rsid w:val="00CC6D47"/>
    <w:rsid w:val="00CD3539"/>
    <w:rsid w:val="00CD5FD9"/>
    <w:rsid w:val="00CD6F30"/>
    <w:rsid w:val="00CD7EC1"/>
    <w:rsid w:val="00CD7F51"/>
    <w:rsid w:val="00CE0854"/>
    <w:rsid w:val="00CE270E"/>
    <w:rsid w:val="00CE4D6F"/>
    <w:rsid w:val="00CE4E1E"/>
    <w:rsid w:val="00CF25D0"/>
    <w:rsid w:val="00CF32EC"/>
    <w:rsid w:val="00CF33AC"/>
    <w:rsid w:val="00CF4752"/>
    <w:rsid w:val="00CF61F6"/>
    <w:rsid w:val="00CF65C5"/>
    <w:rsid w:val="00CF6F02"/>
    <w:rsid w:val="00CF6FC2"/>
    <w:rsid w:val="00D00DBD"/>
    <w:rsid w:val="00D00F6D"/>
    <w:rsid w:val="00D04C8C"/>
    <w:rsid w:val="00D051F0"/>
    <w:rsid w:val="00D109B1"/>
    <w:rsid w:val="00D1150B"/>
    <w:rsid w:val="00D1311B"/>
    <w:rsid w:val="00D13DA8"/>
    <w:rsid w:val="00D143B7"/>
    <w:rsid w:val="00D16453"/>
    <w:rsid w:val="00D1720F"/>
    <w:rsid w:val="00D17631"/>
    <w:rsid w:val="00D25022"/>
    <w:rsid w:val="00D258DD"/>
    <w:rsid w:val="00D301DC"/>
    <w:rsid w:val="00D305CC"/>
    <w:rsid w:val="00D31889"/>
    <w:rsid w:val="00D332D2"/>
    <w:rsid w:val="00D35CD5"/>
    <w:rsid w:val="00D35D9D"/>
    <w:rsid w:val="00D37480"/>
    <w:rsid w:val="00D410EE"/>
    <w:rsid w:val="00D410FC"/>
    <w:rsid w:val="00D4204F"/>
    <w:rsid w:val="00D43CDB"/>
    <w:rsid w:val="00D43F20"/>
    <w:rsid w:val="00D44204"/>
    <w:rsid w:val="00D447C6"/>
    <w:rsid w:val="00D44B86"/>
    <w:rsid w:val="00D45ADD"/>
    <w:rsid w:val="00D47168"/>
    <w:rsid w:val="00D50154"/>
    <w:rsid w:val="00D5110C"/>
    <w:rsid w:val="00D5128F"/>
    <w:rsid w:val="00D53690"/>
    <w:rsid w:val="00D53D56"/>
    <w:rsid w:val="00D54825"/>
    <w:rsid w:val="00D5581E"/>
    <w:rsid w:val="00D55F5B"/>
    <w:rsid w:val="00D56D2A"/>
    <w:rsid w:val="00D57113"/>
    <w:rsid w:val="00D571CC"/>
    <w:rsid w:val="00D60A35"/>
    <w:rsid w:val="00D63FD3"/>
    <w:rsid w:val="00D64313"/>
    <w:rsid w:val="00D64D30"/>
    <w:rsid w:val="00D65075"/>
    <w:rsid w:val="00D652DF"/>
    <w:rsid w:val="00D66390"/>
    <w:rsid w:val="00D66787"/>
    <w:rsid w:val="00D66F0D"/>
    <w:rsid w:val="00D71100"/>
    <w:rsid w:val="00D723F7"/>
    <w:rsid w:val="00D72616"/>
    <w:rsid w:val="00D745EC"/>
    <w:rsid w:val="00D750F4"/>
    <w:rsid w:val="00D75485"/>
    <w:rsid w:val="00D81D66"/>
    <w:rsid w:val="00D87991"/>
    <w:rsid w:val="00D92AF7"/>
    <w:rsid w:val="00D92DF0"/>
    <w:rsid w:val="00D94878"/>
    <w:rsid w:val="00D94E3C"/>
    <w:rsid w:val="00D96285"/>
    <w:rsid w:val="00DA1AB0"/>
    <w:rsid w:val="00DA1E1D"/>
    <w:rsid w:val="00DA689A"/>
    <w:rsid w:val="00DB1072"/>
    <w:rsid w:val="00DB2ACB"/>
    <w:rsid w:val="00DB4171"/>
    <w:rsid w:val="00DC0102"/>
    <w:rsid w:val="00DC018D"/>
    <w:rsid w:val="00DC020F"/>
    <w:rsid w:val="00DC167B"/>
    <w:rsid w:val="00DC77B5"/>
    <w:rsid w:val="00DD0302"/>
    <w:rsid w:val="00DD1917"/>
    <w:rsid w:val="00DD1DDD"/>
    <w:rsid w:val="00DD4514"/>
    <w:rsid w:val="00DD6FC3"/>
    <w:rsid w:val="00DD7F4A"/>
    <w:rsid w:val="00DE194E"/>
    <w:rsid w:val="00DE1A6E"/>
    <w:rsid w:val="00DE2718"/>
    <w:rsid w:val="00DE4D0C"/>
    <w:rsid w:val="00DE7451"/>
    <w:rsid w:val="00DF113D"/>
    <w:rsid w:val="00DF27A4"/>
    <w:rsid w:val="00DF54FC"/>
    <w:rsid w:val="00DF5C61"/>
    <w:rsid w:val="00DF5C63"/>
    <w:rsid w:val="00E008F9"/>
    <w:rsid w:val="00E00CF7"/>
    <w:rsid w:val="00E044F2"/>
    <w:rsid w:val="00E04B01"/>
    <w:rsid w:val="00E05474"/>
    <w:rsid w:val="00E05B0A"/>
    <w:rsid w:val="00E05B8A"/>
    <w:rsid w:val="00E05E4F"/>
    <w:rsid w:val="00E07002"/>
    <w:rsid w:val="00E0783C"/>
    <w:rsid w:val="00E1023B"/>
    <w:rsid w:val="00E11267"/>
    <w:rsid w:val="00E134DA"/>
    <w:rsid w:val="00E15389"/>
    <w:rsid w:val="00E1582B"/>
    <w:rsid w:val="00E16825"/>
    <w:rsid w:val="00E212F8"/>
    <w:rsid w:val="00E21BB5"/>
    <w:rsid w:val="00E22037"/>
    <w:rsid w:val="00E222F8"/>
    <w:rsid w:val="00E274E0"/>
    <w:rsid w:val="00E30114"/>
    <w:rsid w:val="00E31DF2"/>
    <w:rsid w:val="00E32367"/>
    <w:rsid w:val="00E328B0"/>
    <w:rsid w:val="00E33AC2"/>
    <w:rsid w:val="00E358EF"/>
    <w:rsid w:val="00E369A1"/>
    <w:rsid w:val="00E37AB4"/>
    <w:rsid w:val="00E37B27"/>
    <w:rsid w:val="00E4000D"/>
    <w:rsid w:val="00E40C40"/>
    <w:rsid w:val="00E41240"/>
    <w:rsid w:val="00E41CBC"/>
    <w:rsid w:val="00E44CF7"/>
    <w:rsid w:val="00E45028"/>
    <w:rsid w:val="00E46067"/>
    <w:rsid w:val="00E46184"/>
    <w:rsid w:val="00E4723B"/>
    <w:rsid w:val="00E47F49"/>
    <w:rsid w:val="00E50260"/>
    <w:rsid w:val="00E51266"/>
    <w:rsid w:val="00E52951"/>
    <w:rsid w:val="00E5372A"/>
    <w:rsid w:val="00E55B3F"/>
    <w:rsid w:val="00E60811"/>
    <w:rsid w:val="00E616ED"/>
    <w:rsid w:val="00E61BE3"/>
    <w:rsid w:val="00E6523C"/>
    <w:rsid w:val="00E66100"/>
    <w:rsid w:val="00E66116"/>
    <w:rsid w:val="00E66F13"/>
    <w:rsid w:val="00E70A4A"/>
    <w:rsid w:val="00E75083"/>
    <w:rsid w:val="00E811E4"/>
    <w:rsid w:val="00E82C28"/>
    <w:rsid w:val="00E8441D"/>
    <w:rsid w:val="00E856A6"/>
    <w:rsid w:val="00E85ED1"/>
    <w:rsid w:val="00E92341"/>
    <w:rsid w:val="00E928A4"/>
    <w:rsid w:val="00E9335E"/>
    <w:rsid w:val="00E93D44"/>
    <w:rsid w:val="00E946EB"/>
    <w:rsid w:val="00E95665"/>
    <w:rsid w:val="00E96F44"/>
    <w:rsid w:val="00EA1A7C"/>
    <w:rsid w:val="00EA1DF5"/>
    <w:rsid w:val="00EA67AC"/>
    <w:rsid w:val="00EA6942"/>
    <w:rsid w:val="00EB0CD0"/>
    <w:rsid w:val="00EB1261"/>
    <w:rsid w:val="00EB2590"/>
    <w:rsid w:val="00EB3A59"/>
    <w:rsid w:val="00EB45AD"/>
    <w:rsid w:val="00EB65B3"/>
    <w:rsid w:val="00EB6EE3"/>
    <w:rsid w:val="00EC0345"/>
    <w:rsid w:val="00EC04B1"/>
    <w:rsid w:val="00EC08BD"/>
    <w:rsid w:val="00EC2236"/>
    <w:rsid w:val="00EC32E4"/>
    <w:rsid w:val="00EC344E"/>
    <w:rsid w:val="00EC4499"/>
    <w:rsid w:val="00EC5458"/>
    <w:rsid w:val="00ED118D"/>
    <w:rsid w:val="00ED135D"/>
    <w:rsid w:val="00ED1F04"/>
    <w:rsid w:val="00ED4987"/>
    <w:rsid w:val="00ED5ACD"/>
    <w:rsid w:val="00ED5D34"/>
    <w:rsid w:val="00ED6EC9"/>
    <w:rsid w:val="00EE2FAA"/>
    <w:rsid w:val="00EE3695"/>
    <w:rsid w:val="00EE5173"/>
    <w:rsid w:val="00EE5B94"/>
    <w:rsid w:val="00EE60DA"/>
    <w:rsid w:val="00EF2613"/>
    <w:rsid w:val="00EF4117"/>
    <w:rsid w:val="00EF5849"/>
    <w:rsid w:val="00EF6402"/>
    <w:rsid w:val="00EF6DCB"/>
    <w:rsid w:val="00F00F02"/>
    <w:rsid w:val="00F01119"/>
    <w:rsid w:val="00F0178B"/>
    <w:rsid w:val="00F04FAF"/>
    <w:rsid w:val="00F050B9"/>
    <w:rsid w:val="00F05ECE"/>
    <w:rsid w:val="00F072DA"/>
    <w:rsid w:val="00F07ACF"/>
    <w:rsid w:val="00F1082F"/>
    <w:rsid w:val="00F1098B"/>
    <w:rsid w:val="00F114E1"/>
    <w:rsid w:val="00F13390"/>
    <w:rsid w:val="00F1441D"/>
    <w:rsid w:val="00F163E1"/>
    <w:rsid w:val="00F209CA"/>
    <w:rsid w:val="00F20A40"/>
    <w:rsid w:val="00F219D1"/>
    <w:rsid w:val="00F220A1"/>
    <w:rsid w:val="00F22542"/>
    <w:rsid w:val="00F22D3E"/>
    <w:rsid w:val="00F234BE"/>
    <w:rsid w:val="00F237E5"/>
    <w:rsid w:val="00F23ABE"/>
    <w:rsid w:val="00F241EC"/>
    <w:rsid w:val="00F24E2F"/>
    <w:rsid w:val="00F24F27"/>
    <w:rsid w:val="00F251A2"/>
    <w:rsid w:val="00F257F7"/>
    <w:rsid w:val="00F27B3B"/>
    <w:rsid w:val="00F302F3"/>
    <w:rsid w:val="00F33871"/>
    <w:rsid w:val="00F34E14"/>
    <w:rsid w:val="00F36B07"/>
    <w:rsid w:val="00F373EB"/>
    <w:rsid w:val="00F4001B"/>
    <w:rsid w:val="00F41A08"/>
    <w:rsid w:val="00F42A1A"/>
    <w:rsid w:val="00F42D6F"/>
    <w:rsid w:val="00F442DC"/>
    <w:rsid w:val="00F44A35"/>
    <w:rsid w:val="00F45112"/>
    <w:rsid w:val="00F46537"/>
    <w:rsid w:val="00F46C66"/>
    <w:rsid w:val="00F5023F"/>
    <w:rsid w:val="00F50379"/>
    <w:rsid w:val="00F51103"/>
    <w:rsid w:val="00F51414"/>
    <w:rsid w:val="00F51514"/>
    <w:rsid w:val="00F5203A"/>
    <w:rsid w:val="00F53D83"/>
    <w:rsid w:val="00F54469"/>
    <w:rsid w:val="00F54FD1"/>
    <w:rsid w:val="00F55CE0"/>
    <w:rsid w:val="00F60F38"/>
    <w:rsid w:val="00F61FE8"/>
    <w:rsid w:val="00F63FE7"/>
    <w:rsid w:val="00F657D0"/>
    <w:rsid w:val="00F66C8E"/>
    <w:rsid w:val="00F705CB"/>
    <w:rsid w:val="00F74BD2"/>
    <w:rsid w:val="00F77B12"/>
    <w:rsid w:val="00F77D55"/>
    <w:rsid w:val="00F77F9F"/>
    <w:rsid w:val="00F80357"/>
    <w:rsid w:val="00F80CB6"/>
    <w:rsid w:val="00F82136"/>
    <w:rsid w:val="00F83735"/>
    <w:rsid w:val="00F8468C"/>
    <w:rsid w:val="00F85477"/>
    <w:rsid w:val="00F85DD3"/>
    <w:rsid w:val="00F87C16"/>
    <w:rsid w:val="00F87E78"/>
    <w:rsid w:val="00F905B8"/>
    <w:rsid w:val="00F917B4"/>
    <w:rsid w:val="00F92351"/>
    <w:rsid w:val="00F9589E"/>
    <w:rsid w:val="00F96B3A"/>
    <w:rsid w:val="00F97099"/>
    <w:rsid w:val="00FA0C0F"/>
    <w:rsid w:val="00FA331A"/>
    <w:rsid w:val="00FA4FC5"/>
    <w:rsid w:val="00FA50BB"/>
    <w:rsid w:val="00FA534A"/>
    <w:rsid w:val="00FA583A"/>
    <w:rsid w:val="00FA6CB9"/>
    <w:rsid w:val="00FB0B59"/>
    <w:rsid w:val="00FB12C4"/>
    <w:rsid w:val="00FB2922"/>
    <w:rsid w:val="00FB5CDC"/>
    <w:rsid w:val="00FC5827"/>
    <w:rsid w:val="00FC6CFB"/>
    <w:rsid w:val="00FC70BF"/>
    <w:rsid w:val="00FD3652"/>
    <w:rsid w:val="00FD402C"/>
    <w:rsid w:val="00FD54AB"/>
    <w:rsid w:val="00FD73E4"/>
    <w:rsid w:val="00FE0952"/>
    <w:rsid w:val="00FE0DA0"/>
    <w:rsid w:val="00FE0EDD"/>
    <w:rsid w:val="00FE0F1F"/>
    <w:rsid w:val="00FE2A4C"/>
    <w:rsid w:val="00FE2BC8"/>
    <w:rsid w:val="00FE35BF"/>
    <w:rsid w:val="00FE692B"/>
    <w:rsid w:val="00FE7F16"/>
    <w:rsid w:val="00FF0E69"/>
    <w:rsid w:val="00FF21FC"/>
    <w:rsid w:val="00FF2BBB"/>
    <w:rsid w:val="00FF3816"/>
    <w:rsid w:val="00FF6925"/>
    <w:rsid w:val="00FF714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bCs/>
        <w:color w:val="000000"/>
        <w:sz w:val="24"/>
        <w:szCs w:val="19"/>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CAF"/>
  </w:style>
  <w:style w:type="paragraph" w:styleId="Heading1">
    <w:name w:val="heading 1"/>
    <w:basedOn w:val="Normal"/>
    <w:next w:val="Normal"/>
    <w:link w:val="Heading1Char"/>
    <w:autoRedefine/>
    <w:uiPriority w:val="9"/>
    <w:qFormat/>
    <w:rsid w:val="00691014"/>
    <w:pPr>
      <w:keepNext/>
      <w:keepLines/>
      <w:spacing w:after="240"/>
      <w:ind w:left="720" w:hanging="720"/>
      <w:outlineLvl w:val="0"/>
    </w:pPr>
    <w:rPr>
      <w:rFonts w:ascii="Times New Roman Bold" w:hAnsi="Times New Roman Bold" w:eastAsiaTheme="majorEastAsia" w:cstheme="majorBidi"/>
      <w:b/>
      <w:caps/>
      <w:color w:val="auto"/>
      <w:szCs w:val="32"/>
    </w:rPr>
  </w:style>
  <w:style w:type="paragraph" w:styleId="Heading2">
    <w:name w:val="heading 2"/>
    <w:basedOn w:val="Normal"/>
    <w:next w:val="Normal"/>
    <w:link w:val="Heading2Char"/>
    <w:autoRedefine/>
    <w:uiPriority w:val="9"/>
    <w:unhideWhenUsed/>
    <w:qFormat/>
    <w:rsid w:val="003A3F62"/>
    <w:pPr>
      <w:keepNext/>
      <w:keepLines/>
      <w:numPr>
        <w:numId w:val="17"/>
      </w:numPr>
      <w:spacing w:after="240"/>
      <w:ind w:left="1440" w:hanging="720"/>
      <w:outlineLvl w:val="1"/>
    </w:pPr>
    <w:rPr>
      <w:rFonts w:ascii="Times New Roman Bold" w:hAnsi="Times New Roman Bold" w:eastAsiaTheme="majorEastAsia" w:cstheme="majorBidi"/>
      <w:b/>
      <w:color w:val="auto"/>
      <w:szCs w:val="24"/>
    </w:rPr>
  </w:style>
  <w:style w:type="paragraph" w:styleId="Heading3">
    <w:name w:val="heading 3"/>
    <w:basedOn w:val="Normal"/>
    <w:next w:val="Normal"/>
    <w:link w:val="Heading3Char"/>
    <w:autoRedefine/>
    <w:uiPriority w:val="9"/>
    <w:unhideWhenUsed/>
    <w:qFormat/>
    <w:rsid w:val="003875F6"/>
    <w:pPr>
      <w:keepNext/>
      <w:keepLines/>
      <w:spacing w:after="120"/>
      <w:ind w:left="2160" w:hanging="720"/>
      <w:outlineLvl w:val="2"/>
    </w:pPr>
    <w:rPr>
      <w:rFonts w:ascii="Times New Roman Bold" w:hAnsi="Times New Roman Bold" w:eastAsiaTheme="majorEastAsia" w:cstheme="majorBidi"/>
      <w:b/>
      <w:color w:val="auto"/>
      <w:szCs w:val="24"/>
    </w:rPr>
  </w:style>
  <w:style w:type="paragraph" w:styleId="Heading4">
    <w:name w:val="heading 4"/>
    <w:basedOn w:val="Normal"/>
    <w:next w:val="Normal"/>
    <w:link w:val="Heading4Char"/>
    <w:uiPriority w:val="9"/>
    <w:semiHidden/>
    <w:unhideWhenUsed/>
    <w:qFormat/>
    <w:rsid w:val="00C0591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2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21E"/>
    <w:rPr>
      <w:rFonts w:ascii="Segoe UI" w:hAnsi="Segoe UI" w:cs="Segoe UI"/>
      <w:sz w:val="18"/>
      <w:szCs w:val="18"/>
    </w:rPr>
  </w:style>
  <w:style w:type="character" w:customStyle="1" w:styleId="Heading1Char">
    <w:name w:val="Heading 1 Char"/>
    <w:basedOn w:val="DefaultParagraphFont"/>
    <w:link w:val="Heading1"/>
    <w:uiPriority w:val="9"/>
    <w:rsid w:val="00691014"/>
    <w:rPr>
      <w:rFonts w:ascii="Times New Roman Bold" w:hAnsi="Times New Roman Bold" w:eastAsiaTheme="majorEastAsia" w:cstheme="majorBidi"/>
      <w:b/>
      <w:caps/>
      <w:color w:val="auto"/>
      <w:szCs w:val="32"/>
    </w:rPr>
  </w:style>
  <w:style w:type="paragraph" w:styleId="FootnoteText">
    <w:name w:val="footnote text"/>
    <w:aliases w:val="ALTS FOOTNOTE,Footnote Text Char Char,Footnote Text Char Char Char Char,Footnote Text Char Char1,Footnote Text Char1,Footnote Text Char1 Char Char1,Footnote Text Char1 Char Char1 Char Char Char,Footnote Text Char2 Char Char Char Char1,fn"/>
    <w:basedOn w:val="Normal"/>
    <w:link w:val="FootnoteTextChar"/>
    <w:uiPriority w:val="99"/>
    <w:unhideWhenUsed/>
    <w:qFormat/>
    <w:rsid w:val="00F219D1"/>
    <w:rPr>
      <w:b/>
      <w:color w:val="auto"/>
      <w:sz w:val="20"/>
      <w:szCs w:val="20"/>
    </w:rPr>
  </w:style>
  <w:style w:type="character" w:customStyle="1" w:styleId="FootnoteTextChar">
    <w:name w:val="Footnote Text Char"/>
    <w:aliases w:val="ALTS FOOTNOTE Char,Footnote Text Char Char Char,Footnote Text Char Char Char Char Char,Footnote Text Char Char1 Char,Footnote Text Char1 Char,Footnote Text Char1 Char Char1 Char,Footnote Text Char1 Char Char1 Char Char Char Char"/>
    <w:basedOn w:val="DefaultParagraphFont"/>
    <w:link w:val="FootnoteText"/>
    <w:uiPriority w:val="99"/>
    <w:rsid w:val="00F219D1"/>
    <w:rPr>
      <w:b/>
      <w:color w:val="auto"/>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F219D1"/>
    <w:rPr>
      <w:vertAlign w:val="superscript"/>
    </w:rPr>
  </w:style>
  <w:style w:type="paragraph" w:styleId="ListParagraph">
    <w:name w:val="List Paragraph"/>
    <w:basedOn w:val="Normal"/>
    <w:uiPriority w:val="34"/>
    <w:qFormat/>
    <w:rsid w:val="00416A44"/>
    <w:pPr>
      <w:ind w:left="720"/>
      <w:contextualSpacing/>
    </w:pPr>
  </w:style>
  <w:style w:type="paragraph" w:styleId="NormalWeb">
    <w:name w:val="Normal (Web)"/>
    <w:basedOn w:val="Normal"/>
    <w:uiPriority w:val="99"/>
    <w:unhideWhenUsed/>
    <w:rsid w:val="009B34A2"/>
    <w:pPr>
      <w:spacing w:before="100" w:beforeAutospacing="1" w:after="100" w:afterAutospacing="1"/>
    </w:pPr>
    <w:rPr>
      <w:rFonts w:eastAsia="Times New Roman"/>
      <w:bCs w:val="0"/>
      <w:color w:val="auto"/>
      <w:szCs w:val="24"/>
    </w:rPr>
  </w:style>
  <w:style w:type="paragraph" w:styleId="Header">
    <w:name w:val="header"/>
    <w:basedOn w:val="Normal"/>
    <w:link w:val="HeaderChar"/>
    <w:uiPriority w:val="99"/>
    <w:unhideWhenUsed/>
    <w:rsid w:val="009B34A2"/>
    <w:pPr>
      <w:tabs>
        <w:tab w:val="center" w:pos="4680"/>
        <w:tab w:val="right" w:pos="9360"/>
      </w:tabs>
    </w:pPr>
  </w:style>
  <w:style w:type="character" w:customStyle="1" w:styleId="HeaderChar">
    <w:name w:val="Header Char"/>
    <w:basedOn w:val="DefaultParagraphFont"/>
    <w:link w:val="Header"/>
    <w:uiPriority w:val="99"/>
    <w:rsid w:val="009B34A2"/>
  </w:style>
  <w:style w:type="paragraph" w:styleId="Footer">
    <w:name w:val="footer"/>
    <w:basedOn w:val="Normal"/>
    <w:link w:val="FooterChar"/>
    <w:uiPriority w:val="99"/>
    <w:unhideWhenUsed/>
    <w:rsid w:val="009B34A2"/>
    <w:pPr>
      <w:tabs>
        <w:tab w:val="center" w:pos="4680"/>
        <w:tab w:val="right" w:pos="9360"/>
      </w:tabs>
    </w:pPr>
  </w:style>
  <w:style w:type="character" w:customStyle="1" w:styleId="FooterChar">
    <w:name w:val="Footer Char"/>
    <w:basedOn w:val="DefaultParagraphFont"/>
    <w:link w:val="Footer"/>
    <w:uiPriority w:val="99"/>
    <w:rsid w:val="009B34A2"/>
  </w:style>
  <w:style w:type="character" w:styleId="CommentReference">
    <w:name w:val="annotation reference"/>
    <w:basedOn w:val="DefaultParagraphFont"/>
    <w:uiPriority w:val="99"/>
    <w:semiHidden/>
    <w:unhideWhenUsed/>
    <w:rsid w:val="003754F0"/>
    <w:rPr>
      <w:sz w:val="16"/>
      <w:szCs w:val="16"/>
    </w:rPr>
  </w:style>
  <w:style w:type="paragraph" w:styleId="CommentText">
    <w:name w:val="annotation text"/>
    <w:basedOn w:val="Normal"/>
    <w:link w:val="CommentTextChar"/>
    <w:unhideWhenUsed/>
    <w:rsid w:val="003754F0"/>
    <w:rPr>
      <w:sz w:val="20"/>
      <w:szCs w:val="20"/>
    </w:rPr>
  </w:style>
  <w:style w:type="character" w:customStyle="1" w:styleId="CommentTextChar">
    <w:name w:val="Comment Text Char"/>
    <w:basedOn w:val="DefaultParagraphFont"/>
    <w:link w:val="CommentText"/>
    <w:rsid w:val="003754F0"/>
    <w:rPr>
      <w:sz w:val="20"/>
      <w:szCs w:val="20"/>
    </w:rPr>
  </w:style>
  <w:style w:type="paragraph" w:styleId="CommentSubject">
    <w:name w:val="annotation subject"/>
    <w:basedOn w:val="CommentText"/>
    <w:next w:val="CommentText"/>
    <w:link w:val="CommentSubjectChar"/>
    <w:uiPriority w:val="99"/>
    <w:semiHidden/>
    <w:unhideWhenUsed/>
    <w:rsid w:val="003754F0"/>
    <w:rPr>
      <w:b/>
    </w:rPr>
  </w:style>
  <w:style w:type="character" w:customStyle="1" w:styleId="CommentSubjectChar">
    <w:name w:val="Comment Subject Char"/>
    <w:basedOn w:val="CommentTextChar"/>
    <w:link w:val="CommentSubject"/>
    <w:uiPriority w:val="99"/>
    <w:semiHidden/>
    <w:rsid w:val="003754F0"/>
    <w:rPr>
      <w:b/>
      <w:sz w:val="20"/>
      <w:szCs w:val="20"/>
    </w:rPr>
  </w:style>
  <w:style w:type="character" w:styleId="Hyperlink">
    <w:name w:val="Hyperlink"/>
    <w:basedOn w:val="DefaultParagraphFont"/>
    <w:uiPriority w:val="99"/>
    <w:unhideWhenUsed/>
    <w:rsid w:val="003B0510"/>
    <w:rPr>
      <w:color w:val="0563C1" w:themeColor="hyperlink"/>
      <w:u w:val="single"/>
    </w:rPr>
  </w:style>
  <w:style w:type="character" w:customStyle="1" w:styleId="UnresolvedMention1">
    <w:name w:val="Unresolved Mention1"/>
    <w:basedOn w:val="DefaultParagraphFont"/>
    <w:uiPriority w:val="99"/>
    <w:semiHidden/>
    <w:unhideWhenUsed/>
    <w:rsid w:val="003B0510"/>
    <w:rPr>
      <w:color w:val="605E5C"/>
      <w:shd w:val="clear" w:color="auto" w:fill="E1DFDD"/>
    </w:rPr>
  </w:style>
  <w:style w:type="paragraph" w:styleId="HTMLPreformatted">
    <w:name w:val="HTML Preformatted"/>
    <w:basedOn w:val="Normal"/>
    <w:link w:val="HTMLPreformattedChar"/>
    <w:rsid w:val="00322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Cs w:val="0"/>
      <w:color w:val="auto"/>
      <w:sz w:val="20"/>
      <w:szCs w:val="20"/>
    </w:rPr>
  </w:style>
  <w:style w:type="character" w:customStyle="1" w:styleId="HTMLPreformattedChar">
    <w:name w:val="HTML Preformatted Char"/>
    <w:basedOn w:val="DefaultParagraphFont"/>
    <w:link w:val="HTMLPreformatted"/>
    <w:rsid w:val="00322352"/>
    <w:rPr>
      <w:rFonts w:ascii="Courier New" w:eastAsia="Courier New" w:hAnsi="Courier New" w:cs="Courier New"/>
      <w:bCs w:val="0"/>
      <w:color w:val="auto"/>
      <w:sz w:val="20"/>
      <w:szCs w:val="20"/>
    </w:rPr>
  </w:style>
  <w:style w:type="paragraph" w:styleId="List">
    <w:name w:val="List"/>
    <w:basedOn w:val="Normal"/>
    <w:rsid w:val="00322352"/>
    <w:pPr>
      <w:ind w:left="360" w:hanging="360"/>
    </w:pPr>
    <w:rPr>
      <w:rFonts w:eastAsia="Times New Roman"/>
      <w:bCs w:val="0"/>
      <w:color w:val="auto"/>
      <w:szCs w:val="20"/>
    </w:rPr>
  </w:style>
  <w:style w:type="paragraph" w:styleId="BodyText">
    <w:name w:val="Body Text"/>
    <w:basedOn w:val="Normal"/>
    <w:link w:val="BodyTextChar"/>
    <w:uiPriority w:val="99"/>
    <w:rsid w:val="00322352"/>
    <w:pPr>
      <w:tabs>
        <w:tab w:val="left" w:pos="-720"/>
      </w:tabs>
      <w:suppressAutoHyphens/>
      <w:spacing w:line="480" w:lineRule="auto"/>
      <w:jc w:val="both"/>
    </w:pPr>
    <w:rPr>
      <w:rFonts w:eastAsia="Times New Roman"/>
      <w:bCs w:val="0"/>
      <w:color w:val="auto"/>
      <w:szCs w:val="24"/>
    </w:rPr>
  </w:style>
  <w:style w:type="character" w:customStyle="1" w:styleId="BodyTextChar">
    <w:name w:val="Body Text Char"/>
    <w:basedOn w:val="DefaultParagraphFont"/>
    <w:link w:val="BodyText"/>
    <w:uiPriority w:val="99"/>
    <w:rsid w:val="00322352"/>
    <w:rPr>
      <w:rFonts w:eastAsia="Times New Roman"/>
      <w:bCs w:val="0"/>
      <w:color w:val="auto"/>
      <w:szCs w:val="24"/>
    </w:rPr>
  </w:style>
  <w:style w:type="table" w:styleId="TableGrid">
    <w:name w:val="Table Grid"/>
    <w:basedOn w:val="TableNormal"/>
    <w:uiPriority w:val="59"/>
    <w:rsid w:val="000F1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_0"/>
    <w:basedOn w:val="DefaultParagraphFont"/>
    <w:uiPriority w:val="99"/>
    <w:semiHidden/>
    <w:unhideWhenUsed/>
    <w:rsid w:val="00674B4F"/>
    <w:rPr>
      <w:color w:val="605E5C"/>
      <w:shd w:val="clear" w:color="auto" w:fill="E1DFDD"/>
    </w:rPr>
  </w:style>
  <w:style w:type="paragraph" w:styleId="TOC1">
    <w:name w:val="toc 1"/>
    <w:basedOn w:val="Normal"/>
    <w:next w:val="Normal"/>
    <w:autoRedefine/>
    <w:uiPriority w:val="39"/>
    <w:unhideWhenUsed/>
    <w:rsid w:val="00583EF3"/>
    <w:pPr>
      <w:tabs>
        <w:tab w:val="decimal" w:leader="dot" w:pos="9360"/>
      </w:tabs>
      <w:spacing w:after="240"/>
      <w:ind w:left="720" w:hanging="720"/>
    </w:pPr>
    <w:rPr>
      <w:caps/>
      <w:color w:val="auto"/>
    </w:rPr>
  </w:style>
  <w:style w:type="paragraph" w:styleId="TOC2">
    <w:name w:val="toc 2"/>
    <w:basedOn w:val="Normal"/>
    <w:next w:val="Normal"/>
    <w:autoRedefine/>
    <w:uiPriority w:val="39"/>
    <w:unhideWhenUsed/>
    <w:qFormat/>
    <w:rsid w:val="00583EF3"/>
    <w:pPr>
      <w:tabs>
        <w:tab w:val="decimal" w:leader="dot" w:pos="9360"/>
      </w:tabs>
      <w:spacing w:after="240"/>
      <w:ind w:left="1440" w:hanging="720"/>
    </w:pPr>
    <w:rPr>
      <w:color w:val="auto"/>
    </w:rPr>
  </w:style>
  <w:style w:type="paragraph" w:styleId="TOC3">
    <w:name w:val="toc 3"/>
    <w:basedOn w:val="Normal"/>
    <w:next w:val="Normal"/>
    <w:autoRedefine/>
    <w:uiPriority w:val="39"/>
    <w:unhideWhenUsed/>
    <w:qFormat/>
    <w:rsid w:val="00583EF3"/>
    <w:pPr>
      <w:tabs>
        <w:tab w:val="decimal" w:leader="dot" w:pos="9360"/>
      </w:tabs>
      <w:spacing w:after="240"/>
      <w:ind w:left="2160" w:hanging="720"/>
    </w:pPr>
    <w:rPr>
      <w:color w:val="auto"/>
    </w:rPr>
  </w:style>
  <w:style w:type="character" w:customStyle="1" w:styleId="Heading2Char">
    <w:name w:val="Heading 2 Char"/>
    <w:basedOn w:val="DefaultParagraphFont"/>
    <w:link w:val="Heading2"/>
    <w:uiPriority w:val="9"/>
    <w:rsid w:val="003A3F62"/>
    <w:rPr>
      <w:rFonts w:ascii="Times New Roman Bold" w:hAnsi="Times New Roman Bold" w:eastAsiaTheme="majorEastAsia" w:cstheme="majorBidi"/>
      <w:b/>
      <w:color w:val="auto"/>
      <w:szCs w:val="24"/>
    </w:rPr>
  </w:style>
  <w:style w:type="character" w:customStyle="1" w:styleId="Heading3Char">
    <w:name w:val="Heading 3 Char"/>
    <w:basedOn w:val="DefaultParagraphFont"/>
    <w:link w:val="Heading3"/>
    <w:uiPriority w:val="9"/>
    <w:rsid w:val="003875F6"/>
    <w:rPr>
      <w:rFonts w:ascii="Times New Roman Bold" w:hAnsi="Times New Roman Bold" w:eastAsiaTheme="majorEastAsia" w:cstheme="majorBidi"/>
      <w:b/>
      <w:color w:val="auto"/>
      <w:szCs w:val="24"/>
    </w:rPr>
  </w:style>
  <w:style w:type="paragraph" w:styleId="Revision">
    <w:name w:val="Revision"/>
    <w:hidden/>
    <w:uiPriority w:val="99"/>
    <w:semiHidden/>
    <w:rsid w:val="00CA12F5"/>
  </w:style>
  <w:style w:type="character" w:styleId="FollowedHyperlink">
    <w:name w:val="FollowedHyperlink"/>
    <w:basedOn w:val="DefaultParagraphFont"/>
    <w:uiPriority w:val="99"/>
    <w:semiHidden/>
    <w:unhideWhenUsed/>
    <w:rsid w:val="00A13237"/>
    <w:rPr>
      <w:color w:val="954F72" w:themeColor="followedHyperlink"/>
      <w:u w:val="single"/>
    </w:rPr>
  </w:style>
  <w:style w:type="character" w:customStyle="1" w:styleId="UnresolvedMention2">
    <w:name w:val="Unresolved Mention2"/>
    <w:basedOn w:val="DefaultParagraphFont"/>
    <w:uiPriority w:val="99"/>
    <w:semiHidden/>
    <w:unhideWhenUsed/>
    <w:rsid w:val="003B72CB"/>
    <w:rPr>
      <w:color w:val="605E5C"/>
      <w:shd w:val="clear" w:color="auto" w:fill="E1DFDD"/>
    </w:rPr>
  </w:style>
  <w:style w:type="character" w:customStyle="1" w:styleId="UnresolvedMention3">
    <w:name w:val="Unresolved Mention3"/>
    <w:basedOn w:val="DefaultParagraphFont"/>
    <w:uiPriority w:val="99"/>
    <w:rsid w:val="00B16A7B"/>
    <w:rPr>
      <w:color w:val="605E5C"/>
      <w:shd w:val="clear" w:color="auto" w:fill="E1DFDD"/>
    </w:rPr>
  </w:style>
  <w:style w:type="character" w:customStyle="1" w:styleId="markedcontent">
    <w:name w:val="markedcontent"/>
    <w:basedOn w:val="DefaultParagraphFont"/>
    <w:rsid w:val="000064CA"/>
  </w:style>
  <w:style w:type="character" w:customStyle="1" w:styleId="ssleftalign">
    <w:name w:val="ss_leftalign"/>
    <w:basedOn w:val="DefaultParagraphFont"/>
    <w:rsid w:val="002A7ECB"/>
  </w:style>
  <w:style w:type="character" w:customStyle="1" w:styleId="ssprior">
    <w:name w:val="ss_prior"/>
    <w:basedOn w:val="DefaultParagraphFont"/>
    <w:rsid w:val="002A7ECB"/>
  </w:style>
  <w:style w:type="character" w:customStyle="1" w:styleId="UnresolvedMention4">
    <w:name w:val="Unresolved Mention4"/>
    <w:basedOn w:val="DefaultParagraphFont"/>
    <w:uiPriority w:val="99"/>
    <w:rsid w:val="00C01BBA"/>
    <w:rPr>
      <w:color w:val="605E5C"/>
      <w:shd w:val="clear" w:color="auto" w:fill="E1DFDD"/>
    </w:rPr>
  </w:style>
  <w:style w:type="paragraph" w:styleId="BodyTextIndent3">
    <w:name w:val="Body Text Indent 3"/>
    <w:basedOn w:val="Normal"/>
    <w:link w:val="BodyTextIndent3Char"/>
    <w:uiPriority w:val="99"/>
    <w:semiHidden/>
    <w:unhideWhenUsed/>
    <w:rsid w:val="00D9487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94878"/>
    <w:rPr>
      <w:sz w:val="16"/>
      <w:szCs w:val="16"/>
    </w:rPr>
  </w:style>
  <w:style w:type="character" w:customStyle="1" w:styleId="Heading4Char">
    <w:name w:val="Heading 4 Char"/>
    <w:basedOn w:val="DefaultParagraphFont"/>
    <w:link w:val="Heading4"/>
    <w:uiPriority w:val="9"/>
    <w:semiHidden/>
    <w:rsid w:val="00C05918"/>
    <w:rPr>
      <w:rFonts w:asciiTheme="majorHAnsi" w:eastAsiaTheme="majorEastAsia" w:hAnsiTheme="majorHAnsi" w:cstheme="majorBidi"/>
      <w:i/>
      <w:iCs/>
      <w:color w:val="2F5496" w:themeColor="accent1" w:themeShade="BF"/>
    </w:rPr>
  </w:style>
  <w:style w:type="character" w:customStyle="1" w:styleId="UnresolvedMention5">
    <w:name w:val="Unresolved Mention5"/>
    <w:basedOn w:val="DefaultParagraphFont"/>
    <w:uiPriority w:val="99"/>
    <w:rsid w:val="00AD3F0B"/>
    <w:rPr>
      <w:color w:val="605E5C"/>
      <w:shd w:val="clear" w:color="auto" w:fill="E1DFDD"/>
    </w:rPr>
  </w:style>
  <w:style w:type="character" w:customStyle="1" w:styleId="UnresolvedMention">
    <w:name w:val="Unresolved Mention"/>
    <w:basedOn w:val="DefaultParagraphFont"/>
    <w:uiPriority w:val="99"/>
    <w:rsid w:val="006B6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thomas.lindgren@ohioAGO.gov" TargetMode="External" /><Relationship Id="rId12" Type="http://schemas.openxmlformats.org/officeDocument/2006/relationships/hyperlink" Target="mailto:werner.margard@ohioAGO.gov" TargetMode="External" /><Relationship Id="rId13" Type="http://schemas.openxmlformats.org/officeDocument/2006/relationships/hyperlink" Target="mailto:joliker@igsenergy.com" TargetMode="External" /><Relationship Id="rId14" Type="http://schemas.openxmlformats.org/officeDocument/2006/relationships/hyperlink" Target="mailto:Mnugent@igsenergy.com" TargetMode="External" /><Relationship Id="rId15" Type="http://schemas.openxmlformats.org/officeDocument/2006/relationships/hyperlink" Target="mailto:bethany.allen@igs.com" TargetMode="External" /><Relationship Id="rId16" Type="http://schemas.openxmlformats.org/officeDocument/2006/relationships/hyperlink" Target="mailto:evan.betterton@igs.com" TargetMode="External" /><Relationship Id="rId17" Type="http://schemas.openxmlformats.org/officeDocument/2006/relationships/hyperlink" Target="mailto:gkrassen@bricker.com" TargetMode="External" /><Relationship Id="rId18" Type="http://schemas.openxmlformats.org/officeDocument/2006/relationships/hyperlink" Target="mailto:dstinson@bricker.com" TargetMode="External" /><Relationship Id="rId19" Type="http://schemas.openxmlformats.org/officeDocument/2006/relationships/hyperlink" Target="mailto:whitt@whitt-sturtevant.com" TargetMode="External" /><Relationship Id="rId2" Type="http://schemas.openxmlformats.org/officeDocument/2006/relationships/settings" Target="settings.xml" /><Relationship Id="rId20" Type="http://schemas.openxmlformats.org/officeDocument/2006/relationships/hyperlink" Target="mailto:fykes@whitt-sturtevant.com" TargetMode="External" /><Relationship Id="rId21" Type="http://schemas.openxmlformats.org/officeDocument/2006/relationships/hyperlink" Target="mailto:mwise@mcdonaldhopkins.com" TargetMode="External" /><Relationship Id="rId22" Type="http://schemas.openxmlformats.org/officeDocument/2006/relationships/hyperlink" Target="mailto:mkurtz@BKLlawfirm.com" TargetMode="External" /><Relationship Id="rId23" Type="http://schemas.openxmlformats.org/officeDocument/2006/relationships/hyperlink" Target="mailto:kboehm@BKLlawfirm.com" TargetMode="External" /><Relationship Id="rId24" Type="http://schemas.openxmlformats.org/officeDocument/2006/relationships/hyperlink" Target="mailto:jkylercohn@BKLlawfirm.com" TargetMode="External" /><Relationship Id="rId25" Type="http://schemas.openxmlformats.org/officeDocument/2006/relationships/hyperlink" Target="mailto:talexander@beneschlaw.com" TargetMode="External" /><Relationship Id="rId26" Type="http://schemas.openxmlformats.org/officeDocument/2006/relationships/hyperlink" Target="mailto:megan.addison@puco.ohio.gov" TargetMode="External" /><Relationship Id="rId27" Type="http://schemas.openxmlformats.org/officeDocument/2006/relationships/hyperlink" Target="mailto:edanford@firstenergycorp.com" TargetMode="External" /><Relationship Id="rId28" Type="http://schemas.openxmlformats.org/officeDocument/2006/relationships/hyperlink" Target="mailto:cwatchorn@firstenergycorp.com" TargetMode="External" /><Relationship Id="rId29" Type="http://schemas.openxmlformats.org/officeDocument/2006/relationships/hyperlink" Target="mailto:bknipe@firstenergycorp.com" TargetMode="External" /><Relationship Id="rId3" Type="http://schemas.openxmlformats.org/officeDocument/2006/relationships/webSettings" Target="webSettings.xml" /><Relationship Id="rId30" Type="http://schemas.openxmlformats.org/officeDocument/2006/relationships/hyperlink" Target="mailto:mrgladman@jonesday.com" TargetMode="External" /><Relationship Id="rId31" Type="http://schemas.openxmlformats.org/officeDocument/2006/relationships/hyperlink" Target="mailto:mdengler@jonesday.com" TargetMode="External" /><Relationship Id="rId32" Type="http://schemas.openxmlformats.org/officeDocument/2006/relationships/hyperlink" Target="mailto:radoringo@jonesday.com" TargetMode="External" /><Relationship Id="rId33" Type="http://schemas.openxmlformats.org/officeDocument/2006/relationships/hyperlink" Target="mailto:marcie.lape@skadden.com" TargetMode="External" /><Relationship Id="rId34" Type="http://schemas.openxmlformats.org/officeDocument/2006/relationships/hyperlink" Target="mailto:iavalon@taftlaw.com" TargetMode="External" /><Relationship Id="rId35" Type="http://schemas.openxmlformats.org/officeDocument/2006/relationships/hyperlink" Target="mailto:mpritchard@mcneeslaw.com" TargetMode="External" /><Relationship Id="rId36" Type="http://schemas.openxmlformats.org/officeDocument/2006/relationships/hyperlink" Target="mailto:rdove@keglerbrown.com" TargetMode="External" /><Relationship Id="rId37" Type="http://schemas.openxmlformats.org/officeDocument/2006/relationships/hyperlink" Target="mailto:bojko@carpenterlipps.com" TargetMode="External" /><Relationship Id="rId38" Type="http://schemas.openxmlformats.org/officeDocument/2006/relationships/hyperlink" Target="mailto:tdougherty@theOEC.org" TargetMode="External" /><Relationship Id="rId39" Type="http://schemas.openxmlformats.org/officeDocument/2006/relationships/hyperlink" Target="mailto:ctavenor@theOEC.org" TargetMode="External" /><Relationship Id="rId4" Type="http://schemas.openxmlformats.org/officeDocument/2006/relationships/fontTable" Target="fontTable.xml" /><Relationship Id="rId40" Type="http://schemas.openxmlformats.org/officeDocument/2006/relationships/hyperlink" Target="mailto:jweber@elpc.org" TargetMode="External" /><Relationship Id="rId41" Type="http://schemas.openxmlformats.org/officeDocument/2006/relationships/hyperlink" Target="mailto:sgoyal@jonesday.com-" TargetMode="External" /><Relationship Id="rId42" Type="http://schemas.openxmlformats.org/officeDocument/2006/relationships/hyperlink" Target="mailto:calee@jonesday.com-" TargetMode="External" /><Relationship Id="rId43" Type="http://schemas.openxmlformats.org/officeDocument/2006/relationships/header" Target="header1.xml" /><Relationship Id="rId44" Type="http://schemas.openxmlformats.org/officeDocument/2006/relationships/footer" Target="footer4.xml" /><Relationship Id="rId45" Type="http://schemas.openxmlformats.org/officeDocument/2006/relationships/footer" Target="footer5.xml" /><Relationship Id="rId46" Type="http://schemas.openxmlformats.org/officeDocument/2006/relationships/theme" Target="theme/theme1.xml" /><Relationship Id="rId47" Type="http://schemas.openxmlformats.org/officeDocument/2006/relationships/numbering" Target="numbering.xml" /><Relationship Id="rId48"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yperlink" Target="mailto:maureen.willis@occ.ohio.gov" TargetMode="External" /><Relationship Id="rId7" Type="http://schemas.openxmlformats.org/officeDocument/2006/relationships/hyperlink" Target="mailto:john.finnigan@occ.ohio.gov" TargetMode="Externa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elibrary.ferc.gov/eLibrary/filedownload?fileid=9DDE513A-470F-CAC6-97AD-7EC4D280000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A8F13-BE5D-4B1B-A089-29EE1C3E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2808</Words>
  <Characters>16012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2022-04-21T20:46:10Z</dcterms:created>
  <dcterms:modified xsi:type="dcterms:W3CDTF">2022-04-21T20:46:10Z</dcterms:modified>
</cp:coreProperties>
</file>