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F882" w14:textId="60FAE202" w:rsidR="0097712F" w:rsidRPr="0097712F" w:rsidRDefault="0041056A" w:rsidP="0097712F">
      <w:pPr>
        <w:pStyle w:val="Title"/>
        <w:outlineLvl w:val="0"/>
        <w:rPr>
          <w:rFonts w:asciiTheme="minorHAnsi" w:hAnsiTheme="minorHAnsi" w:cstheme="minorHAnsi"/>
          <w:szCs w:val="24"/>
        </w:rPr>
      </w:pPr>
      <w:r w:rsidRPr="0097712F">
        <w:rPr>
          <w:rFonts w:asciiTheme="minorHAnsi" w:hAnsiTheme="minorHAnsi" w:cstheme="minorHAnsi"/>
          <w:szCs w:val="24"/>
        </w:rPr>
        <w:t>BEFORE</w:t>
      </w:r>
    </w:p>
    <w:p w14:paraId="1A7752FE" w14:textId="77777777" w:rsidR="0097712F" w:rsidRPr="0097712F" w:rsidRDefault="0041056A" w:rsidP="0097712F">
      <w:pPr>
        <w:jc w:val="center"/>
        <w:outlineLvl w:val="0"/>
        <w:rPr>
          <w:rFonts w:cstheme="minorHAnsi"/>
          <w:b/>
          <w:sz w:val="24"/>
          <w:szCs w:val="24"/>
        </w:rPr>
      </w:pPr>
      <w:r w:rsidRPr="0097712F">
        <w:rPr>
          <w:rFonts w:cstheme="minorHAnsi"/>
          <w:b/>
          <w:sz w:val="24"/>
          <w:szCs w:val="24"/>
        </w:rPr>
        <w:t>THE PUBLIC UTILITIES COMMISSION OF OHIO</w:t>
      </w:r>
    </w:p>
    <w:p w14:paraId="070182AE" w14:textId="77777777" w:rsidR="0097712F" w:rsidRDefault="0097712F" w:rsidP="0097712F">
      <w:pPr>
        <w:tabs>
          <w:tab w:val="left" w:pos="5040"/>
          <w:tab w:val="left" w:pos="5797"/>
          <w:tab w:val="left" w:pos="6919"/>
        </w:tabs>
        <w:spacing w:after="0" w:line="240" w:lineRule="auto"/>
        <w:rPr>
          <w:rFonts w:ascii="Calibri" w:hAnsi="Calibri"/>
          <w:sz w:val="24"/>
          <w:szCs w:val="24"/>
        </w:rPr>
      </w:pPr>
    </w:p>
    <w:tbl>
      <w:tblPr>
        <w:tblW w:w="10692" w:type="dxa"/>
        <w:tblLook w:val="0000" w:firstRow="0" w:lastRow="0" w:firstColumn="0" w:lastColumn="0" w:noHBand="0" w:noVBand="0"/>
      </w:tblPr>
      <w:tblGrid>
        <w:gridCol w:w="5490"/>
        <w:gridCol w:w="810"/>
        <w:gridCol w:w="4392"/>
      </w:tblGrid>
      <w:tr w:rsidR="00C77CD3" w14:paraId="49A3E6F4" w14:textId="77777777" w:rsidTr="00E93CEC">
        <w:tc>
          <w:tcPr>
            <w:tcW w:w="5490" w:type="dxa"/>
          </w:tcPr>
          <w:p w14:paraId="765EF41A" w14:textId="1002DAB0" w:rsidR="00C77CD3" w:rsidRPr="00C77CD3" w:rsidRDefault="00C77CD3" w:rsidP="00B607C7">
            <w:pPr>
              <w:contextualSpacing/>
              <w:rPr>
                <w:sz w:val="24"/>
                <w:szCs w:val="24"/>
              </w:rPr>
            </w:pPr>
            <w:r w:rsidRPr="00C77CD3">
              <w:rPr>
                <w:sz w:val="24"/>
                <w:szCs w:val="24"/>
              </w:rPr>
              <w:t xml:space="preserve">In the Matter of the Review of the Non-Market-Based Services Rider Pilot Program Established by Ohio Edison Company, </w:t>
            </w:r>
            <w:r w:rsidR="00117805">
              <w:rPr>
                <w:sz w:val="24"/>
                <w:szCs w:val="24"/>
              </w:rPr>
              <w:t>T</w:t>
            </w:r>
            <w:r w:rsidR="00117805" w:rsidRPr="00C77CD3">
              <w:rPr>
                <w:sz w:val="24"/>
                <w:szCs w:val="24"/>
              </w:rPr>
              <w:t xml:space="preserve">he </w:t>
            </w:r>
            <w:r w:rsidRPr="00C77CD3">
              <w:rPr>
                <w:sz w:val="24"/>
                <w:szCs w:val="24"/>
              </w:rPr>
              <w:t xml:space="preserve">Cleveland Electric Illuminating Company, and </w:t>
            </w:r>
            <w:r w:rsidR="00117805">
              <w:rPr>
                <w:sz w:val="24"/>
                <w:szCs w:val="24"/>
              </w:rPr>
              <w:t>T</w:t>
            </w:r>
            <w:r w:rsidR="00117805" w:rsidRPr="00C77CD3">
              <w:rPr>
                <w:sz w:val="24"/>
                <w:szCs w:val="24"/>
              </w:rPr>
              <w:t xml:space="preserve">he </w:t>
            </w:r>
            <w:r w:rsidRPr="00C77CD3">
              <w:rPr>
                <w:sz w:val="24"/>
                <w:szCs w:val="24"/>
              </w:rPr>
              <w:t>Toledo Edison Company</w:t>
            </w:r>
          </w:p>
        </w:tc>
        <w:tc>
          <w:tcPr>
            <w:tcW w:w="810" w:type="dxa"/>
          </w:tcPr>
          <w:p w14:paraId="20F53D4F" w14:textId="77777777" w:rsidR="00C77CD3" w:rsidRPr="00C77CD3" w:rsidRDefault="00C77CD3" w:rsidP="00C77CD3">
            <w:pPr>
              <w:contextualSpacing/>
              <w:jc w:val="center"/>
              <w:rPr>
                <w:sz w:val="24"/>
                <w:szCs w:val="24"/>
              </w:rPr>
            </w:pPr>
            <w:r w:rsidRPr="00C77CD3">
              <w:rPr>
                <w:sz w:val="24"/>
                <w:szCs w:val="24"/>
              </w:rPr>
              <w:t>)</w:t>
            </w:r>
          </w:p>
          <w:p w14:paraId="0813CDC9" w14:textId="77777777" w:rsidR="00C77CD3" w:rsidRPr="00C77CD3" w:rsidRDefault="00C77CD3" w:rsidP="00C77CD3">
            <w:pPr>
              <w:contextualSpacing/>
              <w:jc w:val="center"/>
              <w:rPr>
                <w:sz w:val="24"/>
                <w:szCs w:val="24"/>
              </w:rPr>
            </w:pPr>
            <w:r w:rsidRPr="00C77CD3">
              <w:rPr>
                <w:sz w:val="24"/>
                <w:szCs w:val="24"/>
              </w:rPr>
              <w:t>)</w:t>
            </w:r>
          </w:p>
          <w:p w14:paraId="7F9C5080" w14:textId="77777777" w:rsidR="00C77CD3" w:rsidRPr="00C77CD3" w:rsidRDefault="00C77CD3" w:rsidP="00C77CD3">
            <w:pPr>
              <w:contextualSpacing/>
              <w:jc w:val="center"/>
              <w:rPr>
                <w:sz w:val="24"/>
                <w:szCs w:val="24"/>
              </w:rPr>
            </w:pPr>
            <w:r w:rsidRPr="00C77CD3">
              <w:rPr>
                <w:sz w:val="24"/>
                <w:szCs w:val="24"/>
              </w:rPr>
              <w:t>)</w:t>
            </w:r>
          </w:p>
          <w:p w14:paraId="144D88CD" w14:textId="31DDD28B" w:rsidR="00C77CD3" w:rsidRPr="00C77CD3" w:rsidRDefault="00C77CD3" w:rsidP="00E93CEC">
            <w:pPr>
              <w:contextualSpacing/>
              <w:jc w:val="center"/>
              <w:rPr>
                <w:sz w:val="24"/>
                <w:szCs w:val="24"/>
              </w:rPr>
            </w:pPr>
            <w:r w:rsidRPr="00C77CD3">
              <w:rPr>
                <w:sz w:val="24"/>
                <w:szCs w:val="24"/>
              </w:rPr>
              <w:t>)</w:t>
            </w:r>
          </w:p>
        </w:tc>
        <w:tc>
          <w:tcPr>
            <w:tcW w:w="4392" w:type="dxa"/>
          </w:tcPr>
          <w:p w14:paraId="7D85DB4A" w14:textId="77777777" w:rsidR="00C77CD3" w:rsidRPr="00C77CD3" w:rsidRDefault="00C77CD3" w:rsidP="00B607C7">
            <w:pPr>
              <w:contextualSpacing/>
              <w:rPr>
                <w:sz w:val="24"/>
                <w:szCs w:val="24"/>
              </w:rPr>
            </w:pPr>
          </w:p>
          <w:p w14:paraId="6840A5EB" w14:textId="77777777" w:rsidR="00C77CD3" w:rsidRPr="00C77CD3" w:rsidRDefault="00C77CD3" w:rsidP="00C77CD3">
            <w:pPr>
              <w:contextualSpacing/>
              <w:rPr>
                <w:sz w:val="24"/>
                <w:szCs w:val="24"/>
              </w:rPr>
            </w:pPr>
          </w:p>
          <w:p w14:paraId="133A9647" w14:textId="365DED45" w:rsidR="00C77CD3" w:rsidRPr="00C77CD3" w:rsidRDefault="00C77CD3" w:rsidP="00E93CEC">
            <w:pPr>
              <w:contextualSpacing/>
              <w:rPr>
                <w:sz w:val="24"/>
                <w:szCs w:val="24"/>
              </w:rPr>
            </w:pPr>
            <w:r w:rsidRPr="00C77CD3">
              <w:rPr>
                <w:sz w:val="24"/>
                <w:szCs w:val="24"/>
              </w:rPr>
              <w:t>Case No. 22-</w:t>
            </w:r>
            <w:r w:rsidR="00117805">
              <w:rPr>
                <w:sz w:val="24"/>
                <w:szCs w:val="24"/>
              </w:rPr>
              <w:t>0</w:t>
            </w:r>
            <w:r w:rsidRPr="00C77CD3">
              <w:rPr>
                <w:sz w:val="24"/>
                <w:szCs w:val="24"/>
              </w:rPr>
              <w:t>391-EL-RDR</w:t>
            </w:r>
          </w:p>
        </w:tc>
      </w:tr>
    </w:tbl>
    <w:p w14:paraId="7E80D8AB" w14:textId="77777777" w:rsidR="0097712F" w:rsidRPr="0097712F" w:rsidRDefault="0097712F" w:rsidP="0097712F">
      <w:pPr>
        <w:pBdr>
          <w:bottom w:val="single" w:sz="12" w:space="1" w:color="auto"/>
        </w:pBdr>
        <w:jc w:val="center"/>
        <w:rPr>
          <w:rFonts w:cstheme="minorHAnsi"/>
          <w:sz w:val="24"/>
          <w:szCs w:val="24"/>
        </w:rPr>
      </w:pPr>
    </w:p>
    <w:p w14:paraId="4BA03B36" w14:textId="22DA7070" w:rsidR="0097712F" w:rsidRPr="0097712F" w:rsidRDefault="0041056A" w:rsidP="00337290">
      <w:pPr>
        <w:spacing w:after="0" w:line="240" w:lineRule="auto"/>
        <w:jc w:val="center"/>
        <w:outlineLvl w:val="0"/>
        <w:rPr>
          <w:rFonts w:cstheme="minorHAnsi"/>
          <w:b/>
          <w:bCs/>
          <w:sz w:val="24"/>
          <w:szCs w:val="24"/>
        </w:rPr>
      </w:pPr>
      <w:r>
        <w:rPr>
          <w:rFonts w:cstheme="minorHAnsi"/>
          <w:b/>
          <w:bCs/>
          <w:sz w:val="24"/>
          <w:szCs w:val="24"/>
        </w:rPr>
        <w:t>COMMENTS</w:t>
      </w:r>
      <w:r w:rsidRPr="0097712F">
        <w:rPr>
          <w:rFonts w:cstheme="minorHAnsi"/>
          <w:b/>
          <w:bCs/>
          <w:sz w:val="24"/>
          <w:szCs w:val="24"/>
        </w:rPr>
        <w:t xml:space="preserve"> OF NUCOR STEEL MARION, INC. </w:t>
      </w:r>
      <w:r w:rsidR="00F6484D">
        <w:rPr>
          <w:rFonts w:cstheme="minorHAnsi"/>
          <w:b/>
          <w:bCs/>
          <w:sz w:val="24"/>
          <w:szCs w:val="24"/>
        </w:rPr>
        <w:t xml:space="preserve"> </w:t>
      </w:r>
    </w:p>
    <w:p w14:paraId="3EA0DCE4" w14:textId="6CB78C8A" w:rsidR="0097712F" w:rsidRPr="0097712F" w:rsidRDefault="0041056A" w:rsidP="0097712F">
      <w:pPr>
        <w:pBdr>
          <w:bottom w:val="single" w:sz="12" w:space="1" w:color="auto"/>
        </w:pBdr>
        <w:tabs>
          <w:tab w:val="left" w:pos="6461"/>
        </w:tabs>
        <w:rPr>
          <w:rFonts w:cstheme="minorHAnsi"/>
          <w:sz w:val="24"/>
          <w:szCs w:val="24"/>
        </w:rPr>
      </w:pPr>
      <w:r w:rsidRPr="0097712F">
        <w:rPr>
          <w:rFonts w:cstheme="minorHAnsi"/>
          <w:sz w:val="24"/>
          <w:szCs w:val="24"/>
        </w:rPr>
        <w:tab/>
      </w:r>
    </w:p>
    <w:p w14:paraId="16C6BE4B" w14:textId="47D7A726" w:rsidR="004F7655" w:rsidRDefault="0041056A" w:rsidP="00405CFF">
      <w:pPr>
        <w:spacing w:before="240" w:after="0" w:line="480" w:lineRule="auto"/>
        <w:jc w:val="both"/>
        <w:rPr>
          <w:sz w:val="24"/>
          <w:szCs w:val="24"/>
        </w:rPr>
      </w:pPr>
      <w:r>
        <w:rPr>
          <w:b/>
          <w:bCs/>
          <w:sz w:val="24"/>
          <w:szCs w:val="24"/>
        </w:rPr>
        <w:tab/>
      </w:r>
      <w:r>
        <w:rPr>
          <w:sz w:val="24"/>
          <w:szCs w:val="24"/>
        </w:rPr>
        <w:t xml:space="preserve">Pursuant to the </w:t>
      </w:r>
      <w:r w:rsidR="00C77CD3">
        <w:rPr>
          <w:sz w:val="24"/>
          <w:szCs w:val="24"/>
        </w:rPr>
        <w:t>Entry dated July 19, 2023,</w:t>
      </w:r>
      <w:r>
        <w:rPr>
          <w:sz w:val="24"/>
          <w:szCs w:val="24"/>
        </w:rPr>
        <w:t xml:space="preserve"> in the above-captioned proceeding, Nucor Steel Marion, Inc. hereby submits these comments </w:t>
      </w:r>
      <w:r w:rsidR="00C77CD3">
        <w:rPr>
          <w:sz w:val="24"/>
          <w:szCs w:val="24"/>
        </w:rPr>
        <w:t xml:space="preserve">to the Public Utilities Commission of Ohio </w:t>
      </w:r>
      <w:r>
        <w:rPr>
          <w:sz w:val="24"/>
          <w:szCs w:val="24"/>
        </w:rPr>
        <w:t xml:space="preserve">on issues related to </w:t>
      </w:r>
      <w:r w:rsidR="00C77CD3">
        <w:rPr>
          <w:sz w:val="24"/>
          <w:szCs w:val="24"/>
        </w:rPr>
        <w:t xml:space="preserve">the </w:t>
      </w:r>
      <w:r w:rsidR="00C77CD3" w:rsidRPr="002B07EC">
        <w:rPr>
          <w:i/>
          <w:iCs/>
          <w:sz w:val="24"/>
          <w:szCs w:val="24"/>
        </w:rPr>
        <w:t>Review of the Non-Market-Based Services Riders Established by Ohio Edison Company, The Cleveland Electric Illuminating Company, and The Toledo Edison Company and Associated Pilot Program</w:t>
      </w:r>
      <w:r w:rsidR="00C77CD3">
        <w:rPr>
          <w:sz w:val="24"/>
          <w:szCs w:val="24"/>
        </w:rPr>
        <w:t xml:space="preserve"> (“Audit Report”) prepared by Exeter Associates, Inc</w:t>
      </w:r>
      <w:r>
        <w:rPr>
          <w:sz w:val="24"/>
          <w:szCs w:val="24"/>
        </w:rPr>
        <w:t>.</w:t>
      </w:r>
      <w:r w:rsidR="00E3063B">
        <w:rPr>
          <w:sz w:val="24"/>
          <w:szCs w:val="24"/>
        </w:rPr>
        <w:t xml:space="preserve">   </w:t>
      </w:r>
    </w:p>
    <w:p w14:paraId="03FF3298" w14:textId="6A4D2DEE" w:rsidR="004F7655" w:rsidRDefault="0041056A" w:rsidP="00405CFF">
      <w:pPr>
        <w:spacing w:after="240" w:line="240" w:lineRule="auto"/>
        <w:jc w:val="both"/>
        <w:rPr>
          <w:b/>
          <w:bCs/>
          <w:sz w:val="24"/>
          <w:szCs w:val="24"/>
        </w:rPr>
      </w:pPr>
      <w:r w:rsidRPr="006561A9">
        <w:rPr>
          <w:b/>
          <w:bCs/>
          <w:sz w:val="24"/>
          <w:szCs w:val="24"/>
        </w:rPr>
        <w:t>I.</w:t>
      </w:r>
      <w:r w:rsidRPr="006561A9">
        <w:rPr>
          <w:b/>
          <w:bCs/>
          <w:sz w:val="24"/>
          <w:szCs w:val="24"/>
        </w:rPr>
        <w:tab/>
      </w:r>
      <w:r w:rsidR="003A1D33">
        <w:rPr>
          <w:b/>
          <w:bCs/>
          <w:sz w:val="24"/>
          <w:szCs w:val="24"/>
        </w:rPr>
        <w:t>INTRODUCTION</w:t>
      </w:r>
      <w:r>
        <w:rPr>
          <w:b/>
          <w:bCs/>
          <w:sz w:val="24"/>
          <w:szCs w:val="24"/>
        </w:rPr>
        <w:tab/>
      </w:r>
    </w:p>
    <w:p w14:paraId="78E935A4" w14:textId="72E9694B" w:rsidR="00105DB9" w:rsidRDefault="00105DB9" w:rsidP="00405CFF">
      <w:pPr>
        <w:spacing w:after="0" w:line="480" w:lineRule="auto"/>
        <w:ind w:firstLine="720"/>
        <w:jc w:val="both"/>
        <w:rPr>
          <w:sz w:val="24"/>
          <w:szCs w:val="24"/>
        </w:rPr>
      </w:pPr>
      <w:r>
        <w:rPr>
          <w:sz w:val="24"/>
          <w:szCs w:val="24"/>
        </w:rPr>
        <w:t xml:space="preserve">In Case No. 14-1297-EL-SSO, the Commission approved the Rider Non-Market-Based Services </w:t>
      </w:r>
      <w:r w:rsidR="00405CFF">
        <w:rPr>
          <w:sz w:val="24"/>
          <w:szCs w:val="24"/>
        </w:rPr>
        <w:t xml:space="preserve">(“Rider NMB”) </w:t>
      </w:r>
      <w:r>
        <w:rPr>
          <w:sz w:val="24"/>
          <w:szCs w:val="24"/>
        </w:rPr>
        <w:t>Pilot Program</w:t>
      </w:r>
      <w:r w:rsidR="00405CFF">
        <w:rPr>
          <w:sz w:val="24"/>
          <w:szCs w:val="24"/>
        </w:rPr>
        <w:t xml:space="preserve"> for </w:t>
      </w:r>
      <w:r w:rsidR="00405CFF" w:rsidRPr="00405CFF">
        <w:rPr>
          <w:sz w:val="24"/>
          <w:szCs w:val="24"/>
        </w:rPr>
        <w:t>Ohio Edison Company, The Cleveland Electric Illuminating Company, and The Toledo Edison Company</w:t>
      </w:r>
      <w:r w:rsidR="00405CFF">
        <w:rPr>
          <w:sz w:val="24"/>
          <w:szCs w:val="24"/>
        </w:rPr>
        <w:t xml:space="preserve"> (“Companies”).  T</w:t>
      </w:r>
      <w:r w:rsidR="00405CFF" w:rsidRPr="00405CFF">
        <w:rPr>
          <w:sz w:val="24"/>
          <w:szCs w:val="24"/>
        </w:rPr>
        <w:t xml:space="preserve">he </w:t>
      </w:r>
      <w:r w:rsidR="00405CFF">
        <w:rPr>
          <w:sz w:val="24"/>
          <w:szCs w:val="24"/>
        </w:rPr>
        <w:t xml:space="preserve">Rider </w:t>
      </w:r>
      <w:r w:rsidR="00405CFF" w:rsidRPr="00405CFF">
        <w:rPr>
          <w:sz w:val="24"/>
          <w:szCs w:val="24"/>
        </w:rPr>
        <w:t xml:space="preserve">NMB Pilot Program provides </w:t>
      </w:r>
      <w:r w:rsidR="00405CFF">
        <w:rPr>
          <w:sz w:val="24"/>
          <w:szCs w:val="24"/>
        </w:rPr>
        <w:t>participating</w:t>
      </w:r>
      <w:r w:rsidR="00405CFF" w:rsidRPr="00405CFF">
        <w:rPr>
          <w:sz w:val="24"/>
          <w:szCs w:val="24"/>
        </w:rPr>
        <w:t xml:space="preserve"> customers an opportunity to </w:t>
      </w:r>
      <w:r w:rsidR="00317C24">
        <w:rPr>
          <w:sz w:val="24"/>
          <w:szCs w:val="24"/>
        </w:rPr>
        <w:t>manage</w:t>
      </w:r>
      <w:r w:rsidR="00405CFF">
        <w:rPr>
          <w:sz w:val="24"/>
          <w:szCs w:val="24"/>
        </w:rPr>
        <w:t xml:space="preserve"> </w:t>
      </w:r>
      <w:r w:rsidR="00405CFF" w:rsidRPr="00405CFF">
        <w:rPr>
          <w:sz w:val="24"/>
          <w:szCs w:val="24"/>
        </w:rPr>
        <w:t>their transmission-related costs by controlling their Network Service Peak Load</w:t>
      </w:r>
      <w:r w:rsidR="00405CFF">
        <w:rPr>
          <w:sz w:val="24"/>
          <w:szCs w:val="24"/>
        </w:rPr>
        <w:t xml:space="preserve"> (“NSPL”)</w:t>
      </w:r>
      <w:r w:rsidR="00405CFF" w:rsidRPr="00405CFF">
        <w:rPr>
          <w:sz w:val="24"/>
          <w:szCs w:val="24"/>
        </w:rPr>
        <w:t>.</w:t>
      </w:r>
      <w:r w:rsidR="00405CFF">
        <w:rPr>
          <w:sz w:val="24"/>
          <w:szCs w:val="24"/>
        </w:rPr>
        <w:t xml:space="preserve">  Nucor</w:t>
      </w:r>
      <w:r w:rsidR="00BA4B53">
        <w:rPr>
          <w:sz w:val="24"/>
          <w:szCs w:val="24"/>
        </w:rPr>
        <w:t>, a large industrial customer served by the Ohio Edison Company,</w:t>
      </w:r>
      <w:r w:rsidR="00405CFF">
        <w:rPr>
          <w:sz w:val="24"/>
          <w:szCs w:val="24"/>
        </w:rPr>
        <w:t xml:space="preserve"> </w:t>
      </w:r>
      <w:r w:rsidR="00BA4B53">
        <w:rPr>
          <w:sz w:val="24"/>
          <w:szCs w:val="24"/>
        </w:rPr>
        <w:t xml:space="preserve">has participated in the </w:t>
      </w:r>
      <w:r w:rsidR="00405CFF">
        <w:rPr>
          <w:sz w:val="24"/>
          <w:szCs w:val="24"/>
        </w:rPr>
        <w:t>Rider NMB Pilot Program</w:t>
      </w:r>
      <w:r w:rsidR="00BA4B53">
        <w:rPr>
          <w:sz w:val="24"/>
          <w:szCs w:val="24"/>
        </w:rPr>
        <w:t xml:space="preserve"> since its inception</w:t>
      </w:r>
      <w:r w:rsidR="00405CFF">
        <w:rPr>
          <w:sz w:val="24"/>
          <w:szCs w:val="24"/>
        </w:rPr>
        <w:t>.</w:t>
      </w:r>
      <w:r w:rsidR="00BA4B53">
        <w:rPr>
          <w:sz w:val="24"/>
          <w:szCs w:val="24"/>
        </w:rPr>
        <w:t xml:space="preserve">  </w:t>
      </w:r>
      <w:r w:rsidR="0018545F">
        <w:rPr>
          <w:sz w:val="24"/>
          <w:szCs w:val="24"/>
        </w:rPr>
        <w:t xml:space="preserve">Since </w:t>
      </w:r>
      <w:r w:rsidR="00BA4B53">
        <w:rPr>
          <w:sz w:val="24"/>
          <w:szCs w:val="24"/>
        </w:rPr>
        <w:t xml:space="preserve">Nucor’s electric arc furnace steelmaking process </w:t>
      </w:r>
      <w:r w:rsidR="0018545F">
        <w:rPr>
          <w:sz w:val="24"/>
          <w:szCs w:val="24"/>
        </w:rPr>
        <w:t>uses massive amounts of electric energy, Nucor must control its electric costs in order to remain competi</w:t>
      </w:r>
      <w:r w:rsidR="00662FEE">
        <w:rPr>
          <w:sz w:val="24"/>
          <w:szCs w:val="24"/>
        </w:rPr>
        <w:t xml:space="preserve">tive.  To that end, </w:t>
      </w:r>
      <w:r w:rsidR="00BA4B53">
        <w:rPr>
          <w:sz w:val="24"/>
          <w:szCs w:val="24"/>
        </w:rPr>
        <w:t xml:space="preserve">Nucor has found the </w:t>
      </w:r>
      <w:r w:rsidR="00C4136C">
        <w:rPr>
          <w:sz w:val="24"/>
          <w:szCs w:val="24"/>
        </w:rPr>
        <w:t xml:space="preserve">Rider </w:t>
      </w:r>
      <w:r w:rsidR="00405CFF">
        <w:rPr>
          <w:sz w:val="24"/>
          <w:szCs w:val="24"/>
        </w:rPr>
        <w:t xml:space="preserve">NMB Pilot Program </w:t>
      </w:r>
      <w:r w:rsidR="00BA4B53">
        <w:rPr>
          <w:sz w:val="24"/>
          <w:szCs w:val="24"/>
        </w:rPr>
        <w:t xml:space="preserve">to be very </w:t>
      </w:r>
      <w:r w:rsidR="00BA4B53" w:rsidRPr="0029309B">
        <w:rPr>
          <w:sz w:val="24"/>
          <w:szCs w:val="24"/>
        </w:rPr>
        <w:t>valuable</w:t>
      </w:r>
      <w:r w:rsidR="00BA4B53">
        <w:rPr>
          <w:sz w:val="24"/>
          <w:szCs w:val="24"/>
        </w:rPr>
        <w:t xml:space="preserve"> because it</w:t>
      </w:r>
      <w:r w:rsidR="00405CFF">
        <w:rPr>
          <w:sz w:val="24"/>
          <w:szCs w:val="24"/>
        </w:rPr>
        <w:t xml:space="preserve"> allows Nucor to better control and mitigate its transmission costs</w:t>
      </w:r>
      <w:r w:rsidR="005C74B4">
        <w:rPr>
          <w:sz w:val="24"/>
          <w:szCs w:val="24"/>
        </w:rPr>
        <w:t>.</w:t>
      </w:r>
    </w:p>
    <w:p w14:paraId="102DB4BD" w14:textId="020B6D96" w:rsidR="005C74B4" w:rsidRDefault="005C74B4" w:rsidP="005C74B4">
      <w:pPr>
        <w:spacing w:after="0" w:line="480" w:lineRule="auto"/>
        <w:ind w:firstLine="720"/>
        <w:jc w:val="both"/>
        <w:rPr>
          <w:sz w:val="24"/>
          <w:szCs w:val="24"/>
        </w:rPr>
      </w:pPr>
      <w:r>
        <w:rPr>
          <w:sz w:val="24"/>
          <w:szCs w:val="24"/>
        </w:rPr>
        <w:lastRenderedPageBreak/>
        <w:t xml:space="preserve">In approving the Rider NMB Pilot Program, the Commission directed the Companies and Commission Staff to review the operations of the Pilot Program to determine </w:t>
      </w:r>
      <w:r w:rsidRPr="005C74B4">
        <w:rPr>
          <w:sz w:val="24"/>
          <w:szCs w:val="24"/>
        </w:rPr>
        <w:t>whether there is an aggregate savings in transmission costs for all of the</w:t>
      </w:r>
      <w:r>
        <w:rPr>
          <w:sz w:val="24"/>
          <w:szCs w:val="24"/>
        </w:rPr>
        <w:t xml:space="preserve"> </w:t>
      </w:r>
      <w:r w:rsidRPr="005C74B4">
        <w:rPr>
          <w:sz w:val="24"/>
          <w:szCs w:val="24"/>
        </w:rPr>
        <w:t>Companies’ customers, whether and how much transmission cost</w:t>
      </w:r>
      <w:r w:rsidR="002B07EC">
        <w:rPr>
          <w:sz w:val="24"/>
          <w:szCs w:val="24"/>
        </w:rPr>
        <w:t xml:space="preserve"> is</w:t>
      </w:r>
      <w:r w:rsidRPr="005C74B4">
        <w:rPr>
          <w:sz w:val="24"/>
          <w:szCs w:val="24"/>
        </w:rPr>
        <w:t xml:space="preserve"> being shifted to</w:t>
      </w:r>
      <w:r>
        <w:rPr>
          <w:sz w:val="24"/>
          <w:szCs w:val="24"/>
        </w:rPr>
        <w:t xml:space="preserve"> </w:t>
      </w:r>
      <w:r w:rsidRPr="005C74B4">
        <w:rPr>
          <w:sz w:val="24"/>
          <w:szCs w:val="24"/>
        </w:rPr>
        <w:t xml:space="preserve">customers not participating in the </w:t>
      </w:r>
      <w:r w:rsidR="00B036D2">
        <w:rPr>
          <w:sz w:val="24"/>
          <w:szCs w:val="24"/>
        </w:rPr>
        <w:t>P</w:t>
      </w:r>
      <w:r w:rsidR="00B036D2" w:rsidRPr="005C74B4">
        <w:rPr>
          <w:sz w:val="24"/>
          <w:szCs w:val="24"/>
        </w:rPr>
        <w:t xml:space="preserve">ilot </w:t>
      </w:r>
      <w:r w:rsidR="00B036D2">
        <w:rPr>
          <w:sz w:val="24"/>
          <w:szCs w:val="24"/>
        </w:rPr>
        <w:t>P</w:t>
      </w:r>
      <w:r w:rsidR="00B036D2" w:rsidRPr="005C74B4">
        <w:rPr>
          <w:sz w:val="24"/>
          <w:szCs w:val="24"/>
        </w:rPr>
        <w:t>rogram</w:t>
      </w:r>
      <w:r w:rsidRPr="005C74B4">
        <w:rPr>
          <w:sz w:val="24"/>
          <w:szCs w:val="24"/>
        </w:rPr>
        <w:t xml:space="preserve">, whether the benefits of the </w:t>
      </w:r>
      <w:r w:rsidR="001F2E0B">
        <w:rPr>
          <w:sz w:val="24"/>
          <w:szCs w:val="24"/>
        </w:rPr>
        <w:t>P</w:t>
      </w:r>
      <w:r w:rsidR="001F2E0B" w:rsidRPr="005C74B4">
        <w:rPr>
          <w:sz w:val="24"/>
          <w:szCs w:val="24"/>
        </w:rPr>
        <w:t xml:space="preserve">ilot </w:t>
      </w:r>
      <w:r w:rsidR="001F2E0B">
        <w:rPr>
          <w:sz w:val="24"/>
          <w:szCs w:val="24"/>
        </w:rPr>
        <w:t>P</w:t>
      </w:r>
      <w:r w:rsidR="001F2E0B" w:rsidRPr="005C74B4">
        <w:rPr>
          <w:sz w:val="24"/>
          <w:szCs w:val="24"/>
        </w:rPr>
        <w:t>rogram</w:t>
      </w:r>
      <w:r w:rsidR="001F2E0B">
        <w:rPr>
          <w:sz w:val="24"/>
          <w:szCs w:val="24"/>
        </w:rPr>
        <w:t xml:space="preserve"> </w:t>
      </w:r>
      <w:r w:rsidRPr="005C74B4">
        <w:rPr>
          <w:sz w:val="24"/>
          <w:szCs w:val="24"/>
        </w:rPr>
        <w:t>outweigh any costs, and whether Rider NMB results in an overall cost savings to customers</w:t>
      </w:r>
      <w:r>
        <w:rPr>
          <w:sz w:val="24"/>
          <w:szCs w:val="24"/>
        </w:rPr>
        <w:t xml:space="preserve">.  </w:t>
      </w:r>
      <w:r w:rsidR="00373C5F">
        <w:rPr>
          <w:sz w:val="24"/>
          <w:szCs w:val="24"/>
        </w:rPr>
        <w:t xml:space="preserve">Staff </w:t>
      </w:r>
      <w:r w:rsidR="00442FDC">
        <w:rPr>
          <w:sz w:val="24"/>
          <w:szCs w:val="24"/>
        </w:rPr>
        <w:t xml:space="preserve">chose </w:t>
      </w:r>
      <w:r>
        <w:rPr>
          <w:sz w:val="24"/>
          <w:szCs w:val="24"/>
        </w:rPr>
        <w:t xml:space="preserve">Exeter </w:t>
      </w:r>
      <w:r w:rsidR="00373C5F">
        <w:rPr>
          <w:sz w:val="24"/>
          <w:szCs w:val="24"/>
        </w:rPr>
        <w:t xml:space="preserve">to assist with this review, and the resulting </w:t>
      </w:r>
      <w:r>
        <w:rPr>
          <w:sz w:val="24"/>
          <w:szCs w:val="24"/>
        </w:rPr>
        <w:t xml:space="preserve">Audit Report </w:t>
      </w:r>
      <w:r w:rsidR="0029309B">
        <w:rPr>
          <w:sz w:val="24"/>
          <w:szCs w:val="24"/>
        </w:rPr>
        <w:t xml:space="preserve">was </w:t>
      </w:r>
      <w:r>
        <w:rPr>
          <w:sz w:val="24"/>
          <w:szCs w:val="24"/>
        </w:rPr>
        <w:t xml:space="preserve">filed on July 17, 2023. </w:t>
      </w:r>
      <w:r w:rsidR="00373C5F">
        <w:rPr>
          <w:sz w:val="24"/>
          <w:szCs w:val="24"/>
        </w:rPr>
        <w:t xml:space="preserve"> Nucor appreciates the efforts of Exeter and Staff in developing the Audit </w:t>
      </w:r>
      <w:r w:rsidR="005956DC">
        <w:rPr>
          <w:sz w:val="24"/>
          <w:szCs w:val="24"/>
        </w:rPr>
        <w:t>R</w:t>
      </w:r>
      <w:r w:rsidR="00373C5F">
        <w:rPr>
          <w:sz w:val="24"/>
          <w:szCs w:val="24"/>
        </w:rPr>
        <w:t>eport.</w:t>
      </w:r>
      <w:r w:rsidR="00FF1F96">
        <w:rPr>
          <w:sz w:val="24"/>
          <w:szCs w:val="24"/>
        </w:rPr>
        <w:t xml:space="preserve">  The analysis is timely </w:t>
      </w:r>
      <w:r w:rsidR="008F0ED8">
        <w:rPr>
          <w:sz w:val="24"/>
          <w:szCs w:val="24"/>
        </w:rPr>
        <w:t>because</w:t>
      </w:r>
      <w:r w:rsidR="00FF1F96">
        <w:rPr>
          <w:sz w:val="24"/>
          <w:szCs w:val="24"/>
        </w:rPr>
        <w:t xml:space="preserve"> it coincides with FirstEnergy’s pending Electric Security Plan </w:t>
      </w:r>
      <w:r w:rsidR="001F2E0B">
        <w:rPr>
          <w:sz w:val="24"/>
          <w:szCs w:val="24"/>
        </w:rPr>
        <w:t xml:space="preserve">(“ESP”) </w:t>
      </w:r>
      <w:r w:rsidR="00FF1F96">
        <w:rPr>
          <w:sz w:val="24"/>
          <w:szCs w:val="24"/>
        </w:rPr>
        <w:t>case (Case No. 23-</w:t>
      </w:r>
      <w:r w:rsidR="001F2E0B">
        <w:rPr>
          <w:sz w:val="24"/>
          <w:szCs w:val="24"/>
        </w:rPr>
        <w:t>0</w:t>
      </w:r>
      <w:r w:rsidR="00FF1F96">
        <w:rPr>
          <w:sz w:val="24"/>
          <w:szCs w:val="24"/>
        </w:rPr>
        <w:t>301-EL-SSO), and the analysis in the Audit Report will be helpful in evaluating the transmission cost recovery proposals in that case.</w:t>
      </w:r>
      <w:r w:rsidR="00BC6A7B">
        <w:rPr>
          <w:sz w:val="24"/>
          <w:szCs w:val="24"/>
        </w:rPr>
        <w:t xml:space="preserve">  </w:t>
      </w:r>
    </w:p>
    <w:p w14:paraId="77B98FAD" w14:textId="5140716B" w:rsidR="003A1D33" w:rsidRPr="00E00ED7" w:rsidRDefault="003A1D33" w:rsidP="00E00ED7">
      <w:pPr>
        <w:spacing w:after="0" w:line="480" w:lineRule="auto"/>
        <w:jc w:val="both"/>
        <w:rPr>
          <w:b/>
          <w:bCs/>
          <w:sz w:val="24"/>
          <w:szCs w:val="24"/>
        </w:rPr>
      </w:pPr>
      <w:r w:rsidRPr="00E00ED7">
        <w:rPr>
          <w:b/>
          <w:bCs/>
          <w:sz w:val="24"/>
          <w:szCs w:val="24"/>
        </w:rPr>
        <w:t>II.</w:t>
      </w:r>
      <w:r w:rsidRPr="00E00ED7">
        <w:rPr>
          <w:b/>
          <w:bCs/>
          <w:sz w:val="24"/>
          <w:szCs w:val="24"/>
        </w:rPr>
        <w:tab/>
        <w:t>COMMENTS</w:t>
      </w:r>
    </w:p>
    <w:p w14:paraId="5E15F4C1" w14:textId="645508E4" w:rsidR="005C74B4" w:rsidRDefault="003A1D33" w:rsidP="009C50CD">
      <w:pPr>
        <w:spacing w:after="0" w:line="240" w:lineRule="auto"/>
        <w:ind w:left="1440" w:hanging="720"/>
        <w:jc w:val="both"/>
        <w:rPr>
          <w:b/>
          <w:bCs/>
          <w:sz w:val="24"/>
          <w:szCs w:val="24"/>
        </w:rPr>
      </w:pPr>
      <w:r>
        <w:rPr>
          <w:b/>
          <w:bCs/>
          <w:sz w:val="24"/>
          <w:szCs w:val="24"/>
        </w:rPr>
        <w:t>A</w:t>
      </w:r>
      <w:r w:rsidR="005C74B4" w:rsidRPr="00317C24">
        <w:rPr>
          <w:b/>
          <w:bCs/>
          <w:sz w:val="24"/>
          <w:szCs w:val="24"/>
        </w:rPr>
        <w:t>.</w:t>
      </w:r>
      <w:r w:rsidR="005C74B4" w:rsidRPr="00317C24">
        <w:rPr>
          <w:b/>
          <w:bCs/>
          <w:sz w:val="24"/>
          <w:szCs w:val="24"/>
        </w:rPr>
        <w:tab/>
      </w:r>
      <w:r w:rsidR="007F4650" w:rsidRPr="00317C24">
        <w:rPr>
          <w:b/>
          <w:bCs/>
          <w:sz w:val="24"/>
          <w:szCs w:val="24"/>
        </w:rPr>
        <w:t>The Audit Report finds that the Rider NMB Pilot Program cr</w:t>
      </w:r>
      <w:r w:rsidR="00841F64" w:rsidRPr="00317C24">
        <w:rPr>
          <w:b/>
          <w:bCs/>
          <w:sz w:val="24"/>
          <w:szCs w:val="24"/>
        </w:rPr>
        <w:t>ea</w:t>
      </w:r>
      <w:r w:rsidR="00841F64">
        <w:rPr>
          <w:b/>
          <w:bCs/>
          <w:sz w:val="24"/>
          <w:szCs w:val="24"/>
        </w:rPr>
        <w:t>tes savings for FirstEnergy customers</w:t>
      </w:r>
    </w:p>
    <w:p w14:paraId="4F8B5840" w14:textId="77777777" w:rsidR="003A1D33" w:rsidRPr="005C74B4" w:rsidRDefault="003A1D33" w:rsidP="00E00ED7">
      <w:pPr>
        <w:spacing w:after="0" w:line="240" w:lineRule="auto"/>
        <w:ind w:left="1440" w:hanging="720"/>
        <w:jc w:val="both"/>
        <w:rPr>
          <w:b/>
          <w:bCs/>
          <w:sz w:val="24"/>
          <w:szCs w:val="24"/>
        </w:rPr>
      </w:pPr>
    </w:p>
    <w:p w14:paraId="5FA7BB94" w14:textId="77777777" w:rsidR="00D456A1" w:rsidRDefault="005C74B4" w:rsidP="005C74B4">
      <w:pPr>
        <w:spacing w:after="0" w:line="480" w:lineRule="auto"/>
        <w:ind w:firstLine="720"/>
        <w:jc w:val="both"/>
        <w:rPr>
          <w:sz w:val="24"/>
          <w:szCs w:val="24"/>
        </w:rPr>
      </w:pPr>
      <w:r>
        <w:rPr>
          <w:sz w:val="24"/>
          <w:szCs w:val="24"/>
        </w:rPr>
        <w:t xml:space="preserve"> </w:t>
      </w:r>
      <w:r w:rsidR="007F4650">
        <w:rPr>
          <w:sz w:val="24"/>
          <w:szCs w:val="24"/>
        </w:rPr>
        <w:t>The key finding in the Audit Report is that the Rider NMB Pilot Program produces aggregate savings for customers and that the benefits of the Pilot Program outweigh the costs.</w:t>
      </w:r>
      <w:r w:rsidR="007F4650">
        <w:rPr>
          <w:rStyle w:val="FootnoteReference"/>
          <w:sz w:val="24"/>
          <w:szCs w:val="24"/>
        </w:rPr>
        <w:footnoteReference w:id="1"/>
      </w:r>
      <w:r w:rsidR="00B030C6">
        <w:rPr>
          <w:sz w:val="24"/>
          <w:szCs w:val="24"/>
        </w:rPr>
        <w:t xml:space="preserve">  The Audit Report finds that if the Pilot Program had not existed during the period of review (March 2017 to February 2023), the Rider NMB revenue requirement would have been </w:t>
      </w:r>
      <w:r w:rsidR="00B030C6" w:rsidRPr="00B030C6">
        <w:rPr>
          <w:sz w:val="24"/>
          <w:szCs w:val="24"/>
        </w:rPr>
        <w:t>$231,092,997 higher.</w:t>
      </w:r>
      <w:r w:rsidR="00B030C6">
        <w:rPr>
          <w:rStyle w:val="FootnoteReference"/>
          <w:sz w:val="24"/>
          <w:szCs w:val="24"/>
        </w:rPr>
        <w:footnoteReference w:id="2"/>
      </w:r>
      <w:r w:rsidR="00B030C6">
        <w:rPr>
          <w:sz w:val="24"/>
          <w:szCs w:val="24"/>
        </w:rPr>
        <w:t xml:space="preserve">  In other words, the Pilot Program reduced the total Rider NMB costs by $231 million.</w:t>
      </w:r>
      <w:r w:rsidR="00841F64">
        <w:rPr>
          <w:rStyle w:val="FootnoteReference"/>
          <w:sz w:val="24"/>
          <w:szCs w:val="24"/>
        </w:rPr>
        <w:footnoteReference w:id="3"/>
      </w:r>
      <w:r w:rsidR="000E78BF">
        <w:rPr>
          <w:sz w:val="24"/>
          <w:szCs w:val="24"/>
        </w:rPr>
        <w:t xml:space="preserve">  </w:t>
      </w:r>
    </w:p>
    <w:p w14:paraId="26C8F449" w14:textId="31028F58" w:rsidR="005C74B4" w:rsidRDefault="000E78BF" w:rsidP="005C74B4">
      <w:pPr>
        <w:spacing w:after="0" w:line="480" w:lineRule="auto"/>
        <w:ind w:firstLine="720"/>
        <w:jc w:val="both"/>
        <w:rPr>
          <w:sz w:val="24"/>
          <w:szCs w:val="24"/>
        </w:rPr>
      </w:pPr>
      <w:r>
        <w:rPr>
          <w:sz w:val="24"/>
          <w:szCs w:val="24"/>
        </w:rPr>
        <w:lastRenderedPageBreak/>
        <w:t xml:space="preserve">Additionally, the Audit Report concludes that the Pilot Program resulted in approximately $8.9 million in total </w:t>
      </w:r>
      <w:r w:rsidR="005956DC">
        <w:rPr>
          <w:sz w:val="24"/>
          <w:szCs w:val="24"/>
        </w:rPr>
        <w:t xml:space="preserve">quantifiable </w:t>
      </w:r>
      <w:r>
        <w:rPr>
          <w:sz w:val="24"/>
          <w:szCs w:val="24"/>
        </w:rPr>
        <w:t>benefit over the seven-year period, net of program costs.</w:t>
      </w:r>
      <w:r>
        <w:rPr>
          <w:rStyle w:val="FootnoteReference"/>
          <w:sz w:val="24"/>
          <w:szCs w:val="24"/>
        </w:rPr>
        <w:footnoteReference w:id="4"/>
      </w:r>
      <w:r>
        <w:rPr>
          <w:sz w:val="24"/>
          <w:szCs w:val="24"/>
        </w:rPr>
        <w:t xml:space="preserve">  </w:t>
      </w:r>
      <w:r w:rsidR="00D456A1">
        <w:rPr>
          <w:sz w:val="24"/>
          <w:szCs w:val="24"/>
        </w:rPr>
        <w:t xml:space="preserve">The specific benefits can be found in </w:t>
      </w:r>
      <w:r w:rsidR="00A75BF2">
        <w:rPr>
          <w:sz w:val="24"/>
          <w:szCs w:val="24"/>
        </w:rPr>
        <w:t>NSPL</w:t>
      </w:r>
      <w:r w:rsidR="00D456A1">
        <w:rPr>
          <w:sz w:val="24"/>
          <w:szCs w:val="24"/>
        </w:rPr>
        <w:t xml:space="preserve"> revenue requirement reductions for </w:t>
      </w:r>
      <w:r w:rsidR="00A75BF2" w:rsidRPr="00A75BF2">
        <w:rPr>
          <w:sz w:val="24"/>
          <w:szCs w:val="24"/>
        </w:rPr>
        <w:t>Network Integration Transmission Service</w:t>
      </w:r>
      <w:r w:rsidR="00D456A1" w:rsidRPr="00A75BF2">
        <w:rPr>
          <w:sz w:val="24"/>
          <w:szCs w:val="24"/>
        </w:rPr>
        <w:t xml:space="preserve">, </w:t>
      </w:r>
      <w:r w:rsidR="00A75BF2">
        <w:rPr>
          <w:sz w:val="24"/>
          <w:szCs w:val="24"/>
        </w:rPr>
        <w:t>Transmission Enhancement Charge</w:t>
      </w:r>
      <w:r w:rsidR="00D456A1">
        <w:rPr>
          <w:sz w:val="24"/>
          <w:szCs w:val="24"/>
        </w:rPr>
        <w:t>, and related ancillary services.</w:t>
      </w:r>
      <w:r w:rsidR="00D456A1">
        <w:rPr>
          <w:rStyle w:val="FootnoteReference"/>
          <w:sz w:val="24"/>
          <w:szCs w:val="24"/>
        </w:rPr>
        <w:footnoteReference w:id="5"/>
      </w:r>
      <w:r w:rsidR="00D456A1">
        <w:rPr>
          <w:sz w:val="24"/>
          <w:szCs w:val="24"/>
        </w:rPr>
        <w:t xml:space="preserve"> </w:t>
      </w:r>
      <w:r w:rsidR="00A75BF2">
        <w:rPr>
          <w:sz w:val="24"/>
          <w:szCs w:val="24"/>
        </w:rPr>
        <w:t xml:space="preserve"> </w:t>
      </w:r>
      <w:r w:rsidR="00D456A1">
        <w:rPr>
          <w:sz w:val="24"/>
          <w:szCs w:val="24"/>
        </w:rPr>
        <w:t>These savings are realized by Pilot participants and non-participating Rider NMB customers.</w:t>
      </w:r>
      <w:r w:rsidR="00D456A1">
        <w:rPr>
          <w:rStyle w:val="FootnoteReference"/>
          <w:sz w:val="24"/>
          <w:szCs w:val="24"/>
        </w:rPr>
        <w:footnoteReference w:id="6"/>
      </w:r>
      <w:r w:rsidR="00A75BF2">
        <w:rPr>
          <w:sz w:val="24"/>
          <w:szCs w:val="24"/>
        </w:rPr>
        <w:t xml:space="preserve">  The Audit </w:t>
      </w:r>
      <w:r w:rsidR="005956DC">
        <w:rPr>
          <w:sz w:val="24"/>
          <w:szCs w:val="24"/>
        </w:rPr>
        <w:t>R</w:t>
      </w:r>
      <w:r w:rsidR="00A75BF2">
        <w:rPr>
          <w:sz w:val="24"/>
          <w:szCs w:val="24"/>
        </w:rPr>
        <w:t>eport also finds that the Pilot Program may result in additional savings through reductions in wholesale electricity prices.</w:t>
      </w:r>
      <w:r w:rsidR="00A75BF2">
        <w:rPr>
          <w:rStyle w:val="FootnoteReference"/>
          <w:sz w:val="24"/>
          <w:szCs w:val="24"/>
        </w:rPr>
        <w:footnoteReference w:id="7"/>
      </w:r>
      <w:r w:rsidR="00A75BF2">
        <w:rPr>
          <w:sz w:val="24"/>
          <w:szCs w:val="24"/>
        </w:rPr>
        <w:t xml:space="preserve"> </w:t>
      </w:r>
      <w:r w:rsidR="00363314">
        <w:rPr>
          <w:sz w:val="24"/>
          <w:szCs w:val="24"/>
        </w:rPr>
        <w:t xml:space="preserve"> </w:t>
      </w:r>
      <w:r w:rsidR="00A75BF2">
        <w:rPr>
          <w:sz w:val="24"/>
          <w:szCs w:val="24"/>
        </w:rPr>
        <w:t xml:space="preserve">In short, the customer savings detailed in the </w:t>
      </w:r>
      <w:r w:rsidRPr="00A75BF2">
        <w:rPr>
          <w:sz w:val="24"/>
          <w:szCs w:val="24"/>
        </w:rPr>
        <w:t>Audit Report support continued operation of the Rider NMB Pilot Program</w:t>
      </w:r>
      <w:r>
        <w:rPr>
          <w:sz w:val="24"/>
          <w:szCs w:val="24"/>
        </w:rPr>
        <w:t>.</w:t>
      </w:r>
    </w:p>
    <w:p w14:paraId="3C6DE42A" w14:textId="5D49CCC9" w:rsidR="00B15207" w:rsidRDefault="003A1D33" w:rsidP="005C74B4">
      <w:pPr>
        <w:spacing w:after="0" w:line="480" w:lineRule="auto"/>
        <w:ind w:firstLine="720"/>
        <w:jc w:val="both"/>
        <w:rPr>
          <w:b/>
          <w:bCs/>
          <w:sz w:val="24"/>
          <w:szCs w:val="24"/>
        </w:rPr>
      </w:pPr>
      <w:r>
        <w:rPr>
          <w:b/>
          <w:bCs/>
          <w:sz w:val="24"/>
          <w:szCs w:val="24"/>
        </w:rPr>
        <w:t>B</w:t>
      </w:r>
      <w:r w:rsidR="00B15207" w:rsidRPr="00B15207">
        <w:rPr>
          <w:b/>
          <w:bCs/>
          <w:sz w:val="24"/>
          <w:szCs w:val="24"/>
        </w:rPr>
        <w:t>.</w:t>
      </w:r>
      <w:r w:rsidR="00B15207" w:rsidRPr="00B15207">
        <w:rPr>
          <w:b/>
          <w:bCs/>
          <w:sz w:val="24"/>
          <w:szCs w:val="24"/>
        </w:rPr>
        <w:tab/>
        <w:t xml:space="preserve">In addition to cost savings, the Pilot Program </w:t>
      </w:r>
      <w:r w:rsidR="00C14E36">
        <w:rPr>
          <w:b/>
          <w:bCs/>
          <w:sz w:val="24"/>
          <w:szCs w:val="24"/>
        </w:rPr>
        <w:t>provides</w:t>
      </w:r>
      <w:r w:rsidR="00B15207" w:rsidRPr="00B15207">
        <w:rPr>
          <w:b/>
          <w:bCs/>
          <w:sz w:val="24"/>
          <w:szCs w:val="24"/>
        </w:rPr>
        <w:t xml:space="preserve"> other benefits</w:t>
      </w:r>
    </w:p>
    <w:p w14:paraId="752CCD8A" w14:textId="21DC7337" w:rsidR="00C50075" w:rsidRDefault="00193CD4" w:rsidP="005C74B4">
      <w:pPr>
        <w:spacing w:after="0" w:line="480" w:lineRule="auto"/>
        <w:ind w:firstLine="720"/>
        <w:jc w:val="both"/>
        <w:rPr>
          <w:sz w:val="24"/>
          <w:szCs w:val="24"/>
        </w:rPr>
      </w:pPr>
      <w:r>
        <w:rPr>
          <w:sz w:val="24"/>
          <w:szCs w:val="24"/>
        </w:rPr>
        <w:t xml:space="preserve">In addition to the cost savings discussed above, Exeter identifies other benefits of the Pilot Program.  </w:t>
      </w:r>
      <w:r w:rsidR="00A5279D">
        <w:rPr>
          <w:sz w:val="24"/>
          <w:szCs w:val="24"/>
        </w:rPr>
        <w:t xml:space="preserve">  </w:t>
      </w:r>
      <w:r>
        <w:rPr>
          <w:sz w:val="24"/>
          <w:szCs w:val="24"/>
        </w:rPr>
        <w:t>For example, t</w:t>
      </w:r>
      <w:r w:rsidR="00A5279D">
        <w:rPr>
          <w:sz w:val="24"/>
          <w:szCs w:val="24"/>
        </w:rPr>
        <w:t>he Pilot Program encourages economic development and job retention</w:t>
      </w:r>
      <w:r>
        <w:rPr>
          <w:sz w:val="24"/>
          <w:szCs w:val="24"/>
        </w:rPr>
        <w:t xml:space="preserve"> because it allows commercial and industrial customers to manage their transmission costs</w:t>
      </w:r>
      <w:r w:rsidR="00A5279D">
        <w:rPr>
          <w:sz w:val="24"/>
          <w:szCs w:val="24"/>
        </w:rPr>
        <w:t xml:space="preserve">.  The Audit Report supports this conclusion by explaining how </w:t>
      </w:r>
      <w:r w:rsidR="00C14E36">
        <w:rPr>
          <w:sz w:val="24"/>
          <w:szCs w:val="24"/>
        </w:rPr>
        <w:t xml:space="preserve">increased </w:t>
      </w:r>
      <w:r w:rsidR="00A5279D" w:rsidRPr="00A5279D">
        <w:rPr>
          <w:sz w:val="24"/>
          <w:szCs w:val="24"/>
        </w:rPr>
        <w:t xml:space="preserve">electricity prices </w:t>
      </w:r>
      <w:r w:rsidR="00A5279D">
        <w:rPr>
          <w:sz w:val="24"/>
          <w:szCs w:val="24"/>
        </w:rPr>
        <w:t xml:space="preserve">may </w:t>
      </w:r>
      <w:r w:rsidR="00A5279D" w:rsidRPr="00A5279D">
        <w:rPr>
          <w:sz w:val="24"/>
          <w:szCs w:val="24"/>
        </w:rPr>
        <w:t xml:space="preserve">result in </w:t>
      </w:r>
      <w:r w:rsidR="00C14E36">
        <w:rPr>
          <w:sz w:val="24"/>
          <w:szCs w:val="24"/>
        </w:rPr>
        <w:t>job loss</w:t>
      </w:r>
      <w:r w:rsidR="00A5279D">
        <w:rPr>
          <w:sz w:val="24"/>
          <w:szCs w:val="24"/>
        </w:rPr>
        <w:t xml:space="preserve"> and a </w:t>
      </w:r>
      <w:r w:rsidR="00A5279D" w:rsidRPr="00A5279D">
        <w:rPr>
          <w:sz w:val="24"/>
          <w:szCs w:val="24"/>
        </w:rPr>
        <w:t>decrease in Ohio</w:t>
      </w:r>
      <w:r w:rsidR="00C14E36">
        <w:rPr>
          <w:sz w:val="24"/>
          <w:szCs w:val="24"/>
        </w:rPr>
        <w:t>’s</w:t>
      </w:r>
      <w:r w:rsidR="00A5279D" w:rsidRPr="00A5279D">
        <w:rPr>
          <w:sz w:val="24"/>
          <w:szCs w:val="24"/>
        </w:rPr>
        <w:t xml:space="preserve"> GDP</w:t>
      </w:r>
      <w:r w:rsidR="00A5279D">
        <w:rPr>
          <w:sz w:val="24"/>
          <w:szCs w:val="24"/>
        </w:rPr>
        <w:t>.</w:t>
      </w:r>
      <w:r w:rsidR="00A5279D">
        <w:rPr>
          <w:rStyle w:val="FootnoteReference"/>
          <w:sz w:val="24"/>
          <w:szCs w:val="24"/>
        </w:rPr>
        <w:footnoteReference w:id="8"/>
      </w:r>
      <w:r>
        <w:rPr>
          <w:sz w:val="24"/>
          <w:szCs w:val="24"/>
        </w:rPr>
        <w:t xml:space="preserve">  Also, as the Audit Report recognizes, </w:t>
      </w:r>
      <w:r w:rsidR="00715AC1">
        <w:rPr>
          <w:sz w:val="24"/>
          <w:szCs w:val="24"/>
        </w:rPr>
        <w:t>76 customers</w:t>
      </w:r>
      <w:r w:rsidR="00AA57CB">
        <w:rPr>
          <w:sz w:val="24"/>
          <w:szCs w:val="24"/>
        </w:rPr>
        <w:t xml:space="preserve"> (108 accounts)</w:t>
      </w:r>
      <w:r w:rsidR="00715AC1">
        <w:rPr>
          <w:sz w:val="24"/>
          <w:szCs w:val="24"/>
        </w:rPr>
        <w:t xml:space="preserve"> participated in the Pilot as of March 1, 2023,</w:t>
      </w:r>
      <w:r w:rsidR="00715AC1">
        <w:rPr>
          <w:rStyle w:val="FootnoteReference"/>
          <w:sz w:val="24"/>
          <w:szCs w:val="24"/>
        </w:rPr>
        <w:footnoteReference w:id="9"/>
      </w:r>
      <w:r w:rsidR="00AA57CB">
        <w:rPr>
          <w:sz w:val="24"/>
          <w:szCs w:val="24"/>
        </w:rPr>
        <w:t xml:space="preserve"> and an additional three customers (nine accounts) have participated in the Pilot through reasonable arrangements.</w:t>
      </w:r>
      <w:r w:rsidR="00AA57CB">
        <w:rPr>
          <w:rStyle w:val="FootnoteReference"/>
          <w:sz w:val="24"/>
          <w:szCs w:val="24"/>
        </w:rPr>
        <w:footnoteReference w:id="10"/>
      </w:r>
      <w:r w:rsidR="00AA57CB">
        <w:rPr>
          <w:sz w:val="24"/>
          <w:szCs w:val="24"/>
        </w:rPr>
        <w:t xml:space="preserve">  The majority of the accounts enrolled in the Pilot are classified under a North American Industry Classification System </w:t>
      </w:r>
      <w:r w:rsidR="00AA57CB">
        <w:rPr>
          <w:sz w:val="24"/>
          <w:szCs w:val="24"/>
        </w:rPr>
        <w:lastRenderedPageBreak/>
        <w:t>code related to manufacturing.</w:t>
      </w:r>
      <w:r w:rsidR="00AA57CB">
        <w:rPr>
          <w:rStyle w:val="FootnoteReference"/>
          <w:sz w:val="24"/>
          <w:szCs w:val="24"/>
        </w:rPr>
        <w:footnoteReference w:id="11"/>
      </w:r>
      <w:r w:rsidR="00AA57CB">
        <w:rPr>
          <w:sz w:val="24"/>
          <w:szCs w:val="24"/>
        </w:rPr>
        <w:t xml:space="preserve">  </w:t>
      </w:r>
      <w:r w:rsidR="00715AC1">
        <w:rPr>
          <w:sz w:val="24"/>
          <w:szCs w:val="24"/>
        </w:rPr>
        <w:t xml:space="preserve"> </w:t>
      </w:r>
      <w:r>
        <w:rPr>
          <w:sz w:val="24"/>
          <w:szCs w:val="24"/>
        </w:rPr>
        <w:t xml:space="preserve">The strong interest of </w:t>
      </w:r>
      <w:r w:rsidR="00AA57CB">
        <w:rPr>
          <w:sz w:val="24"/>
          <w:szCs w:val="24"/>
        </w:rPr>
        <w:t>electric energy-intensive manufacturers in the Pilot Program</w:t>
      </w:r>
      <w:r>
        <w:rPr>
          <w:sz w:val="24"/>
          <w:szCs w:val="24"/>
        </w:rPr>
        <w:t xml:space="preserve"> is further evidence of the economic development and </w:t>
      </w:r>
      <w:r w:rsidR="005E7327">
        <w:rPr>
          <w:sz w:val="24"/>
          <w:szCs w:val="24"/>
        </w:rPr>
        <w:t xml:space="preserve">job </w:t>
      </w:r>
      <w:r>
        <w:rPr>
          <w:sz w:val="24"/>
          <w:szCs w:val="24"/>
        </w:rPr>
        <w:t xml:space="preserve">retention value of the </w:t>
      </w:r>
      <w:r w:rsidR="00CE5064">
        <w:rPr>
          <w:sz w:val="24"/>
          <w:szCs w:val="24"/>
        </w:rPr>
        <w:t>program</w:t>
      </w:r>
      <w:r>
        <w:rPr>
          <w:sz w:val="24"/>
          <w:szCs w:val="24"/>
        </w:rPr>
        <w:t xml:space="preserve">. </w:t>
      </w:r>
      <w:r w:rsidR="00A5279D">
        <w:rPr>
          <w:sz w:val="24"/>
          <w:szCs w:val="24"/>
        </w:rPr>
        <w:t xml:space="preserve">  </w:t>
      </w:r>
    </w:p>
    <w:p w14:paraId="7CD2C3C5" w14:textId="77834392" w:rsidR="00B15207" w:rsidRDefault="001C79DE" w:rsidP="005C74B4">
      <w:pPr>
        <w:spacing w:after="0" w:line="480" w:lineRule="auto"/>
        <w:ind w:firstLine="720"/>
        <w:jc w:val="both"/>
        <w:rPr>
          <w:sz w:val="24"/>
          <w:szCs w:val="24"/>
        </w:rPr>
      </w:pPr>
      <w:r>
        <w:rPr>
          <w:sz w:val="24"/>
          <w:szCs w:val="24"/>
        </w:rPr>
        <w:t xml:space="preserve">The Audit Report also </w:t>
      </w:r>
      <w:r w:rsidR="00C50075">
        <w:rPr>
          <w:sz w:val="24"/>
          <w:szCs w:val="24"/>
        </w:rPr>
        <w:t xml:space="preserve">discusses </w:t>
      </w:r>
      <w:r>
        <w:rPr>
          <w:sz w:val="24"/>
          <w:szCs w:val="24"/>
        </w:rPr>
        <w:t>how the Pilot Program may increase reliability and help alleviate grid stress</w:t>
      </w:r>
      <w:r w:rsidR="00633A51">
        <w:rPr>
          <w:sz w:val="24"/>
          <w:szCs w:val="24"/>
        </w:rPr>
        <w:t xml:space="preserve"> by providing price signals for customers to curtail at times of high demand</w:t>
      </w:r>
      <w:r>
        <w:rPr>
          <w:sz w:val="24"/>
          <w:szCs w:val="24"/>
        </w:rPr>
        <w:t>.</w:t>
      </w:r>
      <w:r>
        <w:rPr>
          <w:rStyle w:val="FootnoteReference"/>
          <w:sz w:val="24"/>
          <w:szCs w:val="24"/>
        </w:rPr>
        <w:footnoteReference w:id="12"/>
      </w:r>
      <w:r>
        <w:rPr>
          <w:sz w:val="24"/>
          <w:szCs w:val="24"/>
        </w:rPr>
        <w:t xml:space="preserve">  </w:t>
      </w:r>
      <w:r w:rsidR="0087781C">
        <w:rPr>
          <w:sz w:val="24"/>
          <w:szCs w:val="24"/>
        </w:rPr>
        <w:t>A related benefit identified by Exeter is that</w:t>
      </w:r>
      <w:r>
        <w:rPr>
          <w:sz w:val="24"/>
          <w:szCs w:val="24"/>
        </w:rPr>
        <w:t xml:space="preserve"> the Pilot Program better aligns costs with how those costs are caused, compared to Rider NMB</w:t>
      </w:r>
      <w:r w:rsidR="00451409">
        <w:rPr>
          <w:sz w:val="24"/>
          <w:szCs w:val="24"/>
        </w:rPr>
        <w:t>, by inducing customers to respond to appropriate price signals.</w:t>
      </w:r>
      <w:r w:rsidR="00451409" w:rsidRPr="00451409">
        <w:rPr>
          <w:rStyle w:val="FootnoteReference"/>
          <w:sz w:val="24"/>
          <w:szCs w:val="24"/>
        </w:rPr>
        <w:t xml:space="preserve"> </w:t>
      </w:r>
      <w:r w:rsidR="00451409">
        <w:rPr>
          <w:rStyle w:val="FootnoteReference"/>
          <w:sz w:val="24"/>
          <w:szCs w:val="24"/>
        </w:rPr>
        <w:footnoteReference w:id="13"/>
      </w:r>
    </w:p>
    <w:p w14:paraId="6E577FCA" w14:textId="663084B4" w:rsidR="00451409" w:rsidRDefault="003A1D33" w:rsidP="00E00ED7">
      <w:pPr>
        <w:spacing w:after="0" w:line="240" w:lineRule="auto"/>
        <w:ind w:left="1440" w:hanging="720"/>
        <w:jc w:val="both"/>
        <w:rPr>
          <w:b/>
          <w:bCs/>
          <w:sz w:val="24"/>
          <w:szCs w:val="24"/>
        </w:rPr>
      </w:pPr>
      <w:r>
        <w:rPr>
          <w:b/>
          <w:bCs/>
          <w:sz w:val="24"/>
          <w:szCs w:val="24"/>
        </w:rPr>
        <w:t>C</w:t>
      </w:r>
      <w:r w:rsidR="00451409" w:rsidRPr="00451409">
        <w:rPr>
          <w:b/>
          <w:bCs/>
          <w:sz w:val="24"/>
          <w:szCs w:val="24"/>
        </w:rPr>
        <w:t>.</w:t>
      </w:r>
      <w:r w:rsidR="00451409" w:rsidRPr="00451409">
        <w:rPr>
          <w:b/>
          <w:bCs/>
          <w:sz w:val="24"/>
          <w:szCs w:val="24"/>
        </w:rPr>
        <w:tab/>
      </w:r>
      <w:r w:rsidR="00451409">
        <w:rPr>
          <w:b/>
          <w:bCs/>
          <w:sz w:val="24"/>
          <w:szCs w:val="24"/>
        </w:rPr>
        <w:t>The</w:t>
      </w:r>
      <w:r w:rsidR="00451409" w:rsidRPr="00451409">
        <w:rPr>
          <w:b/>
          <w:bCs/>
          <w:sz w:val="24"/>
          <w:szCs w:val="24"/>
        </w:rPr>
        <w:t xml:space="preserve"> Audit Report </w:t>
      </w:r>
      <w:r w:rsidR="00451409">
        <w:rPr>
          <w:b/>
          <w:bCs/>
          <w:sz w:val="24"/>
          <w:szCs w:val="24"/>
        </w:rPr>
        <w:t>r</w:t>
      </w:r>
      <w:r w:rsidR="00451409" w:rsidRPr="00451409">
        <w:rPr>
          <w:b/>
          <w:bCs/>
          <w:sz w:val="24"/>
          <w:szCs w:val="24"/>
        </w:rPr>
        <w:t>ecommendations</w:t>
      </w:r>
      <w:r w:rsidR="00451409">
        <w:rPr>
          <w:b/>
          <w:bCs/>
          <w:sz w:val="24"/>
          <w:szCs w:val="24"/>
        </w:rPr>
        <w:t xml:space="preserve"> support continued operation of the Pilot Program</w:t>
      </w:r>
    </w:p>
    <w:p w14:paraId="564E97F9" w14:textId="77777777" w:rsidR="00105605" w:rsidRDefault="00105605" w:rsidP="00E00ED7">
      <w:pPr>
        <w:spacing w:after="0" w:line="240" w:lineRule="auto"/>
        <w:ind w:firstLine="720"/>
        <w:jc w:val="both"/>
        <w:rPr>
          <w:b/>
          <w:bCs/>
          <w:sz w:val="24"/>
          <w:szCs w:val="24"/>
        </w:rPr>
      </w:pPr>
    </w:p>
    <w:p w14:paraId="651DD4F7" w14:textId="2F2A278C" w:rsidR="004D53B3" w:rsidRDefault="00EC6EC1" w:rsidP="005C74B4">
      <w:pPr>
        <w:spacing w:after="0" w:line="480" w:lineRule="auto"/>
        <w:ind w:firstLine="720"/>
        <w:jc w:val="both"/>
        <w:rPr>
          <w:sz w:val="24"/>
          <w:szCs w:val="24"/>
        </w:rPr>
      </w:pPr>
      <w:r>
        <w:rPr>
          <w:sz w:val="24"/>
          <w:szCs w:val="24"/>
        </w:rPr>
        <w:t xml:space="preserve">The Audit Report </w:t>
      </w:r>
      <w:r w:rsidR="00105605">
        <w:rPr>
          <w:sz w:val="24"/>
          <w:szCs w:val="24"/>
        </w:rPr>
        <w:t>concludes with several recommendations.</w:t>
      </w:r>
      <w:r w:rsidR="00105605">
        <w:rPr>
          <w:rStyle w:val="FootnoteReference"/>
          <w:sz w:val="24"/>
          <w:szCs w:val="24"/>
        </w:rPr>
        <w:footnoteReference w:id="14"/>
      </w:r>
      <w:r w:rsidR="00105605">
        <w:rPr>
          <w:sz w:val="24"/>
          <w:szCs w:val="24"/>
        </w:rPr>
        <w:t xml:space="preserve">  </w:t>
      </w:r>
      <w:r>
        <w:rPr>
          <w:sz w:val="24"/>
          <w:szCs w:val="24"/>
        </w:rPr>
        <w:t>Not surprisingly based on the results of Exeter’s analysis, none of the recommendations propose</w:t>
      </w:r>
      <w:r w:rsidR="00E07EA4">
        <w:rPr>
          <w:sz w:val="24"/>
          <w:szCs w:val="24"/>
        </w:rPr>
        <w:t xml:space="preserve"> that the Pilot Program be eliminated.  Rather, </w:t>
      </w:r>
      <w:r w:rsidR="00105605">
        <w:rPr>
          <w:sz w:val="24"/>
          <w:szCs w:val="24"/>
        </w:rPr>
        <w:t xml:space="preserve">most of </w:t>
      </w:r>
      <w:r w:rsidR="00E07EA4">
        <w:rPr>
          <w:sz w:val="24"/>
          <w:szCs w:val="24"/>
        </w:rPr>
        <w:t>the recommendations</w:t>
      </w:r>
      <w:r w:rsidR="00105605">
        <w:rPr>
          <w:sz w:val="24"/>
          <w:szCs w:val="24"/>
        </w:rPr>
        <w:t xml:space="preserve"> involve modifications to Rider NMB and</w:t>
      </w:r>
      <w:r w:rsidR="00E07EA4">
        <w:rPr>
          <w:sz w:val="24"/>
          <w:szCs w:val="24"/>
        </w:rPr>
        <w:t xml:space="preserve"> would</w:t>
      </w:r>
      <w:r w:rsidR="004714C1">
        <w:rPr>
          <w:sz w:val="24"/>
          <w:szCs w:val="24"/>
        </w:rPr>
        <w:t xml:space="preserve"> extend NSPL pricing treatment to additional groups of customers</w:t>
      </w:r>
      <w:r w:rsidR="00E07EA4">
        <w:rPr>
          <w:sz w:val="24"/>
          <w:szCs w:val="24"/>
        </w:rPr>
        <w:t xml:space="preserve">.  </w:t>
      </w:r>
      <w:r w:rsidR="004714C1">
        <w:rPr>
          <w:sz w:val="24"/>
          <w:szCs w:val="24"/>
        </w:rPr>
        <w:t>The recommendations recognize that</w:t>
      </w:r>
      <w:r w:rsidR="004D53B3">
        <w:rPr>
          <w:sz w:val="24"/>
          <w:szCs w:val="24"/>
        </w:rPr>
        <w:t>, unlike Rider NMB, the NSPL pricing mechanism under the Pilot Program reflects cost causation</w:t>
      </w:r>
      <w:r w:rsidR="004714C1">
        <w:rPr>
          <w:sz w:val="24"/>
          <w:szCs w:val="24"/>
        </w:rPr>
        <w:t>.</w:t>
      </w:r>
    </w:p>
    <w:p w14:paraId="4A22D02F" w14:textId="4A41EA86" w:rsidR="00451409" w:rsidRPr="00451409" w:rsidRDefault="001F6F9C" w:rsidP="005C74B4">
      <w:pPr>
        <w:spacing w:after="0" w:line="480" w:lineRule="auto"/>
        <w:ind w:firstLine="720"/>
        <w:jc w:val="both"/>
        <w:rPr>
          <w:sz w:val="24"/>
          <w:szCs w:val="24"/>
        </w:rPr>
      </w:pPr>
      <w:r>
        <w:rPr>
          <w:sz w:val="24"/>
          <w:szCs w:val="24"/>
        </w:rPr>
        <w:t xml:space="preserve">The Audit Report </w:t>
      </w:r>
      <w:r w:rsidR="0008194B">
        <w:rPr>
          <w:sz w:val="24"/>
          <w:szCs w:val="24"/>
        </w:rPr>
        <w:t xml:space="preserve">findings and recommendations </w:t>
      </w:r>
      <w:r>
        <w:rPr>
          <w:sz w:val="24"/>
          <w:szCs w:val="24"/>
        </w:rPr>
        <w:t xml:space="preserve">support the continuation of the Pilot Program </w:t>
      </w:r>
      <w:r w:rsidR="008371DB">
        <w:rPr>
          <w:sz w:val="24"/>
          <w:szCs w:val="24"/>
        </w:rPr>
        <w:t xml:space="preserve">at least </w:t>
      </w:r>
      <w:r>
        <w:rPr>
          <w:sz w:val="24"/>
          <w:szCs w:val="24"/>
        </w:rPr>
        <w:t>through the end of the current ESP</w:t>
      </w:r>
      <w:r w:rsidR="005607CB">
        <w:rPr>
          <w:sz w:val="24"/>
          <w:szCs w:val="24"/>
        </w:rPr>
        <w:t>, and the extension of NSPL pricing for at least some customers on a permanent basis</w:t>
      </w:r>
      <w:r>
        <w:rPr>
          <w:sz w:val="24"/>
          <w:szCs w:val="24"/>
        </w:rPr>
        <w:t xml:space="preserve">.  </w:t>
      </w:r>
      <w:r w:rsidR="00105605">
        <w:rPr>
          <w:sz w:val="24"/>
          <w:szCs w:val="24"/>
        </w:rPr>
        <w:t xml:space="preserve">Consistent with </w:t>
      </w:r>
      <w:r w:rsidR="005607CB">
        <w:rPr>
          <w:sz w:val="24"/>
          <w:szCs w:val="24"/>
        </w:rPr>
        <w:t>the report’s</w:t>
      </w:r>
      <w:r w:rsidR="00105605">
        <w:rPr>
          <w:sz w:val="24"/>
          <w:szCs w:val="24"/>
        </w:rPr>
        <w:t xml:space="preserve"> final </w:t>
      </w:r>
      <w:r w:rsidR="00105605">
        <w:rPr>
          <w:sz w:val="24"/>
          <w:szCs w:val="24"/>
        </w:rPr>
        <w:lastRenderedPageBreak/>
        <w:t>recommendation,</w:t>
      </w:r>
      <w:r w:rsidR="00105605">
        <w:rPr>
          <w:rStyle w:val="FootnoteReference"/>
          <w:sz w:val="24"/>
          <w:szCs w:val="24"/>
        </w:rPr>
        <w:footnoteReference w:id="15"/>
      </w:r>
      <w:r w:rsidR="00105605">
        <w:rPr>
          <w:sz w:val="24"/>
          <w:szCs w:val="24"/>
        </w:rPr>
        <w:t xml:space="preserve"> a</w:t>
      </w:r>
      <w:r>
        <w:rPr>
          <w:sz w:val="24"/>
          <w:szCs w:val="24"/>
        </w:rPr>
        <w:t>ny changes to Rider NMB and the Pilot Program</w:t>
      </w:r>
      <w:r w:rsidR="005607CB">
        <w:rPr>
          <w:sz w:val="24"/>
          <w:szCs w:val="24"/>
        </w:rPr>
        <w:t xml:space="preserve"> (including those suggested in Recommendations 1 and 2) should</w:t>
      </w:r>
      <w:r>
        <w:rPr>
          <w:sz w:val="24"/>
          <w:szCs w:val="24"/>
        </w:rPr>
        <w:t xml:space="preserve"> be considered in Case No.</w:t>
      </w:r>
      <w:r w:rsidR="0024074A">
        <w:rPr>
          <w:sz w:val="24"/>
          <w:szCs w:val="24"/>
        </w:rPr>
        <w:t xml:space="preserve"> 23-</w:t>
      </w:r>
      <w:r w:rsidR="00FD3CD3">
        <w:rPr>
          <w:sz w:val="24"/>
          <w:szCs w:val="24"/>
        </w:rPr>
        <w:t>0</w:t>
      </w:r>
      <w:r w:rsidR="0024074A">
        <w:rPr>
          <w:sz w:val="24"/>
          <w:szCs w:val="24"/>
        </w:rPr>
        <w:t xml:space="preserve">301-EL-SSO </w:t>
      </w:r>
      <w:r>
        <w:rPr>
          <w:sz w:val="24"/>
          <w:szCs w:val="24"/>
        </w:rPr>
        <w:t xml:space="preserve">and any changes approved by the Commission should take effect on a going forward basis after the end of the current ESP.  </w:t>
      </w:r>
    </w:p>
    <w:p w14:paraId="6406506F" w14:textId="04CE8DC8" w:rsidR="00290620" w:rsidRPr="005272E0" w:rsidRDefault="0041056A" w:rsidP="00682238">
      <w:pPr>
        <w:spacing w:after="0" w:line="480" w:lineRule="auto"/>
        <w:rPr>
          <w:b/>
          <w:bCs/>
          <w:sz w:val="24"/>
          <w:szCs w:val="24"/>
        </w:rPr>
      </w:pPr>
      <w:r>
        <w:rPr>
          <w:b/>
          <w:bCs/>
          <w:sz w:val="24"/>
          <w:szCs w:val="24"/>
        </w:rPr>
        <w:t>II</w:t>
      </w:r>
      <w:r w:rsidR="002E0943">
        <w:rPr>
          <w:b/>
          <w:bCs/>
          <w:sz w:val="24"/>
          <w:szCs w:val="24"/>
        </w:rPr>
        <w:t>I</w:t>
      </w:r>
      <w:r w:rsidRPr="005272E0">
        <w:rPr>
          <w:b/>
          <w:bCs/>
          <w:sz w:val="24"/>
          <w:szCs w:val="24"/>
        </w:rPr>
        <w:t>.</w:t>
      </w:r>
      <w:r w:rsidRPr="005272E0">
        <w:rPr>
          <w:b/>
          <w:bCs/>
          <w:sz w:val="24"/>
          <w:szCs w:val="24"/>
        </w:rPr>
        <w:tab/>
      </w:r>
      <w:r w:rsidR="00682238" w:rsidRPr="005272E0">
        <w:rPr>
          <w:b/>
          <w:bCs/>
          <w:sz w:val="24"/>
          <w:szCs w:val="24"/>
        </w:rPr>
        <w:t>CONCLUSION</w:t>
      </w:r>
    </w:p>
    <w:p w14:paraId="15D1D102" w14:textId="76E9299D" w:rsidR="005272E0" w:rsidRPr="00E23868" w:rsidRDefault="0041056A" w:rsidP="004050C6">
      <w:pPr>
        <w:spacing w:line="480" w:lineRule="auto"/>
        <w:jc w:val="both"/>
        <w:rPr>
          <w:rFonts w:ascii="Calibri" w:hAnsi="Calibri"/>
          <w:sz w:val="24"/>
          <w:szCs w:val="24"/>
        </w:rPr>
      </w:pPr>
      <w:r>
        <w:rPr>
          <w:sz w:val="24"/>
          <w:szCs w:val="24"/>
        </w:rPr>
        <w:tab/>
      </w:r>
      <w:r w:rsidR="00994EA0">
        <w:rPr>
          <w:sz w:val="24"/>
          <w:szCs w:val="24"/>
        </w:rPr>
        <w:t>Based on the recommendations and conclusions of the Audit Report, there is no need to make changes to the Pilot Program at this time.  Nucor recommends that any potential changes to Rider NMB or the Pilot Program</w:t>
      </w:r>
      <w:r w:rsidR="00E53448">
        <w:rPr>
          <w:sz w:val="24"/>
          <w:szCs w:val="24"/>
        </w:rPr>
        <w:t xml:space="preserve"> be considered in the current FirstEnergy ESP proceeding and</w:t>
      </w:r>
      <w:r w:rsidR="00994EA0">
        <w:rPr>
          <w:sz w:val="24"/>
          <w:szCs w:val="24"/>
        </w:rPr>
        <w:t xml:space="preserve"> take effect </w:t>
      </w:r>
      <w:r w:rsidR="0049474D">
        <w:rPr>
          <w:sz w:val="24"/>
          <w:szCs w:val="24"/>
        </w:rPr>
        <w:t xml:space="preserve">after </w:t>
      </w:r>
      <w:r w:rsidR="00994EA0">
        <w:rPr>
          <w:sz w:val="24"/>
          <w:szCs w:val="24"/>
        </w:rPr>
        <w:t>the conclusion of the current FirstEnergy ESP.</w:t>
      </w:r>
      <w:r w:rsidR="00317C24">
        <w:rPr>
          <w:sz w:val="24"/>
          <w:szCs w:val="24"/>
        </w:rPr>
        <w:t xml:space="preserve">  Nucor appreciates the opportunity to provide these comments</w:t>
      </w:r>
      <w:r w:rsidR="001F6F9C">
        <w:rPr>
          <w:sz w:val="24"/>
          <w:szCs w:val="24"/>
        </w:rPr>
        <w:t xml:space="preserve">, and we </w:t>
      </w:r>
      <w:r w:rsidR="00317C24">
        <w:rPr>
          <w:sz w:val="24"/>
          <w:szCs w:val="24"/>
        </w:rPr>
        <w:t>reserve the right to respond to any issues</w:t>
      </w:r>
      <w:r w:rsidR="001F6F9C">
        <w:rPr>
          <w:sz w:val="24"/>
          <w:szCs w:val="24"/>
        </w:rPr>
        <w:t xml:space="preserve"> or arguments</w:t>
      </w:r>
      <w:r w:rsidR="00317C24">
        <w:rPr>
          <w:sz w:val="24"/>
          <w:szCs w:val="24"/>
        </w:rPr>
        <w:t xml:space="preserve"> raised by other parties in </w:t>
      </w:r>
      <w:proofErr w:type="gramStart"/>
      <w:r w:rsidR="00317C24">
        <w:rPr>
          <w:sz w:val="24"/>
          <w:szCs w:val="24"/>
        </w:rPr>
        <w:t>reply</w:t>
      </w:r>
      <w:proofErr w:type="gramEnd"/>
      <w:r w:rsidR="00317C24">
        <w:rPr>
          <w:sz w:val="24"/>
          <w:szCs w:val="24"/>
        </w:rPr>
        <w:t xml:space="preserve"> comments. </w:t>
      </w:r>
    </w:p>
    <w:p w14:paraId="2D4BFB84" w14:textId="77777777" w:rsidR="005272E0" w:rsidRPr="00E23868" w:rsidRDefault="0041056A" w:rsidP="004050C6">
      <w:pPr>
        <w:keepNext/>
        <w:keepLines/>
        <w:widowControl w:val="0"/>
        <w:spacing w:line="480" w:lineRule="auto"/>
        <w:ind w:left="4320"/>
        <w:jc w:val="both"/>
        <w:rPr>
          <w:rFonts w:cstheme="minorHAnsi"/>
          <w:sz w:val="24"/>
          <w:szCs w:val="24"/>
        </w:rPr>
      </w:pPr>
      <w:r w:rsidRPr="00E23868">
        <w:rPr>
          <w:rFonts w:cstheme="minorHAnsi"/>
          <w:sz w:val="24"/>
          <w:szCs w:val="24"/>
        </w:rPr>
        <w:lastRenderedPageBreak/>
        <w:t>Respectfully submitted,</w:t>
      </w:r>
    </w:p>
    <w:p w14:paraId="56FCBCDC" w14:textId="77777777" w:rsidR="005272E0" w:rsidRPr="00E23868" w:rsidRDefault="0041056A" w:rsidP="004050C6">
      <w:pPr>
        <w:keepNext/>
        <w:keepLines/>
        <w:widowControl w:val="0"/>
        <w:tabs>
          <w:tab w:val="left" w:pos="8190"/>
        </w:tabs>
        <w:spacing w:after="0" w:line="240" w:lineRule="auto"/>
        <w:ind w:left="4320"/>
        <w:jc w:val="both"/>
        <w:rPr>
          <w:rFonts w:cstheme="minorHAnsi"/>
          <w:sz w:val="24"/>
          <w:szCs w:val="24"/>
          <w:u w:val="single"/>
        </w:rPr>
      </w:pPr>
      <w:r w:rsidRPr="00E23868">
        <w:rPr>
          <w:i/>
          <w:sz w:val="24"/>
          <w:szCs w:val="24"/>
          <w:u w:val="single"/>
        </w:rPr>
        <w:t>/s/ Michael K. Lavanga</w:t>
      </w:r>
      <w:r w:rsidRPr="00E23868">
        <w:rPr>
          <w:rFonts w:cstheme="minorHAnsi"/>
          <w:sz w:val="24"/>
          <w:szCs w:val="24"/>
          <w:u w:val="single"/>
        </w:rPr>
        <w:tab/>
      </w:r>
    </w:p>
    <w:p w14:paraId="39957E3C"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Michael K. Lavanga*</w:t>
      </w:r>
    </w:p>
    <w:p w14:paraId="3718A6EE" w14:textId="3930DE93"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PHV #1014-202</w:t>
      </w:r>
      <w:r w:rsidR="002B07EC">
        <w:rPr>
          <w:rFonts w:ascii="Calibri" w:hAnsi="Calibri"/>
          <w:sz w:val="24"/>
          <w:szCs w:val="24"/>
        </w:rPr>
        <w:t>3</w:t>
      </w:r>
    </w:p>
    <w:p w14:paraId="47C8B7DA"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 xml:space="preserve">E-Mail: </w:t>
      </w:r>
      <w:hyperlink r:id="rId8" w:history="1">
        <w:r w:rsidRPr="00E93CEC">
          <w:rPr>
            <w:rStyle w:val="Hyperlink"/>
            <w:rFonts w:ascii="Calibri" w:hAnsi="Calibri"/>
            <w:sz w:val="24"/>
            <w:szCs w:val="24"/>
          </w:rPr>
          <w:t>mkl@smxblaw.com</w:t>
        </w:r>
      </w:hyperlink>
    </w:p>
    <w:p w14:paraId="7A41F34B" w14:textId="77777777" w:rsidR="00E93CEC" w:rsidRPr="00E93CEC" w:rsidRDefault="00E93CEC" w:rsidP="00E93CEC">
      <w:pPr>
        <w:keepNext/>
        <w:keepLines/>
        <w:widowControl w:val="0"/>
        <w:tabs>
          <w:tab w:val="left" w:pos="9270"/>
        </w:tabs>
        <w:spacing w:after="0" w:line="240" w:lineRule="auto"/>
        <w:ind w:left="4320" w:firstLine="360"/>
        <w:jc w:val="both"/>
        <w:rPr>
          <w:rFonts w:ascii="Calibri" w:hAnsi="Calibri"/>
          <w:i/>
          <w:sz w:val="24"/>
          <w:szCs w:val="24"/>
        </w:rPr>
      </w:pPr>
      <w:r w:rsidRPr="00E93CEC">
        <w:rPr>
          <w:rFonts w:ascii="Calibri" w:hAnsi="Calibri"/>
          <w:i/>
          <w:sz w:val="24"/>
          <w:szCs w:val="24"/>
        </w:rPr>
        <w:t>Counsel of Record</w:t>
      </w:r>
    </w:p>
    <w:p w14:paraId="4F1F80ED" w14:textId="77777777" w:rsidR="00E93CEC" w:rsidRPr="00E93CEC" w:rsidRDefault="00E93CEC" w:rsidP="00E93CEC">
      <w:pPr>
        <w:keepNext/>
        <w:keepLines/>
        <w:widowControl w:val="0"/>
        <w:tabs>
          <w:tab w:val="left" w:pos="9270"/>
        </w:tabs>
        <w:spacing w:after="0" w:line="240" w:lineRule="auto"/>
        <w:ind w:left="4320"/>
        <w:jc w:val="both"/>
        <w:rPr>
          <w:rFonts w:ascii="Calibri" w:hAnsi="Calibri"/>
          <w:iCs/>
          <w:sz w:val="24"/>
          <w:szCs w:val="24"/>
        </w:rPr>
      </w:pPr>
      <w:r w:rsidRPr="00E93CEC">
        <w:rPr>
          <w:rFonts w:ascii="Calibri" w:hAnsi="Calibri"/>
          <w:iCs/>
          <w:sz w:val="24"/>
          <w:szCs w:val="24"/>
        </w:rPr>
        <w:t>Joseph R. Briscar*</w:t>
      </w:r>
    </w:p>
    <w:p w14:paraId="06A1E788" w14:textId="430FD450"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iCs/>
          <w:sz w:val="24"/>
          <w:szCs w:val="24"/>
        </w:rPr>
        <w:t>PHV #21216-202</w:t>
      </w:r>
      <w:r w:rsidR="002B07EC">
        <w:rPr>
          <w:rFonts w:ascii="Calibri" w:hAnsi="Calibri"/>
          <w:iCs/>
          <w:sz w:val="24"/>
          <w:szCs w:val="24"/>
        </w:rPr>
        <w:t>3</w:t>
      </w:r>
    </w:p>
    <w:p w14:paraId="0C3C014F"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iCs/>
          <w:sz w:val="24"/>
          <w:szCs w:val="24"/>
        </w:rPr>
        <w:t xml:space="preserve">E-Mail: </w:t>
      </w:r>
      <w:hyperlink r:id="rId9" w:history="1">
        <w:r w:rsidRPr="00E93CEC">
          <w:rPr>
            <w:rStyle w:val="Hyperlink"/>
            <w:rFonts w:ascii="Calibri" w:hAnsi="Calibri"/>
            <w:iCs/>
            <w:sz w:val="24"/>
            <w:szCs w:val="24"/>
          </w:rPr>
          <w:t>jrb@smxblaw.com</w:t>
        </w:r>
      </w:hyperlink>
    </w:p>
    <w:p w14:paraId="750AF050"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p>
    <w:p w14:paraId="3FB22B3E"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Stone Mattheis Xenopoulos &amp; Brew, PC</w:t>
      </w:r>
    </w:p>
    <w:p w14:paraId="3131BEDE"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1025 Thomas Jefferson Street, NW</w:t>
      </w:r>
    </w:p>
    <w:p w14:paraId="5C742037"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 xml:space="preserve">Suite 800 West </w:t>
      </w:r>
    </w:p>
    <w:p w14:paraId="6E04C873"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Washington, DC 20007</w:t>
      </w:r>
    </w:p>
    <w:p w14:paraId="488AE840"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(202) 342-0800 (Main Number)</w:t>
      </w:r>
    </w:p>
    <w:p w14:paraId="13FCBE7D" w14:textId="77777777" w:rsidR="00E93CEC" w:rsidRPr="00E93CEC" w:rsidRDefault="00E93CEC" w:rsidP="00E93CEC">
      <w:pPr>
        <w:keepNext/>
        <w:keepLines/>
        <w:widowControl w:val="0"/>
        <w:tabs>
          <w:tab w:val="left" w:pos="9270"/>
        </w:tabs>
        <w:spacing w:after="0" w:line="240" w:lineRule="auto"/>
        <w:ind w:left="4320"/>
        <w:jc w:val="both"/>
        <w:rPr>
          <w:rFonts w:ascii="Calibri" w:hAnsi="Calibri"/>
          <w:sz w:val="24"/>
          <w:szCs w:val="24"/>
        </w:rPr>
      </w:pPr>
      <w:r w:rsidRPr="00E93CEC">
        <w:rPr>
          <w:rFonts w:ascii="Calibri" w:hAnsi="Calibri"/>
          <w:sz w:val="24"/>
          <w:szCs w:val="24"/>
        </w:rPr>
        <w:t>(202) 342-0807 (Facsimile)</w:t>
      </w:r>
    </w:p>
    <w:p w14:paraId="3E01286C" w14:textId="6BA1CF2A" w:rsidR="005272E0" w:rsidRPr="00E23868" w:rsidRDefault="005272E0" w:rsidP="004050C6">
      <w:pPr>
        <w:keepNext/>
        <w:keepLines/>
        <w:widowControl w:val="0"/>
        <w:tabs>
          <w:tab w:val="left" w:pos="9270"/>
        </w:tabs>
        <w:spacing w:after="0" w:line="240" w:lineRule="auto"/>
        <w:ind w:left="4320"/>
        <w:jc w:val="both"/>
        <w:rPr>
          <w:rFonts w:ascii="Calibri" w:hAnsi="Calibri"/>
          <w:sz w:val="24"/>
          <w:szCs w:val="24"/>
        </w:rPr>
      </w:pPr>
    </w:p>
    <w:p w14:paraId="57BC551B" w14:textId="66FEF6E9" w:rsidR="003E3B1C" w:rsidRDefault="0041056A" w:rsidP="004050C6">
      <w:pPr>
        <w:keepNext/>
        <w:keepLines/>
        <w:rPr>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E23868">
        <w:rPr>
          <w:rFonts w:ascii="Calibri" w:hAnsi="Calibri"/>
          <w:b/>
          <w:bCs/>
          <w:sz w:val="24"/>
          <w:szCs w:val="24"/>
        </w:rPr>
        <w:t>Attorney</w:t>
      </w:r>
      <w:r w:rsidR="00E93CEC">
        <w:rPr>
          <w:rFonts w:ascii="Calibri" w:hAnsi="Calibri"/>
          <w:b/>
          <w:bCs/>
          <w:sz w:val="24"/>
          <w:szCs w:val="24"/>
        </w:rPr>
        <w:t>s</w:t>
      </w:r>
      <w:r w:rsidRPr="00E23868">
        <w:rPr>
          <w:rFonts w:ascii="Calibri" w:hAnsi="Calibri"/>
          <w:b/>
          <w:bCs/>
          <w:sz w:val="24"/>
          <w:szCs w:val="24"/>
        </w:rPr>
        <w:t xml:space="preserve"> for Nucor Steel Marion, Inc.</w:t>
      </w:r>
      <w:r w:rsidR="003E0A08">
        <w:rPr>
          <w:sz w:val="24"/>
          <w:szCs w:val="24"/>
        </w:rPr>
        <w:tab/>
      </w:r>
    </w:p>
    <w:p w14:paraId="78F745A0" w14:textId="77777777" w:rsidR="00D40214" w:rsidRPr="00D74A58" w:rsidRDefault="00D40214" w:rsidP="00D40214">
      <w:pPr>
        <w:widowControl w:val="0"/>
        <w:rPr>
          <w:rFonts w:ascii="Calibri" w:hAnsi="Calibri"/>
          <w:b/>
        </w:rPr>
      </w:pPr>
    </w:p>
    <w:p w14:paraId="4136FAFF" w14:textId="77777777" w:rsidR="00D40214" w:rsidRPr="00D74A58" w:rsidRDefault="00D40214" w:rsidP="00D40214">
      <w:pPr>
        <w:widowControl w:val="0"/>
        <w:jc w:val="center"/>
        <w:rPr>
          <w:rFonts w:ascii="Calibri" w:hAnsi="Calibri"/>
          <w:b/>
          <w:color w:val="000000"/>
          <w:szCs w:val="24"/>
          <w:u w:val="single"/>
        </w:rPr>
        <w:sectPr w:rsidR="00D40214" w:rsidRPr="00D74A58" w:rsidSect="00A3511B">
          <w:footerReference w:type="default" r:id="rId10"/>
          <w:pgSz w:w="12240" w:h="15840" w:code="1"/>
          <w:pgMar w:top="1440" w:right="1440" w:bottom="1440" w:left="1440" w:header="720" w:footer="720" w:gutter="0"/>
          <w:pgNumType w:start="1"/>
          <w:cols w:space="720"/>
          <w:docGrid w:linePitch="254"/>
        </w:sectPr>
      </w:pPr>
    </w:p>
    <w:p w14:paraId="789EEF6B" w14:textId="77777777" w:rsidR="003C7735" w:rsidRPr="00D74A58" w:rsidRDefault="003C7735" w:rsidP="003C7735">
      <w:pPr>
        <w:widowControl w:val="0"/>
        <w:jc w:val="center"/>
        <w:rPr>
          <w:rFonts w:ascii="Calibri" w:hAnsi="Calibri"/>
          <w:b/>
          <w:color w:val="000000"/>
          <w:szCs w:val="24"/>
          <w:u w:val="single"/>
        </w:rPr>
      </w:pPr>
      <w:r w:rsidRPr="00D74A58">
        <w:rPr>
          <w:rFonts w:ascii="Calibri" w:hAnsi="Calibri"/>
          <w:b/>
          <w:color w:val="000000"/>
          <w:szCs w:val="24"/>
          <w:u w:val="single"/>
        </w:rPr>
        <w:lastRenderedPageBreak/>
        <w:t>CERTIFICATE OF SERVICE</w:t>
      </w:r>
    </w:p>
    <w:p w14:paraId="0453C8D2" w14:textId="77777777" w:rsidR="003C7735" w:rsidRPr="00D74A58" w:rsidRDefault="003C7735" w:rsidP="003C7735">
      <w:pPr>
        <w:widowControl w:val="0"/>
        <w:jc w:val="both"/>
        <w:rPr>
          <w:rFonts w:ascii="Calibri" w:hAnsi="Calibri"/>
          <w:color w:val="000000"/>
          <w:szCs w:val="24"/>
        </w:rPr>
      </w:pPr>
    </w:p>
    <w:p w14:paraId="1D4BD7F7" w14:textId="77777777" w:rsidR="003C7735" w:rsidRDefault="003C7735" w:rsidP="003C7735">
      <w:pPr>
        <w:widowControl w:val="0"/>
        <w:ind w:firstLine="720"/>
        <w:jc w:val="both"/>
        <w:rPr>
          <w:rFonts w:ascii="Calibri" w:hAnsi="Calibri"/>
          <w:color w:val="000000"/>
          <w:szCs w:val="24"/>
        </w:rPr>
      </w:pPr>
      <w:r w:rsidRPr="0040447F">
        <w:rPr>
          <w:rFonts w:ascii="Calibri" w:hAnsi="Calibri"/>
          <w:color w:val="000000"/>
          <w:szCs w:val="24"/>
        </w:rPr>
        <w:t>The Public Utilities Commission of Ohio’s e-filing system will electronically serve</w:t>
      </w:r>
      <w:r>
        <w:rPr>
          <w:rFonts w:ascii="Calibri" w:hAnsi="Calibri"/>
          <w:color w:val="000000"/>
          <w:szCs w:val="24"/>
        </w:rPr>
        <w:t xml:space="preserve"> </w:t>
      </w:r>
      <w:r w:rsidRPr="0040447F">
        <w:rPr>
          <w:rFonts w:ascii="Calibri" w:hAnsi="Calibri"/>
          <w:color w:val="000000"/>
          <w:szCs w:val="24"/>
        </w:rPr>
        <w:t xml:space="preserve">notice of the filing of this document on the parties who have electronically subscribed to </w:t>
      </w:r>
      <w:r>
        <w:rPr>
          <w:rFonts w:ascii="Calibri" w:hAnsi="Calibri"/>
          <w:color w:val="000000"/>
          <w:szCs w:val="24"/>
        </w:rPr>
        <w:t xml:space="preserve">this </w:t>
      </w:r>
      <w:r w:rsidRPr="0040447F">
        <w:rPr>
          <w:rFonts w:ascii="Calibri" w:hAnsi="Calibri"/>
          <w:color w:val="000000"/>
          <w:szCs w:val="24"/>
        </w:rPr>
        <w:t>case. I</w:t>
      </w:r>
      <w:r>
        <w:rPr>
          <w:rFonts w:ascii="Calibri" w:hAnsi="Calibri"/>
          <w:color w:val="000000"/>
          <w:szCs w:val="24"/>
        </w:rPr>
        <w:t xml:space="preserve">n addition, </w:t>
      </w:r>
      <w:r w:rsidRPr="00D74A58">
        <w:rPr>
          <w:rFonts w:ascii="Calibri" w:hAnsi="Calibri"/>
          <w:color w:val="000000"/>
          <w:szCs w:val="24"/>
        </w:rPr>
        <w:t>I hereby certify that a copy of the foregoing was served upon the following parties of record or as a courtesy, via electronic transmission</w:t>
      </w:r>
      <w:r>
        <w:rPr>
          <w:rFonts w:ascii="Calibri" w:hAnsi="Calibri"/>
          <w:color w:val="000000"/>
          <w:szCs w:val="24"/>
        </w:rPr>
        <w:t xml:space="preserve"> </w:t>
      </w:r>
      <w:r w:rsidRPr="00D74A58">
        <w:rPr>
          <w:rFonts w:ascii="Calibri" w:hAnsi="Calibri"/>
          <w:color w:val="000000"/>
          <w:szCs w:val="24"/>
        </w:rPr>
        <w:t>on</w:t>
      </w:r>
      <w:r>
        <w:rPr>
          <w:rFonts w:ascii="Calibri" w:hAnsi="Calibri"/>
          <w:color w:val="000000"/>
          <w:szCs w:val="24"/>
        </w:rPr>
        <w:t xml:space="preserve"> August 17, 2023</w:t>
      </w:r>
      <w:r w:rsidRPr="00D74A58">
        <w:rPr>
          <w:rFonts w:ascii="Calibri" w:hAnsi="Calibri"/>
          <w:color w:val="000000"/>
          <w:szCs w:val="24"/>
        </w:rPr>
        <w:t>.</w:t>
      </w:r>
    </w:p>
    <w:p w14:paraId="1054A6B0" w14:textId="77777777" w:rsidR="0042437F" w:rsidRDefault="00DD6E36" w:rsidP="00F242C2">
      <w:pPr>
        <w:spacing w:after="0" w:line="240" w:lineRule="auto"/>
        <w:ind w:left="2880"/>
        <w:rPr>
          <w:rStyle w:val="Hyperlink"/>
          <w:rFonts w:cstheme="minorHAnsi"/>
        </w:rPr>
      </w:pPr>
      <w:hyperlink r:id="rId11" w:history="1">
        <w:r w:rsidR="0042437F" w:rsidRPr="0072199F">
          <w:rPr>
            <w:rStyle w:val="Hyperlink"/>
            <w:rFonts w:cstheme="minorHAnsi"/>
          </w:rPr>
          <w:t>kfling@firstenergycorp.com</w:t>
        </w:r>
      </w:hyperlink>
    </w:p>
    <w:p w14:paraId="1A8B6A2F" w14:textId="77777777" w:rsidR="0042437F" w:rsidRDefault="00DD6E36" w:rsidP="00F242C2">
      <w:pPr>
        <w:spacing w:after="0" w:line="240" w:lineRule="auto"/>
        <w:ind w:left="2880"/>
        <w:rPr>
          <w:rFonts w:cstheme="minorHAnsi"/>
        </w:rPr>
      </w:pPr>
      <w:hyperlink r:id="rId12" w:history="1">
        <w:r w:rsidR="0042437F" w:rsidRPr="0042437F">
          <w:rPr>
            <w:rStyle w:val="Hyperlink"/>
            <w:rFonts w:cstheme="minorHAnsi"/>
          </w:rPr>
          <w:t>edanford@firstenergycorp.com</w:t>
        </w:r>
      </w:hyperlink>
    </w:p>
    <w:p w14:paraId="7175420C" w14:textId="77777777" w:rsidR="0042437F" w:rsidRPr="0040447F" w:rsidRDefault="00DD6E36" w:rsidP="00F242C2">
      <w:pPr>
        <w:spacing w:after="0" w:line="240" w:lineRule="auto"/>
        <w:ind w:left="2880"/>
        <w:rPr>
          <w:rFonts w:cstheme="minorHAnsi"/>
        </w:rPr>
      </w:pPr>
      <w:hyperlink r:id="rId13" w:history="1">
        <w:r w:rsidR="0042437F" w:rsidRPr="0040447F">
          <w:rPr>
            <w:rStyle w:val="Hyperlink"/>
            <w:rFonts w:cstheme="minorHAnsi"/>
          </w:rPr>
          <w:t>mkurtz@BKLlawfirm.com</w:t>
        </w:r>
      </w:hyperlink>
    </w:p>
    <w:p w14:paraId="3A73B04F" w14:textId="77777777" w:rsidR="0042437F" w:rsidRPr="0040447F" w:rsidRDefault="00DD6E36" w:rsidP="00F242C2">
      <w:pPr>
        <w:spacing w:after="0" w:line="240" w:lineRule="auto"/>
        <w:ind w:left="2880"/>
        <w:rPr>
          <w:rFonts w:cstheme="minorHAnsi"/>
        </w:rPr>
      </w:pPr>
      <w:hyperlink r:id="rId14" w:history="1">
        <w:r w:rsidR="0042437F" w:rsidRPr="0040447F">
          <w:rPr>
            <w:rStyle w:val="Hyperlink"/>
            <w:rFonts w:cstheme="minorHAnsi"/>
          </w:rPr>
          <w:t>kboehm@BKLlawfirm.com</w:t>
        </w:r>
      </w:hyperlink>
    </w:p>
    <w:p w14:paraId="033F9A8C" w14:textId="77777777" w:rsidR="0042437F" w:rsidRPr="0040447F" w:rsidRDefault="00DD6E36" w:rsidP="00F242C2">
      <w:pPr>
        <w:spacing w:after="0" w:line="240" w:lineRule="auto"/>
        <w:ind w:left="2880"/>
        <w:rPr>
          <w:rFonts w:cstheme="minorHAnsi"/>
        </w:rPr>
      </w:pPr>
      <w:hyperlink r:id="rId15" w:history="1">
        <w:r w:rsidR="0042437F" w:rsidRPr="0040447F">
          <w:rPr>
            <w:rStyle w:val="Hyperlink"/>
            <w:rFonts w:cstheme="minorHAnsi"/>
          </w:rPr>
          <w:t>jkylercohn@BKLlawfirm.com</w:t>
        </w:r>
      </w:hyperlink>
    </w:p>
    <w:p w14:paraId="3A18AA27" w14:textId="77777777" w:rsidR="0042437F" w:rsidRPr="0040447F" w:rsidRDefault="00DD6E36" w:rsidP="00F242C2">
      <w:pPr>
        <w:spacing w:after="0" w:line="240" w:lineRule="auto"/>
        <w:ind w:left="2880"/>
        <w:rPr>
          <w:rFonts w:cstheme="minorHAnsi"/>
        </w:rPr>
      </w:pPr>
      <w:hyperlink r:id="rId16" w:history="1">
        <w:r w:rsidR="0042437F" w:rsidRPr="0040447F">
          <w:rPr>
            <w:rStyle w:val="Hyperlink"/>
            <w:rFonts w:cstheme="minorHAnsi"/>
          </w:rPr>
          <w:t>Stacie.Cathcart@igs.com</w:t>
        </w:r>
      </w:hyperlink>
    </w:p>
    <w:p w14:paraId="5F4463F9" w14:textId="77777777" w:rsidR="0042437F" w:rsidRPr="0040447F" w:rsidRDefault="00DD6E36" w:rsidP="00F242C2">
      <w:pPr>
        <w:spacing w:after="0" w:line="240" w:lineRule="auto"/>
        <w:ind w:left="2880"/>
        <w:rPr>
          <w:rFonts w:cstheme="minorHAnsi"/>
        </w:rPr>
      </w:pPr>
      <w:hyperlink r:id="rId17" w:history="1">
        <w:r w:rsidR="0042437F" w:rsidRPr="0040447F">
          <w:rPr>
            <w:rStyle w:val="Hyperlink"/>
            <w:rFonts w:cstheme="minorHAnsi"/>
          </w:rPr>
          <w:t>Evan.Betterton@igs.com</w:t>
        </w:r>
      </w:hyperlink>
    </w:p>
    <w:p w14:paraId="5DBC3513" w14:textId="77777777" w:rsidR="0042437F" w:rsidRDefault="00DD6E36" w:rsidP="00F242C2">
      <w:pPr>
        <w:spacing w:after="0" w:line="240" w:lineRule="auto"/>
        <w:ind w:left="2880"/>
        <w:rPr>
          <w:rStyle w:val="Hyperlink"/>
          <w:rFonts w:cstheme="minorHAnsi"/>
        </w:rPr>
      </w:pPr>
      <w:hyperlink r:id="rId18" w:history="1">
        <w:r w:rsidR="0042437F" w:rsidRPr="0040447F">
          <w:rPr>
            <w:rStyle w:val="Hyperlink"/>
            <w:rFonts w:cstheme="minorHAnsi"/>
          </w:rPr>
          <w:t>Michael.Nugent@igs.com</w:t>
        </w:r>
      </w:hyperlink>
    </w:p>
    <w:p w14:paraId="596D82E2" w14:textId="77777777" w:rsidR="00891914" w:rsidRDefault="00DD6E36" w:rsidP="00F242C2">
      <w:pPr>
        <w:spacing w:after="0" w:line="240" w:lineRule="auto"/>
        <w:ind w:left="2880"/>
      </w:pPr>
      <w:hyperlink r:id="rId19" w:history="1">
        <w:r w:rsidR="00891914" w:rsidRPr="00891914">
          <w:rPr>
            <w:rStyle w:val="Hyperlink"/>
          </w:rPr>
          <w:t>angela.obrien@occ.ohio.gov</w:t>
        </w:r>
      </w:hyperlink>
    </w:p>
    <w:p w14:paraId="5942FCCE" w14:textId="77777777" w:rsidR="00891914" w:rsidRDefault="00DD6E36" w:rsidP="00F242C2">
      <w:pPr>
        <w:spacing w:after="0" w:line="240" w:lineRule="auto"/>
        <w:ind w:left="2880"/>
      </w:pPr>
      <w:hyperlink r:id="rId20" w:history="1">
        <w:r w:rsidR="00891914" w:rsidRPr="0072199F">
          <w:rPr>
            <w:rStyle w:val="Hyperlink"/>
          </w:rPr>
          <w:t>connor.semple@occ.ohio.gov</w:t>
        </w:r>
      </w:hyperlink>
    </w:p>
    <w:p w14:paraId="1A08F27D" w14:textId="77777777" w:rsidR="00186FF1" w:rsidRPr="00186FF1" w:rsidRDefault="00DD6E36" w:rsidP="00F242C2">
      <w:pPr>
        <w:spacing w:after="0" w:line="240" w:lineRule="auto"/>
        <w:ind w:left="2880"/>
        <w:rPr>
          <w:rFonts w:cstheme="minorHAnsi"/>
        </w:rPr>
      </w:pPr>
      <w:hyperlink r:id="rId21" w:history="1">
        <w:r w:rsidR="00186FF1" w:rsidRPr="00186FF1">
          <w:rPr>
            <w:rStyle w:val="Hyperlink"/>
            <w:rFonts w:cstheme="minorHAnsi"/>
          </w:rPr>
          <w:t>dproano@bakerlaw.com</w:t>
        </w:r>
      </w:hyperlink>
    </w:p>
    <w:p w14:paraId="644B554A" w14:textId="77777777" w:rsidR="00186FF1" w:rsidRPr="00186FF1" w:rsidRDefault="00DD6E36" w:rsidP="00F242C2">
      <w:pPr>
        <w:spacing w:after="0" w:line="240" w:lineRule="auto"/>
        <w:ind w:left="2880"/>
        <w:rPr>
          <w:rFonts w:cstheme="minorHAnsi"/>
        </w:rPr>
      </w:pPr>
      <w:hyperlink r:id="rId22" w:history="1">
        <w:r w:rsidR="00186FF1" w:rsidRPr="00186FF1">
          <w:rPr>
            <w:rStyle w:val="Hyperlink"/>
            <w:rFonts w:cstheme="minorHAnsi"/>
          </w:rPr>
          <w:t>ahaque@bakerlaw.com</w:t>
        </w:r>
      </w:hyperlink>
    </w:p>
    <w:p w14:paraId="3913D458" w14:textId="77777777" w:rsidR="00186FF1" w:rsidRDefault="00DD6E36" w:rsidP="00F242C2">
      <w:pPr>
        <w:spacing w:after="0" w:line="240" w:lineRule="auto"/>
        <w:ind w:left="2880"/>
        <w:rPr>
          <w:rFonts w:cstheme="minorHAnsi"/>
        </w:rPr>
      </w:pPr>
      <w:hyperlink r:id="rId23" w:history="1">
        <w:r w:rsidR="00186FF1" w:rsidRPr="00186FF1">
          <w:rPr>
            <w:rStyle w:val="Hyperlink"/>
            <w:rFonts w:cstheme="minorHAnsi"/>
          </w:rPr>
          <w:t>eprouty@bakerlaw.com</w:t>
        </w:r>
      </w:hyperlink>
    </w:p>
    <w:p w14:paraId="48C6135A" w14:textId="77777777" w:rsidR="00186FF1" w:rsidRDefault="00DD6E36" w:rsidP="00F242C2">
      <w:pPr>
        <w:spacing w:after="0" w:line="240" w:lineRule="auto"/>
        <w:ind w:left="2880"/>
        <w:rPr>
          <w:rFonts w:cstheme="minorHAnsi"/>
        </w:rPr>
      </w:pPr>
      <w:hyperlink r:id="rId24" w:history="1">
        <w:r w:rsidR="00186FF1" w:rsidRPr="00AF3027">
          <w:rPr>
            <w:rStyle w:val="Hyperlink"/>
            <w:rFonts w:cstheme="minorHAnsi"/>
          </w:rPr>
          <w:t>bojko@carpenterlipps.com</w:t>
        </w:r>
      </w:hyperlink>
    </w:p>
    <w:p w14:paraId="64C784FB" w14:textId="77777777" w:rsidR="00B81207" w:rsidRPr="00B81207" w:rsidRDefault="00DD6E36" w:rsidP="00F242C2">
      <w:pPr>
        <w:spacing w:after="0" w:line="240" w:lineRule="auto"/>
        <w:ind w:left="2880"/>
        <w:rPr>
          <w:rFonts w:cstheme="minorHAnsi"/>
        </w:rPr>
      </w:pPr>
      <w:hyperlink r:id="rId25" w:history="1">
        <w:r w:rsidR="00B81207" w:rsidRPr="00B81207">
          <w:rPr>
            <w:rStyle w:val="Hyperlink"/>
            <w:rFonts w:cstheme="minorHAnsi"/>
          </w:rPr>
          <w:t>dparram@brickergraydon.com</w:t>
        </w:r>
      </w:hyperlink>
    </w:p>
    <w:p w14:paraId="55457C68" w14:textId="77777777" w:rsidR="00B81207" w:rsidRDefault="00DD6E36" w:rsidP="00F242C2">
      <w:pPr>
        <w:spacing w:after="0" w:line="240" w:lineRule="auto"/>
        <w:ind w:left="2880"/>
        <w:rPr>
          <w:rFonts w:cstheme="minorHAnsi"/>
        </w:rPr>
      </w:pPr>
      <w:hyperlink r:id="rId26" w:history="1">
        <w:r w:rsidR="00B81207" w:rsidRPr="00B81207">
          <w:rPr>
            <w:rStyle w:val="Hyperlink"/>
            <w:rFonts w:cstheme="minorHAnsi"/>
          </w:rPr>
          <w:t>rmains@brickergraydon.com</w:t>
        </w:r>
      </w:hyperlink>
    </w:p>
    <w:p w14:paraId="373FB1C3" w14:textId="77777777" w:rsidR="00B81207" w:rsidRDefault="00DD6E36" w:rsidP="00F242C2">
      <w:pPr>
        <w:spacing w:after="0" w:line="240" w:lineRule="auto"/>
        <w:ind w:left="2880"/>
      </w:pPr>
      <w:hyperlink r:id="rId27" w:history="1">
        <w:r w:rsidR="00B81207" w:rsidRPr="0072199F">
          <w:rPr>
            <w:rStyle w:val="Hyperlink"/>
          </w:rPr>
          <w:t>rhiannon.howard@ohioago.gov</w:t>
        </w:r>
      </w:hyperlink>
    </w:p>
    <w:p w14:paraId="21934635" w14:textId="77777777" w:rsidR="00B81207" w:rsidRDefault="00DD6E36" w:rsidP="00F242C2">
      <w:pPr>
        <w:spacing w:after="0" w:line="240" w:lineRule="auto"/>
        <w:ind w:left="2880"/>
      </w:pPr>
      <w:hyperlink r:id="rId28" w:history="1">
        <w:r w:rsidR="00B81207" w:rsidRPr="0072199F">
          <w:rPr>
            <w:rStyle w:val="Hyperlink"/>
          </w:rPr>
          <w:t>amy.botschnerobrien@ohioago.gov</w:t>
        </w:r>
      </w:hyperlink>
    </w:p>
    <w:p w14:paraId="2446644C" w14:textId="77777777" w:rsidR="00B81207" w:rsidRDefault="00DD6E36" w:rsidP="00F242C2">
      <w:pPr>
        <w:spacing w:after="0" w:line="240" w:lineRule="auto"/>
        <w:ind w:left="2880"/>
        <w:rPr>
          <w:rFonts w:cstheme="minorHAnsi"/>
        </w:rPr>
      </w:pPr>
      <w:hyperlink r:id="rId29" w:history="1">
        <w:r w:rsidR="00B81207" w:rsidRPr="00637D14">
          <w:rPr>
            <w:rStyle w:val="Hyperlink"/>
            <w:rFonts w:cstheme="minorHAnsi"/>
          </w:rPr>
          <w:t>megan.addison@puco.ohio.gov</w:t>
        </w:r>
      </w:hyperlink>
    </w:p>
    <w:p w14:paraId="3B8274E7" w14:textId="77777777" w:rsidR="00B81207" w:rsidRPr="00D32F75" w:rsidRDefault="00DD6E36" w:rsidP="00F242C2">
      <w:pPr>
        <w:spacing w:after="0" w:line="240" w:lineRule="auto"/>
        <w:ind w:left="2880"/>
        <w:rPr>
          <w:rFonts w:cstheme="minorHAnsi"/>
        </w:rPr>
      </w:pPr>
      <w:hyperlink r:id="rId30" w:history="1">
        <w:r w:rsidR="00B81207" w:rsidRPr="00637D14">
          <w:rPr>
            <w:rStyle w:val="Hyperlink"/>
            <w:rFonts w:cstheme="minorHAnsi"/>
          </w:rPr>
          <w:t>greg.price@puco.ohio.gov</w:t>
        </w:r>
      </w:hyperlink>
    </w:p>
    <w:p w14:paraId="16CB8BBA" w14:textId="77777777" w:rsidR="00B81207" w:rsidRDefault="00DD6E36" w:rsidP="00F242C2">
      <w:pPr>
        <w:spacing w:after="0" w:line="240" w:lineRule="auto"/>
        <w:ind w:left="2880"/>
        <w:rPr>
          <w:rFonts w:cstheme="minorHAnsi"/>
        </w:rPr>
      </w:pPr>
      <w:hyperlink r:id="rId31" w:history="1">
        <w:r w:rsidR="00B81207" w:rsidRPr="00D32F75">
          <w:rPr>
            <w:rStyle w:val="Hyperlink"/>
            <w:rFonts w:cstheme="minorHAnsi"/>
          </w:rPr>
          <w:t>jacqueline.st.john@puco.ohio.gov</w:t>
        </w:r>
      </w:hyperlink>
    </w:p>
    <w:p w14:paraId="3E1997A6" w14:textId="77777777" w:rsidR="00DF7F3F" w:rsidRDefault="00DF7F3F" w:rsidP="00DF7F3F">
      <w:pPr>
        <w:widowControl w:val="0"/>
        <w:ind w:left="4320" w:firstLine="720"/>
        <w:jc w:val="both"/>
        <w:rPr>
          <w:rFonts w:ascii="Calibri" w:hAnsi="Calibri"/>
          <w:color w:val="000000"/>
          <w:szCs w:val="24"/>
        </w:rPr>
      </w:pPr>
    </w:p>
    <w:p w14:paraId="76DB9944" w14:textId="77777777" w:rsidR="00DF7F3F" w:rsidRPr="00D74A58" w:rsidRDefault="00DF7F3F" w:rsidP="00DF7F3F">
      <w:pPr>
        <w:widowControl w:val="0"/>
        <w:spacing w:after="120"/>
        <w:ind w:left="4320" w:firstLine="720"/>
        <w:jc w:val="both"/>
        <w:rPr>
          <w:rFonts w:ascii="Calibri" w:hAnsi="Calibri"/>
          <w:color w:val="000000"/>
          <w:szCs w:val="24"/>
        </w:rPr>
      </w:pPr>
    </w:p>
    <w:p w14:paraId="6193AE00" w14:textId="77777777" w:rsidR="00DF7F3F" w:rsidRPr="00D74A58" w:rsidRDefault="00DF7F3F" w:rsidP="00DF7F3F">
      <w:pPr>
        <w:widowControl w:val="0"/>
        <w:spacing w:after="0" w:line="240" w:lineRule="auto"/>
        <w:ind w:left="4320" w:firstLine="720"/>
        <w:jc w:val="both"/>
        <w:rPr>
          <w:rFonts w:ascii="Calibri" w:hAnsi="Calibri"/>
          <w:color w:val="000000"/>
          <w:szCs w:val="24"/>
        </w:rPr>
      </w:pPr>
      <w:r>
        <w:rPr>
          <w:i/>
          <w:u w:val="single"/>
        </w:rPr>
        <w:t>/s/ Michael K</w:t>
      </w:r>
      <w:r w:rsidRPr="001B227F">
        <w:rPr>
          <w:i/>
          <w:u w:val="single"/>
        </w:rPr>
        <w:t>.</w:t>
      </w:r>
      <w:r>
        <w:rPr>
          <w:i/>
          <w:u w:val="single"/>
        </w:rPr>
        <w:t xml:space="preserve"> Lavan</w:t>
      </w:r>
      <w:r w:rsidRPr="001B227F">
        <w:rPr>
          <w:i/>
          <w:u w:val="single"/>
        </w:rPr>
        <w:t>ga</w:t>
      </w:r>
      <w:r>
        <w:rPr>
          <w:i/>
          <w:u w:val="single"/>
        </w:rPr>
        <w:tab/>
      </w:r>
    </w:p>
    <w:p w14:paraId="79873034" w14:textId="77777777" w:rsidR="00DF7F3F" w:rsidRPr="00D74A58" w:rsidRDefault="00DF7F3F" w:rsidP="00DF7F3F">
      <w:pPr>
        <w:widowControl w:val="0"/>
        <w:ind w:left="4320" w:firstLine="720"/>
        <w:jc w:val="both"/>
        <w:rPr>
          <w:rFonts w:ascii="Calibri" w:hAnsi="Calibri"/>
          <w:color w:val="000000"/>
          <w:szCs w:val="24"/>
        </w:rPr>
      </w:pPr>
      <w:r w:rsidRPr="00D74A58">
        <w:rPr>
          <w:rFonts w:ascii="Calibri" w:hAnsi="Calibri"/>
          <w:color w:val="000000"/>
          <w:szCs w:val="24"/>
        </w:rPr>
        <w:t xml:space="preserve"> </w:t>
      </w:r>
      <w:r>
        <w:rPr>
          <w:rFonts w:ascii="Calibri" w:hAnsi="Calibri"/>
        </w:rPr>
        <w:t>Michael K. Lavanga, Esq.</w:t>
      </w:r>
    </w:p>
    <w:p w14:paraId="566C35B1" w14:textId="77777777" w:rsidR="0042437F" w:rsidRPr="00D74A58" w:rsidRDefault="0042437F" w:rsidP="003C7735">
      <w:pPr>
        <w:widowControl w:val="0"/>
        <w:ind w:firstLine="720"/>
        <w:jc w:val="both"/>
        <w:rPr>
          <w:rFonts w:ascii="Calibri" w:hAnsi="Calibri"/>
          <w:color w:val="000000"/>
          <w:szCs w:val="24"/>
        </w:rPr>
      </w:pPr>
    </w:p>
    <w:sectPr w:rsidR="0042437F" w:rsidRPr="00D74A58">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3636" w14:textId="77777777" w:rsidR="002D20B5" w:rsidRDefault="002D20B5">
      <w:pPr>
        <w:spacing w:after="0" w:line="240" w:lineRule="auto"/>
      </w:pPr>
      <w:r>
        <w:separator/>
      </w:r>
    </w:p>
  </w:endnote>
  <w:endnote w:type="continuationSeparator" w:id="0">
    <w:p w14:paraId="4F545997" w14:textId="77777777" w:rsidR="002D20B5" w:rsidRDefault="002D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D654" w14:textId="77777777" w:rsidR="00D40214" w:rsidRDefault="00D40214">
    <w:pPr>
      <w:pStyle w:val="Footer"/>
      <w:framePr w:wrap="around" w:vAnchor="text" w:hAnchor="margin" w:xAlign="right" w:y="1"/>
      <w:ind w:right="360"/>
      <w:jc w:val="center"/>
      <w:rPr>
        <w:rStyle w:val="PageNumber"/>
      </w:rPr>
    </w:pPr>
  </w:p>
  <w:p w14:paraId="54BD02F8" w14:textId="77777777" w:rsidR="00D40214" w:rsidRPr="00A3511B" w:rsidRDefault="00D40214" w:rsidP="00A3511B">
    <w:pPr>
      <w:pStyle w:val="Footer"/>
      <w:ind w:right="360"/>
      <w:jc w:val="center"/>
      <w:rPr>
        <w:rFonts w:ascii="Calibri" w:hAnsi="Calibri"/>
      </w:rPr>
    </w:pPr>
    <w:r w:rsidRPr="00A3511B">
      <w:rPr>
        <w:rStyle w:val="PageNumber"/>
        <w:rFonts w:ascii="Calibri" w:hAnsi="Calibri"/>
      </w:rPr>
      <w:fldChar w:fldCharType="begin"/>
    </w:r>
    <w:r w:rsidRPr="00A3511B">
      <w:rPr>
        <w:rStyle w:val="PageNumber"/>
        <w:rFonts w:ascii="Calibri" w:hAnsi="Calibri"/>
      </w:rPr>
      <w:instrText xml:space="preserve"> PAGE </w:instrText>
    </w:r>
    <w:r w:rsidRPr="00A3511B">
      <w:rPr>
        <w:rStyle w:val="PageNumber"/>
        <w:rFonts w:ascii="Calibri" w:hAnsi="Calibri"/>
      </w:rPr>
      <w:fldChar w:fldCharType="separate"/>
    </w:r>
    <w:r>
      <w:rPr>
        <w:rStyle w:val="PageNumber"/>
        <w:rFonts w:ascii="Calibri" w:hAnsi="Calibri"/>
        <w:noProof/>
      </w:rPr>
      <w:t>4</w:t>
    </w:r>
    <w:r w:rsidRPr="00A3511B">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925286"/>
      <w:docPartObj>
        <w:docPartGallery w:val="Page Numbers (Bottom of Page)"/>
        <w:docPartUnique/>
      </w:docPartObj>
    </w:sdtPr>
    <w:sdtEndPr>
      <w:rPr>
        <w:noProof/>
      </w:rPr>
    </w:sdtEndPr>
    <w:sdtContent>
      <w:p w14:paraId="2C04D148" w14:textId="00474CE0" w:rsidR="001014B5" w:rsidRDefault="004105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CEFA6" w14:textId="77777777" w:rsidR="001014B5" w:rsidRDefault="0010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2E95" w14:textId="77777777" w:rsidR="002D20B5" w:rsidRDefault="002D20B5" w:rsidP="00B20D9A">
      <w:pPr>
        <w:spacing w:after="0" w:line="240" w:lineRule="auto"/>
      </w:pPr>
      <w:r>
        <w:separator/>
      </w:r>
    </w:p>
  </w:footnote>
  <w:footnote w:type="continuationSeparator" w:id="0">
    <w:p w14:paraId="0484D0FA" w14:textId="77777777" w:rsidR="002D20B5" w:rsidRDefault="002D20B5" w:rsidP="00B20D9A">
      <w:pPr>
        <w:spacing w:after="0" w:line="240" w:lineRule="auto"/>
      </w:pPr>
      <w:r>
        <w:continuationSeparator/>
      </w:r>
    </w:p>
  </w:footnote>
  <w:footnote w:id="1">
    <w:p w14:paraId="2D9D647B" w14:textId="1031AD49" w:rsidR="007F4650" w:rsidRDefault="007F4650">
      <w:pPr>
        <w:pStyle w:val="FootnoteText"/>
      </w:pPr>
      <w:r>
        <w:rPr>
          <w:rStyle w:val="FootnoteReference"/>
        </w:rPr>
        <w:footnoteRef/>
      </w:r>
      <w:r>
        <w:t xml:space="preserve"> Audit Report at 1.</w:t>
      </w:r>
    </w:p>
  </w:footnote>
  <w:footnote w:id="2">
    <w:p w14:paraId="51CE11C6" w14:textId="446F9E17" w:rsidR="00B030C6" w:rsidRPr="00B030C6" w:rsidRDefault="00B030C6">
      <w:pPr>
        <w:pStyle w:val="FootnoteText"/>
      </w:pPr>
      <w:r>
        <w:rPr>
          <w:rStyle w:val="FootnoteReference"/>
        </w:rPr>
        <w:footnoteRef/>
      </w:r>
      <w:r>
        <w:t xml:space="preserve"> </w:t>
      </w:r>
      <w:r>
        <w:rPr>
          <w:i/>
          <w:iCs/>
        </w:rPr>
        <w:t>Id.</w:t>
      </w:r>
      <w:r>
        <w:t xml:space="preserve"> at 17.</w:t>
      </w:r>
      <w:r w:rsidR="00841F64">
        <w:t xml:space="preserve">  </w:t>
      </w:r>
    </w:p>
  </w:footnote>
  <w:footnote w:id="3">
    <w:p w14:paraId="65D21429" w14:textId="3159ECF3" w:rsidR="00841F64" w:rsidRDefault="00841F64" w:rsidP="008B1C26">
      <w:pPr>
        <w:pStyle w:val="FootnoteText"/>
        <w:jc w:val="both"/>
      </w:pPr>
      <w:r>
        <w:rPr>
          <w:rStyle w:val="FootnoteReference"/>
        </w:rPr>
        <w:footnoteRef/>
      </w:r>
      <w:r>
        <w:t xml:space="preserve"> While the Audit Report notes that there may be cost shifts resulting from the Rider NMB Pilot Program,</w:t>
      </w:r>
      <w:r w:rsidRPr="00841F64">
        <w:t xml:space="preserve"> the impact is primarily on non-participating </w:t>
      </w:r>
      <w:r w:rsidR="00E05C0E">
        <w:t>commercial and industrial</w:t>
      </w:r>
      <w:r w:rsidRPr="00841F64">
        <w:t xml:space="preserve"> customers, and the cost shift is driven by the design of Rider NMB</w:t>
      </w:r>
      <w:r w:rsidR="00E05C0E">
        <w:t>, no</w:t>
      </w:r>
      <w:r w:rsidR="00EF0E8A">
        <w:t>t</w:t>
      </w:r>
      <w:r w:rsidR="00E05C0E">
        <w:t xml:space="preserve"> the Pilot Program itself.</w:t>
      </w:r>
      <w:r w:rsidR="00D36223">
        <w:t xml:space="preserve">  </w:t>
      </w:r>
      <w:r w:rsidR="00D36223" w:rsidRPr="00D36223">
        <w:rPr>
          <w:i/>
          <w:iCs/>
        </w:rPr>
        <w:t>Id</w:t>
      </w:r>
      <w:r w:rsidR="00D36223">
        <w:t>. at 18.</w:t>
      </w:r>
    </w:p>
  </w:footnote>
  <w:footnote w:id="4">
    <w:p w14:paraId="4B035D91" w14:textId="7CFD4476" w:rsidR="000E78BF" w:rsidRPr="000E78BF" w:rsidRDefault="000E78BF">
      <w:pPr>
        <w:pStyle w:val="FootnoteText"/>
      </w:pPr>
      <w:r>
        <w:rPr>
          <w:rStyle w:val="FootnoteReference"/>
        </w:rPr>
        <w:footnoteRef/>
      </w:r>
      <w:r>
        <w:t xml:space="preserve"> </w:t>
      </w:r>
      <w:r w:rsidR="00685D7A">
        <w:t xml:space="preserve">Audit Report </w:t>
      </w:r>
      <w:r>
        <w:t>at 43.</w:t>
      </w:r>
    </w:p>
  </w:footnote>
  <w:footnote w:id="5">
    <w:p w14:paraId="5986F410" w14:textId="63D6B0D6" w:rsidR="00D456A1" w:rsidRPr="00D456A1" w:rsidRDefault="00D456A1">
      <w:pPr>
        <w:pStyle w:val="FootnoteText"/>
      </w:pPr>
      <w:r>
        <w:rPr>
          <w:rStyle w:val="FootnoteReference"/>
        </w:rPr>
        <w:footnoteRef/>
      </w:r>
      <w:r>
        <w:t xml:space="preserve"> </w:t>
      </w:r>
      <w:r>
        <w:rPr>
          <w:i/>
          <w:iCs/>
        </w:rPr>
        <w:t>Id.</w:t>
      </w:r>
      <w:r>
        <w:t xml:space="preserve"> at 27.</w:t>
      </w:r>
    </w:p>
  </w:footnote>
  <w:footnote w:id="6">
    <w:p w14:paraId="4989DFC6" w14:textId="42434AC7" w:rsidR="00D456A1" w:rsidRPr="00D456A1" w:rsidRDefault="00D456A1">
      <w:pPr>
        <w:pStyle w:val="FootnoteText"/>
      </w:pPr>
      <w:r>
        <w:rPr>
          <w:rStyle w:val="FootnoteReference"/>
        </w:rPr>
        <w:footnoteRef/>
      </w:r>
      <w:r>
        <w:t xml:space="preserve"> </w:t>
      </w:r>
      <w:r>
        <w:rPr>
          <w:i/>
          <w:iCs/>
        </w:rPr>
        <w:t>Id.</w:t>
      </w:r>
      <w:r>
        <w:t xml:space="preserve"> </w:t>
      </w:r>
    </w:p>
  </w:footnote>
  <w:footnote w:id="7">
    <w:p w14:paraId="3DA72F38" w14:textId="699CF114" w:rsidR="00A75BF2" w:rsidRPr="00A75BF2" w:rsidRDefault="00A75BF2">
      <w:pPr>
        <w:pStyle w:val="FootnoteText"/>
      </w:pPr>
      <w:r>
        <w:rPr>
          <w:rStyle w:val="FootnoteReference"/>
        </w:rPr>
        <w:footnoteRef/>
      </w:r>
      <w:r>
        <w:t xml:space="preserve"> </w:t>
      </w:r>
      <w:r>
        <w:rPr>
          <w:i/>
          <w:iCs/>
        </w:rPr>
        <w:t>Id.</w:t>
      </w:r>
      <w:r>
        <w:t xml:space="preserve"> at 33.</w:t>
      </w:r>
    </w:p>
  </w:footnote>
  <w:footnote w:id="8">
    <w:p w14:paraId="465AD36F" w14:textId="201BB959" w:rsidR="00A5279D" w:rsidRPr="00A5279D" w:rsidRDefault="00A5279D" w:rsidP="008B1C26">
      <w:pPr>
        <w:pStyle w:val="FootnoteText"/>
        <w:jc w:val="both"/>
      </w:pPr>
      <w:r>
        <w:rPr>
          <w:rStyle w:val="FootnoteReference"/>
        </w:rPr>
        <w:footnoteRef/>
      </w:r>
      <w:r>
        <w:t xml:space="preserve"> </w:t>
      </w:r>
      <w:r>
        <w:rPr>
          <w:i/>
          <w:iCs/>
        </w:rPr>
        <w:t>Id.</w:t>
      </w:r>
      <w:r>
        <w:t xml:space="preserve"> at 37.</w:t>
      </w:r>
      <w:r w:rsidR="00C14E36">
        <w:t xml:space="preserve">  The Audit Report cites a study concluding that a 1% increase in electricity prices will result in a 0.078% decrease in Ohio employment</w:t>
      </w:r>
      <w:r w:rsidR="00CB7FC7">
        <w:t xml:space="preserve"> and a 0.092% decrease in Ohio GDP, or approximately 4,043 jobs and $620 million in GDP.  </w:t>
      </w:r>
      <w:r w:rsidR="00CB7FC7" w:rsidRPr="000D2D49">
        <w:rPr>
          <w:i/>
          <w:iCs/>
        </w:rPr>
        <w:t>Id</w:t>
      </w:r>
      <w:r w:rsidR="00CB7FC7">
        <w:t>.</w:t>
      </w:r>
      <w:r w:rsidR="00C14E36">
        <w:t xml:space="preserve">  </w:t>
      </w:r>
    </w:p>
  </w:footnote>
  <w:footnote w:id="9">
    <w:p w14:paraId="5D5E6A69" w14:textId="268AF9CB" w:rsidR="00715AC1" w:rsidRDefault="00715AC1">
      <w:pPr>
        <w:pStyle w:val="FootnoteText"/>
      </w:pPr>
      <w:r>
        <w:rPr>
          <w:rStyle w:val="FootnoteReference"/>
        </w:rPr>
        <w:footnoteRef/>
      </w:r>
      <w:r>
        <w:t xml:space="preserve"> </w:t>
      </w:r>
      <w:r w:rsidRPr="00E00ED7">
        <w:rPr>
          <w:i/>
          <w:iCs/>
        </w:rPr>
        <w:t>Id</w:t>
      </w:r>
      <w:r>
        <w:t>. at 7.</w:t>
      </w:r>
    </w:p>
  </w:footnote>
  <w:footnote w:id="10">
    <w:p w14:paraId="19B5CA49" w14:textId="0EBEBD30" w:rsidR="00AA57CB" w:rsidRDefault="00AA57CB">
      <w:pPr>
        <w:pStyle w:val="FootnoteText"/>
      </w:pPr>
      <w:r>
        <w:rPr>
          <w:rStyle w:val="FootnoteReference"/>
        </w:rPr>
        <w:footnoteRef/>
      </w:r>
      <w:r>
        <w:t xml:space="preserve"> </w:t>
      </w:r>
      <w:r w:rsidRPr="00E00ED7">
        <w:rPr>
          <w:i/>
          <w:iCs/>
        </w:rPr>
        <w:t>Id</w:t>
      </w:r>
      <w:r>
        <w:t>. at 38.</w:t>
      </w:r>
    </w:p>
  </w:footnote>
  <w:footnote w:id="11">
    <w:p w14:paraId="2FA775D8" w14:textId="2553B837" w:rsidR="00AA57CB" w:rsidRDefault="00AA57CB">
      <w:pPr>
        <w:pStyle w:val="FootnoteText"/>
      </w:pPr>
      <w:r>
        <w:rPr>
          <w:rStyle w:val="FootnoteReference"/>
        </w:rPr>
        <w:footnoteRef/>
      </w:r>
      <w:r>
        <w:t xml:space="preserve"> </w:t>
      </w:r>
      <w:r w:rsidRPr="00E00ED7">
        <w:rPr>
          <w:i/>
          <w:iCs/>
        </w:rPr>
        <w:t>Id</w:t>
      </w:r>
      <w:r>
        <w:t>.</w:t>
      </w:r>
    </w:p>
  </w:footnote>
  <w:footnote w:id="12">
    <w:p w14:paraId="41C07C5D" w14:textId="2F78190C" w:rsidR="001C79DE" w:rsidRPr="001C79DE" w:rsidRDefault="001C79DE">
      <w:pPr>
        <w:pStyle w:val="FootnoteText"/>
      </w:pPr>
      <w:r>
        <w:rPr>
          <w:rStyle w:val="FootnoteReference"/>
        </w:rPr>
        <w:footnoteRef/>
      </w:r>
      <w:r>
        <w:t xml:space="preserve"> </w:t>
      </w:r>
      <w:r>
        <w:rPr>
          <w:i/>
          <w:iCs/>
        </w:rPr>
        <w:t>Id.</w:t>
      </w:r>
      <w:r>
        <w:t xml:space="preserve"> at 38-40.</w:t>
      </w:r>
    </w:p>
  </w:footnote>
  <w:footnote w:id="13">
    <w:p w14:paraId="6201117C" w14:textId="77777777" w:rsidR="00451409" w:rsidRPr="00451409" w:rsidRDefault="00451409" w:rsidP="00451409">
      <w:pPr>
        <w:pStyle w:val="FootnoteText"/>
      </w:pPr>
      <w:r>
        <w:rPr>
          <w:rStyle w:val="FootnoteReference"/>
        </w:rPr>
        <w:footnoteRef/>
      </w:r>
      <w:r>
        <w:t xml:space="preserve"> </w:t>
      </w:r>
      <w:r>
        <w:rPr>
          <w:i/>
          <w:iCs/>
        </w:rPr>
        <w:t>Id.</w:t>
      </w:r>
      <w:r>
        <w:t xml:space="preserve"> at 41.</w:t>
      </w:r>
    </w:p>
  </w:footnote>
  <w:footnote w:id="14">
    <w:p w14:paraId="7FFC61B4" w14:textId="4586EE3C" w:rsidR="00105605" w:rsidRDefault="00105605">
      <w:pPr>
        <w:pStyle w:val="FootnoteText"/>
      </w:pPr>
      <w:r>
        <w:rPr>
          <w:rStyle w:val="FootnoteReference"/>
        </w:rPr>
        <w:footnoteRef/>
      </w:r>
      <w:r>
        <w:t xml:space="preserve"> </w:t>
      </w:r>
      <w:r w:rsidRPr="00E00ED7">
        <w:rPr>
          <w:i/>
          <w:iCs/>
        </w:rPr>
        <w:t>Id</w:t>
      </w:r>
      <w:r>
        <w:t>. at 50-54.</w:t>
      </w:r>
    </w:p>
  </w:footnote>
  <w:footnote w:id="15">
    <w:p w14:paraId="6938DFC1" w14:textId="1B386F10" w:rsidR="00105605" w:rsidRDefault="00105605" w:rsidP="008B1C26">
      <w:pPr>
        <w:pStyle w:val="FootnoteText"/>
        <w:jc w:val="both"/>
      </w:pPr>
      <w:r>
        <w:rPr>
          <w:rStyle w:val="FootnoteReference"/>
        </w:rPr>
        <w:footnoteRef/>
      </w:r>
      <w:r>
        <w:t xml:space="preserve"> Recommendation #3</w:t>
      </w:r>
      <w:r w:rsidR="005607CB">
        <w:t xml:space="preserve"> is to “[</w:t>
      </w:r>
      <w:r w:rsidR="005607CB">
        <w:t xml:space="preserve">i]mplement recommendations according to a schedule, with an eye toward existing retail supply contracts, that avoids financial harm to customers or to their CRES suppliers to the maximum practical </w:t>
      </w:r>
      <w:r w:rsidR="00D73644">
        <w:t>extent</w:t>
      </w:r>
      <w:r w:rsidR="005607CB">
        <w:t xml:space="preserve">,” and Exeter further explains that the recommended changes “may be best suited for adoption as part of a litigated ESP process to give key stakeholders an opportunity to identify implementation challenges.”  </w:t>
      </w:r>
      <w:r w:rsidR="005607CB" w:rsidRPr="00E00ED7">
        <w:rPr>
          <w:i/>
          <w:iCs/>
        </w:rPr>
        <w:t>Id</w:t>
      </w:r>
      <w:r w:rsidR="005607CB">
        <w:t>. at 53-54.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21EE" w14:textId="77777777" w:rsidR="00B45839" w:rsidRDefault="00B4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6909"/>
    <w:multiLevelType w:val="hybridMultilevel"/>
    <w:tmpl w:val="76BCAFD8"/>
    <w:lvl w:ilvl="0" w:tplc="F7563FE4">
      <w:start w:val="1"/>
      <w:numFmt w:val="bullet"/>
      <w:lvlText w:val=""/>
      <w:lvlJc w:val="left"/>
      <w:pPr>
        <w:ind w:left="778" w:hanging="360"/>
      </w:pPr>
      <w:rPr>
        <w:rFonts w:ascii="Symbol" w:hAnsi="Symbol" w:hint="default"/>
      </w:rPr>
    </w:lvl>
    <w:lvl w:ilvl="1" w:tplc="8D7416E0" w:tentative="1">
      <w:start w:val="1"/>
      <w:numFmt w:val="bullet"/>
      <w:lvlText w:val="o"/>
      <w:lvlJc w:val="left"/>
      <w:pPr>
        <w:ind w:left="1498" w:hanging="360"/>
      </w:pPr>
      <w:rPr>
        <w:rFonts w:ascii="Courier New" w:hAnsi="Courier New" w:cs="Courier New" w:hint="default"/>
      </w:rPr>
    </w:lvl>
    <w:lvl w:ilvl="2" w:tplc="D5280F84" w:tentative="1">
      <w:start w:val="1"/>
      <w:numFmt w:val="bullet"/>
      <w:lvlText w:val=""/>
      <w:lvlJc w:val="left"/>
      <w:pPr>
        <w:ind w:left="2218" w:hanging="360"/>
      </w:pPr>
      <w:rPr>
        <w:rFonts w:ascii="Wingdings" w:hAnsi="Wingdings" w:hint="default"/>
      </w:rPr>
    </w:lvl>
    <w:lvl w:ilvl="3" w:tplc="C17A08CC" w:tentative="1">
      <w:start w:val="1"/>
      <w:numFmt w:val="bullet"/>
      <w:lvlText w:val=""/>
      <w:lvlJc w:val="left"/>
      <w:pPr>
        <w:ind w:left="2938" w:hanging="360"/>
      </w:pPr>
      <w:rPr>
        <w:rFonts w:ascii="Symbol" w:hAnsi="Symbol" w:hint="default"/>
      </w:rPr>
    </w:lvl>
    <w:lvl w:ilvl="4" w:tplc="EA401BE6" w:tentative="1">
      <w:start w:val="1"/>
      <w:numFmt w:val="bullet"/>
      <w:lvlText w:val="o"/>
      <w:lvlJc w:val="left"/>
      <w:pPr>
        <w:ind w:left="3658" w:hanging="360"/>
      </w:pPr>
      <w:rPr>
        <w:rFonts w:ascii="Courier New" w:hAnsi="Courier New" w:cs="Courier New" w:hint="default"/>
      </w:rPr>
    </w:lvl>
    <w:lvl w:ilvl="5" w:tplc="8DA8001E" w:tentative="1">
      <w:start w:val="1"/>
      <w:numFmt w:val="bullet"/>
      <w:lvlText w:val=""/>
      <w:lvlJc w:val="left"/>
      <w:pPr>
        <w:ind w:left="4378" w:hanging="360"/>
      </w:pPr>
      <w:rPr>
        <w:rFonts w:ascii="Wingdings" w:hAnsi="Wingdings" w:hint="default"/>
      </w:rPr>
    </w:lvl>
    <w:lvl w:ilvl="6" w:tplc="BC8012E0" w:tentative="1">
      <w:start w:val="1"/>
      <w:numFmt w:val="bullet"/>
      <w:lvlText w:val=""/>
      <w:lvlJc w:val="left"/>
      <w:pPr>
        <w:ind w:left="5098" w:hanging="360"/>
      </w:pPr>
      <w:rPr>
        <w:rFonts w:ascii="Symbol" w:hAnsi="Symbol" w:hint="default"/>
      </w:rPr>
    </w:lvl>
    <w:lvl w:ilvl="7" w:tplc="86EA4530" w:tentative="1">
      <w:start w:val="1"/>
      <w:numFmt w:val="bullet"/>
      <w:lvlText w:val="o"/>
      <w:lvlJc w:val="left"/>
      <w:pPr>
        <w:ind w:left="5818" w:hanging="360"/>
      </w:pPr>
      <w:rPr>
        <w:rFonts w:ascii="Courier New" w:hAnsi="Courier New" w:cs="Courier New" w:hint="default"/>
      </w:rPr>
    </w:lvl>
    <w:lvl w:ilvl="8" w:tplc="D8B29DB6" w:tentative="1">
      <w:start w:val="1"/>
      <w:numFmt w:val="bullet"/>
      <w:lvlText w:val=""/>
      <w:lvlJc w:val="left"/>
      <w:pPr>
        <w:ind w:left="6538" w:hanging="360"/>
      </w:pPr>
      <w:rPr>
        <w:rFonts w:ascii="Wingdings" w:hAnsi="Wingdings" w:hint="default"/>
      </w:rPr>
    </w:lvl>
  </w:abstractNum>
  <w:num w:numId="1" w16cid:durableId="177932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98"/>
    <w:rsid w:val="00004C92"/>
    <w:rsid w:val="000115AE"/>
    <w:rsid w:val="00021997"/>
    <w:rsid w:val="00024DA2"/>
    <w:rsid w:val="00033E2B"/>
    <w:rsid w:val="00034976"/>
    <w:rsid w:val="00037BC9"/>
    <w:rsid w:val="00045511"/>
    <w:rsid w:val="00045F3B"/>
    <w:rsid w:val="000466D8"/>
    <w:rsid w:val="00054077"/>
    <w:rsid w:val="000549F0"/>
    <w:rsid w:val="000631B0"/>
    <w:rsid w:val="00063AC1"/>
    <w:rsid w:val="000662EC"/>
    <w:rsid w:val="000767A9"/>
    <w:rsid w:val="0008194B"/>
    <w:rsid w:val="0008410E"/>
    <w:rsid w:val="00086028"/>
    <w:rsid w:val="000A31A9"/>
    <w:rsid w:val="000A3965"/>
    <w:rsid w:val="000B02BD"/>
    <w:rsid w:val="000B29C3"/>
    <w:rsid w:val="000B7DBF"/>
    <w:rsid w:val="000C79EE"/>
    <w:rsid w:val="000D2986"/>
    <w:rsid w:val="000D2D49"/>
    <w:rsid w:val="000D414D"/>
    <w:rsid w:val="000E3401"/>
    <w:rsid w:val="000E40B7"/>
    <w:rsid w:val="000E6666"/>
    <w:rsid w:val="000E78BF"/>
    <w:rsid w:val="000F0683"/>
    <w:rsid w:val="000F4307"/>
    <w:rsid w:val="001014B5"/>
    <w:rsid w:val="00105605"/>
    <w:rsid w:val="00105DB9"/>
    <w:rsid w:val="00112215"/>
    <w:rsid w:val="00113539"/>
    <w:rsid w:val="00114C70"/>
    <w:rsid w:val="0011730E"/>
    <w:rsid w:val="001177FC"/>
    <w:rsid w:val="00117805"/>
    <w:rsid w:val="00117FC8"/>
    <w:rsid w:val="00122644"/>
    <w:rsid w:val="00125226"/>
    <w:rsid w:val="001335A3"/>
    <w:rsid w:val="001336A0"/>
    <w:rsid w:val="00134B1B"/>
    <w:rsid w:val="001414F6"/>
    <w:rsid w:val="00150C2E"/>
    <w:rsid w:val="0015629D"/>
    <w:rsid w:val="001655B6"/>
    <w:rsid w:val="00172B40"/>
    <w:rsid w:val="00173BA4"/>
    <w:rsid w:val="00176187"/>
    <w:rsid w:val="0018545F"/>
    <w:rsid w:val="00186FF1"/>
    <w:rsid w:val="00187DA9"/>
    <w:rsid w:val="00193CD4"/>
    <w:rsid w:val="00195618"/>
    <w:rsid w:val="001A4A58"/>
    <w:rsid w:val="001C32A3"/>
    <w:rsid w:val="001C48A2"/>
    <w:rsid w:val="001C79DE"/>
    <w:rsid w:val="001D3BF6"/>
    <w:rsid w:val="001D4C8D"/>
    <w:rsid w:val="001D6061"/>
    <w:rsid w:val="001D798E"/>
    <w:rsid w:val="001E0470"/>
    <w:rsid w:val="001E11B5"/>
    <w:rsid w:val="001E5250"/>
    <w:rsid w:val="001F0F2C"/>
    <w:rsid w:val="001F2E0B"/>
    <w:rsid w:val="001F342A"/>
    <w:rsid w:val="001F520F"/>
    <w:rsid w:val="001F6F9C"/>
    <w:rsid w:val="002004FB"/>
    <w:rsid w:val="00201CFE"/>
    <w:rsid w:val="00204B6D"/>
    <w:rsid w:val="00204FF3"/>
    <w:rsid w:val="00205E1B"/>
    <w:rsid w:val="00216665"/>
    <w:rsid w:val="00217073"/>
    <w:rsid w:val="002267B4"/>
    <w:rsid w:val="00226C6F"/>
    <w:rsid w:val="0024074A"/>
    <w:rsid w:val="00242DF8"/>
    <w:rsid w:val="0024535E"/>
    <w:rsid w:val="00245430"/>
    <w:rsid w:val="002515E7"/>
    <w:rsid w:val="002545FE"/>
    <w:rsid w:val="00260C42"/>
    <w:rsid w:val="00266DDD"/>
    <w:rsid w:val="002708E9"/>
    <w:rsid w:val="00277652"/>
    <w:rsid w:val="00283FEA"/>
    <w:rsid w:val="00290620"/>
    <w:rsid w:val="0029309B"/>
    <w:rsid w:val="00296CF2"/>
    <w:rsid w:val="002B07EC"/>
    <w:rsid w:val="002B1804"/>
    <w:rsid w:val="002B1C89"/>
    <w:rsid w:val="002B63A0"/>
    <w:rsid w:val="002C1831"/>
    <w:rsid w:val="002D20B5"/>
    <w:rsid w:val="002D527D"/>
    <w:rsid w:val="002D5A7A"/>
    <w:rsid w:val="002E0943"/>
    <w:rsid w:val="002E4482"/>
    <w:rsid w:val="002F049B"/>
    <w:rsid w:val="00304E40"/>
    <w:rsid w:val="00305873"/>
    <w:rsid w:val="00316105"/>
    <w:rsid w:val="003167DB"/>
    <w:rsid w:val="00317C24"/>
    <w:rsid w:val="003248B7"/>
    <w:rsid w:val="003261BE"/>
    <w:rsid w:val="00332D3F"/>
    <w:rsid w:val="003368D3"/>
    <w:rsid w:val="00336A15"/>
    <w:rsid w:val="00337290"/>
    <w:rsid w:val="00345015"/>
    <w:rsid w:val="0034614A"/>
    <w:rsid w:val="0035128F"/>
    <w:rsid w:val="0035611F"/>
    <w:rsid w:val="00363314"/>
    <w:rsid w:val="00373C5F"/>
    <w:rsid w:val="00373D46"/>
    <w:rsid w:val="00375FE8"/>
    <w:rsid w:val="0038448A"/>
    <w:rsid w:val="00387DD0"/>
    <w:rsid w:val="00394517"/>
    <w:rsid w:val="00396B0A"/>
    <w:rsid w:val="003A1D33"/>
    <w:rsid w:val="003A2E7F"/>
    <w:rsid w:val="003B09C9"/>
    <w:rsid w:val="003B24C5"/>
    <w:rsid w:val="003B3139"/>
    <w:rsid w:val="003C7735"/>
    <w:rsid w:val="003D2678"/>
    <w:rsid w:val="003D4EBF"/>
    <w:rsid w:val="003D5581"/>
    <w:rsid w:val="003E0A08"/>
    <w:rsid w:val="003E1D51"/>
    <w:rsid w:val="003E3B1C"/>
    <w:rsid w:val="003F4355"/>
    <w:rsid w:val="00402BA4"/>
    <w:rsid w:val="00404F9D"/>
    <w:rsid w:val="004050C6"/>
    <w:rsid w:val="00405CFF"/>
    <w:rsid w:val="0041056A"/>
    <w:rsid w:val="0041070A"/>
    <w:rsid w:val="004144E2"/>
    <w:rsid w:val="0042437F"/>
    <w:rsid w:val="00434568"/>
    <w:rsid w:val="00437829"/>
    <w:rsid w:val="004428F7"/>
    <w:rsid w:val="00442FDC"/>
    <w:rsid w:val="0044525D"/>
    <w:rsid w:val="00451409"/>
    <w:rsid w:val="004714C1"/>
    <w:rsid w:val="00477055"/>
    <w:rsid w:val="004870A6"/>
    <w:rsid w:val="00494090"/>
    <w:rsid w:val="0049474D"/>
    <w:rsid w:val="004B6379"/>
    <w:rsid w:val="004D4138"/>
    <w:rsid w:val="004D53B3"/>
    <w:rsid w:val="004E67E8"/>
    <w:rsid w:val="004E6D87"/>
    <w:rsid w:val="004F7655"/>
    <w:rsid w:val="004F7E52"/>
    <w:rsid w:val="005002C0"/>
    <w:rsid w:val="00510A34"/>
    <w:rsid w:val="00515165"/>
    <w:rsid w:val="005272E0"/>
    <w:rsid w:val="005317E7"/>
    <w:rsid w:val="005364BD"/>
    <w:rsid w:val="00540570"/>
    <w:rsid w:val="00545B01"/>
    <w:rsid w:val="005522F4"/>
    <w:rsid w:val="005543F5"/>
    <w:rsid w:val="005553AE"/>
    <w:rsid w:val="005558DF"/>
    <w:rsid w:val="005607CB"/>
    <w:rsid w:val="00561382"/>
    <w:rsid w:val="00563321"/>
    <w:rsid w:val="00564A33"/>
    <w:rsid w:val="0056518C"/>
    <w:rsid w:val="005771B8"/>
    <w:rsid w:val="0058105C"/>
    <w:rsid w:val="0058170E"/>
    <w:rsid w:val="005956DC"/>
    <w:rsid w:val="005A6E6B"/>
    <w:rsid w:val="005C01DE"/>
    <w:rsid w:val="005C3D29"/>
    <w:rsid w:val="005C74B4"/>
    <w:rsid w:val="005D2C8D"/>
    <w:rsid w:val="005D42B9"/>
    <w:rsid w:val="005E7327"/>
    <w:rsid w:val="005F7FF0"/>
    <w:rsid w:val="00602E7A"/>
    <w:rsid w:val="00604B8F"/>
    <w:rsid w:val="006052F1"/>
    <w:rsid w:val="00620FBC"/>
    <w:rsid w:val="00626AD5"/>
    <w:rsid w:val="00631322"/>
    <w:rsid w:val="00633056"/>
    <w:rsid w:val="00633A51"/>
    <w:rsid w:val="0064222D"/>
    <w:rsid w:val="00654579"/>
    <w:rsid w:val="006561A9"/>
    <w:rsid w:val="00662FEE"/>
    <w:rsid w:val="00665976"/>
    <w:rsid w:val="00671511"/>
    <w:rsid w:val="00672F0B"/>
    <w:rsid w:val="006757A5"/>
    <w:rsid w:val="006764D1"/>
    <w:rsid w:val="00676787"/>
    <w:rsid w:val="00677730"/>
    <w:rsid w:val="00682238"/>
    <w:rsid w:val="00683AF1"/>
    <w:rsid w:val="00683C4A"/>
    <w:rsid w:val="00685D7A"/>
    <w:rsid w:val="0068780C"/>
    <w:rsid w:val="0069074E"/>
    <w:rsid w:val="006908B6"/>
    <w:rsid w:val="006959F9"/>
    <w:rsid w:val="006A4D08"/>
    <w:rsid w:val="006A7E91"/>
    <w:rsid w:val="006B4426"/>
    <w:rsid w:val="006B63AE"/>
    <w:rsid w:val="006D7457"/>
    <w:rsid w:val="006F1059"/>
    <w:rsid w:val="006F53EC"/>
    <w:rsid w:val="007033A5"/>
    <w:rsid w:val="00704988"/>
    <w:rsid w:val="007102EA"/>
    <w:rsid w:val="00715AC1"/>
    <w:rsid w:val="00721332"/>
    <w:rsid w:val="00723324"/>
    <w:rsid w:val="0073387B"/>
    <w:rsid w:val="00734272"/>
    <w:rsid w:val="00736FC4"/>
    <w:rsid w:val="007467DF"/>
    <w:rsid w:val="00755E98"/>
    <w:rsid w:val="0075610F"/>
    <w:rsid w:val="007644FD"/>
    <w:rsid w:val="00765122"/>
    <w:rsid w:val="007707D7"/>
    <w:rsid w:val="007722B6"/>
    <w:rsid w:val="007723E8"/>
    <w:rsid w:val="007726C5"/>
    <w:rsid w:val="00776571"/>
    <w:rsid w:val="007800E9"/>
    <w:rsid w:val="00782826"/>
    <w:rsid w:val="00786A71"/>
    <w:rsid w:val="00786BEE"/>
    <w:rsid w:val="00792E2C"/>
    <w:rsid w:val="007A0F02"/>
    <w:rsid w:val="007A2722"/>
    <w:rsid w:val="007B291E"/>
    <w:rsid w:val="007B2FE7"/>
    <w:rsid w:val="007C4124"/>
    <w:rsid w:val="007C7F06"/>
    <w:rsid w:val="007E01D3"/>
    <w:rsid w:val="007E130C"/>
    <w:rsid w:val="007E7599"/>
    <w:rsid w:val="007E7846"/>
    <w:rsid w:val="007F4650"/>
    <w:rsid w:val="0080648D"/>
    <w:rsid w:val="00830D8C"/>
    <w:rsid w:val="008371DB"/>
    <w:rsid w:val="008417FB"/>
    <w:rsid w:val="00841F64"/>
    <w:rsid w:val="008462DB"/>
    <w:rsid w:val="0086354E"/>
    <w:rsid w:val="00867FDE"/>
    <w:rsid w:val="00873550"/>
    <w:rsid w:val="00875DF3"/>
    <w:rsid w:val="0087781C"/>
    <w:rsid w:val="008779FF"/>
    <w:rsid w:val="0088518E"/>
    <w:rsid w:val="00891914"/>
    <w:rsid w:val="008929B8"/>
    <w:rsid w:val="00893109"/>
    <w:rsid w:val="00893E6D"/>
    <w:rsid w:val="008A1F41"/>
    <w:rsid w:val="008A6048"/>
    <w:rsid w:val="008B1C26"/>
    <w:rsid w:val="008D4B0B"/>
    <w:rsid w:val="008D7945"/>
    <w:rsid w:val="008E53E6"/>
    <w:rsid w:val="008F0060"/>
    <w:rsid w:val="008F0ED8"/>
    <w:rsid w:val="009068A7"/>
    <w:rsid w:val="0092193F"/>
    <w:rsid w:val="00921B0E"/>
    <w:rsid w:val="00927492"/>
    <w:rsid w:val="00936BCE"/>
    <w:rsid w:val="00946A44"/>
    <w:rsid w:val="00947EE3"/>
    <w:rsid w:val="00952DD1"/>
    <w:rsid w:val="00963ECC"/>
    <w:rsid w:val="009674F2"/>
    <w:rsid w:val="00970469"/>
    <w:rsid w:val="009754DB"/>
    <w:rsid w:val="0097712F"/>
    <w:rsid w:val="00994EA0"/>
    <w:rsid w:val="00995896"/>
    <w:rsid w:val="009A7A9B"/>
    <w:rsid w:val="009C38C9"/>
    <w:rsid w:val="009C50CD"/>
    <w:rsid w:val="009C52FD"/>
    <w:rsid w:val="009E1B73"/>
    <w:rsid w:val="009E3AEA"/>
    <w:rsid w:val="009E4926"/>
    <w:rsid w:val="009E6BFC"/>
    <w:rsid w:val="009F5302"/>
    <w:rsid w:val="00A02C7A"/>
    <w:rsid w:val="00A0698D"/>
    <w:rsid w:val="00A12980"/>
    <w:rsid w:val="00A13CD0"/>
    <w:rsid w:val="00A14579"/>
    <w:rsid w:val="00A14604"/>
    <w:rsid w:val="00A25574"/>
    <w:rsid w:val="00A3318E"/>
    <w:rsid w:val="00A41B62"/>
    <w:rsid w:val="00A42D47"/>
    <w:rsid w:val="00A43274"/>
    <w:rsid w:val="00A5279D"/>
    <w:rsid w:val="00A54E13"/>
    <w:rsid w:val="00A66263"/>
    <w:rsid w:val="00A66759"/>
    <w:rsid w:val="00A70C81"/>
    <w:rsid w:val="00A7150C"/>
    <w:rsid w:val="00A75BF2"/>
    <w:rsid w:val="00A974A7"/>
    <w:rsid w:val="00AA065F"/>
    <w:rsid w:val="00AA57CB"/>
    <w:rsid w:val="00AA7C45"/>
    <w:rsid w:val="00AB6012"/>
    <w:rsid w:val="00AB6DBF"/>
    <w:rsid w:val="00AC206F"/>
    <w:rsid w:val="00AC35E1"/>
    <w:rsid w:val="00AC7434"/>
    <w:rsid w:val="00AD053C"/>
    <w:rsid w:val="00AD05F3"/>
    <w:rsid w:val="00AD49FB"/>
    <w:rsid w:val="00AD535A"/>
    <w:rsid w:val="00AE0F64"/>
    <w:rsid w:val="00AE2640"/>
    <w:rsid w:val="00AE486B"/>
    <w:rsid w:val="00AE4BC2"/>
    <w:rsid w:val="00AF0CDE"/>
    <w:rsid w:val="00AF3227"/>
    <w:rsid w:val="00B01B1B"/>
    <w:rsid w:val="00B030C6"/>
    <w:rsid w:val="00B036D2"/>
    <w:rsid w:val="00B151BD"/>
    <w:rsid w:val="00B15207"/>
    <w:rsid w:val="00B20D9A"/>
    <w:rsid w:val="00B24770"/>
    <w:rsid w:val="00B34D30"/>
    <w:rsid w:val="00B37F80"/>
    <w:rsid w:val="00B45839"/>
    <w:rsid w:val="00B47580"/>
    <w:rsid w:val="00B5299B"/>
    <w:rsid w:val="00B62D63"/>
    <w:rsid w:val="00B76163"/>
    <w:rsid w:val="00B81207"/>
    <w:rsid w:val="00B83004"/>
    <w:rsid w:val="00BA1024"/>
    <w:rsid w:val="00BA4B53"/>
    <w:rsid w:val="00BA622B"/>
    <w:rsid w:val="00BB5E98"/>
    <w:rsid w:val="00BC162C"/>
    <w:rsid w:val="00BC3CC9"/>
    <w:rsid w:val="00BC3E22"/>
    <w:rsid w:val="00BC61C6"/>
    <w:rsid w:val="00BC6A7B"/>
    <w:rsid w:val="00BD658B"/>
    <w:rsid w:val="00BF0FFB"/>
    <w:rsid w:val="00C01616"/>
    <w:rsid w:val="00C076CC"/>
    <w:rsid w:val="00C1090E"/>
    <w:rsid w:val="00C11931"/>
    <w:rsid w:val="00C14E36"/>
    <w:rsid w:val="00C16BEC"/>
    <w:rsid w:val="00C21062"/>
    <w:rsid w:val="00C272A0"/>
    <w:rsid w:val="00C348A1"/>
    <w:rsid w:val="00C4136C"/>
    <w:rsid w:val="00C42690"/>
    <w:rsid w:val="00C43F3A"/>
    <w:rsid w:val="00C44629"/>
    <w:rsid w:val="00C50075"/>
    <w:rsid w:val="00C567C2"/>
    <w:rsid w:val="00C56A0F"/>
    <w:rsid w:val="00C65979"/>
    <w:rsid w:val="00C755E8"/>
    <w:rsid w:val="00C7594F"/>
    <w:rsid w:val="00C77CD3"/>
    <w:rsid w:val="00C80CF9"/>
    <w:rsid w:val="00C82D1F"/>
    <w:rsid w:val="00C853A4"/>
    <w:rsid w:val="00C8553A"/>
    <w:rsid w:val="00CA03AC"/>
    <w:rsid w:val="00CA63BD"/>
    <w:rsid w:val="00CB2496"/>
    <w:rsid w:val="00CB65F1"/>
    <w:rsid w:val="00CB7FC7"/>
    <w:rsid w:val="00CC292A"/>
    <w:rsid w:val="00CC29BF"/>
    <w:rsid w:val="00CD19DB"/>
    <w:rsid w:val="00CD5F12"/>
    <w:rsid w:val="00CE5064"/>
    <w:rsid w:val="00CF0DB6"/>
    <w:rsid w:val="00D01B66"/>
    <w:rsid w:val="00D039FB"/>
    <w:rsid w:val="00D03D41"/>
    <w:rsid w:val="00D05CE5"/>
    <w:rsid w:val="00D072B2"/>
    <w:rsid w:val="00D129A0"/>
    <w:rsid w:val="00D16680"/>
    <w:rsid w:val="00D17DDC"/>
    <w:rsid w:val="00D210A0"/>
    <w:rsid w:val="00D36223"/>
    <w:rsid w:val="00D40214"/>
    <w:rsid w:val="00D442C5"/>
    <w:rsid w:val="00D456A1"/>
    <w:rsid w:val="00D47838"/>
    <w:rsid w:val="00D5374E"/>
    <w:rsid w:val="00D55383"/>
    <w:rsid w:val="00D64634"/>
    <w:rsid w:val="00D66774"/>
    <w:rsid w:val="00D73644"/>
    <w:rsid w:val="00D73D06"/>
    <w:rsid w:val="00D77116"/>
    <w:rsid w:val="00D77A8D"/>
    <w:rsid w:val="00D84B95"/>
    <w:rsid w:val="00D874E9"/>
    <w:rsid w:val="00D91E2D"/>
    <w:rsid w:val="00D96A21"/>
    <w:rsid w:val="00DA1E22"/>
    <w:rsid w:val="00DA2839"/>
    <w:rsid w:val="00DC63A5"/>
    <w:rsid w:val="00DD0E67"/>
    <w:rsid w:val="00DD199A"/>
    <w:rsid w:val="00DD6E36"/>
    <w:rsid w:val="00DD76C4"/>
    <w:rsid w:val="00DF7F3F"/>
    <w:rsid w:val="00E00ED7"/>
    <w:rsid w:val="00E03990"/>
    <w:rsid w:val="00E05C0E"/>
    <w:rsid w:val="00E07EA4"/>
    <w:rsid w:val="00E12B98"/>
    <w:rsid w:val="00E12FB4"/>
    <w:rsid w:val="00E135E8"/>
    <w:rsid w:val="00E22FF0"/>
    <w:rsid w:val="00E23868"/>
    <w:rsid w:val="00E2667F"/>
    <w:rsid w:val="00E3063B"/>
    <w:rsid w:val="00E31C8A"/>
    <w:rsid w:val="00E40A92"/>
    <w:rsid w:val="00E45E87"/>
    <w:rsid w:val="00E51459"/>
    <w:rsid w:val="00E53448"/>
    <w:rsid w:val="00E53971"/>
    <w:rsid w:val="00E552B9"/>
    <w:rsid w:val="00E56B65"/>
    <w:rsid w:val="00E65AC6"/>
    <w:rsid w:val="00E7083E"/>
    <w:rsid w:val="00E76607"/>
    <w:rsid w:val="00E76EA4"/>
    <w:rsid w:val="00E77978"/>
    <w:rsid w:val="00E9273B"/>
    <w:rsid w:val="00E93CEC"/>
    <w:rsid w:val="00E977A4"/>
    <w:rsid w:val="00EA7191"/>
    <w:rsid w:val="00EB0974"/>
    <w:rsid w:val="00EB3EA0"/>
    <w:rsid w:val="00EB434E"/>
    <w:rsid w:val="00EB58F8"/>
    <w:rsid w:val="00EC365D"/>
    <w:rsid w:val="00EC694E"/>
    <w:rsid w:val="00EC6EC1"/>
    <w:rsid w:val="00ED4699"/>
    <w:rsid w:val="00EE0136"/>
    <w:rsid w:val="00EE1E02"/>
    <w:rsid w:val="00EE2B17"/>
    <w:rsid w:val="00EE2DA3"/>
    <w:rsid w:val="00EF0E8A"/>
    <w:rsid w:val="00F010B7"/>
    <w:rsid w:val="00F02F02"/>
    <w:rsid w:val="00F107A7"/>
    <w:rsid w:val="00F156FC"/>
    <w:rsid w:val="00F22FFE"/>
    <w:rsid w:val="00F242C2"/>
    <w:rsid w:val="00F31234"/>
    <w:rsid w:val="00F34417"/>
    <w:rsid w:val="00F36035"/>
    <w:rsid w:val="00F41BB9"/>
    <w:rsid w:val="00F4751A"/>
    <w:rsid w:val="00F56C0E"/>
    <w:rsid w:val="00F64761"/>
    <w:rsid w:val="00F6484D"/>
    <w:rsid w:val="00F727D8"/>
    <w:rsid w:val="00F80709"/>
    <w:rsid w:val="00F91FBA"/>
    <w:rsid w:val="00F92E59"/>
    <w:rsid w:val="00F97A58"/>
    <w:rsid w:val="00FA1021"/>
    <w:rsid w:val="00FA4C79"/>
    <w:rsid w:val="00FA7015"/>
    <w:rsid w:val="00FB0045"/>
    <w:rsid w:val="00FC4151"/>
    <w:rsid w:val="00FC5E10"/>
    <w:rsid w:val="00FD3CD3"/>
    <w:rsid w:val="00FE159A"/>
    <w:rsid w:val="00FE612D"/>
    <w:rsid w:val="00FE7C6A"/>
    <w:rsid w:val="00FF1D7E"/>
    <w:rsid w:val="00FF1F96"/>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0F0E"/>
  <w15:chartTrackingRefBased/>
  <w15:docId w15:val="{3E67C550-3EB7-4177-BCE2-FF91C83A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896"/>
    <w:pPr>
      <w:ind w:left="720"/>
      <w:contextualSpacing/>
    </w:pPr>
  </w:style>
  <w:style w:type="paragraph" w:styleId="FootnoteText">
    <w:name w:val="footnote text"/>
    <w:basedOn w:val="Normal"/>
    <w:link w:val="FootnoteTextChar"/>
    <w:uiPriority w:val="99"/>
    <w:semiHidden/>
    <w:unhideWhenUsed/>
    <w:rsid w:val="00B20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D9A"/>
    <w:rPr>
      <w:sz w:val="20"/>
      <w:szCs w:val="20"/>
    </w:rPr>
  </w:style>
  <w:style w:type="character" w:styleId="FootnoteReference">
    <w:name w:val="footnote reference"/>
    <w:basedOn w:val="DefaultParagraphFont"/>
    <w:uiPriority w:val="99"/>
    <w:semiHidden/>
    <w:unhideWhenUsed/>
    <w:rsid w:val="00B20D9A"/>
    <w:rPr>
      <w:vertAlign w:val="superscript"/>
    </w:rPr>
  </w:style>
  <w:style w:type="character" w:styleId="CommentReference">
    <w:name w:val="annotation reference"/>
    <w:basedOn w:val="DefaultParagraphFont"/>
    <w:uiPriority w:val="99"/>
    <w:semiHidden/>
    <w:unhideWhenUsed/>
    <w:rsid w:val="00F41BB9"/>
    <w:rPr>
      <w:sz w:val="16"/>
      <w:szCs w:val="16"/>
    </w:rPr>
  </w:style>
  <w:style w:type="paragraph" w:styleId="CommentText">
    <w:name w:val="annotation text"/>
    <w:basedOn w:val="Normal"/>
    <w:link w:val="CommentTextChar"/>
    <w:uiPriority w:val="99"/>
    <w:unhideWhenUsed/>
    <w:rsid w:val="00F41BB9"/>
    <w:pPr>
      <w:spacing w:line="240" w:lineRule="auto"/>
    </w:pPr>
    <w:rPr>
      <w:sz w:val="20"/>
      <w:szCs w:val="20"/>
    </w:rPr>
  </w:style>
  <w:style w:type="character" w:customStyle="1" w:styleId="CommentTextChar">
    <w:name w:val="Comment Text Char"/>
    <w:basedOn w:val="DefaultParagraphFont"/>
    <w:link w:val="CommentText"/>
    <w:uiPriority w:val="99"/>
    <w:rsid w:val="00F41BB9"/>
    <w:rPr>
      <w:sz w:val="20"/>
      <w:szCs w:val="20"/>
    </w:rPr>
  </w:style>
  <w:style w:type="paragraph" w:styleId="CommentSubject">
    <w:name w:val="annotation subject"/>
    <w:basedOn w:val="CommentText"/>
    <w:next w:val="CommentText"/>
    <w:link w:val="CommentSubjectChar"/>
    <w:uiPriority w:val="99"/>
    <w:semiHidden/>
    <w:unhideWhenUsed/>
    <w:rsid w:val="00F41BB9"/>
    <w:rPr>
      <w:b/>
      <w:bCs/>
    </w:rPr>
  </w:style>
  <w:style w:type="character" w:customStyle="1" w:styleId="CommentSubjectChar">
    <w:name w:val="Comment Subject Char"/>
    <w:basedOn w:val="CommentTextChar"/>
    <w:link w:val="CommentSubject"/>
    <w:uiPriority w:val="99"/>
    <w:semiHidden/>
    <w:rsid w:val="00F41BB9"/>
    <w:rPr>
      <w:b/>
      <w:bCs/>
      <w:sz w:val="20"/>
      <w:szCs w:val="20"/>
    </w:rPr>
  </w:style>
  <w:style w:type="paragraph" w:styleId="Header">
    <w:name w:val="header"/>
    <w:basedOn w:val="Normal"/>
    <w:link w:val="HeaderChar"/>
    <w:uiPriority w:val="99"/>
    <w:unhideWhenUsed/>
    <w:rsid w:val="0010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4B5"/>
  </w:style>
  <w:style w:type="paragraph" w:styleId="Footer">
    <w:name w:val="footer"/>
    <w:basedOn w:val="Normal"/>
    <w:link w:val="FooterChar"/>
    <w:uiPriority w:val="99"/>
    <w:unhideWhenUsed/>
    <w:rsid w:val="0010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4B5"/>
  </w:style>
  <w:style w:type="paragraph" w:styleId="Title">
    <w:name w:val="Title"/>
    <w:basedOn w:val="Normal"/>
    <w:link w:val="TitleChar"/>
    <w:uiPriority w:val="99"/>
    <w:qFormat/>
    <w:rsid w:val="0097712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97712F"/>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602E7A"/>
    <w:rPr>
      <w:color w:val="0563C1"/>
      <w:u w:val="single"/>
    </w:rPr>
  </w:style>
  <w:style w:type="character" w:styleId="UnresolvedMention">
    <w:name w:val="Unresolved Mention"/>
    <w:basedOn w:val="DefaultParagraphFont"/>
    <w:uiPriority w:val="99"/>
    <w:rsid w:val="00E93CEC"/>
    <w:rPr>
      <w:color w:val="605E5C"/>
      <w:shd w:val="clear" w:color="auto" w:fill="E1DFDD"/>
    </w:rPr>
  </w:style>
  <w:style w:type="paragraph" w:styleId="Revision">
    <w:name w:val="Revision"/>
    <w:hidden/>
    <w:uiPriority w:val="99"/>
    <w:semiHidden/>
    <w:rsid w:val="00921B0E"/>
    <w:pPr>
      <w:spacing w:after="0" w:line="240" w:lineRule="auto"/>
    </w:pPr>
  </w:style>
  <w:style w:type="character" w:styleId="PageNumber">
    <w:name w:val="page number"/>
    <w:basedOn w:val="DefaultParagraphFont"/>
    <w:uiPriority w:val="99"/>
    <w:rsid w:val="00D402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kurtz@BKLlawfirm.com" TargetMode="External"/><Relationship Id="rId18" Type="http://schemas.openxmlformats.org/officeDocument/2006/relationships/hyperlink" Target="mailto:Michael.Nugent@igs.com" TargetMode="External"/><Relationship Id="rId26" Type="http://schemas.openxmlformats.org/officeDocument/2006/relationships/hyperlink" Target="mailto:rmains@brickergraydon.com" TargetMode="External"/><Relationship Id="rId3" Type="http://schemas.openxmlformats.org/officeDocument/2006/relationships/styles" Target="styles.xml"/><Relationship Id="rId21" Type="http://schemas.openxmlformats.org/officeDocument/2006/relationships/hyperlink" Target="mailto:dproano@bakerlaw.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danford@firstenergycorp.com" TargetMode="External"/><Relationship Id="rId17" Type="http://schemas.openxmlformats.org/officeDocument/2006/relationships/hyperlink" Target="mailto:Evan.Betterton@igs.com" TargetMode="External"/><Relationship Id="rId25" Type="http://schemas.openxmlformats.org/officeDocument/2006/relationships/hyperlink" Target="mailto:dparram@brickergraydon.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tacie.Cathcart@igs.com" TargetMode="External"/><Relationship Id="rId20" Type="http://schemas.openxmlformats.org/officeDocument/2006/relationships/hyperlink" Target="mailto:connor.semple@occ.ohio.gov" TargetMode="External"/><Relationship Id="rId29" Type="http://schemas.openxmlformats.org/officeDocument/2006/relationships/hyperlink" Target="mailto:megan.addison@puco.ohi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ling@firstenergycorp.com" TargetMode="External"/><Relationship Id="rId24" Type="http://schemas.openxmlformats.org/officeDocument/2006/relationships/hyperlink" Target="mailto:bojko@carpenterlipps.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kylercohn@BKLlawfirm.com" TargetMode="External"/><Relationship Id="rId23" Type="http://schemas.openxmlformats.org/officeDocument/2006/relationships/hyperlink" Target="mailto:eprouty@bakerlaw.com" TargetMode="External"/><Relationship Id="rId28" Type="http://schemas.openxmlformats.org/officeDocument/2006/relationships/hyperlink" Target="mailto:amy.botschnerobrien@ohioago.gov" TargetMode="External"/><Relationship Id="rId10" Type="http://schemas.openxmlformats.org/officeDocument/2006/relationships/footer" Target="footer1.xml"/><Relationship Id="rId19" Type="http://schemas.openxmlformats.org/officeDocument/2006/relationships/hyperlink" Target="mailto:angela.obrien@occ.ohio.gov" TargetMode="External"/><Relationship Id="rId31" Type="http://schemas.openxmlformats.org/officeDocument/2006/relationships/hyperlink" Target="mailto:jacqueline.st.john@puco.ohio.gov" TargetMode="External"/><Relationship Id="rId4" Type="http://schemas.openxmlformats.org/officeDocument/2006/relationships/settings" Target="settings.xml"/><Relationship Id="rId9" Type="http://schemas.openxmlformats.org/officeDocument/2006/relationships/hyperlink" Target="mailto:jrb@smxblaw.com" TargetMode="External"/><Relationship Id="rId14" Type="http://schemas.openxmlformats.org/officeDocument/2006/relationships/hyperlink" Target="mailto:kboehm@BKLlawfirm.com" TargetMode="External"/><Relationship Id="rId22" Type="http://schemas.openxmlformats.org/officeDocument/2006/relationships/hyperlink" Target="mailto:ahaque@bakerlaw.com" TargetMode="External"/><Relationship Id="rId27" Type="http://schemas.openxmlformats.org/officeDocument/2006/relationships/hyperlink" Target="mailto:rhiannon.howard@ohioago.gov" TargetMode="External"/><Relationship Id="rId30" Type="http://schemas.openxmlformats.org/officeDocument/2006/relationships/hyperlink" Target="mailto:greg.price@puco.ohio.gov" TargetMode="External"/><Relationship Id="rId35" Type="http://schemas.openxmlformats.org/officeDocument/2006/relationships/theme" Target="theme/theme1.xml"/><Relationship Id="rId8" Type="http://schemas.openxmlformats.org/officeDocument/2006/relationships/hyperlink" Target="mailto:mkl@smxb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69DF-AEE2-45C6-A9E2-C515A26D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Andersen</dc:creator>
  <cp:lastModifiedBy>Chris Andersen</cp:lastModifiedBy>
  <cp:revision>2</cp:revision>
  <cp:lastPrinted>2023-08-14T23:06:00Z</cp:lastPrinted>
  <dcterms:created xsi:type="dcterms:W3CDTF">2023-08-17T19:06:00Z</dcterms:created>
  <dcterms:modified xsi:type="dcterms:W3CDTF">2023-08-17T19:06:00Z</dcterms:modified>
</cp:coreProperties>
</file>