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B0" w:rsidRPr="00C667B0" w:rsidRDefault="00C667B0" w:rsidP="00C667B0">
      <w:pPr>
        <w:spacing w:line="240" w:lineRule="auto"/>
        <w:ind w:firstLine="0"/>
        <w:jc w:val="center"/>
        <w:rPr>
          <w:rFonts w:eastAsia="Times New Roman" w:cs="Arial"/>
          <w:b/>
          <w:smallCaps/>
        </w:rPr>
      </w:pPr>
      <w:bookmarkStart w:id="0" w:name="OLE_LINK1"/>
      <w:bookmarkStart w:id="1" w:name="OLE_LINK2"/>
      <w:r w:rsidRPr="00C667B0">
        <w:rPr>
          <w:rFonts w:eastAsia="Times New Roman" w:cs="Arial"/>
          <w:b/>
          <w:smallCaps/>
        </w:rPr>
        <w:t>Before</w:t>
      </w:r>
    </w:p>
    <w:p w:rsidR="00C667B0" w:rsidRPr="00C667B0" w:rsidRDefault="00C667B0" w:rsidP="00C667B0">
      <w:pPr>
        <w:spacing w:line="240" w:lineRule="auto"/>
        <w:ind w:firstLine="0"/>
        <w:jc w:val="center"/>
        <w:rPr>
          <w:rFonts w:eastAsia="Times New Roman" w:cs="Arial"/>
          <w:b/>
          <w:smallCaps/>
        </w:rPr>
      </w:pPr>
      <w:r w:rsidRPr="00C667B0">
        <w:rPr>
          <w:rFonts w:eastAsia="Times New Roman" w:cs="Arial"/>
          <w:b/>
          <w:smallCaps/>
        </w:rPr>
        <w:t>The Public Utilities Commission of Ohio</w:t>
      </w:r>
    </w:p>
    <w:p w:rsidR="00C667B0" w:rsidRPr="00C667B0" w:rsidRDefault="00C667B0" w:rsidP="00C667B0">
      <w:pPr>
        <w:autoSpaceDE w:val="0"/>
        <w:autoSpaceDN w:val="0"/>
        <w:adjustRightInd w:val="0"/>
        <w:spacing w:line="240" w:lineRule="auto"/>
        <w:ind w:firstLine="0"/>
        <w:jc w:val="left"/>
        <w:rPr>
          <w:rFonts w:eastAsia="Calibri" w:cs="Arial"/>
        </w:rPr>
      </w:pPr>
    </w:p>
    <w:p w:rsidR="00C667B0" w:rsidRDefault="00C667B0" w:rsidP="00C667B0">
      <w:pPr>
        <w:tabs>
          <w:tab w:val="left" w:pos="5040"/>
        </w:tabs>
        <w:spacing w:line="240" w:lineRule="auto"/>
        <w:ind w:firstLine="0"/>
        <w:rPr>
          <w:rFonts w:eastAsia="Calibri" w:cs="Arial"/>
        </w:rPr>
      </w:pPr>
    </w:p>
    <w:p w:rsidR="00D7264A" w:rsidRDefault="00D7264A" w:rsidP="00C667B0">
      <w:pPr>
        <w:tabs>
          <w:tab w:val="left" w:pos="5040"/>
        </w:tabs>
        <w:spacing w:line="240" w:lineRule="auto"/>
        <w:ind w:firstLine="0"/>
        <w:rPr>
          <w:rFonts w:eastAsia="Calibri" w:cs="Arial"/>
        </w:rPr>
      </w:pPr>
      <w:r>
        <w:rPr>
          <w:rFonts w:eastAsia="Calibri" w:cs="Arial"/>
        </w:rPr>
        <w:t xml:space="preserve">In the Matter of the Application of Columbus </w:t>
      </w:r>
      <w:r>
        <w:rPr>
          <w:rFonts w:eastAsia="Calibri" w:cs="Arial"/>
        </w:rPr>
        <w:tab/>
        <w:t>)</w:t>
      </w:r>
    </w:p>
    <w:p w:rsidR="00D7264A" w:rsidRDefault="00D7264A" w:rsidP="00C667B0">
      <w:pPr>
        <w:tabs>
          <w:tab w:val="left" w:pos="5040"/>
        </w:tabs>
        <w:spacing w:line="240" w:lineRule="auto"/>
        <w:ind w:firstLine="0"/>
        <w:rPr>
          <w:rFonts w:eastAsia="Calibri" w:cs="Arial"/>
        </w:rPr>
      </w:pPr>
      <w:r>
        <w:rPr>
          <w:rFonts w:eastAsia="Calibri" w:cs="Arial"/>
        </w:rPr>
        <w:t xml:space="preserve">Southern Power Company for Administration </w:t>
      </w:r>
      <w:r>
        <w:rPr>
          <w:rFonts w:eastAsia="Calibri" w:cs="Arial"/>
        </w:rPr>
        <w:tab/>
        <w:t>)</w:t>
      </w:r>
    </w:p>
    <w:p w:rsidR="00D7264A" w:rsidRDefault="00D7264A" w:rsidP="00C667B0">
      <w:pPr>
        <w:tabs>
          <w:tab w:val="left" w:pos="5040"/>
        </w:tabs>
        <w:spacing w:line="240" w:lineRule="auto"/>
        <w:ind w:firstLine="0"/>
        <w:rPr>
          <w:rFonts w:eastAsia="Calibri" w:cs="Arial"/>
        </w:rPr>
      </w:pPr>
      <w:r>
        <w:rPr>
          <w:rFonts w:eastAsia="Calibri" w:cs="Arial"/>
        </w:rPr>
        <w:t>of the Significantly Excessive Earnings Test</w:t>
      </w:r>
      <w:r>
        <w:rPr>
          <w:rFonts w:eastAsia="Calibri" w:cs="Arial"/>
        </w:rPr>
        <w:tab/>
        <w:t>)</w:t>
      </w:r>
      <w:r>
        <w:rPr>
          <w:rFonts w:eastAsia="Calibri" w:cs="Arial"/>
        </w:rPr>
        <w:tab/>
        <w:t>Case No. 11-4571-EL-UNC</w:t>
      </w:r>
    </w:p>
    <w:p w:rsidR="00D7264A" w:rsidRDefault="00D7264A" w:rsidP="00C667B0">
      <w:pPr>
        <w:tabs>
          <w:tab w:val="left" w:pos="5040"/>
        </w:tabs>
        <w:spacing w:line="240" w:lineRule="auto"/>
        <w:ind w:firstLine="0"/>
        <w:rPr>
          <w:rFonts w:eastAsia="Calibri" w:cs="Arial"/>
        </w:rPr>
      </w:pPr>
      <w:r>
        <w:rPr>
          <w:rFonts w:eastAsia="Calibri" w:cs="Arial"/>
        </w:rPr>
        <w:t>under Section 4928.143(F), Revised Code,</w:t>
      </w:r>
      <w:r>
        <w:rPr>
          <w:rFonts w:eastAsia="Calibri" w:cs="Arial"/>
        </w:rPr>
        <w:tab/>
        <w:t>)</w:t>
      </w:r>
    </w:p>
    <w:p w:rsidR="00D7264A" w:rsidRDefault="00D7264A" w:rsidP="00C667B0">
      <w:pPr>
        <w:tabs>
          <w:tab w:val="left" w:pos="5040"/>
        </w:tabs>
        <w:spacing w:line="240" w:lineRule="auto"/>
        <w:ind w:firstLine="0"/>
        <w:rPr>
          <w:rFonts w:eastAsia="Calibri" w:cs="Arial"/>
        </w:rPr>
      </w:pPr>
      <w:r>
        <w:rPr>
          <w:rFonts w:eastAsia="Calibri" w:cs="Arial"/>
        </w:rPr>
        <w:t>and Rule 4901:1-35-10, Ohio Administrative</w:t>
      </w:r>
      <w:r>
        <w:rPr>
          <w:rFonts w:eastAsia="Calibri" w:cs="Arial"/>
        </w:rPr>
        <w:tab/>
        <w:t>)</w:t>
      </w:r>
    </w:p>
    <w:p w:rsidR="00D7264A" w:rsidRDefault="00D7264A" w:rsidP="00C667B0">
      <w:pPr>
        <w:tabs>
          <w:tab w:val="left" w:pos="5040"/>
        </w:tabs>
        <w:spacing w:line="240" w:lineRule="auto"/>
        <w:ind w:firstLine="0"/>
        <w:rPr>
          <w:rFonts w:eastAsia="Calibri" w:cs="Arial"/>
        </w:rPr>
      </w:pPr>
      <w:r>
        <w:rPr>
          <w:rFonts w:eastAsia="Calibri" w:cs="Arial"/>
        </w:rPr>
        <w:t>Code.</w:t>
      </w:r>
      <w:r>
        <w:rPr>
          <w:rFonts w:eastAsia="Calibri" w:cs="Arial"/>
        </w:rPr>
        <w:tab/>
        <w:t>)</w:t>
      </w:r>
    </w:p>
    <w:p w:rsidR="00D7264A" w:rsidRDefault="00D7264A" w:rsidP="00C667B0">
      <w:pPr>
        <w:tabs>
          <w:tab w:val="left" w:pos="5040"/>
        </w:tabs>
        <w:spacing w:line="240" w:lineRule="auto"/>
        <w:ind w:firstLine="0"/>
        <w:rPr>
          <w:rFonts w:eastAsia="Calibri" w:cs="Arial"/>
        </w:rPr>
      </w:pPr>
    </w:p>
    <w:p w:rsidR="00D7264A" w:rsidRDefault="00D7264A" w:rsidP="00C667B0">
      <w:pPr>
        <w:tabs>
          <w:tab w:val="left" w:pos="5040"/>
        </w:tabs>
        <w:spacing w:line="240" w:lineRule="auto"/>
        <w:ind w:firstLine="0"/>
        <w:rPr>
          <w:rFonts w:eastAsia="Calibri" w:cs="Arial"/>
        </w:rPr>
      </w:pPr>
      <w:r>
        <w:rPr>
          <w:rFonts w:eastAsia="Calibri" w:cs="Arial"/>
        </w:rPr>
        <w:t>In the Matter of the Application of Ohio Power</w:t>
      </w:r>
      <w:r>
        <w:rPr>
          <w:rFonts w:eastAsia="Calibri" w:cs="Arial"/>
        </w:rPr>
        <w:tab/>
        <w:t>)</w:t>
      </w:r>
    </w:p>
    <w:p w:rsidR="00D7264A" w:rsidRDefault="00D7264A" w:rsidP="00C667B0">
      <w:pPr>
        <w:tabs>
          <w:tab w:val="left" w:pos="5040"/>
        </w:tabs>
        <w:spacing w:line="240" w:lineRule="auto"/>
        <w:ind w:firstLine="0"/>
        <w:rPr>
          <w:rFonts w:eastAsia="Calibri" w:cs="Arial"/>
        </w:rPr>
      </w:pPr>
      <w:r>
        <w:rPr>
          <w:rFonts w:eastAsia="Calibri" w:cs="Arial"/>
        </w:rPr>
        <w:t>Company for Administration of the Significantly</w:t>
      </w:r>
      <w:r>
        <w:rPr>
          <w:rFonts w:eastAsia="Calibri" w:cs="Arial"/>
        </w:rPr>
        <w:tab/>
        <w:t>)</w:t>
      </w:r>
    </w:p>
    <w:p w:rsidR="00D7264A" w:rsidRDefault="00D7264A" w:rsidP="00C667B0">
      <w:pPr>
        <w:tabs>
          <w:tab w:val="left" w:pos="5040"/>
        </w:tabs>
        <w:spacing w:line="240" w:lineRule="auto"/>
        <w:ind w:firstLine="0"/>
        <w:rPr>
          <w:rFonts w:eastAsia="Calibri" w:cs="Arial"/>
        </w:rPr>
      </w:pPr>
      <w:r>
        <w:rPr>
          <w:rFonts w:eastAsia="Calibri" w:cs="Arial"/>
        </w:rPr>
        <w:t>Excessive Earnings Test under Section</w:t>
      </w:r>
      <w:r>
        <w:rPr>
          <w:rFonts w:eastAsia="Calibri" w:cs="Arial"/>
        </w:rPr>
        <w:tab/>
        <w:t>)</w:t>
      </w:r>
      <w:r>
        <w:rPr>
          <w:rFonts w:eastAsia="Calibri" w:cs="Arial"/>
        </w:rPr>
        <w:tab/>
        <w:t>Case No. 11-4572-EL-UNC</w:t>
      </w:r>
    </w:p>
    <w:p w:rsidR="00D7264A" w:rsidRDefault="00D7264A" w:rsidP="00C667B0">
      <w:pPr>
        <w:tabs>
          <w:tab w:val="left" w:pos="5040"/>
        </w:tabs>
        <w:spacing w:line="240" w:lineRule="auto"/>
        <w:ind w:firstLine="0"/>
        <w:rPr>
          <w:rFonts w:eastAsia="Calibri" w:cs="Arial"/>
        </w:rPr>
      </w:pPr>
      <w:r>
        <w:rPr>
          <w:rFonts w:eastAsia="Calibri" w:cs="Arial"/>
        </w:rPr>
        <w:t xml:space="preserve">4928.143(F), Revised Code, and Rule </w:t>
      </w:r>
      <w:r>
        <w:rPr>
          <w:rFonts w:eastAsia="Calibri" w:cs="Arial"/>
        </w:rPr>
        <w:tab/>
        <w:t>)</w:t>
      </w:r>
    </w:p>
    <w:p w:rsidR="00D7264A" w:rsidRPr="00C667B0" w:rsidRDefault="00D7264A" w:rsidP="00C667B0">
      <w:pPr>
        <w:tabs>
          <w:tab w:val="left" w:pos="5040"/>
        </w:tabs>
        <w:spacing w:line="240" w:lineRule="auto"/>
        <w:ind w:firstLine="0"/>
        <w:rPr>
          <w:rFonts w:eastAsia="Calibri" w:cs="Arial"/>
        </w:rPr>
      </w:pPr>
      <w:r>
        <w:rPr>
          <w:rFonts w:eastAsia="Calibri" w:cs="Arial"/>
        </w:rPr>
        <w:t>4901:1-35-10, Ohio Administrative Code.</w:t>
      </w:r>
      <w:r>
        <w:rPr>
          <w:rFonts w:eastAsia="Calibri" w:cs="Arial"/>
        </w:rPr>
        <w:tab/>
        <w:t>)</w:t>
      </w:r>
    </w:p>
    <w:p w:rsidR="00C667B0" w:rsidRPr="00C667B0" w:rsidRDefault="00C667B0" w:rsidP="00C667B0">
      <w:pPr>
        <w:tabs>
          <w:tab w:val="left" w:pos="5040"/>
        </w:tabs>
        <w:spacing w:line="240" w:lineRule="auto"/>
        <w:ind w:firstLine="0"/>
        <w:rPr>
          <w:rFonts w:eastAsia="Calibri" w:cs="Arial"/>
        </w:rPr>
      </w:pPr>
    </w:p>
    <w:p w:rsidR="00C667B0" w:rsidRPr="00C667B0" w:rsidRDefault="00C667B0" w:rsidP="00C667B0">
      <w:pPr>
        <w:tabs>
          <w:tab w:val="left" w:pos="5040"/>
        </w:tabs>
        <w:spacing w:line="240" w:lineRule="auto"/>
        <w:ind w:firstLine="0"/>
        <w:rPr>
          <w:rFonts w:eastAsia="Times New Roman" w:cs="Arial"/>
        </w:rPr>
      </w:pPr>
    </w:p>
    <w:p w:rsidR="00C667B0" w:rsidRPr="00C667B0" w:rsidRDefault="00C667B0" w:rsidP="00C667B0">
      <w:pPr>
        <w:pBdr>
          <w:top w:val="single" w:sz="12" w:space="1" w:color="auto"/>
        </w:pBdr>
        <w:tabs>
          <w:tab w:val="left" w:pos="7320"/>
        </w:tabs>
        <w:spacing w:line="240" w:lineRule="auto"/>
        <w:ind w:firstLine="0"/>
        <w:rPr>
          <w:rFonts w:eastAsia="Times New Roman" w:cs="Arial"/>
        </w:rPr>
      </w:pPr>
    </w:p>
    <w:p w:rsidR="00C667B0" w:rsidRPr="00C667B0" w:rsidRDefault="00C667B0" w:rsidP="00C667B0">
      <w:pPr>
        <w:spacing w:line="240" w:lineRule="auto"/>
        <w:ind w:firstLine="0"/>
        <w:jc w:val="center"/>
        <w:rPr>
          <w:rFonts w:eastAsia="Times New Roman" w:cs="Arial"/>
          <w:b/>
          <w:caps/>
        </w:rPr>
      </w:pPr>
      <w:r w:rsidRPr="00E46D54">
        <w:rPr>
          <w:rFonts w:eastAsia="Times New Roman" w:cs="Arial"/>
          <w:b/>
          <w:caps/>
        </w:rPr>
        <w:t>Memorandum in Opposition to Ohio Power Company’s Application for Rehearing and Request for Clarification</w:t>
      </w:r>
    </w:p>
    <w:p w:rsidR="00C667B0" w:rsidRPr="00C667B0" w:rsidRDefault="00C667B0" w:rsidP="00C667B0">
      <w:pPr>
        <w:spacing w:line="240" w:lineRule="auto"/>
        <w:ind w:firstLine="0"/>
        <w:jc w:val="center"/>
        <w:rPr>
          <w:rFonts w:eastAsia="Times New Roman" w:cs="Arial"/>
          <w:b/>
          <w:smallCaps/>
          <w:u w:val="single"/>
        </w:rPr>
      </w:pP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p>
    <w:bookmarkEnd w:id="0"/>
    <w:bookmarkEnd w:id="1"/>
    <w:p w:rsidR="00C667B0" w:rsidRPr="00C667B0" w:rsidRDefault="00C667B0" w:rsidP="00C667B0">
      <w:pPr>
        <w:spacing w:line="240" w:lineRule="auto"/>
        <w:ind w:firstLine="0"/>
        <w:jc w:val="center"/>
        <w:rPr>
          <w:rFonts w:eastAsia="Times New Roman" w:cs="Arial"/>
          <w:b/>
          <w:smallCaps/>
          <w:u w:val="single"/>
        </w:rPr>
      </w:pPr>
    </w:p>
    <w:p w:rsidR="00C667B0" w:rsidRPr="00C667B0" w:rsidRDefault="00C667B0" w:rsidP="00C667B0">
      <w:pPr>
        <w:spacing w:line="240" w:lineRule="auto"/>
        <w:ind w:firstLine="0"/>
        <w:jc w:val="center"/>
        <w:rPr>
          <w:rFonts w:eastAsia="Times New Roman" w:cs="Arial"/>
          <w:b/>
          <w:smallCaps/>
          <w:u w:val="single"/>
        </w:rPr>
      </w:pPr>
    </w:p>
    <w:p w:rsidR="00C667B0" w:rsidRPr="00C667B0" w:rsidRDefault="00C667B0" w:rsidP="00C667B0">
      <w:pPr>
        <w:spacing w:line="240" w:lineRule="auto"/>
        <w:ind w:firstLine="0"/>
        <w:jc w:val="center"/>
        <w:rPr>
          <w:rFonts w:eastAsia="Times New Roman" w:cs="Arial"/>
          <w:b/>
          <w:smallCaps/>
          <w:u w:val="single"/>
        </w:rPr>
      </w:pPr>
    </w:p>
    <w:p w:rsidR="00C667B0" w:rsidRPr="00C667B0" w:rsidRDefault="00C667B0" w:rsidP="00C667B0">
      <w:pPr>
        <w:spacing w:line="240" w:lineRule="auto"/>
        <w:ind w:firstLine="0"/>
        <w:jc w:val="center"/>
        <w:rPr>
          <w:rFonts w:eastAsia="Times New Roman" w:cs="Arial"/>
          <w:b/>
          <w:smallCaps/>
          <w:u w:val="single"/>
        </w:rPr>
      </w:pPr>
    </w:p>
    <w:p w:rsidR="00C667B0" w:rsidRPr="00C667B0" w:rsidRDefault="00C667B0" w:rsidP="00C667B0">
      <w:pPr>
        <w:spacing w:line="240" w:lineRule="auto"/>
        <w:ind w:firstLine="0"/>
        <w:jc w:val="center"/>
        <w:rPr>
          <w:rFonts w:eastAsia="Times New Roman" w:cs="Arial"/>
          <w:b/>
          <w:smallCaps/>
          <w:u w:val="single"/>
        </w:rPr>
      </w:pPr>
    </w:p>
    <w:p w:rsidR="00C667B0" w:rsidRPr="00C667B0" w:rsidRDefault="00C667B0" w:rsidP="00C20F47">
      <w:pPr>
        <w:spacing w:line="240" w:lineRule="auto"/>
        <w:ind w:firstLine="0"/>
        <w:rPr>
          <w:rFonts w:eastAsia="Times New Roman" w:cs="Arial"/>
          <w:b/>
          <w:smallCaps/>
          <w:u w:val="single"/>
        </w:rPr>
      </w:pPr>
    </w:p>
    <w:p w:rsidR="00C667B0" w:rsidRPr="00C667B0" w:rsidRDefault="00C667B0" w:rsidP="00C667B0">
      <w:pPr>
        <w:spacing w:line="240" w:lineRule="auto"/>
        <w:ind w:firstLine="0"/>
        <w:jc w:val="center"/>
        <w:rPr>
          <w:rFonts w:eastAsia="Times New Roman" w:cs="Arial"/>
          <w:b/>
          <w:smallCaps/>
          <w:u w:val="single"/>
        </w:rPr>
      </w:pPr>
    </w:p>
    <w:p w:rsidR="00C667B0" w:rsidRPr="00C667B0" w:rsidRDefault="00C667B0" w:rsidP="00C667B0">
      <w:pPr>
        <w:spacing w:line="240" w:lineRule="auto"/>
        <w:ind w:firstLine="0"/>
        <w:jc w:val="center"/>
        <w:rPr>
          <w:rFonts w:eastAsia="Times New Roman" w:cs="Arial"/>
          <w:b/>
          <w:smallCaps/>
          <w:u w:val="single"/>
        </w:rPr>
      </w:pPr>
    </w:p>
    <w:p w:rsidR="00C667B0" w:rsidRPr="00C667B0" w:rsidRDefault="00C667B0" w:rsidP="00C667B0">
      <w:pPr>
        <w:spacing w:line="240" w:lineRule="auto"/>
        <w:ind w:firstLine="0"/>
        <w:jc w:val="center"/>
        <w:rPr>
          <w:rFonts w:eastAsia="Times New Roman" w:cs="Arial"/>
          <w:b/>
          <w:smallCaps/>
          <w:u w:val="single"/>
        </w:rPr>
      </w:pPr>
    </w:p>
    <w:p w:rsidR="00C667B0" w:rsidRPr="00C667B0" w:rsidRDefault="00C667B0" w:rsidP="00C667B0">
      <w:pPr>
        <w:tabs>
          <w:tab w:val="left" w:pos="4320"/>
          <w:tab w:val="right" w:pos="8640"/>
        </w:tabs>
        <w:spacing w:line="240" w:lineRule="auto"/>
        <w:ind w:firstLine="0"/>
        <w:rPr>
          <w:rFonts w:eastAsia="Times New Roman" w:cs="Arial"/>
        </w:rPr>
      </w:pPr>
      <w:r w:rsidRPr="00C667B0">
        <w:rPr>
          <w:rFonts w:eastAsia="Times New Roman" w:cs="Arial"/>
        </w:rPr>
        <w:tab/>
        <w:t>Samuel C. Randazzo (Counsel of Record)</w:t>
      </w:r>
    </w:p>
    <w:p w:rsidR="00C667B0" w:rsidRPr="00C667B0" w:rsidRDefault="00C667B0" w:rsidP="00C667B0">
      <w:pPr>
        <w:widowControl w:val="0"/>
        <w:tabs>
          <w:tab w:val="left" w:pos="4320"/>
        </w:tabs>
        <w:spacing w:line="240" w:lineRule="auto"/>
        <w:ind w:firstLine="0"/>
        <w:rPr>
          <w:rFonts w:eastAsia="Times New Roman" w:cs="Arial"/>
          <w:bCs/>
        </w:rPr>
      </w:pPr>
      <w:r w:rsidRPr="00C667B0">
        <w:rPr>
          <w:rFonts w:eastAsia="Times New Roman" w:cs="Arial"/>
          <w:bCs/>
        </w:rPr>
        <w:tab/>
        <w:t>Frank P. Darr</w:t>
      </w:r>
    </w:p>
    <w:p w:rsidR="00C667B0" w:rsidRPr="00C667B0" w:rsidRDefault="00C667B0" w:rsidP="00C667B0">
      <w:pPr>
        <w:widowControl w:val="0"/>
        <w:tabs>
          <w:tab w:val="left" w:pos="4320"/>
        </w:tabs>
        <w:spacing w:line="240" w:lineRule="auto"/>
        <w:ind w:firstLine="0"/>
        <w:rPr>
          <w:rFonts w:eastAsia="Times New Roman" w:cs="Arial"/>
          <w:bCs/>
        </w:rPr>
      </w:pPr>
      <w:r w:rsidRPr="00C667B0">
        <w:rPr>
          <w:rFonts w:eastAsia="Times New Roman" w:cs="Arial"/>
          <w:bCs/>
        </w:rPr>
        <w:tab/>
        <w:t>Joseph E. Oliker</w:t>
      </w:r>
    </w:p>
    <w:p w:rsidR="00C667B0" w:rsidRPr="00C667B0" w:rsidRDefault="00C667B0" w:rsidP="00C667B0">
      <w:pPr>
        <w:widowControl w:val="0"/>
        <w:tabs>
          <w:tab w:val="left" w:pos="4320"/>
        </w:tabs>
        <w:spacing w:line="240" w:lineRule="auto"/>
        <w:ind w:firstLine="0"/>
        <w:rPr>
          <w:rFonts w:eastAsia="Times New Roman" w:cs="Arial"/>
          <w:bCs/>
        </w:rPr>
      </w:pPr>
      <w:r w:rsidRPr="00C667B0">
        <w:rPr>
          <w:rFonts w:eastAsia="Times New Roman" w:cs="Arial"/>
          <w:bCs/>
        </w:rPr>
        <w:tab/>
        <w:t>Matthew R. Pritchard</w:t>
      </w:r>
    </w:p>
    <w:p w:rsidR="00C667B0" w:rsidRPr="00C667B0" w:rsidRDefault="00C667B0" w:rsidP="00C667B0">
      <w:pPr>
        <w:widowControl w:val="0"/>
        <w:tabs>
          <w:tab w:val="left" w:pos="4320"/>
        </w:tabs>
        <w:spacing w:line="240" w:lineRule="auto"/>
        <w:ind w:firstLine="0"/>
        <w:rPr>
          <w:rFonts w:eastAsia="Times New Roman" w:cs="Arial"/>
          <w:bCs/>
          <w:smallCaps/>
        </w:rPr>
      </w:pPr>
      <w:r w:rsidRPr="00C667B0">
        <w:rPr>
          <w:rFonts w:eastAsia="Times New Roman" w:cs="Arial"/>
          <w:bCs/>
        </w:rPr>
        <w:tab/>
      </w:r>
      <w:r w:rsidRPr="00C667B0">
        <w:rPr>
          <w:rFonts w:eastAsia="Times New Roman" w:cs="Arial"/>
          <w:bCs/>
          <w:smallCaps/>
        </w:rPr>
        <w:t>McNees Wallace &amp; Nurick LLC</w:t>
      </w:r>
    </w:p>
    <w:p w:rsidR="00C667B0" w:rsidRPr="00C667B0" w:rsidRDefault="00C667B0" w:rsidP="00C667B0">
      <w:pPr>
        <w:widowControl w:val="0"/>
        <w:tabs>
          <w:tab w:val="left" w:pos="4320"/>
        </w:tabs>
        <w:spacing w:line="240" w:lineRule="auto"/>
        <w:ind w:firstLine="0"/>
        <w:rPr>
          <w:rFonts w:eastAsia="Times New Roman" w:cs="Arial"/>
          <w:bCs/>
        </w:rPr>
      </w:pPr>
      <w:r w:rsidRPr="00C667B0">
        <w:rPr>
          <w:rFonts w:eastAsia="Times New Roman" w:cs="Arial"/>
          <w:bCs/>
        </w:rPr>
        <w:tab/>
        <w:t>21 East State Street, 17</w:t>
      </w:r>
      <w:r w:rsidRPr="00C667B0">
        <w:rPr>
          <w:rFonts w:eastAsia="Times New Roman" w:cs="Arial"/>
          <w:bCs/>
          <w:vertAlign w:val="superscript"/>
        </w:rPr>
        <w:t>TH</w:t>
      </w:r>
      <w:r w:rsidRPr="00C667B0">
        <w:rPr>
          <w:rFonts w:eastAsia="Times New Roman" w:cs="Arial"/>
          <w:bCs/>
        </w:rPr>
        <w:t xml:space="preserve"> Floor</w:t>
      </w:r>
    </w:p>
    <w:p w:rsidR="00C667B0" w:rsidRPr="00C667B0" w:rsidRDefault="00C667B0" w:rsidP="00C667B0">
      <w:pPr>
        <w:tabs>
          <w:tab w:val="left" w:pos="4320"/>
        </w:tabs>
        <w:spacing w:line="240" w:lineRule="auto"/>
        <w:ind w:firstLine="0"/>
        <w:rPr>
          <w:rFonts w:eastAsia="Times New Roman" w:cs="Arial"/>
        </w:rPr>
      </w:pPr>
      <w:r w:rsidRPr="00C667B0">
        <w:rPr>
          <w:rFonts w:eastAsia="Times New Roman" w:cs="Arial"/>
        </w:rPr>
        <w:tab/>
        <w:t>Columbus, OH  43215</w:t>
      </w:r>
    </w:p>
    <w:p w:rsidR="00C667B0" w:rsidRPr="00C667B0" w:rsidRDefault="00C667B0" w:rsidP="00C667B0">
      <w:pPr>
        <w:tabs>
          <w:tab w:val="left" w:pos="4320"/>
        </w:tabs>
        <w:spacing w:line="240" w:lineRule="auto"/>
        <w:ind w:firstLine="0"/>
        <w:rPr>
          <w:rFonts w:eastAsia="Times New Roman" w:cs="Arial"/>
        </w:rPr>
      </w:pPr>
      <w:r w:rsidRPr="00C667B0">
        <w:rPr>
          <w:rFonts w:eastAsia="Times New Roman" w:cs="Arial"/>
        </w:rPr>
        <w:tab/>
        <w:t>Telephone:  (614) 469-8000</w:t>
      </w:r>
    </w:p>
    <w:p w:rsidR="00C667B0" w:rsidRPr="00C667B0" w:rsidRDefault="00C667B0" w:rsidP="00C667B0">
      <w:pPr>
        <w:tabs>
          <w:tab w:val="left" w:pos="4320"/>
        </w:tabs>
        <w:spacing w:line="240" w:lineRule="auto"/>
        <w:ind w:firstLine="0"/>
        <w:rPr>
          <w:rFonts w:eastAsia="Times New Roman" w:cs="Arial"/>
        </w:rPr>
      </w:pPr>
      <w:r w:rsidRPr="00C667B0">
        <w:rPr>
          <w:rFonts w:eastAsia="Times New Roman" w:cs="Arial"/>
        </w:rPr>
        <w:tab/>
        <w:t>Telecopier:  (614) 469-4653</w:t>
      </w:r>
    </w:p>
    <w:p w:rsidR="00C667B0" w:rsidRPr="00C667B0" w:rsidRDefault="00C667B0" w:rsidP="00C667B0">
      <w:pPr>
        <w:spacing w:line="240" w:lineRule="auto"/>
        <w:ind w:firstLine="0"/>
        <w:rPr>
          <w:rFonts w:eastAsia="Times New Roman" w:cs="Arial"/>
        </w:rPr>
      </w:pPr>
      <w:r w:rsidRPr="00C667B0">
        <w:rPr>
          <w:rFonts w:eastAsia="Times New Roman" w:cs="Arial"/>
        </w:rPr>
        <w:tab/>
      </w:r>
      <w:r w:rsidRPr="00C667B0">
        <w:rPr>
          <w:rFonts w:eastAsia="Times New Roman" w:cs="Arial"/>
        </w:rPr>
        <w:tab/>
      </w:r>
      <w:r w:rsidRPr="00C667B0">
        <w:rPr>
          <w:rFonts w:eastAsia="Times New Roman" w:cs="Arial"/>
        </w:rPr>
        <w:tab/>
      </w:r>
      <w:r w:rsidRPr="00C667B0">
        <w:rPr>
          <w:rFonts w:eastAsia="Times New Roman" w:cs="Arial"/>
        </w:rPr>
        <w:tab/>
      </w:r>
      <w:r w:rsidRPr="00C667B0">
        <w:rPr>
          <w:rFonts w:eastAsia="Times New Roman" w:cs="Arial"/>
        </w:rPr>
        <w:tab/>
      </w:r>
      <w:r w:rsidRPr="00C667B0">
        <w:rPr>
          <w:rFonts w:eastAsia="Times New Roman" w:cs="Arial"/>
        </w:rPr>
        <w:tab/>
        <w:t>sam@mwncmh.com</w:t>
      </w:r>
    </w:p>
    <w:p w:rsidR="00C667B0" w:rsidRPr="00C667B0" w:rsidRDefault="00C667B0" w:rsidP="00C667B0">
      <w:pPr>
        <w:spacing w:line="240" w:lineRule="auto"/>
        <w:ind w:firstLine="0"/>
        <w:rPr>
          <w:rFonts w:eastAsia="Times New Roman" w:cs="Arial"/>
        </w:rPr>
      </w:pPr>
      <w:r w:rsidRPr="00C667B0">
        <w:rPr>
          <w:rFonts w:eastAsia="Times New Roman" w:cs="Arial"/>
        </w:rPr>
        <w:tab/>
      </w:r>
      <w:r w:rsidRPr="00C667B0">
        <w:rPr>
          <w:rFonts w:eastAsia="Times New Roman" w:cs="Arial"/>
        </w:rPr>
        <w:tab/>
      </w:r>
      <w:r w:rsidRPr="00C667B0">
        <w:rPr>
          <w:rFonts w:eastAsia="Times New Roman" w:cs="Arial"/>
        </w:rPr>
        <w:tab/>
      </w:r>
      <w:r w:rsidRPr="00C667B0">
        <w:rPr>
          <w:rFonts w:eastAsia="Times New Roman" w:cs="Arial"/>
        </w:rPr>
        <w:tab/>
      </w:r>
      <w:r w:rsidRPr="00C667B0">
        <w:rPr>
          <w:rFonts w:eastAsia="Times New Roman" w:cs="Arial"/>
        </w:rPr>
        <w:tab/>
      </w:r>
      <w:r w:rsidRPr="00C667B0">
        <w:rPr>
          <w:rFonts w:eastAsia="Times New Roman" w:cs="Arial"/>
        </w:rPr>
        <w:tab/>
        <w:t>fdarr@mwncmh.com</w:t>
      </w:r>
    </w:p>
    <w:p w:rsidR="00C667B0" w:rsidRPr="00C667B0" w:rsidRDefault="00C667B0" w:rsidP="00C667B0">
      <w:pPr>
        <w:spacing w:line="240" w:lineRule="auto"/>
        <w:ind w:firstLine="0"/>
        <w:rPr>
          <w:rFonts w:eastAsia="Times New Roman" w:cs="Arial"/>
        </w:rPr>
      </w:pPr>
      <w:r w:rsidRPr="00C667B0">
        <w:rPr>
          <w:rFonts w:eastAsia="Times New Roman" w:cs="Arial"/>
        </w:rPr>
        <w:tab/>
      </w:r>
      <w:r w:rsidRPr="00C667B0">
        <w:rPr>
          <w:rFonts w:eastAsia="Times New Roman" w:cs="Arial"/>
        </w:rPr>
        <w:tab/>
      </w:r>
      <w:r w:rsidRPr="00C667B0">
        <w:rPr>
          <w:rFonts w:eastAsia="Times New Roman" w:cs="Arial"/>
        </w:rPr>
        <w:tab/>
      </w:r>
      <w:r w:rsidRPr="00C667B0">
        <w:rPr>
          <w:rFonts w:eastAsia="Times New Roman" w:cs="Arial"/>
        </w:rPr>
        <w:tab/>
      </w:r>
      <w:r w:rsidRPr="00C667B0">
        <w:rPr>
          <w:rFonts w:eastAsia="Times New Roman" w:cs="Arial"/>
        </w:rPr>
        <w:tab/>
      </w:r>
      <w:r w:rsidRPr="00C667B0">
        <w:rPr>
          <w:rFonts w:eastAsia="Times New Roman" w:cs="Arial"/>
        </w:rPr>
        <w:tab/>
        <w:t>joliker@mwncmh.com</w:t>
      </w:r>
    </w:p>
    <w:p w:rsidR="00C667B0" w:rsidRPr="00C667B0" w:rsidRDefault="00C667B0" w:rsidP="00C667B0">
      <w:pPr>
        <w:spacing w:line="240" w:lineRule="auto"/>
        <w:ind w:firstLine="0"/>
        <w:rPr>
          <w:rFonts w:eastAsia="Times New Roman" w:cs="Arial"/>
        </w:rPr>
      </w:pPr>
      <w:r w:rsidRPr="00C667B0">
        <w:rPr>
          <w:rFonts w:eastAsia="Times New Roman" w:cs="Arial"/>
        </w:rPr>
        <w:tab/>
      </w:r>
      <w:r w:rsidRPr="00C667B0">
        <w:rPr>
          <w:rFonts w:eastAsia="Times New Roman" w:cs="Arial"/>
        </w:rPr>
        <w:tab/>
      </w:r>
      <w:r w:rsidRPr="00C667B0">
        <w:rPr>
          <w:rFonts w:eastAsia="Times New Roman" w:cs="Arial"/>
        </w:rPr>
        <w:tab/>
      </w:r>
      <w:r w:rsidRPr="00C667B0">
        <w:rPr>
          <w:rFonts w:eastAsia="Times New Roman" w:cs="Arial"/>
        </w:rPr>
        <w:tab/>
      </w:r>
      <w:r w:rsidRPr="00C667B0">
        <w:rPr>
          <w:rFonts w:eastAsia="Times New Roman" w:cs="Arial"/>
        </w:rPr>
        <w:tab/>
      </w:r>
      <w:r w:rsidRPr="00C667B0">
        <w:rPr>
          <w:rFonts w:eastAsia="Times New Roman" w:cs="Arial"/>
        </w:rPr>
        <w:tab/>
        <w:t>mpritchard@mwncmh.com</w:t>
      </w:r>
    </w:p>
    <w:p w:rsidR="00C667B0" w:rsidRPr="00C667B0" w:rsidRDefault="00C667B0" w:rsidP="00C667B0">
      <w:pPr>
        <w:spacing w:line="240" w:lineRule="auto"/>
        <w:ind w:firstLine="0"/>
        <w:rPr>
          <w:rFonts w:eastAsia="Times New Roman" w:cs="Arial"/>
        </w:rPr>
      </w:pPr>
    </w:p>
    <w:p w:rsidR="00C667B0" w:rsidRPr="00C667B0" w:rsidRDefault="00793AEB" w:rsidP="00C667B0">
      <w:pPr>
        <w:spacing w:line="240" w:lineRule="auto"/>
        <w:ind w:firstLine="0"/>
        <w:jc w:val="left"/>
        <w:rPr>
          <w:rFonts w:eastAsia="Times New Roman" w:cs="Arial"/>
          <w:b/>
        </w:rPr>
      </w:pPr>
      <w:r>
        <w:rPr>
          <w:rFonts w:eastAsia="Times New Roman" w:cs="Arial"/>
          <w:b/>
        </w:rPr>
        <w:t>December 2, 2013</w:t>
      </w:r>
      <w:r w:rsidR="00C667B0" w:rsidRPr="00C667B0">
        <w:rPr>
          <w:rFonts w:eastAsia="Times New Roman" w:cs="Arial"/>
          <w:b/>
        </w:rPr>
        <w:tab/>
      </w:r>
      <w:r w:rsidR="00C667B0" w:rsidRPr="00C667B0">
        <w:rPr>
          <w:rFonts w:eastAsia="Times New Roman" w:cs="Arial"/>
          <w:b/>
        </w:rPr>
        <w:tab/>
      </w:r>
      <w:r w:rsidR="00C667B0" w:rsidRPr="00C667B0">
        <w:rPr>
          <w:rFonts w:eastAsia="Times New Roman" w:cs="Arial"/>
          <w:b/>
        </w:rPr>
        <w:tab/>
      </w:r>
      <w:r w:rsidR="00C667B0" w:rsidRPr="00C667B0">
        <w:rPr>
          <w:rFonts w:eastAsia="Times New Roman" w:cs="Arial"/>
          <w:b/>
        </w:rPr>
        <w:tab/>
        <w:t>Attorneys for Industrial Energy Users-Ohio</w:t>
      </w:r>
    </w:p>
    <w:p w:rsidR="00C667B0" w:rsidRPr="00C667B0" w:rsidRDefault="00C667B0" w:rsidP="00C667B0">
      <w:pPr>
        <w:spacing w:line="240" w:lineRule="auto"/>
        <w:ind w:firstLine="0"/>
        <w:jc w:val="center"/>
        <w:rPr>
          <w:rFonts w:eastAsia="Times New Roman" w:cs="Arial"/>
          <w:b/>
          <w:smallCaps/>
        </w:rPr>
        <w:sectPr w:rsidR="00C667B0" w:rsidRPr="00C667B0" w:rsidSect="00C667B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26"/>
        </w:sectPr>
      </w:pPr>
    </w:p>
    <w:p w:rsidR="00E46D54" w:rsidRPr="00C667B0" w:rsidRDefault="00E46D54" w:rsidP="00E46D54">
      <w:pPr>
        <w:spacing w:line="240" w:lineRule="auto"/>
        <w:ind w:firstLine="0"/>
        <w:jc w:val="center"/>
        <w:rPr>
          <w:rFonts w:eastAsia="Times New Roman" w:cs="Arial"/>
          <w:b/>
          <w:smallCaps/>
        </w:rPr>
      </w:pPr>
      <w:r w:rsidRPr="00C667B0">
        <w:rPr>
          <w:rFonts w:eastAsia="Times New Roman" w:cs="Arial"/>
          <w:b/>
          <w:smallCaps/>
        </w:rPr>
        <w:lastRenderedPageBreak/>
        <w:t>Before</w:t>
      </w:r>
    </w:p>
    <w:p w:rsidR="00E46D54" w:rsidRPr="00C667B0" w:rsidRDefault="00E46D54" w:rsidP="00E46D54">
      <w:pPr>
        <w:spacing w:line="240" w:lineRule="auto"/>
        <w:ind w:firstLine="0"/>
        <w:jc w:val="center"/>
        <w:rPr>
          <w:rFonts w:eastAsia="Times New Roman" w:cs="Arial"/>
          <w:b/>
          <w:smallCaps/>
        </w:rPr>
      </w:pPr>
      <w:r w:rsidRPr="00C667B0">
        <w:rPr>
          <w:rFonts w:eastAsia="Times New Roman" w:cs="Arial"/>
          <w:b/>
          <w:smallCaps/>
        </w:rPr>
        <w:t>The Public Utilities Commission of Ohio</w:t>
      </w:r>
    </w:p>
    <w:p w:rsidR="00E46D54" w:rsidRPr="00C667B0" w:rsidRDefault="00E46D54" w:rsidP="00E46D54">
      <w:pPr>
        <w:autoSpaceDE w:val="0"/>
        <w:autoSpaceDN w:val="0"/>
        <w:adjustRightInd w:val="0"/>
        <w:spacing w:line="240" w:lineRule="auto"/>
        <w:ind w:firstLine="0"/>
        <w:jc w:val="left"/>
        <w:rPr>
          <w:rFonts w:eastAsia="Calibri" w:cs="Arial"/>
        </w:rPr>
      </w:pPr>
    </w:p>
    <w:p w:rsidR="00D7264A" w:rsidRDefault="00D7264A" w:rsidP="00D7264A">
      <w:pPr>
        <w:tabs>
          <w:tab w:val="left" w:pos="5040"/>
        </w:tabs>
        <w:spacing w:line="240" w:lineRule="auto"/>
        <w:ind w:firstLine="0"/>
        <w:rPr>
          <w:rFonts w:eastAsia="Calibri" w:cs="Arial"/>
        </w:rPr>
      </w:pPr>
      <w:r>
        <w:rPr>
          <w:rFonts w:eastAsia="Calibri" w:cs="Arial"/>
        </w:rPr>
        <w:t xml:space="preserve">In the Matter of the Application of Columbus </w:t>
      </w:r>
      <w:r>
        <w:rPr>
          <w:rFonts w:eastAsia="Calibri" w:cs="Arial"/>
        </w:rPr>
        <w:tab/>
        <w:t>)</w:t>
      </w:r>
    </w:p>
    <w:p w:rsidR="00D7264A" w:rsidRDefault="00D7264A" w:rsidP="00D7264A">
      <w:pPr>
        <w:tabs>
          <w:tab w:val="left" w:pos="5040"/>
        </w:tabs>
        <w:spacing w:line="240" w:lineRule="auto"/>
        <w:ind w:firstLine="0"/>
        <w:rPr>
          <w:rFonts w:eastAsia="Calibri" w:cs="Arial"/>
        </w:rPr>
      </w:pPr>
      <w:r>
        <w:rPr>
          <w:rFonts w:eastAsia="Calibri" w:cs="Arial"/>
        </w:rPr>
        <w:t xml:space="preserve">Southern Power Company for Administration </w:t>
      </w:r>
      <w:r>
        <w:rPr>
          <w:rFonts w:eastAsia="Calibri" w:cs="Arial"/>
        </w:rPr>
        <w:tab/>
        <w:t>)</w:t>
      </w:r>
    </w:p>
    <w:p w:rsidR="00D7264A" w:rsidRDefault="00D7264A" w:rsidP="00D7264A">
      <w:pPr>
        <w:tabs>
          <w:tab w:val="left" w:pos="5040"/>
        </w:tabs>
        <w:spacing w:line="240" w:lineRule="auto"/>
        <w:ind w:firstLine="0"/>
        <w:rPr>
          <w:rFonts w:eastAsia="Calibri" w:cs="Arial"/>
        </w:rPr>
      </w:pPr>
      <w:r>
        <w:rPr>
          <w:rFonts w:eastAsia="Calibri" w:cs="Arial"/>
        </w:rPr>
        <w:t>of the Significantly Excessive Earnings Test</w:t>
      </w:r>
      <w:r>
        <w:rPr>
          <w:rFonts w:eastAsia="Calibri" w:cs="Arial"/>
        </w:rPr>
        <w:tab/>
        <w:t>)</w:t>
      </w:r>
      <w:r>
        <w:rPr>
          <w:rFonts w:eastAsia="Calibri" w:cs="Arial"/>
        </w:rPr>
        <w:tab/>
        <w:t>Case No. 11-4571-EL-UNC</w:t>
      </w:r>
    </w:p>
    <w:p w:rsidR="00D7264A" w:rsidRDefault="00D7264A" w:rsidP="00D7264A">
      <w:pPr>
        <w:tabs>
          <w:tab w:val="left" w:pos="5040"/>
        </w:tabs>
        <w:spacing w:line="240" w:lineRule="auto"/>
        <w:ind w:firstLine="0"/>
        <w:rPr>
          <w:rFonts w:eastAsia="Calibri" w:cs="Arial"/>
        </w:rPr>
      </w:pPr>
      <w:r>
        <w:rPr>
          <w:rFonts w:eastAsia="Calibri" w:cs="Arial"/>
        </w:rPr>
        <w:t>under Section 4928.143(F), Revised Code,</w:t>
      </w:r>
      <w:r>
        <w:rPr>
          <w:rFonts w:eastAsia="Calibri" w:cs="Arial"/>
        </w:rPr>
        <w:tab/>
        <w:t>)</w:t>
      </w:r>
    </w:p>
    <w:p w:rsidR="00D7264A" w:rsidRDefault="00D7264A" w:rsidP="00D7264A">
      <w:pPr>
        <w:tabs>
          <w:tab w:val="left" w:pos="5040"/>
        </w:tabs>
        <w:spacing w:line="240" w:lineRule="auto"/>
        <w:ind w:firstLine="0"/>
        <w:rPr>
          <w:rFonts w:eastAsia="Calibri" w:cs="Arial"/>
        </w:rPr>
      </w:pPr>
      <w:r>
        <w:rPr>
          <w:rFonts w:eastAsia="Calibri" w:cs="Arial"/>
        </w:rPr>
        <w:t>and Rule 4901:1-35-10, Ohio Administrative</w:t>
      </w:r>
      <w:r>
        <w:rPr>
          <w:rFonts w:eastAsia="Calibri" w:cs="Arial"/>
        </w:rPr>
        <w:tab/>
        <w:t>)</w:t>
      </w:r>
    </w:p>
    <w:p w:rsidR="00D7264A" w:rsidRDefault="00D7264A" w:rsidP="00D7264A">
      <w:pPr>
        <w:tabs>
          <w:tab w:val="left" w:pos="5040"/>
        </w:tabs>
        <w:spacing w:line="240" w:lineRule="auto"/>
        <w:ind w:firstLine="0"/>
        <w:rPr>
          <w:rFonts w:eastAsia="Calibri" w:cs="Arial"/>
        </w:rPr>
      </w:pPr>
      <w:r>
        <w:rPr>
          <w:rFonts w:eastAsia="Calibri" w:cs="Arial"/>
        </w:rPr>
        <w:t>Code.</w:t>
      </w:r>
      <w:r>
        <w:rPr>
          <w:rFonts w:eastAsia="Calibri" w:cs="Arial"/>
        </w:rPr>
        <w:tab/>
        <w:t>)</w:t>
      </w:r>
    </w:p>
    <w:p w:rsidR="00D7264A" w:rsidRDefault="00D7264A" w:rsidP="00D7264A">
      <w:pPr>
        <w:tabs>
          <w:tab w:val="left" w:pos="5040"/>
        </w:tabs>
        <w:spacing w:line="240" w:lineRule="auto"/>
        <w:ind w:firstLine="0"/>
        <w:rPr>
          <w:rFonts w:eastAsia="Calibri" w:cs="Arial"/>
        </w:rPr>
      </w:pPr>
    </w:p>
    <w:p w:rsidR="00D7264A" w:rsidRDefault="00D7264A" w:rsidP="00D7264A">
      <w:pPr>
        <w:tabs>
          <w:tab w:val="left" w:pos="5040"/>
        </w:tabs>
        <w:spacing w:line="240" w:lineRule="auto"/>
        <w:ind w:firstLine="0"/>
        <w:rPr>
          <w:rFonts w:eastAsia="Calibri" w:cs="Arial"/>
        </w:rPr>
      </w:pPr>
      <w:r>
        <w:rPr>
          <w:rFonts w:eastAsia="Calibri" w:cs="Arial"/>
        </w:rPr>
        <w:t>In the Matter of the Application of Ohio Power</w:t>
      </w:r>
      <w:r>
        <w:rPr>
          <w:rFonts w:eastAsia="Calibri" w:cs="Arial"/>
        </w:rPr>
        <w:tab/>
        <w:t>)</w:t>
      </w:r>
    </w:p>
    <w:p w:rsidR="00D7264A" w:rsidRDefault="00D7264A" w:rsidP="00D7264A">
      <w:pPr>
        <w:tabs>
          <w:tab w:val="left" w:pos="5040"/>
        </w:tabs>
        <w:spacing w:line="240" w:lineRule="auto"/>
        <w:ind w:firstLine="0"/>
        <w:rPr>
          <w:rFonts w:eastAsia="Calibri" w:cs="Arial"/>
        </w:rPr>
      </w:pPr>
      <w:r>
        <w:rPr>
          <w:rFonts w:eastAsia="Calibri" w:cs="Arial"/>
        </w:rPr>
        <w:t>Company for Administration of the Significantly</w:t>
      </w:r>
      <w:r>
        <w:rPr>
          <w:rFonts w:eastAsia="Calibri" w:cs="Arial"/>
        </w:rPr>
        <w:tab/>
        <w:t>)</w:t>
      </w:r>
    </w:p>
    <w:p w:rsidR="00D7264A" w:rsidRDefault="00D7264A" w:rsidP="00D7264A">
      <w:pPr>
        <w:tabs>
          <w:tab w:val="left" w:pos="5040"/>
        </w:tabs>
        <w:spacing w:line="240" w:lineRule="auto"/>
        <w:ind w:firstLine="0"/>
        <w:rPr>
          <w:rFonts w:eastAsia="Calibri" w:cs="Arial"/>
        </w:rPr>
      </w:pPr>
      <w:r>
        <w:rPr>
          <w:rFonts w:eastAsia="Calibri" w:cs="Arial"/>
        </w:rPr>
        <w:t>Excessive Earnings Test under Section</w:t>
      </w:r>
      <w:r>
        <w:rPr>
          <w:rFonts w:eastAsia="Calibri" w:cs="Arial"/>
        </w:rPr>
        <w:tab/>
        <w:t>)</w:t>
      </w:r>
      <w:r>
        <w:rPr>
          <w:rFonts w:eastAsia="Calibri" w:cs="Arial"/>
        </w:rPr>
        <w:tab/>
        <w:t>Case No. 11-4572-EL-UNC</w:t>
      </w:r>
    </w:p>
    <w:p w:rsidR="00D7264A" w:rsidRDefault="00D7264A" w:rsidP="00D7264A">
      <w:pPr>
        <w:tabs>
          <w:tab w:val="left" w:pos="5040"/>
        </w:tabs>
        <w:spacing w:line="240" w:lineRule="auto"/>
        <w:ind w:firstLine="0"/>
        <w:rPr>
          <w:rFonts w:eastAsia="Calibri" w:cs="Arial"/>
        </w:rPr>
      </w:pPr>
      <w:r>
        <w:rPr>
          <w:rFonts w:eastAsia="Calibri" w:cs="Arial"/>
        </w:rPr>
        <w:t xml:space="preserve">4928.143(F), Revised Code, and Rule </w:t>
      </w:r>
      <w:r>
        <w:rPr>
          <w:rFonts w:eastAsia="Calibri" w:cs="Arial"/>
        </w:rPr>
        <w:tab/>
        <w:t>)</w:t>
      </w:r>
    </w:p>
    <w:p w:rsidR="00D7264A" w:rsidRPr="00C667B0" w:rsidRDefault="00D7264A" w:rsidP="00D7264A">
      <w:pPr>
        <w:tabs>
          <w:tab w:val="left" w:pos="5040"/>
        </w:tabs>
        <w:spacing w:line="240" w:lineRule="auto"/>
        <w:ind w:firstLine="0"/>
        <w:rPr>
          <w:rFonts w:eastAsia="Calibri" w:cs="Arial"/>
        </w:rPr>
      </w:pPr>
      <w:r>
        <w:rPr>
          <w:rFonts w:eastAsia="Calibri" w:cs="Arial"/>
        </w:rPr>
        <w:t>4901:1-35-10, Ohio Administrative Code.</w:t>
      </w:r>
      <w:r>
        <w:rPr>
          <w:rFonts w:eastAsia="Calibri" w:cs="Arial"/>
        </w:rPr>
        <w:tab/>
        <w:t>)</w:t>
      </w:r>
    </w:p>
    <w:p w:rsidR="00E46D54" w:rsidRPr="00C667B0" w:rsidRDefault="00E46D54" w:rsidP="00E46D54">
      <w:pPr>
        <w:tabs>
          <w:tab w:val="left" w:pos="5040"/>
        </w:tabs>
        <w:spacing w:line="240" w:lineRule="auto"/>
        <w:ind w:firstLine="0"/>
        <w:rPr>
          <w:rFonts w:eastAsia="Calibri" w:cs="Arial"/>
        </w:rPr>
      </w:pPr>
    </w:p>
    <w:p w:rsidR="00E46D54" w:rsidRPr="00C667B0" w:rsidRDefault="00E46D54" w:rsidP="00E46D54">
      <w:pPr>
        <w:tabs>
          <w:tab w:val="left" w:pos="5040"/>
        </w:tabs>
        <w:spacing w:line="240" w:lineRule="auto"/>
        <w:ind w:firstLine="0"/>
        <w:rPr>
          <w:rFonts w:eastAsia="Times New Roman" w:cs="Arial"/>
        </w:rPr>
      </w:pPr>
    </w:p>
    <w:p w:rsidR="00E46D54" w:rsidRPr="00C667B0" w:rsidRDefault="00E46D54" w:rsidP="00E46D54">
      <w:pPr>
        <w:pBdr>
          <w:top w:val="single" w:sz="12" w:space="1" w:color="auto"/>
        </w:pBdr>
        <w:tabs>
          <w:tab w:val="left" w:pos="7320"/>
        </w:tabs>
        <w:spacing w:line="240" w:lineRule="auto"/>
        <w:ind w:firstLine="0"/>
        <w:rPr>
          <w:rFonts w:eastAsia="Times New Roman" w:cs="Arial"/>
        </w:rPr>
      </w:pPr>
    </w:p>
    <w:p w:rsidR="00E46D54" w:rsidRPr="00C667B0" w:rsidRDefault="00E46D54" w:rsidP="00E46D54">
      <w:pPr>
        <w:spacing w:line="240" w:lineRule="auto"/>
        <w:ind w:firstLine="0"/>
        <w:jc w:val="center"/>
        <w:rPr>
          <w:rFonts w:eastAsia="Times New Roman" w:cs="Arial"/>
          <w:b/>
          <w:caps/>
        </w:rPr>
      </w:pPr>
      <w:r w:rsidRPr="00E46D54">
        <w:rPr>
          <w:rFonts w:eastAsia="Times New Roman" w:cs="Arial"/>
          <w:b/>
          <w:caps/>
        </w:rPr>
        <w:t>Memorandum in Opposition to Ohio Power Company’s Application for Rehearing and Request for Clarification</w:t>
      </w:r>
    </w:p>
    <w:p w:rsidR="00E46D54" w:rsidRPr="00C667B0" w:rsidRDefault="00E46D54" w:rsidP="00E46D54">
      <w:pPr>
        <w:spacing w:line="240" w:lineRule="auto"/>
        <w:ind w:firstLine="0"/>
        <w:jc w:val="center"/>
        <w:rPr>
          <w:rFonts w:eastAsia="Times New Roman" w:cs="Arial"/>
          <w:b/>
          <w:smallCaps/>
          <w:u w:val="single"/>
        </w:rPr>
      </w:pP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r w:rsidRPr="00C667B0">
        <w:rPr>
          <w:rFonts w:eastAsia="Times New Roman" w:cs="Arial"/>
          <w:b/>
          <w:smallCaps/>
          <w:u w:val="single"/>
        </w:rPr>
        <w:tab/>
      </w:r>
    </w:p>
    <w:p w:rsidR="00E46D54" w:rsidRPr="00C667B0" w:rsidRDefault="00E46D54" w:rsidP="00E46D54">
      <w:pPr>
        <w:spacing w:line="240" w:lineRule="auto"/>
        <w:ind w:firstLine="0"/>
        <w:jc w:val="center"/>
        <w:rPr>
          <w:rFonts w:eastAsia="Times New Roman" w:cs="Arial"/>
          <w:b/>
          <w:smallCaps/>
          <w:u w:val="single"/>
        </w:rPr>
      </w:pPr>
    </w:p>
    <w:p w:rsidR="00E46D54" w:rsidRPr="00C667B0" w:rsidRDefault="00E46D54" w:rsidP="00E46D54">
      <w:pPr>
        <w:spacing w:line="240" w:lineRule="auto"/>
        <w:ind w:firstLine="0"/>
        <w:jc w:val="center"/>
        <w:rPr>
          <w:rFonts w:eastAsia="Times New Roman" w:cs="Arial"/>
          <w:b/>
          <w:smallCaps/>
          <w:u w:val="single"/>
        </w:rPr>
      </w:pPr>
    </w:p>
    <w:p w:rsidR="00944E7D" w:rsidRPr="00E46D54" w:rsidRDefault="00944E7D" w:rsidP="008C05CB">
      <w:pPr>
        <w:pStyle w:val="Heading1"/>
        <w:rPr>
          <w:rFonts w:eastAsia="Times New Roman"/>
          <w:szCs w:val="24"/>
        </w:rPr>
      </w:pPr>
      <w:r w:rsidRPr="00E46D54">
        <w:rPr>
          <w:rFonts w:eastAsia="Times New Roman"/>
          <w:szCs w:val="24"/>
        </w:rPr>
        <w:t>Introduction</w:t>
      </w:r>
    </w:p>
    <w:p w:rsidR="00944E7D" w:rsidRPr="00E46D54" w:rsidRDefault="00085CC3" w:rsidP="00085CC3">
      <w:pPr>
        <w:rPr>
          <w:rFonts w:eastAsia="Times New Roman" w:cs="Arial"/>
        </w:rPr>
      </w:pPr>
      <w:r w:rsidRPr="00E46D54">
        <w:rPr>
          <w:rFonts w:eastAsia="Times New Roman" w:cs="Arial"/>
        </w:rPr>
        <w:t>Columbus Southern Power Company (“CSP” or “AEP-Ohio”)</w:t>
      </w:r>
      <w:r w:rsidRPr="00E46D54">
        <w:rPr>
          <w:rStyle w:val="FootnoteReference"/>
          <w:rFonts w:eastAsia="Times New Roman" w:cs="Arial"/>
        </w:rPr>
        <w:footnoteReference w:id="1"/>
      </w:r>
      <w:r w:rsidRPr="00E46D54">
        <w:rPr>
          <w:rFonts w:eastAsia="Times New Roman" w:cs="Arial"/>
        </w:rPr>
        <w:t xml:space="preserve"> </w:t>
      </w:r>
      <w:r>
        <w:rPr>
          <w:rFonts w:eastAsia="Times New Roman" w:cs="Arial"/>
        </w:rPr>
        <w:t xml:space="preserve">seeks rehearing </w:t>
      </w:r>
      <w:r w:rsidR="00CA1129">
        <w:rPr>
          <w:rFonts w:eastAsia="Times New Roman" w:cs="Arial"/>
        </w:rPr>
        <w:t xml:space="preserve">and </w:t>
      </w:r>
      <w:r>
        <w:rPr>
          <w:rFonts w:eastAsia="Times New Roman" w:cs="Arial"/>
        </w:rPr>
        <w:t>clarification of prior final orders of t</w:t>
      </w:r>
      <w:r w:rsidR="008C05CB" w:rsidRPr="00E46D54">
        <w:rPr>
          <w:rFonts w:eastAsia="Times New Roman" w:cs="Arial"/>
        </w:rPr>
        <w:t>he Public Utilities Commission of Ohio (“Commission”)</w:t>
      </w:r>
      <w:r>
        <w:rPr>
          <w:rFonts w:eastAsia="Times New Roman" w:cs="Arial"/>
        </w:rPr>
        <w:t xml:space="preserve"> requiring AEP-Ohio to make a</w:t>
      </w:r>
      <w:r w:rsidR="00C73C3C">
        <w:rPr>
          <w:rFonts w:eastAsia="Times New Roman" w:cs="Arial"/>
        </w:rPr>
        <w:t>n</w:t>
      </w:r>
      <w:r>
        <w:rPr>
          <w:rFonts w:eastAsia="Times New Roman" w:cs="Arial"/>
        </w:rPr>
        <w:t xml:space="preserve"> acceptable $20 million investment by the end of 2013.  The Commission should deny </w:t>
      </w:r>
      <w:r w:rsidR="008C05CB" w:rsidRPr="00E46D54">
        <w:rPr>
          <w:rFonts w:eastAsia="Times New Roman" w:cs="Arial"/>
        </w:rPr>
        <w:t xml:space="preserve">the request for rehearing </w:t>
      </w:r>
      <w:r w:rsidR="00F4209B">
        <w:rPr>
          <w:rFonts w:eastAsia="Times New Roman" w:cs="Arial"/>
        </w:rPr>
        <w:t>and</w:t>
      </w:r>
      <w:r w:rsidR="008C05CB" w:rsidRPr="00E46D54">
        <w:rPr>
          <w:rFonts w:eastAsia="Times New Roman" w:cs="Arial"/>
        </w:rPr>
        <w:t xml:space="preserve"> clarification because AEP-Ohio</w:t>
      </w:r>
      <w:r>
        <w:rPr>
          <w:rFonts w:eastAsia="Times New Roman" w:cs="Arial"/>
        </w:rPr>
        <w:t xml:space="preserve"> seeks to collaterally attack prior </w:t>
      </w:r>
      <w:r w:rsidR="008C05CB" w:rsidRPr="00E46D54">
        <w:rPr>
          <w:rFonts w:eastAsia="Times New Roman" w:cs="Arial"/>
        </w:rPr>
        <w:t>final order</w:t>
      </w:r>
      <w:r>
        <w:rPr>
          <w:rFonts w:eastAsia="Times New Roman" w:cs="Arial"/>
        </w:rPr>
        <w:t>s</w:t>
      </w:r>
      <w:r w:rsidR="008C05CB" w:rsidRPr="00E46D54">
        <w:rPr>
          <w:rFonts w:eastAsia="Times New Roman" w:cs="Arial"/>
        </w:rPr>
        <w:t xml:space="preserve"> of the Commission</w:t>
      </w:r>
      <w:r w:rsidR="00C555B5">
        <w:rPr>
          <w:rFonts w:eastAsia="Times New Roman" w:cs="Arial"/>
        </w:rPr>
        <w:t>.  If</w:t>
      </w:r>
      <w:r w:rsidR="008C05CB" w:rsidRPr="00E46D54">
        <w:rPr>
          <w:rFonts w:eastAsia="Times New Roman" w:cs="Arial"/>
        </w:rPr>
        <w:t xml:space="preserve"> the Commission </w:t>
      </w:r>
      <w:r w:rsidR="00C555B5">
        <w:rPr>
          <w:rFonts w:eastAsia="Times New Roman" w:cs="Arial"/>
        </w:rPr>
        <w:t>grants</w:t>
      </w:r>
      <w:r w:rsidR="008C05CB" w:rsidRPr="00E46D54">
        <w:rPr>
          <w:rFonts w:eastAsia="Times New Roman" w:cs="Arial"/>
        </w:rPr>
        <w:t xml:space="preserve"> rehearing</w:t>
      </w:r>
      <w:r w:rsidR="00C555B5">
        <w:rPr>
          <w:rFonts w:eastAsia="Times New Roman" w:cs="Arial"/>
        </w:rPr>
        <w:t>,</w:t>
      </w:r>
      <w:r w:rsidR="008C05CB" w:rsidRPr="00E46D54">
        <w:rPr>
          <w:rFonts w:eastAsia="Times New Roman" w:cs="Arial"/>
        </w:rPr>
        <w:t xml:space="preserve"> </w:t>
      </w:r>
      <w:r w:rsidR="00C555B5">
        <w:rPr>
          <w:rFonts w:eastAsia="Times New Roman" w:cs="Arial"/>
        </w:rPr>
        <w:t>it should</w:t>
      </w:r>
      <w:r w:rsidR="008C05CB" w:rsidRPr="00E46D54">
        <w:rPr>
          <w:rFonts w:eastAsia="Times New Roman" w:cs="Arial"/>
        </w:rPr>
        <w:t xml:space="preserve"> order AEP-Ohio to return $20 million and interest to customers</w:t>
      </w:r>
      <w:r w:rsidR="00EC7142">
        <w:rPr>
          <w:rFonts w:eastAsia="Times New Roman" w:cs="Arial"/>
        </w:rPr>
        <w:t xml:space="preserve"> </w:t>
      </w:r>
      <w:r w:rsidR="005B5775" w:rsidRPr="005B5775">
        <w:rPr>
          <w:rFonts w:eastAsia="Times New Roman" w:cs="Arial"/>
        </w:rPr>
        <w:t xml:space="preserve">through a uniform cent per kilowatt-hour (“kWh”) </w:t>
      </w:r>
      <w:r w:rsidR="00C73C3C">
        <w:rPr>
          <w:rFonts w:eastAsia="Times New Roman" w:cs="Arial"/>
        </w:rPr>
        <w:t xml:space="preserve">bill </w:t>
      </w:r>
      <w:r w:rsidR="005B5775" w:rsidRPr="005B5775">
        <w:rPr>
          <w:rFonts w:eastAsia="Times New Roman" w:cs="Arial"/>
        </w:rPr>
        <w:t>credit</w:t>
      </w:r>
      <w:r w:rsidR="008C05CB" w:rsidRPr="00E46D54">
        <w:rPr>
          <w:rFonts w:eastAsia="Times New Roman" w:cs="Arial"/>
        </w:rPr>
        <w:t>.</w:t>
      </w:r>
    </w:p>
    <w:p w:rsidR="00944E7D" w:rsidRPr="00E46D54" w:rsidRDefault="00944E7D" w:rsidP="008C05CB">
      <w:pPr>
        <w:pStyle w:val="Heading1"/>
        <w:rPr>
          <w:rFonts w:eastAsia="Times New Roman"/>
          <w:szCs w:val="24"/>
        </w:rPr>
      </w:pPr>
      <w:r w:rsidRPr="00E46D54">
        <w:rPr>
          <w:rFonts w:eastAsia="Times New Roman"/>
          <w:szCs w:val="24"/>
        </w:rPr>
        <w:lastRenderedPageBreak/>
        <w:t xml:space="preserve">AEP-Ohio has failed to comply with the Commission’s prior </w:t>
      </w:r>
      <w:r w:rsidR="00D03678">
        <w:rPr>
          <w:rFonts w:eastAsia="Times New Roman"/>
          <w:szCs w:val="24"/>
        </w:rPr>
        <w:t xml:space="preserve">final </w:t>
      </w:r>
      <w:r w:rsidRPr="00E46D54">
        <w:rPr>
          <w:rFonts w:eastAsia="Times New Roman"/>
          <w:szCs w:val="24"/>
        </w:rPr>
        <w:t>order</w:t>
      </w:r>
      <w:r w:rsidR="00D03678">
        <w:rPr>
          <w:rFonts w:eastAsia="Times New Roman"/>
          <w:szCs w:val="24"/>
        </w:rPr>
        <w:t>s</w:t>
      </w:r>
      <w:r w:rsidRPr="00E46D54">
        <w:rPr>
          <w:rFonts w:eastAsia="Times New Roman"/>
          <w:szCs w:val="24"/>
        </w:rPr>
        <w:t xml:space="preserve"> to invest $20 million </w:t>
      </w:r>
      <w:r w:rsidR="001B7F25">
        <w:rPr>
          <w:rFonts w:eastAsia="Times New Roman"/>
          <w:szCs w:val="24"/>
        </w:rPr>
        <w:t xml:space="preserve">in the turning point solar </w:t>
      </w:r>
      <w:r w:rsidR="002A3670">
        <w:rPr>
          <w:rFonts w:eastAsia="Times New Roman"/>
          <w:szCs w:val="24"/>
        </w:rPr>
        <w:t>Project</w:t>
      </w:r>
      <w:r w:rsidR="001B7F25">
        <w:rPr>
          <w:rFonts w:eastAsia="Times New Roman"/>
          <w:szCs w:val="24"/>
        </w:rPr>
        <w:t xml:space="preserve"> or other similar project</w:t>
      </w:r>
    </w:p>
    <w:p w:rsidR="00944E7D" w:rsidRDefault="00944E7D" w:rsidP="00944E7D">
      <w:pPr>
        <w:ind w:firstLine="0"/>
        <w:rPr>
          <w:rFonts w:eastAsia="Times New Roman" w:cs="Arial"/>
        </w:rPr>
      </w:pPr>
      <w:r w:rsidRPr="00E46D54">
        <w:rPr>
          <w:rFonts w:eastAsia="Times New Roman" w:cs="Arial"/>
        </w:rPr>
        <w:tab/>
      </w:r>
      <w:r w:rsidR="008C05CB" w:rsidRPr="00E46D54">
        <w:rPr>
          <w:rFonts w:eastAsia="Times New Roman" w:cs="Arial"/>
        </w:rPr>
        <w:t xml:space="preserve">On January 11, 2011, the Commission increased the threshold for finding that CSP earned significantly excessive earnings under its first electric security plan (“ESP”) </w:t>
      </w:r>
      <w:r w:rsidR="00BC482F" w:rsidRPr="00E46D54">
        <w:rPr>
          <w:rFonts w:eastAsia="Times New Roman" w:cs="Arial"/>
        </w:rPr>
        <w:t>because</w:t>
      </w:r>
      <w:r w:rsidR="008C05CB" w:rsidRPr="00E46D54">
        <w:rPr>
          <w:rFonts w:eastAsia="Times New Roman" w:cs="Arial"/>
        </w:rPr>
        <w:t xml:space="preserve"> AEP-Ohio </w:t>
      </w:r>
      <w:r w:rsidR="00BC482F" w:rsidRPr="00E46D54">
        <w:rPr>
          <w:rFonts w:eastAsia="Times New Roman" w:cs="Arial"/>
        </w:rPr>
        <w:t xml:space="preserve">indicated it intended </w:t>
      </w:r>
      <w:r w:rsidR="008C05CB" w:rsidRPr="00E46D54">
        <w:rPr>
          <w:rFonts w:eastAsia="Times New Roman" w:cs="Arial"/>
        </w:rPr>
        <w:t xml:space="preserve">to invest $20 million in a solar </w:t>
      </w:r>
      <w:r w:rsidR="00BC482F" w:rsidRPr="00E46D54">
        <w:rPr>
          <w:rFonts w:eastAsia="Times New Roman" w:cs="Arial"/>
        </w:rPr>
        <w:t xml:space="preserve">generation </w:t>
      </w:r>
      <w:r w:rsidR="008C05CB" w:rsidRPr="00E46D54">
        <w:rPr>
          <w:rFonts w:eastAsia="Times New Roman" w:cs="Arial"/>
        </w:rPr>
        <w:t>project.</w:t>
      </w:r>
      <w:r w:rsidRPr="00E46D54">
        <w:rPr>
          <w:rFonts w:eastAsia="Times New Roman" w:cs="Arial"/>
          <w:vertAlign w:val="superscript"/>
        </w:rPr>
        <w:footnoteReference w:id="2"/>
      </w:r>
      <w:r w:rsidRPr="00E46D54">
        <w:rPr>
          <w:rFonts w:eastAsia="Times New Roman" w:cs="Arial"/>
        </w:rPr>
        <w:t xml:space="preserve">  The Commission also noted</w:t>
      </w:r>
      <w:r w:rsidR="00C20F47">
        <w:rPr>
          <w:rFonts w:eastAsia="Times New Roman" w:cs="Arial"/>
        </w:rPr>
        <w:t xml:space="preserve"> that</w:t>
      </w:r>
      <w:r w:rsidRPr="00E46D54">
        <w:rPr>
          <w:rFonts w:eastAsia="Times New Roman" w:cs="Arial"/>
        </w:rPr>
        <w:t xml:space="preserve"> “should this project not move forward in 2012, such that the funds are expended in 2012, the Commission requires the $20 million to be spent in 2012 on a similar project.”</w:t>
      </w:r>
      <w:r w:rsidRPr="00E46D54">
        <w:rPr>
          <w:rFonts w:eastAsia="Times New Roman" w:cs="Arial"/>
          <w:vertAlign w:val="superscript"/>
        </w:rPr>
        <w:footnoteReference w:id="3"/>
      </w:r>
      <w:r w:rsidRPr="00E46D54">
        <w:rPr>
          <w:rFonts w:eastAsia="Times New Roman" w:cs="Arial"/>
        </w:rPr>
        <w:t xml:space="preserve">  </w:t>
      </w:r>
    </w:p>
    <w:p w:rsidR="00D03678" w:rsidRPr="00E46D54" w:rsidRDefault="00D03678" w:rsidP="00944E7D">
      <w:pPr>
        <w:ind w:firstLine="0"/>
        <w:rPr>
          <w:rFonts w:eastAsia="Times New Roman" w:cs="Arial"/>
        </w:rPr>
      </w:pPr>
      <w:r w:rsidRPr="00D03678">
        <w:rPr>
          <w:rFonts w:eastAsia="Times New Roman" w:cs="Arial"/>
        </w:rPr>
        <w:tab/>
        <w:t>The Commission’s 2009 SEET order directing AEP-Ohio to invest in a generation facility or other project is final.  Although AEP-Ohio sought rehearing of the Commission’s order that it invest in a generation facility,</w:t>
      </w:r>
      <w:r w:rsidRPr="00D03678">
        <w:rPr>
          <w:rFonts w:eastAsia="Times New Roman" w:cs="Arial"/>
          <w:vertAlign w:val="superscript"/>
        </w:rPr>
        <w:footnoteReference w:id="4"/>
      </w:r>
      <w:r w:rsidRPr="00D03678">
        <w:rPr>
          <w:rFonts w:eastAsia="Times New Roman" w:cs="Arial"/>
        </w:rPr>
        <w:t xml:space="preserve"> AEP-Ohio did not appeal the Commission’s entry on rehearing denying AEP-Ohio’s application for </w:t>
      </w:r>
      <w:r w:rsidR="00EF07FD">
        <w:rPr>
          <w:rFonts w:eastAsia="Times New Roman" w:cs="Arial"/>
        </w:rPr>
        <w:t>re</w:t>
      </w:r>
      <w:r w:rsidRPr="00D03678">
        <w:rPr>
          <w:rFonts w:eastAsia="Times New Roman" w:cs="Arial"/>
        </w:rPr>
        <w:t>hearing of that issue.</w:t>
      </w:r>
      <w:r w:rsidRPr="00D03678">
        <w:rPr>
          <w:rFonts w:eastAsia="Times New Roman" w:cs="Arial"/>
          <w:vertAlign w:val="superscript"/>
        </w:rPr>
        <w:footnoteReference w:id="5"/>
      </w:r>
      <w:r w:rsidRPr="00D03678">
        <w:rPr>
          <w:rFonts w:eastAsia="Times New Roman" w:cs="Arial"/>
        </w:rPr>
        <w:t xml:space="preserve">  Subsequently, the Supreme Court affirmed the Commission’s decision on the issues that were appealed by AEP-Ohio and customers in that case.</w:t>
      </w:r>
      <w:r w:rsidRPr="00D03678">
        <w:rPr>
          <w:rFonts w:eastAsia="Times New Roman" w:cs="Arial"/>
          <w:vertAlign w:val="superscript"/>
        </w:rPr>
        <w:footnoteReference w:id="6"/>
      </w:r>
      <w:r w:rsidRPr="00D03678">
        <w:rPr>
          <w:rFonts w:eastAsia="Times New Roman" w:cs="Arial"/>
        </w:rPr>
        <w:t xml:space="preserve">  </w:t>
      </w:r>
    </w:p>
    <w:p w:rsidR="00944E7D" w:rsidRDefault="00944E7D" w:rsidP="00944E7D">
      <w:pPr>
        <w:ind w:firstLine="0"/>
        <w:rPr>
          <w:rFonts w:eastAsia="Times New Roman" w:cs="Arial"/>
        </w:rPr>
      </w:pPr>
      <w:r w:rsidRPr="00E46D54">
        <w:rPr>
          <w:rFonts w:eastAsia="Times New Roman" w:cs="Arial"/>
        </w:rPr>
        <w:tab/>
        <w:t>In AEP-Ohio’s 2010 Long-Term Forecast Report (“LTFR”) case,</w:t>
      </w:r>
      <w:r w:rsidRPr="00E46D54">
        <w:rPr>
          <w:rFonts w:eastAsia="Times New Roman" w:cs="Arial"/>
          <w:vertAlign w:val="superscript"/>
        </w:rPr>
        <w:footnoteReference w:id="7"/>
      </w:r>
      <w:r w:rsidRPr="00E46D54">
        <w:rPr>
          <w:rFonts w:eastAsia="Times New Roman" w:cs="Arial"/>
        </w:rPr>
        <w:t xml:space="preserve"> </w:t>
      </w:r>
      <w:r w:rsidR="00793AEB">
        <w:rPr>
          <w:rFonts w:eastAsia="Times New Roman" w:cs="Arial"/>
        </w:rPr>
        <w:t>AEP-Ohio</w:t>
      </w:r>
      <w:r w:rsidRPr="00E46D54">
        <w:rPr>
          <w:rFonts w:eastAsia="Times New Roman" w:cs="Arial"/>
        </w:rPr>
        <w:t xml:space="preserve"> requested that the Commission make a finding of need for the Turning Point Solar Project.  The Commission, however, found that AEP-Ohio had failed to demonstrate </w:t>
      </w:r>
      <w:r w:rsidRPr="00E46D54">
        <w:rPr>
          <w:rFonts w:eastAsia="Times New Roman" w:cs="Arial"/>
        </w:rPr>
        <w:lastRenderedPageBreak/>
        <w:t>that the Turning Point Solar Project was needed.</w:t>
      </w:r>
      <w:r w:rsidRPr="00E46D54">
        <w:rPr>
          <w:rFonts w:eastAsia="Times New Roman" w:cs="Arial"/>
          <w:vertAlign w:val="superscript"/>
        </w:rPr>
        <w:footnoteReference w:id="8"/>
      </w:r>
      <w:r w:rsidRPr="00E46D54">
        <w:rPr>
          <w:rFonts w:eastAsia="Times New Roman" w:cs="Arial"/>
        </w:rPr>
        <w:t xml:space="preserve">  The Commission also noted that “AEP-Ohio remains obligated to expend $20 million on the Turning Point project or other similar project, pursuant to Commission orders issued in Case No. 10</w:t>
      </w:r>
      <w:r w:rsidR="00793AEB">
        <w:rPr>
          <w:rFonts w:eastAsia="Times New Roman" w:cs="Arial"/>
        </w:rPr>
        <w:t>-</w:t>
      </w:r>
      <w:r w:rsidRPr="00E46D54">
        <w:rPr>
          <w:rFonts w:eastAsia="Times New Roman" w:cs="Arial"/>
        </w:rPr>
        <w:t>1261</w:t>
      </w:r>
      <w:r w:rsidR="00793AEB">
        <w:rPr>
          <w:rFonts w:eastAsia="Times New Roman" w:cs="Arial"/>
        </w:rPr>
        <w:t>-</w:t>
      </w:r>
      <w:r w:rsidRPr="00E46D54">
        <w:rPr>
          <w:rFonts w:eastAsia="Times New Roman" w:cs="Arial"/>
        </w:rPr>
        <w:t>EL</w:t>
      </w:r>
      <w:r w:rsidR="00793AEB">
        <w:rPr>
          <w:rFonts w:eastAsia="Times New Roman" w:cs="Arial"/>
        </w:rPr>
        <w:t>-</w:t>
      </w:r>
      <w:r w:rsidRPr="00E46D54">
        <w:rPr>
          <w:rFonts w:eastAsia="Times New Roman" w:cs="Arial"/>
        </w:rPr>
        <w:t xml:space="preserve">UNC” and “direct[ed] AEP-Ohio to expend $20 million to the extent the Company has not already done so, and provide an updated status report regarding Turning Point or another investment in a similar project </w:t>
      </w:r>
      <w:r w:rsidRPr="00E46D54">
        <w:rPr>
          <w:rFonts w:eastAsia="Times New Roman" w:cs="Arial"/>
          <w:i/>
          <w:u w:val="single"/>
        </w:rPr>
        <w:t>subject to Staff approval</w:t>
      </w:r>
      <w:r w:rsidRPr="00E46D54">
        <w:rPr>
          <w:rFonts w:eastAsia="Times New Roman" w:cs="Arial"/>
        </w:rPr>
        <w:t>, by the end of 2013.”</w:t>
      </w:r>
      <w:r w:rsidRPr="00E46D54">
        <w:rPr>
          <w:rFonts w:eastAsia="Times New Roman" w:cs="Arial"/>
          <w:vertAlign w:val="superscript"/>
        </w:rPr>
        <w:footnoteReference w:id="9"/>
      </w:r>
      <w:r w:rsidRPr="00E46D54">
        <w:rPr>
          <w:rFonts w:eastAsia="Times New Roman" w:cs="Arial"/>
        </w:rPr>
        <w:t xml:space="preserve"> </w:t>
      </w:r>
      <w:r w:rsidR="00BC482F" w:rsidRPr="00E46D54">
        <w:rPr>
          <w:rFonts w:eastAsia="Times New Roman" w:cs="Arial"/>
        </w:rPr>
        <w:t xml:space="preserve"> </w:t>
      </w:r>
      <w:r w:rsidRPr="00E46D54">
        <w:rPr>
          <w:rFonts w:eastAsia="Times New Roman" w:cs="Arial"/>
        </w:rPr>
        <w:t xml:space="preserve">The Commission also held, “[a]lternatively, </w:t>
      </w:r>
      <w:r w:rsidRPr="00C20F47">
        <w:rPr>
          <w:rFonts w:eastAsia="Times New Roman" w:cs="Arial"/>
        </w:rPr>
        <w:t>if AEP-Ohio is unable to make the $20 million investment in the Turning Point or similar project by the end of the year [2013], the Company should submit a proposal for another appropriate use for the $20 million investment.”</w:t>
      </w:r>
      <w:r w:rsidRPr="00E46D54">
        <w:rPr>
          <w:rFonts w:eastAsia="Times New Roman" w:cs="Arial"/>
          <w:vertAlign w:val="superscript"/>
        </w:rPr>
        <w:footnoteReference w:id="10"/>
      </w:r>
    </w:p>
    <w:p w:rsidR="00D03678" w:rsidRPr="00E46D54" w:rsidRDefault="00D03678" w:rsidP="00D03678">
      <w:pPr>
        <w:rPr>
          <w:rFonts w:eastAsia="Times New Roman" w:cs="Arial"/>
        </w:rPr>
      </w:pPr>
      <w:r w:rsidRPr="00D03678">
        <w:rPr>
          <w:rFonts w:eastAsia="Times New Roman" w:cs="Arial"/>
        </w:rPr>
        <w:t>The Commission’s order in 2010 LTFR Case also is final.  The Commission issued its Opinion and Order on January 9, 2013.  AEP-Ohio did not file an application for rehearing challenging the Commission’s order to invest $20 million, and the Commission issued its entry on rehearing on March 6, 2013, affirming its Opinion and Order.</w:t>
      </w:r>
      <w:r w:rsidRPr="00D03678">
        <w:rPr>
          <w:rFonts w:eastAsia="Times New Roman" w:cs="Arial"/>
          <w:vertAlign w:val="superscript"/>
        </w:rPr>
        <w:footnoteReference w:id="11"/>
      </w:r>
      <w:r w:rsidRPr="00D03678">
        <w:rPr>
          <w:rFonts w:eastAsia="Times New Roman" w:cs="Arial"/>
        </w:rPr>
        <w:t xml:space="preserve">  No party appealed the Commission’s Opinion and Order.</w:t>
      </w:r>
    </w:p>
    <w:p w:rsidR="001B7F25" w:rsidRDefault="00944E7D" w:rsidP="00944E7D">
      <w:pPr>
        <w:ind w:firstLine="0"/>
        <w:rPr>
          <w:rFonts w:eastAsia="Times New Roman" w:cs="Arial"/>
        </w:rPr>
      </w:pPr>
      <w:r w:rsidRPr="00E46D54">
        <w:rPr>
          <w:rFonts w:eastAsia="Times New Roman" w:cs="Arial"/>
        </w:rPr>
        <w:tab/>
        <w:t>On September 13, 2013, AEP-Ohio filed an application to initiate Phase 2 of its gridSMART program.</w:t>
      </w:r>
      <w:r w:rsidR="00164566" w:rsidRPr="00E46D54">
        <w:rPr>
          <w:rFonts w:eastAsia="Times New Roman" w:cs="Arial"/>
        </w:rPr>
        <w:t xml:space="preserve"> </w:t>
      </w:r>
      <w:r w:rsidRPr="00E46D54">
        <w:rPr>
          <w:rFonts w:eastAsia="Times New Roman" w:cs="Arial"/>
        </w:rPr>
        <w:t xml:space="preserve"> AEP</w:t>
      </w:r>
      <w:r w:rsidR="00793AEB">
        <w:rPr>
          <w:rFonts w:eastAsia="Times New Roman" w:cs="Arial"/>
        </w:rPr>
        <w:t>-</w:t>
      </w:r>
      <w:r w:rsidRPr="00E46D54">
        <w:rPr>
          <w:rFonts w:eastAsia="Times New Roman" w:cs="Arial"/>
        </w:rPr>
        <w:t xml:space="preserve">Ohio proposed to satisfy its “outstanding obligation by investing $20 million in [Volt/Var Optimization (“VVO”)] technology as part of the </w:t>
      </w:r>
      <w:r w:rsidRPr="00E46D54">
        <w:rPr>
          <w:rFonts w:eastAsia="Times New Roman" w:cs="Arial"/>
        </w:rPr>
        <w:lastRenderedPageBreak/>
        <w:t>gridSMART Phase 2 project.”</w:t>
      </w:r>
      <w:r w:rsidRPr="00E46D54">
        <w:rPr>
          <w:rFonts w:eastAsia="Times New Roman" w:cs="Arial"/>
          <w:vertAlign w:val="superscript"/>
        </w:rPr>
        <w:footnoteReference w:id="12"/>
      </w:r>
      <w:r w:rsidRPr="00E46D54">
        <w:rPr>
          <w:rFonts w:eastAsia="Times New Roman" w:cs="Arial"/>
        </w:rPr>
        <w:t xml:space="preserve">  It is evident from AEP-Ohio’s application</w:t>
      </w:r>
      <w:r w:rsidR="001B7F25">
        <w:rPr>
          <w:rFonts w:eastAsia="Times New Roman" w:cs="Arial"/>
        </w:rPr>
        <w:t>, however,</w:t>
      </w:r>
      <w:r w:rsidRPr="00E46D54">
        <w:rPr>
          <w:rFonts w:eastAsia="Times New Roman" w:cs="Arial"/>
        </w:rPr>
        <w:t xml:space="preserve"> that AEP-Ohio will not make a capital investment in VVO technology by the end of 2013.</w:t>
      </w:r>
    </w:p>
    <w:p w:rsidR="001B7F25" w:rsidRDefault="00944E7D" w:rsidP="002A3670">
      <w:pPr>
        <w:rPr>
          <w:rFonts w:eastAsia="Times New Roman" w:cs="Arial"/>
        </w:rPr>
      </w:pPr>
      <w:r w:rsidRPr="00E46D54">
        <w:rPr>
          <w:rFonts w:eastAsia="Times New Roman" w:cs="Arial"/>
        </w:rPr>
        <w:t xml:space="preserve">Moreover, </w:t>
      </w:r>
      <w:r w:rsidR="001B7F25">
        <w:rPr>
          <w:rFonts w:eastAsia="Times New Roman" w:cs="Arial"/>
        </w:rPr>
        <w:t xml:space="preserve">even if it did make that investment, it would be without Staff approval.  In comments filed in the gridSMART </w:t>
      </w:r>
      <w:r w:rsidR="002A3670">
        <w:rPr>
          <w:rFonts w:eastAsia="Times New Roman" w:cs="Arial"/>
        </w:rPr>
        <w:t>Phase 2</w:t>
      </w:r>
      <w:r w:rsidR="001B7F25">
        <w:rPr>
          <w:rFonts w:eastAsia="Times New Roman" w:cs="Arial"/>
        </w:rPr>
        <w:t xml:space="preserve"> proceeding, </w:t>
      </w:r>
      <w:r w:rsidRPr="00E46D54">
        <w:rPr>
          <w:rFonts w:eastAsia="Times New Roman" w:cs="Arial"/>
        </w:rPr>
        <w:t xml:space="preserve">Staff recommended that AEP-Ohio not move forward with </w:t>
      </w:r>
      <w:r w:rsidR="002A3670">
        <w:rPr>
          <w:rFonts w:eastAsia="Times New Roman" w:cs="Arial"/>
        </w:rPr>
        <w:t xml:space="preserve">the </w:t>
      </w:r>
      <w:r w:rsidRPr="00E46D54">
        <w:rPr>
          <w:rFonts w:eastAsia="Times New Roman" w:cs="Arial"/>
        </w:rPr>
        <w:t>Phase 2 program at this time.</w:t>
      </w:r>
      <w:r w:rsidRPr="00E46D54">
        <w:rPr>
          <w:rFonts w:eastAsia="Times New Roman" w:cs="Arial"/>
          <w:vertAlign w:val="superscript"/>
        </w:rPr>
        <w:footnoteReference w:id="13"/>
      </w:r>
      <w:r w:rsidR="00C76C2C" w:rsidRPr="00E46D54">
        <w:rPr>
          <w:rFonts w:eastAsia="Times New Roman" w:cs="Arial"/>
        </w:rPr>
        <w:t xml:space="preserve">  </w:t>
      </w:r>
      <w:r w:rsidR="002A3670">
        <w:rPr>
          <w:rFonts w:eastAsia="Times New Roman" w:cs="Arial"/>
        </w:rPr>
        <w:t>As summarized by Staff, “</w:t>
      </w:r>
      <w:r w:rsidRPr="00E46D54">
        <w:rPr>
          <w:rFonts w:eastAsia="Times New Roman" w:cs="Arial"/>
        </w:rPr>
        <w:t xml:space="preserve">The Application provides a generalized approach and plan for moving forward. </w:t>
      </w:r>
      <w:r w:rsidR="00C76C2C" w:rsidRPr="00E46D54">
        <w:rPr>
          <w:rFonts w:eastAsia="Times New Roman" w:cs="Arial"/>
        </w:rPr>
        <w:t xml:space="preserve"> </w:t>
      </w:r>
      <w:r w:rsidRPr="00E46D54">
        <w:rPr>
          <w:rFonts w:eastAsia="Times New Roman" w:cs="Arial"/>
        </w:rPr>
        <w:t xml:space="preserve">It is, however, less than definitively detailed </w:t>
      </w:r>
      <w:r w:rsidRPr="00F4209B">
        <w:rPr>
          <w:rFonts w:eastAsia="Times New Roman" w:cs="Arial"/>
          <w:i/>
        </w:rPr>
        <w:t>and lacks essential elements and information that would enable Staff to support moving forward at this time</w:t>
      </w:r>
      <w:r w:rsidRPr="00E46D54">
        <w:rPr>
          <w:rFonts w:eastAsia="Times New Roman" w:cs="Arial"/>
        </w:rPr>
        <w:t>.</w:t>
      </w:r>
      <w:r w:rsidR="002A3670">
        <w:rPr>
          <w:rFonts w:eastAsia="Times New Roman" w:cs="Arial"/>
        </w:rPr>
        <w:t>”</w:t>
      </w:r>
      <w:r w:rsidRPr="00E46D54">
        <w:rPr>
          <w:rFonts w:eastAsia="Times New Roman" w:cs="Arial"/>
          <w:vertAlign w:val="superscript"/>
        </w:rPr>
        <w:footnoteReference w:id="14"/>
      </w:r>
    </w:p>
    <w:p w:rsidR="007C293A" w:rsidRDefault="00164566" w:rsidP="001B7F25">
      <w:pPr>
        <w:rPr>
          <w:rFonts w:eastAsia="Times New Roman" w:cs="Arial"/>
        </w:rPr>
      </w:pPr>
      <w:r w:rsidRPr="00E46D54">
        <w:rPr>
          <w:rFonts w:eastAsia="Times New Roman" w:cs="Arial"/>
        </w:rPr>
        <w:t xml:space="preserve">In the October 23, 2013 Opinion and </w:t>
      </w:r>
      <w:r w:rsidR="00E46D54" w:rsidRPr="00E46D54">
        <w:rPr>
          <w:rFonts w:eastAsia="Times New Roman" w:cs="Arial"/>
        </w:rPr>
        <w:t>Order</w:t>
      </w:r>
      <w:r w:rsidR="00C76C2C" w:rsidRPr="00E46D54">
        <w:rPr>
          <w:rFonts w:eastAsia="Times New Roman" w:cs="Arial"/>
        </w:rPr>
        <w:t xml:space="preserve"> in this case</w:t>
      </w:r>
      <w:r w:rsidRPr="00E46D54">
        <w:rPr>
          <w:rFonts w:eastAsia="Times New Roman" w:cs="Arial"/>
        </w:rPr>
        <w:t>, the Commission</w:t>
      </w:r>
      <w:r w:rsidR="00085CC3">
        <w:rPr>
          <w:rFonts w:eastAsia="Times New Roman" w:cs="Arial"/>
        </w:rPr>
        <w:t xml:space="preserve"> did not change its prior orders that AEP-Ohio invest $20 million by the end of 2013.  </w:t>
      </w:r>
      <w:r w:rsidR="00F4209B">
        <w:rPr>
          <w:rFonts w:eastAsia="Times New Roman" w:cs="Arial"/>
        </w:rPr>
        <w:t xml:space="preserve">Instead, the </w:t>
      </w:r>
      <w:r w:rsidR="00085CC3">
        <w:rPr>
          <w:rFonts w:eastAsia="Times New Roman" w:cs="Arial"/>
        </w:rPr>
        <w:t xml:space="preserve">Commission </w:t>
      </w:r>
      <w:r w:rsidR="00ED618C" w:rsidRPr="00E46D54">
        <w:rPr>
          <w:rFonts w:eastAsia="Times New Roman" w:cs="Arial"/>
        </w:rPr>
        <w:t>“reiterate[d its] expectation that AEP-Ohio expend $20 million, to the extent the [</w:t>
      </w:r>
      <w:r w:rsidR="00ED618C" w:rsidRPr="00C555B5">
        <w:rPr>
          <w:rFonts w:eastAsia="Times New Roman" w:cs="Arial"/>
          <w:i/>
        </w:rPr>
        <w:t>sic</w:t>
      </w:r>
      <w:r w:rsidR="00ED618C" w:rsidRPr="00E46D54">
        <w:rPr>
          <w:rFonts w:eastAsia="Times New Roman" w:cs="Arial"/>
        </w:rPr>
        <w:t>] it has not already done so, on Turning Point or another investment in a similar project subject to Staff approval, by the end of 2013.”</w:t>
      </w:r>
      <w:r w:rsidR="00ED618C" w:rsidRPr="00E46D54">
        <w:rPr>
          <w:rStyle w:val="FootnoteReference"/>
          <w:rFonts w:eastAsia="Times New Roman" w:cs="Arial"/>
        </w:rPr>
        <w:footnoteReference w:id="15"/>
      </w:r>
      <w:r w:rsidR="00ED618C" w:rsidRPr="00E46D54">
        <w:rPr>
          <w:rFonts w:eastAsia="Times New Roman" w:cs="Arial"/>
        </w:rPr>
        <w:t xml:space="preserve">  </w:t>
      </w:r>
    </w:p>
    <w:p w:rsidR="00ED618C" w:rsidRPr="00E46D54" w:rsidRDefault="007C293A" w:rsidP="001B7F25">
      <w:pPr>
        <w:rPr>
          <w:rFonts w:eastAsia="Times New Roman" w:cs="Arial"/>
        </w:rPr>
      </w:pPr>
      <w:r>
        <w:rPr>
          <w:rFonts w:eastAsia="Times New Roman" w:cs="Arial"/>
        </w:rPr>
        <w:t xml:space="preserve">AEP-Ohio has sought rehearing </w:t>
      </w:r>
      <w:r w:rsidR="00D04BDF">
        <w:rPr>
          <w:rFonts w:eastAsia="Times New Roman" w:cs="Arial"/>
        </w:rPr>
        <w:t xml:space="preserve">and </w:t>
      </w:r>
      <w:r>
        <w:rPr>
          <w:rFonts w:eastAsia="Times New Roman" w:cs="Arial"/>
        </w:rPr>
        <w:t xml:space="preserve">clarification that it may further delay compliance with the Commission’s long-standing and final order that AEP-Ohio invest $20 million in an acceptable project.  </w:t>
      </w:r>
      <w:r w:rsidR="00ED618C" w:rsidRPr="00E46D54">
        <w:rPr>
          <w:rFonts w:eastAsia="Times New Roman" w:cs="Arial"/>
        </w:rPr>
        <w:t xml:space="preserve">AEP-Ohio seeks rehearing and clarification “that the Company can pursue its current efforts to satisfy the outstanding obligation to invest </w:t>
      </w:r>
      <w:r w:rsidR="00ED618C" w:rsidRPr="00E46D54">
        <w:rPr>
          <w:rFonts w:eastAsia="Times New Roman" w:cs="Arial"/>
        </w:rPr>
        <w:lastRenderedPageBreak/>
        <w:t>$20 million without prejudice.”</w:t>
      </w:r>
      <w:r w:rsidR="00ED618C" w:rsidRPr="00E46D54">
        <w:rPr>
          <w:rStyle w:val="FootnoteReference"/>
          <w:rFonts w:eastAsia="Times New Roman" w:cs="Arial"/>
        </w:rPr>
        <w:footnoteReference w:id="16"/>
      </w:r>
      <w:r w:rsidR="004960D0" w:rsidRPr="00E46D54">
        <w:rPr>
          <w:rFonts w:eastAsia="Times New Roman" w:cs="Arial"/>
        </w:rPr>
        <w:t xml:space="preserve"> </w:t>
      </w:r>
      <w:r w:rsidR="00E46D54">
        <w:rPr>
          <w:rFonts w:eastAsia="Times New Roman" w:cs="Arial"/>
        </w:rPr>
        <w:t xml:space="preserve"> </w:t>
      </w:r>
      <w:r w:rsidR="004960D0" w:rsidRPr="00E46D54">
        <w:rPr>
          <w:rFonts w:eastAsia="Times New Roman" w:cs="Arial"/>
        </w:rPr>
        <w:t xml:space="preserve">Relying on the gridSMART Phase 2 application’s proposal to invest in VVO, AEP-Ohio argues that “it is highly impractical </w:t>
      </w:r>
      <w:r w:rsidR="00D04BDF">
        <w:rPr>
          <w:rFonts w:eastAsia="Times New Roman" w:cs="Arial"/>
        </w:rPr>
        <w:t xml:space="preserve">at this point </w:t>
      </w:r>
      <w:r w:rsidR="004960D0" w:rsidRPr="00E46D54">
        <w:rPr>
          <w:rFonts w:eastAsia="Times New Roman" w:cs="Arial"/>
        </w:rPr>
        <w:t xml:space="preserve">that funds can be expended in 2013” and requests </w:t>
      </w:r>
      <w:r w:rsidR="00C76C2C" w:rsidRPr="00E46D54">
        <w:rPr>
          <w:rFonts w:eastAsia="Times New Roman" w:cs="Arial"/>
        </w:rPr>
        <w:t>that</w:t>
      </w:r>
      <w:r w:rsidR="004960D0" w:rsidRPr="00E46D54">
        <w:rPr>
          <w:rFonts w:eastAsia="Times New Roman" w:cs="Arial"/>
        </w:rPr>
        <w:t xml:space="preserve"> the “stated 2013 deadline” be held in abeyance.</w:t>
      </w:r>
      <w:r w:rsidR="004960D0" w:rsidRPr="00E46D54">
        <w:rPr>
          <w:rStyle w:val="FootnoteReference"/>
          <w:rFonts w:eastAsia="Times New Roman" w:cs="Arial"/>
        </w:rPr>
        <w:footnoteReference w:id="17"/>
      </w:r>
    </w:p>
    <w:p w:rsidR="00944E7D" w:rsidRPr="00E46D54" w:rsidRDefault="00944E7D" w:rsidP="00164566">
      <w:pPr>
        <w:pStyle w:val="Heading1"/>
        <w:rPr>
          <w:rFonts w:eastAsia="Times New Roman"/>
          <w:szCs w:val="24"/>
        </w:rPr>
      </w:pPr>
      <w:r w:rsidRPr="00E46D54">
        <w:rPr>
          <w:rFonts w:eastAsia="Times New Roman"/>
          <w:szCs w:val="24"/>
        </w:rPr>
        <w:t xml:space="preserve">The Commission should deny AEP-Ohio’s Application for Rehearing because it is an unlawful collateral attack on prior Commission orders </w:t>
      </w:r>
      <w:r w:rsidR="001B7F25">
        <w:rPr>
          <w:rFonts w:eastAsia="Times New Roman"/>
          <w:szCs w:val="24"/>
        </w:rPr>
        <w:t>that are final and not subject to further appeal</w:t>
      </w:r>
    </w:p>
    <w:p w:rsidR="00C555B5" w:rsidRPr="00E46D54" w:rsidRDefault="007C293A" w:rsidP="00C555B5">
      <w:pPr>
        <w:rPr>
          <w:rFonts w:cs="Arial"/>
        </w:rPr>
      </w:pPr>
      <w:r>
        <w:rPr>
          <w:rFonts w:eastAsia="Times New Roman" w:cs="Arial"/>
          <w:i/>
        </w:rPr>
        <w:t>R</w:t>
      </w:r>
      <w:r w:rsidR="00C555B5" w:rsidRPr="00D03678">
        <w:rPr>
          <w:rFonts w:eastAsia="Times New Roman" w:cs="Arial"/>
          <w:i/>
        </w:rPr>
        <w:t>es judicata</w:t>
      </w:r>
      <w:r w:rsidR="00D03678">
        <w:rPr>
          <w:rFonts w:eastAsia="Times New Roman" w:cs="Arial"/>
        </w:rPr>
        <w:t xml:space="preserve"> and collateral estoppel</w:t>
      </w:r>
      <w:r>
        <w:rPr>
          <w:rFonts w:eastAsia="Times New Roman" w:cs="Arial"/>
        </w:rPr>
        <w:t xml:space="preserve"> are applicable to Commission proceedings and bar the attempts of parties to relitigate issues decided in prior proceedings that are finally decided</w:t>
      </w:r>
      <w:r w:rsidR="00C555B5">
        <w:rPr>
          <w:rFonts w:eastAsia="Times New Roman" w:cs="Arial"/>
        </w:rPr>
        <w:t xml:space="preserve">. </w:t>
      </w:r>
      <w:r w:rsidR="00C555B5" w:rsidRPr="00E46D54">
        <w:rPr>
          <w:rFonts w:eastAsia="Times New Roman" w:cs="Arial"/>
        </w:rPr>
        <w:t xml:space="preserve"> </w:t>
      </w:r>
      <w:r w:rsidR="00C555B5">
        <w:rPr>
          <w:rFonts w:eastAsia="Times New Roman" w:cs="Arial"/>
        </w:rPr>
        <w:t xml:space="preserve">In the </w:t>
      </w:r>
      <w:r w:rsidR="00C555B5" w:rsidRPr="00E46D54">
        <w:rPr>
          <w:rFonts w:cs="Arial"/>
          <w:i/>
        </w:rPr>
        <w:t>Ohio Consumers’ Counsel v. Public Utilities Commission of Ohio</w:t>
      </w:r>
      <w:r w:rsidR="00C555B5">
        <w:rPr>
          <w:rFonts w:cs="Arial"/>
        </w:rPr>
        <w:t>,</w:t>
      </w:r>
      <w:r w:rsidR="00C555B5" w:rsidRPr="00E46D54">
        <w:rPr>
          <w:rFonts w:cs="Arial"/>
          <w:vertAlign w:val="superscript"/>
        </w:rPr>
        <w:footnoteReference w:id="18"/>
      </w:r>
      <w:r w:rsidR="00C555B5" w:rsidRPr="00E46D54">
        <w:rPr>
          <w:rFonts w:cs="Arial"/>
        </w:rPr>
        <w:t xml:space="preserve"> </w:t>
      </w:r>
      <w:r w:rsidR="00C555B5">
        <w:rPr>
          <w:rFonts w:cs="Arial"/>
        </w:rPr>
        <w:t xml:space="preserve">for example, </w:t>
      </w:r>
      <w:r w:rsidR="00C555B5" w:rsidRPr="00E46D54">
        <w:rPr>
          <w:rFonts w:cs="Arial"/>
        </w:rPr>
        <w:t xml:space="preserve">the Office of the Ohio Consumers’ Counsel (“OCC”) sought an adjustment to remove all system loss costs previously </w:t>
      </w:r>
      <w:r w:rsidR="00C555B5">
        <w:rPr>
          <w:rFonts w:cs="Arial"/>
        </w:rPr>
        <w:t xml:space="preserve">unlawfully </w:t>
      </w:r>
      <w:r w:rsidR="00C555B5" w:rsidRPr="00E46D54">
        <w:rPr>
          <w:rFonts w:cs="Arial"/>
        </w:rPr>
        <w:t xml:space="preserve">overcollected under an electric fuel clause (“EFC”).  During the review of a prior audit period, the Commission had permitted an overcollection, </w:t>
      </w:r>
      <w:r w:rsidR="00C555B5">
        <w:rPr>
          <w:rFonts w:cs="Arial"/>
        </w:rPr>
        <w:t>but</w:t>
      </w:r>
      <w:r w:rsidR="00C555B5" w:rsidRPr="00E46D54">
        <w:rPr>
          <w:rFonts w:cs="Arial"/>
        </w:rPr>
        <w:t xml:space="preserve"> OCC had not sought rehearing or appealed the Commission’s decision.  In the</w:t>
      </w:r>
      <w:r w:rsidR="00D03678">
        <w:rPr>
          <w:rFonts w:cs="Arial"/>
        </w:rPr>
        <w:t xml:space="preserve"> next</w:t>
      </w:r>
      <w:r w:rsidR="00C555B5" w:rsidRPr="00E46D54">
        <w:rPr>
          <w:rFonts w:cs="Arial"/>
        </w:rPr>
        <w:t xml:space="preserve"> </w:t>
      </w:r>
      <w:r w:rsidR="00C555B5">
        <w:rPr>
          <w:rFonts w:cs="Arial"/>
        </w:rPr>
        <w:t xml:space="preserve">EFC </w:t>
      </w:r>
      <w:r w:rsidR="00C555B5" w:rsidRPr="00E46D54">
        <w:rPr>
          <w:rFonts w:cs="Arial"/>
        </w:rPr>
        <w:t xml:space="preserve">case, </w:t>
      </w:r>
      <w:r w:rsidR="00D03678">
        <w:rPr>
          <w:rFonts w:cs="Arial"/>
        </w:rPr>
        <w:t>OCC sought an order adjusting the EFC for the overcollection that occurred in the prior audit period.  T</w:t>
      </w:r>
      <w:r w:rsidR="00C555B5" w:rsidRPr="00E46D54">
        <w:rPr>
          <w:rFonts w:cs="Arial"/>
        </w:rPr>
        <w:t xml:space="preserve">he Commission recognized that there was an overcollection in the prior period but refused to reduce the </w:t>
      </w:r>
      <w:r>
        <w:rPr>
          <w:rFonts w:cs="Arial"/>
        </w:rPr>
        <w:t xml:space="preserve">current </w:t>
      </w:r>
      <w:r w:rsidR="00C555B5" w:rsidRPr="00E46D54">
        <w:rPr>
          <w:rFonts w:cs="Arial"/>
        </w:rPr>
        <w:t xml:space="preserve">charges </w:t>
      </w:r>
      <w:r w:rsidR="00C555B5">
        <w:rPr>
          <w:rFonts w:cs="Arial"/>
        </w:rPr>
        <w:t>for the prior overcollection</w:t>
      </w:r>
      <w:r w:rsidR="00C555B5" w:rsidRPr="00E46D54">
        <w:rPr>
          <w:rFonts w:cs="Arial"/>
        </w:rPr>
        <w:t xml:space="preserve">.  </w:t>
      </w:r>
      <w:r w:rsidR="00D03678">
        <w:rPr>
          <w:rFonts w:cs="Arial"/>
        </w:rPr>
        <w:t xml:space="preserve">OCC appealed.  </w:t>
      </w:r>
      <w:r w:rsidR="00F4209B">
        <w:rPr>
          <w:rFonts w:cs="Arial"/>
        </w:rPr>
        <w:t>Finding that both res judicata and collateral estoppel apply to Commission proceedings</w:t>
      </w:r>
      <w:r w:rsidR="00C555B5">
        <w:rPr>
          <w:rFonts w:cs="Arial"/>
        </w:rPr>
        <w:t xml:space="preserve">, </w:t>
      </w:r>
      <w:r w:rsidR="00C555B5" w:rsidRPr="00E46D54">
        <w:rPr>
          <w:rFonts w:cs="Arial"/>
        </w:rPr>
        <w:t xml:space="preserve">the Court found that the Commission did not act unlawfully or unreasonably, </w:t>
      </w:r>
      <w:r w:rsidR="00F4209B">
        <w:rPr>
          <w:rFonts w:cs="Arial"/>
        </w:rPr>
        <w:t>holding</w:t>
      </w:r>
      <w:r w:rsidR="00C555B5" w:rsidRPr="00E46D54">
        <w:rPr>
          <w:rFonts w:cs="Arial"/>
        </w:rPr>
        <w:t xml:space="preserve"> that the prior </w:t>
      </w:r>
      <w:r w:rsidR="00C555B5">
        <w:rPr>
          <w:rFonts w:cs="Arial"/>
        </w:rPr>
        <w:t xml:space="preserve">final Commission </w:t>
      </w:r>
      <w:r w:rsidR="00C555B5" w:rsidRPr="00E46D54">
        <w:rPr>
          <w:rFonts w:cs="Arial"/>
        </w:rPr>
        <w:t>decision barred OCC’s claim.</w:t>
      </w:r>
    </w:p>
    <w:p w:rsidR="00C555B5" w:rsidRDefault="00C555B5" w:rsidP="00C555B5">
      <w:pPr>
        <w:spacing w:line="240" w:lineRule="auto"/>
        <w:ind w:left="720" w:right="720" w:firstLine="0"/>
        <w:rPr>
          <w:rFonts w:cs="Arial"/>
        </w:rPr>
      </w:pPr>
      <w:r w:rsidRPr="00E46D54">
        <w:rPr>
          <w:rFonts w:cs="Arial"/>
        </w:rPr>
        <w:lastRenderedPageBreak/>
        <w:t xml:space="preserve">In the interest of affording finality to the decisions of administrative bodies which are left unchallenged, we hereby determine that OCC lost its only opportunity to challenge the propriety of CEI's system loss costs computation for the period prior to September 1, 1982, when it failed to appeal or to request a rehearing of the previous order.  This question was directly at issue in the prior proceeding and was passed upon by the </w:t>
      </w:r>
      <w:r w:rsidRPr="00E46D54">
        <w:rPr>
          <w:rFonts w:cs="Arial"/>
          <w:bCs/>
        </w:rPr>
        <w:t>commission</w:t>
      </w:r>
      <w:r w:rsidRPr="00E46D54">
        <w:rPr>
          <w:rFonts w:cs="Arial"/>
        </w:rPr>
        <w:t>.  OCC cannot now attempt to reopen the question.</w:t>
      </w:r>
      <w:r w:rsidRPr="00E46D54">
        <w:rPr>
          <w:rFonts w:cs="Arial"/>
          <w:vertAlign w:val="superscript"/>
        </w:rPr>
        <w:footnoteReference w:id="19"/>
      </w:r>
    </w:p>
    <w:p w:rsidR="00C555B5" w:rsidRDefault="00C555B5" w:rsidP="00C555B5">
      <w:pPr>
        <w:spacing w:line="240" w:lineRule="auto"/>
        <w:ind w:left="720" w:right="720" w:firstLine="0"/>
        <w:rPr>
          <w:rFonts w:cs="Arial"/>
        </w:rPr>
      </w:pPr>
    </w:p>
    <w:p w:rsidR="00164566" w:rsidRPr="00E46D54" w:rsidRDefault="00164566" w:rsidP="00C555B5">
      <w:pPr>
        <w:ind w:firstLine="0"/>
        <w:rPr>
          <w:rFonts w:eastAsia="Times New Roman" w:cs="Arial"/>
        </w:rPr>
      </w:pPr>
      <w:r w:rsidRPr="00E46D54">
        <w:rPr>
          <w:rFonts w:eastAsia="Times New Roman" w:cs="Arial"/>
        </w:rPr>
        <w:tab/>
      </w:r>
      <w:r w:rsidR="00C555B5">
        <w:rPr>
          <w:rFonts w:eastAsia="Times New Roman" w:cs="Arial"/>
        </w:rPr>
        <w:t xml:space="preserve">Similarly, AEP-Ohio is barred from reopening the Commission’s prior order that it </w:t>
      </w:r>
      <w:r w:rsidR="00D03678">
        <w:rPr>
          <w:rFonts w:eastAsia="Times New Roman" w:cs="Arial"/>
        </w:rPr>
        <w:t xml:space="preserve">make an appropriate $20 million investment or provide an acceptable alternative by the end of 2013.  The </w:t>
      </w:r>
      <w:r w:rsidRPr="00E46D54">
        <w:rPr>
          <w:rFonts w:eastAsia="Times New Roman" w:cs="Arial"/>
        </w:rPr>
        <w:t xml:space="preserve">2009 SEET Case and the 2010 LTFR Case are final, and the time </w:t>
      </w:r>
      <w:r w:rsidR="00D03678">
        <w:rPr>
          <w:rFonts w:eastAsia="Times New Roman" w:cs="Arial"/>
        </w:rPr>
        <w:t xml:space="preserve">for further appeals has passed.  Because those orders became final, </w:t>
      </w:r>
      <w:r w:rsidR="00E47757">
        <w:rPr>
          <w:rFonts w:eastAsia="Times New Roman" w:cs="Arial"/>
        </w:rPr>
        <w:t>AEP-Ohio</w:t>
      </w:r>
      <w:r w:rsidR="00D03678">
        <w:rPr>
          <w:rFonts w:eastAsia="Times New Roman" w:cs="Arial"/>
        </w:rPr>
        <w:t xml:space="preserve"> cannot now </w:t>
      </w:r>
      <w:r w:rsidR="00E47757">
        <w:rPr>
          <w:rFonts w:eastAsia="Times New Roman" w:cs="Arial"/>
        </w:rPr>
        <w:t>seek</w:t>
      </w:r>
      <w:r w:rsidR="00D03678">
        <w:rPr>
          <w:rFonts w:eastAsia="Times New Roman" w:cs="Arial"/>
        </w:rPr>
        <w:t xml:space="preserve"> to reopen </w:t>
      </w:r>
      <w:r w:rsidR="00E47757">
        <w:rPr>
          <w:rFonts w:eastAsia="Times New Roman" w:cs="Arial"/>
        </w:rPr>
        <w:t>them</w:t>
      </w:r>
      <w:r w:rsidR="00D03678">
        <w:rPr>
          <w:rFonts w:eastAsia="Times New Roman" w:cs="Arial"/>
        </w:rPr>
        <w:t xml:space="preserve">.  </w:t>
      </w:r>
      <w:r w:rsidR="007C293A">
        <w:rPr>
          <w:rFonts w:eastAsia="Times New Roman" w:cs="Arial"/>
        </w:rPr>
        <w:t>Accordingly</w:t>
      </w:r>
      <w:r w:rsidR="004960D0" w:rsidRPr="00E46D54">
        <w:rPr>
          <w:rFonts w:eastAsia="Times New Roman" w:cs="Arial"/>
        </w:rPr>
        <w:t>, the Commission should deny AEP-Ohio</w:t>
      </w:r>
      <w:r w:rsidR="00375849">
        <w:rPr>
          <w:rFonts w:eastAsia="Times New Roman" w:cs="Arial"/>
        </w:rPr>
        <w:t>’s</w:t>
      </w:r>
      <w:r w:rsidR="004960D0" w:rsidRPr="00E46D54">
        <w:rPr>
          <w:rFonts w:eastAsia="Times New Roman" w:cs="Arial"/>
        </w:rPr>
        <w:t xml:space="preserve"> application for rehearing</w:t>
      </w:r>
      <w:r w:rsidR="00F64233">
        <w:rPr>
          <w:rFonts w:eastAsia="Times New Roman" w:cs="Arial"/>
        </w:rPr>
        <w:t xml:space="preserve"> </w:t>
      </w:r>
      <w:r w:rsidR="00E47757">
        <w:rPr>
          <w:rFonts w:eastAsia="Times New Roman" w:cs="Arial"/>
        </w:rPr>
        <w:t>seeking to</w:t>
      </w:r>
      <w:r w:rsidR="00F64233">
        <w:rPr>
          <w:rFonts w:eastAsia="Times New Roman" w:cs="Arial"/>
        </w:rPr>
        <w:t xml:space="preserve"> allow </w:t>
      </w:r>
      <w:r w:rsidR="00E47757">
        <w:rPr>
          <w:rFonts w:eastAsia="Times New Roman" w:cs="Arial"/>
        </w:rPr>
        <w:t>it</w:t>
      </w:r>
      <w:r w:rsidR="00F64233">
        <w:rPr>
          <w:rFonts w:eastAsia="Times New Roman" w:cs="Arial"/>
        </w:rPr>
        <w:t xml:space="preserve"> to further delay its compliance with prior final orders</w:t>
      </w:r>
      <w:r w:rsidR="004960D0" w:rsidRPr="00E46D54">
        <w:rPr>
          <w:rFonts w:eastAsia="Times New Roman" w:cs="Arial"/>
        </w:rPr>
        <w:t>.</w:t>
      </w:r>
    </w:p>
    <w:p w:rsidR="00944E7D" w:rsidRPr="00E46D54" w:rsidRDefault="007C293A" w:rsidP="0019258E">
      <w:pPr>
        <w:pStyle w:val="Heading1"/>
        <w:rPr>
          <w:rFonts w:eastAsia="Times New Roman"/>
          <w:szCs w:val="24"/>
        </w:rPr>
      </w:pPr>
      <w:r>
        <w:rPr>
          <w:rFonts w:eastAsia="Times New Roman"/>
          <w:szCs w:val="24"/>
        </w:rPr>
        <w:t xml:space="preserve">if </w:t>
      </w:r>
      <w:r w:rsidR="00944E7D" w:rsidRPr="00E46D54">
        <w:rPr>
          <w:rFonts w:eastAsia="Times New Roman"/>
          <w:szCs w:val="24"/>
        </w:rPr>
        <w:t>the Commission grant</w:t>
      </w:r>
      <w:r>
        <w:rPr>
          <w:rFonts w:eastAsia="Times New Roman"/>
          <w:szCs w:val="24"/>
        </w:rPr>
        <w:t>s</w:t>
      </w:r>
      <w:r w:rsidR="00944E7D" w:rsidRPr="00E46D54">
        <w:rPr>
          <w:rFonts w:eastAsia="Times New Roman"/>
          <w:szCs w:val="24"/>
        </w:rPr>
        <w:t xml:space="preserve"> </w:t>
      </w:r>
      <w:r w:rsidR="00001EC3" w:rsidRPr="00E46D54">
        <w:rPr>
          <w:rFonts w:eastAsia="Times New Roman"/>
          <w:szCs w:val="24"/>
        </w:rPr>
        <w:t xml:space="preserve">AEP-Ohio’s APPLICATION for </w:t>
      </w:r>
      <w:r w:rsidR="00944E7D" w:rsidRPr="00E46D54">
        <w:rPr>
          <w:rFonts w:eastAsia="Times New Roman"/>
          <w:szCs w:val="24"/>
        </w:rPr>
        <w:t>rehearing</w:t>
      </w:r>
      <w:r>
        <w:rPr>
          <w:rFonts w:eastAsia="Times New Roman"/>
          <w:szCs w:val="24"/>
        </w:rPr>
        <w:t>,</w:t>
      </w:r>
      <w:r w:rsidR="00944E7D" w:rsidRPr="00E46D54">
        <w:rPr>
          <w:rFonts w:eastAsia="Times New Roman"/>
          <w:szCs w:val="24"/>
        </w:rPr>
        <w:t xml:space="preserve"> </w:t>
      </w:r>
      <w:r>
        <w:rPr>
          <w:rFonts w:eastAsia="Times New Roman"/>
          <w:szCs w:val="24"/>
        </w:rPr>
        <w:t>the commission should</w:t>
      </w:r>
      <w:r w:rsidR="00944E7D" w:rsidRPr="00E46D54">
        <w:rPr>
          <w:rFonts w:eastAsia="Times New Roman"/>
          <w:szCs w:val="24"/>
        </w:rPr>
        <w:t xml:space="preserve"> order AEP-Ohio to return $20 million with interest to its customers through a </w:t>
      </w:r>
      <w:r w:rsidR="00F64233">
        <w:rPr>
          <w:rFonts w:eastAsia="Times New Roman"/>
          <w:szCs w:val="24"/>
        </w:rPr>
        <w:t xml:space="preserve">uniform </w:t>
      </w:r>
      <w:r w:rsidR="00944E7D" w:rsidRPr="00E46D54">
        <w:rPr>
          <w:rFonts w:eastAsia="Times New Roman"/>
          <w:szCs w:val="24"/>
        </w:rPr>
        <w:t>customer credit</w:t>
      </w:r>
    </w:p>
    <w:p w:rsidR="00F64233" w:rsidRDefault="00AD30A3" w:rsidP="00AD30A3">
      <w:pPr>
        <w:rPr>
          <w:rFonts w:eastAsia="Times New Roman" w:cs="Arial"/>
        </w:rPr>
      </w:pPr>
      <w:r>
        <w:rPr>
          <w:rFonts w:eastAsia="Times New Roman" w:cs="Arial"/>
        </w:rPr>
        <w:t xml:space="preserve">Because </w:t>
      </w:r>
      <w:r w:rsidR="001B7F25">
        <w:rPr>
          <w:rFonts w:eastAsia="Times New Roman" w:cs="Arial"/>
        </w:rPr>
        <w:t>AEP-Ohio</w:t>
      </w:r>
      <w:r>
        <w:rPr>
          <w:rFonts w:eastAsia="Times New Roman" w:cs="Arial"/>
        </w:rPr>
        <w:t xml:space="preserve"> will </w:t>
      </w:r>
      <w:r w:rsidR="001B7F25">
        <w:rPr>
          <w:rFonts w:eastAsia="Times New Roman" w:cs="Arial"/>
        </w:rPr>
        <w:t xml:space="preserve">not </w:t>
      </w:r>
      <w:r>
        <w:rPr>
          <w:rFonts w:eastAsia="Times New Roman" w:cs="Arial"/>
        </w:rPr>
        <w:t>make</w:t>
      </w:r>
      <w:r w:rsidR="00944E7D" w:rsidRPr="00E46D54">
        <w:rPr>
          <w:rFonts w:eastAsia="Times New Roman" w:cs="Arial"/>
        </w:rPr>
        <w:t xml:space="preserve"> $20 million capital investment </w:t>
      </w:r>
      <w:r w:rsidR="00DA4D2A">
        <w:rPr>
          <w:rFonts w:eastAsia="Times New Roman" w:cs="Arial"/>
        </w:rPr>
        <w:t xml:space="preserve">in </w:t>
      </w:r>
      <w:r w:rsidR="00D04BDF">
        <w:rPr>
          <w:rFonts w:eastAsia="Times New Roman" w:cs="Arial"/>
        </w:rPr>
        <w:t xml:space="preserve">the </w:t>
      </w:r>
      <w:r w:rsidR="00DA4D2A">
        <w:rPr>
          <w:rFonts w:eastAsia="Times New Roman" w:cs="Arial"/>
        </w:rPr>
        <w:t xml:space="preserve">Turning Point </w:t>
      </w:r>
      <w:r w:rsidR="00D04BDF">
        <w:rPr>
          <w:rFonts w:eastAsia="Times New Roman" w:cs="Arial"/>
        </w:rPr>
        <w:t xml:space="preserve">Solar Project </w:t>
      </w:r>
      <w:r w:rsidR="00DA4D2A">
        <w:rPr>
          <w:rFonts w:eastAsia="Times New Roman" w:cs="Arial"/>
        </w:rPr>
        <w:t xml:space="preserve">or other Staff-approved project </w:t>
      </w:r>
      <w:r>
        <w:rPr>
          <w:rFonts w:eastAsia="Times New Roman" w:cs="Arial"/>
        </w:rPr>
        <w:t xml:space="preserve">by the end of 2013, </w:t>
      </w:r>
      <w:r w:rsidR="0043637A">
        <w:rPr>
          <w:rFonts w:eastAsia="Times New Roman" w:cs="Arial"/>
        </w:rPr>
        <w:t>it</w:t>
      </w:r>
      <w:r w:rsidR="00001EC3" w:rsidRPr="00E46D54">
        <w:rPr>
          <w:rFonts w:eastAsia="Times New Roman" w:cs="Arial"/>
        </w:rPr>
        <w:t xml:space="preserve"> will </w:t>
      </w:r>
      <w:r w:rsidR="00375849">
        <w:rPr>
          <w:rFonts w:eastAsia="Times New Roman" w:cs="Arial"/>
        </w:rPr>
        <w:t xml:space="preserve">not </w:t>
      </w:r>
      <w:r w:rsidR="00001EC3" w:rsidRPr="00E46D54">
        <w:rPr>
          <w:rFonts w:eastAsia="Times New Roman" w:cs="Arial"/>
        </w:rPr>
        <w:t xml:space="preserve">comply with the Commission’s </w:t>
      </w:r>
      <w:r w:rsidR="00F64233">
        <w:rPr>
          <w:rFonts w:eastAsia="Times New Roman" w:cs="Arial"/>
        </w:rPr>
        <w:t xml:space="preserve">prior final </w:t>
      </w:r>
      <w:r w:rsidR="00001EC3" w:rsidRPr="00E46D54">
        <w:rPr>
          <w:rFonts w:eastAsia="Times New Roman" w:cs="Arial"/>
        </w:rPr>
        <w:t>order</w:t>
      </w:r>
      <w:r w:rsidR="00DB3705" w:rsidRPr="00E46D54">
        <w:rPr>
          <w:rFonts w:eastAsia="Times New Roman" w:cs="Arial"/>
        </w:rPr>
        <w:t>s</w:t>
      </w:r>
      <w:r w:rsidR="00001EC3" w:rsidRPr="00E46D54">
        <w:rPr>
          <w:rFonts w:eastAsia="Times New Roman" w:cs="Arial"/>
        </w:rPr>
        <w:t xml:space="preserve">.  </w:t>
      </w:r>
      <w:r w:rsidR="00F64233">
        <w:rPr>
          <w:rFonts w:eastAsia="Times New Roman" w:cs="Arial"/>
        </w:rPr>
        <w:t xml:space="preserve">The problem becomes one of finding an appropriate remedy for AEP-Ohio’s noncompliance.  </w:t>
      </w:r>
    </w:p>
    <w:p w:rsidR="00944E7D" w:rsidRPr="00E46D54" w:rsidRDefault="00F64233" w:rsidP="00AD30A3">
      <w:pPr>
        <w:rPr>
          <w:rFonts w:eastAsia="Times New Roman" w:cs="Arial"/>
        </w:rPr>
      </w:pPr>
      <w:r>
        <w:rPr>
          <w:rFonts w:eastAsia="Times New Roman" w:cs="Arial"/>
        </w:rPr>
        <w:t>One solution is for the</w:t>
      </w:r>
      <w:r w:rsidR="00944E7D" w:rsidRPr="00E46D54">
        <w:rPr>
          <w:rFonts w:eastAsia="Times New Roman" w:cs="Arial"/>
        </w:rPr>
        <w:t xml:space="preserve"> Commission </w:t>
      </w:r>
      <w:r>
        <w:rPr>
          <w:rFonts w:eastAsia="Times New Roman" w:cs="Arial"/>
        </w:rPr>
        <w:t xml:space="preserve">to grant </w:t>
      </w:r>
      <w:r w:rsidR="00001EC3" w:rsidRPr="00E46D54">
        <w:rPr>
          <w:rFonts w:eastAsia="Times New Roman" w:cs="Arial"/>
        </w:rPr>
        <w:t>AEP-Ohio’s application for rehearing</w:t>
      </w:r>
      <w:r w:rsidR="00AD30A3">
        <w:rPr>
          <w:rFonts w:eastAsia="Times New Roman" w:cs="Arial"/>
        </w:rPr>
        <w:t>, reject AEP-Ohio</w:t>
      </w:r>
      <w:r w:rsidR="00D04BDF">
        <w:rPr>
          <w:rFonts w:eastAsia="Times New Roman" w:cs="Arial"/>
        </w:rPr>
        <w:t>’s</w:t>
      </w:r>
      <w:r w:rsidR="00AD30A3">
        <w:rPr>
          <w:rFonts w:eastAsia="Times New Roman" w:cs="Arial"/>
        </w:rPr>
        <w:t xml:space="preserve"> delaying tactics</w:t>
      </w:r>
      <w:r>
        <w:rPr>
          <w:rFonts w:eastAsia="Times New Roman" w:cs="Arial"/>
        </w:rPr>
        <w:t>,</w:t>
      </w:r>
      <w:r w:rsidR="00AD30A3">
        <w:rPr>
          <w:rFonts w:eastAsia="Times New Roman" w:cs="Arial"/>
        </w:rPr>
        <w:t xml:space="preserve"> and instead modify</w:t>
      </w:r>
      <w:r w:rsidR="00001EC3" w:rsidRPr="00E46D54">
        <w:rPr>
          <w:rFonts w:eastAsia="Times New Roman" w:cs="Arial"/>
        </w:rPr>
        <w:t xml:space="preserve"> </w:t>
      </w:r>
      <w:r w:rsidR="00AD30A3">
        <w:rPr>
          <w:rFonts w:eastAsia="Times New Roman" w:cs="Arial"/>
        </w:rPr>
        <w:t>the</w:t>
      </w:r>
      <w:r w:rsidR="00001EC3" w:rsidRPr="00E46D54">
        <w:rPr>
          <w:rFonts w:eastAsia="Times New Roman" w:cs="Arial"/>
        </w:rPr>
        <w:t xml:space="preserve"> </w:t>
      </w:r>
      <w:r w:rsidR="00E47757">
        <w:rPr>
          <w:rFonts w:eastAsia="Times New Roman" w:cs="Arial"/>
        </w:rPr>
        <w:t>findings in this case so as</w:t>
      </w:r>
      <w:bookmarkStart w:id="2" w:name="_GoBack"/>
      <w:bookmarkEnd w:id="2"/>
      <w:r w:rsidR="00001EC3" w:rsidRPr="00E46D54">
        <w:rPr>
          <w:rFonts w:eastAsia="Times New Roman" w:cs="Arial"/>
        </w:rPr>
        <w:t xml:space="preserve"> </w:t>
      </w:r>
      <w:r w:rsidR="0022104F">
        <w:rPr>
          <w:rFonts w:eastAsia="Times New Roman" w:cs="Arial"/>
        </w:rPr>
        <w:t>to direct AEP-Ohio</w:t>
      </w:r>
      <w:r w:rsidR="00001EC3" w:rsidRPr="00E46D54">
        <w:rPr>
          <w:rFonts w:eastAsia="Times New Roman" w:cs="Arial"/>
        </w:rPr>
        <w:t xml:space="preserve"> </w:t>
      </w:r>
      <w:r w:rsidR="00944E7D" w:rsidRPr="00E46D54">
        <w:rPr>
          <w:rFonts w:eastAsia="Times New Roman" w:cs="Arial"/>
        </w:rPr>
        <w:t xml:space="preserve">to </w:t>
      </w:r>
      <w:r w:rsidR="00001EC3" w:rsidRPr="00E46D54">
        <w:rPr>
          <w:rFonts w:eastAsia="Times New Roman" w:cs="Arial"/>
        </w:rPr>
        <w:t>return</w:t>
      </w:r>
      <w:r w:rsidR="00944E7D" w:rsidRPr="00E46D54">
        <w:rPr>
          <w:rFonts w:eastAsia="Times New Roman" w:cs="Arial"/>
        </w:rPr>
        <w:t xml:space="preserve"> </w:t>
      </w:r>
      <w:r w:rsidR="0022104F" w:rsidRPr="00E46D54">
        <w:rPr>
          <w:rFonts w:eastAsia="Times New Roman" w:cs="Arial"/>
        </w:rPr>
        <w:t xml:space="preserve">to AEP-Ohio’s customers </w:t>
      </w:r>
      <w:r w:rsidR="00944E7D" w:rsidRPr="00E46D54">
        <w:rPr>
          <w:rFonts w:eastAsia="Times New Roman" w:cs="Arial"/>
        </w:rPr>
        <w:t xml:space="preserve">$20 million, </w:t>
      </w:r>
      <w:r w:rsidR="00827FD5">
        <w:rPr>
          <w:rFonts w:eastAsia="Times New Roman" w:cs="Arial"/>
        </w:rPr>
        <w:t>with</w:t>
      </w:r>
      <w:r w:rsidR="00944E7D" w:rsidRPr="00E46D54">
        <w:rPr>
          <w:rFonts w:eastAsia="Times New Roman" w:cs="Arial"/>
        </w:rPr>
        <w:t xml:space="preserve"> interest</w:t>
      </w:r>
      <w:r w:rsidR="00001EC3" w:rsidRPr="00E46D54">
        <w:rPr>
          <w:rFonts w:eastAsia="Times New Roman" w:cs="Arial"/>
        </w:rPr>
        <w:t xml:space="preserve"> at the long term debt rate since January 11, 2011</w:t>
      </w:r>
      <w:r w:rsidR="00944E7D" w:rsidRPr="00E46D54">
        <w:rPr>
          <w:rFonts w:eastAsia="Times New Roman" w:cs="Arial"/>
        </w:rPr>
        <w:t xml:space="preserve">, through a uniform cent per </w:t>
      </w:r>
      <w:r w:rsidR="005B5775">
        <w:rPr>
          <w:rFonts w:eastAsia="Times New Roman" w:cs="Arial"/>
        </w:rPr>
        <w:t>kWh</w:t>
      </w:r>
      <w:r w:rsidR="00944E7D" w:rsidRPr="00E46D54">
        <w:rPr>
          <w:rFonts w:eastAsia="Times New Roman" w:cs="Arial"/>
        </w:rPr>
        <w:t xml:space="preserve"> credit.</w:t>
      </w:r>
      <w:r w:rsidR="004D561E">
        <w:rPr>
          <w:rStyle w:val="FootnoteReference"/>
          <w:rFonts w:eastAsia="Times New Roman" w:cs="Arial"/>
        </w:rPr>
        <w:footnoteReference w:id="20"/>
      </w:r>
      <w:r w:rsidR="00001EC3" w:rsidRPr="00E46D54">
        <w:rPr>
          <w:rFonts w:eastAsia="Times New Roman" w:cs="Arial"/>
        </w:rPr>
        <w:t xml:space="preserve">  </w:t>
      </w:r>
      <w:r w:rsidR="00DB3705" w:rsidRPr="00E46D54">
        <w:rPr>
          <w:rFonts w:eastAsia="Times New Roman" w:cs="Arial"/>
        </w:rPr>
        <w:t xml:space="preserve">In light </w:t>
      </w:r>
      <w:r w:rsidR="00DB3705" w:rsidRPr="00E46D54">
        <w:rPr>
          <w:rFonts w:eastAsia="Times New Roman" w:cs="Arial"/>
        </w:rPr>
        <w:lastRenderedPageBreak/>
        <w:t xml:space="preserve">of the </w:t>
      </w:r>
      <w:r w:rsidR="0022104F">
        <w:rPr>
          <w:rFonts w:eastAsia="Times New Roman" w:cs="Arial"/>
        </w:rPr>
        <w:t>rate increases caused by</w:t>
      </w:r>
      <w:r w:rsidR="00DB3705" w:rsidRPr="00E46D54">
        <w:rPr>
          <w:rFonts w:eastAsia="Times New Roman" w:cs="Arial"/>
        </w:rPr>
        <w:t xml:space="preserve"> the ESP II Order</w:t>
      </w:r>
      <w:r w:rsidR="00DB3705" w:rsidRPr="00E46D54">
        <w:rPr>
          <w:rStyle w:val="FootnoteReference"/>
          <w:rFonts w:eastAsia="Times New Roman" w:cs="Arial"/>
        </w:rPr>
        <w:footnoteReference w:id="21"/>
      </w:r>
      <w:r w:rsidR="00DB3705" w:rsidRPr="00E46D54">
        <w:rPr>
          <w:rFonts w:eastAsia="Times New Roman" w:cs="Arial"/>
        </w:rPr>
        <w:t xml:space="preserve"> and the Commission</w:t>
      </w:r>
      <w:r w:rsidR="0022104F">
        <w:rPr>
          <w:rFonts w:eastAsia="Times New Roman" w:cs="Arial"/>
        </w:rPr>
        <w:t>’s</w:t>
      </w:r>
      <w:r w:rsidR="00DB3705" w:rsidRPr="00E46D54">
        <w:rPr>
          <w:rFonts w:eastAsia="Times New Roman" w:cs="Arial"/>
        </w:rPr>
        <w:t xml:space="preserve"> recent determination that CSP continued to have significantly excessive earnings in 2010,</w:t>
      </w:r>
      <w:r w:rsidR="00DB3705" w:rsidRPr="00E46D54">
        <w:rPr>
          <w:rStyle w:val="FootnoteReference"/>
          <w:rFonts w:eastAsia="Times New Roman" w:cs="Arial"/>
        </w:rPr>
        <w:footnoteReference w:id="22"/>
      </w:r>
      <w:r w:rsidR="00DB3705" w:rsidRPr="00E46D54">
        <w:rPr>
          <w:rFonts w:eastAsia="Times New Roman" w:cs="Arial"/>
        </w:rPr>
        <w:t xml:space="preserve"> some relief for customers is justified and reasonable.</w:t>
      </w:r>
    </w:p>
    <w:p w:rsidR="004C6130" w:rsidRPr="00E46D54" w:rsidRDefault="004C6130" w:rsidP="004C6130">
      <w:pPr>
        <w:pStyle w:val="Heading1"/>
        <w:rPr>
          <w:rFonts w:eastAsia="Times New Roman"/>
          <w:szCs w:val="24"/>
        </w:rPr>
      </w:pPr>
      <w:r w:rsidRPr="00E46D54">
        <w:rPr>
          <w:rFonts w:eastAsia="Times New Roman"/>
          <w:szCs w:val="24"/>
        </w:rPr>
        <w:t>Conclusion</w:t>
      </w:r>
    </w:p>
    <w:p w:rsidR="004C6130" w:rsidRPr="00E46D54" w:rsidRDefault="004C6130" w:rsidP="00DB3705">
      <w:pPr>
        <w:rPr>
          <w:rFonts w:eastAsia="Times New Roman" w:cs="Arial"/>
        </w:rPr>
      </w:pPr>
      <w:r w:rsidRPr="00E46D54">
        <w:rPr>
          <w:rFonts w:eastAsia="Times New Roman" w:cs="Arial"/>
        </w:rPr>
        <w:t xml:space="preserve">For the reasons discussed above, the Commission should either deny AEP-Ohio’s Application for Rehearing </w:t>
      </w:r>
      <w:r w:rsidR="00F64233">
        <w:rPr>
          <w:rFonts w:eastAsia="Times New Roman" w:cs="Arial"/>
        </w:rPr>
        <w:t>seeking an order that would permit AEP-Ohio to further delay its compliance with final Commission orders or, if the Commission grants rehearing, do so</w:t>
      </w:r>
      <w:r w:rsidRPr="00E46D54">
        <w:rPr>
          <w:rFonts w:eastAsia="Times New Roman" w:cs="Arial"/>
        </w:rPr>
        <w:t xml:space="preserve"> for the limited purpose of modifying </w:t>
      </w:r>
      <w:r w:rsidR="0022104F">
        <w:rPr>
          <w:rFonts w:eastAsia="Times New Roman" w:cs="Arial"/>
        </w:rPr>
        <w:t>the</w:t>
      </w:r>
      <w:r w:rsidRPr="00E46D54">
        <w:rPr>
          <w:rFonts w:eastAsia="Times New Roman" w:cs="Arial"/>
        </w:rPr>
        <w:t xml:space="preserve"> order</w:t>
      </w:r>
      <w:r w:rsidR="00F64233">
        <w:rPr>
          <w:rFonts w:eastAsia="Times New Roman" w:cs="Arial"/>
        </w:rPr>
        <w:t xml:space="preserve"> in this case so as to</w:t>
      </w:r>
      <w:r w:rsidRPr="00E46D54">
        <w:rPr>
          <w:rFonts w:eastAsia="Times New Roman" w:cs="Arial"/>
        </w:rPr>
        <w:t xml:space="preserve"> direct AEP-Ohio to return $20 million with interest to customers</w:t>
      </w:r>
      <w:r w:rsidR="00F64233">
        <w:rPr>
          <w:rFonts w:eastAsia="Times New Roman" w:cs="Arial"/>
        </w:rPr>
        <w:t xml:space="preserve"> through a uniform Kwh bill credit</w:t>
      </w:r>
      <w:r w:rsidRPr="00E46D54">
        <w:rPr>
          <w:rFonts w:eastAsia="Times New Roman" w:cs="Arial"/>
        </w:rPr>
        <w:t xml:space="preserve">.  </w:t>
      </w:r>
    </w:p>
    <w:p w:rsidR="00C667B0" w:rsidRPr="00C667B0" w:rsidRDefault="00C667B0" w:rsidP="00C667B0">
      <w:pPr>
        <w:spacing w:line="240" w:lineRule="auto"/>
        <w:ind w:left="3600"/>
        <w:rPr>
          <w:rFonts w:cs="Arial"/>
        </w:rPr>
      </w:pPr>
      <w:r w:rsidRPr="00C667B0">
        <w:rPr>
          <w:rFonts w:cs="Arial"/>
        </w:rPr>
        <w:t>Respectfully submitted</w:t>
      </w:r>
      <w:r w:rsidRPr="00E46D54">
        <w:rPr>
          <w:rFonts w:cs="Arial"/>
        </w:rPr>
        <w:t>,</w:t>
      </w:r>
      <w:r w:rsidRPr="00C667B0">
        <w:rPr>
          <w:rFonts w:cs="Arial"/>
        </w:rPr>
        <w:t xml:space="preserve"> </w:t>
      </w:r>
    </w:p>
    <w:p w:rsidR="00C667B0" w:rsidRPr="00C667B0" w:rsidRDefault="00C667B0" w:rsidP="00C667B0">
      <w:pPr>
        <w:spacing w:line="240" w:lineRule="auto"/>
        <w:rPr>
          <w:rFonts w:cs="Arial"/>
        </w:rPr>
      </w:pPr>
    </w:p>
    <w:p w:rsidR="00C667B0" w:rsidRPr="00C667B0" w:rsidRDefault="00C667B0" w:rsidP="00C667B0">
      <w:pPr>
        <w:spacing w:line="240" w:lineRule="auto"/>
        <w:rPr>
          <w:rFonts w:cs="Arial"/>
        </w:rPr>
      </w:pPr>
    </w:p>
    <w:p w:rsidR="00C667B0" w:rsidRPr="00C667B0" w:rsidRDefault="00C667B0" w:rsidP="00C667B0">
      <w:pPr>
        <w:spacing w:line="240" w:lineRule="auto"/>
        <w:ind w:left="4320" w:firstLine="0"/>
        <w:rPr>
          <w:rFonts w:cs="Arial"/>
        </w:rPr>
      </w:pPr>
      <w:r w:rsidRPr="00C667B0">
        <w:rPr>
          <w:rFonts w:cs="Arial"/>
          <w:u w:val="single"/>
        </w:rPr>
        <w:t>/s/ Frank P. Darr</w:t>
      </w:r>
      <w:r w:rsidRPr="00C667B0">
        <w:rPr>
          <w:rFonts w:cs="Arial"/>
          <w:u w:val="single"/>
        </w:rPr>
        <w:tab/>
      </w:r>
      <w:r w:rsidRPr="00C667B0">
        <w:rPr>
          <w:rFonts w:cs="Arial"/>
          <w:u w:val="single"/>
        </w:rPr>
        <w:tab/>
      </w:r>
      <w:r w:rsidRPr="00C667B0">
        <w:rPr>
          <w:rFonts w:cs="Arial"/>
          <w:u w:val="single"/>
        </w:rPr>
        <w:tab/>
      </w:r>
      <w:r w:rsidRPr="00C667B0">
        <w:rPr>
          <w:rFonts w:cs="Arial"/>
          <w:u w:val="single"/>
        </w:rPr>
        <w:tab/>
      </w:r>
      <w:r w:rsidRPr="00C667B0">
        <w:rPr>
          <w:rFonts w:cs="Arial"/>
          <w:u w:val="single"/>
        </w:rPr>
        <w:tab/>
      </w:r>
    </w:p>
    <w:p w:rsidR="00C667B0" w:rsidRPr="00C667B0" w:rsidRDefault="00C667B0" w:rsidP="00C667B0">
      <w:pPr>
        <w:tabs>
          <w:tab w:val="left" w:pos="-1440"/>
          <w:tab w:val="left" w:pos="-720"/>
          <w:tab w:val="right" w:pos="8640"/>
        </w:tabs>
        <w:spacing w:line="240" w:lineRule="auto"/>
        <w:ind w:left="4320" w:firstLine="0"/>
        <w:rPr>
          <w:rFonts w:cs="Arial"/>
        </w:rPr>
      </w:pPr>
      <w:r w:rsidRPr="00C667B0">
        <w:rPr>
          <w:rFonts w:cs="Arial"/>
        </w:rPr>
        <w:t>Samuel C. Randazzo</w:t>
      </w:r>
    </w:p>
    <w:p w:rsidR="00C667B0" w:rsidRPr="00C667B0" w:rsidRDefault="00C667B0" w:rsidP="00C667B0">
      <w:pPr>
        <w:tabs>
          <w:tab w:val="left" w:pos="-1440"/>
          <w:tab w:val="left" w:pos="-720"/>
          <w:tab w:val="right" w:pos="8640"/>
        </w:tabs>
        <w:spacing w:line="240" w:lineRule="auto"/>
        <w:ind w:left="4320" w:firstLine="0"/>
        <w:rPr>
          <w:rFonts w:cs="Arial"/>
        </w:rPr>
      </w:pPr>
      <w:r w:rsidRPr="00C667B0">
        <w:rPr>
          <w:rFonts w:cs="Arial"/>
        </w:rPr>
        <w:t>Frank P. Darr</w:t>
      </w:r>
    </w:p>
    <w:p w:rsidR="00C667B0" w:rsidRPr="00C667B0" w:rsidRDefault="00C667B0" w:rsidP="00C667B0">
      <w:pPr>
        <w:tabs>
          <w:tab w:val="left" w:pos="-1440"/>
          <w:tab w:val="left" w:pos="-720"/>
          <w:tab w:val="right" w:pos="8640"/>
        </w:tabs>
        <w:spacing w:line="240" w:lineRule="auto"/>
        <w:ind w:left="4320" w:firstLine="0"/>
        <w:rPr>
          <w:rFonts w:cs="Arial"/>
        </w:rPr>
      </w:pPr>
      <w:r w:rsidRPr="00C667B0">
        <w:rPr>
          <w:rFonts w:cs="Arial"/>
        </w:rPr>
        <w:t>Joseph E. Oliker</w:t>
      </w:r>
    </w:p>
    <w:p w:rsidR="00C667B0" w:rsidRPr="00C667B0" w:rsidRDefault="00C667B0" w:rsidP="00C667B0">
      <w:pPr>
        <w:tabs>
          <w:tab w:val="left" w:pos="-1440"/>
          <w:tab w:val="left" w:pos="-720"/>
          <w:tab w:val="right" w:pos="8640"/>
        </w:tabs>
        <w:spacing w:line="240" w:lineRule="auto"/>
        <w:ind w:left="4320" w:firstLine="0"/>
        <w:rPr>
          <w:rFonts w:cs="Arial"/>
        </w:rPr>
      </w:pPr>
      <w:r w:rsidRPr="00C667B0">
        <w:rPr>
          <w:rFonts w:cs="Arial"/>
        </w:rPr>
        <w:t>Matthew R. Pritchard</w:t>
      </w:r>
    </w:p>
    <w:p w:rsidR="00C667B0" w:rsidRPr="00C667B0" w:rsidRDefault="00C667B0" w:rsidP="00C667B0">
      <w:pPr>
        <w:tabs>
          <w:tab w:val="left" w:pos="-1440"/>
          <w:tab w:val="left" w:pos="-720"/>
          <w:tab w:val="right" w:pos="8640"/>
        </w:tabs>
        <w:spacing w:line="240" w:lineRule="auto"/>
        <w:ind w:left="4320" w:firstLine="0"/>
        <w:rPr>
          <w:rFonts w:cs="Arial"/>
        </w:rPr>
      </w:pPr>
      <w:r w:rsidRPr="00C667B0">
        <w:rPr>
          <w:rFonts w:cs="Arial"/>
          <w:smallCaps/>
        </w:rPr>
        <w:t>McNees Wallace &amp; Nurick LLC</w:t>
      </w:r>
    </w:p>
    <w:p w:rsidR="00C667B0" w:rsidRPr="00C667B0" w:rsidRDefault="00C667B0" w:rsidP="00C667B0">
      <w:pPr>
        <w:tabs>
          <w:tab w:val="left" w:pos="-1440"/>
          <w:tab w:val="left" w:pos="-720"/>
          <w:tab w:val="right" w:pos="8640"/>
        </w:tabs>
        <w:spacing w:line="240" w:lineRule="auto"/>
        <w:ind w:left="4320" w:firstLine="0"/>
        <w:rPr>
          <w:rFonts w:cs="Arial"/>
        </w:rPr>
      </w:pPr>
      <w:r w:rsidRPr="00C667B0">
        <w:rPr>
          <w:rFonts w:cs="Arial"/>
        </w:rPr>
        <w:t>21 East State Street, Suite 1700</w:t>
      </w:r>
    </w:p>
    <w:p w:rsidR="00C667B0" w:rsidRPr="00C667B0" w:rsidRDefault="00C667B0" w:rsidP="00C667B0">
      <w:pPr>
        <w:tabs>
          <w:tab w:val="right" w:pos="8640"/>
        </w:tabs>
        <w:spacing w:line="240" w:lineRule="auto"/>
        <w:ind w:left="4320" w:firstLine="0"/>
        <w:rPr>
          <w:rFonts w:cs="Arial"/>
        </w:rPr>
      </w:pPr>
      <w:r w:rsidRPr="00C667B0">
        <w:rPr>
          <w:rFonts w:cs="Arial"/>
        </w:rPr>
        <w:t>Columbus, OH 43215-4228</w:t>
      </w:r>
    </w:p>
    <w:p w:rsidR="00C667B0" w:rsidRPr="00C667B0" w:rsidRDefault="00C667B0" w:rsidP="00C667B0">
      <w:pPr>
        <w:tabs>
          <w:tab w:val="right" w:pos="8640"/>
        </w:tabs>
        <w:spacing w:line="240" w:lineRule="auto"/>
        <w:ind w:left="4320" w:firstLine="0"/>
        <w:rPr>
          <w:rFonts w:cs="Arial"/>
        </w:rPr>
      </w:pPr>
      <w:r w:rsidRPr="00C667B0">
        <w:rPr>
          <w:rFonts w:cs="Arial"/>
        </w:rPr>
        <w:t>Telephone:  614-469-8000</w:t>
      </w:r>
    </w:p>
    <w:p w:rsidR="00C667B0" w:rsidRPr="00C667B0" w:rsidRDefault="00C667B0" w:rsidP="00C667B0">
      <w:pPr>
        <w:tabs>
          <w:tab w:val="right" w:pos="8640"/>
        </w:tabs>
        <w:spacing w:line="240" w:lineRule="auto"/>
        <w:ind w:left="4320" w:firstLine="0"/>
        <w:rPr>
          <w:rFonts w:cs="Arial"/>
        </w:rPr>
      </w:pPr>
      <w:r w:rsidRPr="00C667B0">
        <w:rPr>
          <w:rFonts w:cs="Arial"/>
        </w:rPr>
        <w:t>Telecopier:  614-469-4653</w:t>
      </w:r>
    </w:p>
    <w:p w:rsidR="00C667B0" w:rsidRPr="00C667B0" w:rsidRDefault="00C667B0" w:rsidP="00C667B0">
      <w:pPr>
        <w:tabs>
          <w:tab w:val="right" w:pos="8640"/>
        </w:tabs>
        <w:spacing w:line="240" w:lineRule="auto"/>
        <w:ind w:left="4320" w:firstLine="0"/>
        <w:rPr>
          <w:rFonts w:cs="Arial"/>
        </w:rPr>
      </w:pPr>
      <w:r w:rsidRPr="00C667B0">
        <w:rPr>
          <w:rFonts w:cs="Arial"/>
        </w:rPr>
        <w:t xml:space="preserve">sam@mwncmh.com </w:t>
      </w:r>
    </w:p>
    <w:p w:rsidR="00C667B0" w:rsidRPr="00C667B0" w:rsidRDefault="00C667B0" w:rsidP="00C667B0">
      <w:pPr>
        <w:tabs>
          <w:tab w:val="right" w:pos="8640"/>
        </w:tabs>
        <w:spacing w:line="240" w:lineRule="auto"/>
        <w:ind w:left="4320" w:firstLine="0"/>
        <w:rPr>
          <w:rFonts w:cs="Arial"/>
        </w:rPr>
      </w:pPr>
      <w:r w:rsidRPr="00C667B0">
        <w:rPr>
          <w:rFonts w:cs="Arial"/>
        </w:rPr>
        <w:t>fdarr@mwncmh.com</w:t>
      </w:r>
    </w:p>
    <w:p w:rsidR="00C667B0" w:rsidRPr="00C667B0" w:rsidRDefault="00C667B0" w:rsidP="00C667B0">
      <w:pPr>
        <w:tabs>
          <w:tab w:val="right" w:pos="8640"/>
        </w:tabs>
        <w:spacing w:line="240" w:lineRule="auto"/>
        <w:ind w:left="4320" w:firstLine="0"/>
        <w:rPr>
          <w:rFonts w:cs="Arial"/>
        </w:rPr>
      </w:pPr>
      <w:r w:rsidRPr="00C667B0">
        <w:rPr>
          <w:rFonts w:cs="Arial"/>
        </w:rPr>
        <w:t>joliker@mwncmh.com</w:t>
      </w:r>
    </w:p>
    <w:p w:rsidR="00C667B0" w:rsidRPr="00C667B0" w:rsidRDefault="00C667B0" w:rsidP="00C667B0">
      <w:pPr>
        <w:tabs>
          <w:tab w:val="left" w:pos="5640"/>
        </w:tabs>
        <w:spacing w:line="240" w:lineRule="auto"/>
        <w:ind w:left="4320" w:firstLine="0"/>
        <w:rPr>
          <w:rFonts w:cs="Arial"/>
          <w:bCs/>
        </w:rPr>
      </w:pPr>
      <w:r w:rsidRPr="00C667B0">
        <w:rPr>
          <w:rFonts w:cs="Arial"/>
          <w:bCs/>
        </w:rPr>
        <w:t>mpritchard@mwncmh.com</w:t>
      </w:r>
    </w:p>
    <w:p w:rsidR="00C667B0" w:rsidRPr="00C667B0" w:rsidRDefault="00C667B0" w:rsidP="00C667B0">
      <w:pPr>
        <w:tabs>
          <w:tab w:val="left" w:pos="5640"/>
        </w:tabs>
        <w:spacing w:line="240" w:lineRule="auto"/>
        <w:ind w:left="4320" w:firstLine="0"/>
        <w:rPr>
          <w:rFonts w:cs="Arial"/>
          <w:bCs/>
        </w:rPr>
      </w:pPr>
    </w:p>
    <w:p w:rsidR="00C667B0" w:rsidRPr="00E46D54" w:rsidRDefault="00C667B0" w:rsidP="00C667B0">
      <w:pPr>
        <w:ind w:left="3600"/>
        <w:rPr>
          <w:rFonts w:cs="Arial"/>
          <w:b/>
        </w:rPr>
        <w:sectPr w:rsidR="00C667B0" w:rsidRPr="00E46D54" w:rsidSect="0030144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r w:rsidRPr="00E46D54">
        <w:rPr>
          <w:rFonts w:cs="Arial"/>
          <w:b/>
        </w:rPr>
        <w:lastRenderedPageBreak/>
        <w:t>Attorneys for Industrial Energy Users-Ohio</w:t>
      </w:r>
    </w:p>
    <w:p w:rsidR="00C667B0" w:rsidRPr="00C20F47" w:rsidRDefault="00C667B0" w:rsidP="00C667B0">
      <w:pPr>
        <w:tabs>
          <w:tab w:val="left" w:pos="720"/>
        </w:tabs>
        <w:ind w:firstLine="0"/>
        <w:jc w:val="center"/>
        <w:rPr>
          <w:rFonts w:ascii="Arial Bold" w:eastAsia="Times New Roman" w:hAnsi="Arial Bold" w:cs="Arial"/>
          <w:b/>
          <w:caps/>
          <w:u w:val="single"/>
          <w:lang w:val="x-none" w:eastAsia="x-none"/>
        </w:rPr>
      </w:pPr>
      <w:r w:rsidRPr="00C20F47">
        <w:rPr>
          <w:rFonts w:ascii="Arial Bold" w:eastAsia="Times New Roman" w:hAnsi="Arial Bold" w:cs="Arial"/>
          <w:b/>
          <w:caps/>
          <w:u w:val="single"/>
          <w:lang w:val="x-none" w:eastAsia="x-none"/>
        </w:rPr>
        <w:lastRenderedPageBreak/>
        <w:t>Certificate of Service</w:t>
      </w:r>
    </w:p>
    <w:p w:rsidR="00EA5419" w:rsidRPr="00C667B0" w:rsidRDefault="00C667B0" w:rsidP="00C20F47">
      <w:pPr>
        <w:spacing w:after="240"/>
        <w:rPr>
          <w:rFonts w:eastAsia="Times New Roman" w:cs="Arial"/>
          <w:b/>
        </w:rPr>
      </w:pPr>
      <w:r w:rsidRPr="00C667B0">
        <w:rPr>
          <w:rFonts w:eastAsia="Times New Roman" w:cs="Arial"/>
        </w:rPr>
        <w:t xml:space="preserve">I hereby certify that a copy of the foregoing </w:t>
      </w:r>
      <w:r w:rsidR="004D561E" w:rsidRPr="004D561E">
        <w:rPr>
          <w:rFonts w:eastAsia="Times New Roman" w:cs="Arial"/>
          <w:i/>
        </w:rPr>
        <w:t>Memorandum in Opposition to Ohio Power Company’s Application for Rehearing and Request for Clarificatio</w:t>
      </w:r>
      <w:r w:rsidR="004D561E">
        <w:rPr>
          <w:rFonts w:eastAsia="Times New Roman" w:cs="Arial"/>
          <w:i/>
        </w:rPr>
        <w:t>n</w:t>
      </w:r>
      <w:r w:rsidRPr="00C667B0">
        <w:rPr>
          <w:rFonts w:eastAsia="Times New Roman" w:cs="Arial"/>
          <w:i/>
          <w:iCs/>
        </w:rPr>
        <w:t xml:space="preserve"> </w:t>
      </w:r>
      <w:r w:rsidRPr="00C667B0">
        <w:rPr>
          <w:rFonts w:eastAsia="Times New Roman" w:cs="Arial"/>
        </w:rPr>
        <w:t xml:space="preserve">was served upon the following parties of record this </w:t>
      </w:r>
      <w:r w:rsidR="004D561E">
        <w:rPr>
          <w:rFonts w:eastAsia="Times New Roman" w:cs="Arial"/>
        </w:rPr>
        <w:t>2nd</w:t>
      </w:r>
      <w:r w:rsidRPr="00C667B0">
        <w:rPr>
          <w:rFonts w:eastAsia="Times New Roman" w:cs="Arial"/>
        </w:rPr>
        <w:t xml:space="preserve"> day of </w:t>
      </w:r>
      <w:r w:rsidR="007C293A">
        <w:rPr>
          <w:rFonts w:eastAsia="Times New Roman" w:cs="Arial"/>
        </w:rPr>
        <w:t>December</w:t>
      </w:r>
      <w:r w:rsidRPr="00C667B0">
        <w:rPr>
          <w:rFonts w:eastAsia="Times New Roman" w:cs="Arial"/>
        </w:rPr>
        <w:t xml:space="preserve"> 201</w:t>
      </w:r>
      <w:r w:rsidRPr="00E46D54">
        <w:rPr>
          <w:rFonts w:eastAsia="Times New Roman" w:cs="Arial"/>
        </w:rPr>
        <w:t>3</w:t>
      </w:r>
      <w:r w:rsidRPr="00C667B0">
        <w:rPr>
          <w:rFonts w:eastAsia="Times New Roman" w:cs="Arial"/>
        </w:rPr>
        <w:t xml:space="preserve">, </w:t>
      </w:r>
      <w:r w:rsidRPr="00C667B0">
        <w:rPr>
          <w:rFonts w:eastAsia="Times New Roman" w:cs="Arial"/>
          <w:i/>
        </w:rPr>
        <w:t>via</w:t>
      </w:r>
      <w:r w:rsidRPr="00C667B0">
        <w:rPr>
          <w:rFonts w:eastAsia="Times New Roman" w:cs="Arial"/>
        </w:rPr>
        <w:t xml:space="preserve"> electronic transmission, hand-delivery or first class U.S. mail, postage prepaid.</w:t>
      </w:r>
      <w:r w:rsidRPr="00C667B0">
        <w:rPr>
          <w:rFonts w:eastAsia="Times New Roman" w:cs="Arial"/>
          <w:b/>
        </w:rPr>
        <w:t xml:space="preserve"> </w:t>
      </w:r>
    </w:p>
    <w:p w:rsidR="00C667B0" w:rsidRDefault="004D561E" w:rsidP="00C667B0">
      <w:pPr>
        <w:tabs>
          <w:tab w:val="left" w:pos="-1440"/>
          <w:tab w:val="left" w:pos="-720"/>
          <w:tab w:val="left" w:pos="5040"/>
          <w:tab w:val="center" w:pos="7200"/>
          <w:tab w:val="right" w:pos="9360"/>
        </w:tabs>
        <w:spacing w:line="240" w:lineRule="auto"/>
        <w:ind w:firstLine="5040"/>
        <w:rPr>
          <w:rFonts w:eastAsia="Times New Roman" w:cs="Arial"/>
          <w:u w:val="single"/>
        </w:rPr>
      </w:pPr>
      <w:r w:rsidRPr="004D561E">
        <w:rPr>
          <w:rFonts w:eastAsia="Times New Roman" w:cs="Arial"/>
          <w:u w:val="single"/>
        </w:rPr>
        <w:t>/s/ Frank P. Darr</w:t>
      </w:r>
      <w:r w:rsidR="00C667B0" w:rsidRPr="00C667B0">
        <w:rPr>
          <w:rFonts w:eastAsia="Times New Roman" w:cs="Arial"/>
          <w:u w:val="single"/>
        </w:rPr>
        <w:tab/>
      </w:r>
      <w:r w:rsidR="00C667B0" w:rsidRPr="00C667B0">
        <w:rPr>
          <w:rFonts w:eastAsia="Times New Roman" w:cs="Arial"/>
          <w:u w:val="single"/>
        </w:rPr>
        <w:tab/>
      </w:r>
    </w:p>
    <w:p w:rsidR="004D561E" w:rsidRDefault="004D561E" w:rsidP="00C667B0">
      <w:pPr>
        <w:tabs>
          <w:tab w:val="left" w:pos="-1440"/>
          <w:tab w:val="left" w:pos="-720"/>
          <w:tab w:val="left" w:pos="5040"/>
          <w:tab w:val="center" w:pos="7200"/>
          <w:tab w:val="right" w:pos="9360"/>
        </w:tabs>
        <w:spacing w:line="240" w:lineRule="auto"/>
        <w:ind w:firstLine="5040"/>
        <w:rPr>
          <w:rFonts w:eastAsia="Times New Roman" w:cs="Arial"/>
        </w:rPr>
      </w:pPr>
      <w:r w:rsidRPr="004D561E">
        <w:rPr>
          <w:rFonts w:eastAsia="Times New Roman" w:cs="Arial"/>
        </w:rPr>
        <w:t>Frank P. Darr</w:t>
      </w:r>
    </w:p>
    <w:p w:rsidR="004D561E" w:rsidRPr="004D561E" w:rsidRDefault="004D561E" w:rsidP="00C667B0">
      <w:pPr>
        <w:tabs>
          <w:tab w:val="left" w:pos="-1440"/>
          <w:tab w:val="left" w:pos="-720"/>
          <w:tab w:val="left" w:pos="5040"/>
          <w:tab w:val="center" w:pos="7200"/>
          <w:tab w:val="right" w:pos="9360"/>
        </w:tabs>
        <w:spacing w:line="240" w:lineRule="auto"/>
        <w:ind w:firstLine="5040"/>
        <w:rPr>
          <w:rFonts w:eastAsia="Times New Roman" w:cs="Arial"/>
        </w:rPr>
      </w:pPr>
    </w:p>
    <w:p w:rsidR="00C667B0" w:rsidRPr="00C667B0" w:rsidRDefault="00C667B0" w:rsidP="00C667B0">
      <w:pPr>
        <w:spacing w:line="240" w:lineRule="auto"/>
        <w:ind w:left="4320"/>
        <w:jc w:val="left"/>
        <w:rPr>
          <w:rFonts w:eastAsia="Times New Roman" w:cs="Arial"/>
        </w:rPr>
      </w:pPr>
    </w:p>
    <w:p w:rsidR="00C667B0" w:rsidRPr="00C667B0" w:rsidRDefault="00C667B0" w:rsidP="00C667B0">
      <w:pPr>
        <w:spacing w:line="240" w:lineRule="auto"/>
        <w:ind w:left="4320"/>
        <w:jc w:val="left"/>
        <w:rPr>
          <w:rFonts w:eastAsia="Times New Roman" w:cs="Arial"/>
        </w:rPr>
        <w:sectPr w:rsidR="00C667B0" w:rsidRPr="00C667B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lastRenderedPageBreak/>
        <w:t>Steven T. Nourse</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Matthew J. Satterwhite</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American Electric Power Corporation</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1 Riverside Plaza, 29</w:t>
      </w:r>
      <w:r w:rsidRPr="00D04BDF">
        <w:rPr>
          <w:rFonts w:eastAsia="Times New Roman" w:cs="Arial"/>
          <w:vertAlign w:val="superscript"/>
        </w:rPr>
        <w:t>th</w:t>
      </w:r>
      <w:r w:rsidRPr="00D04BDF">
        <w:rPr>
          <w:rFonts w:eastAsia="Times New Roman" w:cs="Arial"/>
        </w:rPr>
        <w:t xml:space="preserve"> Floor</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Columbus, Ohio  43215-2373</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stnourse@aep.com</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mjsatterwhite@aep.com</w:t>
      </w:r>
    </w:p>
    <w:p w:rsidR="00D04BDF" w:rsidRPr="00D04BDF" w:rsidRDefault="00D04BDF" w:rsidP="00D04BDF">
      <w:pPr>
        <w:tabs>
          <w:tab w:val="left" w:pos="2160"/>
          <w:tab w:val="left" w:pos="2280"/>
        </w:tabs>
        <w:spacing w:line="240" w:lineRule="auto"/>
        <w:ind w:firstLine="0"/>
        <w:jc w:val="left"/>
        <w:rPr>
          <w:rFonts w:eastAsia="Times New Roman" w:cs="Arial"/>
        </w:rPr>
      </w:pP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Daniel R. Conway</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Porter Wright Morris &amp; Arthur</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Huntington Center</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41 S. High Street</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Columbus, Ohio 43215</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dconway@porterwright.com</w:t>
      </w:r>
    </w:p>
    <w:p w:rsidR="00D04BDF" w:rsidRPr="00D04BDF" w:rsidRDefault="00D04BDF" w:rsidP="00D04BDF">
      <w:pPr>
        <w:tabs>
          <w:tab w:val="left" w:pos="2160"/>
          <w:tab w:val="left" w:pos="2280"/>
        </w:tabs>
        <w:spacing w:line="240" w:lineRule="auto"/>
        <w:ind w:firstLine="0"/>
        <w:jc w:val="left"/>
        <w:rPr>
          <w:rFonts w:eastAsia="Times New Roman" w:cs="Arial"/>
        </w:rPr>
      </w:pPr>
    </w:p>
    <w:p w:rsidR="00D04BDF" w:rsidRPr="00D04BDF" w:rsidRDefault="00D04BDF" w:rsidP="00D04BDF">
      <w:pPr>
        <w:tabs>
          <w:tab w:val="left" w:pos="2160"/>
          <w:tab w:val="left" w:pos="2280"/>
        </w:tabs>
        <w:spacing w:line="240" w:lineRule="auto"/>
        <w:ind w:firstLine="0"/>
        <w:jc w:val="left"/>
        <w:rPr>
          <w:rFonts w:eastAsia="Times New Roman" w:cs="Arial"/>
          <w:b/>
          <w:smallCaps/>
        </w:rPr>
      </w:pPr>
      <w:r w:rsidRPr="00D04BDF">
        <w:rPr>
          <w:rFonts w:eastAsia="Times New Roman" w:cs="Arial"/>
          <w:b/>
          <w:smallCaps/>
        </w:rPr>
        <w:t>On Behalf of Columbus Southern Power and Ohio Power Company</w:t>
      </w:r>
    </w:p>
    <w:p w:rsidR="00D04BDF" w:rsidRPr="00D04BDF" w:rsidRDefault="00D04BDF" w:rsidP="00D04BDF">
      <w:pPr>
        <w:tabs>
          <w:tab w:val="left" w:pos="2160"/>
          <w:tab w:val="left" w:pos="2280"/>
        </w:tabs>
        <w:spacing w:line="240" w:lineRule="auto"/>
        <w:ind w:firstLine="0"/>
        <w:jc w:val="left"/>
        <w:rPr>
          <w:rFonts w:eastAsia="Times New Roman" w:cs="Arial"/>
        </w:rPr>
      </w:pP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Bruce Weston</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Interim Ohio Consumers’ Counsel</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Melissa R. Yost</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Kyle L. Kern</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Office of the Ohio Consumers’ Counsel</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10 West Broad Street, Suite 1800</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Columbus, Ohio 43215</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yost@occ.state.oh.us</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Kern@occ.state.oh.us</w:t>
      </w:r>
    </w:p>
    <w:p w:rsidR="00D04BDF" w:rsidRPr="00D04BDF" w:rsidRDefault="00D04BDF" w:rsidP="00D04BDF">
      <w:pPr>
        <w:tabs>
          <w:tab w:val="left" w:pos="2160"/>
          <w:tab w:val="left" w:pos="2280"/>
        </w:tabs>
        <w:spacing w:line="240" w:lineRule="auto"/>
        <w:ind w:firstLine="0"/>
        <w:jc w:val="left"/>
        <w:rPr>
          <w:rFonts w:eastAsia="Times New Roman" w:cs="Arial"/>
        </w:rPr>
      </w:pPr>
    </w:p>
    <w:p w:rsidR="00D04BDF" w:rsidRPr="00D04BDF" w:rsidRDefault="00D04BDF" w:rsidP="00D04BDF">
      <w:pPr>
        <w:tabs>
          <w:tab w:val="left" w:pos="2160"/>
          <w:tab w:val="left" w:pos="2280"/>
        </w:tabs>
        <w:spacing w:line="240" w:lineRule="auto"/>
        <w:ind w:firstLine="0"/>
        <w:jc w:val="left"/>
        <w:rPr>
          <w:rFonts w:eastAsia="Times New Roman" w:cs="Arial"/>
          <w:b/>
          <w:smallCaps/>
        </w:rPr>
      </w:pPr>
      <w:r w:rsidRPr="00D04BDF">
        <w:rPr>
          <w:rFonts w:eastAsia="Times New Roman" w:cs="Arial"/>
          <w:b/>
          <w:smallCaps/>
        </w:rPr>
        <w:t>On Behalf of the Office of the Ohio Consumers’ Counsel</w:t>
      </w:r>
    </w:p>
    <w:p w:rsidR="00D04BDF" w:rsidRPr="00D04BDF" w:rsidRDefault="00D04BDF" w:rsidP="00D04BDF">
      <w:pPr>
        <w:tabs>
          <w:tab w:val="left" w:pos="2160"/>
          <w:tab w:val="left" w:pos="2280"/>
        </w:tabs>
        <w:spacing w:line="240" w:lineRule="auto"/>
        <w:ind w:firstLine="0"/>
        <w:jc w:val="left"/>
        <w:rPr>
          <w:rFonts w:eastAsia="Times New Roman" w:cs="Arial"/>
          <w:b/>
          <w:smallCaps/>
        </w:rPr>
      </w:pP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br w:type="column"/>
      </w:r>
      <w:r w:rsidRPr="00D04BDF">
        <w:rPr>
          <w:rFonts w:eastAsia="Times New Roman" w:cs="Arial"/>
        </w:rPr>
        <w:lastRenderedPageBreak/>
        <w:t>Michael L. Kurtz</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Kurt J. Boehm</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Jody M. Kyler</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Boehm, Kurtz &amp; Lowry</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36 East Seventh Street – 1510</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Cincinnati, Ohio  45202</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mkurtz@bkllawfirm.com</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kboehm@bkllawfirm.com</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jkyler@bkllawfirm.com</w:t>
      </w:r>
    </w:p>
    <w:p w:rsidR="00D04BDF" w:rsidRPr="00D04BDF" w:rsidRDefault="00D04BDF" w:rsidP="00D04BDF">
      <w:pPr>
        <w:tabs>
          <w:tab w:val="left" w:pos="2160"/>
          <w:tab w:val="left" w:pos="2280"/>
        </w:tabs>
        <w:spacing w:line="240" w:lineRule="auto"/>
        <w:ind w:firstLine="0"/>
        <w:jc w:val="left"/>
        <w:rPr>
          <w:rFonts w:eastAsia="Times New Roman" w:cs="Arial"/>
        </w:rPr>
      </w:pP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b/>
          <w:smallCaps/>
        </w:rPr>
        <w:t>On Behalf of the Ohio Energy Group</w:t>
      </w:r>
    </w:p>
    <w:p w:rsidR="00D04BDF" w:rsidRPr="00D04BDF" w:rsidRDefault="00D04BDF" w:rsidP="00D04BDF">
      <w:pPr>
        <w:tabs>
          <w:tab w:val="left" w:pos="2160"/>
          <w:tab w:val="left" w:pos="2280"/>
        </w:tabs>
        <w:spacing w:line="240" w:lineRule="auto"/>
        <w:ind w:firstLine="0"/>
        <w:jc w:val="left"/>
        <w:rPr>
          <w:rFonts w:eastAsia="Times New Roman" w:cs="Arial"/>
        </w:rPr>
      </w:pP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Colleen L. Mooney</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Ohio Partners for Affordable Energy</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231 West Lima Street</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Findlay, Ohio  45839-1793</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cmooney2@columbus.rr.com</w:t>
      </w:r>
    </w:p>
    <w:p w:rsidR="00D04BDF" w:rsidRPr="00D04BDF" w:rsidRDefault="00D04BDF" w:rsidP="00D04BDF">
      <w:pPr>
        <w:tabs>
          <w:tab w:val="left" w:pos="2160"/>
          <w:tab w:val="left" w:pos="2280"/>
        </w:tabs>
        <w:spacing w:line="240" w:lineRule="auto"/>
        <w:ind w:firstLine="0"/>
        <w:jc w:val="left"/>
        <w:rPr>
          <w:rFonts w:eastAsia="Times New Roman" w:cs="Arial"/>
        </w:rPr>
      </w:pP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b/>
          <w:smallCaps/>
        </w:rPr>
        <w:t>On Behalf of Ohio Partners for Affordable Energy</w:t>
      </w:r>
    </w:p>
    <w:p w:rsidR="00D04BDF" w:rsidRPr="00D04BDF" w:rsidRDefault="00D04BDF" w:rsidP="00D04BDF">
      <w:pPr>
        <w:tabs>
          <w:tab w:val="left" w:pos="2160"/>
          <w:tab w:val="left" w:pos="2280"/>
        </w:tabs>
        <w:spacing w:line="240" w:lineRule="auto"/>
        <w:ind w:firstLine="0"/>
        <w:jc w:val="left"/>
        <w:rPr>
          <w:rFonts w:eastAsia="Times New Roman" w:cs="Arial"/>
        </w:rPr>
      </w:pP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Mallory M. Mohler</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Carpenter Lipps &amp; Leland LLP</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280 North High Street, Suite 1300</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Colum</w:t>
      </w:r>
      <w:r w:rsidRPr="00D04BDF">
        <w:rPr>
          <w:rFonts w:eastAsia="Times New Roman" w:cs="Arial"/>
          <w:b/>
          <w:smallCaps/>
        </w:rPr>
        <w:t xml:space="preserve"> On Behalf of </w:t>
      </w:r>
      <w:r w:rsidRPr="00D04BDF">
        <w:rPr>
          <w:rFonts w:eastAsia="Times New Roman" w:cs="Arial"/>
        </w:rPr>
        <w:t>bus, OH  43215</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Mohler@carpenterlipps.com</w:t>
      </w:r>
    </w:p>
    <w:p w:rsidR="00D04BDF" w:rsidRPr="00D04BDF" w:rsidRDefault="00D04BDF" w:rsidP="00D04BDF">
      <w:pPr>
        <w:tabs>
          <w:tab w:val="left" w:pos="2160"/>
          <w:tab w:val="left" w:pos="2280"/>
        </w:tabs>
        <w:spacing w:line="240" w:lineRule="auto"/>
        <w:ind w:firstLine="0"/>
        <w:jc w:val="left"/>
        <w:rPr>
          <w:rFonts w:eastAsia="Times New Roman" w:cs="Arial"/>
        </w:rPr>
      </w:pP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b/>
          <w:smallCaps/>
        </w:rPr>
        <w:t>On Behalf of OMA Energy Group</w:t>
      </w:r>
    </w:p>
    <w:p w:rsidR="00D04BDF" w:rsidRPr="00D04BDF" w:rsidRDefault="00D04BDF" w:rsidP="00D04BDF">
      <w:pPr>
        <w:tabs>
          <w:tab w:val="left" w:pos="2160"/>
          <w:tab w:val="left" w:pos="2280"/>
        </w:tabs>
        <w:spacing w:line="240" w:lineRule="auto"/>
        <w:ind w:firstLine="0"/>
        <w:jc w:val="left"/>
        <w:rPr>
          <w:rFonts w:eastAsia="Times New Roman" w:cs="Arial"/>
        </w:rPr>
      </w:pPr>
    </w:p>
    <w:p w:rsidR="00D04BDF" w:rsidRPr="00D04BDF" w:rsidRDefault="00D04BDF" w:rsidP="00D04BDF">
      <w:pPr>
        <w:tabs>
          <w:tab w:val="left" w:pos="2160"/>
          <w:tab w:val="left" w:pos="2280"/>
        </w:tabs>
        <w:spacing w:line="240" w:lineRule="auto"/>
        <w:ind w:firstLine="0"/>
        <w:jc w:val="left"/>
        <w:rPr>
          <w:rFonts w:eastAsia="Times New Roman" w:cs="Arial"/>
        </w:rPr>
        <w:sectPr w:rsidR="00D04BDF" w:rsidRPr="00D04BDF" w:rsidSect="000F1140">
          <w:type w:val="continuous"/>
          <w:pgSz w:w="12240" w:h="15840"/>
          <w:pgMar w:top="1440" w:right="1440" w:bottom="1440" w:left="1440" w:header="720" w:footer="720" w:gutter="0"/>
          <w:cols w:num="2" w:space="720"/>
          <w:docGrid w:linePitch="360"/>
        </w:sectPr>
      </w:pP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lastRenderedPageBreak/>
        <w:t>William Wright</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Thomas McNamee</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Attorney General’s Office</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Public Utilities Commission of Ohio</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180 East Broad Street – 6</w:t>
      </w:r>
      <w:r w:rsidRPr="00D04BDF">
        <w:rPr>
          <w:rFonts w:eastAsia="Times New Roman" w:cs="Arial"/>
          <w:vertAlign w:val="superscript"/>
        </w:rPr>
        <w:t>th</w:t>
      </w:r>
      <w:r w:rsidRPr="00D04BDF">
        <w:rPr>
          <w:rFonts w:eastAsia="Times New Roman" w:cs="Arial"/>
        </w:rPr>
        <w:t xml:space="preserve"> Floor</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Columbus, Ohio  43215</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william.wright@puc.state.oh.us</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thomas.mcnamee@puc.state.oh.us</w:t>
      </w:r>
    </w:p>
    <w:p w:rsidR="00D04BDF" w:rsidRPr="00D04BDF" w:rsidRDefault="00D04BDF" w:rsidP="00D04BDF">
      <w:pPr>
        <w:tabs>
          <w:tab w:val="left" w:pos="2160"/>
          <w:tab w:val="left" w:pos="2280"/>
        </w:tabs>
        <w:spacing w:line="240" w:lineRule="auto"/>
        <w:ind w:firstLine="0"/>
        <w:jc w:val="left"/>
        <w:rPr>
          <w:rFonts w:eastAsia="Times New Roman" w:cs="Arial"/>
        </w:rPr>
      </w:pPr>
    </w:p>
    <w:p w:rsidR="00D04BDF" w:rsidRPr="00C15BF4" w:rsidRDefault="00D04BDF" w:rsidP="00D04BDF">
      <w:pPr>
        <w:tabs>
          <w:tab w:val="left" w:pos="2160"/>
          <w:tab w:val="left" w:pos="2280"/>
        </w:tabs>
        <w:spacing w:line="240" w:lineRule="auto"/>
        <w:ind w:firstLine="0"/>
        <w:jc w:val="left"/>
        <w:rPr>
          <w:rFonts w:ascii="Arial Bold" w:eastAsia="Times New Roman" w:hAnsi="Arial Bold" w:cs="Arial"/>
          <w:b/>
          <w:smallCaps/>
        </w:rPr>
      </w:pPr>
      <w:r w:rsidRPr="00C15BF4">
        <w:rPr>
          <w:rFonts w:ascii="Arial Bold" w:eastAsia="Times New Roman" w:hAnsi="Arial Bold" w:cs="Arial"/>
          <w:b/>
          <w:smallCaps/>
        </w:rPr>
        <w:t>On Behalf of the Public</w:t>
      </w:r>
      <w:r w:rsidR="00C15BF4" w:rsidRPr="00C15BF4">
        <w:rPr>
          <w:rFonts w:ascii="Arial Bold" w:eastAsia="Times New Roman" w:hAnsi="Arial Bold" w:cs="Arial"/>
          <w:b/>
          <w:smallCaps/>
        </w:rPr>
        <w:t xml:space="preserve"> Utilities Commission of Ohio</w:t>
      </w:r>
    </w:p>
    <w:p w:rsidR="00D04BDF" w:rsidRDefault="00D04BDF" w:rsidP="00D04BDF">
      <w:pPr>
        <w:tabs>
          <w:tab w:val="left" w:pos="2160"/>
          <w:tab w:val="left" w:pos="2280"/>
        </w:tabs>
        <w:spacing w:line="240" w:lineRule="auto"/>
        <w:ind w:firstLine="0"/>
        <w:jc w:val="left"/>
        <w:rPr>
          <w:rFonts w:eastAsia="Times New Roman" w:cs="Arial"/>
        </w:rPr>
      </w:pP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Greta See</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Sarah Parrott</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Tamara S. Turkenton</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Attorney Examiner</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Public Utilities Commission of Ohio</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180 E. Broad Street – 12</w:t>
      </w:r>
      <w:r w:rsidRPr="00D04BDF">
        <w:rPr>
          <w:rFonts w:eastAsia="Times New Roman" w:cs="Arial"/>
          <w:vertAlign w:val="superscript"/>
        </w:rPr>
        <w:t>th</w:t>
      </w:r>
      <w:r w:rsidRPr="00D04BDF">
        <w:rPr>
          <w:rFonts w:eastAsia="Times New Roman" w:cs="Arial"/>
        </w:rPr>
        <w:t xml:space="preserve"> Floor</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Columbus, Ohio 43215</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greta.see@puc.state.oh.us</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sarah.parrot@puc.state.oh.us</w:t>
      </w:r>
    </w:p>
    <w:p w:rsidR="00D04BDF" w:rsidRPr="00D04BDF" w:rsidRDefault="00D04BDF" w:rsidP="00D04BDF">
      <w:pPr>
        <w:tabs>
          <w:tab w:val="left" w:pos="2160"/>
          <w:tab w:val="left" w:pos="2280"/>
        </w:tabs>
        <w:spacing w:line="240" w:lineRule="auto"/>
        <w:ind w:firstLine="0"/>
        <w:jc w:val="left"/>
        <w:rPr>
          <w:rFonts w:eastAsia="Times New Roman" w:cs="Arial"/>
        </w:rPr>
      </w:pPr>
      <w:r w:rsidRPr="00D04BDF">
        <w:rPr>
          <w:rFonts w:eastAsia="Times New Roman" w:cs="Arial"/>
        </w:rPr>
        <w:t>tamara.turkenten@puc.state.oh.us</w:t>
      </w:r>
    </w:p>
    <w:p w:rsidR="00D04BDF" w:rsidRPr="00D04BDF" w:rsidRDefault="00D04BDF" w:rsidP="00D04BDF">
      <w:pPr>
        <w:tabs>
          <w:tab w:val="left" w:pos="2160"/>
          <w:tab w:val="left" w:pos="2280"/>
        </w:tabs>
        <w:spacing w:line="240" w:lineRule="auto"/>
        <w:ind w:firstLine="0"/>
        <w:jc w:val="left"/>
        <w:rPr>
          <w:rFonts w:eastAsia="Times New Roman" w:cs="Arial"/>
        </w:rPr>
      </w:pPr>
    </w:p>
    <w:p w:rsidR="008E3BF4" w:rsidRPr="00D04BDF" w:rsidRDefault="008E3BF4" w:rsidP="00D04BDF">
      <w:pPr>
        <w:tabs>
          <w:tab w:val="left" w:pos="2160"/>
          <w:tab w:val="left" w:pos="2280"/>
        </w:tabs>
        <w:spacing w:line="240" w:lineRule="auto"/>
        <w:ind w:firstLine="0"/>
        <w:jc w:val="left"/>
        <w:rPr>
          <w:rFonts w:cs="Arial"/>
        </w:rPr>
      </w:pPr>
    </w:p>
    <w:sectPr w:rsidR="008E3BF4" w:rsidRPr="00D04BDF" w:rsidSect="00D04BDF">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7D" w:rsidRDefault="00944E7D" w:rsidP="00944E7D">
      <w:pPr>
        <w:spacing w:line="240" w:lineRule="auto"/>
      </w:pPr>
      <w:r>
        <w:separator/>
      </w:r>
    </w:p>
  </w:endnote>
  <w:endnote w:type="continuationSeparator" w:id="0">
    <w:p w:rsidR="00944E7D" w:rsidRDefault="00944E7D" w:rsidP="00944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B0" w:rsidRDefault="00C667B0">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67B0" w:rsidRDefault="00C66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B0" w:rsidRDefault="00C667B0">
    <w:pPr>
      <w:pStyle w:val="Footer"/>
      <w:framePr w:wrap="around"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separate"/>
    </w:r>
    <w:r w:rsidR="00EA5419">
      <w:rPr>
        <w:rStyle w:val="PageNumber"/>
        <w:noProof/>
      </w:rPr>
      <w:t>2</w:t>
    </w:r>
    <w:r>
      <w:rPr>
        <w:rStyle w:val="PageNumber"/>
        <w:noProof/>
      </w:rPr>
      <w:fldChar w:fldCharType="end"/>
    </w:r>
  </w:p>
  <w:p w:rsidR="00C667B0" w:rsidRDefault="00E47757">
    <w:pPr>
      <w:pStyle w:val="Footer"/>
    </w:pPr>
    <w:r w:rsidRPr="00E47757">
      <w:rPr>
        <w:sz w:val="16"/>
      </w:rPr>
      <w:t>{C42143: }</w:t>
    </w:r>
    <w:r w:rsidR="00E46D54">
      <w:rPr>
        <w:sz w:val="16"/>
      </w:rPr>
      <w:t>C36590:5}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B0" w:rsidRDefault="00E47757" w:rsidP="00C667B0">
    <w:pPr>
      <w:pStyle w:val="Footer"/>
      <w:ind w:firstLine="0"/>
    </w:pPr>
    <w:r w:rsidRPr="00E47757">
      <w:rPr>
        <w:noProof/>
        <w:sz w:val="16"/>
      </w:rPr>
      <w:t>{C42143: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30" w:rsidRDefault="004C61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AE" w:rsidRPr="00301441" w:rsidRDefault="00E47757" w:rsidP="00AA4F40">
    <w:pPr>
      <w:pStyle w:val="Footer"/>
      <w:ind w:firstLine="0"/>
    </w:pPr>
    <w:r w:rsidRPr="00E47757">
      <w:rPr>
        <w:noProof/>
        <w:sz w:val="16"/>
      </w:rPr>
      <w:t>{C42143: }</w:t>
    </w:r>
    <w:sdt>
      <w:sdtPr>
        <w:id w:val="-1627539646"/>
        <w:docPartObj>
          <w:docPartGallery w:val="Page Numbers (Bottom of Page)"/>
          <w:docPartUnique/>
        </w:docPartObj>
      </w:sdtPr>
      <w:sdtEndPr>
        <w:rPr>
          <w:noProof/>
        </w:rPr>
      </w:sdtEndPr>
      <w:sdtContent>
        <w:r w:rsidR="00BB00AE">
          <w:tab/>
        </w:r>
        <w:r w:rsidR="00793AEB" w:rsidRPr="00301441">
          <w:fldChar w:fldCharType="begin"/>
        </w:r>
        <w:r w:rsidR="00793AEB" w:rsidRPr="00301441">
          <w:instrText xml:space="preserve"> PAGE   \* MERGEFORMAT </w:instrText>
        </w:r>
        <w:r w:rsidR="00793AEB" w:rsidRPr="00301441">
          <w:fldChar w:fldCharType="separate"/>
        </w:r>
        <w:r>
          <w:rPr>
            <w:noProof/>
          </w:rPr>
          <w:t>5</w:t>
        </w:r>
        <w:r w:rsidR="00793AEB" w:rsidRPr="00301441">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30" w:rsidRPr="004C6130" w:rsidRDefault="00E47757" w:rsidP="00C667B0">
    <w:pPr>
      <w:pStyle w:val="Footer"/>
      <w:ind w:firstLine="0"/>
    </w:pPr>
    <w:r w:rsidRPr="00E47757">
      <w:rPr>
        <w:noProof/>
        <w:sz w:val="16"/>
      </w:rPr>
      <w:t>{C42143: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B0" w:rsidRDefault="00C667B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B0" w:rsidRPr="009C04BB" w:rsidRDefault="00E47757" w:rsidP="00AA4F40">
    <w:pPr>
      <w:pStyle w:val="Footer"/>
      <w:ind w:firstLine="0"/>
    </w:pPr>
    <w:r w:rsidRPr="00E47757">
      <w:rPr>
        <w:noProof/>
        <w:sz w:val="16"/>
      </w:rPr>
      <w:t>{C42143: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B0" w:rsidRDefault="00C66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7D" w:rsidRDefault="00944E7D" w:rsidP="00944E7D">
      <w:pPr>
        <w:spacing w:line="240" w:lineRule="auto"/>
        <w:rPr>
          <w:noProof/>
        </w:rPr>
      </w:pPr>
      <w:r>
        <w:rPr>
          <w:noProof/>
        </w:rPr>
        <w:separator/>
      </w:r>
    </w:p>
  </w:footnote>
  <w:footnote w:type="continuationSeparator" w:id="0">
    <w:p w:rsidR="00944E7D" w:rsidRDefault="00944E7D" w:rsidP="00944E7D">
      <w:pPr>
        <w:spacing w:line="240" w:lineRule="auto"/>
      </w:pPr>
      <w:r>
        <w:continuationSeparator/>
      </w:r>
    </w:p>
  </w:footnote>
  <w:footnote w:id="1">
    <w:p w:rsidR="00085CC3" w:rsidRDefault="00085CC3" w:rsidP="00085CC3">
      <w:pPr>
        <w:pStyle w:val="FootnoteText"/>
        <w:spacing w:after="120"/>
        <w:ind w:firstLine="0"/>
      </w:pPr>
      <w:r>
        <w:rPr>
          <w:rStyle w:val="FootnoteReference"/>
        </w:rPr>
        <w:footnoteRef/>
      </w:r>
      <w:r>
        <w:t xml:space="preserve"> Columbus Southern Power Company (“CSP”) merged with Ohio Power Company in December 2011.  The surviving entity </w:t>
      </w:r>
      <w:r w:rsidR="0065294B">
        <w:t>is</w:t>
      </w:r>
      <w:r>
        <w:t xml:space="preserve"> Ohio Power Company.  For convenience, CSP and AEP-Ohio will be used interchangeably unless the context requires different treatment.</w:t>
      </w:r>
    </w:p>
  </w:footnote>
  <w:footnote w:id="2">
    <w:p w:rsidR="00944E7D" w:rsidRDefault="00944E7D" w:rsidP="00E46D54">
      <w:pPr>
        <w:pStyle w:val="FootnoteText"/>
        <w:spacing w:after="120"/>
        <w:ind w:firstLine="0"/>
      </w:pPr>
      <w:r>
        <w:rPr>
          <w:rStyle w:val="FootnoteReference"/>
        </w:rPr>
        <w:footnoteRef/>
      </w:r>
      <w:r>
        <w:t xml:space="preserve"> </w:t>
      </w:r>
      <w:r>
        <w:rPr>
          <w:i/>
        </w:rPr>
        <w:t xml:space="preserve">In the Matter of the Application of Columbus Southern Power Company and Ohio Power Company for Administration of the Significantly Excessive Earnings Test Under Section 4928.143(F), Revised Code, and Rule 4901:1-35-10, Ohio Administrative Code, </w:t>
      </w:r>
      <w:r>
        <w:t>Case No. 10-1261-EL-UNC Opinion and Order at 26-27 (Jan. 11, 2011) (hereinafter, the “</w:t>
      </w:r>
      <w:r>
        <w:rPr>
          <w:i/>
        </w:rPr>
        <w:t>2009 SEET Case</w:t>
      </w:r>
      <w:r>
        <w:t>”).</w:t>
      </w:r>
    </w:p>
  </w:footnote>
  <w:footnote w:id="3">
    <w:p w:rsidR="00944E7D" w:rsidRDefault="00944E7D" w:rsidP="00E46D54">
      <w:pPr>
        <w:pStyle w:val="FootnoteText"/>
        <w:spacing w:after="120"/>
        <w:ind w:firstLine="0"/>
        <w:rPr>
          <w:i/>
        </w:rPr>
      </w:pPr>
      <w:r>
        <w:rPr>
          <w:rStyle w:val="FootnoteReference"/>
        </w:rPr>
        <w:footnoteRef/>
      </w:r>
      <w:r>
        <w:t xml:space="preserve"> </w:t>
      </w:r>
      <w:r>
        <w:rPr>
          <w:i/>
        </w:rPr>
        <w:t>Id.</w:t>
      </w:r>
    </w:p>
  </w:footnote>
  <w:footnote w:id="4">
    <w:p w:rsidR="00D03678" w:rsidRDefault="00D03678" w:rsidP="00D03678">
      <w:pPr>
        <w:pStyle w:val="FootnoteText"/>
        <w:spacing w:after="120"/>
        <w:ind w:firstLine="0"/>
      </w:pPr>
      <w:r>
        <w:rPr>
          <w:rStyle w:val="FootnoteReference"/>
        </w:rPr>
        <w:footnoteRef/>
      </w:r>
      <w:r>
        <w:t xml:space="preserve"> </w:t>
      </w:r>
      <w:r w:rsidR="0065294B">
        <w:rPr>
          <w:i/>
        </w:rPr>
        <w:t>Id</w:t>
      </w:r>
      <w:r w:rsidR="00D7264A">
        <w:t>.,</w:t>
      </w:r>
      <w:r>
        <w:t xml:space="preserve"> Application for Rehearing of Columbus Southern Power Company at 2-3 (Feb. 10, 2011).</w:t>
      </w:r>
    </w:p>
  </w:footnote>
  <w:footnote w:id="5">
    <w:p w:rsidR="00D03678" w:rsidRDefault="00D03678" w:rsidP="00D03678">
      <w:pPr>
        <w:pStyle w:val="FootnoteText"/>
        <w:spacing w:after="120"/>
        <w:ind w:firstLine="0"/>
      </w:pPr>
      <w:r>
        <w:rPr>
          <w:rStyle w:val="FootnoteReference"/>
        </w:rPr>
        <w:footnoteRef/>
      </w:r>
      <w:r>
        <w:t xml:space="preserve"> </w:t>
      </w:r>
      <w:r w:rsidRPr="00C11BFE">
        <w:rPr>
          <w:i/>
        </w:rPr>
        <w:t>Id</w:t>
      </w:r>
      <w:r>
        <w:t>., Notice of Cross-Appeal of Columbus Southern Power Company (May 13, 2011).</w:t>
      </w:r>
    </w:p>
  </w:footnote>
  <w:footnote w:id="6">
    <w:p w:rsidR="00D03678" w:rsidRDefault="00D03678" w:rsidP="00D03678">
      <w:pPr>
        <w:pStyle w:val="FootnoteText"/>
        <w:spacing w:after="120"/>
        <w:ind w:firstLine="0"/>
      </w:pPr>
      <w:r>
        <w:rPr>
          <w:rStyle w:val="FootnoteReference"/>
        </w:rPr>
        <w:footnoteRef/>
      </w:r>
      <w:r>
        <w:t xml:space="preserve"> </w:t>
      </w:r>
      <w:r w:rsidRPr="00C11BFE">
        <w:rPr>
          <w:i/>
        </w:rPr>
        <w:t>In re Application of Columbus S. Power Co</w:t>
      </w:r>
      <w:r>
        <w:t>., 134 Ohio St.3d 392 (2012).</w:t>
      </w:r>
    </w:p>
  </w:footnote>
  <w:footnote w:id="7">
    <w:p w:rsidR="00944E7D" w:rsidRDefault="00944E7D" w:rsidP="00E46D54">
      <w:pPr>
        <w:pStyle w:val="FootnoteText"/>
        <w:spacing w:after="120"/>
        <w:ind w:firstLine="0"/>
      </w:pPr>
      <w:r>
        <w:rPr>
          <w:rStyle w:val="FootnoteReference"/>
        </w:rPr>
        <w:footnoteRef/>
      </w:r>
      <w:r>
        <w:t xml:space="preserve"> </w:t>
      </w:r>
      <w:r>
        <w:rPr>
          <w:i/>
        </w:rPr>
        <w:t>In the Matter of the Long-Term Forecast Report of Ohio Power Company and Related Matters</w:t>
      </w:r>
      <w:r>
        <w:t xml:space="preserve">, Case Nos. 10-501-EL-FOR, </w:t>
      </w:r>
      <w:r>
        <w:rPr>
          <w:i/>
        </w:rPr>
        <w:t>et al</w:t>
      </w:r>
      <w:r>
        <w:t>. (hereinafter, the “</w:t>
      </w:r>
      <w:r>
        <w:rPr>
          <w:i/>
        </w:rPr>
        <w:t>2010 LTFR Case</w:t>
      </w:r>
      <w:r>
        <w:t>”).</w:t>
      </w:r>
    </w:p>
  </w:footnote>
  <w:footnote w:id="8">
    <w:p w:rsidR="00944E7D" w:rsidRDefault="00944E7D" w:rsidP="00E46D54">
      <w:pPr>
        <w:pStyle w:val="FootnoteText"/>
        <w:spacing w:after="120"/>
        <w:ind w:firstLine="0"/>
      </w:pPr>
      <w:r>
        <w:rPr>
          <w:rStyle w:val="FootnoteReference"/>
          <w:i/>
        </w:rPr>
        <w:footnoteRef/>
      </w:r>
      <w:r>
        <w:rPr>
          <w:i/>
        </w:rPr>
        <w:t xml:space="preserve"> </w:t>
      </w:r>
      <w:r w:rsidR="0065294B">
        <w:rPr>
          <w:i/>
        </w:rPr>
        <w:t>Id.</w:t>
      </w:r>
      <w:r>
        <w:t>, Opinion and Order at 27 (Jan. 9, 2013).</w:t>
      </w:r>
    </w:p>
  </w:footnote>
  <w:footnote w:id="9">
    <w:p w:rsidR="00944E7D" w:rsidRDefault="00944E7D" w:rsidP="00E46D54">
      <w:pPr>
        <w:pStyle w:val="FootnoteText"/>
        <w:spacing w:after="120"/>
        <w:ind w:firstLine="0"/>
      </w:pPr>
      <w:r>
        <w:rPr>
          <w:rStyle w:val="FootnoteReference"/>
        </w:rPr>
        <w:footnoteRef/>
      </w:r>
      <w:r>
        <w:t xml:space="preserve"> </w:t>
      </w:r>
      <w:r>
        <w:rPr>
          <w:i/>
        </w:rPr>
        <w:t>Id.</w:t>
      </w:r>
      <w:r>
        <w:t xml:space="preserve"> at 27-28</w:t>
      </w:r>
      <w:r w:rsidR="00F4209B">
        <w:t xml:space="preserve"> (emphasis added)</w:t>
      </w:r>
      <w:r>
        <w:t>.</w:t>
      </w:r>
    </w:p>
  </w:footnote>
  <w:footnote w:id="10">
    <w:p w:rsidR="00944E7D" w:rsidRDefault="00944E7D" w:rsidP="00E46D54">
      <w:pPr>
        <w:pStyle w:val="FootnoteText"/>
        <w:spacing w:after="120"/>
        <w:ind w:firstLine="0"/>
      </w:pPr>
      <w:r>
        <w:rPr>
          <w:rStyle w:val="FootnoteReference"/>
        </w:rPr>
        <w:footnoteRef/>
      </w:r>
      <w:r>
        <w:t xml:space="preserve"> </w:t>
      </w:r>
      <w:r>
        <w:rPr>
          <w:i/>
        </w:rPr>
        <w:t xml:space="preserve">Id. </w:t>
      </w:r>
      <w:r w:rsidRPr="00004A4E">
        <w:t>at 28.</w:t>
      </w:r>
    </w:p>
  </w:footnote>
  <w:footnote w:id="11">
    <w:p w:rsidR="00D03678" w:rsidRDefault="00D03678" w:rsidP="00D03678">
      <w:pPr>
        <w:pStyle w:val="FootnoteText"/>
        <w:spacing w:after="120"/>
        <w:ind w:firstLine="0"/>
      </w:pPr>
      <w:r>
        <w:rPr>
          <w:rStyle w:val="FootnoteReference"/>
        </w:rPr>
        <w:footnoteRef/>
      </w:r>
      <w:r w:rsidR="0065294B">
        <w:t xml:space="preserve"> </w:t>
      </w:r>
      <w:r w:rsidR="0065294B" w:rsidRPr="0065294B">
        <w:rPr>
          <w:i/>
        </w:rPr>
        <w:t>2010 LTFR Case</w:t>
      </w:r>
      <w:r>
        <w:t>, Entry on Rehearing (Mar. 6, 2013).</w:t>
      </w:r>
    </w:p>
  </w:footnote>
  <w:footnote w:id="12">
    <w:p w:rsidR="00944E7D" w:rsidRDefault="00944E7D" w:rsidP="00E46D54">
      <w:pPr>
        <w:pStyle w:val="FootnoteText"/>
        <w:spacing w:after="120"/>
        <w:ind w:firstLine="0"/>
      </w:pPr>
      <w:r>
        <w:rPr>
          <w:rStyle w:val="FootnoteReference"/>
        </w:rPr>
        <w:footnoteRef/>
      </w:r>
      <w:r>
        <w:t xml:space="preserve"> </w:t>
      </w:r>
      <w:r w:rsidR="00164566" w:rsidRPr="004F37AB">
        <w:rPr>
          <w:i/>
        </w:rPr>
        <w:t>In the Matter of the Application of Ohio Power Company to Initiate Phase 2 of its gridSMART Project and to Establish the gridSMART Phase 2 Rider</w:t>
      </w:r>
      <w:r w:rsidR="00164566">
        <w:t xml:space="preserve">, Case No. 13-1939-EL-RDR, </w:t>
      </w:r>
      <w:r>
        <w:t>Application at 4</w:t>
      </w:r>
      <w:r w:rsidR="00164566">
        <w:t xml:space="preserve"> (Sept 13, 2013) (“</w:t>
      </w:r>
      <w:r w:rsidR="00164566" w:rsidRPr="00164566">
        <w:rPr>
          <w:i/>
        </w:rPr>
        <w:t>gridSMART Rider Case</w:t>
      </w:r>
      <w:r w:rsidR="00164566">
        <w:t>”)</w:t>
      </w:r>
      <w:r>
        <w:t>.</w:t>
      </w:r>
    </w:p>
  </w:footnote>
  <w:footnote w:id="13">
    <w:p w:rsidR="00944E7D" w:rsidRDefault="00944E7D" w:rsidP="00E46D54">
      <w:pPr>
        <w:pStyle w:val="FootnoteText"/>
        <w:spacing w:after="120"/>
        <w:ind w:firstLine="0"/>
      </w:pPr>
      <w:r>
        <w:rPr>
          <w:rStyle w:val="FootnoteReference"/>
        </w:rPr>
        <w:footnoteRef/>
      </w:r>
      <w:r>
        <w:t xml:space="preserve"> </w:t>
      </w:r>
      <w:r w:rsidR="00164566">
        <w:rPr>
          <w:i/>
        </w:rPr>
        <w:t xml:space="preserve">Id., </w:t>
      </w:r>
      <w:r>
        <w:t>Staff Comments at 3</w:t>
      </w:r>
      <w:r w:rsidR="00164566">
        <w:t xml:space="preserve"> (Nov. 1, 2013)</w:t>
      </w:r>
      <w:r>
        <w:t>.</w:t>
      </w:r>
      <w:r w:rsidR="00C76C2C">
        <w:t xml:space="preserve">  </w:t>
      </w:r>
      <w:r w:rsidR="00C76C2C" w:rsidRPr="00C76C2C">
        <w:t>OCC’s comments also recommended that AEP-Ohio not move forward with Phase 2 of the gridSMART program at this time</w:t>
      </w:r>
      <w:r w:rsidR="00C76C2C">
        <w:t xml:space="preserve">. </w:t>
      </w:r>
      <w:r>
        <w:t xml:space="preserve"> </w:t>
      </w:r>
      <w:r w:rsidR="00C76C2C" w:rsidRPr="00164566">
        <w:rPr>
          <w:i/>
        </w:rPr>
        <w:t>Id</w:t>
      </w:r>
      <w:r w:rsidR="00C76C2C">
        <w:t xml:space="preserve">., OCC Comments at 2 (Nov. 1, 2013); </w:t>
      </w:r>
      <w:r w:rsidR="00C76C2C">
        <w:rPr>
          <w:i/>
        </w:rPr>
        <w:t>see also</w:t>
      </w:r>
      <w:r w:rsidR="0065294B">
        <w:rPr>
          <w:i/>
        </w:rPr>
        <w:t xml:space="preserve"> id.,</w:t>
      </w:r>
      <w:r w:rsidR="00C76C2C">
        <w:rPr>
          <w:i/>
        </w:rPr>
        <w:t xml:space="preserve"> </w:t>
      </w:r>
      <w:r w:rsidR="00C76C2C">
        <w:t>RESA Comments at 4 (Nov. 1, 2013).</w:t>
      </w:r>
    </w:p>
  </w:footnote>
  <w:footnote w:id="14">
    <w:p w:rsidR="00944E7D" w:rsidRDefault="00944E7D" w:rsidP="00E46D54">
      <w:pPr>
        <w:pStyle w:val="FootnoteText"/>
        <w:spacing w:after="120"/>
        <w:ind w:firstLine="0"/>
      </w:pPr>
      <w:r>
        <w:rPr>
          <w:rStyle w:val="FootnoteReference"/>
        </w:rPr>
        <w:footnoteRef/>
      </w:r>
      <w:r>
        <w:t xml:space="preserve"> </w:t>
      </w:r>
      <w:r w:rsidR="00164566" w:rsidRPr="00164566">
        <w:rPr>
          <w:i/>
        </w:rPr>
        <w:t>Id</w:t>
      </w:r>
      <w:r w:rsidR="00164566">
        <w:t xml:space="preserve">., </w:t>
      </w:r>
      <w:r>
        <w:t>Staff Comments at 3 (emphasis added).</w:t>
      </w:r>
    </w:p>
  </w:footnote>
  <w:footnote w:id="15">
    <w:p w:rsidR="00ED618C" w:rsidRDefault="00ED618C" w:rsidP="00E46D54">
      <w:pPr>
        <w:pStyle w:val="FootnoteText"/>
        <w:spacing w:after="120"/>
        <w:ind w:firstLine="0"/>
      </w:pPr>
      <w:r>
        <w:rPr>
          <w:rStyle w:val="FootnoteReference"/>
        </w:rPr>
        <w:footnoteRef/>
      </w:r>
      <w:r>
        <w:t xml:space="preserve"> Opinion and Order at 18-19 (Oct. 23, 2013).</w:t>
      </w:r>
    </w:p>
  </w:footnote>
  <w:footnote w:id="16">
    <w:p w:rsidR="00ED618C" w:rsidRDefault="00ED618C" w:rsidP="00E46D54">
      <w:pPr>
        <w:pStyle w:val="FootnoteText"/>
        <w:spacing w:after="120"/>
        <w:ind w:firstLine="0"/>
      </w:pPr>
      <w:r>
        <w:rPr>
          <w:rStyle w:val="FootnoteReference"/>
        </w:rPr>
        <w:footnoteRef/>
      </w:r>
      <w:r>
        <w:t xml:space="preserve"> Ohio Power Company’s Application for Rehearing and Request for Clarification at 1</w:t>
      </w:r>
      <w:r w:rsidR="00D04BDF">
        <w:t>-2</w:t>
      </w:r>
      <w:r>
        <w:t xml:space="preserve"> (Nov. 22, 2013) (“AEP-Ohio Application for Rehearing”).</w:t>
      </w:r>
    </w:p>
  </w:footnote>
  <w:footnote w:id="17">
    <w:p w:rsidR="004960D0" w:rsidRDefault="004960D0" w:rsidP="00E46D54">
      <w:pPr>
        <w:pStyle w:val="FootnoteText"/>
        <w:spacing w:after="120"/>
        <w:ind w:firstLine="0"/>
      </w:pPr>
      <w:r>
        <w:rPr>
          <w:rStyle w:val="FootnoteReference"/>
        </w:rPr>
        <w:footnoteRef/>
      </w:r>
      <w:r>
        <w:t xml:space="preserve"> </w:t>
      </w:r>
      <w:r w:rsidRPr="004F37AB">
        <w:rPr>
          <w:i/>
        </w:rPr>
        <w:t>Id</w:t>
      </w:r>
      <w:r>
        <w:t>. at 5.</w:t>
      </w:r>
    </w:p>
  </w:footnote>
  <w:footnote w:id="18">
    <w:p w:rsidR="00C555B5" w:rsidRDefault="00C555B5" w:rsidP="00C555B5">
      <w:pPr>
        <w:pStyle w:val="FootnoteText"/>
        <w:spacing w:after="120"/>
        <w:ind w:firstLine="0"/>
      </w:pPr>
      <w:r>
        <w:rPr>
          <w:rStyle w:val="FootnoteReference"/>
        </w:rPr>
        <w:footnoteRef/>
      </w:r>
      <w:r>
        <w:t xml:space="preserve"> 16 Ohio St.3d 9 (1985).</w:t>
      </w:r>
    </w:p>
  </w:footnote>
  <w:footnote w:id="19">
    <w:p w:rsidR="00C555B5" w:rsidRDefault="00C555B5" w:rsidP="00C555B5">
      <w:pPr>
        <w:pStyle w:val="FootnoteText"/>
        <w:spacing w:after="120"/>
        <w:ind w:firstLine="0"/>
      </w:pPr>
      <w:r>
        <w:rPr>
          <w:rStyle w:val="FootnoteReference"/>
        </w:rPr>
        <w:footnoteRef/>
      </w:r>
      <w:r>
        <w:t xml:space="preserve"> </w:t>
      </w:r>
      <w:r w:rsidRPr="002042CF">
        <w:rPr>
          <w:i/>
        </w:rPr>
        <w:t>Id.</w:t>
      </w:r>
      <w:r>
        <w:t xml:space="preserve"> at 10 (citations omitted).</w:t>
      </w:r>
    </w:p>
  </w:footnote>
  <w:footnote w:id="20">
    <w:p w:rsidR="004D561E" w:rsidRDefault="004D561E" w:rsidP="004D561E">
      <w:pPr>
        <w:pStyle w:val="FootnoteText"/>
        <w:spacing w:after="120"/>
        <w:ind w:firstLine="0"/>
      </w:pPr>
      <w:r>
        <w:rPr>
          <w:rStyle w:val="FootnoteReference"/>
        </w:rPr>
        <w:footnoteRef/>
      </w:r>
      <w:r>
        <w:t xml:space="preserve"> In its application for rehearing, OCC requests that $20 million be applied to the Storm Damage Recovery Rider.  Application for Rehearing by the Office of the Ohio Consumers’ Counsel at 2 (Nov. 22, 2013).  Because the Storm Damage Recovery Rider should be allocated based on distribution revenue, the crediting approach su</w:t>
      </w:r>
      <w:r w:rsidR="00C31CDD">
        <w:t>ggested by OCC is not correct.</w:t>
      </w:r>
    </w:p>
  </w:footnote>
  <w:footnote w:id="21">
    <w:p w:rsidR="00DB3705" w:rsidRDefault="00DB3705" w:rsidP="00E46D54">
      <w:pPr>
        <w:pStyle w:val="FootnoteText"/>
        <w:spacing w:after="120"/>
        <w:ind w:firstLine="0"/>
      </w:pPr>
      <w:r>
        <w:rPr>
          <w:rStyle w:val="FootnoteReference"/>
        </w:rPr>
        <w:footnoteRef/>
      </w:r>
      <w:r>
        <w:t xml:space="preserve"> </w:t>
      </w:r>
      <w:r w:rsidRPr="00DB3705">
        <w:rPr>
          <w:i/>
        </w:rPr>
        <w:t>In the Matter of the Application of Columbus Southern Power Company and Ohio Power Company for Authority to Establish a Standard Service Offer Pursuant to Section 4928.143, Revised Code, in the Form of an Electric Security Plan</w:t>
      </w:r>
      <w:r w:rsidRPr="00DB3705">
        <w:t xml:space="preserve">, Case Nos. 11-346-EL-SSO, </w:t>
      </w:r>
      <w:r w:rsidRPr="00DB3705">
        <w:rPr>
          <w:i/>
        </w:rPr>
        <w:t>et al.</w:t>
      </w:r>
      <w:r w:rsidRPr="00DB3705">
        <w:t>, Opinion and Order (Aug. 8, 2012) (“ESP II Order”).</w:t>
      </w:r>
    </w:p>
  </w:footnote>
  <w:footnote w:id="22">
    <w:p w:rsidR="00DB3705" w:rsidRDefault="00DB3705" w:rsidP="00E46D54">
      <w:pPr>
        <w:pStyle w:val="FootnoteText"/>
        <w:spacing w:after="120"/>
        <w:ind w:firstLine="0"/>
      </w:pPr>
      <w:r>
        <w:rPr>
          <w:rStyle w:val="FootnoteReference"/>
        </w:rPr>
        <w:footnoteRef/>
      </w:r>
      <w:r>
        <w:t xml:space="preserve"> Opinion and Order at </w:t>
      </w:r>
      <w:r w:rsidR="00FC5004">
        <w:t>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F4" w:rsidRDefault="00C15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F4" w:rsidRDefault="00C15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B0" w:rsidRDefault="00C667B0" w:rsidP="00C667B0">
    <w:pPr>
      <w:pStyle w:val="Heade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30" w:rsidRDefault="004C61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30" w:rsidRDefault="004C6130" w:rsidP="00C667B0">
    <w:pPr>
      <w:pStyle w:val="Header"/>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30" w:rsidRDefault="004C6130" w:rsidP="00C667B0">
    <w:pPr>
      <w:pStyle w:val="Heade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B0" w:rsidRDefault="00C667B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B0" w:rsidRDefault="00C667B0" w:rsidP="00AA4F40">
    <w:pPr>
      <w:pStyle w:val="Header"/>
      <w:ind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B0" w:rsidRDefault="00C66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A103C"/>
    <w:multiLevelType w:val="multilevel"/>
    <w:tmpl w:val="496C3FD2"/>
    <w:name w:val="Ind. Energy Users Group"/>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nd. Energy Users Group"/>
    <w:docVar w:name="LastSchemeUniqueID" w:val="1"/>
    <w:docVar w:name="Option0True" w:val="False"/>
    <w:docVar w:name="Option1True" w:val="False"/>
    <w:docVar w:name="Option2True" w:val="False"/>
  </w:docVars>
  <w:rsids>
    <w:rsidRoot w:val="00944E7D"/>
    <w:rsid w:val="00001EC3"/>
    <w:rsid w:val="00085CC3"/>
    <w:rsid w:val="00164566"/>
    <w:rsid w:val="0019258E"/>
    <w:rsid w:val="001B7F25"/>
    <w:rsid w:val="001E7E6D"/>
    <w:rsid w:val="0022104F"/>
    <w:rsid w:val="002A3670"/>
    <w:rsid w:val="002F200A"/>
    <w:rsid w:val="00301441"/>
    <w:rsid w:val="0035400A"/>
    <w:rsid w:val="00375849"/>
    <w:rsid w:val="0043637A"/>
    <w:rsid w:val="004960D0"/>
    <w:rsid w:val="004A0D64"/>
    <w:rsid w:val="004A27F6"/>
    <w:rsid w:val="004C6130"/>
    <w:rsid w:val="004D561E"/>
    <w:rsid w:val="004F37AB"/>
    <w:rsid w:val="005B1248"/>
    <w:rsid w:val="005B5775"/>
    <w:rsid w:val="0065294B"/>
    <w:rsid w:val="007427AC"/>
    <w:rsid w:val="0074301A"/>
    <w:rsid w:val="00763C0B"/>
    <w:rsid w:val="00793AEB"/>
    <w:rsid w:val="007C293A"/>
    <w:rsid w:val="00827FD5"/>
    <w:rsid w:val="008C05CB"/>
    <w:rsid w:val="008E3BF4"/>
    <w:rsid w:val="00944E7D"/>
    <w:rsid w:val="00AA4F40"/>
    <w:rsid w:val="00AC2FB1"/>
    <w:rsid w:val="00AD30A3"/>
    <w:rsid w:val="00BB00AE"/>
    <w:rsid w:val="00BC482F"/>
    <w:rsid w:val="00C0405A"/>
    <w:rsid w:val="00C11BFE"/>
    <w:rsid w:val="00C15BF4"/>
    <w:rsid w:val="00C20F47"/>
    <w:rsid w:val="00C31CDD"/>
    <w:rsid w:val="00C555B5"/>
    <w:rsid w:val="00C667B0"/>
    <w:rsid w:val="00C73C3C"/>
    <w:rsid w:val="00C76C2C"/>
    <w:rsid w:val="00CA1129"/>
    <w:rsid w:val="00D03678"/>
    <w:rsid w:val="00D04BDF"/>
    <w:rsid w:val="00D7264A"/>
    <w:rsid w:val="00DA4D2A"/>
    <w:rsid w:val="00DB3705"/>
    <w:rsid w:val="00E46D54"/>
    <w:rsid w:val="00E47757"/>
    <w:rsid w:val="00EA5419"/>
    <w:rsid w:val="00EC7142"/>
    <w:rsid w:val="00ED618C"/>
    <w:rsid w:val="00EF07FD"/>
    <w:rsid w:val="00F4209B"/>
    <w:rsid w:val="00F64233"/>
    <w:rsid w:val="00FC3A9D"/>
    <w:rsid w:val="00FC5004"/>
    <w:rsid w:val="00FE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style>
  <w:style w:type="paragraph" w:styleId="Heading1">
    <w:name w:val="heading 1"/>
    <w:basedOn w:val="Normal"/>
    <w:next w:val="Normal"/>
    <w:link w:val="Heading1Char"/>
    <w:uiPriority w:val="9"/>
    <w:qFormat/>
    <w:rsid w:val="008C05CB"/>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8C05CB"/>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8C05CB"/>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8C05CB"/>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8C05CB"/>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8C05CB"/>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8C05CB"/>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8C05CB"/>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8C05CB"/>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944E7D"/>
    <w:rPr>
      <w:vertAlign w:val="superscript"/>
    </w:rPr>
  </w:style>
  <w:style w:type="character" w:customStyle="1" w:styleId="Heading1Char">
    <w:name w:val="Heading 1 Char"/>
    <w:basedOn w:val="DefaultParagraphFont"/>
    <w:link w:val="Heading1"/>
    <w:uiPriority w:val="9"/>
    <w:rsid w:val="008C05CB"/>
    <w:rPr>
      <w:rFonts w:eastAsiaTheme="majorEastAsia" w:cs="Arial"/>
      <w:b/>
      <w:bCs/>
      <w:caps/>
      <w:szCs w:val="28"/>
      <w:u w:val="single"/>
    </w:rPr>
  </w:style>
  <w:style w:type="character" w:customStyle="1" w:styleId="Heading2Char">
    <w:name w:val="Heading 2 Char"/>
    <w:basedOn w:val="DefaultParagraphFont"/>
    <w:link w:val="Heading2"/>
    <w:uiPriority w:val="9"/>
    <w:rsid w:val="008C05CB"/>
    <w:rPr>
      <w:rFonts w:eastAsiaTheme="majorEastAsia" w:cs="Arial"/>
      <w:b/>
      <w:bCs/>
      <w:szCs w:val="26"/>
    </w:rPr>
  </w:style>
  <w:style w:type="character" w:customStyle="1" w:styleId="Heading3Char">
    <w:name w:val="Heading 3 Char"/>
    <w:basedOn w:val="DefaultParagraphFont"/>
    <w:link w:val="Heading3"/>
    <w:uiPriority w:val="9"/>
    <w:rsid w:val="008C05CB"/>
    <w:rPr>
      <w:rFonts w:eastAsiaTheme="majorEastAsia" w:cs="Arial"/>
      <w:b/>
      <w:bCs/>
    </w:rPr>
  </w:style>
  <w:style w:type="character" w:customStyle="1" w:styleId="Heading4Char">
    <w:name w:val="Heading 4 Char"/>
    <w:basedOn w:val="DefaultParagraphFont"/>
    <w:link w:val="Heading4"/>
    <w:uiPriority w:val="9"/>
    <w:semiHidden/>
    <w:rsid w:val="008C05CB"/>
    <w:rPr>
      <w:rFonts w:eastAsiaTheme="majorEastAsia" w:cs="Arial"/>
      <w:b/>
      <w:bCs/>
      <w:i/>
      <w:iCs/>
    </w:rPr>
  </w:style>
  <w:style w:type="character" w:customStyle="1" w:styleId="Heading5Char">
    <w:name w:val="Heading 5 Char"/>
    <w:basedOn w:val="DefaultParagraphFont"/>
    <w:link w:val="Heading5"/>
    <w:uiPriority w:val="9"/>
    <w:semiHidden/>
    <w:rsid w:val="008C05CB"/>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8C05CB"/>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8C05CB"/>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8C05CB"/>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8C05CB"/>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8C05CB"/>
    <w:pPr>
      <w:spacing w:after="120"/>
    </w:pPr>
  </w:style>
  <w:style w:type="character" w:customStyle="1" w:styleId="BodyTextChar">
    <w:name w:val="Body Text Char"/>
    <w:basedOn w:val="DefaultParagraphFont"/>
    <w:link w:val="BodyText"/>
    <w:uiPriority w:val="99"/>
    <w:semiHidden/>
    <w:rsid w:val="008C05CB"/>
  </w:style>
  <w:style w:type="paragraph" w:styleId="Header">
    <w:name w:val="header"/>
    <w:basedOn w:val="Normal"/>
    <w:link w:val="HeaderChar"/>
    <w:uiPriority w:val="99"/>
    <w:unhideWhenUsed/>
    <w:rsid w:val="004C6130"/>
    <w:pPr>
      <w:tabs>
        <w:tab w:val="center" w:pos="4680"/>
        <w:tab w:val="right" w:pos="9360"/>
      </w:tabs>
      <w:spacing w:line="240" w:lineRule="auto"/>
    </w:pPr>
  </w:style>
  <w:style w:type="character" w:customStyle="1" w:styleId="HeaderChar">
    <w:name w:val="Header Char"/>
    <w:basedOn w:val="DefaultParagraphFont"/>
    <w:link w:val="Header"/>
    <w:uiPriority w:val="99"/>
    <w:rsid w:val="004C6130"/>
  </w:style>
  <w:style w:type="paragraph" w:styleId="Footer">
    <w:name w:val="footer"/>
    <w:basedOn w:val="Normal"/>
    <w:link w:val="FooterChar"/>
    <w:uiPriority w:val="99"/>
    <w:unhideWhenUsed/>
    <w:rsid w:val="004C6130"/>
    <w:pPr>
      <w:tabs>
        <w:tab w:val="center" w:pos="4680"/>
        <w:tab w:val="right" w:pos="9360"/>
      </w:tabs>
      <w:spacing w:line="240" w:lineRule="auto"/>
    </w:pPr>
  </w:style>
  <w:style w:type="character" w:customStyle="1" w:styleId="FooterChar">
    <w:name w:val="Footer Char"/>
    <w:basedOn w:val="DefaultParagraphFont"/>
    <w:link w:val="Footer"/>
    <w:uiPriority w:val="99"/>
    <w:rsid w:val="004C6130"/>
  </w:style>
  <w:style w:type="character" w:styleId="PageNumber">
    <w:name w:val="page number"/>
    <w:basedOn w:val="DefaultParagraphFont"/>
    <w:rsid w:val="00C667B0"/>
  </w:style>
  <w:style w:type="paragraph" w:styleId="BodyText2">
    <w:name w:val="Body Text 2"/>
    <w:basedOn w:val="Normal"/>
    <w:link w:val="BodyText2Char"/>
    <w:uiPriority w:val="99"/>
    <w:semiHidden/>
    <w:unhideWhenUsed/>
    <w:rsid w:val="00C667B0"/>
    <w:pPr>
      <w:spacing w:after="120"/>
    </w:pPr>
  </w:style>
  <w:style w:type="character" w:customStyle="1" w:styleId="BodyText2Char">
    <w:name w:val="Body Text 2 Char"/>
    <w:basedOn w:val="DefaultParagraphFont"/>
    <w:link w:val="BodyText2"/>
    <w:uiPriority w:val="99"/>
    <w:semiHidden/>
    <w:rsid w:val="00C667B0"/>
  </w:style>
  <w:style w:type="paragraph" w:styleId="BalloonText">
    <w:name w:val="Balloon Text"/>
    <w:basedOn w:val="Normal"/>
    <w:link w:val="BalloonTextChar"/>
    <w:uiPriority w:val="99"/>
    <w:semiHidden/>
    <w:unhideWhenUsed/>
    <w:rsid w:val="00E46D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54"/>
    <w:rPr>
      <w:rFonts w:ascii="Tahoma" w:hAnsi="Tahoma" w:cs="Tahoma"/>
      <w:sz w:val="16"/>
      <w:szCs w:val="16"/>
    </w:rPr>
  </w:style>
  <w:style w:type="character" w:styleId="CommentReference">
    <w:name w:val="annotation reference"/>
    <w:basedOn w:val="DefaultParagraphFont"/>
    <w:uiPriority w:val="99"/>
    <w:semiHidden/>
    <w:unhideWhenUsed/>
    <w:rsid w:val="0035400A"/>
    <w:rPr>
      <w:sz w:val="16"/>
      <w:szCs w:val="16"/>
    </w:rPr>
  </w:style>
  <w:style w:type="paragraph" w:styleId="CommentText">
    <w:name w:val="annotation text"/>
    <w:basedOn w:val="Normal"/>
    <w:link w:val="CommentTextChar"/>
    <w:uiPriority w:val="99"/>
    <w:semiHidden/>
    <w:unhideWhenUsed/>
    <w:rsid w:val="0035400A"/>
    <w:pPr>
      <w:spacing w:line="240" w:lineRule="auto"/>
    </w:pPr>
    <w:rPr>
      <w:sz w:val="20"/>
      <w:szCs w:val="20"/>
    </w:rPr>
  </w:style>
  <w:style w:type="character" w:customStyle="1" w:styleId="CommentTextChar">
    <w:name w:val="Comment Text Char"/>
    <w:basedOn w:val="DefaultParagraphFont"/>
    <w:link w:val="CommentText"/>
    <w:uiPriority w:val="99"/>
    <w:semiHidden/>
    <w:rsid w:val="0035400A"/>
    <w:rPr>
      <w:sz w:val="20"/>
      <w:szCs w:val="20"/>
    </w:rPr>
  </w:style>
  <w:style w:type="paragraph" w:styleId="CommentSubject">
    <w:name w:val="annotation subject"/>
    <w:basedOn w:val="CommentText"/>
    <w:next w:val="CommentText"/>
    <w:link w:val="CommentSubjectChar"/>
    <w:uiPriority w:val="99"/>
    <w:semiHidden/>
    <w:unhideWhenUsed/>
    <w:rsid w:val="0035400A"/>
    <w:rPr>
      <w:b/>
      <w:bCs/>
    </w:rPr>
  </w:style>
  <w:style w:type="character" w:customStyle="1" w:styleId="CommentSubjectChar">
    <w:name w:val="Comment Subject Char"/>
    <w:basedOn w:val="CommentTextChar"/>
    <w:link w:val="CommentSubject"/>
    <w:uiPriority w:val="99"/>
    <w:semiHidden/>
    <w:rsid w:val="003540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style>
  <w:style w:type="paragraph" w:styleId="Heading1">
    <w:name w:val="heading 1"/>
    <w:basedOn w:val="Normal"/>
    <w:next w:val="Normal"/>
    <w:link w:val="Heading1Char"/>
    <w:uiPriority w:val="9"/>
    <w:qFormat/>
    <w:rsid w:val="008C05CB"/>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8C05CB"/>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8C05CB"/>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8C05CB"/>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8C05CB"/>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8C05CB"/>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8C05CB"/>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8C05CB"/>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8C05CB"/>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944E7D"/>
    <w:rPr>
      <w:vertAlign w:val="superscript"/>
    </w:rPr>
  </w:style>
  <w:style w:type="character" w:customStyle="1" w:styleId="Heading1Char">
    <w:name w:val="Heading 1 Char"/>
    <w:basedOn w:val="DefaultParagraphFont"/>
    <w:link w:val="Heading1"/>
    <w:uiPriority w:val="9"/>
    <w:rsid w:val="008C05CB"/>
    <w:rPr>
      <w:rFonts w:eastAsiaTheme="majorEastAsia" w:cs="Arial"/>
      <w:b/>
      <w:bCs/>
      <w:caps/>
      <w:szCs w:val="28"/>
      <w:u w:val="single"/>
    </w:rPr>
  </w:style>
  <w:style w:type="character" w:customStyle="1" w:styleId="Heading2Char">
    <w:name w:val="Heading 2 Char"/>
    <w:basedOn w:val="DefaultParagraphFont"/>
    <w:link w:val="Heading2"/>
    <w:uiPriority w:val="9"/>
    <w:rsid w:val="008C05CB"/>
    <w:rPr>
      <w:rFonts w:eastAsiaTheme="majorEastAsia" w:cs="Arial"/>
      <w:b/>
      <w:bCs/>
      <w:szCs w:val="26"/>
    </w:rPr>
  </w:style>
  <w:style w:type="character" w:customStyle="1" w:styleId="Heading3Char">
    <w:name w:val="Heading 3 Char"/>
    <w:basedOn w:val="DefaultParagraphFont"/>
    <w:link w:val="Heading3"/>
    <w:uiPriority w:val="9"/>
    <w:rsid w:val="008C05CB"/>
    <w:rPr>
      <w:rFonts w:eastAsiaTheme="majorEastAsia" w:cs="Arial"/>
      <w:b/>
      <w:bCs/>
    </w:rPr>
  </w:style>
  <w:style w:type="character" w:customStyle="1" w:styleId="Heading4Char">
    <w:name w:val="Heading 4 Char"/>
    <w:basedOn w:val="DefaultParagraphFont"/>
    <w:link w:val="Heading4"/>
    <w:uiPriority w:val="9"/>
    <w:semiHidden/>
    <w:rsid w:val="008C05CB"/>
    <w:rPr>
      <w:rFonts w:eastAsiaTheme="majorEastAsia" w:cs="Arial"/>
      <w:b/>
      <w:bCs/>
      <w:i/>
      <w:iCs/>
    </w:rPr>
  </w:style>
  <w:style w:type="character" w:customStyle="1" w:styleId="Heading5Char">
    <w:name w:val="Heading 5 Char"/>
    <w:basedOn w:val="DefaultParagraphFont"/>
    <w:link w:val="Heading5"/>
    <w:uiPriority w:val="9"/>
    <w:semiHidden/>
    <w:rsid w:val="008C05CB"/>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8C05CB"/>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8C05CB"/>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8C05CB"/>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8C05CB"/>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8C05CB"/>
    <w:pPr>
      <w:spacing w:after="120"/>
    </w:pPr>
  </w:style>
  <w:style w:type="character" w:customStyle="1" w:styleId="BodyTextChar">
    <w:name w:val="Body Text Char"/>
    <w:basedOn w:val="DefaultParagraphFont"/>
    <w:link w:val="BodyText"/>
    <w:uiPriority w:val="99"/>
    <w:semiHidden/>
    <w:rsid w:val="008C05CB"/>
  </w:style>
  <w:style w:type="paragraph" w:styleId="Header">
    <w:name w:val="header"/>
    <w:basedOn w:val="Normal"/>
    <w:link w:val="HeaderChar"/>
    <w:uiPriority w:val="99"/>
    <w:unhideWhenUsed/>
    <w:rsid w:val="004C6130"/>
    <w:pPr>
      <w:tabs>
        <w:tab w:val="center" w:pos="4680"/>
        <w:tab w:val="right" w:pos="9360"/>
      </w:tabs>
      <w:spacing w:line="240" w:lineRule="auto"/>
    </w:pPr>
  </w:style>
  <w:style w:type="character" w:customStyle="1" w:styleId="HeaderChar">
    <w:name w:val="Header Char"/>
    <w:basedOn w:val="DefaultParagraphFont"/>
    <w:link w:val="Header"/>
    <w:uiPriority w:val="99"/>
    <w:rsid w:val="004C6130"/>
  </w:style>
  <w:style w:type="paragraph" w:styleId="Footer">
    <w:name w:val="footer"/>
    <w:basedOn w:val="Normal"/>
    <w:link w:val="FooterChar"/>
    <w:uiPriority w:val="99"/>
    <w:unhideWhenUsed/>
    <w:rsid w:val="004C6130"/>
    <w:pPr>
      <w:tabs>
        <w:tab w:val="center" w:pos="4680"/>
        <w:tab w:val="right" w:pos="9360"/>
      </w:tabs>
      <w:spacing w:line="240" w:lineRule="auto"/>
    </w:pPr>
  </w:style>
  <w:style w:type="character" w:customStyle="1" w:styleId="FooterChar">
    <w:name w:val="Footer Char"/>
    <w:basedOn w:val="DefaultParagraphFont"/>
    <w:link w:val="Footer"/>
    <w:uiPriority w:val="99"/>
    <w:rsid w:val="004C6130"/>
  </w:style>
  <w:style w:type="character" w:styleId="PageNumber">
    <w:name w:val="page number"/>
    <w:basedOn w:val="DefaultParagraphFont"/>
    <w:rsid w:val="00C667B0"/>
  </w:style>
  <w:style w:type="paragraph" w:styleId="BodyText2">
    <w:name w:val="Body Text 2"/>
    <w:basedOn w:val="Normal"/>
    <w:link w:val="BodyText2Char"/>
    <w:uiPriority w:val="99"/>
    <w:semiHidden/>
    <w:unhideWhenUsed/>
    <w:rsid w:val="00C667B0"/>
    <w:pPr>
      <w:spacing w:after="120"/>
    </w:pPr>
  </w:style>
  <w:style w:type="character" w:customStyle="1" w:styleId="BodyText2Char">
    <w:name w:val="Body Text 2 Char"/>
    <w:basedOn w:val="DefaultParagraphFont"/>
    <w:link w:val="BodyText2"/>
    <w:uiPriority w:val="99"/>
    <w:semiHidden/>
    <w:rsid w:val="00C667B0"/>
  </w:style>
  <w:style w:type="paragraph" w:styleId="BalloonText">
    <w:name w:val="Balloon Text"/>
    <w:basedOn w:val="Normal"/>
    <w:link w:val="BalloonTextChar"/>
    <w:uiPriority w:val="99"/>
    <w:semiHidden/>
    <w:unhideWhenUsed/>
    <w:rsid w:val="00E46D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54"/>
    <w:rPr>
      <w:rFonts w:ascii="Tahoma" w:hAnsi="Tahoma" w:cs="Tahoma"/>
      <w:sz w:val="16"/>
      <w:szCs w:val="16"/>
    </w:rPr>
  </w:style>
  <w:style w:type="character" w:styleId="CommentReference">
    <w:name w:val="annotation reference"/>
    <w:basedOn w:val="DefaultParagraphFont"/>
    <w:uiPriority w:val="99"/>
    <w:semiHidden/>
    <w:unhideWhenUsed/>
    <w:rsid w:val="0035400A"/>
    <w:rPr>
      <w:sz w:val="16"/>
      <w:szCs w:val="16"/>
    </w:rPr>
  </w:style>
  <w:style w:type="paragraph" w:styleId="CommentText">
    <w:name w:val="annotation text"/>
    <w:basedOn w:val="Normal"/>
    <w:link w:val="CommentTextChar"/>
    <w:uiPriority w:val="99"/>
    <w:semiHidden/>
    <w:unhideWhenUsed/>
    <w:rsid w:val="0035400A"/>
    <w:pPr>
      <w:spacing w:line="240" w:lineRule="auto"/>
    </w:pPr>
    <w:rPr>
      <w:sz w:val="20"/>
      <w:szCs w:val="20"/>
    </w:rPr>
  </w:style>
  <w:style w:type="character" w:customStyle="1" w:styleId="CommentTextChar">
    <w:name w:val="Comment Text Char"/>
    <w:basedOn w:val="DefaultParagraphFont"/>
    <w:link w:val="CommentText"/>
    <w:uiPriority w:val="99"/>
    <w:semiHidden/>
    <w:rsid w:val="0035400A"/>
    <w:rPr>
      <w:sz w:val="20"/>
      <w:szCs w:val="20"/>
    </w:rPr>
  </w:style>
  <w:style w:type="paragraph" w:styleId="CommentSubject">
    <w:name w:val="annotation subject"/>
    <w:basedOn w:val="CommentText"/>
    <w:next w:val="CommentText"/>
    <w:link w:val="CommentSubjectChar"/>
    <w:uiPriority w:val="99"/>
    <w:semiHidden/>
    <w:unhideWhenUsed/>
    <w:rsid w:val="0035400A"/>
    <w:rPr>
      <w:b/>
      <w:bCs/>
    </w:rPr>
  </w:style>
  <w:style w:type="character" w:customStyle="1" w:styleId="CommentSubjectChar">
    <w:name w:val="Comment Subject Char"/>
    <w:basedOn w:val="CommentTextChar"/>
    <w:link w:val="CommentSubject"/>
    <w:uiPriority w:val="99"/>
    <w:semiHidden/>
    <w:rsid w:val="003540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11</Pages>
  <Words>1950</Words>
  <Characters>10946</Characters>
  <Application>Microsoft Office Word</Application>
  <DocSecurity>0</DocSecurity>
  <PresentationFormat/>
  <Lines>306</Lines>
  <Paragraphs>147</Paragraphs>
  <ScaleCrop>false</ScaleCrop>
  <HeadingPairs>
    <vt:vector size="2" baseType="variant">
      <vt:variant>
        <vt:lpstr>Title</vt:lpstr>
      </vt:variant>
      <vt:variant>
        <vt:i4>1</vt:i4>
      </vt:variant>
    </vt:vector>
  </HeadingPairs>
  <TitlesOfParts>
    <vt:vector size="1" baseType="lpstr">
      <vt:lpstr>2010 AEP SEET; memo contra aep app for rehearing (C42143).DOCX</vt:lpstr>
    </vt:vector>
  </TitlesOfParts>
  <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AEP SEET; memo contra aep app for rehearing (C42143).DOCX</dc:title>
  <dc:subject>C42143: /font=8</dc:subject>
  <dc:creator>Frank Darr</dc:creator>
  <cp:keywords/>
  <dc:description/>
  <cp:lastModifiedBy>Frank Darr</cp:lastModifiedBy>
  <cp:revision>25</cp:revision>
  <cp:lastPrinted>2013-12-02T13:33:00Z</cp:lastPrinted>
  <dcterms:created xsi:type="dcterms:W3CDTF">2013-11-22T19:22:00Z</dcterms:created>
  <dcterms:modified xsi:type="dcterms:W3CDTF">2013-12-02T16:09:00Z</dcterms:modified>
</cp:coreProperties>
</file>