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40C" w:rsidRDefault="00D1008C">
      <w:pPr>
        <w:spacing w:line="240" w:lineRule="auto"/>
        <w:jc w:val="center"/>
        <w:rPr>
          <w:rFonts w:cs="Arial"/>
          <w:b/>
          <w:smallCaps/>
          <w:sz w:val="28"/>
          <w:szCs w:val="28"/>
        </w:rPr>
      </w:pPr>
      <w:bookmarkStart w:id="0" w:name="_GoBack"/>
      <w:bookmarkEnd w:id="0"/>
      <w:r>
        <w:rPr>
          <w:rFonts w:cs="Arial"/>
          <w:b/>
          <w:smallCaps/>
          <w:sz w:val="28"/>
          <w:szCs w:val="28"/>
        </w:rPr>
        <w:t>Before</w:t>
      </w:r>
    </w:p>
    <w:p w:rsidR="0029140C" w:rsidRDefault="00D1008C">
      <w:pPr>
        <w:spacing w:line="240" w:lineRule="auto"/>
        <w:jc w:val="center"/>
        <w:rPr>
          <w:rFonts w:cs="Arial"/>
          <w:b/>
          <w:smallCaps/>
          <w:sz w:val="28"/>
          <w:szCs w:val="28"/>
        </w:rPr>
      </w:pPr>
      <w:r>
        <w:rPr>
          <w:rFonts w:cs="Arial"/>
          <w:b/>
          <w:smallCaps/>
          <w:sz w:val="28"/>
          <w:szCs w:val="28"/>
        </w:rPr>
        <w:t>The Public Utilities Commission of Ohio</w:t>
      </w:r>
    </w:p>
    <w:p w:rsidR="0029140C" w:rsidRDefault="0029140C">
      <w:pPr>
        <w:spacing w:line="240" w:lineRule="auto"/>
        <w:rPr>
          <w:rFonts w:cs="Arial"/>
        </w:rPr>
      </w:pPr>
    </w:p>
    <w:p w:rsidR="0029140C" w:rsidRDefault="00D1008C">
      <w:pPr>
        <w:tabs>
          <w:tab w:val="left" w:pos="4860"/>
          <w:tab w:val="left" w:pos="5580"/>
        </w:tabs>
        <w:spacing w:line="240" w:lineRule="auto"/>
        <w:rPr>
          <w:rFonts w:cs="Arial"/>
        </w:rPr>
      </w:pPr>
      <w:r>
        <w:rPr>
          <w:rFonts w:cs="Arial"/>
        </w:rPr>
        <w:t xml:space="preserve">In the Matter of the Application of </w:t>
      </w:r>
      <w:r>
        <w:rPr>
          <w:rFonts w:cs="Arial"/>
        </w:rPr>
        <w:tab/>
        <w:t>)</w:t>
      </w:r>
    </w:p>
    <w:p w:rsidR="0029140C" w:rsidRDefault="00D1008C">
      <w:pPr>
        <w:tabs>
          <w:tab w:val="left" w:pos="4860"/>
          <w:tab w:val="left" w:pos="5580"/>
        </w:tabs>
        <w:spacing w:line="240" w:lineRule="auto"/>
        <w:rPr>
          <w:rFonts w:cs="Arial"/>
        </w:rPr>
      </w:pPr>
      <w:r>
        <w:rPr>
          <w:rFonts w:cs="Arial"/>
        </w:rPr>
        <w:t>The Dayton Power and Light Company for</w:t>
      </w:r>
      <w:r>
        <w:rPr>
          <w:rFonts w:cs="Arial"/>
        </w:rPr>
        <w:tab/>
        <w:t>)</w:t>
      </w:r>
      <w:r>
        <w:rPr>
          <w:rFonts w:cs="Arial"/>
        </w:rPr>
        <w:tab/>
        <w:t>Case No. 12-426-EL-SSO</w:t>
      </w:r>
    </w:p>
    <w:p w:rsidR="0029140C" w:rsidRDefault="00D1008C">
      <w:pPr>
        <w:tabs>
          <w:tab w:val="left" w:pos="4860"/>
          <w:tab w:val="left" w:pos="5580"/>
        </w:tabs>
        <w:spacing w:line="240" w:lineRule="auto"/>
        <w:rPr>
          <w:rFonts w:cs="Arial"/>
          <w:color w:val="000000"/>
        </w:rPr>
      </w:pPr>
      <w:r>
        <w:rPr>
          <w:rFonts w:cs="Arial"/>
        </w:rPr>
        <w:t>Approval of Its Electric Security Plan</w:t>
      </w:r>
      <w:r>
        <w:rPr>
          <w:rFonts w:cs="Arial"/>
        </w:rPr>
        <w:tab/>
        <w:t>)</w:t>
      </w:r>
    </w:p>
    <w:p w:rsidR="0029140C" w:rsidRDefault="0029140C">
      <w:pPr>
        <w:tabs>
          <w:tab w:val="left" w:pos="4860"/>
          <w:tab w:val="left" w:pos="5580"/>
        </w:tabs>
        <w:spacing w:line="240" w:lineRule="auto"/>
        <w:rPr>
          <w:rFonts w:cs="Arial"/>
          <w:b/>
        </w:rPr>
      </w:pPr>
    </w:p>
    <w:p w:rsidR="0029140C" w:rsidRDefault="00D1008C">
      <w:pPr>
        <w:tabs>
          <w:tab w:val="left" w:pos="4860"/>
          <w:tab w:val="left" w:pos="5580"/>
        </w:tabs>
        <w:spacing w:line="240" w:lineRule="auto"/>
        <w:rPr>
          <w:rFonts w:cs="Arial"/>
        </w:rPr>
      </w:pPr>
      <w:r>
        <w:rPr>
          <w:rFonts w:cs="Arial"/>
        </w:rPr>
        <w:t xml:space="preserve">In the Matter of the Application of </w:t>
      </w:r>
      <w:r>
        <w:rPr>
          <w:rFonts w:cs="Arial"/>
        </w:rPr>
        <w:tab/>
        <w:t>)</w:t>
      </w:r>
    </w:p>
    <w:p w:rsidR="0029140C" w:rsidRDefault="00D1008C">
      <w:pPr>
        <w:tabs>
          <w:tab w:val="left" w:pos="4860"/>
          <w:tab w:val="left" w:pos="5580"/>
        </w:tabs>
        <w:spacing w:line="240" w:lineRule="auto"/>
        <w:rPr>
          <w:rFonts w:cs="Arial"/>
        </w:rPr>
      </w:pPr>
      <w:r>
        <w:rPr>
          <w:rFonts w:cs="Arial"/>
        </w:rPr>
        <w:t>The Dayton Power and Light Company for</w:t>
      </w:r>
      <w:r>
        <w:rPr>
          <w:rFonts w:cs="Arial"/>
        </w:rPr>
        <w:tab/>
        <w:t>)</w:t>
      </w:r>
      <w:r>
        <w:rPr>
          <w:rFonts w:cs="Arial"/>
        </w:rPr>
        <w:tab/>
        <w:t>Case No. 12-427-EL-ATA</w:t>
      </w:r>
    </w:p>
    <w:p w:rsidR="0029140C" w:rsidRDefault="00D1008C">
      <w:pPr>
        <w:tabs>
          <w:tab w:val="left" w:pos="4860"/>
          <w:tab w:val="left" w:pos="5580"/>
        </w:tabs>
        <w:spacing w:line="240" w:lineRule="auto"/>
        <w:rPr>
          <w:rFonts w:cs="Arial"/>
        </w:rPr>
      </w:pPr>
      <w:r>
        <w:rPr>
          <w:rFonts w:cs="Arial"/>
        </w:rPr>
        <w:t>Approval of Revised Tariffs</w:t>
      </w:r>
      <w:r>
        <w:rPr>
          <w:rFonts w:cs="Arial"/>
        </w:rPr>
        <w:tab/>
        <w:t>)</w:t>
      </w:r>
    </w:p>
    <w:p w:rsidR="0029140C" w:rsidRDefault="0029140C">
      <w:pPr>
        <w:tabs>
          <w:tab w:val="left" w:pos="4860"/>
          <w:tab w:val="left" w:pos="5580"/>
        </w:tabs>
        <w:spacing w:line="240" w:lineRule="auto"/>
        <w:rPr>
          <w:rFonts w:cs="Arial"/>
        </w:rPr>
      </w:pPr>
    </w:p>
    <w:p w:rsidR="0029140C" w:rsidRDefault="00D1008C">
      <w:pPr>
        <w:tabs>
          <w:tab w:val="left" w:pos="4860"/>
          <w:tab w:val="left" w:pos="5580"/>
        </w:tabs>
        <w:spacing w:line="240" w:lineRule="auto"/>
        <w:rPr>
          <w:rFonts w:cs="Arial"/>
        </w:rPr>
      </w:pPr>
      <w:r>
        <w:rPr>
          <w:rFonts w:cs="Arial"/>
        </w:rPr>
        <w:t xml:space="preserve">In the Matter of the Application of </w:t>
      </w:r>
      <w:r>
        <w:rPr>
          <w:rFonts w:cs="Arial"/>
        </w:rPr>
        <w:tab/>
        <w:t>)</w:t>
      </w:r>
    </w:p>
    <w:p w:rsidR="0029140C" w:rsidRDefault="00D1008C">
      <w:pPr>
        <w:tabs>
          <w:tab w:val="left" w:pos="4860"/>
          <w:tab w:val="left" w:pos="5580"/>
        </w:tabs>
        <w:spacing w:line="240" w:lineRule="auto"/>
        <w:rPr>
          <w:rFonts w:cs="Arial"/>
        </w:rPr>
      </w:pPr>
      <w:r>
        <w:rPr>
          <w:rFonts w:cs="Arial"/>
        </w:rPr>
        <w:t>The Dayton Power and Light Company for</w:t>
      </w:r>
      <w:r>
        <w:rPr>
          <w:rFonts w:cs="Arial"/>
        </w:rPr>
        <w:tab/>
        <w:t>)</w:t>
      </w:r>
      <w:r>
        <w:rPr>
          <w:rFonts w:cs="Arial"/>
        </w:rPr>
        <w:tab/>
        <w:t>Case No. 12-428-EL-AAM</w:t>
      </w:r>
    </w:p>
    <w:p w:rsidR="0029140C" w:rsidRDefault="00D1008C">
      <w:pPr>
        <w:tabs>
          <w:tab w:val="left" w:pos="4860"/>
          <w:tab w:val="left" w:pos="5580"/>
        </w:tabs>
        <w:spacing w:line="240" w:lineRule="auto"/>
        <w:rPr>
          <w:rFonts w:cs="Arial"/>
        </w:rPr>
      </w:pPr>
      <w:r>
        <w:rPr>
          <w:rFonts w:cs="Arial"/>
        </w:rPr>
        <w:t xml:space="preserve">Approval of Certain Accounting Authority </w:t>
      </w:r>
      <w:r>
        <w:rPr>
          <w:rFonts w:cs="Arial"/>
        </w:rPr>
        <w:tab/>
        <w:t>)</w:t>
      </w:r>
    </w:p>
    <w:p w:rsidR="0029140C" w:rsidRDefault="0029140C">
      <w:pPr>
        <w:tabs>
          <w:tab w:val="left" w:pos="4860"/>
          <w:tab w:val="left" w:pos="5580"/>
        </w:tabs>
        <w:spacing w:line="240" w:lineRule="auto"/>
        <w:rPr>
          <w:rFonts w:cs="Arial"/>
        </w:rPr>
      </w:pPr>
    </w:p>
    <w:p w:rsidR="0029140C" w:rsidRDefault="00D1008C">
      <w:pPr>
        <w:tabs>
          <w:tab w:val="left" w:pos="4860"/>
          <w:tab w:val="left" w:pos="5580"/>
        </w:tabs>
        <w:spacing w:line="240" w:lineRule="auto"/>
        <w:rPr>
          <w:rFonts w:cs="Arial"/>
        </w:rPr>
      </w:pPr>
      <w:r>
        <w:rPr>
          <w:rFonts w:cs="Arial"/>
        </w:rPr>
        <w:t xml:space="preserve">In the Matter of the Application of </w:t>
      </w:r>
      <w:r>
        <w:rPr>
          <w:rFonts w:cs="Arial"/>
        </w:rPr>
        <w:tab/>
        <w:t>)</w:t>
      </w:r>
    </w:p>
    <w:p w:rsidR="0029140C" w:rsidRDefault="00D1008C">
      <w:pPr>
        <w:tabs>
          <w:tab w:val="left" w:pos="4860"/>
          <w:tab w:val="left" w:pos="5580"/>
        </w:tabs>
        <w:spacing w:line="240" w:lineRule="auto"/>
        <w:rPr>
          <w:rFonts w:cs="Arial"/>
        </w:rPr>
      </w:pPr>
      <w:r>
        <w:rPr>
          <w:rFonts w:cs="Arial"/>
        </w:rPr>
        <w:t>The Dayton Power and Light Company for</w:t>
      </w:r>
      <w:r>
        <w:rPr>
          <w:rFonts w:cs="Arial"/>
        </w:rPr>
        <w:tab/>
        <w:t>)</w:t>
      </w:r>
      <w:r>
        <w:rPr>
          <w:rFonts w:cs="Arial"/>
        </w:rPr>
        <w:tab/>
        <w:t>Case No. 12-429-EL-WVR</w:t>
      </w:r>
    </w:p>
    <w:p w:rsidR="0029140C" w:rsidRDefault="00D1008C">
      <w:pPr>
        <w:tabs>
          <w:tab w:val="left" w:pos="4860"/>
          <w:tab w:val="left" w:pos="5580"/>
        </w:tabs>
        <w:spacing w:line="240" w:lineRule="auto"/>
        <w:rPr>
          <w:rFonts w:cs="Arial"/>
        </w:rPr>
      </w:pPr>
      <w:r>
        <w:rPr>
          <w:rFonts w:cs="Arial"/>
        </w:rPr>
        <w:t>the Waiver of Certain Commission Rules</w:t>
      </w:r>
      <w:r>
        <w:rPr>
          <w:rFonts w:cs="Arial"/>
        </w:rPr>
        <w:tab/>
        <w:t>)</w:t>
      </w:r>
    </w:p>
    <w:p w:rsidR="0029140C" w:rsidRDefault="0029140C">
      <w:pPr>
        <w:tabs>
          <w:tab w:val="left" w:pos="4860"/>
          <w:tab w:val="left" w:pos="5580"/>
        </w:tabs>
        <w:spacing w:line="240" w:lineRule="auto"/>
        <w:rPr>
          <w:rFonts w:cs="Arial"/>
        </w:rPr>
      </w:pPr>
    </w:p>
    <w:p w:rsidR="0029140C" w:rsidRDefault="00D1008C">
      <w:pPr>
        <w:tabs>
          <w:tab w:val="left" w:pos="4860"/>
          <w:tab w:val="left" w:pos="5580"/>
        </w:tabs>
        <w:spacing w:line="240" w:lineRule="auto"/>
        <w:rPr>
          <w:rFonts w:cs="Arial"/>
        </w:rPr>
      </w:pPr>
      <w:r>
        <w:rPr>
          <w:rFonts w:cs="Arial"/>
        </w:rPr>
        <w:t xml:space="preserve">In the Matter of the Application of </w:t>
      </w:r>
      <w:r>
        <w:rPr>
          <w:rFonts w:cs="Arial"/>
        </w:rPr>
        <w:tab/>
        <w:t>)</w:t>
      </w:r>
    </w:p>
    <w:p w:rsidR="0029140C" w:rsidRDefault="00D1008C">
      <w:pPr>
        <w:tabs>
          <w:tab w:val="left" w:pos="4860"/>
          <w:tab w:val="left" w:pos="5580"/>
        </w:tabs>
        <w:spacing w:line="240" w:lineRule="auto"/>
        <w:rPr>
          <w:rFonts w:cs="Arial"/>
        </w:rPr>
      </w:pPr>
      <w:r>
        <w:rPr>
          <w:rFonts w:cs="Arial"/>
        </w:rPr>
        <w:t xml:space="preserve">The Dayton Power and Light Company </w:t>
      </w:r>
      <w:r>
        <w:rPr>
          <w:rFonts w:cs="Arial"/>
        </w:rPr>
        <w:tab/>
        <w:t>)</w:t>
      </w:r>
      <w:r>
        <w:rPr>
          <w:rFonts w:cs="Arial"/>
        </w:rPr>
        <w:tab/>
        <w:t>Case No. 12-672-EL-RDR</w:t>
      </w:r>
    </w:p>
    <w:p w:rsidR="0029140C" w:rsidRDefault="00D1008C">
      <w:pPr>
        <w:tabs>
          <w:tab w:val="left" w:pos="4860"/>
          <w:tab w:val="left" w:pos="5580"/>
        </w:tabs>
        <w:spacing w:line="240" w:lineRule="auto"/>
        <w:rPr>
          <w:rFonts w:cs="Arial"/>
        </w:rPr>
      </w:pPr>
      <w:r>
        <w:rPr>
          <w:rFonts w:cs="Arial"/>
        </w:rPr>
        <w:t>to Establish Tariff Riders</w:t>
      </w:r>
      <w:r>
        <w:rPr>
          <w:rFonts w:cs="Arial"/>
        </w:rPr>
        <w:tab/>
        <w:t>)</w:t>
      </w:r>
    </w:p>
    <w:p w:rsidR="0029140C" w:rsidRDefault="0029140C">
      <w:pPr>
        <w:tabs>
          <w:tab w:val="left" w:pos="5040"/>
        </w:tabs>
        <w:spacing w:line="240" w:lineRule="auto"/>
        <w:rPr>
          <w:rFonts w:cs="Arial"/>
        </w:rPr>
      </w:pPr>
    </w:p>
    <w:p w:rsidR="0029140C" w:rsidRDefault="0029140C">
      <w:pPr>
        <w:tabs>
          <w:tab w:val="left" w:pos="5040"/>
        </w:tabs>
        <w:spacing w:line="240" w:lineRule="auto"/>
        <w:rPr>
          <w:rFonts w:cs="Arial"/>
        </w:rPr>
      </w:pPr>
    </w:p>
    <w:p w:rsidR="0029140C" w:rsidRDefault="0029140C">
      <w:pPr>
        <w:pBdr>
          <w:top w:val="single" w:sz="12" w:space="1" w:color="auto"/>
        </w:pBdr>
        <w:tabs>
          <w:tab w:val="left" w:pos="5040"/>
        </w:tabs>
        <w:spacing w:line="240" w:lineRule="auto"/>
        <w:rPr>
          <w:rFonts w:cs="Arial"/>
        </w:rPr>
      </w:pPr>
    </w:p>
    <w:p w:rsidR="0029140C" w:rsidRDefault="00D1008C">
      <w:pPr>
        <w:spacing w:line="240" w:lineRule="auto"/>
        <w:jc w:val="center"/>
        <w:rPr>
          <w:rFonts w:ascii="Arial Bold" w:hAnsi="Arial Bold"/>
          <w:b/>
          <w:smallCaps/>
          <w:sz w:val="28"/>
        </w:rPr>
      </w:pPr>
      <w:r>
        <w:rPr>
          <w:rFonts w:ascii="Arial Bold" w:hAnsi="Arial Bold"/>
          <w:b/>
          <w:smallCaps/>
          <w:sz w:val="28"/>
        </w:rPr>
        <w:t>Industrial Energy Users-Ohio’s Reply to</w:t>
      </w:r>
    </w:p>
    <w:p w:rsidR="0029140C" w:rsidRDefault="00D1008C">
      <w:pPr>
        <w:spacing w:line="240" w:lineRule="auto"/>
        <w:jc w:val="center"/>
        <w:rPr>
          <w:rFonts w:ascii="Arial Bold" w:hAnsi="Arial Bold"/>
          <w:b/>
          <w:smallCaps/>
          <w:sz w:val="28"/>
        </w:rPr>
      </w:pPr>
      <w:r>
        <w:rPr>
          <w:rFonts w:ascii="Arial Bold" w:hAnsi="Arial Bold"/>
          <w:b/>
          <w:smallCaps/>
          <w:sz w:val="28"/>
        </w:rPr>
        <w:t>The Dayton Power and Light Company’s</w:t>
      </w:r>
    </w:p>
    <w:p w:rsidR="0029140C" w:rsidRDefault="00D1008C">
      <w:pPr>
        <w:spacing w:line="240" w:lineRule="auto"/>
        <w:jc w:val="center"/>
        <w:rPr>
          <w:rFonts w:ascii="Arial Bold" w:hAnsi="Arial Bold"/>
          <w:b/>
          <w:smallCaps/>
          <w:sz w:val="28"/>
        </w:rPr>
      </w:pPr>
      <w:r>
        <w:rPr>
          <w:rFonts w:ascii="Arial Bold" w:hAnsi="Arial Bold"/>
          <w:b/>
          <w:smallCaps/>
          <w:sz w:val="28"/>
        </w:rPr>
        <w:t>Memorandum in Opposition to</w:t>
      </w:r>
    </w:p>
    <w:p w:rsidR="0029140C" w:rsidRDefault="00D1008C">
      <w:pPr>
        <w:spacing w:line="240" w:lineRule="auto"/>
        <w:jc w:val="center"/>
        <w:rPr>
          <w:rFonts w:ascii="Arial Bold" w:hAnsi="Arial Bold"/>
          <w:b/>
          <w:smallCaps/>
          <w:sz w:val="28"/>
        </w:rPr>
      </w:pPr>
      <w:r>
        <w:rPr>
          <w:rFonts w:ascii="Arial Bold" w:hAnsi="Arial Bold"/>
          <w:b/>
          <w:smallCaps/>
          <w:sz w:val="28"/>
        </w:rPr>
        <w:t>IEU’s Motion to Compel Discovery Responses</w:t>
      </w:r>
    </w:p>
    <w:p w:rsidR="0029140C" w:rsidRDefault="0029140C">
      <w:pPr>
        <w:pBdr>
          <w:bottom w:val="single" w:sz="12" w:space="1" w:color="auto"/>
        </w:pBdr>
        <w:tabs>
          <w:tab w:val="left" w:pos="5040"/>
        </w:tabs>
        <w:spacing w:line="240" w:lineRule="auto"/>
      </w:pPr>
    </w:p>
    <w:p w:rsidR="0029140C" w:rsidRDefault="0029140C">
      <w:pPr>
        <w:tabs>
          <w:tab w:val="left" w:pos="5040"/>
        </w:tabs>
        <w:spacing w:line="240" w:lineRule="auto"/>
      </w:pPr>
    </w:p>
    <w:p w:rsidR="0029140C" w:rsidRDefault="0029140C">
      <w:pPr>
        <w:tabs>
          <w:tab w:val="left" w:pos="5040"/>
        </w:tabs>
        <w:spacing w:line="240" w:lineRule="auto"/>
      </w:pPr>
    </w:p>
    <w:p w:rsidR="0029140C" w:rsidRDefault="00D1008C">
      <w:pPr>
        <w:tabs>
          <w:tab w:val="left" w:pos="-1440"/>
          <w:tab w:val="left" w:pos="-720"/>
          <w:tab w:val="left" w:pos="3600"/>
          <w:tab w:val="left" w:pos="4320"/>
        </w:tabs>
        <w:spacing w:line="240" w:lineRule="auto"/>
        <w:ind w:left="4320" w:firstLine="0"/>
        <w:rPr>
          <w:rFonts w:cs="Arial"/>
          <w:color w:val="000000" w:themeColor="text1"/>
          <w:lang w:val="de-DE"/>
        </w:rPr>
      </w:pPr>
      <w:r>
        <w:rPr>
          <w:rFonts w:cs="Arial"/>
          <w:color w:val="000000" w:themeColor="text1"/>
          <w:lang w:val="de-DE"/>
        </w:rPr>
        <w:t>Samuel C. Randazzo (Counsel of Record)</w:t>
      </w:r>
    </w:p>
    <w:p w:rsidR="0029140C" w:rsidRDefault="00D1008C">
      <w:pPr>
        <w:tabs>
          <w:tab w:val="left" w:pos="-1440"/>
          <w:tab w:val="left" w:pos="-720"/>
          <w:tab w:val="left" w:pos="3600"/>
          <w:tab w:val="left" w:pos="4320"/>
        </w:tabs>
        <w:spacing w:line="240" w:lineRule="auto"/>
        <w:ind w:left="4320" w:firstLine="0"/>
        <w:rPr>
          <w:rFonts w:cs="Arial"/>
          <w:color w:val="000000" w:themeColor="text1"/>
          <w:lang w:val="de-DE"/>
        </w:rPr>
      </w:pPr>
      <w:r>
        <w:rPr>
          <w:rFonts w:cs="Arial"/>
          <w:color w:val="000000" w:themeColor="text1"/>
          <w:lang w:val="de-DE"/>
        </w:rPr>
        <w:t xml:space="preserve">Frank P. Darr </w:t>
      </w:r>
    </w:p>
    <w:p w:rsidR="0029140C" w:rsidRDefault="00D1008C">
      <w:pPr>
        <w:tabs>
          <w:tab w:val="left" w:pos="-1440"/>
          <w:tab w:val="left" w:pos="-720"/>
          <w:tab w:val="left" w:pos="3600"/>
          <w:tab w:val="left" w:pos="4320"/>
        </w:tabs>
        <w:spacing w:line="240" w:lineRule="auto"/>
        <w:ind w:left="4320" w:firstLine="0"/>
        <w:rPr>
          <w:rFonts w:cs="Arial"/>
          <w:color w:val="000000" w:themeColor="text1"/>
          <w:lang w:val="de-DE"/>
        </w:rPr>
      </w:pPr>
      <w:r>
        <w:rPr>
          <w:rFonts w:cs="Arial"/>
          <w:color w:val="000000" w:themeColor="text1"/>
          <w:lang w:val="de-DE"/>
        </w:rPr>
        <w:t>Matthew R. Pritchard</w:t>
      </w:r>
    </w:p>
    <w:p w:rsidR="0029140C" w:rsidRDefault="00D1008C">
      <w:pPr>
        <w:tabs>
          <w:tab w:val="left" w:pos="-1440"/>
          <w:tab w:val="left" w:pos="-720"/>
          <w:tab w:val="left" w:pos="3600"/>
          <w:tab w:val="left" w:pos="4320"/>
        </w:tabs>
        <w:spacing w:line="240" w:lineRule="auto"/>
        <w:ind w:left="4320" w:firstLine="0"/>
        <w:rPr>
          <w:rFonts w:cs="Arial"/>
          <w:color w:val="000000" w:themeColor="text1"/>
          <w:lang w:val="de-DE"/>
        </w:rPr>
      </w:pPr>
      <w:r>
        <w:rPr>
          <w:rFonts w:cs="Arial"/>
          <w:color w:val="000000" w:themeColor="text1"/>
          <w:lang w:val="de-DE"/>
        </w:rPr>
        <w:t>Joseph E. Oliker</w:t>
      </w:r>
    </w:p>
    <w:p w:rsidR="0029140C" w:rsidRDefault="00D1008C">
      <w:pPr>
        <w:tabs>
          <w:tab w:val="left" w:pos="-1440"/>
          <w:tab w:val="left" w:pos="-720"/>
          <w:tab w:val="left" w:pos="3600"/>
          <w:tab w:val="left" w:pos="4320"/>
        </w:tabs>
        <w:spacing w:line="240" w:lineRule="auto"/>
        <w:ind w:left="4320" w:firstLine="0"/>
        <w:rPr>
          <w:rFonts w:cs="Arial"/>
          <w:smallCaps/>
          <w:color w:val="000000" w:themeColor="text1"/>
          <w:sz w:val="20"/>
        </w:rPr>
      </w:pPr>
      <w:r>
        <w:rPr>
          <w:rFonts w:cs="Arial"/>
          <w:smallCaps/>
          <w:color w:val="000000" w:themeColor="text1"/>
        </w:rPr>
        <w:t xml:space="preserve">McNees Wallace &amp; Nurick </w:t>
      </w:r>
      <w:r>
        <w:rPr>
          <w:rFonts w:cs="Arial"/>
          <w:smallCaps/>
          <w:color w:val="000000" w:themeColor="text1"/>
          <w:sz w:val="20"/>
        </w:rPr>
        <w:t>LLC</w:t>
      </w:r>
    </w:p>
    <w:p w:rsidR="0029140C" w:rsidRDefault="00D1008C">
      <w:pPr>
        <w:tabs>
          <w:tab w:val="left" w:pos="-1440"/>
          <w:tab w:val="left" w:pos="-720"/>
          <w:tab w:val="left" w:pos="3600"/>
          <w:tab w:val="left" w:pos="4320"/>
        </w:tabs>
        <w:spacing w:line="240" w:lineRule="auto"/>
        <w:ind w:left="4320" w:firstLine="0"/>
        <w:rPr>
          <w:rFonts w:cs="Arial"/>
          <w:color w:val="000000" w:themeColor="text1"/>
        </w:rPr>
      </w:pPr>
      <w:r>
        <w:rPr>
          <w:rFonts w:cs="Arial"/>
          <w:color w:val="000000" w:themeColor="text1"/>
        </w:rPr>
        <w:t>21 East State Street, 17</w:t>
      </w:r>
      <w:r>
        <w:rPr>
          <w:rFonts w:cs="Arial"/>
          <w:color w:val="000000" w:themeColor="text1"/>
          <w:vertAlign w:val="superscript"/>
        </w:rPr>
        <w:t>th</w:t>
      </w:r>
      <w:r>
        <w:rPr>
          <w:rFonts w:cs="Arial"/>
          <w:color w:val="000000" w:themeColor="text1"/>
        </w:rPr>
        <w:t xml:space="preserve"> Floor</w:t>
      </w:r>
    </w:p>
    <w:p w:rsidR="0029140C" w:rsidRDefault="00D1008C">
      <w:pPr>
        <w:tabs>
          <w:tab w:val="left" w:pos="-1440"/>
          <w:tab w:val="left" w:pos="-720"/>
          <w:tab w:val="left" w:pos="4320"/>
        </w:tabs>
        <w:spacing w:line="240" w:lineRule="auto"/>
        <w:ind w:left="4320" w:firstLine="0"/>
        <w:rPr>
          <w:rFonts w:cs="Arial"/>
          <w:color w:val="000000" w:themeColor="text1"/>
        </w:rPr>
      </w:pPr>
      <w:r>
        <w:rPr>
          <w:rFonts w:cs="Arial"/>
          <w:color w:val="000000" w:themeColor="text1"/>
        </w:rPr>
        <w:t>Columbus, OH  43215-4228</w:t>
      </w:r>
    </w:p>
    <w:p w:rsidR="0029140C" w:rsidRDefault="00D1008C">
      <w:pPr>
        <w:tabs>
          <w:tab w:val="left" w:pos="-1440"/>
          <w:tab w:val="left" w:pos="-720"/>
          <w:tab w:val="left" w:pos="4320"/>
        </w:tabs>
        <w:spacing w:line="240" w:lineRule="auto"/>
        <w:ind w:left="4320" w:firstLine="0"/>
        <w:rPr>
          <w:rFonts w:cs="Arial"/>
          <w:color w:val="000000" w:themeColor="text1"/>
        </w:rPr>
      </w:pPr>
      <w:r>
        <w:rPr>
          <w:rFonts w:cs="Arial"/>
          <w:color w:val="000000" w:themeColor="text1"/>
        </w:rPr>
        <w:t>Telephone:  (614) 469-8000</w:t>
      </w:r>
    </w:p>
    <w:p w:rsidR="0029140C" w:rsidRDefault="00D1008C" w:rsidP="00DB5578">
      <w:pPr>
        <w:tabs>
          <w:tab w:val="left" w:pos="4320"/>
        </w:tabs>
        <w:spacing w:beforeLines="1" w:before="2" w:line="240" w:lineRule="auto"/>
        <w:ind w:left="4320" w:firstLine="0"/>
        <w:rPr>
          <w:rFonts w:cs="Arial"/>
          <w:color w:val="000000" w:themeColor="text1"/>
        </w:rPr>
      </w:pPr>
      <w:r>
        <w:rPr>
          <w:rFonts w:cs="Arial"/>
          <w:color w:val="000000" w:themeColor="text1"/>
        </w:rPr>
        <w:t>Telecopier:  (614) 469-4653</w:t>
      </w:r>
    </w:p>
    <w:p w:rsidR="0029140C" w:rsidRDefault="00D1008C" w:rsidP="00DB5578">
      <w:pPr>
        <w:spacing w:beforeLines="1" w:before="2" w:line="240" w:lineRule="auto"/>
        <w:ind w:left="4320" w:firstLine="0"/>
        <w:rPr>
          <w:rFonts w:cs="Arial"/>
          <w:color w:val="000000" w:themeColor="text1"/>
        </w:rPr>
      </w:pPr>
      <w:r>
        <w:rPr>
          <w:rFonts w:cs="Arial"/>
          <w:color w:val="000000" w:themeColor="text1"/>
        </w:rPr>
        <w:t>sam@mwncmh.com</w:t>
      </w:r>
    </w:p>
    <w:p w:rsidR="0029140C" w:rsidRDefault="00D1008C" w:rsidP="00DB5578">
      <w:pPr>
        <w:spacing w:beforeLines="1" w:before="2" w:line="240" w:lineRule="auto"/>
        <w:ind w:left="4320" w:firstLine="0"/>
        <w:rPr>
          <w:rFonts w:cs="Arial"/>
          <w:color w:val="000000" w:themeColor="text1"/>
        </w:rPr>
      </w:pPr>
      <w:r>
        <w:rPr>
          <w:rFonts w:cs="Arial"/>
          <w:color w:val="000000" w:themeColor="text1"/>
        </w:rPr>
        <w:t>fdarr@mwncmh.com</w:t>
      </w:r>
    </w:p>
    <w:p w:rsidR="0029140C" w:rsidRDefault="00D1008C" w:rsidP="00DB5578">
      <w:pPr>
        <w:spacing w:beforeLines="1" w:before="2" w:line="240" w:lineRule="auto"/>
        <w:ind w:left="4320" w:firstLine="0"/>
        <w:rPr>
          <w:rFonts w:cs="Arial"/>
          <w:color w:val="000000" w:themeColor="text1"/>
        </w:rPr>
      </w:pPr>
      <w:r>
        <w:rPr>
          <w:rFonts w:cs="Arial"/>
          <w:color w:val="000000" w:themeColor="text1"/>
        </w:rPr>
        <w:t>mpritchard@mwncmh.com</w:t>
      </w:r>
    </w:p>
    <w:p w:rsidR="0029140C" w:rsidRDefault="00D1008C" w:rsidP="00DB5578">
      <w:pPr>
        <w:spacing w:beforeLines="1" w:before="2" w:line="240" w:lineRule="auto"/>
        <w:ind w:left="4320" w:firstLine="0"/>
        <w:rPr>
          <w:rFonts w:cs="Arial"/>
          <w:color w:val="000000" w:themeColor="text1"/>
          <w:u w:val="single"/>
        </w:rPr>
      </w:pPr>
      <w:r>
        <w:rPr>
          <w:rFonts w:cs="Arial"/>
        </w:rPr>
        <w:t>joliker@mwncmh.com</w:t>
      </w:r>
    </w:p>
    <w:p w:rsidR="0029140C" w:rsidRDefault="0029140C" w:rsidP="00DB5578">
      <w:pPr>
        <w:spacing w:beforeLines="1" w:before="2" w:line="240" w:lineRule="auto"/>
        <w:ind w:left="4320" w:firstLine="0"/>
        <w:rPr>
          <w:rFonts w:cs="Arial"/>
        </w:rPr>
      </w:pPr>
    </w:p>
    <w:p w:rsidR="0029140C" w:rsidRDefault="00D1008C">
      <w:pPr>
        <w:tabs>
          <w:tab w:val="left" w:pos="4320"/>
        </w:tabs>
        <w:spacing w:line="240" w:lineRule="auto"/>
        <w:ind w:left="0" w:firstLine="0"/>
        <w:jc w:val="center"/>
        <w:rPr>
          <w:b/>
        </w:rPr>
      </w:pPr>
      <w:r>
        <w:rPr>
          <w:b/>
        </w:rPr>
        <w:t>January 16, 2013</w:t>
      </w:r>
      <w:r>
        <w:rPr>
          <w:b/>
        </w:rPr>
        <w:tab/>
        <w:t>Attorneys for Industrial Energy Users-Ohio</w:t>
      </w:r>
    </w:p>
    <w:p w:rsidR="0029140C" w:rsidRDefault="0029140C">
      <w:pPr>
        <w:spacing w:line="240" w:lineRule="auto"/>
        <w:jc w:val="center"/>
        <w:sectPr w:rsidR="0029140C">
          <w:headerReference w:type="even" r:id="rId8"/>
          <w:headerReference w:type="default" r:id="rId9"/>
          <w:footerReference w:type="even" r:id="rId10"/>
          <w:footerReference w:type="default" r:id="rId11"/>
          <w:headerReference w:type="first" r:id="rId12"/>
          <w:footerReference w:type="first" r:id="rId13"/>
          <w:pgSz w:w="12240" w:h="15840" w:code="1"/>
          <w:pgMar w:top="1296" w:right="1440" w:bottom="864" w:left="1440" w:header="720" w:footer="720" w:gutter="0"/>
          <w:cols w:space="720"/>
          <w:titlePg/>
          <w:docGrid w:linePitch="360"/>
        </w:sectPr>
      </w:pPr>
    </w:p>
    <w:p w:rsidR="0029140C" w:rsidRDefault="00D1008C">
      <w:pPr>
        <w:spacing w:line="240" w:lineRule="auto"/>
        <w:jc w:val="center"/>
        <w:rPr>
          <w:rFonts w:cs="Arial"/>
          <w:b/>
          <w:smallCaps/>
          <w:sz w:val="28"/>
          <w:szCs w:val="28"/>
        </w:rPr>
      </w:pPr>
      <w:r>
        <w:rPr>
          <w:rFonts w:cs="Arial"/>
          <w:b/>
          <w:smallCaps/>
          <w:sz w:val="28"/>
          <w:szCs w:val="28"/>
        </w:rPr>
        <w:lastRenderedPageBreak/>
        <w:t>Before</w:t>
      </w:r>
    </w:p>
    <w:p w:rsidR="0029140C" w:rsidRDefault="00D1008C">
      <w:pPr>
        <w:spacing w:line="240" w:lineRule="auto"/>
        <w:jc w:val="center"/>
        <w:rPr>
          <w:rFonts w:cs="Arial"/>
          <w:b/>
          <w:smallCaps/>
          <w:sz w:val="28"/>
          <w:szCs w:val="28"/>
        </w:rPr>
      </w:pPr>
      <w:r>
        <w:rPr>
          <w:rFonts w:cs="Arial"/>
          <w:b/>
          <w:smallCaps/>
          <w:sz w:val="28"/>
          <w:szCs w:val="28"/>
        </w:rPr>
        <w:t>The Public Utilities Commission of Ohio</w:t>
      </w:r>
    </w:p>
    <w:p w:rsidR="0029140C" w:rsidRDefault="0029140C">
      <w:pPr>
        <w:spacing w:line="240" w:lineRule="auto"/>
        <w:rPr>
          <w:rFonts w:cs="Arial"/>
        </w:rPr>
      </w:pPr>
    </w:p>
    <w:p w:rsidR="0029140C" w:rsidRDefault="00D1008C">
      <w:pPr>
        <w:tabs>
          <w:tab w:val="left" w:pos="4860"/>
          <w:tab w:val="left" w:pos="5580"/>
        </w:tabs>
        <w:spacing w:line="240" w:lineRule="auto"/>
        <w:rPr>
          <w:rFonts w:cs="Arial"/>
        </w:rPr>
      </w:pPr>
      <w:r>
        <w:rPr>
          <w:rFonts w:cs="Arial"/>
        </w:rPr>
        <w:t xml:space="preserve">In the Matter of the Application of </w:t>
      </w:r>
      <w:r>
        <w:rPr>
          <w:rFonts w:cs="Arial"/>
        </w:rPr>
        <w:tab/>
        <w:t>)</w:t>
      </w:r>
    </w:p>
    <w:p w:rsidR="0029140C" w:rsidRDefault="00D1008C">
      <w:pPr>
        <w:tabs>
          <w:tab w:val="left" w:pos="4860"/>
          <w:tab w:val="left" w:pos="5580"/>
        </w:tabs>
        <w:spacing w:line="240" w:lineRule="auto"/>
        <w:rPr>
          <w:rFonts w:cs="Arial"/>
        </w:rPr>
      </w:pPr>
      <w:r>
        <w:rPr>
          <w:rFonts w:cs="Arial"/>
        </w:rPr>
        <w:t>The Dayton Power and Light Company for</w:t>
      </w:r>
      <w:r>
        <w:rPr>
          <w:rFonts w:cs="Arial"/>
        </w:rPr>
        <w:tab/>
        <w:t>)</w:t>
      </w:r>
      <w:r>
        <w:rPr>
          <w:rFonts w:cs="Arial"/>
        </w:rPr>
        <w:tab/>
        <w:t>Case No. 12-426-EL-SSO</w:t>
      </w:r>
    </w:p>
    <w:p w:rsidR="0029140C" w:rsidRDefault="00D1008C">
      <w:pPr>
        <w:tabs>
          <w:tab w:val="left" w:pos="4860"/>
          <w:tab w:val="left" w:pos="5580"/>
        </w:tabs>
        <w:spacing w:line="240" w:lineRule="auto"/>
        <w:rPr>
          <w:rFonts w:cs="Arial"/>
          <w:color w:val="000000"/>
        </w:rPr>
      </w:pPr>
      <w:r>
        <w:rPr>
          <w:rFonts w:cs="Arial"/>
        </w:rPr>
        <w:t>Approval of Its Electric Security Plan</w:t>
      </w:r>
      <w:r>
        <w:rPr>
          <w:rFonts w:cs="Arial"/>
        </w:rPr>
        <w:tab/>
        <w:t>)</w:t>
      </w:r>
    </w:p>
    <w:p w:rsidR="0029140C" w:rsidRDefault="0029140C">
      <w:pPr>
        <w:tabs>
          <w:tab w:val="left" w:pos="4860"/>
          <w:tab w:val="left" w:pos="5580"/>
        </w:tabs>
        <w:spacing w:line="240" w:lineRule="auto"/>
        <w:rPr>
          <w:rFonts w:cs="Arial"/>
          <w:b/>
        </w:rPr>
      </w:pPr>
    </w:p>
    <w:p w:rsidR="0029140C" w:rsidRDefault="00D1008C">
      <w:pPr>
        <w:tabs>
          <w:tab w:val="left" w:pos="4860"/>
          <w:tab w:val="left" w:pos="5580"/>
        </w:tabs>
        <w:spacing w:line="240" w:lineRule="auto"/>
        <w:rPr>
          <w:rFonts w:cs="Arial"/>
        </w:rPr>
      </w:pPr>
      <w:r>
        <w:rPr>
          <w:rFonts w:cs="Arial"/>
        </w:rPr>
        <w:t xml:space="preserve">In the Matter of the Application of </w:t>
      </w:r>
      <w:r>
        <w:rPr>
          <w:rFonts w:cs="Arial"/>
        </w:rPr>
        <w:tab/>
        <w:t>)</w:t>
      </w:r>
    </w:p>
    <w:p w:rsidR="0029140C" w:rsidRDefault="00D1008C">
      <w:pPr>
        <w:tabs>
          <w:tab w:val="left" w:pos="4860"/>
          <w:tab w:val="left" w:pos="5580"/>
        </w:tabs>
        <w:spacing w:line="240" w:lineRule="auto"/>
        <w:rPr>
          <w:rFonts w:cs="Arial"/>
        </w:rPr>
      </w:pPr>
      <w:r>
        <w:rPr>
          <w:rFonts w:cs="Arial"/>
        </w:rPr>
        <w:t>The Dayton Power and Light Company for</w:t>
      </w:r>
      <w:r>
        <w:rPr>
          <w:rFonts w:cs="Arial"/>
        </w:rPr>
        <w:tab/>
        <w:t>)</w:t>
      </w:r>
      <w:r>
        <w:rPr>
          <w:rFonts w:cs="Arial"/>
        </w:rPr>
        <w:tab/>
        <w:t>Case No. 12-427-EL-ATA</w:t>
      </w:r>
    </w:p>
    <w:p w:rsidR="0029140C" w:rsidRDefault="00D1008C">
      <w:pPr>
        <w:tabs>
          <w:tab w:val="left" w:pos="4860"/>
          <w:tab w:val="left" w:pos="5580"/>
        </w:tabs>
        <w:spacing w:line="240" w:lineRule="auto"/>
        <w:rPr>
          <w:rFonts w:cs="Arial"/>
        </w:rPr>
      </w:pPr>
      <w:r>
        <w:rPr>
          <w:rFonts w:cs="Arial"/>
        </w:rPr>
        <w:t>Approval of Revised Tariffs</w:t>
      </w:r>
      <w:r>
        <w:rPr>
          <w:rFonts w:cs="Arial"/>
        </w:rPr>
        <w:tab/>
        <w:t>)</w:t>
      </w:r>
    </w:p>
    <w:p w:rsidR="0029140C" w:rsidRDefault="0029140C">
      <w:pPr>
        <w:tabs>
          <w:tab w:val="left" w:pos="4860"/>
          <w:tab w:val="left" w:pos="5580"/>
        </w:tabs>
        <w:spacing w:line="240" w:lineRule="auto"/>
        <w:rPr>
          <w:rFonts w:cs="Arial"/>
        </w:rPr>
      </w:pPr>
    </w:p>
    <w:p w:rsidR="0029140C" w:rsidRDefault="00D1008C">
      <w:pPr>
        <w:tabs>
          <w:tab w:val="left" w:pos="4860"/>
          <w:tab w:val="left" w:pos="5580"/>
        </w:tabs>
        <w:spacing w:line="240" w:lineRule="auto"/>
        <w:rPr>
          <w:rFonts w:cs="Arial"/>
        </w:rPr>
      </w:pPr>
      <w:r>
        <w:rPr>
          <w:rFonts w:cs="Arial"/>
        </w:rPr>
        <w:t xml:space="preserve">In the Matter of the Application of </w:t>
      </w:r>
      <w:r>
        <w:rPr>
          <w:rFonts w:cs="Arial"/>
        </w:rPr>
        <w:tab/>
        <w:t>)</w:t>
      </w:r>
    </w:p>
    <w:p w:rsidR="0029140C" w:rsidRDefault="00D1008C">
      <w:pPr>
        <w:tabs>
          <w:tab w:val="left" w:pos="4860"/>
          <w:tab w:val="left" w:pos="5580"/>
        </w:tabs>
        <w:spacing w:line="240" w:lineRule="auto"/>
        <w:rPr>
          <w:rFonts w:cs="Arial"/>
        </w:rPr>
      </w:pPr>
      <w:r>
        <w:rPr>
          <w:rFonts w:cs="Arial"/>
        </w:rPr>
        <w:t>The Dayton Power and Light Company for</w:t>
      </w:r>
      <w:r>
        <w:rPr>
          <w:rFonts w:cs="Arial"/>
        </w:rPr>
        <w:tab/>
        <w:t>)</w:t>
      </w:r>
      <w:r>
        <w:rPr>
          <w:rFonts w:cs="Arial"/>
        </w:rPr>
        <w:tab/>
        <w:t>Case No. 12-428-EL-AAM</w:t>
      </w:r>
    </w:p>
    <w:p w:rsidR="0029140C" w:rsidRDefault="00D1008C">
      <w:pPr>
        <w:tabs>
          <w:tab w:val="left" w:pos="4860"/>
          <w:tab w:val="left" w:pos="5580"/>
        </w:tabs>
        <w:spacing w:line="240" w:lineRule="auto"/>
        <w:rPr>
          <w:rFonts w:cs="Arial"/>
        </w:rPr>
      </w:pPr>
      <w:r>
        <w:rPr>
          <w:rFonts w:cs="Arial"/>
        </w:rPr>
        <w:t xml:space="preserve">Approval of Certain Accounting Authority </w:t>
      </w:r>
      <w:r>
        <w:rPr>
          <w:rFonts w:cs="Arial"/>
        </w:rPr>
        <w:tab/>
        <w:t>)</w:t>
      </w:r>
    </w:p>
    <w:p w:rsidR="0029140C" w:rsidRDefault="0029140C">
      <w:pPr>
        <w:tabs>
          <w:tab w:val="left" w:pos="4860"/>
          <w:tab w:val="left" w:pos="5580"/>
        </w:tabs>
        <w:spacing w:line="240" w:lineRule="auto"/>
        <w:rPr>
          <w:rFonts w:cs="Arial"/>
        </w:rPr>
      </w:pPr>
    </w:p>
    <w:p w:rsidR="0029140C" w:rsidRDefault="00D1008C">
      <w:pPr>
        <w:tabs>
          <w:tab w:val="left" w:pos="4860"/>
          <w:tab w:val="left" w:pos="5580"/>
        </w:tabs>
        <w:spacing w:line="240" w:lineRule="auto"/>
        <w:rPr>
          <w:rFonts w:cs="Arial"/>
        </w:rPr>
      </w:pPr>
      <w:r>
        <w:rPr>
          <w:rFonts w:cs="Arial"/>
        </w:rPr>
        <w:t xml:space="preserve">In the Matter of the Application of </w:t>
      </w:r>
      <w:r>
        <w:rPr>
          <w:rFonts w:cs="Arial"/>
        </w:rPr>
        <w:tab/>
        <w:t>)</w:t>
      </w:r>
    </w:p>
    <w:p w:rsidR="0029140C" w:rsidRDefault="00D1008C">
      <w:pPr>
        <w:tabs>
          <w:tab w:val="left" w:pos="4860"/>
          <w:tab w:val="left" w:pos="5580"/>
        </w:tabs>
        <w:spacing w:line="240" w:lineRule="auto"/>
        <w:rPr>
          <w:rFonts w:cs="Arial"/>
        </w:rPr>
      </w:pPr>
      <w:r>
        <w:rPr>
          <w:rFonts w:cs="Arial"/>
        </w:rPr>
        <w:t>The Dayton Power and Light Company for</w:t>
      </w:r>
      <w:r>
        <w:rPr>
          <w:rFonts w:cs="Arial"/>
        </w:rPr>
        <w:tab/>
        <w:t>)</w:t>
      </w:r>
      <w:r>
        <w:rPr>
          <w:rFonts w:cs="Arial"/>
        </w:rPr>
        <w:tab/>
        <w:t>Case No. 12-429-EL-WVR</w:t>
      </w:r>
    </w:p>
    <w:p w:rsidR="0029140C" w:rsidRDefault="00D1008C">
      <w:pPr>
        <w:tabs>
          <w:tab w:val="left" w:pos="4860"/>
          <w:tab w:val="left" w:pos="5580"/>
        </w:tabs>
        <w:spacing w:line="240" w:lineRule="auto"/>
        <w:rPr>
          <w:rFonts w:cs="Arial"/>
        </w:rPr>
      </w:pPr>
      <w:r>
        <w:rPr>
          <w:rFonts w:cs="Arial"/>
        </w:rPr>
        <w:t>the Waiver of Certain Commission Rules</w:t>
      </w:r>
      <w:r>
        <w:rPr>
          <w:rFonts w:cs="Arial"/>
        </w:rPr>
        <w:tab/>
        <w:t>)</w:t>
      </w:r>
    </w:p>
    <w:p w:rsidR="0029140C" w:rsidRDefault="0029140C">
      <w:pPr>
        <w:tabs>
          <w:tab w:val="left" w:pos="4860"/>
          <w:tab w:val="left" w:pos="5580"/>
        </w:tabs>
        <w:spacing w:line="240" w:lineRule="auto"/>
        <w:rPr>
          <w:rFonts w:cs="Arial"/>
        </w:rPr>
      </w:pPr>
    </w:p>
    <w:p w:rsidR="0029140C" w:rsidRDefault="00D1008C">
      <w:pPr>
        <w:tabs>
          <w:tab w:val="left" w:pos="4860"/>
          <w:tab w:val="left" w:pos="5580"/>
        </w:tabs>
        <w:spacing w:line="240" w:lineRule="auto"/>
        <w:rPr>
          <w:rFonts w:cs="Arial"/>
        </w:rPr>
      </w:pPr>
      <w:r>
        <w:rPr>
          <w:rFonts w:cs="Arial"/>
        </w:rPr>
        <w:t xml:space="preserve">In the Matter of the Application of </w:t>
      </w:r>
      <w:r>
        <w:rPr>
          <w:rFonts w:cs="Arial"/>
        </w:rPr>
        <w:tab/>
        <w:t>)</w:t>
      </w:r>
    </w:p>
    <w:p w:rsidR="0029140C" w:rsidRDefault="00D1008C">
      <w:pPr>
        <w:tabs>
          <w:tab w:val="left" w:pos="4860"/>
          <w:tab w:val="left" w:pos="5580"/>
        </w:tabs>
        <w:spacing w:line="240" w:lineRule="auto"/>
        <w:rPr>
          <w:rFonts w:cs="Arial"/>
        </w:rPr>
      </w:pPr>
      <w:r>
        <w:rPr>
          <w:rFonts w:cs="Arial"/>
        </w:rPr>
        <w:t xml:space="preserve">The Dayton Power and Light Company </w:t>
      </w:r>
      <w:r>
        <w:rPr>
          <w:rFonts w:cs="Arial"/>
        </w:rPr>
        <w:tab/>
        <w:t>)</w:t>
      </w:r>
      <w:r>
        <w:rPr>
          <w:rFonts w:cs="Arial"/>
        </w:rPr>
        <w:tab/>
        <w:t>Case No. 12-672-EL-RDR</w:t>
      </w:r>
    </w:p>
    <w:p w:rsidR="0029140C" w:rsidRDefault="00D1008C">
      <w:pPr>
        <w:tabs>
          <w:tab w:val="left" w:pos="4860"/>
          <w:tab w:val="left" w:pos="5580"/>
        </w:tabs>
        <w:spacing w:line="240" w:lineRule="auto"/>
        <w:rPr>
          <w:rFonts w:cs="Arial"/>
        </w:rPr>
      </w:pPr>
      <w:r>
        <w:rPr>
          <w:rFonts w:cs="Arial"/>
        </w:rPr>
        <w:t>to Establish Tariff Riders</w:t>
      </w:r>
      <w:r>
        <w:rPr>
          <w:rFonts w:cs="Arial"/>
        </w:rPr>
        <w:tab/>
        <w:t>)</w:t>
      </w:r>
    </w:p>
    <w:p w:rsidR="0029140C" w:rsidRDefault="0029140C">
      <w:pPr>
        <w:spacing w:line="240" w:lineRule="auto"/>
        <w:jc w:val="center"/>
      </w:pPr>
    </w:p>
    <w:p w:rsidR="0029140C" w:rsidRDefault="0029140C">
      <w:pPr>
        <w:spacing w:line="240" w:lineRule="auto"/>
        <w:jc w:val="center"/>
      </w:pPr>
    </w:p>
    <w:p w:rsidR="0029140C" w:rsidRDefault="0029140C">
      <w:pPr>
        <w:pBdr>
          <w:top w:val="single" w:sz="8" w:space="1" w:color="auto"/>
        </w:pBdr>
        <w:spacing w:line="240" w:lineRule="auto"/>
        <w:jc w:val="center"/>
      </w:pPr>
    </w:p>
    <w:p w:rsidR="0029140C" w:rsidRDefault="00D1008C">
      <w:pPr>
        <w:spacing w:line="240" w:lineRule="auto"/>
        <w:jc w:val="center"/>
        <w:rPr>
          <w:rFonts w:ascii="Arial Bold" w:hAnsi="Arial Bold"/>
          <w:b/>
          <w:smallCaps/>
          <w:sz w:val="28"/>
        </w:rPr>
      </w:pPr>
      <w:r>
        <w:rPr>
          <w:rFonts w:ascii="Arial Bold" w:hAnsi="Arial Bold"/>
          <w:b/>
          <w:smallCaps/>
          <w:sz w:val="28"/>
        </w:rPr>
        <w:t>Industrial Energy Users-Ohio’s Reply to</w:t>
      </w:r>
    </w:p>
    <w:p w:rsidR="0029140C" w:rsidRDefault="00D1008C">
      <w:pPr>
        <w:spacing w:line="240" w:lineRule="auto"/>
        <w:jc w:val="center"/>
        <w:rPr>
          <w:rFonts w:ascii="Arial Bold" w:hAnsi="Arial Bold"/>
          <w:b/>
          <w:smallCaps/>
          <w:sz w:val="28"/>
        </w:rPr>
      </w:pPr>
      <w:r>
        <w:rPr>
          <w:rFonts w:ascii="Arial Bold" w:hAnsi="Arial Bold"/>
          <w:b/>
          <w:smallCaps/>
          <w:sz w:val="28"/>
        </w:rPr>
        <w:t>The Dayton Power and Light Company’s</w:t>
      </w:r>
    </w:p>
    <w:p w:rsidR="0029140C" w:rsidRDefault="00D1008C">
      <w:pPr>
        <w:spacing w:line="240" w:lineRule="auto"/>
        <w:jc w:val="center"/>
        <w:rPr>
          <w:rFonts w:ascii="Arial Bold" w:hAnsi="Arial Bold"/>
          <w:b/>
          <w:smallCaps/>
          <w:sz w:val="28"/>
        </w:rPr>
      </w:pPr>
      <w:r>
        <w:rPr>
          <w:rFonts w:ascii="Arial Bold" w:hAnsi="Arial Bold"/>
          <w:b/>
          <w:smallCaps/>
          <w:sz w:val="28"/>
        </w:rPr>
        <w:t>Memorandum in Opposition to</w:t>
      </w:r>
    </w:p>
    <w:p w:rsidR="0029140C" w:rsidRDefault="00D1008C">
      <w:pPr>
        <w:spacing w:line="240" w:lineRule="auto"/>
        <w:jc w:val="center"/>
        <w:rPr>
          <w:rFonts w:ascii="Arial Bold" w:hAnsi="Arial Bold"/>
          <w:b/>
          <w:smallCaps/>
          <w:sz w:val="28"/>
        </w:rPr>
      </w:pPr>
      <w:r>
        <w:rPr>
          <w:rFonts w:ascii="Arial Bold" w:hAnsi="Arial Bold"/>
          <w:b/>
          <w:smallCaps/>
          <w:sz w:val="28"/>
        </w:rPr>
        <w:t>IEU’s Motion to Compel Discovery Responses</w:t>
      </w:r>
    </w:p>
    <w:p w:rsidR="0029140C" w:rsidRDefault="0029140C">
      <w:pPr>
        <w:pBdr>
          <w:bottom w:val="single" w:sz="8" w:space="1" w:color="auto"/>
        </w:pBdr>
        <w:spacing w:line="240" w:lineRule="auto"/>
        <w:jc w:val="center"/>
        <w:rPr>
          <w:rFonts w:ascii="Arial Bold" w:hAnsi="Arial Bold"/>
          <w:smallCaps/>
          <w:szCs w:val="24"/>
        </w:rPr>
      </w:pPr>
    </w:p>
    <w:p w:rsidR="0029140C" w:rsidRDefault="00D1008C">
      <w:pPr>
        <w:ind w:left="0" w:firstLine="0"/>
      </w:pPr>
      <w:r>
        <w:t xml:space="preserve">  </w:t>
      </w:r>
    </w:p>
    <w:p w:rsidR="0029140C" w:rsidRDefault="00D1008C">
      <w:pPr>
        <w:ind w:left="0" w:firstLine="0"/>
      </w:pPr>
      <w:r>
        <w:tab/>
        <w:t xml:space="preserve">The Dayton Power and Light Company (“DP&amp;L”) is seeking to increase its total compensation through its electric security plan (“ESP”) application by hundreds of millions of dollars on the theory that it needs the increase to protect its financial integrity based on its projected total company return on equity.  Industrial Energy Users-Ohio (“IEU-Ohio”) has sought to investigate that claim through its discovery requests seeking information concerning potential cost control and revenue enhancements, and compliance with DP&amp;L’s cost allocation manual (“CAM”).  DP&amp;L has refused to turn </w:t>
      </w:r>
      <w:r>
        <w:lastRenderedPageBreak/>
        <w:t>over this critical information.</w:t>
      </w:r>
      <w:r>
        <w:rPr>
          <w:rStyle w:val="FootnoteReference"/>
        </w:rPr>
        <w:footnoteReference w:id="1"/>
      </w:r>
      <w:r>
        <w:t xml:space="preserve">  DP&amp;L admits it has responsive information (the “Financial Integrity Study”) in its possession that demonstrates that there may be internal means of satisfying its goal of financial integrity, but refuses to disclose this information on claims that the information is privileged.</w:t>
      </w:r>
      <w:r>
        <w:rPr>
          <w:rStyle w:val="FootnoteReference"/>
        </w:rPr>
        <w:footnoteReference w:id="2"/>
      </w:r>
      <w:r>
        <w:t xml:space="preserve">  Additionally, when pressed to demonstrate its compliance with corporate separation requirements such as the maintenance of a proper CAM, DP&amp;L claims that it need not provide copies or permit copying of the core corporate documents mandated by statute and administrative rule on grounds of relevance and privilege.  </w:t>
      </w:r>
    </w:p>
    <w:p w:rsidR="0029140C" w:rsidRDefault="00D1008C">
      <w:pPr>
        <w:ind w:left="0" w:firstLine="0"/>
      </w:pPr>
      <w:r>
        <w:tab/>
        <w:t>In accordance with Rule 4901-1-12(B)(2), Ohio Administrative Code (“O.A.C.), IEU-Ohio hereby files its Reply to DP&amp;L’s Memo Contra the Motion of Industrial Energy Users-Ohio to Compel Discovery Responses from The Dayton Power and Light Company and Memorandum in Support filed on January 3, 2012 (“IEU-Ohio’s 2nd Motion to Compel”).  Because the reasons supporting DP&amp;L’s refusal to comply with legitimate discovery requests are groundless,</w:t>
      </w:r>
      <w:r>
        <w:rPr>
          <w:rStyle w:val="FootnoteReference"/>
        </w:rPr>
        <w:footnoteReference w:id="3"/>
      </w:r>
      <w:r>
        <w:t xml:space="preserve"> the Commission should grant IEU-Ohio’s 2nd Motion to Compel.</w:t>
      </w:r>
    </w:p>
    <w:p w:rsidR="0029140C" w:rsidRDefault="00D1008C">
      <w:pPr>
        <w:rPr>
          <w:rFonts w:eastAsiaTheme="majorEastAsia" w:cs="Arial"/>
          <w:b/>
          <w:bCs/>
          <w:caps/>
          <w:szCs w:val="28"/>
          <w:u w:val="single"/>
        </w:rPr>
      </w:pPr>
      <w:r>
        <w:br w:type="page"/>
      </w:r>
    </w:p>
    <w:p w:rsidR="0029140C" w:rsidRDefault="00D1008C">
      <w:pPr>
        <w:pStyle w:val="Heading1"/>
      </w:pPr>
      <w:r>
        <w:lastRenderedPageBreak/>
        <w:t>DP&amp;L’s Financial Integrity Study</w:t>
      </w:r>
    </w:p>
    <w:p w:rsidR="0029140C" w:rsidRDefault="00D1008C">
      <w:pPr>
        <w:pStyle w:val="ListParagraph"/>
        <w:ind w:left="0" w:firstLine="0"/>
      </w:pPr>
      <w:r>
        <w:tab/>
        <w:t>IEU-Ohio requested information regarding whether DP&amp;L had investigated alternatives to satisfy its financial integrity goal if the Commission did not approve its ESP.  DP&amp;L has indicated that it has an analysis, the Financial Integrity Study, but refused to provide it, claiming it is protected by the attorney-client privilege and work-product doctrine.</w:t>
      </w:r>
      <w:r>
        <w:rPr>
          <w:vertAlign w:val="superscript"/>
        </w:rPr>
        <w:footnoteReference w:id="4"/>
      </w:r>
    </w:p>
    <w:p w:rsidR="0029140C" w:rsidRDefault="00D1008C">
      <w:pPr>
        <w:pStyle w:val="ListParagraph"/>
        <w:ind w:left="0" w:firstLine="0"/>
      </w:pPr>
      <w:r>
        <w:tab/>
        <w:t>DP&amp;L’s Memo Contra fails to demonstrate that either the attorney-client privilege or the work-product doctrine is applicable to protect the Financial Integrity Study from disclosure.  In any event, as demonstrated below, IEU-Ohio can demonstrate good cause for the information and DP&amp;L has waived any claim that the attorney-client privilege or work-product doctrine allow it to withhold the Financial Integrity Study.</w:t>
      </w:r>
    </w:p>
    <w:p w:rsidR="0029140C" w:rsidRDefault="00D1008C">
      <w:pPr>
        <w:pStyle w:val="Heading2"/>
      </w:pPr>
      <w:r>
        <w:t>The attorney-client privilege does not allow DP&amp;L to withhold the Financial Integrity Study.  DP&amp;L admits that the information contained in the Financial Integrity Study is not itself covered by the attorney-client privilege, and only asserts that the Financial Integrity Study could be used to reverse engineer legal advice.</w:t>
      </w:r>
    </w:p>
    <w:p w:rsidR="0029140C" w:rsidRDefault="00D1008C">
      <w:pPr>
        <w:pStyle w:val="ListParagraph"/>
        <w:ind w:left="0" w:firstLine="0"/>
      </w:pPr>
      <w:r>
        <w:tab/>
        <w:t>For investigative facts and documents to be covered by the attorney-client privilege, “[t]he relevant question is ... whether [the] investigation was ‘related to the rendition of legal services’”</w:t>
      </w:r>
      <w:r>
        <w:rPr>
          <w:rStyle w:val="FootnoteReference"/>
        </w:rPr>
        <w:footnoteReference w:id="5"/>
      </w:r>
      <w:r>
        <w:t xml:space="preserve"> and requires “the client for whom the investigation was conducted [to] show that other </w:t>
      </w:r>
      <w:r>
        <w:rPr>
          <w:i/>
        </w:rPr>
        <w:t>legal</w:t>
      </w:r>
      <w:r>
        <w:t xml:space="preserve"> advice or assistance was sought and that the investigation conducted was integral to that assistance.”</w:t>
      </w:r>
      <w:r>
        <w:rPr>
          <w:rStyle w:val="FootnoteReference"/>
        </w:rPr>
        <w:footnoteReference w:id="6"/>
      </w:r>
      <w:r>
        <w:t xml:space="preserve">  </w:t>
      </w:r>
    </w:p>
    <w:p w:rsidR="0029140C" w:rsidRDefault="00D1008C">
      <w:pPr>
        <w:pStyle w:val="ListParagraph"/>
        <w:ind w:left="0" w:firstLine="0"/>
      </w:pPr>
      <w:r>
        <w:tab/>
        <w:t xml:space="preserve">DP&amp;L has failed to demonstrate that the Financial Integrity Study was integrally related to the rendition of legal advice; DP&amp;L only asserts that its counsel asked that the </w:t>
      </w:r>
      <w:r>
        <w:lastRenderedPageBreak/>
        <w:t>analysis be done.  DP&amp;L claims that the Financial Integrity Study is privileged not on grounds that the information contained in the study is privileged, but because the information in the study could somehow allow parties to reverse engineer DP&amp;L’s counsels’ legal advice regarding the probability of DP&amp;L’s success on the merits of its ESP application.  Because DP&amp;L admits the study itself is not covered by the attorney-client privilege, the Commission should compel DP&amp;L to produce the study.</w:t>
      </w:r>
      <w:r>
        <w:rPr>
          <w:rStyle w:val="FootnoteReference"/>
        </w:rPr>
        <w:footnoteReference w:id="7"/>
      </w:r>
      <w:r>
        <w:t xml:space="preserve">  </w:t>
      </w:r>
    </w:p>
    <w:p w:rsidR="0029140C" w:rsidRDefault="00D1008C">
      <w:pPr>
        <w:pStyle w:val="Heading2"/>
      </w:pPr>
      <w:r>
        <w:t>DP&amp;L has failed to demonstrate that the work-product doctrine applies, but in any event IEU-Ohio can demonstrate good cause exists to compel DP&amp;L to produce any information deemed to be work-product</w:t>
      </w:r>
    </w:p>
    <w:p w:rsidR="0029140C" w:rsidRDefault="00D1008C">
      <w:pPr>
        <w:ind w:left="0" w:firstLine="0"/>
      </w:pPr>
      <w:r>
        <w:tab/>
        <w:t>As discussed above, DP&amp;L does not assert that all of the information in the Financial Integrity Study is subject to the work-product doctrine, only that parties could reverse engineer counsel’s mental impression and legal advice.  Thus, DP&amp;L has failed to demonstrate a legitimate ground for refusing to turn over the document based on the work-product doctrine.</w:t>
      </w:r>
    </w:p>
    <w:p w:rsidR="0029140C" w:rsidRDefault="00D1008C">
      <w:pPr>
        <w:ind w:left="0" w:firstLine="0"/>
      </w:pPr>
      <w:r>
        <w:tab/>
        <w:t>Even if the Financial Integrity Study was covered by the work-product doctrine, good cause exists for the Commission to compel DP&amp;L to produce the entire Financial Integrity Study.  As explained by the Ohio Supreme Court, “a showing of good cause under Civ.R. 26(B)(3) requires demonstration of need for the materials—</w:t>
      </w:r>
      <w:r>
        <w:rPr>
          <w:i/>
        </w:rPr>
        <w:t>i.e.</w:t>
      </w:r>
      <w:r>
        <w:t>, a showing that the materials, or the information they contain, are relevant and otherwise unavailable.”</w:t>
      </w:r>
      <w:r>
        <w:rPr>
          <w:rStyle w:val="FootnoteReference"/>
        </w:rPr>
        <w:footnoteReference w:id="8"/>
      </w:r>
    </w:p>
    <w:p w:rsidR="0029140C" w:rsidRDefault="00D1008C">
      <w:pPr>
        <w:ind w:left="0" w:firstLine="0"/>
      </w:pPr>
      <w:r>
        <w:lastRenderedPageBreak/>
        <w:tab/>
        <w:t>Because DP&amp;L has grounded its request for an increase in compensation based on the need to assure its “financial integrity,” the Financial Integrity Study is relevant to the review of DP&amp;L’s application.  In fact, the Commission has held this type of information is not only relevant to a financial integrity claim, but is perhaps the most important information:</w:t>
      </w:r>
    </w:p>
    <w:p w:rsidR="0029140C" w:rsidRDefault="00D1008C">
      <w:pPr>
        <w:spacing w:line="240" w:lineRule="auto"/>
        <w:ind w:right="720" w:firstLine="0"/>
        <w:rPr>
          <w:vertAlign w:val="superscript"/>
        </w:rPr>
      </w:pPr>
      <w:r>
        <w:t>[f]ifth, and perhaps most importantly, the Commission believes that the companies absolutely must take very aggressive steps to enhance their revenues and minimize their expenses particularly during this interim period in order to avoid the negative consequences of the current financial emergency.</w:t>
      </w:r>
      <w:r>
        <w:rPr>
          <w:vertAlign w:val="superscript"/>
        </w:rPr>
        <w:t xml:space="preserve"> </w:t>
      </w:r>
      <w:r>
        <w:rPr>
          <w:vertAlign w:val="superscript"/>
        </w:rPr>
        <w:footnoteReference w:id="9"/>
      </w:r>
    </w:p>
    <w:p w:rsidR="0029140C" w:rsidRDefault="0029140C">
      <w:pPr>
        <w:spacing w:line="240" w:lineRule="auto"/>
        <w:ind w:right="720" w:firstLine="0"/>
      </w:pPr>
    </w:p>
    <w:p w:rsidR="0029140C" w:rsidRDefault="00D1008C">
      <w:pPr>
        <w:ind w:left="0" w:firstLine="0"/>
      </w:pPr>
      <w:r>
        <w:t>Accordingly, IEU-Ohio has satisfied the first prong by demonstrating that its request for information related to DP&amp;L’s ability to reduce its expenses and/or increase its revenue is relevant.</w:t>
      </w:r>
    </w:p>
    <w:p w:rsidR="0029140C" w:rsidRDefault="00D1008C">
      <w:pPr>
        <w:ind w:left="0" w:firstLine="0"/>
      </w:pPr>
      <w:r>
        <w:tab/>
        <w:t>Second, the information IEU-Ohio seeks in Interrogatories ESP INT 3-1 through ESP INT 3-3 is not otherwise available.  DP&amp;L is the only party that can identify the possible means it can employ to reduce its expenses and increase its revenue.  No other party has access to all of DP&amp;L’s internal business information or is in a position to be able to opine as to how DP&amp;L could reduce its expenses and increase its revenue.  Thus, good cause exists to compel DP&amp;L to produce the information; it is relevant and otherwise unavailable.</w:t>
      </w:r>
    </w:p>
    <w:p w:rsidR="0029140C" w:rsidRDefault="00D1008C">
      <w:pPr>
        <w:ind w:left="0" w:firstLine="0"/>
      </w:pPr>
      <w:r>
        <w:tab/>
        <w:t xml:space="preserve">Although the Commission’s decision quoted above would imply that DP&amp;L should have introduced the information IEU-Ohio seeks in Interrogatories ESP INT 3-1 through ESP INT 3-3 as part of its application, DP&amp;L also seeks to shield such information from the discovery process.  DP&amp;L’s claim that the information can be protected under the </w:t>
      </w:r>
      <w:r>
        <w:lastRenderedPageBreak/>
        <w:t>work-product doctrine is meritless.  Moreover, as demonstrated above, even if the work-product doctrine was applicable, good cause exists to compel DP&amp;L to respond and produce the requested information.</w:t>
      </w:r>
    </w:p>
    <w:p w:rsidR="0029140C" w:rsidRDefault="00D1008C">
      <w:pPr>
        <w:pStyle w:val="Heading2"/>
      </w:pPr>
      <w:r>
        <w:t>Even if the Financial Integrity Study were protected under the attorney-client privilege or work-product doctrine, DP&amp;L has waived any such claim.</w:t>
      </w:r>
    </w:p>
    <w:p w:rsidR="0029140C" w:rsidRDefault="00D1008C">
      <w:pPr>
        <w:pStyle w:val="ListParagraph"/>
        <w:ind w:left="0" w:firstLine="0"/>
      </w:pPr>
      <w:r>
        <w:tab/>
        <w:t>DP&amp;L has provided through discovery a document titled “Additional Detail for Financial Integrity Testimony” that was labeled “Privileged and Confidential Prepared at the request of General Counsel Draft for discussion purposes only.”</w:t>
      </w:r>
      <w:r>
        <w:rPr>
          <w:vertAlign w:val="superscript"/>
        </w:rPr>
        <w:footnoteReference w:id="10"/>
      </w:r>
      <w:r>
        <w:t xml:space="preserve">  Ohio courts have held that “a client’s voluntary disclosure of confidential communications is inconsistent with an assertion of the privilege,” and therefore “voluntary disclosure of privileged communications to a third party waives a claim of privilege with regard to communications on the same subject matter.”</w:t>
      </w:r>
      <w:r>
        <w:rPr>
          <w:vertAlign w:val="superscript"/>
        </w:rPr>
        <w:footnoteReference w:id="11"/>
      </w:r>
      <w:r>
        <w:t xml:space="preserve">  This rule “applies to disclosure of materials covered by an attorney-client privilege and to disclosure of materials which are protected by the work product doctrine.”</w:t>
      </w:r>
      <w:r>
        <w:rPr>
          <w:rStyle w:val="FootnoteReference"/>
        </w:rPr>
        <w:footnoteReference w:id="12"/>
      </w:r>
    </w:p>
    <w:p w:rsidR="0029140C" w:rsidRDefault="00D1008C">
      <w:pPr>
        <w:pStyle w:val="ListParagraph"/>
        <w:ind w:left="0" w:firstLine="0"/>
      </w:pPr>
      <w:r>
        <w:tab/>
        <w:t xml:space="preserve">DP&amp;L’s assertion that the Financial Integrity Study responsive to IEU-Ohio’s Interrogatories ESP INT 3-1 through 3-3 is privileged because it was prepared at the request of counsel has been waived because DP&amp;L voluntarily disclosed privileged information related to DP&amp;L’s financial integrity claim in its response to OCC’s Request </w:t>
      </w:r>
      <w:r>
        <w:lastRenderedPageBreak/>
        <w:t xml:space="preserve">for Production of Documents 36.  Thus, regardless of whether its claim of attorney-client privilege or work-product doctrine was ever applicable, such claims have been waived.  </w:t>
      </w:r>
    </w:p>
    <w:p w:rsidR="0029140C" w:rsidRDefault="00D1008C">
      <w:pPr>
        <w:pStyle w:val="Heading1"/>
      </w:pPr>
      <w:r>
        <w:t>The CAM is Relevant</w:t>
      </w:r>
    </w:p>
    <w:p w:rsidR="0029140C" w:rsidRDefault="00D1008C">
      <w:pPr>
        <w:ind w:left="0" w:firstLine="0"/>
      </w:pPr>
      <w:r>
        <w:tab/>
        <w:t>IEU-Ohio has sought a copy of DP&amp;L’s CAM.  DP&amp;L provided IEU-Ohio an opportunity to view the CAM but failed to provide a copy of the document.  In response to IEU-Ohio’s 2nd Motion to Compel seeking a copy of the CAM and the board of directors’ minutes that should have been included as part of the CAM,</w:t>
      </w:r>
      <w:r>
        <w:rPr>
          <w:vertAlign w:val="superscript"/>
        </w:rPr>
        <w:footnoteReference w:id="13"/>
      </w:r>
      <w:r>
        <w:t xml:space="preserve"> DP&amp;L’s Memo Contra incorrectly claims that IEU-Ohio failed to identify any specific issue as to why the CAM is relevant, and also claims that the documents were privileged.  Neither claim has merit.  </w:t>
      </w:r>
    </w:p>
    <w:p w:rsidR="0029140C" w:rsidRDefault="00D1008C">
      <w:pPr>
        <w:ind w:left="0" w:firstLine="0"/>
      </w:pPr>
      <w:r>
        <w:tab/>
        <w:t>First, IEU-Ohio demonstrated that the CAM was relevant in its Memorandum in Support of IEU-Ohio’s 2nd Motion to Compel.  At pages 10-12 of IEU</w:t>
      </w:r>
      <w:r>
        <w:noBreakHyphen/>
        <w:t>Ohio’s 2nd Motion to Compel, IEU-Ohio identified the reasons why the CAM is reasonably calculated to lead to the discovery of admissible evidence; specifically, IEU</w:t>
      </w:r>
      <w:r>
        <w:noBreakHyphen/>
        <w:t>Ohio identified the following reasons:</w:t>
      </w:r>
    </w:p>
    <w:p w:rsidR="0029140C" w:rsidRDefault="00D1008C">
      <w:pPr>
        <w:spacing w:line="240" w:lineRule="auto"/>
        <w:ind w:left="1440"/>
      </w:pPr>
      <w:r>
        <w:t>1.</w:t>
      </w:r>
      <w:r>
        <w:tab/>
        <w:t>The CAM is cited in DP&amp;L’s own testimony;</w:t>
      </w:r>
    </w:p>
    <w:p w:rsidR="0029140C" w:rsidRDefault="0029140C">
      <w:pPr>
        <w:spacing w:line="240" w:lineRule="auto"/>
        <w:ind w:left="1440"/>
      </w:pPr>
    </w:p>
    <w:p w:rsidR="0029140C" w:rsidRDefault="00D1008C">
      <w:pPr>
        <w:spacing w:line="240" w:lineRule="auto"/>
        <w:ind w:left="1440" w:right="720"/>
      </w:pPr>
      <w:r>
        <w:t>2.</w:t>
      </w:r>
      <w:r>
        <w:tab/>
        <w:t>In a standard service offer (“SSO”) proceeding, an electric distribution utility (“EDU”) must demonstrate that it is in compliance with the State policies contained in Section 4928.02, Revised Code.  Section 4928.02(H), Revised Code, prohibits cross-subsidies and, therefore, the means by which DP&amp;L allocates its costs to its business units is relevant to ensure that there are not cross-subsidies.</w:t>
      </w:r>
    </w:p>
    <w:p w:rsidR="0029140C" w:rsidRDefault="0029140C">
      <w:pPr>
        <w:spacing w:line="240" w:lineRule="auto"/>
        <w:ind w:left="1440"/>
      </w:pPr>
    </w:p>
    <w:p w:rsidR="0029140C" w:rsidRDefault="00D1008C">
      <w:pPr>
        <w:spacing w:line="240" w:lineRule="auto"/>
        <w:ind w:left="1440" w:right="720"/>
      </w:pPr>
      <w:r>
        <w:t>3.</w:t>
      </w:r>
      <w:r>
        <w:tab/>
        <w:t xml:space="preserve">The Commission’s standard filing requirements for an ESP require DP&amp;L to demonstrate that it is currently in compliance with the corporate separation requirements.  DP&amp;L operates under </w:t>
      </w:r>
      <w:r>
        <w:lastRenderedPageBreak/>
        <w:t>functional separation, and according to Section 4928.17(C), Revised Code, any EDU operating under functional separation must comply with the State policy contained in Section 4928.02, Revised Code.</w:t>
      </w:r>
      <w:r>
        <w:rPr>
          <w:rStyle w:val="FootnoteReference"/>
        </w:rPr>
        <w:footnoteReference w:id="14"/>
      </w:r>
      <w:r>
        <w:t xml:space="preserve">  </w:t>
      </w:r>
    </w:p>
    <w:p w:rsidR="0029140C" w:rsidRDefault="0029140C">
      <w:pPr>
        <w:spacing w:line="240" w:lineRule="auto"/>
        <w:ind w:left="0" w:firstLine="0"/>
      </w:pPr>
    </w:p>
    <w:p w:rsidR="0029140C" w:rsidRDefault="00D1008C">
      <w:pPr>
        <w:ind w:left="0" w:firstLine="0"/>
      </w:pPr>
      <w:r>
        <w:t xml:space="preserve">Accordingly, IEU-Ohio has demonstrated that the entire CAM is reasonably calculated to lead to the discovery of admissible evidence.  </w:t>
      </w:r>
    </w:p>
    <w:p w:rsidR="0029140C" w:rsidRDefault="00D1008C">
      <w:pPr>
        <w:ind w:left="0" w:firstLine="0"/>
      </w:pPr>
      <w:r>
        <w:tab/>
        <w:t>DP&amp;L’s Memo Contra ignores this analysis and instead claims that it offered IEU</w:t>
      </w:r>
      <w:r>
        <w:noBreakHyphen/>
        <w:t>Ohio an opportunity to request specific pages and then argue about whether the individual pages were relevant.  After reviewing the CAM (which failed to contain the board of directors’ minutes), IEU-Ohio determined that the entire CAM was relevant and requested a complete copy of the CAM.  IEU-Ohio’s 2nd Motion to Compel demonstrates that the entire CAM is within the scope of discovery.  While DP&amp;L might want to only turn over certain pages of its CAM, the Commission’s discovery rules do not limit IEU-Ohio’s discovery rights to only those pages of documents that DP&amp;L wishes to disclose.  IEU-Ohio “may obtain discovery of any matter, not privileged, which is relevant to the subject matter of the proceeding” or which is “reasonably calculated to lead to the discovery of admissible evidence.”</w:t>
      </w:r>
      <w:r>
        <w:rPr>
          <w:rStyle w:val="FootnoteReference"/>
        </w:rPr>
        <w:footnoteReference w:id="15"/>
      </w:r>
      <w:r>
        <w:t xml:space="preserve">  IEU-Ohio’s discovery request is proper and within the allowed scope of discovery in Commission proceedings.  Moreover, DP&amp;L failed to raise a relevance objection in its discovery response and therefore the Commission should not entertain any arguments about relevance now.  </w:t>
      </w:r>
    </w:p>
    <w:p w:rsidR="0029140C" w:rsidRDefault="00D1008C">
      <w:pPr>
        <w:ind w:left="0" w:firstLine="0"/>
      </w:pPr>
      <w:r>
        <w:tab/>
        <w:t>DP&amp;L also claims that its board of directors’ minutes are “privileged material.”</w:t>
      </w:r>
      <w:r>
        <w:rPr>
          <w:rStyle w:val="FootnoteReference"/>
        </w:rPr>
        <w:footnoteReference w:id="16"/>
      </w:r>
      <w:r>
        <w:t xml:space="preserve">  Again, DP&amp;L fails to distinguish between the attorney-client privilege and work-product doctrine, but DP&amp;L’s assertion fails either way.  The party claiming that either the </w:t>
      </w:r>
      <w:r>
        <w:lastRenderedPageBreak/>
        <w:t>attorney-client privilege or work-product doctrine bears the burden of demonstrating that either applies and DP&amp;L failed to offer any analysis on this issue.  Instead, DP&amp;L cites to two federal cases, but these two cases do not stand for the proposition that all board of directors’ minutes are subject to the attorney-client privilege or work-product doctrine.</w:t>
      </w:r>
    </w:p>
    <w:p w:rsidR="0029140C" w:rsidRDefault="00D1008C">
      <w:pPr>
        <w:ind w:left="0" w:firstLine="0"/>
      </w:pPr>
      <w:r>
        <w:tab/>
        <w:t xml:space="preserve">The first case cited by DP&amp;L is </w:t>
      </w:r>
      <w:r>
        <w:rPr>
          <w:i/>
        </w:rPr>
        <w:t>In re Ford Motor Co.</w:t>
      </w:r>
      <w:r>
        <w:t>, 110 F.3d 954, 966 (3d Cir. 1997).  That case held that the board of directors’ minutes were subject to the attorney-client privilege because they were made for the purpose of obtaining legal advice:</w:t>
      </w:r>
    </w:p>
    <w:p w:rsidR="0029140C" w:rsidRDefault="00D1008C">
      <w:pPr>
        <w:spacing w:line="240" w:lineRule="auto"/>
        <w:ind w:right="720" w:firstLine="0"/>
      </w:pPr>
      <w:r>
        <w:t>the final minutes, the draft minutes, the report Nolte [Ford’s general counsel] summarized at the meeting, and relevant affidavits, leads us to conclude that the communications in the meeting were made for the purpose of securing legal advice.</w:t>
      </w:r>
      <w:r>
        <w:rPr>
          <w:rStyle w:val="FootnoteReference"/>
        </w:rPr>
        <w:footnoteReference w:id="17"/>
      </w:r>
    </w:p>
    <w:p w:rsidR="0029140C" w:rsidRDefault="0029140C">
      <w:pPr>
        <w:spacing w:line="240" w:lineRule="auto"/>
        <w:ind w:left="0" w:firstLine="0"/>
      </w:pPr>
    </w:p>
    <w:p w:rsidR="0029140C" w:rsidRDefault="00D1008C">
      <w:pPr>
        <w:ind w:left="0" w:firstLine="0"/>
      </w:pPr>
      <w:r>
        <w:t>The Third Circuit Court of Appeals analysis was factually driven and hinged on its determination that the communications during the board meeting were for the purpose of securing legal advice.  DP&amp;L, however, fails to include any discussion on this issue and has therefore failed to meet its burden of proof.</w:t>
      </w:r>
    </w:p>
    <w:p w:rsidR="0029140C" w:rsidRDefault="00D1008C">
      <w:pPr>
        <w:ind w:left="0" w:firstLine="0"/>
      </w:pPr>
      <w:r>
        <w:tab/>
        <w:t xml:space="preserve">The second case cited by DP&amp;L is </w:t>
      </w:r>
      <w:r>
        <w:rPr>
          <w:i/>
        </w:rPr>
        <w:t>Great Plains Mutual Insurance Co., Inc. v. Mutual Reinsurance Bureau</w:t>
      </w:r>
      <w:r>
        <w:t>, 150 F.R.D. 193, 197-98 (D. Kan. 1993).  This case stands for the same proposition as the case discussed above:  board of directors’ minutes can be withheld under a claim of attorney-client privilege if the communications during the meeting were for the purpose of securing legal advice.</w:t>
      </w:r>
      <w:r>
        <w:rPr>
          <w:rStyle w:val="FootnoteReference"/>
        </w:rPr>
        <w:footnoteReference w:id="18"/>
      </w:r>
      <w:r>
        <w:t xml:space="preserve">  </w:t>
      </w:r>
      <w:r>
        <w:tab/>
        <w:t xml:space="preserve">DP&amp;L has failed to demonstrate that the communications recorded in the meeting minutes were made for purposes of obtaining legal advice.  Because DP&amp;L’s Memo Contra completely fails to include any analysis on this issue, DP&amp;L has failed to meet its burden to demonstrate </w:t>
      </w:r>
      <w:r>
        <w:lastRenderedPageBreak/>
        <w:t>that the attorney-client privilege and/or work-product doctrine are applicable.  Accordingly, the Commission should compel DP&amp;L to produce its CAM, complete with all board of directors’ minutes.</w:t>
      </w:r>
    </w:p>
    <w:p w:rsidR="0029140C" w:rsidRDefault="00D1008C">
      <w:pPr>
        <w:pStyle w:val="Heading1"/>
      </w:pPr>
      <w:r>
        <w:t>CONCLUSION</w:t>
      </w:r>
    </w:p>
    <w:p w:rsidR="0029140C" w:rsidRDefault="00D1008C">
      <w:pPr>
        <w:pStyle w:val="ListParagraph"/>
        <w:ind w:left="0" w:firstLine="0"/>
      </w:pPr>
      <w:r>
        <w:tab/>
        <w:t>For the reasons discussed above, DP&amp;L’s objections to IEU-Ohio’s discovery requests that are the subject of IEU-Ohio’s 2nd Motion to Compel are meritless.  Accordingly, the Commission should grant IEU-Ohio’s 2nd Motion to Compel.</w:t>
      </w:r>
    </w:p>
    <w:p w:rsidR="0029140C" w:rsidRDefault="00D1008C">
      <w:pPr>
        <w:tabs>
          <w:tab w:val="left" w:pos="-1440"/>
          <w:tab w:val="left" w:pos="-720"/>
          <w:tab w:val="left" w:pos="3600"/>
          <w:tab w:val="left" w:pos="4320"/>
        </w:tabs>
        <w:spacing w:line="240" w:lineRule="auto"/>
        <w:ind w:left="4320"/>
        <w:rPr>
          <w:rFonts w:cs="Arial"/>
          <w:color w:val="000000" w:themeColor="text1"/>
          <w:lang w:val="de-DE"/>
        </w:rPr>
      </w:pPr>
      <w:r>
        <w:rPr>
          <w:rFonts w:cs="Arial"/>
          <w:color w:val="000000" w:themeColor="text1"/>
          <w:lang w:val="de-DE"/>
        </w:rPr>
        <w:t>Respectfully submitted,</w:t>
      </w:r>
    </w:p>
    <w:p w:rsidR="0029140C" w:rsidRDefault="0029140C">
      <w:pPr>
        <w:tabs>
          <w:tab w:val="left" w:pos="-1440"/>
          <w:tab w:val="left" w:pos="-720"/>
          <w:tab w:val="left" w:pos="3600"/>
          <w:tab w:val="left" w:pos="4320"/>
        </w:tabs>
        <w:spacing w:line="240" w:lineRule="auto"/>
        <w:ind w:left="4320"/>
        <w:rPr>
          <w:rFonts w:cs="Arial"/>
          <w:color w:val="000000" w:themeColor="text1"/>
          <w:lang w:val="de-DE"/>
        </w:rPr>
      </w:pPr>
    </w:p>
    <w:p w:rsidR="0029140C" w:rsidRDefault="00D1008C">
      <w:pPr>
        <w:tabs>
          <w:tab w:val="left" w:pos="-1440"/>
          <w:tab w:val="left" w:pos="-720"/>
          <w:tab w:val="left" w:pos="4320"/>
          <w:tab w:val="right" w:pos="9360"/>
        </w:tabs>
        <w:spacing w:line="240" w:lineRule="auto"/>
        <w:ind w:left="4320"/>
        <w:rPr>
          <w:rFonts w:cs="Arial"/>
          <w:color w:val="000000" w:themeColor="text1"/>
          <w:u w:val="single"/>
          <w:lang w:val="de-DE"/>
        </w:rPr>
      </w:pPr>
      <w:r>
        <w:rPr>
          <w:rFonts w:cs="Arial"/>
          <w:color w:val="000000" w:themeColor="text1"/>
          <w:u w:val="single"/>
          <w:lang w:val="de-DE"/>
        </w:rPr>
        <w:t xml:space="preserve">  /s/ Matthew R. Pritchard</w:t>
      </w:r>
      <w:r>
        <w:rPr>
          <w:rFonts w:cs="Arial"/>
          <w:color w:val="000000" w:themeColor="text1"/>
          <w:u w:val="single"/>
          <w:lang w:val="de-DE"/>
        </w:rPr>
        <w:tab/>
      </w:r>
    </w:p>
    <w:p w:rsidR="0029140C" w:rsidRDefault="00D1008C">
      <w:pPr>
        <w:tabs>
          <w:tab w:val="left" w:pos="-1440"/>
          <w:tab w:val="left" w:pos="-720"/>
          <w:tab w:val="left" w:pos="3600"/>
          <w:tab w:val="left" w:pos="4320"/>
        </w:tabs>
        <w:spacing w:line="240" w:lineRule="auto"/>
        <w:ind w:left="4320"/>
        <w:rPr>
          <w:rFonts w:cs="Arial"/>
          <w:color w:val="000000" w:themeColor="text1"/>
          <w:lang w:val="de-DE"/>
        </w:rPr>
      </w:pPr>
      <w:r>
        <w:rPr>
          <w:rFonts w:cs="Arial"/>
          <w:color w:val="000000" w:themeColor="text1"/>
          <w:lang w:val="de-DE"/>
        </w:rPr>
        <w:t>Samuel C. Randazzo (Counsel of Record)</w:t>
      </w:r>
    </w:p>
    <w:p w:rsidR="0029140C" w:rsidRDefault="00D1008C">
      <w:pPr>
        <w:tabs>
          <w:tab w:val="left" w:pos="-1440"/>
          <w:tab w:val="left" w:pos="-720"/>
          <w:tab w:val="left" w:pos="3600"/>
          <w:tab w:val="left" w:pos="4320"/>
        </w:tabs>
        <w:spacing w:line="240" w:lineRule="auto"/>
        <w:ind w:left="4320"/>
        <w:rPr>
          <w:rFonts w:cs="Arial"/>
          <w:color w:val="000000" w:themeColor="text1"/>
          <w:lang w:val="de-DE"/>
        </w:rPr>
      </w:pPr>
      <w:r>
        <w:rPr>
          <w:rFonts w:cs="Arial"/>
          <w:color w:val="000000" w:themeColor="text1"/>
          <w:lang w:val="de-DE"/>
        </w:rPr>
        <w:t xml:space="preserve">Frank P. Darr </w:t>
      </w:r>
    </w:p>
    <w:p w:rsidR="0029140C" w:rsidRDefault="00D1008C">
      <w:pPr>
        <w:tabs>
          <w:tab w:val="left" w:pos="-1440"/>
          <w:tab w:val="left" w:pos="-720"/>
          <w:tab w:val="left" w:pos="3600"/>
          <w:tab w:val="left" w:pos="4320"/>
        </w:tabs>
        <w:spacing w:line="240" w:lineRule="auto"/>
        <w:ind w:left="4320"/>
        <w:rPr>
          <w:rFonts w:cs="Arial"/>
          <w:color w:val="000000" w:themeColor="text1"/>
          <w:lang w:val="de-DE"/>
        </w:rPr>
      </w:pPr>
      <w:r>
        <w:rPr>
          <w:rFonts w:cs="Arial"/>
          <w:color w:val="000000" w:themeColor="text1"/>
          <w:lang w:val="de-DE"/>
        </w:rPr>
        <w:t>Matthew R. Pritchard</w:t>
      </w:r>
    </w:p>
    <w:p w:rsidR="0029140C" w:rsidRDefault="00D1008C">
      <w:pPr>
        <w:tabs>
          <w:tab w:val="left" w:pos="-1440"/>
          <w:tab w:val="left" w:pos="-720"/>
          <w:tab w:val="left" w:pos="3600"/>
          <w:tab w:val="left" w:pos="4320"/>
        </w:tabs>
        <w:spacing w:line="240" w:lineRule="auto"/>
        <w:ind w:left="4320"/>
        <w:rPr>
          <w:rFonts w:cs="Arial"/>
          <w:color w:val="000000" w:themeColor="text1"/>
          <w:lang w:val="de-DE"/>
        </w:rPr>
      </w:pPr>
      <w:r>
        <w:rPr>
          <w:rFonts w:cs="Arial"/>
          <w:color w:val="000000" w:themeColor="text1"/>
          <w:lang w:val="de-DE"/>
        </w:rPr>
        <w:t>Joseph E. Oliker</w:t>
      </w:r>
    </w:p>
    <w:p w:rsidR="0029140C" w:rsidRDefault="00D1008C">
      <w:pPr>
        <w:tabs>
          <w:tab w:val="left" w:pos="-1440"/>
          <w:tab w:val="left" w:pos="-720"/>
          <w:tab w:val="left" w:pos="3600"/>
          <w:tab w:val="left" w:pos="4320"/>
        </w:tabs>
        <w:spacing w:line="240" w:lineRule="auto"/>
        <w:ind w:left="4320"/>
        <w:rPr>
          <w:rFonts w:cs="Arial"/>
          <w:smallCaps/>
          <w:color w:val="000000" w:themeColor="text1"/>
          <w:sz w:val="20"/>
        </w:rPr>
      </w:pPr>
      <w:r>
        <w:rPr>
          <w:rFonts w:cs="Arial"/>
          <w:smallCaps/>
          <w:color w:val="000000" w:themeColor="text1"/>
        </w:rPr>
        <w:t xml:space="preserve">McNees Wallace &amp; Nurick </w:t>
      </w:r>
      <w:r>
        <w:rPr>
          <w:rFonts w:cs="Arial"/>
          <w:smallCaps/>
          <w:color w:val="000000" w:themeColor="text1"/>
          <w:sz w:val="20"/>
        </w:rPr>
        <w:t>LLC</w:t>
      </w:r>
    </w:p>
    <w:p w:rsidR="0029140C" w:rsidRDefault="00D1008C">
      <w:pPr>
        <w:tabs>
          <w:tab w:val="left" w:pos="-1440"/>
          <w:tab w:val="left" w:pos="-720"/>
          <w:tab w:val="left" w:pos="3600"/>
          <w:tab w:val="left" w:pos="4320"/>
        </w:tabs>
        <w:spacing w:line="240" w:lineRule="auto"/>
        <w:ind w:left="4320"/>
        <w:rPr>
          <w:rFonts w:cs="Arial"/>
          <w:color w:val="000000" w:themeColor="text1"/>
        </w:rPr>
      </w:pPr>
      <w:r>
        <w:rPr>
          <w:rFonts w:cs="Arial"/>
          <w:color w:val="000000" w:themeColor="text1"/>
        </w:rPr>
        <w:t>21 East State Street, 17</w:t>
      </w:r>
      <w:r>
        <w:rPr>
          <w:rFonts w:cs="Arial"/>
          <w:color w:val="000000" w:themeColor="text1"/>
          <w:vertAlign w:val="superscript"/>
        </w:rPr>
        <w:t>th</w:t>
      </w:r>
      <w:r>
        <w:rPr>
          <w:rFonts w:cs="Arial"/>
          <w:color w:val="000000" w:themeColor="text1"/>
        </w:rPr>
        <w:t xml:space="preserve"> Floor</w:t>
      </w:r>
    </w:p>
    <w:p w:rsidR="0029140C" w:rsidRDefault="00D1008C">
      <w:pPr>
        <w:tabs>
          <w:tab w:val="left" w:pos="-1440"/>
          <w:tab w:val="left" w:pos="-720"/>
          <w:tab w:val="left" w:pos="4320"/>
        </w:tabs>
        <w:spacing w:line="240" w:lineRule="auto"/>
        <w:ind w:left="4320"/>
        <w:rPr>
          <w:rFonts w:cs="Arial"/>
          <w:color w:val="000000" w:themeColor="text1"/>
        </w:rPr>
      </w:pPr>
      <w:r>
        <w:rPr>
          <w:rFonts w:cs="Arial"/>
          <w:color w:val="000000" w:themeColor="text1"/>
        </w:rPr>
        <w:t>Columbus, OH  43215-4228</w:t>
      </w:r>
    </w:p>
    <w:p w:rsidR="0029140C" w:rsidRDefault="00D1008C">
      <w:pPr>
        <w:tabs>
          <w:tab w:val="left" w:pos="-1440"/>
          <w:tab w:val="left" w:pos="-720"/>
          <w:tab w:val="left" w:pos="4320"/>
        </w:tabs>
        <w:spacing w:line="240" w:lineRule="auto"/>
        <w:ind w:left="4320"/>
        <w:rPr>
          <w:rFonts w:cs="Arial"/>
          <w:color w:val="000000" w:themeColor="text1"/>
        </w:rPr>
      </w:pPr>
      <w:r>
        <w:rPr>
          <w:rFonts w:cs="Arial"/>
          <w:color w:val="000000" w:themeColor="text1"/>
        </w:rPr>
        <w:t>Telephone:  (614) 469-8000</w:t>
      </w:r>
    </w:p>
    <w:p w:rsidR="0029140C" w:rsidRDefault="00D1008C" w:rsidP="00DB5578">
      <w:pPr>
        <w:tabs>
          <w:tab w:val="left" w:pos="4320"/>
        </w:tabs>
        <w:spacing w:beforeLines="1" w:before="2" w:line="240" w:lineRule="auto"/>
        <w:ind w:left="4320"/>
        <w:rPr>
          <w:rFonts w:cs="Arial"/>
          <w:color w:val="000000" w:themeColor="text1"/>
        </w:rPr>
      </w:pPr>
      <w:r>
        <w:rPr>
          <w:rFonts w:cs="Arial"/>
          <w:color w:val="000000" w:themeColor="text1"/>
        </w:rPr>
        <w:t>Telecopier:  (614) 469-4653</w:t>
      </w:r>
    </w:p>
    <w:p w:rsidR="0029140C" w:rsidRDefault="00D1008C" w:rsidP="00DB5578">
      <w:pPr>
        <w:spacing w:beforeLines="1" w:before="2" w:line="240" w:lineRule="auto"/>
        <w:ind w:left="4320"/>
        <w:rPr>
          <w:rFonts w:cs="Arial"/>
          <w:color w:val="000000" w:themeColor="text1"/>
        </w:rPr>
      </w:pPr>
      <w:r>
        <w:rPr>
          <w:rFonts w:cs="Arial"/>
          <w:color w:val="000000" w:themeColor="text1"/>
        </w:rPr>
        <w:t>sam@mwncmh.com</w:t>
      </w:r>
    </w:p>
    <w:p w:rsidR="0029140C" w:rsidRDefault="00D1008C" w:rsidP="00DB5578">
      <w:pPr>
        <w:spacing w:beforeLines="1" w:before="2" w:line="240" w:lineRule="auto"/>
        <w:ind w:left="4320"/>
        <w:rPr>
          <w:rFonts w:cs="Arial"/>
          <w:color w:val="000000" w:themeColor="text1"/>
        </w:rPr>
      </w:pPr>
      <w:r>
        <w:rPr>
          <w:rFonts w:cs="Arial"/>
          <w:color w:val="000000" w:themeColor="text1"/>
        </w:rPr>
        <w:t>fdarr@mwncmh.com</w:t>
      </w:r>
    </w:p>
    <w:p w:rsidR="0029140C" w:rsidRDefault="00D1008C" w:rsidP="00DB5578">
      <w:pPr>
        <w:spacing w:beforeLines="1" w:before="2" w:line="240" w:lineRule="auto"/>
        <w:ind w:left="4320"/>
        <w:rPr>
          <w:rFonts w:cs="Arial"/>
          <w:color w:val="000000" w:themeColor="text1"/>
        </w:rPr>
      </w:pPr>
      <w:r>
        <w:rPr>
          <w:rFonts w:cs="Arial"/>
          <w:color w:val="000000" w:themeColor="text1"/>
        </w:rPr>
        <w:t>mpritchard@mwncmh.com</w:t>
      </w:r>
    </w:p>
    <w:p w:rsidR="0029140C" w:rsidRDefault="00D1008C">
      <w:pPr>
        <w:spacing w:line="240" w:lineRule="auto"/>
        <w:ind w:left="4320"/>
        <w:rPr>
          <w:color w:val="000000" w:themeColor="text1"/>
        </w:rPr>
      </w:pPr>
      <w:r>
        <w:rPr>
          <w:color w:val="000000" w:themeColor="text1"/>
        </w:rPr>
        <w:t>joliker@mwncmh.com</w:t>
      </w:r>
    </w:p>
    <w:p w:rsidR="0029140C" w:rsidRDefault="0029140C">
      <w:pPr>
        <w:tabs>
          <w:tab w:val="left" w:pos="-1440"/>
          <w:tab w:val="left" w:pos="-720"/>
          <w:tab w:val="left" w:pos="4320"/>
          <w:tab w:val="left" w:pos="5040"/>
        </w:tabs>
        <w:spacing w:line="240" w:lineRule="auto"/>
        <w:jc w:val="center"/>
        <w:rPr>
          <w:rFonts w:ascii="Arial Bold" w:hAnsi="Arial Bold" w:cs="Arial"/>
          <w:b/>
          <w:smallCaps/>
          <w:sz w:val="28"/>
          <w:szCs w:val="28"/>
          <w:u w:val="single"/>
        </w:rPr>
        <w:sectPr w:rsidR="0029140C">
          <w:type w:val="continuous"/>
          <w:pgSz w:w="12240" w:h="15840" w:code="1"/>
          <w:pgMar w:top="1440" w:right="1440" w:bottom="1440" w:left="1440" w:header="720" w:footer="720" w:gutter="0"/>
          <w:pgNumType w:start="1"/>
          <w:cols w:space="720"/>
          <w:titlePg/>
          <w:docGrid w:linePitch="360"/>
        </w:sectPr>
      </w:pPr>
    </w:p>
    <w:p w:rsidR="0029140C" w:rsidRDefault="0029140C">
      <w:pPr>
        <w:tabs>
          <w:tab w:val="left" w:pos="-1440"/>
          <w:tab w:val="left" w:pos="-720"/>
          <w:tab w:val="left" w:pos="4320"/>
          <w:tab w:val="left" w:pos="5040"/>
        </w:tabs>
        <w:spacing w:line="240" w:lineRule="auto"/>
        <w:jc w:val="center"/>
        <w:rPr>
          <w:rFonts w:ascii="Arial Bold" w:hAnsi="Arial Bold" w:cs="Arial"/>
          <w:b/>
          <w:smallCaps/>
          <w:sz w:val="28"/>
          <w:szCs w:val="28"/>
          <w:u w:val="single"/>
        </w:rPr>
        <w:sectPr w:rsidR="0029140C">
          <w:type w:val="continuous"/>
          <w:pgSz w:w="12240" w:h="15840" w:code="1"/>
          <w:pgMar w:top="1440" w:right="1440" w:bottom="720" w:left="1440" w:header="720" w:footer="720" w:gutter="0"/>
          <w:pgNumType w:start="1"/>
          <w:cols w:space="720"/>
          <w:titlePg/>
          <w:docGrid w:linePitch="360"/>
        </w:sectPr>
      </w:pPr>
    </w:p>
    <w:p w:rsidR="0029140C" w:rsidRDefault="00D1008C">
      <w:pPr>
        <w:tabs>
          <w:tab w:val="left" w:pos="-1440"/>
          <w:tab w:val="left" w:pos="-720"/>
          <w:tab w:val="left" w:pos="4320"/>
          <w:tab w:val="left" w:pos="5040"/>
        </w:tabs>
        <w:spacing w:line="240" w:lineRule="auto"/>
        <w:jc w:val="center"/>
        <w:rPr>
          <w:rFonts w:ascii="Arial Bold" w:hAnsi="Arial Bold" w:cs="Arial"/>
          <w:b/>
          <w:smallCaps/>
          <w:sz w:val="28"/>
          <w:szCs w:val="28"/>
          <w:u w:val="single"/>
        </w:rPr>
      </w:pPr>
      <w:r>
        <w:rPr>
          <w:rFonts w:ascii="Arial Bold" w:hAnsi="Arial Bold" w:cs="Arial"/>
          <w:b/>
          <w:smallCaps/>
          <w:sz w:val="28"/>
          <w:szCs w:val="28"/>
          <w:u w:val="single"/>
        </w:rPr>
        <w:lastRenderedPageBreak/>
        <w:t>Certificate of Service</w:t>
      </w:r>
    </w:p>
    <w:p w:rsidR="0029140C" w:rsidRDefault="0029140C">
      <w:pPr>
        <w:spacing w:line="240" w:lineRule="auto"/>
        <w:rPr>
          <w:rFonts w:cs="Arial"/>
          <w:szCs w:val="24"/>
        </w:rPr>
      </w:pPr>
    </w:p>
    <w:p w:rsidR="0029140C" w:rsidRDefault="00D1008C">
      <w:pPr>
        <w:spacing w:line="360" w:lineRule="auto"/>
        <w:ind w:left="0" w:firstLine="0"/>
        <w:rPr>
          <w:rFonts w:cs="Arial"/>
          <w:szCs w:val="24"/>
        </w:rPr>
      </w:pPr>
      <w:r>
        <w:rPr>
          <w:rFonts w:cs="Arial"/>
          <w:szCs w:val="24"/>
        </w:rPr>
        <w:tab/>
        <w:t xml:space="preserve">I hereby certify that a copy of the foregoing </w:t>
      </w:r>
      <w:r>
        <w:rPr>
          <w:rFonts w:cs="Arial"/>
          <w:i/>
          <w:szCs w:val="24"/>
        </w:rPr>
        <w:t xml:space="preserve">Industrial Energy Users-Ohio’s Reply to The Dayton Power and Light Company’s Memorandum in Opposition to IEU’s Motion to Compel Discovery Responses </w:t>
      </w:r>
      <w:r>
        <w:rPr>
          <w:rFonts w:cs="Arial"/>
          <w:szCs w:val="24"/>
        </w:rPr>
        <w:t>was served upon the following parties of record this 16</w:t>
      </w:r>
      <w:r>
        <w:rPr>
          <w:rFonts w:cs="Arial"/>
          <w:szCs w:val="24"/>
          <w:vertAlign w:val="superscript"/>
        </w:rPr>
        <w:t>th</w:t>
      </w:r>
      <w:r>
        <w:rPr>
          <w:rFonts w:cs="Arial"/>
          <w:szCs w:val="24"/>
        </w:rPr>
        <w:t xml:space="preserve"> day of January 2013, </w:t>
      </w:r>
      <w:r>
        <w:rPr>
          <w:rFonts w:cs="Arial"/>
          <w:i/>
          <w:szCs w:val="24"/>
        </w:rPr>
        <w:t>via</w:t>
      </w:r>
      <w:r>
        <w:rPr>
          <w:rFonts w:cs="Arial"/>
          <w:szCs w:val="24"/>
        </w:rPr>
        <w:t xml:space="preserve"> electronic transmission.</w:t>
      </w:r>
    </w:p>
    <w:p w:rsidR="0029140C" w:rsidRDefault="00D1008C" w:rsidP="00DB5578">
      <w:pPr>
        <w:tabs>
          <w:tab w:val="left" w:pos="5040"/>
          <w:tab w:val="decimal" w:pos="6840"/>
          <w:tab w:val="right" w:pos="9360"/>
        </w:tabs>
        <w:spacing w:beforeLines="1" w:before="2" w:line="240" w:lineRule="auto"/>
        <w:ind w:left="5040"/>
        <w:rPr>
          <w:rFonts w:cs="Arial"/>
          <w:smallCaps/>
          <w:u w:val="single"/>
        </w:rPr>
      </w:pPr>
      <w:r>
        <w:rPr>
          <w:rFonts w:cs="Arial"/>
          <w:smallCaps/>
          <w:u w:val="single"/>
        </w:rPr>
        <w:t xml:space="preserve"> /s/ </w:t>
      </w:r>
      <w:r>
        <w:rPr>
          <w:rFonts w:cs="Arial"/>
          <w:u w:val="single"/>
        </w:rPr>
        <w:t>Matthew R. Pritchard</w:t>
      </w:r>
      <w:r>
        <w:rPr>
          <w:rFonts w:cs="Arial"/>
          <w:smallCaps/>
          <w:u w:val="single"/>
        </w:rPr>
        <w:tab/>
      </w:r>
    </w:p>
    <w:p w:rsidR="0029140C" w:rsidRDefault="00D1008C" w:rsidP="00DB5578">
      <w:pPr>
        <w:tabs>
          <w:tab w:val="left" w:pos="5040"/>
          <w:tab w:val="center" w:pos="7200"/>
          <w:tab w:val="right" w:pos="9360"/>
        </w:tabs>
        <w:spacing w:beforeLines="1" w:before="2" w:line="240" w:lineRule="auto"/>
        <w:ind w:left="5040"/>
        <w:rPr>
          <w:rFonts w:cs="Arial"/>
          <w:smallCaps/>
        </w:rPr>
      </w:pPr>
      <w:r>
        <w:rPr>
          <w:rFonts w:cs="Arial"/>
          <w:smallCaps/>
        </w:rPr>
        <w:tab/>
        <w:t>Matthew R. Pritchard</w:t>
      </w:r>
    </w:p>
    <w:p w:rsidR="0029140C" w:rsidRDefault="0029140C">
      <w:pPr>
        <w:spacing w:line="240" w:lineRule="auto"/>
        <w:ind w:left="0" w:firstLine="0"/>
        <w:rPr>
          <w:rFonts w:cs="Arial"/>
          <w:color w:val="000000" w:themeColor="text1"/>
          <w:sz w:val="19"/>
          <w:szCs w:val="19"/>
        </w:rPr>
      </w:pPr>
    </w:p>
    <w:p w:rsidR="0029140C" w:rsidRDefault="0029140C">
      <w:pPr>
        <w:spacing w:line="240" w:lineRule="auto"/>
        <w:ind w:left="0" w:firstLine="0"/>
        <w:rPr>
          <w:rFonts w:cs="Arial"/>
          <w:color w:val="000000" w:themeColor="text1"/>
          <w:sz w:val="19"/>
          <w:szCs w:val="19"/>
        </w:rPr>
        <w:sectPr w:rsidR="0029140C">
          <w:pgSz w:w="12240" w:h="15840" w:code="1"/>
          <w:pgMar w:top="1440" w:right="1440" w:bottom="720" w:left="1440" w:header="720" w:footer="720" w:gutter="0"/>
          <w:pgNumType w:start="1"/>
          <w:cols w:space="720"/>
          <w:titlePg/>
          <w:docGrid w:linePitch="360"/>
        </w:sectPr>
      </w:pPr>
    </w:p>
    <w:p w:rsidR="00DB5578" w:rsidRPr="00DB5578" w:rsidRDefault="00DB5578" w:rsidP="00DB5578">
      <w:pPr>
        <w:spacing w:line="240" w:lineRule="auto"/>
        <w:ind w:left="0" w:firstLine="0"/>
        <w:rPr>
          <w:rFonts w:cs="Arial"/>
          <w:color w:val="000000" w:themeColor="text1"/>
          <w:sz w:val="18"/>
          <w:szCs w:val="18"/>
        </w:rPr>
      </w:pPr>
      <w:r w:rsidRPr="00DB5578">
        <w:rPr>
          <w:rFonts w:cs="Arial"/>
          <w:color w:val="000000" w:themeColor="text1"/>
          <w:sz w:val="18"/>
          <w:szCs w:val="18"/>
        </w:rPr>
        <w:lastRenderedPageBreak/>
        <w:t>judi.sobecki@dplinc.com</w:t>
      </w:r>
    </w:p>
    <w:p w:rsidR="00DB5578" w:rsidRPr="00DB5578" w:rsidRDefault="00DB5578" w:rsidP="00DB5578">
      <w:pPr>
        <w:spacing w:line="240" w:lineRule="auto"/>
        <w:ind w:left="0" w:firstLine="0"/>
        <w:rPr>
          <w:rFonts w:cs="Arial"/>
          <w:color w:val="000000" w:themeColor="text1"/>
          <w:sz w:val="18"/>
          <w:szCs w:val="18"/>
        </w:rPr>
      </w:pPr>
      <w:r w:rsidRPr="00DB5578">
        <w:rPr>
          <w:rFonts w:cs="Arial"/>
          <w:color w:val="000000" w:themeColor="text1"/>
          <w:sz w:val="18"/>
          <w:szCs w:val="18"/>
        </w:rPr>
        <w:t>randall.griffin@dplinc.com</w:t>
      </w:r>
    </w:p>
    <w:p w:rsidR="00DB5578" w:rsidRPr="00DB5578" w:rsidRDefault="00DB5578" w:rsidP="00DB5578">
      <w:pPr>
        <w:spacing w:line="240" w:lineRule="auto"/>
        <w:ind w:left="0" w:firstLine="0"/>
        <w:rPr>
          <w:rFonts w:cs="Arial"/>
          <w:color w:val="000000" w:themeColor="text1"/>
          <w:sz w:val="18"/>
          <w:szCs w:val="18"/>
        </w:rPr>
      </w:pPr>
      <w:r w:rsidRPr="00DB5578">
        <w:rPr>
          <w:rFonts w:cs="Arial"/>
          <w:color w:val="000000" w:themeColor="text1"/>
          <w:sz w:val="18"/>
          <w:szCs w:val="18"/>
        </w:rPr>
        <w:t>cfaruki@ficlaw.com</w:t>
      </w:r>
    </w:p>
    <w:p w:rsidR="00DB5578" w:rsidRPr="00DB5578" w:rsidRDefault="00DB5578" w:rsidP="00DB5578">
      <w:pPr>
        <w:spacing w:line="240" w:lineRule="auto"/>
        <w:ind w:left="0" w:firstLine="0"/>
        <w:rPr>
          <w:rFonts w:cs="Arial"/>
          <w:color w:val="000000" w:themeColor="text1"/>
          <w:sz w:val="18"/>
          <w:szCs w:val="18"/>
        </w:rPr>
      </w:pPr>
      <w:r w:rsidRPr="00DB5578">
        <w:rPr>
          <w:rFonts w:cs="Arial"/>
          <w:color w:val="000000" w:themeColor="text1"/>
          <w:sz w:val="18"/>
          <w:szCs w:val="18"/>
        </w:rPr>
        <w:t>jsharkey@ficlaw.com</w:t>
      </w:r>
    </w:p>
    <w:p w:rsidR="00DB5578" w:rsidRPr="00DB5578" w:rsidRDefault="00DB5578" w:rsidP="00DB5578">
      <w:pPr>
        <w:tabs>
          <w:tab w:val="left" w:pos="-1440"/>
          <w:tab w:val="left" w:pos="-720"/>
          <w:tab w:val="left" w:pos="5040"/>
          <w:tab w:val="center" w:pos="7200"/>
        </w:tabs>
        <w:spacing w:line="240" w:lineRule="auto"/>
        <w:ind w:left="0" w:firstLine="0"/>
        <w:rPr>
          <w:rFonts w:cs="Arial"/>
          <w:color w:val="000000" w:themeColor="text1"/>
          <w:sz w:val="18"/>
          <w:szCs w:val="18"/>
        </w:rPr>
      </w:pPr>
      <w:r w:rsidRPr="00DB5578">
        <w:rPr>
          <w:rFonts w:cs="Arial"/>
          <w:color w:val="000000" w:themeColor="text1"/>
          <w:sz w:val="18"/>
          <w:szCs w:val="18"/>
        </w:rPr>
        <w:t>arthur.meyer@dplinc.com</w:t>
      </w:r>
    </w:p>
    <w:p w:rsidR="00DB5578" w:rsidRPr="00DB5578" w:rsidRDefault="00DB5578" w:rsidP="00DB5578">
      <w:pPr>
        <w:pStyle w:val="BodyTextIndent"/>
        <w:spacing w:after="0" w:line="240" w:lineRule="auto"/>
        <w:ind w:left="0" w:firstLine="0"/>
        <w:rPr>
          <w:rFonts w:cs="Arial"/>
          <w:color w:val="000000" w:themeColor="text1"/>
          <w:sz w:val="18"/>
          <w:szCs w:val="18"/>
        </w:rPr>
      </w:pPr>
      <w:r w:rsidRPr="00DB5578">
        <w:rPr>
          <w:rFonts w:cs="Arial"/>
          <w:color w:val="000000" w:themeColor="text1"/>
          <w:sz w:val="18"/>
          <w:szCs w:val="18"/>
        </w:rPr>
        <w:t>dboehm@BKLlawfirm.com</w:t>
      </w:r>
    </w:p>
    <w:p w:rsidR="00DB5578" w:rsidRPr="00DB5578" w:rsidRDefault="00DB5578" w:rsidP="00DB5578">
      <w:pPr>
        <w:pStyle w:val="BodyTextIndent"/>
        <w:spacing w:after="0" w:line="240" w:lineRule="auto"/>
        <w:ind w:left="0" w:firstLine="0"/>
        <w:rPr>
          <w:rFonts w:cs="Arial"/>
          <w:color w:val="000000" w:themeColor="text1"/>
          <w:sz w:val="18"/>
          <w:szCs w:val="18"/>
        </w:rPr>
      </w:pPr>
      <w:r w:rsidRPr="00DB5578">
        <w:rPr>
          <w:rFonts w:cs="Arial"/>
          <w:color w:val="000000" w:themeColor="text1"/>
          <w:sz w:val="18"/>
          <w:szCs w:val="18"/>
        </w:rPr>
        <w:t>mkurtz@BKLlawfirm.com</w:t>
      </w:r>
    </w:p>
    <w:p w:rsidR="00DB5578" w:rsidRPr="00DB5578" w:rsidRDefault="00DB5578" w:rsidP="00DB5578">
      <w:pPr>
        <w:tabs>
          <w:tab w:val="left" w:pos="2160"/>
          <w:tab w:val="left" w:pos="2280"/>
        </w:tabs>
        <w:spacing w:line="240" w:lineRule="auto"/>
        <w:ind w:left="0" w:firstLine="0"/>
        <w:rPr>
          <w:rFonts w:cs="Arial"/>
          <w:color w:val="000000" w:themeColor="text1"/>
          <w:sz w:val="18"/>
          <w:szCs w:val="18"/>
        </w:rPr>
      </w:pPr>
      <w:r w:rsidRPr="00DB5578">
        <w:rPr>
          <w:rFonts w:cs="Arial"/>
          <w:color w:val="000000" w:themeColor="text1"/>
          <w:sz w:val="18"/>
          <w:szCs w:val="18"/>
        </w:rPr>
        <w:t>etter@occ.state.oh.us</w:t>
      </w:r>
    </w:p>
    <w:p w:rsidR="00DB5578" w:rsidRPr="00DB5578" w:rsidRDefault="00DB5578" w:rsidP="00DB5578">
      <w:pPr>
        <w:tabs>
          <w:tab w:val="left" w:pos="2160"/>
          <w:tab w:val="left" w:pos="2280"/>
        </w:tabs>
        <w:spacing w:line="240" w:lineRule="auto"/>
        <w:ind w:left="0" w:firstLine="0"/>
        <w:rPr>
          <w:rFonts w:cs="Arial"/>
          <w:color w:val="000000" w:themeColor="text1"/>
          <w:sz w:val="18"/>
          <w:szCs w:val="18"/>
        </w:rPr>
      </w:pPr>
      <w:r w:rsidRPr="00DB5578">
        <w:rPr>
          <w:rFonts w:cs="Arial"/>
          <w:color w:val="000000" w:themeColor="text1"/>
          <w:sz w:val="18"/>
          <w:szCs w:val="18"/>
        </w:rPr>
        <w:t>serio@occ.state.oh.us</w:t>
      </w:r>
    </w:p>
    <w:p w:rsidR="00DB5578" w:rsidRPr="00DB5578" w:rsidRDefault="00DB5578" w:rsidP="00DB5578">
      <w:pPr>
        <w:tabs>
          <w:tab w:val="left" w:pos="2160"/>
          <w:tab w:val="left" w:pos="2280"/>
        </w:tabs>
        <w:spacing w:line="240" w:lineRule="auto"/>
        <w:ind w:left="0" w:firstLine="0"/>
        <w:rPr>
          <w:rFonts w:cs="Arial"/>
          <w:color w:val="000000" w:themeColor="text1"/>
          <w:sz w:val="18"/>
          <w:szCs w:val="18"/>
        </w:rPr>
      </w:pPr>
      <w:r w:rsidRPr="00DB5578">
        <w:rPr>
          <w:rFonts w:cs="Arial"/>
          <w:color w:val="000000" w:themeColor="text1"/>
          <w:sz w:val="18"/>
          <w:szCs w:val="18"/>
        </w:rPr>
        <w:t>yost@occ.state.oh.us</w:t>
      </w:r>
    </w:p>
    <w:p w:rsidR="00DB5578" w:rsidRPr="00DB5578" w:rsidRDefault="00DB5578" w:rsidP="00DB5578">
      <w:pPr>
        <w:tabs>
          <w:tab w:val="left" w:pos="2160"/>
          <w:tab w:val="left" w:pos="2280"/>
        </w:tabs>
        <w:spacing w:line="240" w:lineRule="auto"/>
        <w:ind w:left="0" w:firstLine="0"/>
        <w:rPr>
          <w:rFonts w:cs="Arial"/>
          <w:color w:val="000000" w:themeColor="text1"/>
          <w:sz w:val="18"/>
          <w:szCs w:val="18"/>
        </w:rPr>
      </w:pPr>
      <w:r w:rsidRPr="00DB5578">
        <w:rPr>
          <w:rFonts w:cs="Arial"/>
          <w:color w:val="000000" w:themeColor="text1"/>
          <w:sz w:val="18"/>
          <w:szCs w:val="18"/>
        </w:rPr>
        <w:t>gerger@occ.state.oh.us</w:t>
      </w:r>
    </w:p>
    <w:p w:rsidR="00DB5578" w:rsidRPr="00DB5578" w:rsidRDefault="00DB5578" w:rsidP="00DB5578">
      <w:pPr>
        <w:tabs>
          <w:tab w:val="left" w:pos="2160"/>
          <w:tab w:val="left" w:pos="2280"/>
        </w:tabs>
        <w:spacing w:line="240" w:lineRule="auto"/>
        <w:ind w:left="0" w:firstLine="0"/>
        <w:rPr>
          <w:rFonts w:cs="Arial"/>
          <w:color w:val="000000" w:themeColor="text1"/>
          <w:sz w:val="18"/>
          <w:szCs w:val="18"/>
        </w:rPr>
      </w:pPr>
      <w:r w:rsidRPr="00DB5578">
        <w:rPr>
          <w:rFonts w:cs="Arial"/>
          <w:color w:val="000000" w:themeColor="text1"/>
          <w:sz w:val="18"/>
          <w:szCs w:val="18"/>
        </w:rPr>
        <w:t>amy.spiller@duke-energy.com</w:t>
      </w:r>
    </w:p>
    <w:p w:rsidR="00DB5578" w:rsidRPr="00DB5578" w:rsidRDefault="00DB5578" w:rsidP="00DB5578">
      <w:pPr>
        <w:tabs>
          <w:tab w:val="left" w:pos="2160"/>
          <w:tab w:val="left" w:pos="2280"/>
        </w:tabs>
        <w:spacing w:line="240" w:lineRule="auto"/>
        <w:ind w:left="0" w:firstLine="0"/>
        <w:rPr>
          <w:rFonts w:cs="Arial"/>
          <w:color w:val="000000" w:themeColor="text1"/>
          <w:sz w:val="18"/>
          <w:szCs w:val="18"/>
        </w:rPr>
      </w:pPr>
      <w:r w:rsidRPr="00DB5578">
        <w:rPr>
          <w:rFonts w:cs="Arial"/>
          <w:color w:val="000000" w:themeColor="text1"/>
          <w:sz w:val="18"/>
          <w:szCs w:val="18"/>
        </w:rPr>
        <w:t>jeanne.kingery@duke-energy.com</w:t>
      </w:r>
    </w:p>
    <w:p w:rsidR="00DB5578" w:rsidRPr="00DB5578" w:rsidRDefault="00DB5578" w:rsidP="00DB5578">
      <w:pPr>
        <w:tabs>
          <w:tab w:val="left" w:pos="2160"/>
          <w:tab w:val="left" w:pos="2280"/>
        </w:tabs>
        <w:spacing w:line="240" w:lineRule="auto"/>
        <w:ind w:left="0" w:firstLine="0"/>
        <w:rPr>
          <w:rFonts w:cs="Arial"/>
          <w:color w:val="000000" w:themeColor="text1"/>
          <w:sz w:val="18"/>
          <w:szCs w:val="18"/>
        </w:rPr>
      </w:pPr>
      <w:r w:rsidRPr="00DB5578">
        <w:rPr>
          <w:rFonts w:cs="Arial"/>
          <w:color w:val="000000" w:themeColor="text1"/>
          <w:sz w:val="18"/>
          <w:szCs w:val="18"/>
        </w:rPr>
        <w:t>philip.sineneng@ThompsonHine.com</w:t>
      </w:r>
    </w:p>
    <w:p w:rsidR="00DB5578" w:rsidRPr="00DB5578" w:rsidRDefault="00DB5578" w:rsidP="00DB5578">
      <w:pPr>
        <w:tabs>
          <w:tab w:val="left" w:pos="2160"/>
          <w:tab w:val="left" w:pos="2280"/>
        </w:tabs>
        <w:spacing w:line="240" w:lineRule="auto"/>
        <w:ind w:left="0" w:firstLine="0"/>
        <w:rPr>
          <w:rFonts w:cs="Arial"/>
          <w:color w:val="000000" w:themeColor="text1"/>
          <w:sz w:val="18"/>
          <w:szCs w:val="18"/>
        </w:rPr>
      </w:pPr>
      <w:r w:rsidRPr="00DB5578">
        <w:rPr>
          <w:rFonts w:cs="Arial"/>
          <w:color w:val="000000" w:themeColor="text1"/>
          <w:sz w:val="18"/>
          <w:szCs w:val="18"/>
        </w:rPr>
        <w:t>bmcmahon@emh-law.com</w:t>
      </w:r>
    </w:p>
    <w:p w:rsidR="00DB5578" w:rsidRPr="00DB5578" w:rsidRDefault="00DB5578" w:rsidP="00DB5578">
      <w:pPr>
        <w:tabs>
          <w:tab w:val="left" w:pos="2160"/>
          <w:tab w:val="left" w:pos="2280"/>
        </w:tabs>
        <w:spacing w:line="240" w:lineRule="auto"/>
        <w:ind w:left="0" w:firstLine="0"/>
        <w:rPr>
          <w:rFonts w:cs="Arial"/>
          <w:color w:val="000000" w:themeColor="text1"/>
          <w:sz w:val="18"/>
          <w:szCs w:val="18"/>
        </w:rPr>
      </w:pPr>
      <w:r w:rsidRPr="00DB5578">
        <w:rPr>
          <w:rFonts w:cs="Arial"/>
          <w:color w:val="000000" w:themeColor="text1"/>
          <w:sz w:val="18"/>
          <w:szCs w:val="18"/>
        </w:rPr>
        <w:t>elizabeth.watts@duke-energy.com</w:t>
      </w:r>
    </w:p>
    <w:p w:rsidR="00DB5578" w:rsidRPr="00DB5578" w:rsidRDefault="00DB5578" w:rsidP="00DB5578">
      <w:pPr>
        <w:tabs>
          <w:tab w:val="left" w:pos="2160"/>
          <w:tab w:val="left" w:pos="2280"/>
        </w:tabs>
        <w:spacing w:line="240" w:lineRule="auto"/>
        <w:ind w:left="0" w:firstLine="0"/>
        <w:rPr>
          <w:rFonts w:cs="Arial"/>
          <w:color w:val="000000" w:themeColor="text1"/>
          <w:sz w:val="18"/>
          <w:szCs w:val="18"/>
        </w:rPr>
      </w:pPr>
      <w:r w:rsidRPr="00DB5578">
        <w:rPr>
          <w:rFonts w:cs="Arial"/>
          <w:color w:val="000000" w:themeColor="text1"/>
          <w:sz w:val="18"/>
          <w:szCs w:val="18"/>
        </w:rPr>
        <w:t>rocco.d’ascenzo@duke-energy.com</w:t>
      </w:r>
    </w:p>
    <w:p w:rsidR="00DB5578" w:rsidRPr="00DB5578" w:rsidRDefault="00DB5578" w:rsidP="00DB5578">
      <w:pPr>
        <w:spacing w:line="240" w:lineRule="auto"/>
        <w:ind w:left="0" w:firstLine="0"/>
        <w:rPr>
          <w:rFonts w:cs="Arial"/>
          <w:color w:val="000000" w:themeColor="text1"/>
          <w:sz w:val="18"/>
          <w:szCs w:val="18"/>
        </w:rPr>
      </w:pPr>
      <w:r w:rsidRPr="00DB5578">
        <w:rPr>
          <w:rFonts w:cs="Arial"/>
          <w:color w:val="000000" w:themeColor="text1"/>
          <w:sz w:val="18"/>
          <w:szCs w:val="18"/>
        </w:rPr>
        <w:t>ricks@ohanet.org</w:t>
      </w:r>
    </w:p>
    <w:p w:rsidR="00DB5578" w:rsidRPr="00DB5578" w:rsidRDefault="00DB5578" w:rsidP="00DB5578">
      <w:pPr>
        <w:spacing w:line="240" w:lineRule="auto"/>
        <w:ind w:left="0" w:firstLine="0"/>
        <w:rPr>
          <w:rFonts w:cs="Arial"/>
          <w:color w:val="000000" w:themeColor="text1"/>
          <w:sz w:val="18"/>
          <w:szCs w:val="18"/>
        </w:rPr>
      </w:pPr>
      <w:r w:rsidRPr="00DB5578">
        <w:rPr>
          <w:rFonts w:cs="Arial"/>
          <w:color w:val="000000" w:themeColor="text1"/>
          <w:sz w:val="18"/>
          <w:szCs w:val="18"/>
        </w:rPr>
        <w:t>tobrien@bricker.com</w:t>
      </w:r>
    </w:p>
    <w:p w:rsidR="00DB5578" w:rsidRPr="00DB5578" w:rsidRDefault="00DB5578" w:rsidP="00DB5578">
      <w:pPr>
        <w:spacing w:line="240" w:lineRule="auto"/>
        <w:ind w:left="0" w:firstLine="0"/>
        <w:rPr>
          <w:rFonts w:cs="Arial"/>
          <w:color w:val="000000" w:themeColor="text1"/>
          <w:sz w:val="18"/>
          <w:szCs w:val="18"/>
        </w:rPr>
      </w:pPr>
      <w:r w:rsidRPr="00DB5578">
        <w:rPr>
          <w:rFonts w:cs="Arial"/>
          <w:color w:val="000000" w:themeColor="text1"/>
          <w:sz w:val="18"/>
          <w:szCs w:val="18"/>
        </w:rPr>
        <w:t>barth.royer@aol.com</w:t>
      </w:r>
    </w:p>
    <w:p w:rsidR="00DB5578" w:rsidRPr="00DB5578" w:rsidRDefault="00DB5578" w:rsidP="00DB5578">
      <w:pPr>
        <w:spacing w:line="240" w:lineRule="auto"/>
        <w:ind w:left="0" w:firstLine="0"/>
        <w:rPr>
          <w:rFonts w:cs="Arial"/>
          <w:color w:val="000000" w:themeColor="text1"/>
          <w:sz w:val="18"/>
          <w:szCs w:val="18"/>
        </w:rPr>
      </w:pPr>
      <w:r w:rsidRPr="00DB5578">
        <w:rPr>
          <w:rFonts w:cs="Arial"/>
          <w:color w:val="000000" w:themeColor="text1"/>
          <w:sz w:val="18"/>
          <w:szCs w:val="18"/>
        </w:rPr>
        <w:t>gary.a.jeffries@dom.com</w:t>
      </w:r>
    </w:p>
    <w:p w:rsidR="00DB5578" w:rsidRPr="00DB5578" w:rsidRDefault="00DB5578" w:rsidP="00DB5578">
      <w:pPr>
        <w:spacing w:line="240" w:lineRule="auto"/>
        <w:ind w:left="0" w:firstLine="0"/>
        <w:rPr>
          <w:rFonts w:cs="Arial"/>
          <w:color w:val="000000" w:themeColor="text1"/>
          <w:sz w:val="18"/>
          <w:szCs w:val="18"/>
        </w:rPr>
      </w:pPr>
      <w:r w:rsidRPr="00DB5578">
        <w:rPr>
          <w:rFonts w:cs="Arial"/>
          <w:color w:val="000000" w:themeColor="text1"/>
          <w:sz w:val="18"/>
          <w:szCs w:val="18"/>
        </w:rPr>
        <w:t>drinebolt@ohiopartners.org</w:t>
      </w:r>
    </w:p>
    <w:p w:rsidR="00DB5578" w:rsidRPr="00DB5578" w:rsidRDefault="00DB5578" w:rsidP="00DB5578">
      <w:pPr>
        <w:spacing w:line="240" w:lineRule="auto"/>
        <w:ind w:left="0" w:firstLine="0"/>
        <w:rPr>
          <w:rFonts w:cs="Arial"/>
          <w:color w:val="000000" w:themeColor="text1"/>
          <w:sz w:val="18"/>
          <w:szCs w:val="18"/>
        </w:rPr>
      </w:pPr>
      <w:r w:rsidRPr="00DB5578">
        <w:rPr>
          <w:rFonts w:cs="Arial"/>
          <w:color w:val="000000" w:themeColor="text1"/>
          <w:sz w:val="18"/>
          <w:szCs w:val="18"/>
        </w:rPr>
        <w:t>cmooney2@columbus.rr.com</w:t>
      </w:r>
    </w:p>
    <w:p w:rsidR="00DB5578" w:rsidRPr="00DB5578" w:rsidRDefault="00DB5578" w:rsidP="00DB5578">
      <w:pPr>
        <w:tabs>
          <w:tab w:val="left" w:pos="2160"/>
          <w:tab w:val="left" w:pos="2280"/>
        </w:tabs>
        <w:spacing w:line="240" w:lineRule="auto"/>
        <w:ind w:left="0" w:firstLine="0"/>
        <w:rPr>
          <w:rFonts w:cs="Arial"/>
          <w:color w:val="000000" w:themeColor="text1"/>
          <w:sz w:val="18"/>
          <w:szCs w:val="18"/>
        </w:rPr>
      </w:pPr>
      <w:r w:rsidRPr="00DB5578">
        <w:rPr>
          <w:rFonts w:cs="Arial"/>
          <w:color w:val="000000" w:themeColor="text1"/>
          <w:sz w:val="18"/>
          <w:szCs w:val="18"/>
        </w:rPr>
        <w:t>whitt@whitt-sturtevant.com</w:t>
      </w:r>
    </w:p>
    <w:p w:rsidR="00DB5578" w:rsidRPr="00DB5578" w:rsidRDefault="00DB5578" w:rsidP="00DB5578">
      <w:pPr>
        <w:tabs>
          <w:tab w:val="left" w:pos="2160"/>
          <w:tab w:val="left" w:pos="2280"/>
        </w:tabs>
        <w:spacing w:line="240" w:lineRule="auto"/>
        <w:ind w:left="0" w:firstLine="0"/>
        <w:rPr>
          <w:rFonts w:cs="Arial"/>
          <w:color w:val="000000" w:themeColor="text1"/>
          <w:sz w:val="18"/>
          <w:szCs w:val="18"/>
        </w:rPr>
      </w:pPr>
      <w:r w:rsidRPr="00DB5578">
        <w:rPr>
          <w:rFonts w:cs="Arial"/>
          <w:color w:val="000000" w:themeColor="text1"/>
          <w:sz w:val="18"/>
          <w:szCs w:val="18"/>
        </w:rPr>
        <w:t>campbell@whitt-sturtevant.com</w:t>
      </w:r>
    </w:p>
    <w:p w:rsidR="00DB5578" w:rsidRPr="00DB5578" w:rsidRDefault="00DB5578" w:rsidP="00DB5578">
      <w:pPr>
        <w:tabs>
          <w:tab w:val="left" w:pos="2160"/>
          <w:tab w:val="left" w:pos="2280"/>
        </w:tabs>
        <w:spacing w:line="240" w:lineRule="auto"/>
        <w:ind w:left="0" w:firstLine="0"/>
        <w:rPr>
          <w:rFonts w:cs="Arial"/>
          <w:color w:val="000000" w:themeColor="text1"/>
          <w:sz w:val="18"/>
          <w:szCs w:val="18"/>
        </w:rPr>
      </w:pPr>
      <w:r w:rsidRPr="00DB5578">
        <w:rPr>
          <w:rFonts w:cs="Arial"/>
          <w:color w:val="000000" w:themeColor="text1"/>
          <w:sz w:val="18"/>
          <w:szCs w:val="18"/>
        </w:rPr>
        <w:t>vparisi@igsenergy.com</w:t>
      </w:r>
    </w:p>
    <w:p w:rsidR="00DB5578" w:rsidRPr="00DB5578" w:rsidRDefault="00DB5578" w:rsidP="00DB5578">
      <w:pPr>
        <w:tabs>
          <w:tab w:val="left" w:pos="2160"/>
          <w:tab w:val="left" w:pos="2280"/>
        </w:tabs>
        <w:spacing w:line="240" w:lineRule="auto"/>
        <w:ind w:left="0" w:firstLine="0"/>
        <w:rPr>
          <w:rFonts w:cs="Arial"/>
          <w:color w:val="000000" w:themeColor="text1"/>
          <w:sz w:val="18"/>
          <w:szCs w:val="18"/>
        </w:rPr>
      </w:pPr>
      <w:r w:rsidRPr="00DB5578">
        <w:rPr>
          <w:rFonts w:cs="Arial"/>
          <w:color w:val="000000" w:themeColor="text1"/>
          <w:sz w:val="18"/>
          <w:szCs w:val="18"/>
        </w:rPr>
        <w:t>mswhite@igsenergy.com</w:t>
      </w:r>
    </w:p>
    <w:p w:rsidR="00DB5578" w:rsidRPr="00DB5578" w:rsidRDefault="00DB5578" w:rsidP="00DB5578">
      <w:pPr>
        <w:spacing w:line="240" w:lineRule="auto"/>
        <w:ind w:left="0" w:firstLine="0"/>
        <w:rPr>
          <w:rFonts w:cs="Arial"/>
          <w:color w:val="000000" w:themeColor="text1"/>
          <w:sz w:val="18"/>
          <w:szCs w:val="18"/>
        </w:rPr>
      </w:pPr>
      <w:r w:rsidRPr="00DB5578">
        <w:rPr>
          <w:rFonts w:cs="Arial"/>
          <w:color w:val="000000" w:themeColor="text1"/>
          <w:sz w:val="18"/>
          <w:szCs w:val="18"/>
        </w:rPr>
        <w:t>barthroyer@aol.com</w:t>
      </w:r>
    </w:p>
    <w:p w:rsidR="00DB5578" w:rsidRPr="00DB5578" w:rsidRDefault="00DB5578" w:rsidP="00DB5578">
      <w:pPr>
        <w:spacing w:line="240" w:lineRule="auto"/>
        <w:ind w:left="0" w:firstLine="0"/>
        <w:rPr>
          <w:rFonts w:cs="Arial"/>
          <w:color w:val="000000" w:themeColor="text1"/>
          <w:sz w:val="18"/>
          <w:szCs w:val="18"/>
        </w:rPr>
      </w:pPr>
      <w:r w:rsidRPr="00DB5578">
        <w:rPr>
          <w:rFonts w:cs="Arial"/>
          <w:color w:val="000000" w:themeColor="text1"/>
          <w:sz w:val="18"/>
          <w:szCs w:val="18"/>
        </w:rPr>
        <w:t>nolan@theoec.org</w:t>
      </w:r>
    </w:p>
    <w:p w:rsidR="00DB5578" w:rsidRPr="00DB5578" w:rsidRDefault="00DB5578" w:rsidP="00DB5578">
      <w:pPr>
        <w:spacing w:line="240" w:lineRule="auto"/>
        <w:ind w:left="0" w:firstLine="0"/>
        <w:rPr>
          <w:rFonts w:cs="Arial"/>
          <w:color w:val="000000" w:themeColor="text1"/>
          <w:sz w:val="18"/>
          <w:szCs w:val="18"/>
        </w:rPr>
      </w:pPr>
      <w:r w:rsidRPr="00DB5578">
        <w:rPr>
          <w:rFonts w:cs="Arial"/>
          <w:color w:val="000000" w:themeColor="text1"/>
          <w:sz w:val="18"/>
          <w:szCs w:val="18"/>
        </w:rPr>
        <w:t>trent@theoec.org</w:t>
      </w:r>
    </w:p>
    <w:p w:rsidR="00DB5578" w:rsidRPr="00DB5578" w:rsidRDefault="00DB5578" w:rsidP="00DB5578">
      <w:pPr>
        <w:spacing w:line="240" w:lineRule="auto"/>
        <w:ind w:left="0" w:firstLine="0"/>
        <w:rPr>
          <w:rFonts w:cs="Arial"/>
          <w:color w:val="000000" w:themeColor="text1"/>
          <w:sz w:val="18"/>
          <w:szCs w:val="18"/>
        </w:rPr>
      </w:pPr>
      <w:r w:rsidRPr="00DB5578">
        <w:rPr>
          <w:rFonts w:cs="Arial"/>
          <w:color w:val="000000" w:themeColor="text1"/>
          <w:sz w:val="18"/>
          <w:szCs w:val="18"/>
        </w:rPr>
        <w:t>cathy@theoec.org</w:t>
      </w:r>
    </w:p>
    <w:p w:rsidR="00DB5578" w:rsidRPr="00DB5578" w:rsidRDefault="00DB5578" w:rsidP="00DB5578">
      <w:pPr>
        <w:spacing w:line="240" w:lineRule="auto"/>
        <w:ind w:left="0" w:firstLine="0"/>
        <w:rPr>
          <w:rFonts w:cs="Arial"/>
          <w:color w:val="000000" w:themeColor="text1"/>
          <w:sz w:val="18"/>
          <w:szCs w:val="18"/>
        </w:rPr>
      </w:pPr>
      <w:r w:rsidRPr="00DB5578">
        <w:rPr>
          <w:rFonts w:cs="Arial"/>
          <w:color w:val="000000" w:themeColor="text1"/>
          <w:sz w:val="18"/>
          <w:szCs w:val="18"/>
        </w:rPr>
        <w:t>williams.toddm@gmail.com</w:t>
      </w:r>
    </w:p>
    <w:p w:rsidR="00DB5578" w:rsidRPr="00DB5578" w:rsidRDefault="00DB5578" w:rsidP="00DB5578">
      <w:pPr>
        <w:spacing w:line="240" w:lineRule="auto"/>
        <w:ind w:left="0" w:firstLine="0"/>
        <w:rPr>
          <w:rFonts w:cs="Arial"/>
          <w:color w:val="000000" w:themeColor="text1"/>
          <w:sz w:val="18"/>
          <w:szCs w:val="18"/>
        </w:rPr>
      </w:pPr>
      <w:r w:rsidRPr="00DB5578">
        <w:rPr>
          <w:rFonts w:cs="Arial"/>
          <w:color w:val="000000" w:themeColor="text1"/>
          <w:sz w:val="18"/>
          <w:szCs w:val="18"/>
        </w:rPr>
        <w:t>ejacobs@ablelaw.org</w:t>
      </w:r>
    </w:p>
    <w:p w:rsidR="00DB5578" w:rsidRPr="00DB5578" w:rsidRDefault="00DB5578" w:rsidP="00DB5578">
      <w:pPr>
        <w:spacing w:line="240" w:lineRule="auto"/>
        <w:ind w:left="0" w:firstLine="0"/>
        <w:rPr>
          <w:rFonts w:cs="Arial"/>
          <w:color w:val="000000" w:themeColor="text1"/>
          <w:sz w:val="18"/>
          <w:szCs w:val="18"/>
        </w:rPr>
      </w:pPr>
      <w:r w:rsidRPr="00DB5578">
        <w:rPr>
          <w:rFonts w:cs="Arial"/>
          <w:color w:val="000000" w:themeColor="text1"/>
          <w:sz w:val="18"/>
          <w:szCs w:val="18"/>
        </w:rPr>
        <w:t>tobrien@bricker.com</w:t>
      </w:r>
    </w:p>
    <w:p w:rsidR="00DB5578" w:rsidRPr="00DB5578" w:rsidRDefault="00DB5578" w:rsidP="00DB5578">
      <w:pPr>
        <w:autoSpaceDE w:val="0"/>
        <w:autoSpaceDN w:val="0"/>
        <w:adjustRightInd w:val="0"/>
        <w:spacing w:line="240" w:lineRule="auto"/>
        <w:ind w:left="0" w:firstLine="0"/>
        <w:rPr>
          <w:rFonts w:eastAsia="Calibri" w:cs="Arial"/>
          <w:color w:val="000000" w:themeColor="text1"/>
          <w:sz w:val="18"/>
          <w:szCs w:val="18"/>
        </w:rPr>
      </w:pPr>
      <w:r w:rsidRPr="00DB5578">
        <w:rPr>
          <w:rFonts w:eastAsia="Calibri" w:cs="Arial"/>
          <w:color w:val="000000" w:themeColor="text1"/>
          <w:sz w:val="18"/>
          <w:szCs w:val="18"/>
        </w:rPr>
        <w:t>mwarnock@bricker.com</w:t>
      </w:r>
    </w:p>
    <w:p w:rsidR="00DB5578" w:rsidRPr="00DB5578" w:rsidRDefault="00DB5578" w:rsidP="00DB5578">
      <w:pPr>
        <w:autoSpaceDE w:val="0"/>
        <w:autoSpaceDN w:val="0"/>
        <w:adjustRightInd w:val="0"/>
        <w:spacing w:line="240" w:lineRule="auto"/>
        <w:ind w:left="0" w:firstLine="0"/>
        <w:rPr>
          <w:rFonts w:eastAsia="Calibri" w:cs="Arial"/>
          <w:color w:val="000000" w:themeColor="text1"/>
          <w:sz w:val="18"/>
          <w:szCs w:val="18"/>
        </w:rPr>
      </w:pPr>
      <w:r w:rsidRPr="00DB5578">
        <w:rPr>
          <w:rFonts w:eastAsia="Calibri" w:cs="Arial"/>
          <w:color w:val="000000" w:themeColor="text1"/>
          <w:sz w:val="18"/>
          <w:szCs w:val="18"/>
        </w:rPr>
        <w:t>tsiwo@bricker.com</w:t>
      </w:r>
    </w:p>
    <w:p w:rsidR="00DB5578" w:rsidRPr="00DB5578" w:rsidRDefault="00DB5578" w:rsidP="00DB5578">
      <w:pPr>
        <w:spacing w:line="240" w:lineRule="auto"/>
        <w:ind w:left="0" w:firstLine="0"/>
        <w:rPr>
          <w:rFonts w:cs="Arial"/>
          <w:color w:val="000000" w:themeColor="text1"/>
          <w:sz w:val="18"/>
          <w:szCs w:val="18"/>
        </w:rPr>
      </w:pPr>
      <w:r w:rsidRPr="00DB5578">
        <w:rPr>
          <w:rFonts w:cs="Arial"/>
          <w:color w:val="000000" w:themeColor="text1"/>
          <w:sz w:val="18"/>
          <w:szCs w:val="18"/>
        </w:rPr>
        <w:t>mhpetricoff@vorys.com</w:t>
      </w:r>
    </w:p>
    <w:p w:rsidR="00DB5578" w:rsidRPr="00DB5578" w:rsidRDefault="00DB5578" w:rsidP="00DB5578">
      <w:pPr>
        <w:spacing w:line="240" w:lineRule="auto"/>
        <w:ind w:left="0" w:firstLine="0"/>
        <w:rPr>
          <w:rFonts w:cs="Arial"/>
          <w:color w:val="000000" w:themeColor="text1"/>
          <w:sz w:val="18"/>
          <w:szCs w:val="18"/>
        </w:rPr>
      </w:pPr>
      <w:r w:rsidRPr="00DB5578">
        <w:rPr>
          <w:rFonts w:cs="Arial"/>
          <w:color w:val="000000" w:themeColor="text1"/>
          <w:sz w:val="18"/>
          <w:szCs w:val="18"/>
        </w:rPr>
        <w:t>smhoward@vorys.com</w:t>
      </w:r>
    </w:p>
    <w:p w:rsidR="00DB5578" w:rsidRPr="00DB5578" w:rsidRDefault="00DB5578" w:rsidP="00DB5578">
      <w:pPr>
        <w:spacing w:line="240" w:lineRule="auto"/>
        <w:ind w:left="0" w:firstLine="0"/>
        <w:rPr>
          <w:rFonts w:cs="Arial"/>
          <w:color w:val="000000" w:themeColor="text1"/>
          <w:sz w:val="18"/>
          <w:szCs w:val="18"/>
        </w:rPr>
      </w:pPr>
      <w:r w:rsidRPr="00DB5578">
        <w:rPr>
          <w:rFonts w:cs="Arial"/>
          <w:color w:val="000000" w:themeColor="text1"/>
          <w:sz w:val="18"/>
          <w:szCs w:val="18"/>
        </w:rPr>
        <w:t>david.fein@constellation.com</w:t>
      </w:r>
    </w:p>
    <w:p w:rsidR="00DB5578" w:rsidRPr="00DB5578" w:rsidRDefault="00DB5578" w:rsidP="00DB5578">
      <w:pPr>
        <w:spacing w:line="240" w:lineRule="auto"/>
        <w:ind w:left="0" w:firstLine="0"/>
        <w:rPr>
          <w:rFonts w:cs="Arial"/>
          <w:color w:val="000000" w:themeColor="text1"/>
          <w:sz w:val="18"/>
          <w:szCs w:val="18"/>
        </w:rPr>
      </w:pPr>
      <w:r w:rsidRPr="00DB5578">
        <w:rPr>
          <w:rFonts w:cs="Arial"/>
          <w:color w:val="000000" w:themeColor="text1"/>
          <w:sz w:val="18"/>
          <w:szCs w:val="18"/>
        </w:rPr>
        <w:t>cynthia.a.fonner@constellation.com</w:t>
      </w:r>
    </w:p>
    <w:p w:rsidR="00DB5578" w:rsidRPr="00DB5578" w:rsidRDefault="00DB5578" w:rsidP="00DB5578">
      <w:pPr>
        <w:spacing w:line="240" w:lineRule="auto"/>
        <w:ind w:left="0" w:firstLine="0"/>
        <w:rPr>
          <w:rFonts w:cs="Arial"/>
          <w:color w:val="000000" w:themeColor="text1"/>
          <w:sz w:val="18"/>
          <w:szCs w:val="18"/>
        </w:rPr>
      </w:pPr>
      <w:r w:rsidRPr="00DB5578">
        <w:rPr>
          <w:rFonts w:cs="Arial"/>
          <w:color w:val="000000" w:themeColor="text1"/>
          <w:sz w:val="18"/>
          <w:szCs w:val="18"/>
        </w:rPr>
        <w:t>Tasha.hamilton@constellation.com</w:t>
      </w:r>
    </w:p>
    <w:p w:rsidR="00DB5578" w:rsidRPr="00DB5578" w:rsidRDefault="00DB5578" w:rsidP="00DB5578">
      <w:pPr>
        <w:spacing w:line="240" w:lineRule="auto"/>
        <w:ind w:left="0" w:firstLine="0"/>
        <w:rPr>
          <w:rFonts w:cs="Arial"/>
          <w:color w:val="000000" w:themeColor="text1"/>
          <w:sz w:val="18"/>
          <w:szCs w:val="18"/>
        </w:rPr>
      </w:pPr>
      <w:r w:rsidRPr="00DB5578">
        <w:rPr>
          <w:rFonts w:cs="Arial"/>
          <w:color w:val="000000" w:themeColor="text1"/>
          <w:sz w:val="18"/>
          <w:szCs w:val="18"/>
        </w:rPr>
        <w:t>myurick@taftlaw.com</w:t>
      </w:r>
    </w:p>
    <w:p w:rsidR="00DB5578" w:rsidRPr="00DB5578" w:rsidRDefault="00DB5578" w:rsidP="00DB5578">
      <w:pPr>
        <w:spacing w:line="240" w:lineRule="auto"/>
        <w:ind w:left="0" w:firstLine="0"/>
        <w:rPr>
          <w:rFonts w:cs="Arial"/>
          <w:color w:val="000000" w:themeColor="text1"/>
          <w:sz w:val="18"/>
          <w:szCs w:val="18"/>
        </w:rPr>
      </w:pPr>
      <w:r w:rsidRPr="00DB5578">
        <w:rPr>
          <w:rFonts w:cs="Arial"/>
          <w:color w:val="000000" w:themeColor="text1"/>
          <w:sz w:val="18"/>
          <w:szCs w:val="18"/>
        </w:rPr>
        <w:t>zkravitz@taftlaw.com</w:t>
      </w:r>
    </w:p>
    <w:p w:rsidR="00DB5578" w:rsidRPr="00DB5578" w:rsidRDefault="00DB5578" w:rsidP="00DB5578">
      <w:pPr>
        <w:spacing w:line="240" w:lineRule="auto"/>
        <w:ind w:left="0" w:firstLine="0"/>
        <w:rPr>
          <w:rFonts w:cs="Arial"/>
          <w:color w:val="000000" w:themeColor="text1"/>
          <w:sz w:val="18"/>
          <w:szCs w:val="18"/>
        </w:rPr>
      </w:pPr>
      <w:r w:rsidRPr="00DB5578">
        <w:rPr>
          <w:rFonts w:cs="Arial"/>
          <w:color w:val="000000" w:themeColor="text1"/>
          <w:sz w:val="18"/>
          <w:szCs w:val="18"/>
        </w:rPr>
        <w:t>mhpetricoff@vorys.com</w:t>
      </w:r>
    </w:p>
    <w:p w:rsidR="00DB5578" w:rsidRPr="00DB5578" w:rsidRDefault="00DB5578" w:rsidP="00DB5578">
      <w:pPr>
        <w:spacing w:line="240" w:lineRule="auto"/>
        <w:ind w:left="0" w:firstLine="0"/>
        <w:rPr>
          <w:rFonts w:cs="Arial"/>
          <w:color w:val="000000" w:themeColor="text1"/>
          <w:sz w:val="18"/>
          <w:szCs w:val="18"/>
        </w:rPr>
      </w:pPr>
      <w:r w:rsidRPr="00DB5578">
        <w:rPr>
          <w:rFonts w:cs="Arial"/>
          <w:color w:val="000000" w:themeColor="text1"/>
          <w:sz w:val="18"/>
          <w:szCs w:val="18"/>
        </w:rPr>
        <w:t>smhoward@vorys.com</w:t>
      </w:r>
    </w:p>
    <w:p w:rsidR="00DB5578" w:rsidRPr="00DB5578" w:rsidRDefault="00DB5578" w:rsidP="00DB5578">
      <w:pPr>
        <w:spacing w:line="240" w:lineRule="auto"/>
        <w:ind w:left="0" w:firstLine="0"/>
        <w:rPr>
          <w:rFonts w:cs="Arial"/>
          <w:color w:val="000000" w:themeColor="text1"/>
          <w:sz w:val="18"/>
          <w:szCs w:val="18"/>
        </w:rPr>
      </w:pPr>
      <w:r w:rsidRPr="00DB5578">
        <w:rPr>
          <w:rFonts w:cs="Arial"/>
          <w:color w:val="000000" w:themeColor="text1"/>
          <w:sz w:val="18"/>
          <w:szCs w:val="18"/>
        </w:rPr>
        <w:t>Tony_Long@ham.honda.com</w:t>
      </w:r>
    </w:p>
    <w:p w:rsidR="00DB5578" w:rsidRPr="00DB5578" w:rsidRDefault="00DB5578" w:rsidP="00DB5578">
      <w:pPr>
        <w:spacing w:line="240" w:lineRule="auto"/>
        <w:ind w:left="0" w:firstLine="0"/>
        <w:rPr>
          <w:rFonts w:cs="Arial"/>
          <w:color w:val="000000" w:themeColor="text1"/>
          <w:sz w:val="18"/>
          <w:szCs w:val="18"/>
        </w:rPr>
      </w:pPr>
      <w:r w:rsidRPr="00D1008C">
        <w:rPr>
          <w:rFonts w:eastAsiaTheme="majorEastAsia"/>
          <w:color w:val="000000" w:themeColor="text1"/>
          <w:sz w:val="18"/>
          <w:szCs w:val="18"/>
        </w:rPr>
        <w:t>Stephen.bennett@exeloncorp.com</w:t>
      </w:r>
    </w:p>
    <w:p w:rsidR="00DB5578" w:rsidRPr="00DB5578" w:rsidRDefault="00DB5578" w:rsidP="00DB5578">
      <w:pPr>
        <w:pStyle w:val="BodyText"/>
        <w:spacing w:after="0" w:line="240" w:lineRule="auto"/>
        <w:ind w:left="0" w:firstLine="0"/>
        <w:rPr>
          <w:color w:val="000000" w:themeColor="text1"/>
          <w:sz w:val="18"/>
          <w:szCs w:val="18"/>
        </w:rPr>
      </w:pPr>
    </w:p>
    <w:p w:rsidR="00DB5578" w:rsidRPr="00DB5578" w:rsidRDefault="00DB5578" w:rsidP="00DB5578">
      <w:pPr>
        <w:pStyle w:val="BodyText"/>
        <w:spacing w:after="0" w:line="240" w:lineRule="auto"/>
        <w:ind w:left="0" w:firstLine="0"/>
        <w:rPr>
          <w:color w:val="000000" w:themeColor="text1"/>
          <w:sz w:val="18"/>
          <w:szCs w:val="18"/>
        </w:rPr>
      </w:pPr>
    </w:p>
    <w:p w:rsidR="00DB5578" w:rsidRPr="00DB5578" w:rsidRDefault="00DB5578" w:rsidP="00DB5578">
      <w:pPr>
        <w:pStyle w:val="BodyText"/>
        <w:spacing w:after="0" w:line="240" w:lineRule="auto"/>
        <w:ind w:left="0" w:firstLine="0"/>
        <w:rPr>
          <w:color w:val="000000" w:themeColor="text1"/>
          <w:sz w:val="18"/>
          <w:szCs w:val="18"/>
        </w:rPr>
      </w:pPr>
    </w:p>
    <w:p w:rsidR="00DB5578" w:rsidRPr="00DB5578" w:rsidRDefault="00DB5578" w:rsidP="00DB5578">
      <w:pPr>
        <w:pStyle w:val="BodyText"/>
        <w:spacing w:after="0" w:line="240" w:lineRule="auto"/>
        <w:ind w:left="0" w:firstLine="0"/>
        <w:rPr>
          <w:color w:val="000000" w:themeColor="text1"/>
          <w:sz w:val="18"/>
          <w:szCs w:val="18"/>
        </w:rPr>
      </w:pPr>
      <w:r w:rsidRPr="00DB5578">
        <w:rPr>
          <w:color w:val="000000" w:themeColor="text1"/>
          <w:sz w:val="18"/>
          <w:szCs w:val="18"/>
        </w:rPr>
        <w:lastRenderedPageBreak/>
        <w:t>Cynthia.b.fonner@constellation.com</w:t>
      </w:r>
    </w:p>
    <w:p w:rsidR="00DB5578" w:rsidRPr="00DB5578" w:rsidRDefault="00DB5578" w:rsidP="00DB5578">
      <w:pPr>
        <w:pStyle w:val="BodyText"/>
        <w:spacing w:after="0" w:line="240" w:lineRule="auto"/>
        <w:ind w:left="0" w:firstLine="0"/>
        <w:rPr>
          <w:color w:val="000000" w:themeColor="text1"/>
          <w:sz w:val="18"/>
          <w:szCs w:val="18"/>
        </w:rPr>
      </w:pPr>
      <w:r w:rsidRPr="00DB5578">
        <w:rPr>
          <w:color w:val="000000" w:themeColor="text1"/>
          <w:sz w:val="18"/>
          <w:szCs w:val="18"/>
        </w:rPr>
        <w:t>LGearhardt@ofbf.org</w:t>
      </w:r>
    </w:p>
    <w:p w:rsidR="00DB5578" w:rsidRPr="00DB5578" w:rsidRDefault="00DB5578" w:rsidP="00DB5578">
      <w:pPr>
        <w:tabs>
          <w:tab w:val="left" w:pos="-1440"/>
          <w:tab w:val="left" w:pos="-720"/>
          <w:tab w:val="left" w:pos="5040"/>
          <w:tab w:val="center" w:pos="7200"/>
        </w:tabs>
        <w:spacing w:line="240" w:lineRule="auto"/>
        <w:ind w:left="0" w:firstLine="0"/>
        <w:rPr>
          <w:rFonts w:cs="Arial"/>
          <w:color w:val="000000" w:themeColor="text1"/>
          <w:sz w:val="18"/>
          <w:szCs w:val="18"/>
        </w:rPr>
      </w:pPr>
      <w:r w:rsidRPr="00DB5578">
        <w:rPr>
          <w:rFonts w:cs="Arial"/>
          <w:color w:val="000000" w:themeColor="text1"/>
          <w:sz w:val="18"/>
          <w:szCs w:val="18"/>
        </w:rPr>
        <w:t>dconway@porterwright.com</w:t>
      </w:r>
    </w:p>
    <w:p w:rsidR="00DB5578" w:rsidRPr="00DB5578" w:rsidRDefault="00DB5578" w:rsidP="00DB5578">
      <w:pPr>
        <w:tabs>
          <w:tab w:val="left" w:pos="-1440"/>
          <w:tab w:val="left" w:pos="-720"/>
          <w:tab w:val="left" w:pos="5040"/>
          <w:tab w:val="center" w:pos="7200"/>
        </w:tabs>
        <w:spacing w:line="240" w:lineRule="auto"/>
        <w:ind w:left="0" w:firstLine="0"/>
        <w:rPr>
          <w:rFonts w:cs="Arial"/>
          <w:color w:val="000000" w:themeColor="text1"/>
          <w:sz w:val="18"/>
          <w:szCs w:val="18"/>
        </w:rPr>
      </w:pPr>
      <w:r w:rsidRPr="00DB5578">
        <w:rPr>
          <w:rFonts w:cs="Arial"/>
          <w:color w:val="000000" w:themeColor="text1"/>
          <w:sz w:val="18"/>
          <w:szCs w:val="18"/>
        </w:rPr>
        <w:t>aemerson@porterwright.com</w:t>
      </w:r>
    </w:p>
    <w:p w:rsidR="00DB5578" w:rsidRPr="00DB5578" w:rsidRDefault="00DB5578" w:rsidP="00DB5578">
      <w:pPr>
        <w:spacing w:line="240" w:lineRule="auto"/>
        <w:ind w:left="0" w:firstLine="0"/>
        <w:rPr>
          <w:rFonts w:cs="Arial"/>
          <w:color w:val="000000" w:themeColor="text1"/>
          <w:sz w:val="18"/>
          <w:szCs w:val="18"/>
        </w:rPr>
      </w:pPr>
      <w:r w:rsidRPr="00DB5578">
        <w:rPr>
          <w:rFonts w:cs="Arial"/>
          <w:color w:val="000000" w:themeColor="text1"/>
          <w:sz w:val="18"/>
          <w:szCs w:val="18"/>
        </w:rPr>
        <w:t>haydenm@firstenergycorp.com</w:t>
      </w:r>
    </w:p>
    <w:p w:rsidR="00DB5578" w:rsidRPr="00DB5578" w:rsidRDefault="00DB5578" w:rsidP="00DB5578">
      <w:pPr>
        <w:spacing w:line="240" w:lineRule="auto"/>
        <w:ind w:left="0" w:firstLine="0"/>
        <w:rPr>
          <w:rFonts w:cs="Arial"/>
          <w:color w:val="000000" w:themeColor="text1"/>
          <w:sz w:val="18"/>
          <w:szCs w:val="18"/>
        </w:rPr>
      </w:pPr>
      <w:r w:rsidRPr="00DB5578">
        <w:rPr>
          <w:rFonts w:cs="Arial"/>
          <w:color w:val="000000" w:themeColor="text1"/>
          <w:sz w:val="18"/>
          <w:szCs w:val="18"/>
        </w:rPr>
        <w:t>coneil@calfee.comk</w:t>
      </w:r>
    </w:p>
    <w:p w:rsidR="00DB5578" w:rsidRPr="00DB5578" w:rsidRDefault="00DB5578" w:rsidP="00DB5578">
      <w:pPr>
        <w:spacing w:line="240" w:lineRule="auto"/>
        <w:ind w:left="0" w:firstLine="0"/>
        <w:rPr>
          <w:rFonts w:cs="Arial"/>
          <w:color w:val="000000" w:themeColor="text1"/>
          <w:sz w:val="18"/>
          <w:szCs w:val="18"/>
        </w:rPr>
      </w:pPr>
      <w:r w:rsidRPr="00DB5578">
        <w:rPr>
          <w:rFonts w:cs="Arial"/>
          <w:color w:val="000000" w:themeColor="text1"/>
          <w:sz w:val="18"/>
          <w:szCs w:val="18"/>
        </w:rPr>
        <w:t>shannon@calfee.com</w:t>
      </w:r>
    </w:p>
    <w:p w:rsidR="00DB5578" w:rsidRPr="00DB5578" w:rsidRDefault="00DB5578" w:rsidP="00DB5578">
      <w:pPr>
        <w:spacing w:line="240" w:lineRule="auto"/>
        <w:ind w:left="0" w:firstLine="0"/>
        <w:rPr>
          <w:rFonts w:cs="Arial"/>
          <w:color w:val="000000" w:themeColor="text1"/>
          <w:sz w:val="18"/>
          <w:szCs w:val="18"/>
        </w:rPr>
      </w:pPr>
      <w:r w:rsidRPr="00DB5578">
        <w:rPr>
          <w:rFonts w:cs="Arial"/>
          <w:color w:val="000000" w:themeColor="text1"/>
          <w:sz w:val="18"/>
          <w:szCs w:val="18"/>
        </w:rPr>
        <w:t>jlang@calfee.com</w:t>
      </w:r>
    </w:p>
    <w:p w:rsidR="00DB5578" w:rsidRPr="00DB5578" w:rsidRDefault="00DB5578" w:rsidP="00DB5578">
      <w:pPr>
        <w:spacing w:line="240" w:lineRule="auto"/>
        <w:ind w:left="0" w:firstLine="0"/>
        <w:rPr>
          <w:rFonts w:cs="Arial"/>
          <w:color w:val="000000" w:themeColor="text1"/>
          <w:sz w:val="18"/>
          <w:szCs w:val="18"/>
        </w:rPr>
      </w:pPr>
      <w:r w:rsidRPr="00DB5578">
        <w:rPr>
          <w:rFonts w:cs="Arial"/>
          <w:color w:val="000000" w:themeColor="text1"/>
          <w:sz w:val="18"/>
          <w:szCs w:val="18"/>
        </w:rPr>
        <w:t>lmcbride@calfee.com</w:t>
      </w:r>
    </w:p>
    <w:p w:rsidR="00DB5578" w:rsidRPr="00DB5578" w:rsidRDefault="00DB5578" w:rsidP="00DB5578">
      <w:pPr>
        <w:spacing w:line="240" w:lineRule="auto"/>
        <w:ind w:left="0" w:firstLine="0"/>
        <w:rPr>
          <w:rFonts w:cs="Arial"/>
          <w:color w:val="000000" w:themeColor="text1"/>
          <w:sz w:val="18"/>
          <w:szCs w:val="18"/>
        </w:rPr>
      </w:pPr>
      <w:r w:rsidRPr="00DB5578">
        <w:rPr>
          <w:rFonts w:cs="Arial"/>
          <w:color w:val="000000" w:themeColor="text1"/>
          <w:sz w:val="18"/>
          <w:szCs w:val="18"/>
        </w:rPr>
        <w:t>talexander@calfee.com</w:t>
      </w:r>
    </w:p>
    <w:p w:rsidR="00DB5578" w:rsidRPr="00DB5578" w:rsidRDefault="00DB5578" w:rsidP="00DB5578">
      <w:pPr>
        <w:spacing w:line="240" w:lineRule="auto"/>
        <w:ind w:left="0" w:firstLine="0"/>
        <w:rPr>
          <w:rFonts w:cs="Arial"/>
          <w:color w:val="000000" w:themeColor="text1"/>
          <w:sz w:val="18"/>
          <w:szCs w:val="18"/>
        </w:rPr>
      </w:pPr>
      <w:r w:rsidRPr="00DB5578">
        <w:rPr>
          <w:rFonts w:cs="Arial"/>
          <w:color w:val="000000" w:themeColor="text1"/>
          <w:sz w:val="18"/>
          <w:szCs w:val="18"/>
        </w:rPr>
        <w:t>dakutik@jonesday.com</w:t>
      </w:r>
    </w:p>
    <w:p w:rsidR="00DB5578" w:rsidRPr="00DB5578" w:rsidRDefault="00DB5578" w:rsidP="00DB5578">
      <w:pPr>
        <w:spacing w:line="240" w:lineRule="auto"/>
        <w:ind w:left="0" w:firstLine="0"/>
        <w:rPr>
          <w:rFonts w:cs="Arial"/>
          <w:color w:val="000000" w:themeColor="text1"/>
          <w:sz w:val="18"/>
          <w:szCs w:val="18"/>
        </w:rPr>
      </w:pPr>
      <w:r w:rsidRPr="00DB5578">
        <w:rPr>
          <w:rFonts w:cs="Arial"/>
          <w:color w:val="000000" w:themeColor="text1"/>
          <w:sz w:val="18"/>
          <w:szCs w:val="18"/>
        </w:rPr>
        <w:t>aehaedt@jonesday.com</w:t>
      </w:r>
    </w:p>
    <w:p w:rsidR="00DB5578" w:rsidRPr="00DB5578" w:rsidRDefault="00DB5578" w:rsidP="00DB5578">
      <w:pPr>
        <w:tabs>
          <w:tab w:val="left" w:pos="2160"/>
          <w:tab w:val="left" w:pos="2280"/>
        </w:tabs>
        <w:spacing w:line="240" w:lineRule="auto"/>
        <w:ind w:left="0" w:firstLine="0"/>
        <w:rPr>
          <w:rFonts w:cs="Arial"/>
          <w:color w:val="000000" w:themeColor="text1"/>
          <w:sz w:val="18"/>
          <w:szCs w:val="18"/>
        </w:rPr>
      </w:pPr>
      <w:r w:rsidRPr="00DB5578">
        <w:rPr>
          <w:rFonts w:cs="Arial"/>
          <w:color w:val="000000" w:themeColor="text1"/>
          <w:sz w:val="18"/>
          <w:szCs w:val="18"/>
        </w:rPr>
        <w:t>jejadwin@aep.com</w:t>
      </w:r>
    </w:p>
    <w:p w:rsidR="00DB5578" w:rsidRPr="00DB5578" w:rsidRDefault="00DB5578" w:rsidP="00DB5578">
      <w:pPr>
        <w:spacing w:line="240" w:lineRule="auto"/>
        <w:ind w:left="0" w:firstLine="0"/>
        <w:rPr>
          <w:rFonts w:cs="Arial"/>
          <w:color w:val="000000" w:themeColor="text1"/>
          <w:sz w:val="18"/>
          <w:szCs w:val="18"/>
        </w:rPr>
      </w:pPr>
      <w:r w:rsidRPr="00DB5578">
        <w:rPr>
          <w:rFonts w:cs="Arial"/>
          <w:color w:val="000000" w:themeColor="text1"/>
          <w:sz w:val="18"/>
          <w:szCs w:val="18"/>
        </w:rPr>
        <w:t>Thomas.Melone@AllcoUS.com</w:t>
      </w:r>
    </w:p>
    <w:p w:rsidR="00DB5578" w:rsidRPr="00DB5578" w:rsidRDefault="00DB5578" w:rsidP="00DB5578">
      <w:pPr>
        <w:tabs>
          <w:tab w:val="left" w:pos="2160"/>
          <w:tab w:val="left" w:pos="2280"/>
        </w:tabs>
        <w:spacing w:line="240" w:lineRule="auto"/>
        <w:ind w:left="0" w:firstLine="0"/>
        <w:rPr>
          <w:rFonts w:cs="Arial"/>
          <w:color w:val="000000" w:themeColor="text1"/>
          <w:sz w:val="18"/>
          <w:szCs w:val="18"/>
        </w:rPr>
      </w:pPr>
      <w:r w:rsidRPr="00DB5578">
        <w:rPr>
          <w:rFonts w:cs="Arial"/>
          <w:color w:val="000000" w:themeColor="text1"/>
          <w:sz w:val="18"/>
          <w:szCs w:val="18"/>
        </w:rPr>
        <w:t>joseph.clark@directenergy.com</w:t>
      </w:r>
    </w:p>
    <w:p w:rsidR="00DB5578" w:rsidRPr="00DB5578" w:rsidRDefault="00DB5578" w:rsidP="00DB5578">
      <w:pPr>
        <w:tabs>
          <w:tab w:val="left" w:pos="2160"/>
          <w:tab w:val="left" w:pos="2280"/>
        </w:tabs>
        <w:spacing w:line="240" w:lineRule="auto"/>
        <w:ind w:left="0" w:firstLine="0"/>
        <w:rPr>
          <w:rFonts w:cs="Arial"/>
          <w:color w:val="000000" w:themeColor="text1"/>
          <w:sz w:val="18"/>
          <w:szCs w:val="18"/>
        </w:rPr>
      </w:pPr>
      <w:r w:rsidRPr="00DB5578">
        <w:rPr>
          <w:rFonts w:cs="Arial"/>
          <w:color w:val="000000" w:themeColor="text1"/>
          <w:sz w:val="18"/>
          <w:szCs w:val="18"/>
        </w:rPr>
        <w:t>christopher.miller@icemiller.com</w:t>
      </w:r>
    </w:p>
    <w:p w:rsidR="00DB5578" w:rsidRPr="00DB5578" w:rsidRDefault="00DB5578" w:rsidP="00DB5578">
      <w:pPr>
        <w:tabs>
          <w:tab w:val="left" w:pos="2160"/>
          <w:tab w:val="left" w:pos="2280"/>
        </w:tabs>
        <w:spacing w:line="240" w:lineRule="auto"/>
        <w:ind w:left="0" w:firstLine="0"/>
        <w:rPr>
          <w:rFonts w:cs="Arial"/>
          <w:color w:val="000000" w:themeColor="text1"/>
          <w:sz w:val="18"/>
          <w:szCs w:val="18"/>
        </w:rPr>
      </w:pPr>
      <w:r w:rsidRPr="00DB5578">
        <w:rPr>
          <w:rFonts w:cs="Arial"/>
          <w:color w:val="000000" w:themeColor="text1"/>
          <w:sz w:val="18"/>
          <w:szCs w:val="18"/>
        </w:rPr>
        <w:t>gregory.dunn@icemiller.com</w:t>
      </w:r>
    </w:p>
    <w:p w:rsidR="00DB5578" w:rsidRPr="00DB5578" w:rsidRDefault="00DB5578" w:rsidP="00DB5578">
      <w:pPr>
        <w:tabs>
          <w:tab w:val="left" w:pos="2160"/>
          <w:tab w:val="left" w:pos="2280"/>
        </w:tabs>
        <w:spacing w:line="240" w:lineRule="auto"/>
        <w:ind w:left="0" w:firstLine="0"/>
        <w:rPr>
          <w:rFonts w:cs="Arial"/>
          <w:color w:val="000000" w:themeColor="text1"/>
          <w:sz w:val="18"/>
          <w:szCs w:val="18"/>
        </w:rPr>
      </w:pPr>
      <w:r w:rsidRPr="00DB5578">
        <w:rPr>
          <w:rFonts w:cs="Arial"/>
          <w:color w:val="000000" w:themeColor="text1"/>
          <w:sz w:val="18"/>
          <w:szCs w:val="18"/>
        </w:rPr>
        <w:t>alan.starkoff@icemiller.com</w:t>
      </w:r>
    </w:p>
    <w:p w:rsidR="00DB5578" w:rsidRPr="00DB5578" w:rsidRDefault="00DB5578" w:rsidP="00DB5578">
      <w:pPr>
        <w:tabs>
          <w:tab w:val="left" w:pos="2160"/>
          <w:tab w:val="left" w:pos="2280"/>
        </w:tabs>
        <w:spacing w:line="240" w:lineRule="auto"/>
        <w:ind w:left="0" w:firstLine="0"/>
        <w:rPr>
          <w:rFonts w:cs="Arial"/>
          <w:color w:val="000000" w:themeColor="text1"/>
          <w:sz w:val="18"/>
          <w:szCs w:val="18"/>
        </w:rPr>
      </w:pPr>
      <w:r w:rsidRPr="00DB5578">
        <w:rPr>
          <w:rFonts w:cs="Arial"/>
          <w:color w:val="000000" w:themeColor="text1"/>
          <w:sz w:val="18"/>
          <w:szCs w:val="18"/>
        </w:rPr>
        <w:t>ssolberg@EimerStahl.com</w:t>
      </w:r>
    </w:p>
    <w:p w:rsidR="00DB5578" w:rsidRPr="00DB5578" w:rsidRDefault="00DB5578" w:rsidP="00DB5578">
      <w:pPr>
        <w:tabs>
          <w:tab w:val="left" w:pos="2160"/>
          <w:tab w:val="left" w:pos="2280"/>
        </w:tabs>
        <w:spacing w:line="240" w:lineRule="auto"/>
        <w:ind w:left="0" w:firstLine="0"/>
        <w:rPr>
          <w:rFonts w:cs="Arial"/>
          <w:color w:val="000000" w:themeColor="text1"/>
          <w:sz w:val="18"/>
          <w:szCs w:val="18"/>
        </w:rPr>
      </w:pPr>
      <w:r w:rsidRPr="00DB5578">
        <w:rPr>
          <w:rFonts w:cs="Arial"/>
          <w:color w:val="000000" w:themeColor="text1"/>
          <w:sz w:val="18"/>
          <w:szCs w:val="18"/>
        </w:rPr>
        <w:t>stephanie.Chmiel@ThompsonHine.com</w:t>
      </w:r>
    </w:p>
    <w:p w:rsidR="00DB5578" w:rsidRPr="00DB5578" w:rsidRDefault="00DB5578" w:rsidP="00DB5578">
      <w:pPr>
        <w:tabs>
          <w:tab w:val="left" w:pos="2160"/>
          <w:tab w:val="left" w:pos="2280"/>
        </w:tabs>
        <w:spacing w:line="240" w:lineRule="auto"/>
        <w:ind w:left="0" w:firstLine="0"/>
        <w:rPr>
          <w:rStyle w:val="Hyperlink"/>
          <w:rFonts w:eastAsiaTheme="majorEastAsia" w:cs="Arial"/>
          <w:color w:val="000000" w:themeColor="text1"/>
          <w:sz w:val="18"/>
          <w:szCs w:val="18"/>
          <w:u w:val="none"/>
        </w:rPr>
      </w:pPr>
      <w:r w:rsidRPr="00DB5578">
        <w:rPr>
          <w:rFonts w:cs="Arial"/>
          <w:color w:val="000000" w:themeColor="text1"/>
          <w:sz w:val="18"/>
          <w:szCs w:val="18"/>
        </w:rPr>
        <w:t>michael.Dillard@ThompsonHine.com</w:t>
      </w:r>
    </w:p>
    <w:p w:rsidR="00DB5578" w:rsidRPr="00DB5578" w:rsidRDefault="00DB5578" w:rsidP="00DB5578">
      <w:pPr>
        <w:tabs>
          <w:tab w:val="left" w:pos="2160"/>
          <w:tab w:val="left" w:pos="2280"/>
        </w:tabs>
        <w:spacing w:line="240" w:lineRule="auto"/>
        <w:ind w:left="0" w:firstLine="0"/>
        <w:rPr>
          <w:rFonts w:cs="Arial"/>
          <w:color w:val="000000" w:themeColor="text1"/>
          <w:sz w:val="18"/>
          <w:szCs w:val="18"/>
        </w:rPr>
      </w:pPr>
      <w:r w:rsidRPr="00DB5578">
        <w:rPr>
          <w:rStyle w:val="Hyperlink"/>
          <w:rFonts w:eastAsiaTheme="majorEastAsia" w:cs="Arial"/>
          <w:color w:val="000000" w:themeColor="text1"/>
          <w:sz w:val="18"/>
          <w:szCs w:val="18"/>
          <w:u w:val="none"/>
        </w:rPr>
        <w:t>philip.sineneng@ThompsonHine.com</w:t>
      </w:r>
    </w:p>
    <w:p w:rsidR="00DB5578" w:rsidRPr="00DB5578" w:rsidRDefault="00DB5578" w:rsidP="00DB5578">
      <w:pPr>
        <w:tabs>
          <w:tab w:val="left" w:pos="2160"/>
          <w:tab w:val="left" w:pos="2280"/>
        </w:tabs>
        <w:spacing w:line="240" w:lineRule="auto"/>
        <w:ind w:left="0" w:firstLine="0"/>
        <w:rPr>
          <w:rFonts w:cs="Arial"/>
          <w:color w:val="000000" w:themeColor="text1"/>
          <w:sz w:val="18"/>
          <w:szCs w:val="18"/>
        </w:rPr>
      </w:pPr>
      <w:r w:rsidRPr="00DB5578">
        <w:rPr>
          <w:rFonts w:cs="Arial"/>
          <w:color w:val="000000" w:themeColor="text1"/>
          <w:sz w:val="18"/>
          <w:szCs w:val="18"/>
        </w:rPr>
        <w:t>mjsatterwhite@aep.com</w:t>
      </w:r>
    </w:p>
    <w:p w:rsidR="00DB5578" w:rsidRPr="00DB5578" w:rsidRDefault="00DB5578" w:rsidP="00DB5578">
      <w:pPr>
        <w:tabs>
          <w:tab w:val="left" w:pos="2160"/>
          <w:tab w:val="left" w:pos="2280"/>
        </w:tabs>
        <w:spacing w:line="240" w:lineRule="auto"/>
        <w:ind w:left="0" w:firstLine="0"/>
        <w:rPr>
          <w:rFonts w:cs="Arial"/>
          <w:color w:val="000000" w:themeColor="text1"/>
          <w:sz w:val="18"/>
          <w:szCs w:val="18"/>
        </w:rPr>
      </w:pPr>
      <w:r w:rsidRPr="00DB5578">
        <w:rPr>
          <w:rFonts w:cs="Arial"/>
          <w:color w:val="000000" w:themeColor="text1"/>
          <w:sz w:val="18"/>
          <w:szCs w:val="18"/>
        </w:rPr>
        <w:t>stnourse@aep.com</w:t>
      </w:r>
    </w:p>
    <w:p w:rsidR="00DB5578" w:rsidRPr="00DB5578" w:rsidRDefault="00DB5578" w:rsidP="00DB5578">
      <w:pPr>
        <w:tabs>
          <w:tab w:val="left" w:pos="2160"/>
          <w:tab w:val="left" w:pos="2280"/>
        </w:tabs>
        <w:spacing w:line="240" w:lineRule="auto"/>
        <w:ind w:left="0" w:firstLine="0"/>
        <w:rPr>
          <w:rFonts w:cs="Arial"/>
          <w:color w:val="000000" w:themeColor="text1"/>
          <w:sz w:val="18"/>
          <w:szCs w:val="18"/>
        </w:rPr>
      </w:pPr>
      <w:r w:rsidRPr="00DB5578">
        <w:rPr>
          <w:rFonts w:cs="Arial"/>
          <w:color w:val="000000" w:themeColor="text1"/>
          <w:sz w:val="18"/>
          <w:szCs w:val="18"/>
        </w:rPr>
        <w:t>bojko@carpenterlipps.com</w:t>
      </w:r>
    </w:p>
    <w:p w:rsidR="00DB5578" w:rsidRPr="00DB5578" w:rsidRDefault="00DB5578" w:rsidP="00DB5578">
      <w:pPr>
        <w:tabs>
          <w:tab w:val="left" w:pos="2160"/>
          <w:tab w:val="left" w:pos="2280"/>
        </w:tabs>
        <w:spacing w:line="240" w:lineRule="auto"/>
        <w:ind w:left="0" w:firstLine="0"/>
        <w:rPr>
          <w:rFonts w:cs="Arial"/>
          <w:color w:val="000000" w:themeColor="text1"/>
          <w:sz w:val="18"/>
          <w:szCs w:val="18"/>
        </w:rPr>
      </w:pPr>
      <w:r w:rsidRPr="00DB5578">
        <w:rPr>
          <w:rFonts w:cs="Arial"/>
          <w:color w:val="000000" w:themeColor="text1"/>
          <w:sz w:val="18"/>
          <w:szCs w:val="18"/>
        </w:rPr>
        <w:t>sechler@carpenterlipps.com</w:t>
      </w:r>
    </w:p>
    <w:p w:rsidR="00DB5578" w:rsidRPr="00DB5578" w:rsidRDefault="00DB5578" w:rsidP="00DB5578">
      <w:pPr>
        <w:tabs>
          <w:tab w:val="left" w:pos="2160"/>
          <w:tab w:val="left" w:pos="2280"/>
        </w:tabs>
        <w:spacing w:line="240" w:lineRule="auto"/>
        <w:ind w:left="0" w:firstLine="0"/>
        <w:rPr>
          <w:rStyle w:val="Hyperlink"/>
          <w:rFonts w:eastAsiaTheme="majorEastAsia" w:cs="Arial"/>
          <w:color w:val="000000" w:themeColor="text1"/>
          <w:sz w:val="18"/>
          <w:szCs w:val="18"/>
          <w:u w:val="none"/>
        </w:rPr>
      </w:pPr>
      <w:r w:rsidRPr="00DB5578">
        <w:rPr>
          <w:rFonts w:cs="Arial"/>
          <w:color w:val="000000" w:themeColor="text1"/>
          <w:sz w:val="18"/>
          <w:szCs w:val="18"/>
        </w:rPr>
        <w:t>matt@matthewcoxlaw.com</w:t>
      </w:r>
    </w:p>
    <w:p w:rsidR="00DB5578" w:rsidRPr="00DB5578" w:rsidRDefault="00DB5578" w:rsidP="00DB5578">
      <w:pPr>
        <w:tabs>
          <w:tab w:val="left" w:pos="2160"/>
          <w:tab w:val="left" w:pos="2280"/>
        </w:tabs>
        <w:spacing w:line="240" w:lineRule="auto"/>
        <w:ind w:left="0" w:firstLine="0"/>
        <w:rPr>
          <w:rFonts w:cs="Arial"/>
          <w:color w:val="000000" w:themeColor="text1"/>
          <w:sz w:val="18"/>
          <w:szCs w:val="18"/>
        </w:rPr>
      </w:pPr>
      <w:r w:rsidRPr="00DB5578">
        <w:rPr>
          <w:rFonts w:cs="Arial"/>
          <w:color w:val="000000" w:themeColor="text1"/>
          <w:sz w:val="18"/>
          <w:szCs w:val="18"/>
        </w:rPr>
        <w:t>gpoulos@enernoc.com</w:t>
      </w:r>
    </w:p>
    <w:p w:rsidR="00DB5578" w:rsidRPr="00DB5578" w:rsidRDefault="00DB5578" w:rsidP="00DB5578">
      <w:pPr>
        <w:tabs>
          <w:tab w:val="left" w:pos="2160"/>
          <w:tab w:val="left" w:pos="2280"/>
        </w:tabs>
        <w:spacing w:line="240" w:lineRule="auto"/>
        <w:ind w:left="0" w:firstLine="0"/>
        <w:rPr>
          <w:rFonts w:cs="Arial"/>
          <w:color w:val="000000" w:themeColor="text1"/>
          <w:sz w:val="18"/>
          <w:szCs w:val="18"/>
        </w:rPr>
      </w:pPr>
      <w:r w:rsidRPr="00DB5578">
        <w:rPr>
          <w:rFonts w:cs="Arial"/>
          <w:color w:val="000000" w:themeColor="text1"/>
          <w:sz w:val="18"/>
          <w:szCs w:val="18"/>
        </w:rPr>
        <w:t>ssherman@kdlegal.com</w:t>
      </w:r>
    </w:p>
    <w:p w:rsidR="00DB5578" w:rsidRPr="00DB5578" w:rsidRDefault="00DB5578" w:rsidP="00DB5578">
      <w:pPr>
        <w:tabs>
          <w:tab w:val="left" w:pos="2160"/>
          <w:tab w:val="left" w:pos="2280"/>
        </w:tabs>
        <w:spacing w:line="240" w:lineRule="auto"/>
        <w:ind w:left="0" w:firstLine="0"/>
        <w:rPr>
          <w:rFonts w:cs="Arial"/>
          <w:color w:val="000000" w:themeColor="text1"/>
          <w:sz w:val="18"/>
          <w:szCs w:val="18"/>
        </w:rPr>
      </w:pPr>
      <w:r w:rsidRPr="00DB5578">
        <w:rPr>
          <w:rFonts w:cs="Arial"/>
          <w:color w:val="000000" w:themeColor="text1"/>
          <w:sz w:val="18"/>
          <w:szCs w:val="18"/>
        </w:rPr>
        <w:t>jhague@kdlegal.com</w:t>
      </w:r>
    </w:p>
    <w:p w:rsidR="00DB5578" w:rsidRPr="00DB5578" w:rsidRDefault="00DB5578" w:rsidP="00DB5578">
      <w:pPr>
        <w:pStyle w:val="BodyText"/>
        <w:spacing w:after="0" w:line="240" w:lineRule="auto"/>
        <w:ind w:left="0" w:firstLine="0"/>
        <w:rPr>
          <w:color w:val="000000" w:themeColor="text1"/>
          <w:sz w:val="18"/>
          <w:szCs w:val="18"/>
        </w:rPr>
      </w:pPr>
      <w:r w:rsidRPr="00DB5578">
        <w:rPr>
          <w:color w:val="000000" w:themeColor="text1"/>
          <w:sz w:val="18"/>
          <w:szCs w:val="18"/>
        </w:rPr>
        <w:t>william.wright@puc.state.oh.us</w:t>
      </w:r>
    </w:p>
    <w:p w:rsidR="00DB5578" w:rsidRPr="00DB5578" w:rsidRDefault="00DB5578" w:rsidP="00DB5578">
      <w:pPr>
        <w:pStyle w:val="BodyText"/>
        <w:spacing w:after="0" w:line="240" w:lineRule="auto"/>
        <w:ind w:left="0" w:firstLine="0"/>
        <w:rPr>
          <w:color w:val="000000" w:themeColor="text1"/>
          <w:sz w:val="18"/>
          <w:szCs w:val="18"/>
        </w:rPr>
      </w:pPr>
      <w:r w:rsidRPr="00DB5578">
        <w:rPr>
          <w:color w:val="000000" w:themeColor="text1"/>
          <w:sz w:val="18"/>
          <w:szCs w:val="18"/>
        </w:rPr>
        <w:t>thomas.lindgren@puc.state.oh.us</w:t>
      </w:r>
    </w:p>
    <w:p w:rsidR="00DB5578" w:rsidRPr="00DB5578" w:rsidRDefault="00DB5578" w:rsidP="00DB5578">
      <w:pPr>
        <w:pStyle w:val="BodyText"/>
        <w:spacing w:after="0" w:line="240" w:lineRule="auto"/>
        <w:ind w:left="0" w:firstLine="0"/>
        <w:rPr>
          <w:color w:val="000000" w:themeColor="text1"/>
          <w:sz w:val="18"/>
          <w:szCs w:val="18"/>
        </w:rPr>
      </w:pPr>
      <w:r w:rsidRPr="00DB5578">
        <w:rPr>
          <w:color w:val="000000" w:themeColor="text1"/>
          <w:sz w:val="18"/>
          <w:szCs w:val="18"/>
        </w:rPr>
        <w:t>thomas.mcnamee@puc.state.oh.us</w:t>
      </w:r>
    </w:p>
    <w:p w:rsidR="00DB5578" w:rsidRPr="00DB5578" w:rsidRDefault="00DB5578" w:rsidP="00DB5578">
      <w:pPr>
        <w:pStyle w:val="BodyText"/>
        <w:spacing w:after="0" w:line="240" w:lineRule="auto"/>
        <w:ind w:left="0" w:firstLine="0"/>
        <w:rPr>
          <w:color w:val="000000" w:themeColor="text1"/>
          <w:sz w:val="18"/>
          <w:szCs w:val="18"/>
        </w:rPr>
      </w:pPr>
      <w:r w:rsidRPr="00DB5578">
        <w:rPr>
          <w:color w:val="000000" w:themeColor="text1"/>
          <w:sz w:val="18"/>
          <w:szCs w:val="18"/>
        </w:rPr>
        <w:t>steven.beeler@puc.state.oh.us</w:t>
      </w:r>
    </w:p>
    <w:p w:rsidR="00DB5578" w:rsidRPr="00DB5578" w:rsidRDefault="00DB5578" w:rsidP="00DB5578">
      <w:pPr>
        <w:pStyle w:val="BodyText"/>
        <w:spacing w:after="0" w:line="240" w:lineRule="auto"/>
        <w:ind w:left="0" w:firstLine="0"/>
        <w:rPr>
          <w:color w:val="000000" w:themeColor="text1"/>
          <w:sz w:val="18"/>
          <w:szCs w:val="18"/>
        </w:rPr>
      </w:pPr>
      <w:r w:rsidRPr="00DB5578">
        <w:rPr>
          <w:color w:val="000000" w:themeColor="text1"/>
          <w:sz w:val="18"/>
          <w:szCs w:val="18"/>
        </w:rPr>
        <w:t>devin.parram@puc.state.oh.us</w:t>
      </w:r>
    </w:p>
    <w:p w:rsidR="00DB5578" w:rsidRPr="00DB5578" w:rsidRDefault="00DB5578" w:rsidP="00DB5578">
      <w:pPr>
        <w:pStyle w:val="BodyText"/>
        <w:spacing w:after="0" w:line="240" w:lineRule="auto"/>
        <w:ind w:left="0" w:firstLine="0"/>
        <w:rPr>
          <w:color w:val="000000" w:themeColor="text1"/>
          <w:sz w:val="18"/>
          <w:szCs w:val="18"/>
        </w:rPr>
      </w:pPr>
      <w:r w:rsidRPr="00DB5578">
        <w:rPr>
          <w:color w:val="000000" w:themeColor="text1"/>
          <w:sz w:val="18"/>
          <w:szCs w:val="18"/>
        </w:rPr>
        <w:t>gregory.price@puc.state.oh.us</w:t>
      </w:r>
    </w:p>
    <w:p w:rsidR="00DB5578" w:rsidRPr="00DB5578" w:rsidRDefault="00DB5578" w:rsidP="00DB5578">
      <w:pPr>
        <w:pStyle w:val="BodyText"/>
        <w:spacing w:after="0" w:line="240" w:lineRule="auto"/>
        <w:ind w:left="0" w:firstLine="0"/>
        <w:rPr>
          <w:color w:val="000000" w:themeColor="text1"/>
          <w:sz w:val="18"/>
          <w:szCs w:val="18"/>
        </w:rPr>
      </w:pPr>
      <w:r w:rsidRPr="00DB5578">
        <w:rPr>
          <w:color w:val="000000" w:themeColor="text1"/>
          <w:sz w:val="18"/>
          <w:szCs w:val="18"/>
        </w:rPr>
        <w:t>mandy.willey@puc.state.oh.us</w:t>
      </w:r>
    </w:p>
    <w:p w:rsidR="00DB5578" w:rsidRPr="00DB5578" w:rsidRDefault="00DB5578" w:rsidP="00DB5578">
      <w:pPr>
        <w:pStyle w:val="BodyText"/>
        <w:spacing w:after="0" w:line="240" w:lineRule="auto"/>
        <w:ind w:left="0" w:firstLine="0"/>
        <w:rPr>
          <w:color w:val="000000" w:themeColor="text1"/>
        </w:rPr>
      </w:pPr>
      <w:r w:rsidRPr="00DB5578">
        <w:rPr>
          <w:color w:val="000000" w:themeColor="text1"/>
          <w:sz w:val="18"/>
          <w:szCs w:val="18"/>
        </w:rPr>
        <w:t>bryce.mckenney@puc.state.oh.us</w:t>
      </w:r>
    </w:p>
    <w:p w:rsidR="00DB5578" w:rsidRPr="00DB5578" w:rsidRDefault="00DB5578" w:rsidP="00DB5578">
      <w:pPr>
        <w:spacing w:line="240" w:lineRule="auto"/>
        <w:ind w:left="0" w:firstLine="0"/>
        <w:rPr>
          <w:rFonts w:cs="Arial"/>
          <w:color w:val="000000" w:themeColor="text1"/>
          <w:sz w:val="18"/>
          <w:szCs w:val="18"/>
        </w:rPr>
      </w:pPr>
      <w:r w:rsidRPr="00DB5578">
        <w:rPr>
          <w:rFonts w:cs="Arial"/>
          <w:color w:val="000000" w:themeColor="text1"/>
          <w:sz w:val="18"/>
          <w:szCs w:val="18"/>
        </w:rPr>
        <w:t>henryeckhart@aol.com</w:t>
      </w:r>
    </w:p>
    <w:p w:rsidR="00DB5578" w:rsidRPr="00DB5578" w:rsidRDefault="00DB5578" w:rsidP="00DB5578">
      <w:pPr>
        <w:spacing w:line="240" w:lineRule="auto"/>
        <w:ind w:left="0" w:firstLine="0"/>
        <w:rPr>
          <w:rFonts w:cs="Arial"/>
          <w:color w:val="000000" w:themeColor="text1"/>
          <w:sz w:val="18"/>
          <w:szCs w:val="18"/>
        </w:rPr>
      </w:pPr>
      <w:r w:rsidRPr="00DB5578">
        <w:rPr>
          <w:rFonts w:cs="Arial"/>
          <w:color w:val="000000" w:themeColor="text1"/>
          <w:sz w:val="18"/>
          <w:szCs w:val="18"/>
        </w:rPr>
        <w:t>Wis29@yahoo.com</w:t>
      </w:r>
    </w:p>
    <w:p w:rsidR="00DB5578" w:rsidRPr="00DB5578" w:rsidRDefault="00DB5578" w:rsidP="00DB5578">
      <w:pPr>
        <w:spacing w:line="240" w:lineRule="auto"/>
        <w:ind w:left="0" w:firstLine="0"/>
        <w:rPr>
          <w:rFonts w:cs="Arial"/>
          <w:color w:val="000000" w:themeColor="text1"/>
          <w:sz w:val="18"/>
          <w:szCs w:val="18"/>
        </w:rPr>
      </w:pPr>
      <w:r w:rsidRPr="00DB5578">
        <w:rPr>
          <w:rFonts w:cs="Arial"/>
          <w:color w:val="000000" w:themeColor="text1"/>
          <w:sz w:val="18"/>
          <w:szCs w:val="18"/>
        </w:rPr>
        <w:t>berger@occ.state.oh.us</w:t>
      </w:r>
    </w:p>
    <w:p w:rsidR="00DB5578" w:rsidRPr="00DB5578" w:rsidRDefault="00DB5578" w:rsidP="00DB5578">
      <w:pPr>
        <w:spacing w:line="240" w:lineRule="auto"/>
        <w:ind w:left="0" w:firstLine="0"/>
        <w:rPr>
          <w:rFonts w:cs="Arial"/>
          <w:color w:val="000000" w:themeColor="text1"/>
          <w:sz w:val="18"/>
          <w:szCs w:val="18"/>
        </w:rPr>
      </w:pPr>
      <w:r w:rsidRPr="00DB5578">
        <w:rPr>
          <w:rFonts w:cs="Arial"/>
          <w:color w:val="000000" w:themeColor="text1"/>
          <w:sz w:val="18"/>
          <w:szCs w:val="18"/>
        </w:rPr>
        <w:t>bill.wells@wpafb.af.mil</w:t>
      </w:r>
    </w:p>
    <w:p w:rsidR="00DB5578" w:rsidRPr="00DB5578" w:rsidRDefault="00DB5578" w:rsidP="00DB5578">
      <w:pPr>
        <w:spacing w:line="240" w:lineRule="auto"/>
        <w:ind w:left="0" w:firstLine="0"/>
        <w:rPr>
          <w:rFonts w:cs="Arial"/>
          <w:color w:val="000000" w:themeColor="text1"/>
          <w:sz w:val="18"/>
          <w:szCs w:val="18"/>
        </w:rPr>
      </w:pPr>
      <w:r w:rsidRPr="00DB5578">
        <w:rPr>
          <w:rFonts w:cs="Arial"/>
          <w:color w:val="000000" w:themeColor="text1"/>
          <w:sz w:val="18"/>
          <w:szCs w:val="18"/>
        </w:rPr>
        <w:t>chris.thompson.2@tyndall.af.mil</w:t>
      </w:r>
    </w:p>
    <w:p w:rsidR="00DB5578" w:rsidRPr="00DB5578" w:rsidRDefault="00DB5578" w:rsidP="00DB5578">
      <w:pPr>
        <w:spacing w:line="240" w:lineRule="auto"/>
        <w:ind w:left="0" w:firstLine="0"/>
        <w:rPr>
          <w:color w:val="000000" w:themeColor="text1"/>
          <w:sz w:val="18"/>
          <w:szCs w:val="18"/>
        </w:rPr>
      </w:pPr>
      <w:r w:rsidRPr="00DB5578">
        <w:rPr>
          <w:color w:val="000000" w:themeColor="text1"/>
          <w:sz w:val="18"/>
          <w:szCs w:val="18"/>
        </w:rPr>
        <w:t>mchristensen@columbuslaw.org</w:t>
      </w:r>
    </w:p>
    <w:p w:rsidR="00DB5578" w:rsidRPr="00DB5578" w:rsidRDefault="00DB5578" w:rsidP="00DB5578">
      <w:pPr>
        <w:spacing w:line="240" w:lineRule="auto"/>
        <w:ind w:left="0" w:firstLine="0"/>
        <w:rPr>
          <w:color w:val="000000" w:themeColor="text1"/>
          <w:sz w:val="18"/>
          <w:szCs w:val="18"/>
        </w:rPr>
      </w:pPr>
      <w:r w:rsidRPr="00DB5578">
        <w:rPr>
          <w:color w:val="000000" w:themeColor="text1"/>
          <w:sz w:val="18"/>
          <w:szCs w:val="18"/>
        </w:rPr>
        <w:t>chris.michael@icemiller.com</w:t>
      </w:r>
    </w:p>
    <w:p w:rsidR="00DB5578" w:rsidRPr="00DB5578" w:rsidRDefault="00DB5578" w:rsidP="00DB5578">
      <w:pPr>
        <w:spacing w:line="240" w:lineRule="auto"/>
        <w:ind w:left="0" w:firstLine="0"/>
        <w:rPr>
          <w:rStyle w:val="Hyperlink"/>
          <w:rFonts w:eastAsiaTheme="majorEastAsia"/>
          <w:color w:val="000000" w:themeColor="text1"/>
          <w:sz w:val="18"/>
          <w:szCs w:val="18"/>
          <w:u w:val="none"/>
        </w:rPr>
      </w:pPr>
      <w:r w:rsidRPr="00D1008C">
        <w:rPr>
          <w:rFonts w:eastAsiaTheme="majorEastAsia"/>
          <w:color w:val="000000" w:themeColor="text1"/>
          <w:sz w:val="18"/>
          <w:szCs w:val="18"/>
        </w:rPr>
        <w:t>williams@whitt-sturtevant.com</w:t>
      </w:r>
    </w:p>
    <w:p w:rsidR="00DB5578" w:rsidRPr="00DB5578" w:rsidRDefault="00DB5578" w:rsidP="00DB5578">
      <w:pPr>
        <w:spacing w:line="240" w:lineRule="auto"/>
        <w:ind w:left="0" w:firstLine="0"/>
        <w:rPr>
          <w:color w:val="000000" w:themeColor="text1"/>
          <w:sz w:val="18"/>
          <w:szCs w:val="18"/>
        </w:rPr>
      </w:pPr>
      <w:r w:rsidRPr="00DB5578">
        <w:rPr>
          <w:rStyle w:val="Hyperlink"/>
          <w:rFonts w:eastAsiaTheme="majorEastAsia"/>
          <w:color w:val="000000" w:themeColor="text1"/>
          <w:sz w:val="18"/>
          <w:szCs w:val="18"/>
          <w:u w:val="none"/>
        </w:rPr>
        <w:t>asim_haque@ham.honda.com</w:t>
      </w:r>
    </w:p>
    <w:p w:rsidR="0029140C" w:rsidRDefault="0029140C" w:rsidP="00DB5578">
      <w:pPr>
        <w:spacing w:line="240" w:lineRule="auto"/>
        <w:ind w:left="0" w:firstLine="0"/>
      </w:pPr>
    </w:p>
    <w:sectPr w:rsidR="0029140C">
      <w:type w:val="continuous"/>
      <w:pgSz w:w="12240" w:h="15840" w:code="1"/>
      <w:pgMar w:top="1440" w:right="1440" w:bottom="720" w:left="1440" w:header="720" w:footer="720" w:gutter="0"/>
      <w:pgNumType w:start="1"/>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40C" w:rsidRDefault="00D1008C">
      <w:pPr>
        <w:spacing w:line="240" w:lineRule="auto"/>
      </w:pPr>
      <w:r>
        <w:separator/>
      </w:r>
    </w:p>
  </w:endnote>
  <w:endnote w:type="continuationSeparator" w:id="0">
    <w:p w:rsidR="0029140C" w:rsidRDefault="00D100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EF7" w:rsidRDefault="00E77E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40C" w:rsidRPr="00E77EF7" w:rsidRDefault="00E77EF7">
    <w:pPr>
      <w:pStyle w:val="Footer"/>
      <w:rPr>
        <w:sz w:val="22"/>
        <w:szCs w:val="22"/>
      </w:rPr>
    </w:pPr>
    <w:r w:rsidRPr="00E77EF7">
      <w:rPr>
        <w:noProof/>
        <w:sz w:val="16"/>
      </w:rPr>
      <w:t>{C39638:3 }</w:t>
    </w:r>
    <w:r w:rsidR="00D1008C" w:rsidRPr="00E77EF7">
      <w:rPr>
        <w:noProof/>
        <w:sz w:val="16"/>
      </w:rPr>
      <w:tab/>
    </w:r>
    <w:r w:rsidR="00D1008C" w:rsidRPr="00E77EF7">
      <w:rPr>
        <w:noProof/>
        <w:sz w:val="22"/>
        <w:szCs w:val="22"/>
      </w:rPr>
      <w:fldChar w:fldCharType="begin"/>
    </w:r>
    <w:r w:rsidR="00D1008C" w:rsidRPr="00E77EF7">
      <w:rPr>
        <w:noProof/>
        <w:sz w:val="22"/>
        <w:szCs w:val="22"/>
      </w:rPr>
      <w:instrText xml:space="preserve"> PAGE   \* MERGEFORMAT </w:instrText>
    </w:r>
    <w:r w:rsidR="00D1008C" w:rsidRPr="00E77EF7">
      <w:rPr>
        <w:noProof/>
        <w:sz w:val="22"/>
        <w:szCs w:val="22"/>
      </w:rPr>
      <w:fldChar w:fldCharType="separate"/>
    </w:r>
    <w:r w:rsidR="00421FA5">
      <w:rPr>
        <w:noProof/>
        <w:sz w:val="22"/>
        <w:szCs w:val="22"/>
      </w:rPr>
      <w:t>3</w:t>
    </w:r>
    <w:r w:rsidR="00D1008C" w:rsidRPr="00E77EF7">
      <w:rPr>
        <w:noProof/>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EF7" w:rsidRPr="00E77EF7" w:rsidRDefault="00E77EF7">
    <w:pPr>
      <w:pStyle w:val="Footer"/>
    </w:pPr>
    <w:r w:rsidRPr="00E77EF7">
      <w:rPr>
        <w:noProof/>
        <w:sz w:val="16"/>
      </w:rPr>
      <w:t>{C39638:3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40C" w:rsidRDefault="00D1008C">
      <w:pPr>
        <w:spacing w:line="240" w:lineRule="auto"/>
        <w:rPr>
          <w:noProof/>
        </w:rPr>
      </w:pPr>
      <w:r>
        <w:rPr>
          <w:noProof/>
        </w:rPr>
        <w:separator/>
      </w:r>
    </w:p>
  </w:footnote>
  <w:footnote w:type="continuationSeparator" w:id="0">
    <w:p w:rsidR="0029140C" w:rsidRDefault="00D1008C">
      <w:pPr>
        <w:spacing w:line="240" w:lineRule="auto"/>
      </w:pPr>
      <w:r>
        <w:continuationSeparator/>
      </w:r>
    </w:p>
  </w:footnote>
  <w:footnote w:id="1">
    <w:p w:rsidR="0029140C" w:rsidRDefault="00D1008C">
      <w:pPr>
        <w:pStyle w:val="FootnoteText"/>
        <w:spacing w:line="240" w:lineRule="auto"/>
        <w:ind w:left="0" w:firstLine="0"/>
      </w:pPr>
      <w:r>
        <w:rPr>
          <w:rStyle w:val="FootnoteReference"/>
        </w:rPr>
        <w:footnoteRef/>
      </w:r>
      <w:r>
        <w:t xml:space="preserve"> The Commission has held that this information is critical in addressing a financial integrity claim:</w:t>
      </w:r>
    </w:p>
    <w:p w:rsidR="0029140C" w:rsidRDefault="00D1008C">
      <w:pPr>
        <w:pStyle w:val="FootnoteText"/>
        <w:spacing w:line="240" w:lineRule="auto"/>
        <w:ind w:right="720" w:firstLine="0"/>
      </w:pPr>
      <w:r>
        <w:t>[f]ifth, and perhaps most importantly, the Commission believes that the companies absolutely must take very aggressive steps to enhance their revenues and minimize their expenses particularly during this interim period in order to avoid the negative consequences of the current financial emergency.</w:t>
      </w:r>
    </w:p>
    <w:p w:rsidR="0029140C" w:rsidRDefault="00D1008C">
      <w:pPr>
        <w:pStyle w:val="FootnoteText"/>
        <w:spacing w:line="240" w:lineRule="auto"/>
        <w:ind w:left="0" w:firstLine="0"/>
      </w:pPr>
      <w:r>
        <w:rPr>
          <w:i/>
        </w:rPr>
        <w:t>In the Matter of the Application of The Cleveland Electric Illuminating Company for Authority to Amend and to Increase Certain of its Filed Schedules Fixing Rates and Charges for Electric Service</w:t>
      </w:r>
      <w:r>
        <w:t xml:space="preserve">, Case Nos. 88-170-EL-AIR, </w:t>
      </w:r>
      <w:r>
        <w:rPr>
          <w:i/>
        </w:rPr>
        <w:t>et al.</w:t>
      </w:r>
      <w:r>
        <w:t>, Opinion and Order at 15 (Aug. 23, 1988).</w:t>
      </w:r>
    </w:p>
  </w:footnote>
  <w:footnote w:id="2">
    <w:p w:rsidR="0029140C" w:rsidRDefault="00D1008C">
      <w:pPr>
        <w:pStyle w:val="FootnoteText"/>
        <w:spacing w:line="240" w:lineRule="auto"/>
        <w:ind w:left="0" w:firstLine="0"/>
      </w:pPr>
      <w:r>
        <w:rPr>
          <w:rStyle w:val="FootnoteReference"/>
        </w:rPr>
        <w:footnoteRef/>
      </w:r>
      <w:r>
        <w:t xml:space="preserve"> DP&amp;L’s discovery response raised additional objections (relevance, propriety, possession of unregulated affiliate, and unduly burdensome), but those objections were not addressed in The Dayton Power and Light Company’s Memorandum in Opposition to IEU’s Motion to Compel Discovery Responses (hereinafter, “DP&amp;L’s Memo Contra”).  Accordingly, IEU-Ohio is treating those objections as waived. </w:t>
      </w:r>
    </w:p>
  </w:footnote>
  <w:footnote w:id="3">
    <w:p w:rsidR="0029140C" w:rsidRDefault="00D1008C">
      <w:pPr>
        <w:pStyle w:val="FootnoteText"/>
        <w:spacing w:line="240" w:lineRule="auto"/>
        <w:ind w:left="0" w:firstLine="0"/>
      </w:pPr>
      <w:r>
        <w:rPr>
          <w:rStyle w:val="FootnoteReference"/>
        </w:rPr>
        <w:footnoteRef/>
      </w:r>
      <w:r>
        <w:t xml:space="preserve"> For example, DP&amp;L’s Memo Contra fails to cite a single decision from the Commission or Ohio courts in support of its legal arguments.</w:t>
      </w:r>
    </w:p>
  </w:footnote>
  <w:footnote w:id="4">
    <w:p w:rsidR="0029140C" w:rsidRDefault="00D1008C">
      <w:pPr>
        <w:pStyle w:val="FootnoteText"/>
        <w:spacing w:line="240" w:lineRule="auto"/>
      </w:pPr>
      <w:r>
        <w:rPr>
          <w:rStyle w:val="FootnoteReference"/>
        </w:rPr>
        <w:footnoteRef/>
      </w:r>
      <w:r>
        <w:t xml:space="preserve"> </w:t>
      </w:r>
      <w:r>
        <w:rPr>
          <w:i/>
        </w:rPr>
        <w:t xml:space="preserve">See </w:t>
      </w:r>
      <w:r>
        <w:t>DP&amp;L’s Memo Contra at 2-7.</w:t>
      </w:r>
    </w:p>
  </w:footnote>
  <w:footnote w:id="5">
    <w:p w:rsidR="0029140C" w:rsidRDefault="00D1008C">
      <w:pPr>
        <w:pStyle w:val="FootnoteText"/>
        <w:spacing w:line="240" w:lineRule="auto"/>
        <w:ind w:left="0" w:firstLine="0"/>
      </w:pPr>
      <w:r>
        <w:rPr>
          <w:rStyle w:val="FootnoteReference"/>
        </w:rPr>
        <w:footnoteRef/>
      </w:r>
      <w:r>
        <w:t xml:space="preserve"> </w:t>
      </w:r>
      <w:r>
        <w:rPr>
          <w:i/>
        </w:rPr>
        <w:t>State ex rel. Toledo Blade Co. v. Toledo-Lucas Cty. Port Authority</w:t>
      </w:r>
      <w:r>
        <w:t xml:space="preserve">, 121 Ohio St.3d 537, 2009-Ohio-1767, </w:t>
      </w:r>
      <w:r>
        <w:rPr>
          <w:rFonts w:cs="Arial"/>
        </w:rPr>
        <w:t>¶</w:t>
      </w:r>
      <w:r>
        <w:t xml:space="preserve"> 27 (</w:t>
      </w:r>
      <w:r>
        <w:rPr>
          <w:i/>
        </w:rPr>
        <w:t>quoting In re Allen</w:t>
      </w:r>
      <w:r>
        <w:t>, 106 F.3d 582, 602 (4th Cir. 1997)).</w:t>
      </w:r>
    </w:p>
  </w:footnote>
  <w:footnote w:id="6">
    <w:p w:rsidR="0029140C" w:rsidRDefault="00D1008C">
      <w:pPr>
        <w:pStyle w:val="FootnoteText"/>
        <w:spacing w:line="240" w:lineRule="auto"/>
        <w:ind w:left="0" w:firstLine="0"/>
      </w:pPr>
      <w:r>
        <w:rPr>
          <w:rStyle w:val="FootnoteReference"/>
        </w:rPr>
        <w:footnoteRef/>
      </w:r>
      <w:r>
        <w:t xml:space="preserve"> </w:t>
      </w:r>
      <w:r>
        <w:rPr>
          <w:i/>
        </w:rPr>
        <w:t>Toledo Blade</w:t>
      </w:r>
      <w:r>
        <w:t xml:space="preserve">, 2009-Ohio-1767 at </w:t>
      </w:r>
      <w:r>
        <w:rPr>
          <w:rFonts w:cs="Arial"/>
        </w:rPr>
        <w:t>¶</w:t>
      </w:r>
      <w:r>
        <w:t xml:space="preserve"> 28 (emphasis in original).</w:t>
      </w:r>
    </w:p>
  </w:footnote>
  <w:footnote w:id="7">
    <w:p w:rsidR="0029140C" w:rsidRDefault="00D1008C">
      <w:pPr>
        <w:pStyle w:val="FootnoteText"/>
        <w:spacing w:line="240" w:lineRule="auto"/>
        <w:ind w:left="0" w:firstLine="0"/>
      </w:pPr>
      <w:r>
        <w:rPr>
          <w:rStyle w:val="FootnoteReference"/>
        </w:rPr>
        <w:footnoteRef/>
      </w:r>
      <w:r>
        <w:t xml:space="preserve"> Alternatively, if the Commission determines that DP&amp;L has not waived a claim of privilege (see below), after the </w:t>
      </w:r>
      <w:r>
        <w:rPr>
          <w:i/>
        </w:rPr>
        <w:t xml:space="preserve">in camera </w:t>
      </w:r>
      <w:r>
        <w:t>review scheduled for January 30, 2013, the Commission should redact only those parts of the study that would allow parties to reverse engineer the legal advice given from counsel to DP&amp;L and compel DP&amp;L to produce the remaining information.</w:t>
      </w:r>
    </w:p>
  </w:footnote>
  <w:footnote w:id="8">
    <w:p w:rsidR="0029140C" w:rsidRDefault="00D1008C">
      <w:pPr>
        <w:pStyle w:val="FootnoteText"/>
        <w:spacing w:line="240" w:lineRule="auto"/>
        <w:ind w:left="0" w:firstLine="0"/>
      </w:pPr>
      <w:r>
        <w:rPr>
          <w:rStyle w:val="FootnoteReference"/>
        </w:rPr>
        <w:footnoteRef/>
      </w:r>
      <w:r>
        <w:t xml:space="preserve"> </w:t>
      </w:r>
      <w:r>
        <w:rPr>
          <w:i/>
        </w:rPr>
        <w:t>Squire, Sanders &amp; Dempsey v. Givaudan Flavors Corp.</w:t>
      </w:r>
      <w:r>
        <w:t>, 127 Ohio St.3d 161, 2010-Ohio-4469, ¶ 57.</w:t>
      </w:r>
    </w:p>
  </w:footnote>
  <w:footnote w:id="9">
    <w:p w:rsidR="0029140C" w:rsidRDefault="00D1008C">
      <w:pPr>
        <w:pStyle w:val="FootnoteText"/>
        <w:spacing w:line="240" w:lineRule="auto"/>
        <w:ind w:left="0" w:firstLine="0"/>
        <w:rPr>
          <w:i/>
        </w:rPr>
      </w:pPr>
      <w:r>
        <w:rPr>
          <w:rStyle w:val="FootnoteReference"/>
        </w:rPr>
        <w:footnoteRef/>
      </w:r>
      <w:r>
        <w:t xml:space="preserve"> </w:t>
      </w:r>
      <w:r>
        <w:rPr>
          <w:i/>
        </w:rPr>
        <w:t>In the Matter of the Application of The Cleveland Electric Illuminating Company for Authority to Amend and to Increase Certain of its Filed Schedules Fixing Rates and Charges for Electric Service</w:t>
      </w:r>
      <w:r>
        <w:t xml:space="preserve">, Case Nos. 88-170-EL-AIR, </w:t>
      </w:r>
      <w:r>
        <w:rPr>
          <w:i/>
        </w:rPr>
        <w:t>et al.</w:t>
      </w:r>
      <w:r>
        <w:t>, Opinion and Order at 15 (Aug. 23, 1988).</w:t>
      </w:r>
    </w:p>
  </w:footnote>
  <w:footnote w:id="10">
    <w:p w:rsidR="0029140C" w:rsidRDefault="00D1008C">
      <w:pPr>
        <w:pStyle w:val="FootnoteText"/>
        <w:spacing w:line="240" w:lineRule="auto"/>
        <w:ind w:left="0" w:firstLine="0"/>
      </w:pPr>
      <w:r>
        <w:rPr>
          <w:rStyle w:val="FootnoteReference"/>
        </w:rPr>
        <w:footnoteRef/>
      </w:r>
      <w:r>
        <w:t xml:space="preserve"> The document was produced in response to the Ohio Consumers’ Counsel’s (“OCC”) Request for Production of Documents 36.  The Document is Bates stamped DP&amp;L 0053209.</w:t>
      </w:r>
    </w:p>
  </w:footnote>
  <w:footnote w:id="11">
    <w:p w:rsidR="0029140C" w:rsidRDefault="00D1008C">
      <w:pPr>
        <w:pStyle w:val="FootnoteText"/>
        <w:spacing w:line="240" w:lineRule="auto"/>
        <w:ind w:left="0" w:firstLine="0"/>
      </w:pPr>
      <w:r>
        <w:rPr>
          <w:rStyle w:val="FootnoteReference"/>
        </w:rPr>
        <w:footnoteRef/>
      </w:r>
      <w:r>
        <w:t xml:space="preserve"> </w:t>
      </w:r>
      <w:r>
        <w:rPr>
          <w:i/>
        </w:rPr>
        <w:t>MA Equipment Leasing v. Tilton</w:t>
      </w:r>
      <w:r>
        <w:t xml:space="preserve">, 2012-Ohio-4668, </w:t>
      </w:r>
      <w:r>
        <w:rPr>
          <w:rFonts w:cs="Arial"/>
        </w:rPr>
        <w:t>¶</w:t>
      </w:r>
      <w:r>
        <w:t xml:space="preserve"> 20; </w:t>
      </w:r>
      <w:r>
        <w:rPr>
          <w:i/>
        </w:rPr>
        <w:t>Mid-American Natl. Bank and Trust Co. v. Cincinnati Ins. Co.</w:t>
      </w:r>
      <w:r>
        <w:t>, 74 Ohio App.3d 481, 599 N.E.2d 699, 704 (6th Dist. 1991) (</w:t>
      </w:r>
      <w:r>
        <w:rPr>
          <w:i/>
        </w:rPr>
        <w:t>citing Hercules Inc. v. Exxon Corp.</w:t>
      </w:r>
      <w:r>
        <w:t>, 434 F.Supp 136, 156 (D. Del. 1977)).</w:t>
      </w:r>
    </w:p>
  </w:footnote>
  <w:footnote w:id="12">
    <w:p w:rsidR="0029140C" w:rsidRDefault="00D1008C">
      <w:pPr>
        <w:pStyle w:val="FootnoteText"/>
        <w:spacing w:line="240" w:lineRule="auto"/>
        <w:ind w:left="0" w:firstLine="0"/>
      </w:pPr>
      <w:r>
        <w:rPr>
          <w:rStyle w:val="FootnoteReference"/>
        </w:rPr>
        <w:footnoteRef/>
      </w:r>
      <w:r>
        <w:t xml:space="preserve"> </w:t>
      </w:r>
      <w:r>
        <w:rPr>
          <w:i/>
        </w:rPr>
        <w:t>Mid-American</w:t>
      </w:r>
      <w:r>
        <w:t>, 599 N.E.2d at 704 (</w:t>
      </w:r>
      <w:r>
        <w:rPr>
          <w:i/>
        </w:rPr>
        <w:t>citing Hercules Inc. v. Exxon Corp.</w:t>
      </w:r>
      <w:r>
        <w:t>, 434 F.Supp 136, 156 (D. Del. 1977)).</w:t>
      </w:r>
    </w:p>
  </w:footnote>
  <w:footnote w:id="13">
    <w:p w:rsidR="0029140C" w:rsidRDefault="00D1008C">
      <w:pPr>
        <w:pStyle w:val="FootnoteText"/>
        <w:spacing w:line="240" w:lineRule="auto"/>
      </w:pPr>
      <w:r>
        <w:rPr>
          <w:rStyle w:val="FootnoteReference"/>
        </w:rPr>
        <w:footnoteRef/>
      </w:r>
      <w:r>
        <w:t xml:space="preserve"> Rule 4901:1-37-08(D)(9), O.A.C.</w:t>
      </w:r>
    </w:p>
  </w:footnote>
  <w:footnote w:id="14">
    <w:p w:rsidR="0029140C" w:rsidRDefault="00D1008C">
      <w:pPr>
        <w:pStyle w:val="FootnoteText"/>
        <w:spacing w:line="240" w:lineRule="auto"/>
        <w:ind w:left="0" w:firstLine="0"/>
      </w:pPr>
      <w:r>
        <w:rPr>
          <w:rStyle w:val="FootnoteReference"/>
        </w:rPr>
        <w:footnoteRef/>
      </w:r>
      <w:r>
        <w:t xml:space="preserve"> IEU-Ohio’s 2nd Motion to Compel at 10-12.</w:t>
      </w:r>
    </w:p>
  </w:footnote>
  <w:footnote w:id="15">
    <w:p w:rsidR="0029140C" w:rsidRDefault="00D1008C">
      <w:pPr>
        <w:pStyle w:val="FootnoteText"/>
        <w:spacing w:line="240" w:lineRule="auto"/>
      </w:pPr>
      <w:r>
        <w:rPr>
          <w:rStyle w:val="FootnoteReference"/>
        </w:rPr>
        <w:footnoteRef/>
      </w:r>
      <w:r>
        <w:t xml:space="preserve"> Rule 4901-1-16, O.A.C.</w:t>
      </w:r>
    </w:p>
  </w:footnote>
  <w:footnote w:id="16">
    <w:p w:rsidR="0029140C" w:rsidRDefault="00D1008C">
      <w:pPr>
        <w:pStyle w:val="FootnoteText"/>
        <w:spacing w:line="240" w:lineRule="auto"/>
        <w:ind w:left="0" w:firstLine="0"/>
      </w:pPr>
      <w:r>
        <w:rPr>
          <w:rStyle w:val="FootnoteReference"/>
        </w:rPr>
        <w:footnoteRef/>
      </w:r>
      <w:r>
        <w:t xml:space="preserve"> DP&amp;L’s Memo Contra at 7.</w:t>
      </w:r>
    </w:p>
  </w:footnote>
  <w:footnote w:id="17">
    <w:p w:rsidR="0029140C" w:rsidRDefault="00D1008C">
      <w:pPr>
        <w:pStyle w:val="FootnoteText"/>
        <w:spacing w:line="240" w:lineRule="auto"/>
        <w:ind w:left="0" w:firstLine="0"/>
      </w:pPr>
      <w:r>
        <w:rPr>
          <w:rStyle w:val="FootnoteReference"/>
        </w:rPr>
        <w:footnoteRef/>
      </w:r>
      <w:r>
        <w:t xml:space="preserve"> </w:t>
      </w:r>
      <w:r>
        <w:rPr>
          <w:i/>
        </w:rPr>
        <w:t>In re Ford Motor Co.</w:t>
      </w:r>
      <w:r>
        <w:t>, 110 F.3d at 966.</w:t>
      </w:r>
    </w:p>
  </w:footnote>
  <w:footnote w:id="18">
    <w:p w:rsidR="0029140C" w:rsidRDefault="00D1008C">
      <w:pPr>
        <w:pStyle w:val="FootnoteText"/>
        <w:spacing w:line="240" w:lineRule="auto"/>
        <w:ind w:left="0" w:firstLine="0"/>
      </w:pPr>
      <w:r>
        <w:rPr>
          <w:rStyle w:val="FootnoteReference"/>
        </w:rPr>
        <w:footnoteRef/>
      </w:r>
      <w:r>
        <w:t xml:space="preserve"> </w:t>
      </w:r>
      <w:r>
        <w:rPr>
          <w:i/>
        </w:rPr>
        <w:t>See Great Plains Mut. Ins</w:t>
      </w:r>
      <w:r>
        <w:t>., 150 F.R.D. at 196-97.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EF7" w:rsidRDefault="00E77E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EF7" w:rsidRDefault="00E77E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EF7" w:rsidRDefault="00E77E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03CCFE8"/>
    <w:lvl w:ilvl="0">
      <w:start w:val="1"/>
      <w:numFmt w:val="decimal"/>
      <w:pStyle w:val="ListNumber"/>
      <w:lvlText w:val="%1."/>
      <w:lvlJc w:val="left"/>
      <w:pPr>
        <w:tabs>
          <w:tab w:val="num" w:pos="1440"/>
        </w:tabs>
        <w:ind w:left="1440" w:hanging="720"/>
      </w:pPr>
      <w:rPr>
        <w:rFonts w:hint="default"/>
      </w:rPr>
    </w:lvl>
  </w:abstractNum>
  <w:abstractNum w:abstractNumId="1">
    <w:nsid w:val="FFFFFF89"/>
    <w:multiLevelType w:val="singleLevel"/>
    <w:tmpl w:val="4AC003AE"/>
    <w:lvl w:ilvl="0">
      <w:start w:val="1"/>
      <w:numFmt w:val="bullet"/>
      <w:lvlText w:val=""/>
      <w:lvlJc w:val="left"/>
      <w:pPr>
        <w:tabs>
          <w:tab w:val="num" w:pos="360"/>
        </w:tabs>
        <w:ind w:left="360" w:hanging="360"/>
      </w:pPr>
      <w:rPr>
        <w:rFonts w:ascii="Symbol" w:hAnsi="Symbol" w:hint="default"/>
      </w:rPr>
    </w:lvl>
  </w:abstractNum>
  <w:abstractNum w:abstractNumId="2">
    <w:nsid w:val="05B932D4"/>
    <w:multiLevelType w:val="hybridMultilevel"/>
    <w:tmpl w:val="9230A726"/>
    <w:lvl w:ilvl="0" w:tplc="C728D86E">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55D4A24"/>
    <w:multiLevelType w:val="hybridMultilevel"/>
    <w:tmpl w:val="6432517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C62E74"/>
    <w:multiLevelType w:val="hybridMultilevel"/>
    <w:tmpl w:val="8B0CE15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C241B8C"/>
    <w:multiLevelType w:val="hybridMultilevel"/>
    <w:tmpl w:val="38F6B77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C0C6724"/>
    <w:multiLevelType w:val="hybridMultilevel"/>
    <w:tmpl w:val="70B2FD68"/>
    <w:lvl w:ilvl="0" w:tplc="0E1E1934">
      <w:start w:val="1"/>
      <w:numFmt w:val="bullet"/>
      <w:pStyle w:val="ListBullet"/>
      <w:lvlText w:val=""/>
      <w:lvlJc w:val="left"/>
      <w:pPr>
        <w:tabs>
          <w:tab w:val="num" w:pos="1440"/>
        </w:tabs>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DA1283"/>
    <w:multiLevelType w:val="hybridMultilevel"/>
    <w:tmpl w:val="C88C52B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7B71568"/>
    <w:multiLevelType w:val="multilevel"/>
    <w:tmpl w:val="42201702"/>
    <w:name w:val="IEU-Ohio"/>
    <w:lvl w:ilvl="0">
      <w:start w:val="1"/>
      <w:numFmt w:val="upperRoman"/>
      <w:pStyle w:val="Heading1"/>
      <w:lvlText w:val="%1."/>
      <w:lvlJc w:val="left"/>
      <w:pPr>
        <w:tabs>
          <w:tab w:val="num" w:pos="720"/>
        </w:tabs>
        <w:ind w:left="720" w:hanging="720"/>
      </w:pPr>
      <w:rPr>
        <w:b/>
        <w:caps w:val="0"/>
        <w:vanish w:val="0"/>
        <w:color w:val="010000"/>
        <w:u w:val="none"/>
      </w:rPr>
    </w:lvl>
    <w:lvl w:ilvl="1">
      <w:start w:val="1"/>
      <w:numFmt w:val="upperLetter"/>
      <w:pStyle w:val="Heading2"/>
      <w:lvlText w:val="%2."/>
      <w:lvlJc w:val="left"/>
      <w:pPr>
        <w:tabs>
          <w:tab w:val="num" w:pos="1440"/>
        </w:tabs>
        <w:ind w:left="1440" w:hanging="720"/>
      </w:pPr>
      <w:rPr>
        <w:b/>
        <w:caps w:val="0"/>
        <w:vanish w:val="0"/>
        <w:color w:val="010000"/>
        <w:u w:val="none"/>
      </w:rPr>
    </w:lvl>
    <w:lvl w:ilvl="2">
      <w:start w:val="1"/>
      <w:numFmt w:val="decimal"/>
      <w:pStyle w:val="Heading3"/>
      <w:lvlText w:val="%3."/>
      <w:lvlJc w:val="left"/>
      <w:pPr>
        <w:tabs>
          <w:tab w:val="num" w:pos="2160"/>
        </w:tabs>
        <w:ind w:left="2160" w:hanging="720"/>
      </w:pPr>
      <w:rPr>
        <w:b/>
        <w:i w:val="0"/>
        <w:caps w:val="0"/>
        <w:vanish w:val="0"/>
        <w:color w:val="010000"/>
        <w:u w:val="none"/>
      </w:rPr>
    </w:lvl>
    <w:lvl w:ilvl="3">
      <w:start w:val="1"/>
      <w:numFmt w:val="lowerLetter"/>
      <w:pStyle w:val="Heading4"/>
      <w:lvlText w:val="%4."/>
      <w:lvlJc w:val="left"/>
      <w:pPr>
        <w:tabs>
          <w:tab w:val="num" w:pos="2880"/>
        </w:tabs>
        <w:ind w:left="2880" w:hanging="720"/>
      </w:pPr>
      <w:rPr>
        <w:b/>
        <w:i/>
        <w:caps w:val="0"/>
        <w:vanish w:val="0"/>
        <w:color w:val="010000"/>
        <w:u w:val="none"/>
      </w:rPr>
    </w:lvl>
    <w:lvl w:ilvl="4">
      <w:start w:val="1"/>
      <w:numFmt w:val="lowerRoman"/>
      <w:pStyle w:val="Heading5"/>
      <w:lvlText w:val="%5."/>
      <w:lvlJc w:val="left"/>
      <w:pPr>
        <w:tabs>
          <w:tab w:val="num" w:pos="3600"/>
        </w:tabs>
        <w:ind w:left="3600" w:hanging="720"/>
      </w:pPr>
      <w:rPr>
        <w:caps w:val="0"/>
        <w:vanish w:val="0"/>
        <w:color w:val="010000"/>
        <w:u w:val="none"/>
      </w:rPr>
    </w:lvl>
    <w:lvl w:ilvl="5">
      <w:start w:val="1"/>
      <w:numFmt w:val="lowerLetter"/>
      <w:pStyle w:val="Heading6"/>
      <w:lvlText w:val="(%6)"/>
      <w:lvlJc w:val="left"/>
      <w:pPr>
        <w:tabs>
          <w:tab w:val="num" w:pos="4320"/>
        </w:tabs>
        <w:ind w:left="4320" w:hanging="720"/>
      </w:pPr>
      <w:rPr>
        <w:caps w:val="0"/>
        <w:vanish w:val="0"/>
        <w:color w:val="010000"/>
        <w:u w:val="none"/>
      </w:rPr>
    </w:lvl>
    <w:lvl w:ilvl="6">
      <w:start w:val="1"/>
      <w:numFmt w:val="decimal"/>
      <w:pStyle w:val="Heading7"/>
      <w:lvlText w:val="(%7)"/>
      <w:lvlJc w:val="left"/>
      <w:pPr>
        <w:tabs>
          <w:tab w:val="num" w:pos="5040"/>
        </w:tabs>
        <w:ind w:left="5040" w:hanging="720"/>
      </w:pPr>
      <w:rPr>
        <w:caps w:val="0"/>
        <w:vanish w:val="0"/>
        <w:color w:val="010000"/>
        <w:u w:val="none"/>
      </w:rPr>
    </w:lvl>
    <w:lvl w:ilvl="7">
      <w:start w:val="1"/>
      <w:numFmt w:val="lowerRoman"/>
      <w:pStyle w:val="Heading8"/>
      <w:lvlText w:val="%8)"/>
      <w:lvlJc w:val="left"/>
      <w:pPr>
        <w:tabs>
          <w:tab w:val="num" w:pos="5760"/>
        </w:tabs>
        <w:ind w:left="5760" w:hanging="720"/>
      </w:pPr>
      <w:rPr>
        <w:caps w:val="0"/>
        <w:vanish w:val="0"/>
        <w:color w:val="010000"/>
        <w:u w:val="none"/>
      </w:rPr>
    </w:lvl>
    <w:lvl w:ilvl="8">
      <w:start w:val="1"/>
      <w:numFmt w:val="lowerLetter"/>
      <w:pStyle w:val="Heading9"/>
      <w:lvlText w:val="%9)"/>
      <w:lvlJc w:val="left"/>
      <w:pPr>
        <w:tabs>
          <w:tab w:val="num" w:pos="6480"/>
        </w:tabs>
        <w:ind w:left="6480" w:hanging="720"/>
      </w:pPr>
      <w:rPr>
        <w:caps w:val="0"/>
        <w:vanish w:val="0"/>
        <w:color w:val="010000"/>
        <w:u w:val="none"/>
      </w:rPr>
    </w:lvl>
  </w:abstractNum>
  <w:abstractNum w:abstractNumId="9">
    <w:nsid w:val="6B8B0D3B"/>
    <w:multiLevelType w:val="hybridMultilevel"/>
    <w:tmpl w:val="BEFA292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8"/>
  </w:num>
  <w:num w:numId="3">
    <w:abstractNumId w:val="8"/>
  </w:num>
  <w:num w:numId="4">
    <w:abstractNumId w:val="8"/>
  </w:num>
  <w:num w:numId="5">
    <w:abstractNumId w:val="1"/>
  </w:num>
  <w:num w:numId="6">
    <w:abstractNumId w:val="6"/>
  </w:num>
  <w:num w:numId="7">
    <w:abstractNumId w:val="0"/>
  </w:num>
  <w:num w:numId="8">
    <w:abstractNumId w:val="0"/>
  </w:num>
  <w:num w:numId="9">
    <w:abstractNumId w:val="3"/>
  </w:num>
  <w:num w:numId="10">
    <w:abstractNumId w:val="9"/>
  </w:num>
  <w:num w:numId="11">
    <w:abstractNumId w:val="7"/>
  </w:num>
  <w:num w:numId="12">
    <w:abstractNumId w:val="5"/>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0C"/>
    <w:rsid w:val="00251FFB"/>
    <w:rsid w:val="0029140C"/>
    <w:rsid w:val="002B4BAA"/>
    <w:rsid w:val="00421FA5"/>
    <w:rsid w:val="00456E7D"/>
    <w:rsid w:val="004A1DCB"/>
    <w:rsid w:val="00D1008C"/>
    <w:rsid w:val="00DB5578"/>
    <w:rsid w:val="00E77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line="480" w:lineRule="auto"/>
        <w:ind w:left="720" w:hanging="720"/>
        <w:jc w:val="both"/>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Bullet" w:qFormat="1"/>
    <w:lsdException w:name="List Number" w:qFormat="1"/>
    <w:lsdException w:name="Title" w:semiHidden="0" w:uiPriority="3" w:unhideWhenUsed="0" w:qFormat="1"/>
    <w:lsdException w:name="Signature" w:uiPriority="3"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99"/>
    <w:qFormat/>
    <w:rPr>
      <w:rFonts w:ascii="Arial" w:hAnsi="Arial"/>
      <w:sz w:val="24"/>
    </w:rPr>
  </w:style>
  <w:style w:type="paragraph" w:styleId="Heading1">
    <w:name w:val="heading 1"/>
    <w:basedOn w:val="Normal"/>
    <w:next w:val="Normal"/>
    <w:link w:val="Heading1Char"/>
    <w:autoRedefine/>
    <w:uiPriority w:val="9"/>
    <w:qFormat/>
    <w:rsid w:val="009D2984"/>
    <w:pPr>
      <w:numPr>
        <w:numId w:val="4"/>
      </w:numPr>
      <w:tabs>
        <w:tab w:val="clear" w:pos="720"/>
      </w:tabs>
      <w:spacing w:before="240" w:after="240" w:line="240" w:lineRule="auto"/>
      <w:outlineLvl w:val="0"/>
    </w:pPr>
    <w:rPr>
      <w:rFonts w:eastAsiaTheme="majorEastAsia" w:cs="Arial"/>
      <w:b/>
      <w:bCs/>
      <w:caps/>
      <w:szCs w:val="28"/>
      <w:u w:val="single"/>
    </w:rPr>
  </w:style>
  <w:style w:type="paragraph" w:styleId="Heading2">
    <w:name w:val="heading 2"/>
    <w:basedOn w:val="Normal"/>
    <w:next w:val="Normal"/>
    <w:link w:val="Heading2Char"/>
    <w:uiPriority w:val="9"/>
    <w:qFormat/>
    <w:rsid w:val="002802C5"/>
    <w:pPr>
      <w:numPr>
        <w:ilvl w:val="1"/>
        <w:numId w:val="4"/>
      </w:numPr>
      <w:spacing w:after="240" w:line="240" w:lineRule="auto"/>
      <w:outlineLvl w:val="1"/>
    </w:pPr>
    <w:rPr>
      <w:rFonts w:eastAsiaTheme="majorEastAsia" w:cs="Arial"/>
      <w:b/>
      <w:bCs/>
      <w:szCs w:val="26"/>
    </w:rPr>
  </w:style>
  <w:style w:type="paragraph" w:styleId="Heading3">
    <w:name w:val="heading 3"/>
    <w:basedOn w:val="Normal"/>
    <w:next w:val="Normal"/>
    <w:link w:val="Heading3Char"/>
    <w:uiPriority w:val="9"/>
    <w:qFormat/>
    <w:rsid w:val="002802C5"/>
    <w:pPr>
      <w:numPr>
        <w:ilvl w:val="2"/>
        <w:numId w:val="4"/>
      </w:numPr>
      <w:spacing w:after="240" w:line="240" w:lineRule="auto"/>
      <w:outlineLvl w:val="2"/>
    </w:pPr>
    <w:rPr>
      <w:rFonts w:eastAsiaTheme="majorEastAsia" w:cs="Arial"/>
      <w:b/>
      <w:bCs/>
    </w:rPr>
  </w:style>
  <w:style w:type="paragraph" w:styleId="Heading4">
    <w:name w:val="heading 4"/>
    <w:basedOn w:val="Normal"/>
    <w:next w:val="Normal"/>
    <w:link w:val="Heading4Char"/>
    <w:uiPriority w:val="9"/>
    <w:unhideWhenUsed/>
    <w:qFormat/>
    <w:rsid w:val="002802C5"/>
    <w:pPr>
      <w:numPr>
        <w:ilvl w:val="3"/>
        <w:numId w:val="4"/>
      </w:numPr>
      <w:spacing w:after="240" w:line="240" w:lineRule="auto"/>
      <w:outlineLvl w:val="3"/>
    </w:pPr>
    <w:rPr>
      <w:rFonts w:eastAsiaTheme="majorEastAsia" w:cs="Arial"/>
      <w:b/>
      <w:bCs/>
      <w:i/>
      <w:iCs/>
    </w:rPr>
  </w:style>
  <w:style w:type="paragraph" w:styleId="Heading5">
    <w:name w:val="heading 5"/>
    <w:basedOn w:val="Normal"/>
    <w:next w:val="Normal"/>
    <w:link w:val="Heading5Char"/>
    <w:uiPriority w:val="9"/>
    <w:semiHidden/>
    <w:unhideWhenUsed/>
    <w:rsid w:val="002802C5"/>
    <w:pPr>
      <w:numPr>
        <w:ilvl w:val="4"/>
        <w:numId w:val="4"/>
      </w:numPr>
      <w:spacing w:after="240" w:line="240" w:lineRule="auto"/>
      <w:outlineLvl w:val="4"/>
    </w:pPr>
    <w:rPr>
      <w:rFonts w:asciiTheme="majorHAnsi" w:eastAsiaTheme="majorEastAsia" w:hAnsiTheme="majorHAnsi" w:cs="Arial"/>
      <w:color w:val="243F60" w:themeColor="accent1" w:themeShade="7F"/>
    </w:rPr>
  </w:style>
  <w:style w:type="paragraph" w:styleId="Heading6">
    <w:name w:val="heading 6"/>
    <w:basedOn w:val="Normal"/>
    <w:next w:val="Normal"/>
    <w:link w:val="Heading6Char"/>
    <w:uiPriority w:val="9"/>
    <w:semiHidden/>
    <w:unhideWhenUsed/>
    <w:rsid w:val="002802C5"/>
    <w:pPr>
      <w:numPr>
        <w:ilvl w:val="5"/>
        <w:numId w:val="4"/>
      </w:numPr>
      <w:spacing w:after="240" w:line="240" w:lineRule="auto"/>
      <w:outlineLvl w:val="5"/>
    </w:pPr>
    <w:rPr>
      <w:rFonts w:asciiTheme="majorHAnsi" w:eastAsiaTheme="majorEastAsia" w:hAnsiTheme="majorHAnsi" w:cs="Arial"/>
      <w:iCs/>
      <w:color w:val="243F60" w:themeColor="accent1" w:themeShade="7F"/>
    </w:rPr>
  </w:style>
  <w:style w:type="paragraph" w:styleId="Heading7">
    <w:name w:val="heading 7"/>
    <w:basedOn w:val="Normal"/>
    <w:next w:val="Normal"/>
    <w:link w:val="Heading7Char"/>
    <w:uiPriority w:val="9"/>
    <w:semiHidden/>
    <w:unhideWhenUsed/>
    <w:rsid w:val="002802C5"/>
    <w:pPr>
      <w:numPr>
        <w:ilvl w:val="6"/>
        <w:numId w:val="4"/>
      </w:numPr>
      <w:spacing w:after="240" w:line="240" w:lineRule="auto"/>
      <w:outlineLvl w:val="6"/>
    </w:pPr>
    <w:rPr>
      <w:rFonts w:asciiTheme="majorHAnsi" w:eastAsiaTheme="majorEastAsia" w:hAnsiTheme="majorHAnsi" w:cs="Arial"/>
      <w:iCs/>
      <w:color w:val="404040" w:themeColor="text1" w:themeTint="BF"/>
    </w:rPr>
  </w:style>
  <w:style w:type="paragraph" w:styleId="Heading8">
    <w:name w:val="heading 8"/>
    <w:basedOn w:val="Normal"/>
    <w:next w:val="Normal"/>
    <w:link w:val="Heading8Char"/>
    <w:uiPriority w:val="9"/>
    <w:semiHidden/>
    <w:unhideWhenUsed/>
    <w:rsid w:val="002802C5"/>
    <w:pPr>
      <w:numPr>
        <w:ilvl w:val="7"/>
        <w:numId w:val="4"/>
      </w:numPr>
      <w:spacing w:after="240" w:line="240" w:lineRule="auto"/>
      <w:outlineLvl w:val="7"/>
    </w:pPr>
    <w:rPr>
      <w:rFonts w:asciiTheme="majorHAnsi" w:eastAsiaTheme="majorEastAsia" w:hAnsiTheme="majorHAnsi" w:cs="Arial"/>
      <w:color w:val="404040" w:themeColor="text1" w:themeTint="BF"/>
    </w:rPr>
  </w:style>
  <w:style w:type="paragraph" w:styleId="Heading9">
    <w:name w:val="heading 9"/>
    <w:basedOn w:val="Normal"/>
    <w:next w:val="Normal"/>
    <w:link w:val="Heading9Char"/>
    <w:uiPriority w:val="9"/>
    <w:semiHidden/>
    <w:unhideWhenUsed/>
    <w:rsid w:val="002802C5"/>
    <w:pPr>
      <w:numPr>
        <w:ilvl w:val="8"/>
        <w:numId w:val="4"/>
      </w:numPr>
      <w:spacing w:after="240" w:line="240" w:lineRule="auto"/>
      <w:outlineLvl w:val="8"/>
    </w:pPr>
    <w:rPr>
      <w:rFonts w:asciiTheme="majorHAnsi" w:eastAsiaTheme="majorEastAsia" w:hAnsiTheme="majorHAnsi" w:cs="Arial"/>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2984"/>
    <w:rPr>
      <w:rFonts w:ascii="Arial" w:eastAsiaTheme="majorEastAsia" w:hAnsi="Arial" w:cs="Arial"/>
      <w:b/>
      <w:bCs/>
      <w:caps/>
      <w:sz w:val="24"/>
      <w:szCs w:val="28"/>
      <w:u w:val="single"/>
    </w:rPr>
  </w:style>
  <w:style w:type="character" w:customStyle="1" w:styleId="Heading2Char">
    <w:name w:val="Heading 2 Char"/>
    <w:basedOn w:val="DefaultParagraphFont"/>
    <w:link w:val="Heading2"/>
    <w:uiPriority w:val="9"/>
    <w:rsid w:val="002802C5"/>
    <w:rPr>
      <w:rFonts w:ascii="Arial" w:eastAsiaTheme="majorEastAsia" w:hAnsi="Arial" w:cs="Arial"/>
      <w:b/>
      <w:bCs/>
      <w:sz w:val="24"/>
      <w:szCs w:val="26"/>
    </w:rPr>
  </w:style>
  <w:style w:type="character" w:customStyle="1" w:styleId="Heading3Char">
    <w:name w:val="Heading 3 Char"/>
    <w:basedOn w:val="DefaultParagraphFont"/>
    <w:link w:val="Heading3"/>
    <w:uiPriority w:val="9"/>
    <w:rsid w:val="002802C5"/>
    <w:rPr>
      <w:rFonts w:ascii="Arial" w:eastAsiaTheme="majorEastAsia" w:hAnsi="Arial" w:cs="Arial"/>
      <w:b/>
      <w:bCs/>
      <w:sz w:val="24"/>
    </w:rPr>
  </w:style>
  <w:style w:type="character" w:customStyle="1" w:styleId="Heading4Char">
    <w:name w:val="Heading 4 Char"/>
    <w:basedOn w:val="DefaultParagraphFont"/>
    <w:link w:val="Heading4"/>
    <w:uiPriority w:val="9"/>
    <w:rsid w:val="002802C5"/>
    <w:rPr>
      <w:rFonts w:ascii="Arial" w:eastAsiaTheme="majorEastAsia" w:hAnsi="Arial" w:cs="Arial"/>
      <w:b/>
      <w:bCs/>
      <w:i/>
      <w:iCs/>
      <w:sz w:val="24"/>
    </w:rPr>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ft Char,fn,char"/>
    <w:basedOn w:val="Normal"/>
    <w:link w:val="FootnoteTextChar"/>
    <w:uiPriority w:val="99"/>
    <w:qFormat/>
    <w:pPr>
      <w:spacing w:after="120"/>
    </w:pPr>
    <w:rPr>
      <w:sz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99"/>
    <w:rPr>
      <w:rFonts w:ascii="Arial" w:hAnsi="Arial"/>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ListBullet">
    <w:name w:val="List Bullet"/>
    <w:basedOn w:val="Normal"/>
    <w:uiPriority w:val="99"/>
    <w:qFormat/>
    <w:pPr>
      <w:numPr>
        <w:numId w:val="6"/>
      </w:numPr>
      <w:spacing w:after="240"/>
      <w:contextualSpacing/>
    </w:pPr>
  </w:style>
  <w:style w:type="paragraph" w:styleId="ListNumber">
    <w:name w:val="List Number"/>
    <w:basedOn w:val="Normal"/>
    <w:uiPriority w:val="99"/>
    <w:qFormat/>
    <w:pPr>
      <w:numPr>
        <w:numId w:val="8"/>
      </w:numPr>
      <w:spacing w:after="240"/>
      <w:contextualSpacing/>
    </w:pPr>
  </w:style>
  <w:style w:type="paragraph" w:styleId="Title">
    <w:name w:val="Title"/>
    <w:basedOn w:val="Normal"/>
    <w:link w:val="TitleChar"/>
    <w:uiPriority w:val="3"/>
    <w:qFormat/>
    <w:pPr>
      <w:spacing w:after="240"/>
      <w:jc w:val="center"/>
    </w:pPr>
    <w:rPr>
      <w:rFonts w:eastAsiaTheme="majorEastAsia" w:cstheme="majorBidi"/>
      <w:sz w:val="23"/>
      <w:szCs w:val="52"/>
    </w:rPr>
  </w:style>
  <w:style w:type="character" w:customStyle="1" w:styleId="TitleChar">
    <w:name w:val="Title Char"/>
    <w:basedOn w:val="DefaultParagraphFont"/>
    <w:link w:val="Title"/>
    <w:uiPriority w:val="3"/>
    <w:rPr>
      <w:rFonts w:ascii="Arial" w:eastAsiaTheme="majorEastAsia" w:hAnsi="Arial" w:cstheme="majorBidi"/>
      <w:sz w:val="23"/>
      <w:szCs w:val="52"/>
    </w:rPr>
  </w:style>
  <w:style w:type="paragraph" w:styleId="Signature">
    <w:name w:val="Signature"/>
    <w:basedOn w:val="Normal"/>
    <w:link w:val="SignatureChar"/>
    <w:uiPriority w:val="3"/>
    <w:qFormat/>
    <w:pPr>
      <w:spacing w:after="240"/>
      <w:ind w:left="4320"/>
      <w:contextualSpacing/>
    </w:pPr>
    <w:rPr>
      <w:sz w:val="23"/>
    </w:rPr>
  </w:style>
  <w:style w:type="character" w:customStyle="1" w:styleId="SignatureChar">
    <w:name w:val="Signature Char"/>
    <w:basedOn w:val="DefaultParagraphFont"/>
    <w:link w:val="Signature"/>
    <w:uiPriority w:val="3"/>
    <w:rPr>
      <w:rFonts w:ascii="Arial" w:hAnsi="Arial"/>
      <w:sz w:val="23"/>
    </w:rPr>
  </w:style>
  <w:style w:type="paragraph" w:styleId="TOCHeading">
    <w:name w:val="TOC Heading"/>
    <w:basedOn w:val="Heading1"/>
    <w:next w:val="Normal"/>
    <w:uiPriority w:val="39"/>
    <w:unhideWhenUsed/>
    <w:qFormat/>
    <w:pPr>
      <w:numPr>
        <w:numId w:val="0"/>
      </w:numPr>
      <w:spacing w:before="480"/>
      <w:outlineLvl w:val="9"/>
    </w:pPr>
    <w:rPr>
      <w:rFonts w:asciiTheme="majorHAnsi" w:hAnsiTheme="majorHAnsi"/>
      <w:b w:val="0"/>
      <w:color w:val="365F91" w:themeColor="accent1" w:themeShade="BF"/>
      <w:sz w:val="28"/>
    </w:rPr>
  </w:style>
  <w:style w:type="paragraph" w:customStyle="1" w:styleId="DoubleIndent1">
    <w:name w:val="Double Indent 1"/>
    <w:aliases w:val="DblInd1"/>
    <w:basedOn w:val="Normal"/>
    <w:uiPriority w:val="2"/>
    <w:qFormat/>
    <w:pPr>
      <w:spacing w:after="240"/>
      <w:ind w:left="1440" w:right="1440"/>
    </w:pPr>
  </w:style>
  <w:style w:type="paragraph" w:customStyle="1" w:styleId="LeftIndent">
    <w:name w:val="Left Indent"/>
    <w:aliases w:val="LeftInd"/>
    <w:basedOn w:val="Normal"/>
    <w:uiPriority w:val="11"/>
    <w:qFormat/>
    <w:pPr>
      <w:spacing w:after="240"/>
    </w:pPr>
  </w:style>
  <w:style w:type="paragraph" w:customStyle="1" w:styleId="FirstLineIndent">
    <w:name w:val="First Line Indent"/>
    <w:aliases w:val="FirstInd"/>
    <w:basedOn w:val="Normal"/>
    <w:uiPriority w:val="1"/>
    <w:qFormat/>
    <w:pPr>
      <w:spacing w:after="240"/>
      <w:ind w:firstLine="720"/>
    </w:pPr>
  </w:style>
  <w:style w:type="paragraph" w:customStyle="1" w:styleId="NoIndent">
    <w:name w:val="No Indent"/>
    <w:aliases w:val="NoInd"/>
    <w:basedOn w:val="Normal"/>
    <w:qFormat/>
    <w:pPr>
      <w:spacing w:after="240"/>
    </w:pPr>
  </w:style>
  <w:style w:type="paragraph" w:customStyle="1" w:styleId="DoubleIndent5">
    <w:name w:val="Double Indent .5"/>
    <w:aliases w:val="DblInd5"/>
    <w:basedOn w:val="Normal"/>
    <w:uiPriority w:val="2"/>
    <w:qFormat/>
    <w:pPr>
      <w:spacing w:after="240"/>
      <w:ind w:right="720"/>
    </w:pPr>
    <w:rPr>
      <w:iCs/>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ascii="Arial" w:hAnsi="Arial"/>
      <w:sz w:val="24"/>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rFonts w:ascii="Arial" w:hAnsi="Arial"/>
      <w:sz w:val="24"/>
    </w:rPr>
  </w:style>
  <w:style w:type="paragraph" w:styleId="ListParagraph">
    <w:name w:val="List Paragraph"/>
    <w:basedOn w:val="Normal"/>
    <w:uiPriority w:val="34"/>
    <w:pPr>
      <w:contextualSpacing/>
    </w:pPr>
  </w:style>
  <w:style w:type="character" w:styleId="FootnoteReference">
    <w:name w:val="foot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5Char">
    <w:name w:val="Heading 5 Char"/>
    <w:basedOn w:val="DefaultParagraphFont"/>
    <w:link w:val="Heading5"/>
    <w:uiPriority w:val="9"/>
    <w:semiHidden/>
    <w:rsid w:val="002802C5"/>
    <w:rPr>
      <w:rFonts w:asciiTheme="majorHAnsi" w:eastAsiaTheme="majorEastAsia" w:hAnsiTheme="majorHAnsi" w:cs="Arial"/>
      <w:color w:val="243F60" w:themeColor="accent1" w:themeShade="7F"/>
      <w:sz w:val="24"/>
    </w:rPr>
  </w:style>
  <w:style w:type="character" w:customStyle="1" w:styleId="Heading6Char">
    <w:name w:val="Heading 6 Char"/>
    <w:basedOn w:val="DefaultParagraphFont"/>
    <w:link w:val="Heading6"/>
    <w:uiPriority w:val="9"/>
    <w:semiHidden/>
    <w:rsid w:val="002802C5"/>
    <w:rPr>
      <w:rFonts w:asciiTheme="majorHAnsi" w:eastAsiaTheme="majorEastAsia" w:hAnsiTheme="majorHAnsi" w:cs="Arial"/>
      <w:iCs/>
      <w:color w:val="243F60" w:themeColor="accent1" w:themeShade="7F"/>
      <w:sz w:val="24"/>
    </w:rPr>
  </w:style>
  <w:style w:type="character" w:customStyle="1" w:styleId="Heading7Char">
    <w:name w:val="Heading 7 Char"/>
    <w:basedOn w:val="DefaultParagraphFont"/>
    <w:link w:val="Heading7"/>
    <w:uiPriority w:val="9"/>
    <w:semiHidden/>
    <w:rsid w:val="002802C5"/>
    <w:rPr>
      <w:rFonts w:asciiTheme="majorHAnsi" w:eastAsiaTheme="majorEastAsia" w:hAnsiTheme="majorHAnsi" w:cs="Arial"/>
      <w:iCs/>
      <w:color w:val="404040" w:themeColor="text1" w:themeTint="BF"/>
      <w:sz w:val="24"/>
    </w:rPr>
  </w:style>
  <w:style w:type="character" w:customStyle="1" w:styleId="Heading8Char">
    <w:name w:val="Heading 8 Char"/>
    <w:basedOn w:val="DefaultParagraphFont"/>
    <w:link w:val="Heading8"/>
    <w:uiPriority w:val="9"/>
    <w:semiHidden/>
    <w:rsid w:val="002802C5"/>
    <w:rPr>
      <w:rFonts w:asciiTheme="majorHAnsi" w:eastAsiaTheme="majorEastAsia" w:hAnsiTheme="majorHAnsi" w:cs="Arial"/>
      <w:color w:val="404040" w:themeColor="text1" w:themeTint="BF"/>
      <w:sz w:val="24"/>
    </w:rPr>
  </w:style>
  <w:style w:type="character" w:customStyle="1" w:styleId="Heading9Char">
    <w:name w:val="Heading 9 Char"/>
    <w:basedOn w:val="DefaultParagraphFont"/>
    <w:link w:val="Heading9"/>
    <w:uiPriority w:val="9"/>
    <w:semiHidden/>
    <w:rsid w:val="002802C5"/>
    <w:rPr>
      <w:rFonts w:asciiTheme="majorHAnsi" w:eastAsiaTheme="majorEastAsia" w:hAnsiTheme="majorHAnsi" w:cs="Arial"/>
      <w:iCs/>
      <w:color w:val="404040" w:themeColor="text1" w:themeTint="BF"/>
      <w:sz w:val="24"/>
    </w:rPr>
  </w:style>
  <w:style w:type="paragraph" w:styleId="BodyText">
    <w:name w:val="Body Text"/>
    <w:basedOn w:val="Normal"/>
    <w:link w:val="BodyTextChar"/>
    <w:uiPriority w:val="99"/>
    <w:semiHidden/>
    <w:unhideWhenUsed/>
    <w:rsid w:val="002802C5"/>
    <w:pPr>
      <w:spacing w:after="120"/>
    </w:pPr>
  </w:style>
  <w:style w:type="character" w:customStyle="1" w:styleId="BodyTextChar">
    <w:name w:val="Body Text Char"/>
    <w:basedOn w:val="DefaultParagraphFont"/>
    <w:link w:val="BodyText"/>
    <w:uiPriority w:val="99"/>
    <w:semiHidden/>
    <w:rsid w:val="002802C5"/>
    <w:rPr>
      <w:rFonts w:ascii="Arial" w:hAnsi="Arial"/>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rFonts w:ascii="Arial" w:hAnsi="Arial"/>
    </w:rPr>
  </w:style>
  <w:style w:type="paragraph" w:styleId="BodyTextIndent">
    <w:name w:val="Body Text Indent"/>
    <w:basedOn w:val="Normal"/>
    <w:link w:val="BodyTextIndentChar"/>
    <w:uiPriority w:val="99"/>
    <w:semiHidden/>
    <w:unhideWhenUsed/>
    <w:rsid w:val="00DB5578"/>
    <w:pPr>
      <w:spacing w:after="120"/>
      <w:ind w:left="360"/>
    </w:pPr>
  </w:style>
  <w:style w:type="character" w:customStyle="1" w:styleId="BodyTextIndentChar">
    <w:name w:val="Body Text Indent Char"/>
    <w:basedOn w:val="DefaultParagraphFont"/>
    <w:link w:val="BodyTextIndent"/>
    <w:uiPriority w:val="99"/>
    <w:semiHidden/>
    <w:rsid w:val="00DB5578"/>
    <w:rPr>
      <w:rFonts w:ascii="Arial" w:hAnsi="Arial"/>
      <w:sz w:val="24"/>
    </w:rPr>
  </w:style>
  <w:style w:type="character" w:styleId="Hyperlink">
    <w:name w:val="Hyperlink"/>
    <w:basedOn w:val="DefaultParagraphFont"/>
    <w:uiPriority w:val="99"/>
    <w:unhideWhenUsed/>
    <w:rsid w:val="00DB55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line="480" w:lineRule="auto"/>
        <w:ind w:left="720" w:hanging="720"/>
        <w:jc w:val="both"/>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Bullet" w:qFormat="1"/>
    <w:lsdException w:name="List Number" w:qFormat="1"/>
    <w:lsdException w:name="Title" w:semiHidden="0" w:uiPriority="3" w:unhideWhenUsed="0" w:qFormat="1"/>
    <w:lsdException w:name="Signature" w:uiPriority="3"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99"/>
    <w:qFormat/>
    <w:rPr>
      <w:rFonts w:ascii="Arial" w:hAnsi="Arial"/>
      <w:sz w:val="24"/>
    </w:rPr>
  </w:style>
  <w:style w:type="paragraph" w:styleId="Heading1">
    <w:name w:val="heading 1"/>
    <w:basedOn w:val="Normal"/>
    <w:next w:val="Normal"/>
    <w:link w:val="Heading1Char"/>
    <w:autoRedefine/>
    <w:uiPriority w:val="9"/>
    <w:qFormat/>
    <w:rsid w:val="009D2984"/>
    <w:pPr>
      <w:numPr>
        <w:numId w:val="4"/>
      </w:numPr>
      <w:tabs>
        <w:tab w:val="clear" w:pos="720"/>
      </w:tabs>
      <w:spacing w:before="240" w:after="240" w:line="240" w:lineRule="auto"/>
      <w:outlineLvl w:val="0"/>
    </w:pPr>
    <w:rPr>
      <w:rFonts w:eastAsiaTheme="majorEastAsia" w:cs="Arial"/>
      <w:b/>
      <w:bCs/>
      <w:caps/>
      <w:szCs w:val="28"/>
      <w:u w:val="single"/>
    </w:rPr>
  </w:style>
  <w:style w:type="paragraph" w:styleId="Heading2">
    <w:name w:val="heading 2"/>
    <w:basedOn w:val="Normal"/>
    <w:next w:val="Normal"/>
    <w:link w:val="Heading2Char"/>
    <w:uiPriority w:val="9"/>
    <w:qFormat/>
    <w:rsid w:val="002802C5"/>
    <w:pPr>
      <w:numPr>
        <w:ilvl w:val="1"/>
        <w:numId w:val="4"/>
      </w:numPr>
      <w:spacing w:after="240" w:line="240" w:lineRule="auto"/>
      <w:outlineLvl w:val="1"/>
    </w:pPr>
    <w:rPr>
      <w:rFonts w:eastAsiaTheme="majorEastAsia" w:cs="Arial"/>
      <w:b/>
      <w:bCs/>
      <w:szCs w:val="26"/>
    </w:rPr>
  </w:style>
  <w:style w:type="paragraph" w:styleId="Heading3">
    <w:name w:val="heading 3"/>
    <w:basedOn w:val="Normal"/>
    <w:next w:val="Normal"/>
    <w:link w:val="Heading3Char"/>
    <w:uiPriority w:val="9"/>
    <w:qFormat/>
    <w:rsid w:val="002802C5"/>
    <w:pPr>
      <w:numPr>
        <w:ilvl w:val="2"/>
        <w:numId w:val="4"/>
      </w:numPr>
      <w:spacing w:after="240" w:line="240" w:lineRule="auto"/>
      <w:outlineLvl w:val="2"/>
    </w:pPr>
    <w:rPr>
      <w:rFonts w:eastAsiaTheme="majorEastAsia" w:cs="Arial"/>
      <w:b/>
      <w:bCs/>
    </w:rPr>
  </w:style>
  <w:style w:type="paragraph" w:styleId="Heading4">
    <w:name w:val="heading 4"/>
    <w:basedOn w:val="Normal"/>
    <w:next w:val="Normal"/>
    <w:link w:val="Heading4Char"/>
    <w:uiPriority w:val="9"/>
    <w:unhideWhenUsed/>
    <w:qFormat/>
    <w:rsid w:val="002802C5"/>
    <w:pPr>
      <w:numPr>
        <w:ilvl w:val="3"/>
        <w:numId w:val="4"/>
      </w:numPr>
      <w:spacing w:after="240" w:line="240" w:lineRule="auto"/>
      <w:outlineLvl w:val="3"/>
    </w:pPr>
    <w:rPr>
      <w:rFonts w:eastAsiaTheme="majorEastAsia" w:cs="Arial"/>
      <w:b/>
      <w:bCs/>
      <w:i/>
      <w:iCs/>
    </w:rPr>
  </w:style>
  <w:style w:type="paragraph" w:styleId="Heading5">
    <w:name w:val="heading 5"/>
    <w:basedOn w:val="Normal"/>
    <w:next w:val="Normal"/>
    <w:link w:val="Heading5Char"/>
    <w:uiPriority w:val="9"/>
    <w:semiHidden/>
    <w:unhideWhenUsed/>
    <w:rsid w:val="002802C5"/>
    <w:pPr>
      <w:numPr>
        <w:ilvl w:val="4"/>
        <w:numId w:val="4"/>
      </w:numPr>
      <w:spacing w:after="240" w:line="240" w:lineRule="auto"/>
      <w:outlineLvl w:val="4"/>
    </w:pPr>
    <w:rPr>
      <w:rFonts w:asciiTheme="majorHAnsi" w:eastAsiaTheme="majorEastAsia" w:hAnsiTheme="majorHAnsi" w:cs="Arial"/>
      <w:color w:val="243F60" w:themeColor="accent1" w:themeShade="7F"/>
    </w:rPr>
  </w:style>
  <w:style w:type="paragraph" w:styleId="Heading6">
    <w:name w:val="heading 6"/>
    <w:basedOn w:val="Normal"/>
    <w:next w:val="Normal"/>
    <w:link w:val="Heading6Char"/>
    <w:uiPriority w:val="9"/>
    <w:semiHidden/>
    <w:unhideWhenUsed/>
    <w:rsid w:val="002802C5"/>
    <w:pPr>
      <w:numPr>
        <w:ilvl w:val="5"/>
        <w:numId w:val="4"/>
      </w:numPr>
      <w:spacing w:after="240" w:line="240" w:lineRule="auto"/>
      <w:outlineLvl w:val="5"/>
    </w:pPr>
    <w:rPr>
      <w:rFonts w:asciiTheme="majorHAnsi" w:eastAsiaTheme="majorEastAsia" w:hAnsiTheme="majorHAnsi" w:cs="Arial"/>
      <w:iCs/>
      <w:color w:val="243F60" w:themeColor="accent1" w:themeShade="7F"/>
    </w:rPr>
  </w:style>
  <w:style w:type="paragraph" w:styleId="Heading7">
    <w:name w:val="heading 7"/>
    <w:basedOn w:val="Normal"/>
    <w:next w:val="Normal"/>
    <w:link w:val="Heading7Char"/>
    <w:uiPriority w:val="9"/>
    <w:semiHidden/>
    <w:unhideWhenUsed/>
    <w:rsid w:val="002802C5"/>
    <w:pPr>
      <w:numPr>
        <w:ilvl w:val="6"/>
        <w:numId w:val="4"/>
      </w:numPr>
      <w:spacing w:after="240" w:line="240" w:lineRule="auto"/>
      <w:outlineLvl w:val="6"/>
    </w:pPr>
    <w:rPr>
      <w:rFonts w:asciiTheme="majorHAnsi" w:eastAsiaTheme="majorEastAsia" w:hAnsiTheme="majorHAnsi" w:cs="Arial"/>
      <w:iCs/>
      <w:color w:val="404040" w:themeColor="text1" w:themeTint="BF"/>
    </w:rPr>
  </w:style>
  <w:style w:type="paragraph" w:styleId="Heading8">
    <w:name w:val="heading 8"/>
    <w:basedOn w:val="Normal"/>
    <w:next w:val="Normal"/>
    <w:link w:val="Heading8Char"/>
    <w:uiPriority w:val="9"/>
    <w:semiHidden/>
    <w:unhideWhenUsed/>
    <w:rsid w:val="002802C5"/>
    <w:pPr>
      <w:numPr>
        <w:ilvl w:val="7"/>
        <w:numId w:val="4"/>
      </w:numPr>
      <w:spacing w:after="240" w:line="240" w:lineRule="auto"/>
      <w:outlineLvl w:val="7"/>
    </w:pPr>
    <w:rPr>
      <w:rFonts w:asciiTheme="majorHAnsi" w:eastAsiaTheme="majorEastAsia" w:hAnsiTheme="majorHAnsi" w:cs="Arial"/>
      <w:color w:val="404040" w:themeColor="text1" w:themeTint="BF"/>
    </w:rPr>
  </w:style>
  <w:style w:type="paragraph" w:styleId="Heading9">
    <w:name w:val="heading 9"/>
    <w:basedOn w:val="Normal"/>
    <w:next w:val="Normal"/>
    <w:link w:val="Heading9Char"/>
    <w:uiPriority w:val="9"/>
    <w:semiHidden/>
    <w:unhideWhenUsed/>
    <w:rsid w:val="002802C5"/>
    <w:pPr>
      <w:numPr>
        <w:ilvl w:val="8"/>
        <w:numId w:val="4"/>
      </w:numPr>
      <w:spacing w:after="240" w:line="240" w:lineRule="auto"/>
      <w:outlineLvl w:val="8"/>
    </w:pPr>
    <w:rPr>
      <w:rFonts w:asciiTheme="majorHAnsi" w:eastAsiaTheme="majorEastAsia" w:hAnsiTheme="majorHAnsi" w:cs="Arial"/>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2984"/>
    <w:rPr>
      <w:rFonts w:ascii="Arial" w:eastAsiaTheme="majorEastAsia" w:hAnsi="Arial" w:cs="Arial"/>
      <w:b/>
      <w:bCs/>
      <w:caps/>
      <w:sz w:val="24"/>
      <w:szCs w:val="28"/>
      <w:u w:val="single"/>
    </w:rPr>
  </w:style>
  <w:style w:type="character" w:customStyle="1" w:styleId="Heading2Char">
    <w:name w:val="Heading 2 Char"/>
    <w:basedOn w:val="DefaultParagraphFont"/>
    <w:link w:val="Heading2"/>
    <w:uiPriority w:val="9"/>
    <w:rsid w:val="002802C5"/>
    <w:rPr>
      <w:rFonts w:ascii="Arial" w:eastAsiaTheme="majorEastAsia" w:hAnsi="Arial" w:cs="Arial"/>
      <w:b/>
      <w:bCs/>
      <w:sz w:val="24"/>
      <w:szCs w:val="26"/>
    </w:rPr>
  </w:style>
  <w:style w:type="character" w:customStyle="1" w:styleId="Heading3Char">
    <w:name w:val="Heading 3 Char"/>
    <w:basedOn w:val="DefaultParagraphFont"/>
    <w:link w:val="Heading3"/>
    <w:uiPriority w:val="9"/>
    <w:rsid w:val="002802C5"/>
    <w:rPr>
      <w:rFonts w:ascii="Arial" w:eastAsiaTheme="majorEastAsia" w:hAnsi="Arial" w:cs="Arial"/>
      <w:b/>
      <w:bCs/>
      <w:sz w:val="24"/>
    </w:rPr>
  </w:style>
  <w:style w:type="character" w:customStyle="1" w:styleId="Heading4Char">
    <w:name w:val="Heading 4 Char"/>
    <w:basedOn w:val="DefaultParagraphFont"/>
    <w:link w:val="Heading4"/>
    <w:uiPriority w:val="9"/>
    <w:rsid w:val="002802C5"/>
    <w:rPr>
      <w:rFonts w:ascii="Arial" w:eastAsiaTheme="majorEastAsia" w:hAnsi="Arial" w:cs="Arial"/>
      <w:b/>
      <w:bCs/>
      <w:i/>
      <w:iCs/>
      <w:sz w:val="24"/>
    </w:rPr>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ft Char,fn,char"/>
    <w:basedOn w:val="Normal"/>
    <w:link w:val="FootnoteTextChar"/>
    <w:uiPriority w:val="99"/>
    <w:qFormat/>
    <w:pPr>
      <w:spacing w:after="120"/>
    </w:pPr>
    <w:rPr>
      <w:sz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99"/>
    <w:rPr>
      <w:rFonts w:ascii="Arial" w:hAnsi="Arial"/>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ListBullet">
    <w:name w:val="List Bullet"/>
    <w:basedOn w:val="Normal"/>
    <w:uiPriority w:val="99"/>
    <w:qFormat/>
    <w:pPr>
      <w:numPr>
        <w:numId w:val="6"/>
      </w:numPr>
      <w:spacing w:after="240"/>
      <w:contextualSpacing/>
    </w:pPr>
  </w:style>
  <w:style w:type="paragraph" w:styleId="ListNumber">
    <w:name w:val="List Number"/>
    <w:basedOn w:val="Normal"/>
    <w:uiPriority w:val="99"/>
    <w:qFormat/>
    <w:pPr>
      <w:numPr>
        <w:numId w:val="8"/>
      </w:numPr>
      <w:spacing w:after="240"/>
      <w:contextualSpacing/>
    </w:pPr>
  </w:style>
  <w:style w:type="paragraph" w:styleId="Title">
    <w:name w:val="Title"/>
    <w:basedOn w:val="Normal"/>
    <w:link w:val="TitleChar"/>
    <w:uiPriority w:val="3"/>
    <w:qFormat/>
    <w:pPr>
      <w:spacing w:after="240"/>
      <w:jc w:val="center"/>
    </w:pPr>
    <w:rPr>
      <w:rFonts w:eastAsiaTheme="majorEastAsia" w:cstheme="majorBidi"/>
      <w:sz w:val="23"/>
      <w:szCs w:val="52"/>
    </w:rPr>
  </w:style>
  <w:style w:type="character" w:customStyle="1" w:styleId="TitleChar">
    <w:name w:val="Title Char"/>
    <w:basedOn w:val="DefaultParagraphFont"/>
    <w:link w:val="Title"/>
    <w:uiPriority w:val="3"/>
    <w:rPr>
      <w:rFonts w:ascii="Arial" w:eastAsiaTheme="majorEastAsia" w:hAnsi="Arial" w:cstheme="majorBidi"/>
      <w:sz w:val="23"/>
      <w:szCs w:val="52"/>
    </w:rPr>
  </w:style>
  <w:style w:type="paragraph" w:styleId="Signature">
    <w:name w:val="Signature"/>
    <w:basedOn w:val="Normal"/>
    <w:link w:val="SignatureChar"/>
    <w:uiPriority w:val="3"/>
    <w:qFormat/>
    <w:pPr>
      <w:spacing w:after="240"/>
      <w:ind w:left="4320"/>
      <w:contextualSpacing/>
    </w:pPr>
    <w:rPr>
      <w:sz w:val="23"/>
    </w:rPr>
  </w:style>
  <w:style w:type="character" w:customStyle="1" w:styleId="SignatureChar">
    <w:name w:val="Signature Char"/>
    <w:basedOn w:val="DefaultParagraphFont"/>
    <w:link w:val="Signature"/>
    <w:uiPriority w:val="3"/>
    <w:rPr>
      <w:rFonts w:ascii="Arial" w:hAnsi="Arial"/>
      <w:sz w:val="23"/>
    </w:rPr>
  </w:style>
  <w:style w:type="paragraph" w:styleId="TOCHeading">
    <w:name w:val="TOC Heading"/>
    <w:basedOn w:val="Heading1"/>
    <w:next w:val="Normal"/>
    <w:uiPriority w:val="39"/>
    <w:unhideWhenUsed/>
    <w:qFormat/>
    <w:pPr>
      <w:numPr>
        <w:numId w:val="0"/>
      </w:numPr>
      <w:spacing w:before="480"/>
      <w:outlineLvl w:val="9"/>
    </w:pPr>
    <w:rPr>
      <w:rFonts w:asciiTheme="majorHAnsi" w:hAnsiTheme="majorHAnsi"/>
      <w:b w:val="0"/>
      <w:color w:val="365F91" w:themeColor="accent1" w:themeShade="BF"/>
      <w:sz w:val="28"/>
    </w:rPr>
  </w:style>
  <w:style w:type="paragraph" w:customStyle="1" w:styleId="DoubleIndent1">
    <w:name w:val="Double Indent 1"/>
    <w:aliases w:val="DblInd1"/>
    <w:basedOn w:val="Normal"/>
    <w:uiPriority w:val="2"/>
    <w:qFormat/>
    <w:pPr>
      <w:spacing w:after="240"/>
      <w:ind w:left="1440" w:right="1440"/>
    </w:pPr>
  </w:style>
  <w:style w:type="paragraph" w:customStyle="1" w:styleId="LeftIndent">
    <w:name w:val="Left Indent"/>
    <w:aliases w:val="LeftInd"/>
    <w:basedOn w:val="Normal"/>
    <w:uiPriority w:val="11"/>
    <w:qFormat/>
    <w:pPr>
      <w:spacing w:after="240"/>
    </w:pPr>
  </w:style>
  <w:style w:type="paragraph" w:customStyle="1" w:styleId="FirstLineIndent">
    <w:name w:val="First Line Indent"/>
    <w:aliases w:val="FirstInd"/>
    <w:basedOn w:val="Normal"/>
    <w:uiPriority w:val="1"/>
    <w:qFormat/>
    <w:pPr>
      <w:spacing w:after="240"/>
      <w:ind w:firstLine="720"/>
    </w:pPr>
  </w:style>
  <w:style w:type="paragraph" w:customStyle="1" w:styleId="NoIndent">
    <w:name w:val="No Indent"/>
    <w:aliases w:val="NoInd"/>
    <w:basedOn w:val="Normal"/>
    <w:qFormat/>
    <w:pPr>
      <w:spacing w:after="240"/>
    </w:pPr>
  </w:style>
  <w:style w:type="paragraph" w:customStyle="1" w:styleId="DoubleIndent5">
    <w:name w:val="Double Indent .5"/>
    <w:aliases w:val="DblInd5"/>
    <w:basedOn w:val="Normal"/>
    <w:uiPriority w:val="2"/>
    <w:qFormat/>
    <w:pPr>
      <w:spacing w:after="240"/>
      <w:ind w:right="720"/>
    </w:pPr>
    <w:rPr>
      <w:iCs/>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ascii="Arial" w:hAnsi="Arial"/>
      <w:sz w:val="24"/>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rFonts w:ascii="Arial" w:hAnsi="Arial"/>
      <w:sz w:val="24"/>
    </w:rPr>
  </w:style>
  <w:style w:type="paragraph" w:styleId="ListParagraph">
    <w:name w:val="List Paragraph"/>
    <w:basedOn w:val="Normal"/>
    <w:uiPriority w:val="34"/>
    <w:pPr>
      <w:contextualSpacing/>
    </w:pPr>
  </w:style>
  <w:style w:type="character" w:styleId="FootnoteReference">
    <w:name w:val="foot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5Char">
    <w:name w:val="Heading 5 Char"/>
    <w:basedOn w:val="DefaultParagraphFont"/>
    <w:link w:val="Heading5"/>
    <w:uiPriority w:val="9"/>
    <w:semiHidden/>
    <w:rsid w:val="002802C5"/>
    <w:rPr>
      <w:rFonts w:asciiTheme="majorHAnsi" w:eastAsiaTheme="majorEastAsia" w:hAnsiTheme="majorHAnsi" w:cs="Arial"/>
      <w:color w:val="243F60" w:themeColor="accent1" w:themeShade="7F"/>
      <w:sz w:val="24"/>
    </w:rPr>
  </w:style>
  <w:style w:type="character" w:customStyle="1" w:styleId="Heading6Char">
    <w:name w:val="Heading 6 Char"/>
    <w:basedOn w:val="DefaultParagraphFont"/>
    <w:link w:val="Heading6"/>
    <w:uiPriority w:val="9"/>
    <w:semiHidden/>
    <w:rsid w:val="002802C5"/>
    <w:rPr>
      <w:rFonts w:asciiTheme="majorHAnsi" w:eastAsiaTheme="majorEastAsia" w:hAnsiTheme="majorHAnsi" w:cs="Arial"/>
      <w:iCs/>
      <w:color w:val="243F60" w:themeColor="accent1" w:themeShade="7F"/>
      <w:sz w:val="24"/>
    </w:rPr>
  </w:style>
  <w:style w:type="character" w:customStyle="1" w:styleId="Heading7Char">
    <w:name w:val="Heading 7 Char"/>
    <w:basedOn w:val="DefaultParagraphFont"/>
    <w:link w:val="Heading7"/>
    <w:uiPriority w:val="9"/>
    <w:semiHidden/>
    <w:rsid w:val="002802C5"/>
    <w:rPr>
      <w:rFonts w:asciiTheme="majorHAnsi" w:eastAsiaTheme="majorEastAsia" w:hAnsiTheme="majorHAnsi" w:cs="Arial"/>
      <w:iCs/>
      <w:color w:val="404040" w:themeColor="text1" w:themeTint="BF"/>
      <w:sz w:val="24"/>
    </w:rPr>
  </w:style>
  <w:style w:type="character" w:customStyle="1" w:styleId="Heading8Char">
    <w:name w:val="Heading 8 Char"/>
    <w:basedOn w:val="DefaultParagraphFont"/>
    <w:link w:val="Heading8"/>
    <w:uiPriority w:val="9"/>
    <w:semiHidden/>
    <w:rsid w:val="002802C5"/>
    <w:rPr>
      <w:rFonts w:asciiTheme="majorHAnsi" w:eastAsiaTheme="majorEastAsia" w:hAnsiTheme="majorHAnsi" w:cs="Arial"/>
      <w:color w:val="404040" w:themeColor="text1" w:themeTint="BF"/>
      <w:sz w:val="24"/>
    </w:rPr>
  </w:style>
  <w:style w:type="character" w:customStyle="1" w:styleId="Heading9Char">
    <w:name w:val="Heading 9 Char"/>
    <w:basedOn w:val="DefaultParagraphFont"/>
    <w:link w:val="Heading9"/>
    <w:uiPriority w:val="9"/>
    <w:semiHidden/>
    <w:rsid w:val="002802C5"/>
    <w:rPr>
      <w:rFonts w:asciiTheme="majorHAnsi" w:eastAsiaTheme="majorEastAsia" w:hAnsiTheme="majorHAnsi" w:cs="Arial"/>
      <w:iCs/>
      <w:color w:val="404040" w:themeColor="text1" w:themeTint="BF"/>
      <w:sz w:val="24"/>
    </w:rPr>
  </w:style>
  <w:style w:type="paragraph" w:styleId="BodyText">
    <w:name w:val="Body Text"/>
    <w:basedOn w:val="Normal"/>
    <w:link w:val="BodyTextChar"/>
    <w:uiPriority w:val="99"/>
    <w:semiHidden/>
    <w:unhideWhenUsed/>
    <w:rsid w:val="002802C5"/>
    <w:pPr>
      <w:spacing w:after="120"/>
    </w:pPr>
  </w:style>
  <w:style w:type="character" w:customStyle="1" w:styleId="BodyTextChar">
    <w:name w:val="Body Text Char"/>
    <w:basedOn w:val="DefaultParagraphFont"/>
    <w:link w:val="BodyText"/>
    <w:uiPriority w:val="99"/>
    <w:semiHidden/>
    <w:rsid w:val="002802C5"/>
    <w:rPr>
      <w:rFonts w:ascii="Arial" w:hAnsi="Arial"/>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rFonts w:ascii="Arial" w:hAnsi="Arial"/>
    </w:rPr>
  </w:style>
  <w:style w:type="paragraph" w:styleId="BodyTextIndent">
    <w:name w:val="Body Text Indent"/>
    <w:basedOn w:val="Normal"/>
    <w:link w:val="BodyTextIndentChar"/>
    <w:uiPriority w:val="99"/>
    <w:semiHidden/>
    <w:unhideWhenUsed/>
    <w:rsid w:val="00DB5578"/>
    <w:pPr>
      <w:spacing w:after="120"/>
      <w:ind w:left="360"/>
    </w:pPr>
  </w:style>
  <w:style w:type="character" w:customStyle="1" w:styleId="BodyTextIndentChar">
    <w:name w:val="Body Text Indent Char"/>
    <w:basedOn w:val="DefaultParagraphFont"/>
    <w:link w:val="BodyTextIndent"/>
    <w:uiPriority w:val="99"/>
    <w:semiHidden/>
    <w:rsid w:val="00DB5578"/>
    <w:rPr>
      <w:rFonts w:ascii="Arial" w:hAnsi="Arial"/>
      <w:sz w:val="24"/>
    </w:rPr>
  </w:style>
  <w:style w:type="character" w:styleId="Hyperlink">
    <w:name w:val="Hyperlink"/>
    <w:basedOn w:val="DefaultParagraphFont"/>
    <w:uiPriority w:val="99"/>
    <w:unhideWhenUsed/>
    <w:rsid w:val="00DB55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2630</Words>
  <Characters>16241</Characters>
  <Application>Microsoft Office Word</Application>
  <DocSecurity>0</DocSecurity>
  <PresentationFormat/>
  <Lines>398</Lines>
  <Paragraphs>203</Paragraphs>
  <ScaleCrop>false</ScaleCrop>
  <HeadingPairs>
    <vt:vector size="2" baseType="variant">
      <vt:variant>
        <vt:lpstr>Title</vt:lpstr>
      </vt:variant>
      <vt:variant>
        <vt:i4>1</vt:i4>
      </vt:variant>
    </vt:vector>
  </HeadingPairs>
  <TitlesOfParts>
    <vt:vector size="1" baseType="lpstr">
      <vt:lpstr>IEU-Ohio's Reply on 2nd Motion to Compel (12-426) (C39638-3).DOCX</vt:lpstr>
    </vt:vector>
  </TitlesOfParts>
  <LinksUpToDate>false</LinksUpToDate>
  <CharactersWithSpaces>18776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IEU-Ohio's Reply on 2nd Motion to Compel (12-426) (C39638-3).DOCX</dc:title>
  <dc:subject>C39638:3 /font=8</dc:subject>
  <dc:creator/>
  <cp:lastModifiedBy/>
  <cp:revision>1</cp:revision>
  <cp:lastPrinted>2013-01-16T18:32:00Z</cp:lastPrinted>
  <dcterms:created xsi:type="dcterms:W3CDTF">2013-01-16T19:54:00Z</dcterms:created>
  <dcterms:modified xsi:type="dcterms:W3CDTF">2013-01-16T19:54:00Z</dcterms:modified>
</cp:coreProperties>
</file>