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22810082"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49FD3E4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134B662A" w14:textId="77777777">
      <w:pPr>
        <w:pStyle w:val="HTMLPreformatted"/>
        <w:rPr>
          <w:rFonts w:ascii="Times New Roman" w:hAnsi="Times New Roman"/>
          <w:sz w:val="24"/>
        </w:rPr>
      </w:pPr>
    </w:p>
    <w:tbl>
      <w:tblPr>
        <w:tblW w:w="8730" w:type="dxa"/>
        <w:tblLook w:val="01E0"/>
      </w:tblPr>
      <w:tblGrid>
        <w:gridCol w:w="4230"/>
        <w:gridCol w:w="296"/>
        <w:gridCol w:w="4204"/>
      </w:tblGrid>
      <w:tr w14:paraId="4A64F3A8" w14:textId="77777777" w:rsidTr="00D77E24">
        <w:tblPrEx>
          <w:tblW w:w="8730" w:type="dxa"/>
          <w:tblLook w:val="01E0"/>
        </w:tblPrEx>
        <w:trPr>
          <w:trHeight w:val="807"/>
        </w:trPr>
        <w:tc>
          <w:tcPr>
            <w:tcW w:w="4230" w:type="dxa"/>
            <w:shd w:val="clear" w:color="auto" w:fill="auto"/>
          </w:tcPr>
          <w:p w:rsidR="00A044B5" w:rsidRPr="00A044B5" w14:paraId="4E9B2576" w14:textId="5F154FA5">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021B13">
              <w:rPr>
                <w:rFonts w:ascii="Times New Roman" w:hAnsi="Times New Roman" w:cs="Times New Roman"/>
                <w:sz w:val="24"/>
                <w:szCs w:val="24"/>
              </w:rPr>
              <w:t>Application of the</w:t>
            </w:r>
            <w:r>
              <w:rPr>
                <w:rFonts w:ascii="Times New Roman" w:hAnsi="Times New Roman" w:cs="Times New Roman"/>
                <w:sz w:val="24"/>
                <w:szCs w:val="24"/>
              </w:rPr>
              <w:t xml:space="preserve"> Significantly Excessive Earnings </w:t>
            </w:r>
            <w:r w:rsidR="00021B13">
              <w:rPr>
                <w:rFonts w:ascii="Times New Roman" w:hAnsi="Times New Roman" w:cs="Times New Roman"/>
                <w:sz w:val="24"/>
                <w:szCs w:val="24"/>
              </w:rPr>
              <w:t>Test under Section 4928.143(F), Ohio Revised Code, and Rule 4901:1</w:t>
            </w:r>
            <w:r>
              <w:rPr>
                <w:rFonts w:ascii="Times New Roman" w:hAnsi="Times New Roman" w:cs="Times New Roman"/>
                <w:sz w:val="24"/>
                <w:szCs w:val="24"/>
              </w:rPr>
              <w:t>-35-03(C)(10), Ohio Administrative Code for The Dayton Power and Light Company</w:t>
            </w:r>
            <w:r w:rsidR="00446631">
              <w:rPr>
                <w:rFonts w:ascii="Times New Roman" w:hAnsi="Times New Roman" w:cs="Times New Roman"/>
                <w:sz w:val="24"/>
                <w:szCs w:val="24"/>
              </w:rPr>
              <w:t xml:space="preserve"> d/b/a AES Ohio</w:t>
            </w:r>
            <w:r w:rsidR="00D77E24">
              <w:rPr>
                <w:rFonts w:ascii="Times New Roman" w:hAnsi="Times New Roman" w:cs="Times New Roman"/>
                <w:sz w:val="24"/>
                <w:szCs w:val="24"/>
              </w:rPr>
              <w:t>.</w:t>
            </w:r>
          </w:p>
          <w:p w:rsidR="00A044B5" w:rsidRPr="00A044B5" w14:paraId="30F8EF4B" w14:textId="77777777">
            <w:pPr>
              <w:pStyle w:val="HTMLPreformatted"/>
              <w:rPr>
                <w:rFonts w:ascii="Times New Roman" w:hAnsi="Times New Roman"/>
                <w:sz w:val="24"/>
                <w:szCs w:val="24"/>
              </w:rPr>
            </w:pPr>
          </w:p>
        </w:tc>
        <w:tc>
          <w:tcPr>
            <w:tcW w:w="295" w:type="dxa"/>
            <w:shd w:val="clear" w:color="auto" w:fill="auto"/>
          </w:tcPr>
          <w:p w:rsidR="00A044B5" w:rsidRPr="00A044B5" w14:paraId="5900D867" w14:textId="77777777">
            <w:pPr>
              <w:pStyle w:val="HTMLPreformatted"/>
              <w:rPr>
                <w:rFonts w:ascii="Times New Roman" w:hAnsi="Times New Roman"/>
                <w:sz w:val="24"/>
              </w:rPr>
            </w:pPr>
            <w:r w:rsidRPr="00A044B5">
              <w:rPr>
                <w:rFonts w:ascii="Times New Roman" w:hAnsi="Times New Roman"/>
                <w:sz w:val="24"/>
              </w:rPr>
              <w:t>)</w:t>
            </w:r>
          </w:p>
          <w:p w:rsidR="00A044B5" w:rsidRPr="00A044B5" w14:paraId="107ABE30"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FDEF7F3" w14:textId="77777777">
            <w:pPr>
              <w:pStyle w:val="HTMLPreformatted"/>
              <w:rPr>
                <w:rFonts w:ascii="Times New Roman" w:hAnsi="Times New Roman"/>
                <w:sz w:val="24"/>
              </w:rPr>
            </w:pPr>
            <w:r w:rsidRPr="00A044B5">
              <w:rPr>
                <w:rFonts w:ascii="Times New Roman" w:hAnsi="Times New Roman"/>
                <w:sz w:val="24"/>
              </w:rPr>
              <w:t>)</w:t>
            </w:r>
          </w:p>
          <w:p w:rsidR="00A044B5" w14:paraId="37DB0E2E" w14:textId="77777777">
            <w:pPr>
              <w:pStyle w:val="HTMLPreformatted"/>
              <w:rPr>
                <w:rFonts w:ascii="Times New Roman" w:hAnsi="Times New Roman"/>
                <w:sz w:val="24"/>
              </w:rPr>
            </w:pPr>
            <w:r w:rsidRPr="00A044B5">
              <w:rPr>
                <w:rFonts w:ascii="Times New Roman" w:hAnsi="Times New Roman"/>
                <w:sz w:val="24"/>
              </w:rPr>
              <w:t>)</w:t>
            </w:r>
          </w:p>
          <w:p w:rsidR="003C7F28" w14:paraId="69BBB993" w14:textId="77777777">
            <w:pPr>
              <w:pStyle w:val="HTMLPreformatted"/>
              <w:rPr>
                <w:rFonts w:ascii="Times New Roman" w:hAnsi="Times New Roman"/>
                <w:sz w:val="24"/>
              </w:rPr>
            </w:pPr>
            <w:r>
              <w:rPr>
                <w:rFonts w:ascii="Times New Roman" w:hAnsi="Times New Roman"/>
                <w:sz w:val="24"/>
              </w:rPr>
              <w:t>)</w:t>
            </w:r>
          </w:p>
          <w:p w:rsidR="003C7F28" w14:paraId="61CB2573" w14:textId="5E657488">
            <w:pPr>
              <w:pStyle w:val="HTMLPreformatted"/>
              <w:rPr>
                <w:rFonts w:ascii="Times New Roman" w:hAnsi="Times New Roman"/>
                <w:sz w:val="24"/>
              </w:rPr>
            </w:pPr>
            <w:r>
              <w:rPr>
                <w:rFonts w:ascii="Times New Roman" w:hAnsi="Times New Roman"/>
                <w:sz w:val="24"/>
              </w:rPr>
              <w:t>)</w:t>
            </w:r>
          </w:p>
          <w:p w:rsidR="00446631" w14:paraId="75347AF7" w14:textId="795E55B4">
            <w:pPr>
              <w:pStyle w:val="HTMLPreformatted"/>
              <w:rPr>
                <w:rFonts w:ascii="Times New Roman" w:hAnsi="Times New Roman"/>
                <w:sz w:val="24"/>
              </w:rPr>
            </w:pPr>
            <w:r>
              <w:rPr>
                <w:rFonts w:ascii="Times New Roman" w:hAnsi="Times New Roman"/>
                <w:sz w:val="24"/>
              </w:rPr>
              <w:t>)</w:t>
            </w:r>
          </w:p>
          <w:p w:rsidR="003C7F28" w:rsidRPr="00A044B5" w14:paraId="49689FF1" w14:textId="4883A2C3">
            <w:pPr>
              <w:pStyle w:val="HTMLPreformatted"/>
              <w:rPr>
                <w:rFonts w:ascii="Times New Roman" w:hAnsi="Times New Roman"/>
                <w:sz w:val="24"/>
              </w:rPr>
            </w:pPr>
          </w:p>
        </w:tc>
        <w:tc>
          <w:tcPr>
            <w:tcW w:w="4205" w:type="dxa"/>
            <w:shd w:val="clear" w:color="auto" w:fill="auto"/>
          </w:tcPr>
          <w:p w:rsidR="00A044B5" w:rsidRPr="00A044B5" w14:paraId="4DCCC15C" w14:textId="77777777">
            <w:pPr>
              <w:pStyle w:val="HTMLPreformatted"/>
              <w:rPr>
                <w:rFonts w:ascii="Times New Roman" w:hAnsi="Times New Roman"/>
                <w:sz w:val="24"/>
              </w:rPr>
            </w:pPr>
          </w:p>
          <w:p w:rsidR="00A044B5" w:rsidRPr="00A044B5" w14:paraId="4322B3F9" w14:textId="77777777">
            <w:pPr>
              <w:pStyle w:val="HTMLPreformatted"/>
              <w:rPr>
                <w:rFonts w:ascii="Times New Roman" w:hAnsi="Times New Roman"/>
                <w:sz w:val="24"/>
              </w:rPr>
            </w:pPr>
          </w:p>
          <w:p w:rsidR="00A044B5" w14:paraId="255F3139" w14:textId="17DE8EFB">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w:t>
            </w:r>
            <w:r w:rsidR="00446631">
              <w:rPr>
                <w:rFonts w:ascii="Times New Roman" w:hAnsi="Times New Roman"/>
                <w:sz w:val="24"/>
              </w:rPr>
              <w:t>1</w:t>
            </w:r>
            <w:r>
              <w:rPr>
                <w:rFonts w:ascii="Times New Roman" w:hAnsi="Times New Roman" w:cs="Times New Roman"/>
                <w:sz w:val="24"/>
                <w:szCs w:val="24"/>
              </w:rPr>
              <w:t>-</w:t>
            </w:r>
            <w:r w:rsidR="00446631">
              <w:rPr>
                <w:rFonts w:ascii="Times New Roman" w:hAnsi="Times New Roman" w:cs="Times New Roman"/>
                <w:sz w:val="24"/>
                <w:szCs w:val="24"/>
              </w:rPr>
              <w:t>588</w:t>
            </w:r>
            <w:r w:rsidRPr="00B65A3A">
              <w:rPr>
                <w:rFonts w:ascii="Times New Roman" w:hAnsi="Times New Roman" w:cs="Times New Roman"/>
                <w:sz w:val="24"/>
                <w:szCs w:val="24"/>
              </w:rPr>
              <w:t>-</w:t>
            </w:r>
            <w:r>
              <w:rPr>
                <w:rFonts w:ascii="Times New Roman" w:hAnsi="Times New Roman" w:cs="Times New Roman"/>
                <w:sz w:val="24"/>
                <w:szCs w:val="24"/>
              </w:rPr>
              <w:t>EL</w:t>
            </w:r>
            <w:r w:rsidRPr="00B65A3A">
              <w:rPr>
                <w:rFonts w:ascii="Times New Roman" w:hAnsi="Times New Roman" w:cs="Times New Roman"/>
                <w:sz w:val="24"/>
                <w:szCs w:val="24"/>
              </w:rPr>
              <w:t>-</w:t>
            </w:r>
            <w:r>
              <w:rPr>
                <w:rFonts w:ascii="Times New Roman" w:hAnsi="Times New Roman" w:cs="Times New Roman"/>
                <w:sz w:val="24"/>
                <w:szCs w:val="24"/>
              </w:rPr>
              <w:t>UNC</w:t>
            </w:r>
          </w:p>
          <w:p w:rsidR="003C7F28" w:rsidRPr="00A044B5" w14:paraId="4FF02269" w14:textId="20219447">
            <w:pPr>
              <w:pStyle w:val="HTMLPreformatted"/>
              <w:rPr>
                <w:rFonts w:ascii="Times New Roman" w:hAnsi="Times New Roman"/>
                <w:sz w:val="24"/>
              </w:rPr>
            </w:pPr>
          </w:p>
        </w:tc>
      </w:tr>
    </w:tbl>
    <w:p w:rsidR="00A044B5" w14:paraId="1DE441E2" w14:textId="77777777">
      <w:pPr>
        <w:pStyle w:val="HTMLPreformatted"/>
        <w:pBdr>
          <w:top w:val="single" w:sz="12" w:space="1" w:color="auto"/>
        </w:pBdr>
        <w:rPr>
          <w:rFonts w:ascii="Times New Roman" w:hAnsi="Times New Roman"/>
          <w:sz w:val="24"/>
        </w:rPr>
      </w:pPr>
    </w:p>
    <w:p w:rsidR="00A044B5" w14:paraId="58C04A60" w14:textId="77777777">
      <w:pPr>
        <w:jc w:val="center"/>
        <w:rPr>
          <w:b/>
          <w:bCs/>
        </w:rPr>
      </w:pPr>
      <w:r>
        <w:rPr>
          <w:b/>
          <w:bCs/>
        </w:rPr>
        <w:t>MOTION TO INTERVENE</w:t>
      </w:r>
    </w:p>
    <w:p w:rsidR="00A044B5" w14:paraId="63F22575" w14:textId="77777777">
      <w:pPr>
        <w:jc w:val="center"/>
        <w:rPr>
          <w:b/>
          <w:bCs/>
        </w:rPr>
      </w:pPr>
      <w:r>
        <w:rPr>
          <w:b/>
          <w:bCs/>
        </w:rPr>
        <w:t>BY</w:t>
      </w:r>
    </w:p>
    <w:p w:rsidR="00A044B5" w14:paraId="5B93D883" w14:textId="667CA58B">
      <w:pPr>
        <w:jc w:val="center"/>
        <w:rPr>
          <w:b/>
          <w:bCs/>
        </w:rPr>
      </w:pPr>
      <w:r>
        <w:rPr>
          <w:b/>
          <w:bCs/>
        </w:rPr>
        <w:t>OFFICE OF THE OHIO CONSUMERS’ COUNSEL</w:t>
      </w:r>
    </w:p>
    <w:p w:rsidR="00A044B5" w14:paraId="51E5FFB7" w14:textId="77777777">
      <w:pPr>
        <w:pBdr>
          <w:bottom w:val="single" w:sz="12" w:space="1" w:color="auto"/>
        </w:pBdr>
        <w:tabs>
          <w:tab w:val="left" w:pos="4320"/>
        </w:tabs>
      </w:pPr>
    </w:p>
    <w:p w:rsidR="00A044B5" w14:paraId="7F8FFF6B" w14:textId="77777777">
      <w:pPr>
        <w:tabs>
          <w:tab w:val="left" w:pos="4320"/>
        </w:tabs>
      </w:pPr>
    </w:p>
    <w:p w:rsidR="00311158" w14:paraId="5246BA4F" w14:textId="7E104FD8">
      <w:pPr>
        <w:pStyle w:val="BodyTextIndent3"/>
        <w:widowControl w:val="0"/>
        <w:spacing w:line="480" w:lineRule="auto"/>
        <w:ind w:right="-312"/>
      </w:pPr>
      <w:r>
        <w:t>The Office of the Ohio Consumers’ Counsel (“OCC”) moves to intervene</w:t>
      </w:r>
      <w:r>
        <w:rPr>
          <w:rStyle w:val="FootnoteReference"/>
        </w:rPr>
        <w:footnoteReference w:id="2"/>
      </w:r>
      <w:r>
        <w:t xml:space="preserve"> where the Public Utilities Commission of Ohio (“PUCO”) will examine </w:t>
      </w:r>
      <w:r w:rsidR="00B202D4">
        <w:t>The Dayton Power and Light Company’s (“DP&amp;L”</w:t>
      </w:r>
      <w:r w:rsidR="001B36D5">
        <w:t xml:space="preserve"> or “AES”</w:t>
      </w:r>
      <w:r w:rsidR="00B202D4">
        <w:t>)</w:t>
      </w:r>
      <w:r>
        <w:t xml:space="preserve"> 20</w:t>
      </w:r>
      <w:r w:rsidR="00D16CB1">
        <w:t>20</w:t>
      </w:r>
      <w:r>
        <w:t xml:space="preserve"> </w:t>
      </w:r>
      <w:r w:rsidR="000072ED">
        <w:t>profits</w:t>
      </w:r>
      <w:r>
        <w:t xml:space="preserve"> to determine if they were “significantly excessive” and if customers are entitled to a refund. </w:t>
      </w:r>
    </w:p>
    <w:p w:rsidR="00CB2870" w:rsidP="00D10B26" w14:paraId="7C213F98" w14:textId="04AADA54">
      <w:pPr>
        <w:pStyle w:val="BodyTextIndent3"/>
        <w:widowControl w:val="0"/>
        <w:spacing w:line="480" w:lineRule="auto"/>
        <w:ind w:right="-312"/>
        <w:rPr>
          <w:szCs w:val="24"/>
        </w:rPr>
        <w:sectPr w:rsidSect="00EE4436">
          <w:footerReference w:type="default" r:id="rId6"/>
          <w:footerReference w:type="first" r:id="rId7"/>
          <w:pgSz w:w="12240" w:h="15840"/>
          <w:pgMar w:top="1440" w:right="1800" w:bottom="1440" w:left="1800" w:header="720" w:footer="720" w:gutter="0"/>
          <w:pgNumType w:start="2"/>
          <w:cols w:space="720"/>
          <w:titlePg/>
          <w:docGrid w:linePitch="65"/>
        </w:sectPr>
      </w:pPr>
      <w:r>
        <w:t xml:space="preserve">In this regard, </w:t>
      </w:r>
      <w:r w:rsidR="00B202D4">
        <w:t>DP&amp;L</w:t>
      </w:r>
      <w:r>
        <w:t xml:space="preserve"> asserts that its </w:t>
      </w:r>
      <w:r w:rsidR="00892D26">
        <w:t>profits</w:t>
      </w:r>
      <w:r>
        <w:t xml:space="preserve"> in 20</w:t>
      </w:r>
      <w:r w:rsidR="00D16CB1">
        <w:t>20</w:t>
      </w:r>
      <w:r>
        <w:t xml:space="preserve"> were $</w:t>
      </w:r>
      <w:r w:rsidR="00474504">
        <w:t>5</w:t>
      </w:r>
      <w:r w:rsidR="00CD2630">
        <w:t>0</w:t>
      </w:r>
      <w:r w:rsidR="00474504">
        <w:t>,</w:t>
      </w:r>
      <w:r w:rsidR="008201C9">
        <w:t>879</w:t>
      </w:r>
      <w:r w:rsidR="000E132C">
        <w:t>,000</w:t>
      </w:r>
      <w:r w:rsidR="00DF6058">
        <w:t xml:space="preserve"> and that its unadjusted per books return on equity was 8.9%.</w:t>
      </w:r>
      <w:r>
        <w:rPr>
          <w:rStyle w:val="FootnoteReference"/>
        </w:rPr>
        <w:footnoteReference w:id="3"/>
      </w:r>
      <w:r w:rsidR="00DF6058">
        <w:t xml:space="preserve"> However, for purposes of the Significantly Excessive Earnings Test (“SEET”) under R.C. </w:t>
      </w:r>
      <w:r w:rsidR="00DF6058">
        <w:rPr>
          <w:szCs w:val="24"/>
        </w:rPr>
        <w:t xml:space="preserve">4928.143(F), DP&amp;L </w:t>
      </w:r>
      <w:r w:rsidR="00D10B26">
        <w:rPr>
          <w:szCs w:val="24"/>
        </w:rPr>
        <w:t xml:space="preserve">calculated </w:t>
      </w:r>
      <w:r w:rsidR="000072ED">
        <w:rPr>
          <w:szCs w:val="24"/>
        </w:rPr>
        <w:t>an</w:t>
      </w:r>
      <w:r w:rsidR="00D10B26">
        <w:rPr>
          <w:szCs w:val="24"/>
        </w:rPr>
        <w:t xml:space="preserve"> adjusted </w:t>
      </w:r>
      <w:r w:rsidR="00DC4867">
        <w:rPr>
          <w:szCs w:val="24"/>
        </w:rPr>
        <w:t>return on equity</w:t>
      </w:r>
      <w:r w:rsidR="00D10B26">
        <w:rPr>
          <w:szCs w:val="24"/>
        </w:rPr>
        <w:t xml:space="preserve"> of just 3%. DP&amp;L’s adjusted </w:t>
      </w:r>
      <w:r w:rsidR="00DC4867">
        <w:rPr>
          <w:szCs w:val="24"/>
        </w:rPr>
        <w:t xml:space="preserve">return on equity </w:t>
      </w:r>
      <w:r w:rsidR="00D10B26">
        <w:rPr>
          <w:szCs w:val="24"/>
        </w:rPr>
        <w:t>is based on improper adjustments that result in understated profits to DP&amp;L that could negatively impact potential refunds to consumers. In addition, DP&amp;L’s proposed SEET threshold of 15.72% to 19.80% is unreasonably high</w:t>
      </w:r>
      <w:r w:rsidR="0010225C">
        <w:rPr>
          <w:szCs w:val="24"/>
        </w:rPr>
        <w:t xml:space="preserve"> and should be rejected by the PUCO</w:t>
      </w:r>
      <w:r w:rsidR="00D10B26">
        <w:rPr>
          <w:szCs w:val="24"/>
        </w:rPr>
        <w:t xml:space="preserve">. </w:t>
      </w:r>
    </w:p>
    <w:p w:rsidR="00A23C37" w:rsidP="00957098" w14:paraId="35CE25E4" w14:textId="2BCC1EB3">
      <w:pPr>
        <w:pStyle w:val="BodyTextIndent3"/>
        <w:widowControl w:val="0"/>
        <w:spacing w:line="480" w:lineRule="auto"/>
        <w:ind w:right="-312"/>
        <w:rPr>
          <w:szCs w:val="24"/>
        </w:rPr>
      </w:pPr>
      <w:r>
        <w:t xml:space="preserve">OCC is filing on behalf of </w:t>
      </w:r>
      <w:r w:rsidR="005A293B">
        <w:t>DP&amp;L’s</w:t>
      </w:r>
      <w:r>
        <w:t xml:space="preserve"> </w:t>
      </w:r>
      <w:r w:rsidR="005A293B">
        <w:t>465,000</w:t>
      </w:r>
      <w:r>
        <w:t xml:space="preserve"> residential electric utility customers. The reasons the PUCO should grant OCC’s Motion are further set forth in the attached Memorandum in Support.</w:t>
      </w:r>
    </w:p>
    <w:p w:rsidR="00A044B5" w:rsidP="00A037BB" w14:paraId="40906063" w14:textId="77777777">
      <w:pPr>
        <w:pStyle w:val="BodyTextIndent3"/>
        <w:widowControl w:val="0"/>
        <w:spacing w:line="480" w:lineRule="auto"/>
        <w:ind w:left="3600" w:right="-677" w:firstLine="0"/>
        <w:rPr>
          <w:szCs w:val="24"/>
        </w:rPr>
      </w:pPr>
      <w:r>
        <w:rPr>
          <w:szCs w:val="24"/>
        </w:rPr>
        <w:t>Respectfully submitted,</w:t>
      </w:r>
    </w:p>
    <w:p w:rsidR="00A044B5" w:rsidP="00A037BB" w14:paraId="7DCE9785" w14:textId="77777777">
      <w:pPr>
        <w:pStyle w:val="Footer"/>
        <w:tabs>
          <w:tab w:val="left" w:pos="4320"/>
          <w:tab w:val="clear" w:pos="8640"/>
        </w:tabs>
        <w:ind w:left="3600"/>
        <w:rPr>
          <w:sz w:val="24"/>
          <w:szCs w:val="24"/>
        </w:rPr>
      </w:pPr>
      <w:r>
        <w:rPr>
          <w:sz w:val="24"/>
          <w:szCs w:val="24"/>
        </w:rPr>
        <w:t>Bruce Weston (0016973)</w:t>
      </w:r>
    </w:p>
    <w:p w:rsidR="00A044B5" w:rsidP="00BE2568" w14:paraId="7997B62F" w14:textId="77777777">
      <w:pPr>
        <w:tabs>
          <w:tab w:val="left" w:pos="4320"/>
        </w:tabs>
        <w:ind w:left="3600"/>
        <w:rPr>
          <w:szCs w:val="24"/>
        </w:rPr>
      </w:pPr>
      <w:r>
        <w:rPr>
          <w:szCs w:val="24"/>
        </w:rPr>
        <w:t>Ohio Consumers’ Counsel</w:t>
      </w:r>
    </w:p>
    <w:p w:rsidR="00A044B5" w14:paraId="4C35266E" w14:textId="77777777">
      <w:pPr>
        <w:tabs>
          <w:tab w:val="left" w:pos="4320"/>
        </w:tabs>
        <w:rPr>
          <w:szCs w:val="24"/>
        </w:rPr>
      </w:pPr>
      <w:r>
        <w:rPr>
          <w:szCs w:val="24"/>
        </w:rPr>
        <w:tab/>
      </w:r>
    </w:p>
    <w:p w:rsidR="00A044B5" w:rsidRPr="004535A2" w:rsidP="00BE2568" w14:paraId="2E101F75" w14:textId="2C3ECEF1">
      <w:pPr>
        <w:tabs>
          <w:tab w:val="left" w:pos="4320"/>
        </w:tabs>
        <w:ind w:left="3600"/>
        <w:rPr>
          <w:i/>
          <w:szCs w:val="24"/>
          <w:u w:val="single"/>
        </w:rPr>
      </w:pPr>
      <w:r>
        <w:rPr>
          <w:i/>
          <w:szCs w:val="24"/>
          <w:u w:val="single"/>
        </w:rPr>
        <w:t>/s/ Angela</w:t>
      </w:r>
      <w:r w:rsidR="008B07AC">
        <w:rPr>
          <w:i/>
          <w:szCs w:val="24"/>
          <w:u w:val="single"/>
        </w:rPr>
        <w:t xml:space="preserve"> </w:t>
      </w:r>
      <w:r w:rsidR="00CB2870">
        <w:rPr>
          <w:i/>
          <w:szCs w:val="24"/>
          <w:u w:val="single"/>
        </w:rPr>
        <w:t xml:space="preserve">D. </w:t>
      </w:r>
      <w:r>
        <w:rPr>
          <w:i/>
          <w:szCs w:val="24"/>
          <w:u w:val="single"/>
        </w:rPr>
        <w:t>O’Brien</w:t>
      </w:r>
      <w:r>
        <w:rPr>
          <w:i/>
          <w:szCs w:val="24"/>
          <w:u w:val="single"/>
        </w:rPr>
        <w:tab/>
      </w:r>
      <w:r>
        <w:rPr>
          <w:i/>
          <w:szCs w:val="24"/>
          <w:u w:val="single"/>
        </w:rPr>
        <w:tab/>
      </w:r>
      <w:r>
        <w:rPr>
          <w:i/>
          <w:szCs w:val="24"/>
          <w:u w:val="single"/>
        </w:rPr>
        <w:tab/>
      </w:r>
    </w:p>
    <w:p w:rsidR="00B379B2" w:rsidP="00BE2568" w14:paraId="3B9388A5" w14:textId="5372DFD4">
      <w:pPr>
        <w:tabs>
          <w:tab w:val="left" w:pos="4320"/>
        </w:tabs>
        <w:ind w:left="3600"/>
        <w:rPr>
          <w:sz w:val="28"/>
          <w:szCs w:val="28"/>
        </w:rPr>
      </w:pPr>
      <w:r>
        <w:rPr>
          <w:szCs w:val="24"/>
        </w:rPr>
        <w:t xml:space="preserve">Angela </w:t>
      </w:r>
      <w:r w:rsidR="00CB2870">
        <w:rPr>
          <w:szCs w:val="24"/>
        </w:rPr>
        <w:t xml:space="preserve">D. </w:t>
      </w:r>
      <w:r>
        <w:rPr>
          <w:szCs w:val="24"/>
        </w:rPr>
        <w:t>O’Brien (</w:t>
      </w:r>
      <w:r w:rsidRPr="00B379B2">
        <w:rPr>
          <w:szCs w:val="24"/>
        </w:rPr>
        <w:t>0097579)</w:t>
      </w:r>
      <w:r>
        <w:rPr>
          <w:sz w:val="28"/>
          <w:szCs w:val="28"/>
        </w:rPr>
        <w:t xml:space="preserve"> </w:t>
      </w:r>
    </w:p>
    <w:p w:rsidR="00A044B5" w:rsidP="00BE2568" w14:paraId="25EE042D" w14:textId="77777777">
      <w:pPr>
        <w:tabs>
          <w:tab w:val="left" w:pos="4320"/>
        </w:tabs>
        <w:ind w:left="3600"/>
        <w:rPr>
          <w:szCs w:val="24"/>
        </w:rPr>
      </w:pPr>
      <w:r>
        <w:rPr>
          <w:szCs w:val="24"/>
        </w:rPr>
        <w:t>Counsel of Record</w:t>
      </w:r>
    </w:p>
    <w:p w:rsidR="0067510C" w:rsidP="00BE2568" w14:paraId="3722EAD8" w14:textId="1DC02BBE">
      <w:pPr>
        <w:tabs>
          <w:tab w:val="left" w:pos="4320"/>
        </w:tabs>
        <w:ind w:left="3600"/>
        <w:rPr>
          <w:szCs w:val="24"/>
        </w:rPr>
      </w:pPr>
      <w:r>
        <w:rPr>
          <w:szCs w:val="24"/>
        </w:rPr>
        <w:t>Christopher Healey</w:t>
      </w:r>
      <w:r w:rsidR="005A293B">
        <w:rPr>
          <w:szCs w:val="24"/>
        </w:rPr>
        <w:t xml:space="preserve"> (</w:t>
      </w:r>
      <w:r w:rsidR="00F10A6C">
        <w:rPr>
          <w:szCs w:val="24"/>
        </w:rPr>
        <w:t>00</w:t>
      </w:r>
      <w:r>
        <w:rPr>
          <w:szCs w:val="24"/>
        </w:rPr>
        <w:t>86027</w:t>
      </w:r>
      <w:r w:rsidR="00F10A6C">
        <w:rPr>
          <w:szCs w:val="24"/>
        </w:rPr>
        <w:t>)</w:t>
      </w:r>
    </w:p>
    <w:p w:rsidR="00A044B5" w:rsidP="00A037BB" w14:paraId="519838A9" w14:textId="77777777">
      <w:pPr>
        <w:tabs>
          <w:tab w:val="left" w:pos="4320"/>
        </w:tabs>
        <w:ind w:left="3600"/>
        <w:rPr>
          <w:szCs w:val="24"/>
        </w:rPr>
      </w:pPr>
      <w:r>
        <w:rPr>
          <w:szCs w:val="24"/>
        </w:rPr>
        <w:t>Assistant Consumers’ Counsel</w:t>
      </w:r>
    </w:p>
    <w:p w:rsidR="00A044B5" w:rsidP="00A037BB" w14:paraId="57C27D37" w14:textId="77777777">
      <w:pPr>
        <w:pStyle w:val="Heading1"/>
        <w:spacing w:before="120"/>
        <w:ind w:left="3600" w:right="-648"/>
        <w:rPr>
          <w:u w:val="none"/>
        </w:rPr>
      </w:pPr>
      <w:r>
        <w:rPr>
          <w:u w:val="none"/>
        </w:rPr>
        <w:t>Office of the Ohio Consumers’ Counsel</w:t>
      </w:r>
    </w:p>
    <w:p w:rsidR="00A044B5" w:rsidP="00BE2568" w14:paraId="5B4A8E4E" w14:textId="77777777">
      <w:pPr>
        <w:pStyle w:val="Heading1"/>
        <w:ind w:left="3600" w:right="-648"/>
        <w:rPr>
          <w:b w:val="0"/>
          <w:u w:val="none"/>
        </w:rPr>
      </w:pPr>
      <w:r>
        <w:rPr>
          <w:b w:val="0"/>
          <w:u w:val="none"/>
        </w:rPr>
        <w:t>65 East State Street, 7</w:t>
      </w:r>
      <w:r w:rsidRPr="00CB2870">
        <w:rPr>
          <w:b w:val="0"/>
          <w:u w:val="none"/>
        </w:rPr>
        <w:t>th</w:t>
      </w:r>
      <w:r>
        <w:rPr>
          <w:b w:val="0"/>
          <w:u w:val="none"/>
        </w:rPr>
        <w:t xml:space="preserve"> Floor</w:t>
      </w:r>
    </w:p>
    <w:p w:rsidR="00A044B5" w:rsidP="00BE2568" w14:paraId="564232AE" w14:textId="77777777">
      <w:pPr>
        <w:pStyle w:val="Heading1"/>
        <w:ind w:left="3600" w:right="-648"/>
        <w:rPr>
          <w:b w:val="0"/>
          <w:u w:val="none"/>
        </w:rPr>
      </w:pPr>
      <w:r>
        <w:rPr>
          <w:b w:val="0"/>
          <w:u w:val="none"/>
        </w:rPr>
        <w:t>Columbus, Ohio 43215-4213</w:t>
      </w:r>
    </w:p>
    <w:p w:rsidR="00A044B5" w:rsidP="00BE2568" w14:paraId="449F3013" w14:textId="77777777">
      <w:pPr>
        <w:autoSpaceDE w:val="0"/>
        <w:autoSpaceDN w:val="0"/>
        <w:adjustRightInd w:val="0"/>
        <w:ind w:left="3600"/>
        <w:rPr>
          <w:szCs w:val="24"/>
        </w:rPr>
      </w:pPr>
      <w:r>
        <w:rPr>
          <w:szCs w:val="24"/>
        </w:rPr>
        <w:t xml:space="preserve">Telephone [O’Brien]: </w:t>
      </w:r>
      <w:r w:rsidRPr="00B379B2">
        <w:rPr>
          <w:szCs w:val="24"/>
        </w:rPr>
        <w:t>(614) 466-9531</w:t>
      </w:r>
    </w:p>
    <w:p w:rsidR="00A044B5" w:rsidP="00BE2568" w14:paraId="2A043434" w14:textId="28F5DE7E">
      <w:pPr>
        <w:autoSpaceDE w:val="0"/>
        <w:autoSpaceDN w:val="0"/>
        <w:adjustRightInd w:val="0"/>
        <w:ind w:left="3600"/>
        <w:rPr>
          <w:szCs w:val="24"/>
        </w:rPr>
      </w:pPr>
      <w:r>
        <w:rPr>
          <w:szCs w:val="24"/>
        </w:rPr>
        <w:t xml:space="preserve">Telephone </w:t>
      </w:r>
      <w:r w:rsidR="00F10A6C">
        <w:rPr>
          <w:szCs w:val="24"/>
        </w:rPr>
        <w:t>[</w:t>
      </w:r>
      <w:r w:rsidR="000072ED">
        <w:rPr>
          <w:szCs w:val="24"/>
        </w:rPr>
        <w:t>Healey</w:t>
      </w:r>
      <w:r>
        <w:rPr>
          <w:szCs w:val="24"/>
        </w:rPr>
        <w:t>]: (614) 466-</w:t>
      </w:r>
      <w:r w:rsidR="000072ED">
        <w:rPr>
          <w:szCs w:val="24"/>
        </w:rPr>
        <w:t>9571</w:t>
      </w:r>
    </w:p>
    <w:p w:rsidR="00B379B2" w:rsidP="00B379B2" w14:paraId="7E53668F" w14:textId="1C15A6E1">
      <w:pPr>
        <w:rPr>
          <w:szCs w:val="24"/>
        </w:rPr>
      </w:pPr>
      <w:r>
        <w:rPr>
          <w:szCs w:val="24"/>
        </w:rPr>
        <w:tab/>
      </w:r>
      <w:r>
        <w:rPr>
          <w:szCs w:val="24"/>
        </w:rPr>
        <w:tab/>
      </w:r>
      <w:r>
        <w:rPr>
          <w:szCs w:val="24"/>
        </w:rPr>
        <w:tab/>
      </w:r>
      <w:r>
        <w:rPr>
          <w:szCs w:val="24"/>
        </w:rPr>
        <w:tab/>
      </w:r>
      <w:r>
        <w:rPr>
          <w:szCs w:val="24"/>
        </w:rPr>
        <w:tab/>
      </w:r>
      <w:hyperlink r:id="rId8" w:history="1">
        <w:r w:rsidRPr="004B33CC" w:rsidR="00183EDE">
          <w:rPr>
            <w:rStyle w:val="Hyperlink"/>
            <w:szCs w:val="24"/>
          </w:rPr>
          <w:t>angela.obrien@occ.ohio.gov</w:t>
        </w:r>
      </w:hyperlink>
      <w:r>
        <w:rPr>
          <w:szCs w:val="24"/>
        </w:rPr>
        <w:t xml:space="preserve"> </w:t>
      </w:r>
    </w:p>
    <w:p w:rsidR="00F10A6C" w:rsidP="00B379B2" w14:paraId="0F6347EC" w14:textId="020E016D">
      <w:pPr>
        <w:rPr>
          <w:szCs w:val="24"/>
        </w:rPr>
      </w:pPr>
      <w:r>
        <w:rPr>
          <w:szCs w:val="24"/>
        </w:rPr>
        <w:tab/>
      </w:r>
      <w:r>
        <w:rPr>
          <w:szCs w:val="24"/>
        </w:rPr>
        <w:tab/>
      </w:r>
      <w:r>
        <w:rPr>
          <w:szCs w:val="24"/>
        </w:rPr>
        <w:tab/>
      </w:r>
      <w:r>
        <w:rPr>
          <w:szCs w:val="24"/>
        </w:rPr>
        <w:tab/>
      </w:r>
      <w:r>
        <w:rPr>
          <w:szCs w:val="24"/>
        </w:rPr>
        <w:tab/>
      </w:r>
      <w:hyperlink r:id="rId9" w:history="1">
        <w:r w:rsidRPr="000B4A69" w:rsidR="000072ED">
          <w:rPr>
            <w:rStyle w:val="Hyperlink"/>
            <w:szCs w:val="24"/>
          </w:rPr>
          <w:t>christopher.healey@occ.ohio.gov</w:t>
        </w:r>
      </w:hyperlink>
    </w:p>
    <w:p w:rsidR="00A044B5" w:rsidRPr="00A037BB" w:rsidP="00A037BB" w14:paraId="6E7558B4" w14:textId="41543D88">
      <w:pPr>
        <w:ind w:left="3600"/>
        <w:rPr>
          <w:szCs w:val="24"/>
        </w:rPr>
      </w:pPr>
      <w:r>
        <w:rPr>
          <w:szCs w:val="24"/>
        </w:rPr>
        <w:t>(</w:t>
      </w:r>
      <w:r w:rsidR="00EE4436">
        <w:rPr>
          <w:szCs w:val="24"/>
        </w:rPr>
        <w:t>w</w:t>
      </w:r>
      <w:r>
        <w:rPr>
          <w:szCs w:val="24"/>
        </w:rPr>
        <w:t>ill</w:t>
      </w:r>
      <w:r w:rsidR="00EE4436">
        <w:rPr>
          <w:szCs w:val="24"/>
        </w:rPr>
        <w:t>ing to</w:t>
      </w:r>
      <w:r>
        <w:rPr>
          <w:szCs w:val="24"/>
        </w:rPr>
        <w:t xml:space="preserve"> accept service </w:t>
      </w:r>
      <w:r w:rsidR="00EE4436">
        <w:rPr>
          <w:szCs w:val="24"/>
        </w:rPr>
        <w:t>by</w:t>
      </w:r>
      <w:r>
        <w:rPr>
          <w:szCs w:val="24"/>
        </w:rPr>
        <w:t xml:space="preserve"> e</w:t>
      </w:r>
      <w:r w:rsidR="00EE4436">
        <w:rPr>
          <w:szCs w:val="24"/>
        </w:rPr>
        <w:t>-</w:t>
      </w:r>
      <w:r>
        <w:rPr>
          <w:szCs w:val="24"/>
        </w:rPr>
        <w:t>mail)</w:t>
      </w:r>
    </w:p>
    <w:p w:rsidR="00A044B5" w14:paraId="26D8E289" w14:textId="77777777">
      <w:pPr>
        <w:pStyle w:val="HTMLPreformatted"/>
        <w:jc w:val="center"/>
        <w:rPr>
          <w:rFonts w:ascii="Times New Roman" w:hAnsi="Times New Roman"/>
          <w:b/>
          <w:bCs/>
          <w:sz w:val="24"/>
        </w:rPr>
      </w:pPr>
    </w:p>
    <w:p w:rsidR="002D2E36" w14:paraId="69776008" w14:textId="77777777">
      <w:pPr>
        <w:pStyle w:val="HTMLPreformatted"/>
        <w:jc w:val="center"/>
        <w:rPr>
          <w:rFonts w:ascii="Times New Roman" w:hAnsi="Times New Roman"/>
          <w:b/>
          <w:bCs/>
          <w:sz w:val="24"/>
        </w:rPr>
        <w:sectPr w:rsidSect="00EE4436">
          <w:footerReference w:type="first" r:id="rId10"/>
          <w:pgSz w:w="12240" w:h="15840"/>
          <w:pgMar w:top="1440" w:right="1800" w:bottom="1440" w:left="1800" w:header="720" w:footer="720" w:gutter="0"/>
          <w:pgNumType w:start="2"/>
          <w:cols w:space="720"/>
          <w:titlePg/>
          <w:docGrid w:linePitch="65"/>
        </w:sectPr>
      </w:pPr>
    </w:p>
    <w:p w:rsidR="00A044B5" w14:paraId="23AC10F0"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1B128E9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31F53B08" w14:textId="77777777">
      <w:pPr>
        <w:pStyle w:val="HTMLPreformatted"/>
        <w:rPr>
          <w:rFonts w:ascii="Times New Roman" w:hAnsi="Times New Roman"/>
          <w:sz w:val="24"/>
        </w:rPr>
      </w:pPr>
    </w:p>
    <w:tbl>
      <w:tblPr>
        <w:tblW w:w="8730" w:type="dxa"/>
        <w:tblLook w:val="01E0"/>
      </w:tblPr>
      <w:tblGrid>
        <w:gridCol w:w="4230"/>
        <w:gridCol w:w="296"/>
        <w:gridCol w:w="4204"/>
      </w:tblGrid>
      <w:tr w14:paraId="7EE24658" w14:textId="77777777" w:rsidTr="007105CF">
        <w:tblPrEx>
          <w:tblW w:w="8730" w:type="dxa"/>
          <w:tblLook w:val="01E0"/>
        </w:tblPrEx>
        <w:trPr>
          <w:trHeight w:val="807"/>
        </w:trPr>
        <w:tc>
          <w:tcPr>
            <w:tcW w:w="4230" w:type="dxa"/>
            <w:shd w:val="clear" w:color="auto" w:fill="auto"/>
          </w:tcPr>
          <w:p w:rsidR="00F10A6C" w:rsidRPr="00A044B5" w:rsidP="00F10A6C" w14:paraId="11F97476" w14:textId="51C0D8FD">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Significantly Excessive Earnings Test under Section 4928.143(F), Ohio Revised Code, and Rule 4901:1-35-03(C)(10), Ohio Administrative Code for The Dayton Power and Light Company</w:t>
            </w:r>
            <w:r w:rsidR="000072ED">
              <w:rPr>
                <w:rFonts w:ascii="Times New Roman" w:hAnsi="Times New Roman" w:cs="Times New Roman"/>
                <w:sz w:val="24"/>
                <w:szCs w:val="24"/>
              </w:rPr>
              <w:t xml:space="preserve"> d/b/a AES Ohio</w:t>
            </w:r>
          </w:p>
          <w:p w:rsidR="00B379B2" w:rsidRPr="00A044B5" w:rsidP="008305ED" w14:paraId="27E66545" w14:textId="53A54777">
            <w:pPr>
              <w:pStyle w:val="HTMLPreformatted"/>
              <w:rPr>
                <w:szCs w:val="24"/>
              </w:rPr>
            </w:pPr>
          </w:p>
        </w:tc>
        <w:tc>
          <w:tcPr>
            <w:tcW w:w="295" w:type="dxa"/>
            <w:shd w:val="clear" w:color="auto" w:fill="auto"/>
          </w:tcPr>
          <w:p w:rsidR="00B379B2" w:rsidRPr="00A044B5" w:rsidP="00B379B2" w14:paraId="4CC7C6DB"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2724A1A4"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4359E180" w14:textId="77777777">
            <w:pPr>
              <w:pStyle w:val="HTMLPreformatted"/>
              <w:rPr>
                <w:rFonts w:ascii="Times New Roman" w:hAnsi="Times New Roman"/>
                <w:sz w:val="24"/>
              </w:rPr>
            </w:pPr>
            <w:r w:rsidRPr="00A044B5">
              <w:rPr>
                <w:rFonts w:ascii="Times New Roman" w:hAnsi="Times New Roman"/>
                <w:sz w:val="24"/>
              </w:rPr>
              <w:t>)</w:t>
            </w:r>
          </w:p>
          <w:p w:rsidR="00B379B2" w:rsidP="00B379B2" w14:paraId="6A2CCBEE" w14:textId="77777777">
            <w:pPr>
              <w:pStyle w:val="HTMLPreformatted"/>
              <w:rPr>
                <w:rFonts w:ascii="Times New Roman" w:hAnsi="Times New Roman"/>
                <w:sz w:val="24"/>
              </w:rPr>
            </w:pPr>
            <w:r w:rsidRPr="00A044B5">
              <w:rPr>
                <w:rFonts w:ascii="Times New Roman" w:hAnsi="Times New Roman"/>
                <w:sz w:val="24"/>
              </w:rPr>
              <w:t>)</w:t>
            </w:r>
          </w:p>
          <w:p w:rsidR="00B067A0" w:rsidP="00B379B2" w14:paraId="539860E5" w14:textId="77777777">
            <w:pPr>
              <w:pStyle w:val="HTMLPreformatted"/>
              <w:rPr>
                <w:rFonts w:ascii="Times New Roman" w:hAnsi="Times New Roman"/>
                <w:sz w:val="24"/>
              </w:rPr>
            </w:pPr>
            <w:r>
              <w:rPr>
                <w:rFonts w:ascii="Times New Roman" w:hAnsi="Times New Roman"/>
                <w:sz w:val="24"/>
              </w:rPr>
              <w:t>)</w:t>
            </w:r>
          </w:p>
          <w:p w:rsidR="00B067A0" w:rsidP="00B379B2" w14:paraId="17CA1F90" w14:textId="6E514783">
            <w:pPr>
              <w:pStyle w:val="HTMLPreformatted"/>
              <w:rPr>
                <w:rFonts w:ascii="Times New Roman" w:hAnsi="Times New Roman"/>
                <w:sz w:val="24"/>
              </w:rPr>
            </w:pPr>
            <w:r>
              <w:rPr>
                <w:rFonts w:ascii="Times New Roman" w:hAnsi="Times New Roman"/>
                <w:sz w:val="24"/>
              </w:rPr>
              <w:t>)</w:t>
            </w:r>
          </w:p>
          <w:p w:rsidR="000072ED" w:rsidP="00B379B2" w14:paraId="3F31521E" w14:textId="62282788">
            <w:pPr>
              <w:pStyle w:val="HTMLPreformatted"/>
              <w:rPr>
                <w:rFonts w:ascii="Times New Roman" w:hAnsi="Times New Roman"/>
                <w:sz w:val="24"/>
              </w:rPr>
            </w:pPr>
            <w:r>
              <w:rPr>
                <w:rFonts w:ascii="Times New Roman" w:hAnsi="Times New Roman"/>
                <w:sz w:val="24"/>
              </w:rPr>
              <w:t>)</w:t>
            </w:r>
          </w:p>
          <w:p w:rsidR="00B067A0" w:rsidRPr="00A044B5" w:rsidP="00B379B2" w14:paraId="4029A025" w14:textId="29F5975A">
            <w:pPr>
              <w:pStyle w:val="HTMLPreformatted"/>
              <w:rPr>
                <w:rFonts w:ascii="Times New Roman" w:hAnsi="Times New Roman"/>
                <w:sz w:val="24"/>
              </w:rPr>
            </w:pPr>
          </w:p>
        </w:tc>
        <w:tc>
          <w:tcPr>
            <w:tcW w:w="4205" w:type="dxa"/>
            <w:shd w:val="clear" w:color="auto" w:fill="auto"/>
          </w:tcPr>
          <w:p w:rsidR="00B379B2" w:rsidRPr="00A044B5" w:rsidP="00B379B2" w14:paraId="17F17433" w14:textId="77777777">
            <w:pPr>
              <w:pStyle w:val="HTMLPreformatted"/>
              <w:rPr>
                <w:rFonts w:ascii="Times New Roman" w:hAnsi="Times New Roman"/>
                <w:sz w:val="24"/>
              </w:rPr>
            </w:pPr>
          </w:p>
          <w:p w:rsidR="00B379B2" w:rsidRPr="00A044B5" w:rsidP="00B379B2" w14:paraId="25038A51" w14:textId="77777777">
            <w:pPr>
              <w:pStyle w:val="HTMLPreformatted"/>
              <w:rPr>
                <w:rFonts w:ascii="Times New Roman" w:hAnsi="Times New Roman"/>
                <w:sz w:val="24"/>
              </w:rPr>
            </w:pPr>
          </w:p>
          <w:p w:rsidR="00B379B2" w:rsidP="00B379B2" w14:paraId="13DE0B56" w14:textId="5E70869E">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w:t>
            </w:r>
            <w:r w:rsidR="000072ED">
              <w:rPr>
                <w:rFonts w:ascii="Times New Roman" w:hAnsi="Times New Roman"/>
                <w:sz w:val="24"/>
              </w:rPr>
              <w:t>1</w:t>
            </w:r>
            <w:r>
              <w:rPr>
                <w:rFonts w:ascii="Times New Roman" w:hAnsi="Times New Roman" w:cs="Times New Roman"/>
                <w:sz w:val="24"/>
                <w:szCs w:val="24"/>
              </w:rPr>
              <w:t>-</w:t>
            </w:r>
            <w:r w:rsidR="000072ED">
              <w:rPr>
                <w:rFonts w:ascii="Times New Roman" w:hAnsi="Times New Roman" w:cs="Times New Roman"/>
                <w:sz w:val="24"/>
                <w:szCs w:val="24"/>
              </w:rPr>
              <w:t>588</w:t>
            </w:r>
            <w:r w:rsidRPr="00B65A3A">
              <w:rPr>
                <w:rFonts w:ascii="Times New Roman" w:hAnsi="Times New Roman" w:cs="Times New Roman"/>
                <w:sz w:val="24"/>
                <w:szCs w:val="24"/>
              </w:rPr>
              <w:t>-</w:t>
            </w:r>
            <w:r>
              <w:rPr>
                <w:rFonts w:ascii="Times New Roman" w:hAnsi="Times New Roman" w:cs="Times New Roman"/>
                <w:sz w:val="24"/>
                <w:szCs w:val="24"/>
              </w:rPr>
              <w:t>EL</w:t>
            </w:r>
            <w:r w:rsidRPr="00B65A3A">
              <w:rPr>
                <w:rFonts w:ascii="Times New Roman" w:hAnsi="Times New Roman" w:cs="Times New Roman"/>
                <w:sz w:val="24"/>
                <w:szCs w:val="24"/>
              </w:rPr>
              <w:t>-</w:t>
            </w:r>
            <w:r>
              <w:rPr>
                <w:rFonts w:ascii="Times New Roman" w:hAnsi="Times New Roman" w:cs="Times New Roman"/>
                <w:sz w:val="24"/>
                <w:szCs w:val="24"/>
              </w:rPr>
              <w:t>UNC</w:t>
            </w:r>
          </w:p>
          <w:p w:rsidR="00380B16" w:rsidRPr="00A044B5" w:rsidP="00B379B2" w14:paraId="4865A7C7" w14:textId="47E1E526">
            <w:pPr>
              <w:pStyle w:val="HTMLPreformatted"/>
              <w:rPr>
                <w:rFonts w:ascii="Times New Roman" w:hAnsi="Times New Roman"/>
                <w:sz w:val="24"/>
              </w:rPr>
            </w:pPr>
          </w:p>
        </w:tc>
      </w:tr>
    </w:tbl>
    <w:p w:rsidR="00A044B5" w14:paraId="49B1A1FE" w14:textId="77777777">
      <w:pPr>
        <w:pStyle w:val="Heading2"/>
        <w:pBdr>
          <w:bottom w:val="single" w:sz="12" w:space="1" w:color="auto"/>
        </w:pBdr>
        <w:jc w:val="left"/>
        <w:rPr>
          <w:b w:val="0"/>
        </w:rPr>
      </w:pPr>
    </w:p>
    <w:p w:rsidR="00A044B5" w14:paraId="3EA06936" w14:textId="77777777">
      <w:pPr>
        <w:pStyle w:val="Heading2"/>
      </w:pPr>
    </w:p>
    <w:p w:rsidR="00A044B5" w14:paraId="2AF11196" w14:textId="77777777">
      <w:pPr>
        <w:pStyle w:val="Heading2"/>
        <w:pBdr>
          <w:bottom w:val="single" w:sz="12" w:space="1" w:color="auto"/>
        </w:pBdr>
      </w:pPr>
      <w:r>
        <w:t>MEMORANDUM IN SUPPORT</w:t>
      </w:r>
      <w:r>
        <w:br/>
      </w:r>
    </w:p>
    <w:p w:rsidR="00A044B5" w14:paraId="7D3C8094" w14:textId="77777777">
      <w:pPr>
        <w:pStyle w:val="BodyTextIndent"/>
        <w:spacing w:line="240" w:lineRule="auto"/>
        <w:ind w:firstLine="0"/>
        <w:rPr>
          <w:b/>
          <w:bCs/>
        </w:rPr>
      </w:pPr>
    </w:p>
    <w:p w:rsidR="00F10A6C" w:rsidP="00380B16" w14:paraId="0AA6D07A" w14:textId="22A344FF">
      <w:pPr>
        <w:pStyle w:val="BodyTextIndent3"/>
        <w:widowControl w:val="0"/>
        <w:spacing w:line="480" w:lineRule="auto"/>
        <w:ind w:right="-24" w:firstLine="0"/>
        <w:rPr>
          <w:szCs w:val="24"/>
        </w:rPr>
      </w:pPr>
      <w:r>
        <w:rPr>
          <w:szCs w:val="24"/>
        </w:rPr>
        <w:tab/>
        <w:t xml:space="preserve">DP&amp;L provides electric service to its customers through its electric security plan approved by the PUCO in accordance with the provisions of R.C. 4928.143. As a consumer protection written into the law, R.C. 4928.143(F) requires the PUCO to annually evaluate </w:t>
      </w:r>
      <w:r w:rsidR="0057296B">
        <w:rPr>
          <w:szCs w:val="24"/>
        </w:rPr>
        <w:t xml:space="preserve">whether a utility is earning too much as a result of rates charged under </w:t>
      </w:r>
      <w:r w:rsidR="0023407E">
        <w:rPr>
          <w:szCs w:val="24"/>
        </w:rPr>
        <w:t>its</w:t>
      </w:r>
      <w:r w:rsidR="0057296B">
        <w:rPr>
          <w:szCs w:val="24"/>
        </w:rPr>
        <w:t xml:space="preserve"> electric security plan. Specifically, the PUCO is charged with examining </w:t>
      </w:r>
      <w:r>
        <w:rPr>
          <w:szCs w:val="24"/>
        </w:rPr>
        <w:t xml:space="preserve">a utility’s </w:t>
      </w:r>
      <w:r w:rsidR="00BA00E7">
        <w:rPr>
          <w:szCs w:val="24"/>
        </w:rPr>
        <w:t>profits</w:t>
      </w:r>
      <w:r>
        <w:rPr>
          <w:szCs w:val="24"/>
        </w:rPr>
        <w:t xml:space="preserve"> to determine whether they are “significantly excessive” when compared to the </w:t>
      </w:r>
      <w:r w:rsidR="00BA00E7">
        <w:rPr>
          <w:szCs w:val="24"/>
        </w:rPr>
        <w:t>profits</w:t>
      </w:r>
      <w:r>
        <w:rPr>
          <w:szCs w:val="24"/>
        </w:rPr>
        <w:t xml:space="preserve"> of comparable businesses and utilities. If the PUCO determines that the plan has allowed </w:t>
      </w:r>
      <w:r w:rsidR="00BA00E7">
        <w:rPr>
          <w:szCs w:val="24"/>
        </w:rPr>
        <w:t>profits</w:t>
      </w:r>
      <w:r>
        <w:rPr>
          <w:szCs w:val="24"/>
        </w:rPr>
        <w:t xml:space="preserve"> that are significantly excessive, </w:t>
      </w:r>
      <w:r w:rsidR="007208D0">
        <w:rPr>
          <w:szCs w:val="24"/>
        </w:rPr>
        <w:t>the</w:t>
      </w:r>
      <w:r w:rsidR="001B36D5">
        <w:rPr>
          <w:szCs w:val="24"/>
        </w:rPr>
        <w:t xml:space="preserve"> increment of earnings above </w:t>
      </w:r>
      <w:r w:rsidR="007208D0">
        <w:rPr>
          <w:szCs w:val="24"/>
        </w:rPr>
        <w:t>excess</w:t>
      </w:r>
      <w:r w:rsidR="001B36D5">
        <w:rPr>
          <w:szCs w:val="24"/>
        </w:rPr>
        <w:t>ive earnings</w:t>
      </w:r>
      <w:r w:rsidR="007208D0">
        <w:rPr>
          <w:szCs w:val="24"/>
        </w:rPr>
        <w:t xml:space="preserve"> </w:t>
      </w:r>
      <w:r w:rsidR="001B36D5">
        <w:rPr>
          <w:szCs w:val="24"/>
        </w:rPr>
        <w:t xml:space="preserve">(significantly excessive) </w:t>
      </w:r>
      <w:r w:rsidR="007208D0">
        <w:rPr>
          <w:szCs w:val="24"/>
        </w:rPr>
        <w:t xml:space="preserve">must be returned to customers. </w:t>
      </w:r>
    </w:p>
    <w:p w:rsidR="00A044B5" w:rsidP="00380B16" w14:paraId="151DACD9" w14:textId="05FACA52">
      <w:pPr>
        <w:pStyle w:val="BodyTextIndent3"/>
        <w:widowControl w:val="0"/>
        <w:spacing w:line="480" w:lineRule="auto"/>
        <w:ind w:right="-24" w:firstLine="0"/>
        <w:rPr>
          <w:szCs w:val="24"/>
        </w:rPr>
      </w:pPr>
      <w:r>
        <w:rPr>
          <w:szCs w:val="24"/>
        </w:rPr>
        <w:tab/>
        <w:t xml:space="preserve">In this case, DP&amp;L </w:t>
      </w:r>
      <w:r w:rsidR="000072ED">
        <w:rPr>
          <w:szCs w:val="24"/>
        </w:rPr>
        <w:t xml:space="preserve">has proposed an adjusted </w:t>
      </w:r>
      <w:r w:rsidR="00DC4867">
        <w:rPr>
          <w:szCs w:val="24"/>
        </w:rPr>
        <w:t xml:space="preserve">return on equity </w:t>
      </w:r>
      <w:r w:rsidR="000072ED">
        <w:rPr>
          <w:szCs w:val="24"/>
        </w:rPr>
        <w:t xml:space="preserve">of 3%, far below its unadjusted per books </w:t>
      </w:r>
      <w:r w:rsidR="00DC4867">
        <w:rPr>
          <w:szCs w:val="24"/>
        </w:rPr>
        <w:t>return on equity</w:t>
      </w:r>
      <w:r w:rsidR="000072ED">
        <w:rPr>
          <w:szCs w:val="24"/>
        </w:rPr>
        <w:t xml:space="preserve"> of 8.9%. DP&amp;L’s adjusted </w:t>
      </w:r>
      <w:r w:rsidR="00DC4867">
        <w:rPr>
          <w:szCs w:val="24"/>
        </w:rPr>
        <w:t>return on equity</w:t>
      </w:r>
      <w:r w:rsidR="00E2199C">
        <w:rPr>
          <w:szCs w:val="24"/>
        </w:rPr>
        <w:t xml:space="preserve"> </w:t>
      </w:r>
      <w:r w:rsidR="00B15EA3">
        <w:rPr>
          <w:szCs w:val="24"/>
        </w:rPr>
        <w:t xml:space="preserve">is the result of the </w:t>
      </w:r>
      <w:r w:rsidR="00BA00E7">
        <w:rPr>
          <w:szCs w:val="24"/>
        </w:rPr>
        <w:t xml:space="preserve">improper </w:t>
      </w:r>
      <w:r w:rsidR="00B15EA3">
        <w:rPr>
          <w:szCs w:val="24"/>
        </w:rPr>
        <w:t xml:space="preserve">application of </w:t>
      </w:r>
      <w:r w:rsidR="00E2199C">
        <w:rPr>
          <w:szCs w:val="24"/>
        </w:rPr>
        <w:t>adjustments for property taxes in 2019 and 2020, the Tax Cuts and Jobs Act (“TCJA”) for 2019, prior generation asset impairments, and future equity contributions by DP&amp;L’s parent company for 2021.</w:t>
      </w:r>
      <w:r>
        <w:rPr>
          <w:rStyle w:val="FootnoteReference"/>
          <w:szCs w:val="24"/>
        </w:rPr>
        <w:footnoteReference w:id="4"/>
      </w:r>
      <w:r w:rsidR="00E2199C">
        <w:rPr>
          <w:szCs w:val="24"/>
        </w:rPr>
        <w:t xml:space="preserve"> These adjustments to DP&amp;L’s </w:t>
      </w:r>
      <w:r w:rsidR="00D527E2">
        <w:rPr>
          <w:szCs w:val="24"/>
        </w:rPr>
        <w:t>return on equity</w:t>
      </w:r>
      <w:r w:rsidR="00E2199C">
        <w:rPr>
          <w:szCs w:val="24"/>
        </w:rPr>
        <w:t xml:space="preserve"> for purposes of</w:t>
      </w:r>
      <w:r w:rsidR="00AD446B">
        <w:t xml:space="preserve"> the SEET review </w:t>
      </w:r>
      <w:r w:rsidR="00B15EA3">
        <w:t>are</w:t>
      </w:r>
      <w:r w:rsidR="007208D0">
        <w:t xml:space="preserve"> </w:t>
      </w:r>
      <w:r w:rsidR="009320D4">
        <w:t xml:space="preserve">unreasonable </w:t>
      </w:r>
      <w:r w:rsidR="007208D0">
        <w:t xml:space="preserve">and </w:t>
      </w:r>
      <w:r w:rsidR="00B15EA3">
        <w:t xml:space="preserve">could </w:t>
      </w:r>
      <w:r w:rsidR="00AD446B">
        <w:t xml:space="preserve">deny customers refunds </w:t>
      </w:r>
      <w:r w:rsidR="004C1D6D">
        <w:t>that</w:t>
      </w:r>
      <w:r w:rsidR="00AD446B">
        <w:t xml:space="preserve"> they are entitled to under the law.</w:t>
      </w:r>
      <w:r w:rsidR="00B15EA3">
        <w:t xml:space="preserve"> DP&amp;L also proposes an unreasonably high SEET threshold of</w:t>
      </w:r>
      <w:r w:rsidR="002F46E2">
        <w:t xml:space="preserve"> </w:t>
      </w:r>
      <w:r w:rsidR="00B15EA3">
        <w:rPr>
          <w:szCs w:val="24"/>
        </w:rPr>
        <w:t>15.72% to 19.80%,</w:t>
      </w:r>
      <w:r>
        <w:rPr>
          <w:rStyle w:val="FootnoteReference"/>
          <w:szCs w:val="24"/>
        </w:rPr>
        <w:footnoteReference w:id="5"/>
      </w:r>
      <w:r w:rsidR="00B15EA3">
        <w:rPr>
          <w:szCs w:val="24"/>
        </w:rPr>
        <w:t xml:space="preserve"> which could also negatively impact potential refunds to customers.</w:t>
      </w:r>
    </w:p>
    <w:p w:rsidR="00507BD3" w:rsidP="00380B16" w14:paraId="2E7CB6B5" w14:textId="164D2D82">
      <w:pPr>
        <w:pStyle w:val="BodyTextIndent3"/>
        <w:widowControl w:val="0"/>
        <w:spacing w:line="480" w:lineRule="auto"/>
        <w:ind w:right="-24" w:firstLine="0"/>
      </w:pPr>
      <w:r>
        <w:rPr>
          <w:szCs w:val="24"/>
        </w:rPr>
        <w:tab/>
        <w:t xml:space="preserve">Under R.C. Chapter 4911, OCC has the authority to represent the interests of </w:t>
      </w:r>
      <w:r w:rsidR="00AD446B">
        <w:rPr>
          <w:szCs w:val="24"/>
        </w:rPr>
        <w:t>DP&amp;L’s</w:t>
      </w:r>
      <w:r>
        <w:rPr>
          <w:szCs w:val="24"/>
        </w:rPr>
        <w:t xml:space="preserve"> </w:t>
      </w:r>
      <w:r w:rsidR="00AD446B">
        <w:rPr>
          <w:szCs w:val="24"/>
        </w:rPr>
        <w:t xml:space="preserve">465,000 </w:t>
      </w:r>
      <w:r>
        <w:rPr>
          <w:szCs w:val="24"/>
        </w:rPr>
        <w:t>residential utility customers.</w:t>
      </w:r>
    </w:p>
    <w:p w:rsidR="00A044B5" w:rsidP="00032774" w14:paraId="017A083D" w14:textId="21A801D4">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w:t>
      </w:r>
      <w:r w:rsidR="008B07AC">
        <w:t>DP&amp;L’s</w:t>
      </w:r>
      <w:r>
        <w:t xml:space="preserve"> residential customers in Ohio may be “adversely affected” by this case,</w:t>
      </w:r>
      <w:r w:rsidR="00032774">
        <w:t xml:space="preserve"> </w:t>
      </w:r>
      <w:r>
        <w:t xml:space="preserve">especially if those customers were unrepresented in a proceeding where the PUCO is determining whether customers are entitled to a refund </w:t>
      </w:r>
      <w:r w:rsidR="001B36D5">
        <w:t>depending upon the level of earnings derived from the</w:t>
      </w:r>
      <w:r>
        <w:t xml:space="preserve"> </w:t>
      </w:r>
      <w:r w:rsidR="007208D0">
        <w:t xml:space="preserve">electric security plan rates. </w:t>
      </w:r>
      <w:r>
        <w:t xml:space="preserve">Thus, this element of the intervention standard in R.C. 4903.221 is satisfied. </w:t>
      </w:r>
    </w:p>
    <w:p w:rsidR="00A044B5" w14:paraId="419AAE67" w14:textId="77777777">
      <w:pPr>
        <w:spacing w:line="480" w:lineRule="auto"/>
        <w:ind w:firstLine="720"/>
        <w:rPr>
          <w:szCs w:val="24"/>
        </w:rPr>
      </w:pPr>
      <w:r>
        <w:rPr>
          <w:szCs w:val="24"/>
        </w:rPr>
        <w:t>R.C. 4903.221(B) requires the PUCO to consider the following criteria in ruling on motions to intervene:</w:t>
      </w:r>
    </w:p>
    <w:p w:rsidR="00A044B5" w:rsidP="0031242C" w14:paraId="66217FA1" w14:textId="77777777">
      <w:pPr>
        <w:ind w:left="2160" w:right="720" w:hanging="720"/>
        <w:rPr>
          <w:szCs w:val="24"/>
        </w:rPr>
      </w:pPr>
      <w:r>
        <w:rPr>
          <w:szCs w:val="24"/>
        </w:rPr>
        <w:t>(1)</w:t>
      </w:r>
      <w:r>
        <w:rPr>
          <w:szCs w:val="24"/>
        </w:rPr>
        <w:tab/>
        <w:t>The nature and extent of the prospective intervenor’s interest;</w:t>
      </w:r>
    </w:p>
    <w:p w:rsidR="00A044B5" w:rsidP="0031242C" w14:paraId="2E2A4378"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14:paraId="266B0F5D" w14:textId="77777777">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14:paraId="7439222C" w14:textId="77777777">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53BBB" w:rsidP="00EE4436" w14:paraId="4EE0E573" w14:textId="77777777">
      <w:pPr>
        <w:pStyle w:val="BodyTextIndent3"/>
        <w:spacing w:line="240" w:lineRule="auto"/>
      </w:pPr>
    </w:p>
    <w:p w:rsidR="00A044B5" w14:paraId="24CF432C" w14:textId="54C9DFE8">
      <w:pPr>
        <w:pStyle w:val="BodyTextIndent3"/>
        <w:spacing w:line="480" w:lineRule="auto"/>
        <w:rPr>
          <w:szCs w:val="24"/>
        </w:rPr>
      </w:pPr>
      <w:r>
        <w:t>First, the nature and extent of OCC’s interest is representing</w:t>
      </w:r>
      <w:r w:rsidR="00AD446B">
        <w:t xml:space="preserve"> DP&amp;L’s</w:t>
      </w:r>
      <w:r>
        <w:t xml:space="preserve"> residential customers </w:t>
      </w:r>
      <w:r>
        <w:rPr>
          <w:szCs w:val="24"/>
        </w:rPr>
        <w:t xml:space="preserve">in this case where the PUCO will be determining whether </w:t>
      </w:r>
      <w:r w:rsidR="00AD446B">
        <w:rPr>
          <w:szCs w:val="24"/>
        </w:rPr>
        <w:t>DP&amp;L</w:t>
      </w:r>
      <w:r>
        <w:rPr>
          <w:szCs w:val="24"/>
        </w:rPr>
        <w:t xml:space="preserve"> had significantly excessive earnings in 20</w:t>
      </w:r>
      <w:r w:rsidR="00DB121E">
        <w:rPr>
          <w:szCs w:val="24"/>
        </w:rPr>
        <w:t>20</w:t>
      </w:r>
      <w:r>
        <w:rPr>
          <w:szCs w:val="24"/>
        </w:rPr>
        <w:t xml:space="preserve"> under its electric security plan and owes customers a refund. This interest is different from that of any other party, and especially different from that of the utility whose advocacy includes the financial interest of stockholders.</w:t>
      </w:r>
    </w:p>
    <w:p w:rsidR="008B07AC" w:rsidP="00DB121E" w14:paraId="2204A6DA" w14:textId="117D080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rates that customers pay should be no more than what is reasonable and lawful under Ohio law, for service that is adequate under Ohio law. </w:t>
      </w:r>
      <w:r w:rsidR="003423D8">
        <w:rPr>
          <w:sz w:val="24"/>
          <w:szCs w:val="24"/>
        </w:rPr>
        <w:t>T</w:t>
      </w:r>
      <w:r w:rsidR="00961642">
        <w:rPr>
          <w:sz w:val="24"/>
          <w:szCs w:val="24"/>
        </w:rPr>
        <w:t xml:space="preserve">he PUCO should </w:t>
      </w:r>
      <w:r w:rsidR="003423D8">
        <w:rPr>
          <w:sz w:val="24"/>
          <w:szCs w:val="24"/>
        </w:rPr>
        <w:t xml:space="preserve">hear recommendations from parties in this regard. The PUCO should especially hear positions on any </w:t>
      </w:r>
      <w:r w:rsidR="00DB121E">
        <w:rPr>
          <w:sz w:val="24"/>
          <w:szCs w:val="24"/>
        </w:rPr>
        <w:t>adjustments</w:t>
      </w:r>
      <w:r w:rsidR="003423D8">
        <w:rPr>
          <w:sz w:val="24"/>
          <w:szCs w:val="24"/>
        </w:rPr>
        <w:t xml:space="preserve"> proposed by DP&amp;L that would give the appearance, on paper, that DP&amp;L’s profits are lower than the level that would warrant refunds to consumers. </w:t>
      </w:r>
      <w:r>
        <w:rPr>
          <w:sz w:val="24"/>
          <w:szCs w:val="24"/>
        </w:rPr>
        <w:t xml:space="preserve">OCC’s position is therefore directly related to the merits of this case pending before the PUCO, the authority with regulatory control of public utilities’ rates and service quality in Ohio. </w:t>
      </w:r>
    </w:p>
    <w:p w:rsidR="00A044B5" w:rsidRPr="008B07AC" w:rsidP="008B07AC" w14:paraId="38F09DF5" w14:textId="298808B7">
      <w:pPr>
        <w:pStyle w:val="Footer"/>
        <w:tabs>
          <w:tab w:val="clear" w:pos="4320"/>
          <w:tab w:val="clear" w:pos="8640"/>
        </w:tabs>
        <w:spacing w:line="480" w:lineRule="auto"/>
        <w:ind w:firstLine="720"/>
        <w:rPr>
          <w:sz w:val="24"/>
          <w:szCs w:val="24"/>
        </w:rPr>
      </w:pPr>
      <w:r w:rsidRPr="008B07AC">
        <w:rPr>
          <w:sz w:val="24"/>
          <w:szCs w:val="24"/>
        </w:rPr>
        <w:t>Third, OCC’s intervention will not unduly prolong or delay the proceedings.</w:t>
      </w:r>
      <w:r w:rsidR="002F46E2">
        <w:rPr>
          <w:sz w:val="24"/>
          <w:szCs w:val="24"/>
        </w:rPr>
        <w:t xml:space="preserve"> </w:t>
      </w:r>
      <w:r w:rsidRPr="008B07AC">
        <w:rPr>
          <w:sz w:val="24"/>
          <w:szCs w:val="24"/>
        </w:rPr>
        <w:t>OCC, with its longstanding expertise and experience in PUCO proceedings, will duly allow for the efficient processing of the case with consideration of the public interest.</w:t>
      </w:r>
    </w:p>
    <w:p w:rsidR="00A044B5" w14:paraId="01E8A35D"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p>
    <w:p w:rsidR="00E16A63" w:rsidP="000F537E" w14:paraId="54CFD4B7" w14:textId="26DF5150">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decide if customers are entitled to a refund as a result of </w:t>
      </w:r>
      <w:r w:rsidR="008A09E8">
        <w:rPr>
          <w:szCs w:val="24"/>
        </w:rPr>
        <w:t>DP&amp;L’s</w:t>
      </w:r>
      <w:r>
        <w:rPr>
          <w:szCs w:val="24"/>
        </w:rPr>
        <w:t xml:space="preserve"> significantly excessive </w:t>
      </w:r>
      <w:r w:rsidR="00DB121E">
        <w:rPr>
          <w:szCs w:val="24"/>
        </w:rPr>
        <w:t>profits</w:t>
      </w:r>
      <w:r>
        <w:rPr>
          <w:szCs w:val="24"/>
        </w:rPr>
        <w:t xml:space="preserve"> in 20</w:t>
      </w:r>
      <w:r w:rsidR="00DB121E">
        <w:rPr>
          <w:szCs w:val="24"/>
        </w:rPr>
        <w:t>20</w:t>
      </w:r>
      <w:r>
        <w:rPr>
          <w:szCs w:val="24"/>
        </w:rPr>
        <w:t>.</w:t>
      </w:r>
      <w:r w:rsidR="002F46E2">
        <w:rPr>
          <w:szCs w:val="24"/>
        </w:rPr>
        <w:t xml:space="preserve"> </w:t>
      </w:r>
    </w:p>
    <w:p w:rsidR="00A044B5" w14:paraId="44205796" w14:textId="7B7EDFAD">
      <w:pPr>
        <w:pStyle w:val="BodyTextIndent3"/>
        <w:widowControl w:val="0"/>
        <w:spacing w:line="480" w:lineRule="auto"/>
        <w:ind w:right="-24"/>
        <w:rPr>
          <w:szCs w:val="24"/>
        </w:rPr>
      </w:pPr>
      <w:r>
        <w:rPr>
          <w:szCs w:val="24"/>
        </w:rPr>
        <w:t>In addition, OCC meets the criteria of Ohio Adm. Code 4901-1-11(B)(1)-(4).</w:t>
      </w:r>
      <w:r w:rsidR="002F46E2">
        <w:rPr>
          <w:szCs w:val="24"/>
        </w:rPr>
        <w:t xml:space="preserve"> </w:t>
      </w:r>
      <w:r>
        <w:rPr>
          <w:szCs w:val="24"/>
        </w:rPr>
        <w:t>These criteria mirror the statutory criteria in R.C. 4903.221(B) that OCC already has addressed and that OCC satisfies.</w:t>
      </w:r>
    </w:p>
    <w:p w:rsidR="008A09E8" w:rsidP="00DB121E" w14:paraId="4C388DBF" w14:textId="1285CCF8">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w:t>
      </w:r>
      <w:r w:rsidR="00DB121E">
        <w:rPr>
          <w:szCs w:val="24"/>
        </w:rPr>
        <w:t xml:space="preserve"> </w:t>
      </w:r>
      <w:r>
        <w:rPr>
          <w:szCs w:val="24"/>
        </w:rPr>
        <w:t>customers. That interest is different from, and not represented by, any other entity in Ohio.</w:t>
      </w:r>
    </w:p>
    <w:p w:rsidR="00A044B5" w:rsidP="008A09E8" w14:paraId="795D2033" w14:textId="33672C85">
      <w:pPr>
        <w:pStyle w:val="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2F46E2">
        <w:rPr>
          <w:szCs w:val="24"/>
        </w:rPr>
        <w:t xml:space="preserve"> </w:t>
      </w:r>
    </w:p>
    <w:p w:rsidR="00E16A63" w:rsidP="00386AE7" w14:paraId="63023130" w14:textId="7FA60FB9">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14:paraId="69911034" w14:textId="77777777">
      <w:pPr>
        <w:pStyle w:val="BodyTextIndent3"/>
        <w:widowControl w:val="0"/>
        <w:ind w:left="3600" w:right="-672" w:firstLine="0"/>
        <w:rPr>
          <w:szCs w:val="24"/>
        </w:rPr>
      </w:pPr>
      <w:r>
        <w:rPr>
          <w:szCs w:val="24"/>
        </w:rPr>
        <w:t>Respectfully submitted,</w:t>
      </w:r>
    </w:p>
    <w:p w:rsidR="00BE2568" w:rsidP="00BE2568" w14:paraId="7D2783A3" w14:textId="77777777">
      <w:pPr>
        <w:pStyle w:val="Footer"/>
        <w:tabs>
          <w:tab w:val="left" w:pos="4320"/>
          <w:tab w:val="clear" w:pos="8640"/>
        </w:tabs>
        <w:spacing w:before="240"/>
        <w:ind w:left="3600"/>
        <w:rPr>
          <w:sz w:val="24"/>
          <w:szCs w:val="24"/>
        </w:rPr>
      </w:pPr>
      <w:r>
        <w:rPr>
          <w:sz w:val="24"/>
          <w:szCs w:val="24"/>
        </w:rPr>
        <w:t>Bruce Weston (0016973)</w:t>
      </w:r>
    </w:p>
    <w:p w:rsidR="00BE2568" w:rsidP="00BE2568" w14:paraId="6FF201DE" w14:textId="77777777">
      <w:pPr>
        <w:tabs>
          <w:tab w:val="left" w:pos="4320"/>
        </w:tabs>
        <w:ind w:left="3600"/>
        <w:rPr>
          <w:szCs w:val="24"/>
        </w:rPr>
      </w:pPr>
      <w:r>
        <w:rPr>
          <w:szCs w:val="24"/>
        </w:rPr>
        <w:t>Ohio Consumers’ Counsel</w:t>
      </w:r>
    </w:p>
    <w:p w:rsidR="00A037BB" w:rsidP="00BE2568" w14:paraId="323E9304" w14:textId="77777777">
      <w:pPr>
        <w:tabs>
          <w:tab w:val="left" w:pos="4320"/>
        </w:tabs>
        <w:ind w:left="3600"/>
        <w:rPr>
          <w:szCs w:val="24"/>
        </w:rPr>
      </w:pPr>
    </w:p>
    <w:p w:rsidR="00B379B2" w:rsidRPr="004535A2" w:rsidP="00B379B2" w14:paraId="259AD38D" w14:textId="5B87C772">
      <w:pPr>
        <w:tabs>
          <w:tab w:val="left" w:pos="4320"/>
        </w:tabs>
        <w:ind w:left="3600"/>
        <w:rPr>
          <w:i/>
          <w:szCs w:val="24"/>
          <w:u w:val="single"/>
        </w:rPr>
      </w:pPr>
      <w:r>
        <w:rPr>
          <w:i/>
          <w:szCs w:val="24"/>
          <w:u w:val="single"/>
        </w:rPr>
        <w:t xml:space="preserve">/s/ Angela </w:t>
      </w:r>
      <w:r w:rsidR="00CB2870">
        <w:rPr>
          <w:i/>
          <w:szCs w:val="24"/>
          <w:u w:val="single"/>
        </w:rPr>
        <w:t xml:space="preserve">D. </w:t>
      </w:r>
      <w:r>
        <w:rPr>
          <w:i/>
          <w:szCs w:val="24"/>
          <w:u w:val="single"/>
        </w:rPr>
        <w:t>O’Brien</w:t>
      </w:r>
      <w:r>
        <w:rPr>
          <w:i/>
          <w:szCs w:val="24"/>
          <w:u w:val="single"/>
        </w:rPr>
        <w:tab/>
      </w:r>
      <w:r>
        <w:rPr>
          <w:i/>
          <w:szCs w:val="24"/>
          <w:u w:val="single"/>
        </w:rPr>
        <w:tab/>
      </w:r>
      <w:r>
        <w:rPr>
          <w:i/>
          <w:szCs w:val="24"/>
          <w:u w:val="single"/>
        </w:rPr>
        <w:tab/>
      </w:r>
    </w:p>
    <w:p w:rsidR="00B379B2" w:rsidP="00B379B2" w14:paraId="3FB28C8F" w14:textId="0550CBFC">
      <w:pPr>
        <w:tabs>
          <w:tab w:val="left" w:pos="4320"/>
        </w:tabs>
        <w:ind w:left="3600"/>
        <w:rPr>
          <w:sz w:val="28"/>
          <w:szCs w:val="28"/>
        </w:rPr>
      </w:pPr>
      <w:r>
        <w:rPr>
          <w:szCs w:val="24"/>
        </w:rPr>
        <w:t>Angela</w:t>
      </w:r>
      <w:r w:rsidR="00CB2870">
        <w:rPr>
          <w:szCs w:val="24"/>
        </w:rPr>
        <w:t xml:space="preserve"> D.</w:t>
      </w:r>
      <w:r w:rsidR="008B07AC">
        <w:rPr>
          <w:szCs w:val="24"/>
        </w:rPr>
        <w:t xml:space="preserve"> </w:t>
      </w:r>
      <w:r>
        <w:rPr>
          <w:szCs w:val="24"/>
        </w:rPr>
        <w:t>O’Brien (</w:t>
      </w:r>
      <w:r w:rsidRPr="00B379B2">
        <w:rPr>
          <w:szCs w:val="24"/>
        </w:rPr>
        <w:t>0097579)</w:t>
      </w:r>
      <w:r>
        <w:rPr>
          <w:sz w:val="28"/>
          <w:szCs w:val="28"/>
        </w:rPr>
        <w:t xml:space="preserve"> </w:t>
      </w:r>
    </w:p>
    <w:p w:rsidR="00B379B2" w:rsidP="00B379B2" w14:paraId="3FC7169A" w14:textId="77777777">
      <w:pPr>
        <w:tabs>
          <w:tab w:val="left" w:pos="4320"/>
        </w:tabs>
        <w:ind w:left="3600"/>
        <w:rPr>
          <w:szCs w:val="24"/>
        </w:rPr>
      </w:pPr>
      <w:r>
        <w:rPr>
          <w:szCs w:val="24"/>
        </w:rPr>
        <w:t>Counsel of Record</w:t>
      </w:r>
    </w:p>
    <w:p w:rsidR="00BC6F14" w:rsidP="00BC6F14" w14:paraId="1B54AA2F" w14:textId="40304427">
      <w:pPr>
        <w:tabs>
          <w:tab w:val="left" w:pos="4320"/>
        </w:tabs>
        <w:ind w:left="3600"/>
        <w:rPr>
          <w:szCs w:val="24"/>
        </w:rPr>
      </w:pPr>
      <w:r>
        <w:rPr>
          <w:szCs w:val="24"/>
        </w:rPr>
        <w:t>Christopher Healey (0086027)</w:t>
      </w:r>
    </w:p>
    <w:p w:rsidR="00BC6F14" w:rsidP="00BC6F14" w14:paraId="1A118EA4" w14:textId="77777777">
      <w:pPr>
        <w:tabs>
          <w:tab w:val="left" w:pos="4320"/>
        </w:tabs>
        <w:ind w:left="3600"/>
        <w:rPr>
          <w:szCs w:val="24"/>
        </w:rPr>
      </w:pPr>
      <w:r>
        <w:rPr>
          <w:szCs w:val="24"/>
        </w:rPr>
        <w:t>Assistant Consumers’ Counsel</w:t>
      </w:r>
    </w:p>
    <w:p w:rsidR="00BC6F14" w:rsidP="00BC6F14" w14:paraId="2E99DA95" w14:textId="77777777">
      <w:pPr>
        <w:pStyle w:val="Heading1"/>
        <w:spacing w:before="120"/>
        <w:ind w:left="3600" w:right="-648"/>
        <w:rPr>
          <w:u w:val="none"/>
        </w:rPr>
      </w:pPr>
      <w:r>
        <w:rPr>
          <w:u w:val="none"/>
        </w:rPr>
        <w:t>Office of the Ohio Consumers’ Counsel</w:t>
      </w:r>
    </w:p>
    <w:p w:rsidR="00BC6F14" w:rsidP="00BC6F14" w14:paraId="5F635806" w14:textId="77777777">
      <w:pPr>
        <w:pStyle w:val="Heading1"/>
        <w:ind w:left="3600" w:right="-648"/>
        <w:rPr>
          <w:b w:val="0"/>
          <w:u w:val="none"/>
        </w:rPr>
      </w:pPr>
      <w:r>
        <w:rPr>
          <w:b w:val="0"/>
          <w:u w:val="none"/>
        </w:rPr>
        <w:t>65 East State Street, 7</w:t>
      </w:r>
      <w:r w:rsidRPr="00CB2870">
        <w:rPr>
          <w:b w:val="0"/>
          <w:u w:val="none"/>
        </w:rPr>
        <w:t>th</w:t>
      </w:r>
      <w:r>
        <w:rPr>
          <w:b w:val="0"/>
          <w:u w:val="none"/>
        </w:rPr>
        <w:t xml:space="preserve"> Floor</w:t>
      </w:r>
    </w:p>
    <w:p w:rsidR="00BC6F14" w:rsidP="00BC6F14" w14:paraId="0134CC7A" w14:textId="77777777">
      <w:pPr>
        <w:pStyle w:val="Heading1"/>
        <w:ind w:left="3600" w:right="-648"/>
        <w:rPr>
          <w:b w:val="0"/>
          <w:u w:val="none"/>
        </w:rPr>
      </w:pPr>
      <w:r>
        <w:rPr>
          <w:b w:val="0"/>
          <w:u w:val="none"/>
        </w:rPr>
        <w:t>Columbus, Ohio 43215-4213</w:t>
      </w:r>
    </w:p>
    <w:p w:rsidR="00BC6F14" w:rsidP="00BC6F14" w14:paraId="6195262E" w14:textId="77777777">
      <w:pPr>
        <w:autoSpaceDE w:val="0"/>
        <w:autoSpaceDN w:val="0"/>
        <w:adjustRightInd w:val="0"/>
        <w:ind w:left="3600"/>
        <w:rPr>
          <w:szCs w:val="24"/>
        </w:rPr>
      </w:pPr>
      <w:r>
        <w:rPr>
          <w:szCs w:val="24"/>
        </w:rPr>
        <w:t xml:space="preserve">Telephone [O’Brien]: </w:t>
      </w:r>
      <w:r w:rsidRPr="00B379B2">
        <w:rPr>
          <w:szCs w:val="24"/>
        </w:rPr>
        <w:t>(614) 466-9531</w:t>
      </w:r>
    </w:p>
    <w:p w:rsidR="00BC6F14" w:rsidP="00BC6F14" w14:paraId="31E6A5F4" w14:textId="77777777">
      <w:pPr>
        <w:autoSpaceDE w:val="0"/>
        <w:autoSpaceDN w:val="0"/>
        <w:adjustRightInd w:val="0"/>
        <w:ind w:left="3600"/>
        <w:rPr>
          <w:szCs w:val="24"/>
        </w:rPr>
      </w:pPr>
      <w:r>
        <w:rPr>
          <w:szCs w:val="24"/>
        </w:rPr>
        <w:t>Telephone [Healey]: (614) 466-9571</w:t>
      </w:r>
    </w:p>
    <w:p w:rsidR="00BC6F14" w:rsidP="00BC6F14" w14:paraId="78794E84" w14:textId="77777777">
      <w:pPr>
        <w:rPr>
          <w:szCs w:val="24"/>
        </w:rPr>
      </w:pPr>
      <w:r>
        <w:rPr>
          <w:szCs w:val="24"/>
        </w:rPr>
        <w:tab/>
      </w:r>
      <w:r>
        <w:rPr>
          <w:szCs w:val="24"/>
        </w:rPr>
        <w:tab/>
      </w:r>
      <w:r>
        <w:rPr>
          <w:szCs w:val="24"/>
        </w:rPr>
        <w:tab/>
      </w:r>
      <w:r>
        <w:rPr>
          <w:szCs w:val="24"/>
        </w:rPr>
        <w:tab/>
      </w:r>
      <w:r>
        <w:rPr>
          <w:szCs w:val="24"/>
        </w:rPr>
        <w:tab/>
      </w:r>
      <w:hyperlink r:id="rId8" w:history="1">
        <w:r w:rsidRPr="004B33CC">
          <w:rPr>
            <w:rStyle w:val="Hyperlink"/>
            <w:szCs w:val="24"/>
          </w:rPr>
          <w:t>angela.obrien@occ.ohio.gov</w:t>
        </w:r>
      </w:hyperlink>
      <w:r>
        <w:rPr>
          <w:szCs w:val="24"/>
        </w:rPr>
        <w:t xml:space="preserve"> </w:t>
      </w:r>
    </w:p>
    <w:p w:rsidR="00BC6F14" w:rsidP="00BC6F14" w14:paraId="60C605BA" w14:textId="77777777">
      <w:pPr>
        <w:rPr>
          <w:szCs w:val="24"/>
        </w:rPr>
      </w:pPr>
      <w:r>
        <w:rPr>
          <w:szCs w:val="24"/>
        </w:rPr>
        <w:tab/>
      </w:r>
      <w:r>
        <w:rPr>
          <w:szCs w:val="24"/>
        </w:rPr>
        <w:tab/>
      </w:r>
      <w:r>
        <w:rPr>
          <w:szCs w:val="24"/>
        </w:rPr>
        <w:tab/>
      </w:r>
      <w:r>
        <w:rPr>
          <w:szCs w:val="24"/>
        </w:rPr>
        <w:tab/>
      </w:r>
      <w:r>
        <w:rPr>
          <w:szCs w:val="24"/>
        </w:rPr>
        <w:tab/>
      </w:r>
      <w:hyperlink r:id="rId9" w:history="1">
        <w:r w:rsidRPr="000B4A69">
          <w:rPr>
            <w:rStyle w:val="Hyperlink"/>
            <w:szCs w:val="24"/>
          </w:rPr>
          <w:t>christopher.healey@occ.ohio.gov</w:t>
        </w:r>
      </w:hyperlink>
    </w:p>
    <w:p w:rsidR="00BC6F14" w:rsidRPr="00A037BB" w:rsidP="00BC6F14" w14:paraId="27D6A071" w14:textId="77777777">
      <w:pPr>
        <w:ind w:left="3600"/>
        <w:rPr>
          <w:szCs w:val="24"/>
        </w:rPr>
      </w:pPr>
      <w:r>
        <w:rPr>
          <w:szCs w:val="24"/>
        </w:rPr>
        <w:t>(willing to accept service by e-mail)</w:t>
      </w:r>
    </w:p>
    <w:p w:rsidR="00A044B5" w:rsidP="00B379B2" w14:paraId="5DECBACD" w14:textId="6FD5C9CB">
      <w:pPr>
        <w:rPr>
          <w:szCs w:val="24"/>
        </w:rPr>
      </w:pPr>
    </w:p>
    <w:p w:rsidR="00A044B5" w14:paraId="5DC72FB3" w14:textId="77777777">
      <w:pPr>
        <w:rPr>
          <w:szCs w:val="24"/>
        </w:rPr>
      </w:pPr>
    </w:p>
    <w:p w:rsidR="00CB2870" w:rsidP="00CB2870" w14:paraId="19F44E36" w14:textId="77777777">
      <w:pPr>
        <w:rPr>
          <w:szCs w:val="24"/>
        </w:rPr>
      </w:pPr>
      <w:r>
        <w:rPr>
          <w:szCs w:val="24"/>
        </w:rPr>
        <w:tab/>
      </w:r>
      <w:r>
        <w:rPr>
          <w:szCs w:val="24"/>
        </w:rPr>
        <w:tab/>
      </w:r>
      <w:r>
        <w:rPr>
          <w:szCs w:val="24"/>
        </w:rPr>
        <w:tab/>
      </w:r>
      <w:r>
        <w:rPr>
          <w:szCs w:val="24"/>
        </w:rPr>
        <w:tab/>
      </w:r>
      <w:r>
        <w:rPr>
          <w:szCs w:val="24"/>
        </w:rPr>
        <w:tab/>
      </w:r>
      <w:r>
        <w:rPr>
          <w:szCs w:val="24"/>
        </w:rPr>
        <w:tab/>
      </w:r>
    </w:p>
    <w:p w:rsidR="00CB2870" w14:paraId="7BA55F2B" w14:textId="77777777">
      <w:pPr>
        <w:rPr>
          <w:szCs w:val="24"/>
        </w:rPr>
      </w:pPr>
      <w:r>
        <w:rPr>
          <w:szCs w:val="24"/>
        </w:rPr>
        <w:br w:type="page"/>
      </w:r>
    </w:p>
    <w:p w:rsidR="00A044B5" w:rsidP="00CB2870" w14:paraId="1E7DFF12" w14:textId="4C693865">
      <w:pPr>
        <w:jc w:val="center"/>
        <w:rPr>
          <w:b/>
          <w:bCs/>
          <w:u w:val="single"/>
        </w:rPr>
      </w:pPr>
      <w:r>
        <w:rPr>
          <w:b/>
          <w:bCs/>
          <w:u w:val="single"/>
        </w:rPr>
        <w:t>CERTIFICATE OF SERVICE</w:t>
      </w:r>
    </w:p>
    <w:p w:rsidR="00A044B5" w:rsidP="004535A2" w14:paraId="62AF0FFB" w14:textId="00833E18">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w:t>
      </w:r>
      <w:r w:rsidR="00386AE7">
        <w:t>27</w:t>
      </w:r>
      <w:r w:rsidRPr="00386AE7" w:rsidR="00386AE7">
        <w:rPr>
          <w:vertAlign w:val="superscript"/>
        </w:rPr>
        <w:t>th</w:t>
      </w:r>
      <w:r>
        <w:t xml:space="preserve"> day of </w:t>
      </w:r>
      <w:r w:rsidR="004D0D98">
        <w:t>May</w:t>
      </w:r>
      <w:r>
        <w:t xml:space="preserve"> 20</w:t>
      </w:r>
      <w:r w:rsidR="008B07AC">
        <w:t>2</w:t>
      </w:r>
      <w:r w:rsidR="00E16A63">
        <w:t>1</w:t>
      </w:r>
      <w:r>
        <w:t>.</w:t>
      </w:r>
    </w:p>
    <w:p w:rsidR="00A044B5" w14:paraId="71050418" w14:textId="77777777">
      <w:pPr>
        <w:spacing w:line="480" w:lineRule="atLeast"/>
      </w:pPr>
    </w:p>
    <w:p w:rsidR="00B379B2" w14:paraId="687B0CD8" w14:textId="114E8CA7">
      <w:pPr>
        <w:tabs>
          <w:tab w:val="left" w:pos="4320"/>
        </w:tabs>
        <w:rPr>
          <w:i/>
          <w:u w:val="single"/>
        </w:rPr>
      </w:pPr>
      <w:r>
        <w:tab/>
      </w:r>
      <w:r w:rsidRPr="00183EDE">
        <w:rPr>
          <w:i/>
          <w:iCs/>
          <w:u w:val="single"/>
        </w:rPr>
        <w:t>/s/</w:t>
      </w:r>
      <w:r w:rsidRPr="004535A2">
        <w:rPr>
          <w:u w:val="single"/>
        </w:rPr>
        <w:t xml:space="preserve"> </w:t>
      </w:r>
      <w:r>
        <w:rPr>
          <w:i/>
          <w:u w:val="single"/>
        </w:rPr>
        <w:t>Angela</w:t>
      </w:r>
      <w:r w:rsidR="000D5492">
        <w:rPr>
          <w:i/>
          <w:u w:val="single"/>
        </w:rPr>
        <w:t xml:space="preserve"> D.</w:t>
      </w:r>
      <w:r>
        <w:rPr>
          <w:i/>
          <w:u w:val="single"/>
        </w:rPr>
        <w:t xml:space="preserve"> O’Brien</w:t>
      </w:r>
    </w:p>
    <w:p w:rsidR="00A044B5" w14:paraId="53A8ABAF" w14:textId="343177FA">
      <w:pPr>
        <w:tabs>
          <w:tab w:val="left" w:pos="4320"/>
        </w:tabs>
      </w:pPr>
      <w:r>
        <w:tab/>
        <w:t xml:space="preserve">Angela </w:t>
      </w:r>
      <w:r w:rsidR="000D5492">
        <w:t>D</w:t>
      </w:r>
      <w:r w:rsidR="00593939">
        <w:t>.</w:t>
      </w:r>
      <w:r w:rsidR="000D5492">
        <w:t xml:space="preserve"> </w:t>
      </w:r>
      <w:r>
        <w:t>O’Brien</w:t>
      </w:r>
    </w:p>
    <w:p w:rsidR="00A044B5" w14:paraId="08CF4406" w14:textId="77777777">
      <w:pPr>
        <w:tabs>
          <w:tab w:val="left" w:pos="4320"/>
        </w:tabs>
      </w:pPr>
      <w:r>
        <w:tab/>
        <w:t>Assistant Consumers’ Counsel</w:t>
      </w:r>
    </w:p>
    <w:p w:rsidR="00A044B5" w14:paraId="12715FCB" w14:textId="77777777">
      <w:pPr>
        <w:pStyle w:val="CommentSubject"/>
      </w:pPr>
    </w:p>
    <w:p w:rsidR="00CE3256" w:rsidP="00CE3256" w14:paraId="75A7E534" w14:textId="77777777">
      <w:r>
        <w:t>The PUCO’s e-filing system will electronically serve notice of the filing of this document on the following parties:</w:t>
      </w:r>
    </w:p>
    <w:p w:rsidR="00A044B5" w14:paraId="22749869" w14:textId="77777777">
      <w:pPr>
        <w:pStyle w:val="CommentText"/>
      </w:pPr>
    </w:p>
    <w:p w:rsidR="00A044B5" w14:paraId="6E07A751" w14:textId="77777777">
      <w:pPr>
        <w:pStyle w:val="CommentText"/>
        <w:jc w:val="center"/>
        <w:rPr>
          <w:b/>
          <w:u w:val="single"/>
        </w:rPr>
      </w:pPr>
      <w:r>
        <w:rPr>
          <w:b/>
          <w:u w:val="single"/>
        </w:rPr>
        <w:t>SERVICE LIST</w:t>
      </w:r>
    </w:p>
    <w:p w:rsidR="0091434C" w14:paraId="36AAD0F4" w14:textId="77777777">
      <w:pPr>
        <w:pStyle w:val="CommentText"/>
        <w:jc w:val="center"/>
        <w:rPr>
          <w:b/>
          <w:u w:val="single"/>
        </w:rPr>
      </w:pPr>
    </w:p>
    <w:p w:rsidR="0091434C" w14:paraId="521EE44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D4D44E6" w14:textId="77777777" w:rsidTr="008305E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93939" w:rsidRPr="00593939" w:rsidP="00593939" w14:paraId="4E95AB99" w14:textId="3475DB0C">
            <w:pPr>
              <w:rPr>
                <w:color w:val="0000FF"/>
                <w:szCs w:val="24"/>
                <w:u w:val="single"/>
              </w:rPr>
            </w:pPr>
            <w:r>
              <w:rPr>
                <w:color w:val="0000FF"/>
                <w:szCs w:val="24"/>
                <w:u w:val="single"/>
              </w:rPr>
              <w:t>j</w:t>
            </w:r>
            <w:r w:rsidRPr="00593939">
              <w:rPr>
                <w:color w:val="0000FF"/>
                <w:szCs w:val="24"/>
                <w:u w:val="single"/>
              </w:rPr>
              <w:t>ohn.jones@ohioAGO.gov</w:t>
            </w:r>
          </w:p>
          <w:p w:rsidR="00A03585" w:rsidRPr="0091434C" w14:paraId="062938A4" w14:textId="4BE30A70">
            <w:pPr>
              <w:pStyle w:val="BodyText"/>
              <w:rPr>
                <w:bCs/>
              </w:rPr>
            </w:pPr>
          </w:p>
        </w:tc>
        <w:tc>
          <w:tcPr>
            <w:tcW w:w="4315" w:type="dxa"/>
          </w:tcPr>
          <w:p w:rsidR="00AF38DE" w14:paraId="30755C55" w14:textId="2AB6F2AB">
            <w:pPr>
              <w:pStyle w:val="BodyText"/>
              <w:rPr>
                <w:bCs/>
              </w:rPr>
            </w:pPr>
            <w:hyperlink r:id="rId11" w:history="1">
              <w:r w:rsidRPr="004973DB" w:rsidR="00593939">
                <w:rPr>
                  <w:rStyle w:val="Hyperlink"/>
                  <w:bCs/>
                </w:rPr>
                <w:t>michael.schuler@aes.com</w:t>
              </w:r>
            </w:hyperlink>
          </w:p>
          <w:p w:rsidR="00593939" w14:paraId="57B5928D" w14:textId="3AB4C38D">
            <w:pPr>
              <w:pStyle w:val="BodyText"/>
              <w:rPr>
                <w:bCs/>
              </w:rPr>
            </w:pPr>
            <w:hyperlink r:id="rId12" w:history="1">
              <w:r w:rsidRPr="004973DB">
                <w:rPr>
                  <w:rStyle w:val="Hyperlink"/>
                  <w:bCs/>
                </w:rPr>
                <w:t>jsharkey@ficlaw.com</w:t>
              </w:r>
            </w:hyperlink>
          </w:p>
          <w:p w:rsidR="00593939" w14:paraId="6F4537A6" w14:textId="7099CFEF">
            <w:pPr>
              <w:pStyle w:val="BodyText"/>
              <w:rPr>
                <w:bCs/>
              </w:rPr>
            </w:pPr>
            <w:hyperlink r:id="rId13" w:history="1">
              <w:r w:rsidRPr="004973DB">
                <w:rPr>
                  <w:rStyle w:val="Hyperlink"/>
                  <w:bCs/>
                </w:rPr>
                <w:t>chollon@ficlaw.com</w:t>
              </w:r>
            </w:hyperlink>
          </w:p>
          <w:p w:rsidR="00593939" w:rsidRPr="0091434C" w14:paraId="0B9C7BFD" w14:textId="68D28500">
            <w:pPr>
              <w:pStyle w:val="BodyText"/>
              <w:rPr>
                <w:bCs/>
              </w:rPr>
            </w:pPr>
          </w:p>
        </w:tc>
      </w:tr>
    </w:tbl>
    <w:p w:rsidR="00A044B5" w14:paraId="6858D091" w14:textId="77777777">
      <w:pPr>
        <w:pStyle w:val="BodyText"/>
        <w:rPr>
          <w:b/>
          <w:bCs/>
        </w:rPr>
      </w:pPr>
    </w:p>
    <w:sectPr w:rsidSect="00CB2870">
      <w:footerReference w:type="first" r:id="rId1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1259701"/>
      <w:docPartObj>
        <w:docPartGallery w:val="Page Numbers (Bottom of Page)"/>
        <w:docPartUnique/>
      </w:docPartObj>
    </w:sdtPr>
    <w:sdtEndPr>
      <w:rPr>
        <w:noProof/>
        <w:sz w:val="24"/>
        <w:szCs w:val="24"/>
      </w:rPr>
    </w:sdtEndPr>
    <w:sdtContent>
      <w:p w:rsidR="00CB2870" w:rsidRPr="00CB2870" w14:paraId="7A61A420" w14:textId="1E8B8DDE">
        <w:pPr>
          <w:pStyle w:val="Footer"/>
          <w:jc w:val="center"/>
          <w:rPr>
            <w:sz w:val="24"/>
            <w:szCs w:val="24"/>
          </w:rPr>
        </w:pPr>
        <w:r w:rsidRPr="00CB2870">
          <w:rPr>
            <w:sz w:val="24"/>
            <w:szCs w:val="24"/>
          </w:rPr>
          <w:fldChar w:fldCharType="begin"/>
        </w:r>
        <w:r w:rsidRPr="00CB2870">
          <w:rPr>
            <w:sz w:val="24"/>
            <w:szCs w:val="24"/>
          </w:rPr>
          <w:instrText xml:space="preserve"> PAGE   \* MERGEFORMAT </w:instrText>
        </w:r>
        <w:r w:rsidRPr="00CB2870">
          <w:rPr>
            <w:sz w:val="24"/>
            <w:szCs w:val="24"/>
          </w:rPr>
          <w:fldChar w:fldCharType="separate"/>
        </w:r>
        <w:r w:rsidRPr="00CB2870">
          <w:rPr>
            <w:noProof/>
            <w:sz w:val="24"/>
            <w:szCs w:val="24"/>
          </w:rPr>
          <w:t>2</w:t>
        </w:r>
        <w:r w:rsidRPr="00CB2870">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C8A" w:rsidRPr="00012C8A" w14:paraId="787CC16D" w14:textId="741CA6B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4296569"/>
      <w:docPartObj>
        <w:docPartGallery w:val="Page Numbers (Bottom of Page)"/>
        <w:docPartUnique/>
      </w:docPartObj>
    </w:sdtPr>
    <w:sdtEndPr>
      <w:rPr>
        <w:noProof/>
        <w:sz w:val="24"/>
        <w:szCs w:val="24"/>
      </w:rPr>
    </w:sdtEndPr>
    <w:sdtContent>
      <w:p w:rsidR="00CB2870" w:rsidRPr="00CB2870" w14:paraId="66B981D4" w14:textId="7777B2AC">
        <w:pPr>
          <w:pStyle w:val="Footer"/>
          <w:jc w:val="center"/>
          <w:rPr>
            <w:sz w:val="24"/>
            <w:szCs w:val="24"/>
          </w:rPr>
        </w:pPr>
        <w:r w:rsidRPr="00CB2870">
          <w:rPr>
            <w:sz w:val="24"/>
            <w:szCs w:val="24"/>
          </w:rPr>
          <w:fldChar w:fldCharType="begin"/>
        </w:r>
        <w:r w:rsidRPr="00CB2870">
          <w:rPr>
            <w:sz w:val="24"/>
            <w:szCs w:val="24"/>
          </w:rPr>
          <w:instrText xml:space="preserve"> PAGE   \* MERGEFORMAT </w:instrText>
        </w:r>
        <w:r w:rsidRPr="00CB2870">
          <w:rPr>
            <w:sz w:val="24"/>
            <w:szCs w:val="24"/>
          </w:rPr>
          <w:fldChar w:fldCharType="separate"/>
        </w:r>
        <w:r w:rsidRPr="00CB2870">
          <w:rPr>
            <w:noProof/>
            <w:sz w:val="24"/>
            <w:szCs w:val="24"/>
          </w:rPr>
          <w:t>2</w:t>
        </w:r>
        <w:r w:rsidRPr="00CB2870">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5511454"/>
      <w:docPartObj>
        <w:docPartGallery w:val="Page Numbers (Bottom of Page)"/>
        <w:docPartUnique/>
      </w:docPartObj>
    </w:sdtPr>
    <w:sdtEndPr>
      <w:rPr>
        <w:noProof/>
        <w:sz w:val="24"/>
        <w:szCs w:val="24"/>
      </w:rPr>
    </w:sdtEndPr>
    <w:sdtContent>
      <w:p w:rsidR="00CB2870" w:rsidRPr="00CB2870" w14:paraId="5B851AA9" w14:textId="2B46B096">
        <w:pPr>
          <w:pStyle w:val="Footer"/>
          <w:jc w:val="center"/>
          <w:rPr>
            <w:sz w:val="24"/>
            <w:szCs w:val="24"/>
          </w:rPr>
        </w:pPr>
        <w:r w:rsidRPr="00CB2870">
          <w:rPr>
            <w:sz w:val="24"/>
            <w:szCs w:val="24"/>
          </w:rPr>
          <w:fldChar w:fldCharType="begin"/>
        </w:r>
        <w:r w:rsidRPr="00CB2870">
          <w:rPr>
            <w:sz w:val="24"/>
            <w:szCs w:val="24"/>
          </w:rPr>
          <w:instrText xml:space="preserve"> PAGE   \* MERGEFORMAT </w:instrText>
        </w:r>
        <w:r w:rsidRPr="00CB2870">
          <w:rPr>
            <w:sz w:val="24"/>
            <w:szCs w:val="24"/>
          </w:rPr>
          <w:fldChar w:fldCharType="separate"/>
        </w:r>
        <w:r w:rsidRPr="00CB2870">
          <w:rPr>
            <w:noProof/>
            <w:sz w:val="24"/>
            <w:szCs w:val="24"/>
          </w:rPr>
          <w:t>2</w:t>
        </w:r>
        <w:r w:rsidRPr="00CB287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713F" w14:paraId="3FDF66E1" w14:textId="77777777">
      <w:r>
        <w:separator/>
      </w:r>
    </w:p>
  </w:footnote>
  <w:footnote w:type="continuationSeparator" w:id="1">
    <w:p w:rsidR="00C0713F" w14:paraId="153CEBF0" w14:textId="77777777">
      <w:r>
        <w:continuationSeparator/>
      </w:r>
    </w:p>
  </w:footnote>
  <w:footnote w:id="2">
    <w:p w:rsidR="00A30A96" w:rsidP="00E16A63" w14:paraId="5AD30D78"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555552" w:rsidP="00E16A63" w14:paraId="5BD2AEC8" w14:textId="0D53ACB3">
      <w:pPr>
        <w:pStyle w:val="FootnoteText"/>
        <w:spacing w:after="120"/>
      </w:pPr>
      <w:r>
        <w:rPr>
          <w:rStyle w:val="FootnoteReference"/>
        </w:rPr>
        <w:footnoteRef/>
      </w:r>
      <w:r>
        <w:t xml:space="preserve"> </w:t>
      </w:r>
      <w:r w:rsidR="00032774">
        <w:t xml:space="preserve">DP&amp;L </w:t>
      </w:r>
      <w:r>
        <w:t xml:space="preserve">Direct Testimony of </w:t>
      </w:r>
      <w:r w:rsidR="00F63860">
        <w:t>Patrick Donlon</w:t>
      </w:r>
      <w:r>
        <w:t xml:space="preserve">, at </w:t>
      </w:r>
      <w:r w:rsidR="00DF6058">
        <w:t xml:space="preserve">7, and </w:t>
      </w:r>
      <w:r w:rsidR="00474504">
        <w:t xml:space="preserve">Exhibit </w:t>
      </w:r>
      <w:r w:rsidR="00F63860">
        <w:t>PJD</w:t>
      </w:r>
      <w:r w:rsidR="00474504">
        <w:t>-</w:t>
      </w:r>
      <w:r w:rsidR="000E132C">
        <w:t>2</w:t>
      </w:r>
      <w:r>
        <w:t>.</w:t>
      </w:r>
    </w:p>
  </w:footnote>
  <w:footnote w:id="4">
    <w:p w:rsidR="00B15EA3" w:rsidP="00E16A63" w14:paraId="3928321E" w14:textId="166D54F6">
      <w:pPr>
        <w:pStyle w:val="FootnoteText"/>
        <w:spacing w:after="120"/>
      </w:pPr>
      <w:r>
        <w:rPr>
          <w:rStyle w:val="FootnoteReference"/>
        </w:rPr>
        <w:footnoteRef/>
      </w:r>
      <w:r>
        <w:t xml:space="preserve"> </w:t>
      </w:r>
      <w:r w:rsidR="00032774">
        <w:t xml:space="preserve">DP&amp;L </w:t>
      </w:r>
      <w:r>
        <w:t>Direct Testimony of Patrick Donlon, at 3-7.</w:t>
      </w:r>
    </w:p>
  </w:footnote>
  <w:footnote w:id="5">
    <w:p w:rsidR="00B15EA3" w:rsidP="00E16A63" w14:paraId="33FEBCCE" w14:textId="5B241848">
      <w:pPr>
        <w:pStyle w:val="FootnoteText"/>
        <w:spacing w:after="120"/>
      </w:pPr>
      <w:r>
        <w:rPr>
          <w:rStyle w:val="FootnoteReference"/>
        </w:rPr>
        <w:footnoteRef/>
      </w:r>
      <w:r>
        <w:t xml:space="preserve"> </w:t>
      </w:r>
      <w:r w:rsidR="00032774">
        <w:t xml:space="preserve">DP&amp;L </w:t>
      </w:r>
      <w:r>
        <w:t xml:space="preserve">Direct Testimony of </w:t>
      </w:r>
      <w:r w:rsidR="00032774">
        <w:t xml:space="preserve">Dustin Illyes, at 4. </w:t>
      </w:r>
    </w:p>
  </w:footnote>
  <w:footnote w:id="6">
    <w:p w:rsidR="00A044B5" w:rsidP="00E16A63" w14:paraId="49870423" w14:textId="77777777">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4C"/>
    <w:rsid w:val="000001DA"/>
    <w:rsid w:val="000072ED"/>
    <w:rsid w:val="00012C8A"/>
    <w:rsid w:val="00021B13"/>
    <w:rsid w:val="00032774"/>
    <w:rsid w:val="000443D7"/>
    <w:rsid w:val="000573B4"/>
    <w:rsid w:val="000627BF"/>
    <w:rsid w:val="000A1687"/>
    <w:rsid w:val="000B4A69"/>
    <w:rsid w:val="000D532A"/>
    <w:rsid w:val="000D5492"/>
    <w:rsid w:val="000E132C"/>
    <w:rsid w:val="000E1E1C"/>
    <w:rsid w:val="000F537E"/>
    <w:rsid w:val="0010225C"/>
    <w:rsid w:val="001375C7"/>
    <w:rsid w:val="00167340"/>
    <w:rsid w:val="00183EDE"/>
    <w:rsid w:val="00186FA6"/>
    <w:rsid w:val="001A0A68"/>
    <w:rsid w:val="001A1F75"/>
    <w:rsid w:val="001B36D5"/>
    <w:rsid w:val="002247BB"/>
    <w:rsid w:val="0023407E"/>
    <w:rsid w:val="002810D7"/>
    <w:rsid w:val="002D2E36"/>
    <w:rsid w:val="002E0955"/>
    <w:rsid w:val="002F46E2"/>
    <w:rsid w:val="00306859"/>
    <w:rsid w:val="00311158"/>
    <w:rsid w:val="0031242C"/>
    <w:rsid w:val="003423D8"/>
    <w:rsid w:val="003500CC"/>
    <w:rsid w:val="00380B16"/>
    <w:rsid w:val="00386AE7"/>
    <w:rsid w:val="003C7F28"/>
    <w:rsid w:val="00402F09"/>
    <w:rsid w:val="00441082"/>
    <w:rsid w:val="00446631"/>
    <w:rsid w:val="004535A2"/>
    <w:rsid w:val="00474504"/>
    <w:rsid w:val="00476357"/>
    <w:rsid w:val="00476981"/>
    <w:rsid w:val="0049109A"/>
    <w:rsid w:val="004973DB"/>
    <w:rsid w:val="004B33CC"/>
    <w:rsid w:val="004C1D6D"/>
    <w:rsid w:val="004D0D98"/>
    <w:rsid w:val="00504499"/>
    <w:rsid w:val="00507BD3"/>
    <w:rsid w:val="0052573B"/>
    <w:rsid w:val="00554809"/>
    <w:rsid w:val="00555552"/>
    <w:rsid w:val="0057296B"/>
    <w:rsid w:val="00593939"/>
    <w:rsid w:val="0059517E"/>
    <w:rsid w:val="005975B7"/>
    <w:rsid w:val="005A088A"/>
    <w:rsid w:val="005A17F2"/>
    <w:rsid w:val="005A293B"/>
    <w:rsid w:val="005D5688"/>
    <w:rsid w:val="00651D8D"/>
    <w:rsid w:val="0067510C"/>
    <w:rsid w:val="006B22FB"/>
    <w:rsid w:val="006C4977"/>
    <w:rsid w:val="007105CF"/>
    <w:rsid w:val="007208D0"/>
    <w:rsid w:val="00753BBB"/>
    <w:rsid w:val="007A1A8D"/>
    <w:rsid w:val="007E3E4E"/>
    <w:rsid w:val="008201C9"/>
    <w:rsid w:val="008305ED"/>
    <w:rsid w:val="00834ADC"/>
    <w:rsid w:val="008437DB"/>
    <w:rsid w:val="008841AC"/>
    <w:rsid w:val="00892D26"/>
    <w:rsid w:val="008A09E8"/>
    <w:rsid w:val="008B07AC"/>
    <w:rsid w:val="0091434C"/>
    <w:rsid w:val="009320D4"/>
    <w:rsid w:val="00947DC0"/>
    <w:rsid w:val="00957098"/>
    <w:rsid w:val="00961642"/>
    <w:rsid w:val="00983E84"/>
    <w:rsid w:val="00A03585"/>
    <w:rsid w:val="00A037BB"/>
    <w:rsid w:val="00A044B5"/>
    <w:rsid w:val="00A23C37"/>
    <w:rsid w:val="00A30A96"/>
    <w:rsid w:val="00A5594C"/>
    <w:rsid w:val="00AD446B"/>
    <w:rsid w:val="00AF38DE"/>
    <w:rsid w:val="00B04487"/>
    <w:rsid w:val="00B067A0"/>
    <w:rsid w:val="00B15EA3"/>
    <w:rsid w:val="00B202D4"/>
    <w:rsid w:val="00B379B2"/>
    <w:rsid w:val="00B65A3A"/>
    <w:rsid w:val="00B66ADA"/>
    <w:rsid w:val="00B76628"/>
    <w:rsid w:val="00BA00E7"/>
    <w:rsid w:val="00BA37A1"/>
    <w:rsid w:val="00BC2C39"/>
    <w:rsid w:val="00BC6F14"/>
    <w:rsid w:val="00BE2568"/>
    <w:rsid w:val="00C0713F"/>
    <w:rsid w:val="00C3391B"/>
    <w:rsid w:val="00C452F1"/>
    <w:rsid w:val="00C56FA2"/>
    <w:rsid w:val="00CB2870"/>
    <w:rsid w:val="00CC1F99"/>
    <w:rsid w:val="00CD2630"/>
    <w:rsid w:val="00CE092F"/>
    <w:rsid w:val="00CE3256"/>
    <w:rsid w:val="00CF30A4"/>
    <w:rsid w:val="00D10B26"/>
    <w:rsid w:val="00D13AF0"/>
    <w:rsid w:val="00D16CB1"/>
    <w:rsid w:val="00D527E2"/>
    <w:rsid w:val="00D724C8"/>
    <w:rsid w:val="00D77E24"/>
    <w:rsid w:val="00D91B5D"/>
    <w:rsid w:val="00DB121E"/>
    <w:rsid w:val="00DC4867"/>
    <w:rsid w:val="00DE6046"/>
    <w:rsid w:val="00DF6058"/>
    <w:rsid w:val="00E16A63"/>
    <w:rsid w:val="00E2199C"/>
    <w:rsid w:val="00EC0C80"/>
    <w:rsid w:val="00EE4436"/>
    <w:rsid w:val="00F00D3C"/>
    <w:rsid w:val="00F10A6C"/>
    <w:rsid w:val="00F63860"/>
    <w:rsid w:val="00F73A4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F10A6C"/>
    <w:rPr>
      <w:color w:val="605E5C"/>
      <w:shd w:val="clear" w:color="auto" w:fill="E1DFDD"/>
    </w:rPr>
  </w:style>
  <w:style w:type="character" w:customStyle="1" w:styleId="UnresolvedMention3">
    <w:name w:val="Unresolved Mention3"/>
    <w:basedOn w:val="DefaultParagraphFont"/>
    <w:uiPriority w:val="99"/>
    <w:semiHidden/>
    <w:unhideWhenUsed/>
    <w:rsid w:val="00A03585"/>
    <w:rPr>
      <w:color w:val="605E5C"/>
      <w:shd w:val="clear" w:color="auto" w:fill="E1DFDD"/>
    </w:rPr>
  </w:style>
  <w:style w:type="character" w:customStyle="1" w:styleId="UnresolvedMention">
    <w:name w:val="Unresolved Mention"/>
    <w:basedOn w:val="DefaultParagraphFont"/>
    <w:rsid w:val="0000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ichael.schuler@aes.com" TargetMode="External" /><Relationship Id="rId12" Type="http://schemas.openxmlformats.org/officeDocument/2006/relationships/hyperlink" Target="mailto:jsharkey@ficlaw.com" TargetMode="External" /><Relationship Id="rId13" Type="http://schemas.openxmlformats.org/officeDocument/2006/relationships/hyperlink" Target="mailto:chollon@ficlaw.com" TargetMode="Externa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ngela.obrien@occ.ohio.gov" TargetMode="External" /><Relationship Id="rId9" Type="http://schemas.openxmlformats.org/officeDocument/2006/relationships/hyperlink" Target="mailto:christopher.heal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2456-1D46-4928-AFFA-F5013A67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21-588 MTI ls.docx  -  Read-Only.docx</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2021-05-27T18:05:36Z</dcterms:created>
  <dcterms:modified xsi:type="dcterms:W3CDTF">2021-05-27T18:05:36Z</dcterms:modified>
</cp:coreProperties>
</file>