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A46CDB" w:rsidRPr="00E666E3" w:rsidP="00A46CDB" w14:paraId="5F36688F" w14:textId="298EAB20">
      <w:pPr>
        <w:jc w:val="center"/>
        <w:rPr>
          <w:b/>
        </w:rPr>
      </w:pPr>
      <w:bookmarkStart w:id="0" w:name="_GoBack"/>
      <w:bookmarkEnd w:id="0"/>
      <w:r w:rsidRPr="00E666E3">
        <w:rPr>
          <w:b/>
        </w:rPr>
        <w:t>BEFORE</w:t>
      </w:r>
    </w:p>
    <w:p w:rsidR="00A46CDB" w:rsidP="00A46CDB" w14:paraId="4556231F" w14:textId="77777777">
      <w:pPr>
        <w:jc w:val="center"/>
        <w:rPr>
          <w:b/>
          <w:bCs/>
        </w:rPr>
      </w:pPr>
      <w:r w:rsidRPr="00E666E3">
        <w:rPr>
          <w:b/>
          <w:bCs/>
        </w:rPr>
        <w:t>THE PUBLIC UTILITIES COMMISSION OF OHIO</w:t>
      </w:r>
    </w:p>
    <w:p w:rsidR="00A46CDB" w:rsidP="00A46CDB" w14:paraId="148E28B1" w14:textId="77777777">
      <w:pPr>
        <w:jc w:val="center"/>
        <w:rPr>
          <w:b/>
          <w:bCs/>
        </w:rPr>
      </w:pPr>
    </w:p>
    <w:tbl>
      <w:tblPr>
        <w:tblW w:w="9408" w:type="dxa"/>
        <w:tblLook w:val="01E0"/>
      </w:tblPr>
      <w:tblGrid>
        <w:gridCol w:w="5018"/>
        <w:gridCol w:w="358"/>
        <w:gridCol w:w="4032"/>
      </w:tblGrid>
      <w:tr w14:paraId="73D3E0D3" w14:textId="77777777" w:rsidTr="00B72A48">
        <w:tblPrEx>
          <w:tblW w:w="9408" w:type="dxa"/>
          <w:tblLook w:val="01E0"/>
        </w:tblPrEx>
        <w:trPr>
          <w:trHeight w:val="807"/>
        </w:trPr>
        <w:tc>
          <w:tcPr>
            <w:tcW w:w="5018" w:type="dxa"/>
            <w:shd w:val="clear" w:color="auto" w:fill="auto"/>
          </w:tcPr>
          <w:p w:rsidR="00AA7B8B" w:rsidRPr="00A329C2" w:rsidP="00AA7B8B" w14:paraId="3DE4365B" w14:textId="77777777">
            <w:pPr>
              <w:pStyle w:val="HTMLPreformatted"/>
              <w:rPr>
                <w:rFonts w:ascii="Times New Roman" w:hAnsi="Times New Roman" w:cs="Times New Roman"/>
                <w:sz w:val="24"/>
              </w:rPr>
            </w:pPr>
            <w:r w:rsidRPr="00A329C2">
              <w:rPr>
                <w:rFonts w:ascii="Times New Roman" w:hAnsi="Times New Roman" w:cs="Times New Roman"/>
                <w:sz w:val="24"/>
              </w:rPr>
              <w:t>In the Matter of the Application of Vectren Energy Delivery of Ohio, Inc., for Approval of an Alternative Rate Plan.</w:t>
            </w:r>
          </w:p>
        </w:tc>
        <w:tc>
          <w:tcPr>
            <w:tcW w:w="358" w:type="dxa"/>
            <w:shd w:val="clear" w:color="auto" w:fill="auto"/>
          </w:tcPr>
          <w:p w:rsidR="00AA7B8B" w:rsidRPr="00A329C2" w:rsidP="00AA7B8B" w14:paraId="7706204A"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4111B1EA"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5EE341BC"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4F5DC06F" w14:textId="77777777">
            <w:pPr>
              <w:pStyle w:val="HTMLPreformatted"/>
              <w:rPr>
                <w:rFonts w:ascii="Times New Roman" w:hAnsi="Times New Roman" w:cs="Times New Roman"/>
                <w:sz w:val="24"/>
              </w:rPr>
            </w:pPr>
          </w:p>
        </w:tc>
        <w:tc>
          <w:tcPr>
            <w:tcW w:w="4032" w:type="dxa"/>
            <w:shd w:val="clear" w:color="auto" w:fill="auto"/>
          </w:tcPr>
          <w:p w:rsidR="00AA7B8B" w:rsidRPr="00A329C2" w:rsidP="00AA7B8B" w14:paraId="5AAC34D2" w14:textId="77777777">
            <w:pPr>
              <w:pStyle w:val="HTMLPreformatted"/>
              <w:rPr>
                <w:rFonts w:ascii="Times New Roman" w:hAnsi="Times New Roman" w:cs="Times New Roman"/>
                <w:sz w:val="24"/>
              </w:rPr>
            </w:pPr>
          </w:p>
          <w:p w:rsidR="00AA7B8B" w:rsidRPr="00A329C2" w:rsidP="00AA7B8B" w14:paraId="1B73359B" w14:textId="77777777">
            <w:pPr>
              <w:pStyle w:val="HTMLPreformatted"/>
              <w:rPr>
                <w:rFonts w:ascii="Times New Roman" w:hAnsi="Times New Roman" w:cs="Times New Roman"/>
                <w:sz w:val="24"/>
              </w:rPr>
            </w:pPr>
            <w:r w:rsidRPr="00A329C2">
              <w:rPr>
                <w:rFonts w:ascii="Times New Roman" w:hAnsi="Times New Roman" w:cs="Times New Roman"/>
                <w:sz w:val="24"/>
                <w:szCs w:val="20"/>
              </w:rPr>
              <w:t>Case No. 18-0049-GA-ALT</w:t>
            </w:r>
          </w:p>
          <w:p w:rsidR="00AA7B8B" w:rsidRPr="00A329C2" w:rsidP="00AA7B8B" w14:paraId="2DDC4291" w14:textId="77777777">
            <w:pPr>
              <w:pStyle w:val="HTMLPreformatted"/>
              <w:rPr>
                <w:rFonts w:ascii="Times New Roman" w:hAnsi="Times New Roman" w:cs="Times New Roman"/>
                <w:sz w:val="24"/>
              </w:rPr>
            </w:pPr>
          </w:p>
          <w:p w:rsidR="00AA7B8B" w:rsidRPr="00A329C2" w:rsidP="00AA7B8B" w14:paraId="75F2848C" w14:textId="77777777">
            <w:pPr>
              <w:pStyle w:val="HTMLPreformatted"/>
              <w:rPr>
                <w:rFonts w:ascii="Times New Roman" w:hAnsi="Times New Roman" w:cs="Times New Roman"/>
                <w:sz w:val="24"/>
              </w:rPr>
            </w:pPr>
          </w:p>
        </w:tc>
      </w:tr>
      <w:tr w14:paraId="7906D240" w14:textId="77777777" w:rsidTr="00B72A48">
        <w:tblPrEx>
          <w:tblW w:w="9408" w:type="dxa"/>
          <w:tblLook w:val="01E0"/>
        </w:tblPrEx>
        <w:trPr>
          <w:trHeight w:val="807"/>
        </w:trPr>
        <w:tc>
          <w:tcPr>
            <w:tcW w:w="5018" w:type="dxa"/>
            <w:shd w:val="clear" w:color="auto" w:fill="auto"/>
          </w:tcPr>
          <w:p w:rsidR="00AA7B8B" w:rsidRPr="00A329C2" w:rsidP="00AA7B8B" w14:paraId="2264E322" w14:textId="77777777">
            <w:pPr>
              <w:pStyle w:val="HTMLPreformatted"/>
              <w:rPr>
                <w:rFonts w:ascii="Times New Roman" w:hAnsi="Times New Roman" w:cs="Times New Roman"/>
                <w:sz w:val="24"/>
              </w:rPr>
            </w:pPr>
            <w:r w:rsidRPr="00A329C2">
              <w:rPr>
                <w:rFonts w:ascii="Times New Roman" w:hAnsi="Times New Roman" w:cs="Times New Roman"/>
                <w:sz w:val="24"/>
              </w:rPr>
              <w:t>In the Matter of the Application of Vectren Energy Delivery of Ohio, Inc., for Approval of an Increase in Gas Rates.</w:t>
            </w:r>
          </w:p>
          <w:p w:rsidR="00AA7B8B" w:rsidRPr="00A329C2" w:rsidP="00AA7B8B" w14:paraId="136A5929" w14:textId="77777777">
            <w:pPr>
              <w:pStyle w:val="HTMLPreformatted"/>
              <w:rPr>
                <w:rFonts w:ascii="Times New Roman" w:hAnsi="Times New Roman" w:cs="Times New Roman"/>
                <w:sz w:val="24"/>
              </w:rPr>
            </w:pPr>
          </w:p>
          <w:p w:rsidR="00AA7B8B" w:rsidRPr="00A329C2" w:rsidP="00AA7B8B" w14:paraId="71EB2A25" w14:textId="77777777">
            <w:pPr>
              <w:pStyle w:val="HTMLPreformatted"/>
              <w:rPr>
                <w:rFonts w:ascii="Times New Roman" w:hAnsi="Times New Roman" w:cs="Times New Roman"/>
                <w:sz w:val="24"/>
              </w:rPr>
            </w:pPr>
            <w:r w:rsidRPr="00A329C2">
              <w:rPr>
                <w:rFonts w:ascii="Times New Roman" w:hAnsi="Times New Roman" w:cs="Times New Roman"/>
                <w:sz w:val="24"/>
              </w:rPr>
              <w:t xml:space="preserve">In the Matter of the Application of Vectren Energy Delivery of Ohio, Inc., for Approval of an Alternative Rate Plan. </w:t>
            </w:r>
          </w:p>
        </w:tc>
        <w:tc>
          <w:tcPr>
            <w:tcW w:w="358" w:type="dxa"/>
            <w:shd w:val="clear" w:color="auto" w:fill="auto"/>
          </w:tcPr>
          <w:p w:rsidR="00AA7B8B" w:rsidRPr="00A329C2" w:rsidP="00AA7B8B" w14:paraId="65BCCCBE"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1707863E"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16B5BD9C"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5537CF47" w14:textId="77777777">
            <w:pPr>
              <w:pStyle w:val="HTMLPreformatted"/>
              <w:rPr>
                <w:rFonts w:ascii="Times New Roman" w:hAnsi="Times New Roman" w:cs="Times New Roman"/>
                <w:sz w:val="24"/>
              </w:rPr>
            </w:pPr>
          </w:p>
          <w:p w:rsidR="00AA7B8B" w:rsidRPr="00A329C2" w:rsidP="00AA7B8B" w14:paraId="5917CD2E"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01273741"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AA7B8B" w:rsidRPr="00A329C2" w:rsidP="00AA7B8B" w14:paraId="587F6E69"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tc>
        <w:tc>
          <w:tcPr>
            <w:tcW w:w="4032" w:type="dxa"/>
            <w:shd w:val="clear" w:color="auto" w:fill="auto"/>
          </w:tcPr>
          <w:p w:rsidR="00AA7B8B" w:rsidRPr="00A329C2" w:rsidP="00AA7B8B" w14:paraId="2BBB9C05" w14:textId="77777777">
            <w:pPr>
              <w:pStyle w:val="HTMLPreformatted"/>
              <w:rPr>
                <w:rFonts w:ascii="Times New Roman" w:hAnsi="Times New Roman" w:cs="Times New Roman"/>
                <w:sz w:val="24"/>
              </w:rPr>
            </w:pPr>
          </w:p>
          <w:p w:rsidR="00AA7B8B" w:rsidRPr="00A329C2" w:rsidP="00AA7B8B" w14:paraId="575D4402" w14:textId="77777777">
            <w:pPr>
              <w:pStyle w:val="HTMLPreformatted"/>
              <w:rPr>
                <w:rFonts w:ascii="Times New Roman" w:hAnsi="Times New Roman" w:cs="Times New Roman"/>
                <w:sz w:val="24"/>
              </w:rPr>
            </w:pPr>
            <w:r w:rsidRPr="00A329C2">
              <w:rPr>
                <w:rFonts w:ascii="Times New Roman" w:hAnsi="Times New Roman" w:cs="Times New Roman"/>
                <w:sz w:val="24"/>
                <w:szCs w:val="20"/>
              </w:rPr>
              <w:t>Case No. 18-0298-GA-AIR</w:t>
            </w:r>
          </w:p>
          <w:p w:rsidR="00AA7B8B" w:rsidRPr="00A329C2" w:rsidP="00AA7B8B" w14:paraId="3006D28D" w14:textId="77777777">
            <w:pPr>
              <w:pStyle w:val="HTMLPreformatted"/>
              <w:rPr>
                <w:rFonts w:ascii="Times New Roman" w:hAnsi="Times New Roman" w:cs="Times New Roman"/>
                <w:sz w:val="24"/>
              </w:rPr>
            </w:pPr>
          </w:p>
          <w:p w:rsidR="00AA7B8B" w:rsidRPr="00A329C2" w:rsidP="00AA7B8B" w14:paraId="10C82C30" w14:textId="77777777">
            <w:pPr>
              <w:pStyle w:val="HTMLPreformatted"/>
              <w:rPr>
                <w:rFonts w:ascii="Times New Roman" w:hAnsi="Times New Roman" w:cs="Times New Roman"/>
                <w:sz w:val="24"/>
              </w:rPr>
            </w:pPr>
          </w:p>
          <w:p w:rsidR="00AA7B8B" w:rsidRPr="00A329C2" w:rsidP="00AA7B8B" w14:paraId="6A53F36B" w14:textId="77777777">
            <w:pPr>
              <w:pStyle w:val="HTMLPreformatted"/>
              <w:rPr>
                <w:rFonts w:ascii="Times New Roman" w:hAnsi="Times New Roman" w:cs="Times New Roman"/>
                <w:sz w:val="24"/>
              </w:rPr>
            </w:pPr>
          </w:p>
          <w:p w:rsidR="00AA7B8B" w:rsidRPr="00A329C2" w:rsidP="00AA7B8B" w14:paraId="31AE42BD" w14:textId="77777777">
            <w:pPr>
              <w:pStyle w:val="HTMLPreformatted"/>
              <w:rPr>
                <w:rFonts w:ascii="Times New Roman" w:hAnsi="Times New Roman" w:cs="Times New Roman"/>
                <w:sz w:val="24"/>
              </w:rPr>
            </w:pPr>
            <w:r w:rsidRPr="00A329C2">
              <w:rPr>
                <w:rFonts w:ascii="Times New Roman" w:hAnsi="Times New Roman" w:cs="Times New Roman"/>
                <w:sz w:val="24"/>
                <w:szCs w:val="20"/>
              </w:rPr>
              <w:t>Case No. 18-0299-GA-ALT</w:t>
            </w:r>
          </w:p>
          <w:p w:rsidR="00AA7B8B" w:rsidRPr="00A329C2" w:rsidP="00AA7B8B" w14:paraId="05431199" w14:textId="77777777">
            <w:pPr>
              <w:pStyle w:val="HTMLPreformatted"/>
              <w:rPr>
                <w:rFonts w:ascii="Times New Roman" w:hAnsi="Times New Roman" w:cs="Times New Roman"/>
                <w:sz w:val="24"/>
              </w:rPr>
            </w:pPr>
          </w:p>
        </w:tc>
      </w:tr>
    </w:tbl>
    <w:p w:rsidR="00A46CDB" w:rsidRPr="00E666E3" w:rsidP="00AA7B8B" w14:paraId="2C94F86F"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46CDB" w:rsidRPr="00E666E3" w:rsidP="00A46CDB" w14:paraId="6A0B81CE" w14:textId="77777777">
      <w:pPr>
        <w:jc w:val="center"/>
        <w:rPr>
          <w:b/>
        </w:rPr>
      </w:pPr>
    </w:p>
    <w:p w:rsidR="00A46CDB" w:rsidRPr="00E666E3" w:rsidP="00A46CDB" w14:paraId="567FA09D" w14:textId="3AF58199">
      <w:pPr>
        <w:jc w:val="center"/>
        <w:rPr>
          <w:b/>
        </w:rPr>
      </w:pPr>
      <w:r w:rsidRPr="00E666E3">
        <w:rPr>
          <w:b/>
        </w:rPr>
        <w:t xml:space="preserve">APPLICATION FOR REHEARING </w:t>
      </w:r>
    </w:p>
    <w:p w:rsidR="00A46CDB" w:rsidRPr="00E666E3" w:rsidP="00A46CDB" w14:paraId="79418CA2" w14:textId="77777777">
      <w:pPr>
        <w:jc w:val="center"/>
        <w:rPr>
          <w:b/>
        </w:rPr>
      </w:pPr>
      <w:r w:rsidRPr="00E666E3">
        <w:rPr>
          <w:b/>
        </w:rPr>
        <w:t>BY</w:t>
      </w:r>
    </w:p>
    <w:p w:rsidR="00A46CDB" w:rsidRPr="00E666E3" w:rsidP="00A46CDB" w14:paraId="62BD2EBE" w14:textId="5867FC36">
      <w:pPr>
        <w:jc w:val="center"/>
        <w:rPr>
          <w:b/>
        </w:rPr>
      </w:pPr>
      <w:r w:rsidRPr="00E666E3">
        <w:rPr>
          <w:b/>
        </w:rPr>
        <w:t>THE OFFICE OF THE OHIO CONSUMERS</w:t>
      </w:r>
      <w:r w:rsidR="0078652F">
        <w:rPr>
          <w:b/>
        </w:rPr>
        <w:t>’</w:t>
      </w:r>
      <w:r w:rsidRPr="00E666E3">
        <w:rPr>
          <w:b/>
        </w:rPr>
        <w:t xml:space="preserve"> COUNSEL </w:t>
      </w:r>
    </w:p>
    <w:p w:rsidR="00A46CDB" w:rsidRPr="00E666E3" w:rsidP="00A46CDB" w14:paraId="0EB70DA9" w14:textId="77777777">
      <w:pPr>
        <w:pBdr>
          <w:bottom w:val="single" w:sz="12" w:space="1" w:color="auto"/>
        </w:pBdr>
        <w:jc w:val="center"/>
        <w:rPr>
          <w:b/>
        </w:rPr>
      </w:pPr>
    </w:p>
    <w:p w:rsidR="00A46CDB" w:rsidRPr="00E666E3" w:rsidP="00A46CDB" w14:paraId="1F93CFAF" w14:textId="77777777">
      <w:pPr>
        <w:ind w:firstLine="48"/>
      </w:pPr>
    </w:p>
    <w:p w:rsidR="00F83643" w:rsidP="00A46CDB" w14:paraId="598B6079" w14:textId="349A4733">
      <w:pPr>
        <w:spacing w:line="480" w:lineRule="auto"/>
        <w:ind w:firstLine="720"/>
        <w:sectPr w:rsidSect="00A46CDB">
          <w:footerReference w:type="default" r:id="rId6"/>
          <w:pgSz w:w="12240" w:h="15840"/>
          <w:pgMar w:top="1440" w:right="1800" w:bottom="1440" w:left="1800" w:header="720" w:footer="720" w:gutter="0"/>
          <w:pgNumType w:start="2"/>
          <w:cols w:space="720"/>
          <w:docGrid w:linePitch="360"/>
        </w:sectPr>
      </w:pPr>
      <w:r>
        <w:t>Vectren</w:t>
      </w:r>
      <w:r w:rsidR="0078652F">
        <w:t>’</w:t>
      </w:r>
      <w:r>
        <w:t xml:space="preserve">s customers may pay nearly $50 per month </w:t>
      </w:r>
      <w:r>
        <w:rPr>
          <w:i/>
          <w:iCs/>
        </w:rPr>
        <w:t>even if they do not use a single molecule of gas</w:t>
      </w:r>
      <w:r>
        <w:t>, as a result of the PUCO</w:t>
      </w:r>
      <w:r w:rsidR="0078652F">
        <w:t>’</w:t>
      </w:r>
      <w:r>
        <w:t>s decision in this case</w:t>
      </w:r>
      <w:r>
        <w:rPr>
          <w:i/>
          <w:iCs/>
        </w:rPr>
        <w:t xml:space="preserve">. </w:t>
      </w:r>
      <w:r w:rsidR="00261E87">
        <w:t>In approving t</w:t>
      </w:r>
      <w:r w:rsidR="0076792B">
        <w:t>he Settlement</w:t>
      </w:r>
      <w:r w:rsidR="00261E87">
        <w:t xml:space="preserve"> signed by </w:t>
      </w:r>
      <w:r w:rsidR="00693944">
        <w:t>Vectren and PUCO Staff</w:t>
      </w:r>
      <w:r w:rsidR="00261E87">
        <w:t xml:space="preserve">, </w:t>
      </w:r>
      <w:r w:rsidR="0076792B">
        <w:t>the PUCO increase</w:t>
      </w:r>
      <w:r>
        <w:t>d</w:t>
      </w:r>
      <w:r w:rsidR="0076792B">
        <w:t xml:space="preserve"> the </w:t>
      </w:r>
      <w:r>
        <w:t xml:space="preserve">monthly </w:t>
      </w:r>
      <w:r w:rsidR="0076792B">
        <w:t>fixed charge paid by Vectren</w:t>
      </w:r>
      <w:r w:rsidR="0078652F">
        <w:t>’</w:t>
      </w:r>
      <w:r>
        <w:t xml:space="preserve">s </w:t>
      </w:r>
      <w:r w:rsidR="00693944">
        <w:t>approximately 32</w:t>
      </w:r>
      <w:r w:rsidR="003533EB">
        <w:t>3</w:t>
      </w:r>
      <w:r w:rsidR="00693944">
        <w:t>,000</w:t>
      </w:r>
      <w:r>
        <w:t xml:space="preserve"> </w:t>
      </w:r>
      <w:r w:rsidR="0076792B">
        <w:t>customers from $27.62</w:t>
      </w:r>
      <w:r>
        <w:rPr>
          <w:rStyle w:val="FootnoteReference"/>
        </w:rPr>
        <w:footnoteReference w:id="2"/>
      </w:r>
      <w:r w:rsidR="0076792B">
        <w:t xml:space="preserve"> to $32.86</w:t>
      </w:r>
      <w:r w:rsidR="00A15022">
        <w:t xml:space="preserve"> per month</w:t>
      </w:r>
      <w:r w:rsidR="0076792B">
        <w:t>.</w:t>
      </w:r>
      <w:r w:rsidR="0078652F">
        <w:t xml:space="preserve"> </w:t>
      </w:r>
      <w:r w:rsidR="00A15022">
        <w:t xml:space="preserve">After adding </w:t>
      </w:r>
      <w:r>
        <w:t xml:space="preserve">other </w:t>
      </w:r>
      <w:r w:rsidR="00A15022">
        <w:t xml:space="preserve">fixed charges </w:t>
      </w:r>
      <w:r>
        <w:t>that</w:t>
      </w:r>
      <w:r w:rsidR="00A15022">
        <w:t xml:space="preserve"> the PUCO</w:t>
      </w:r>
      <w:r>
        <w:t xml:space="preserve"> also </w:t>
      </w:r>
      <w:r w:rsidR="00A15022">
        <w:t>approved</w:t>
      </w:r>
      <w:r>
        <w:t>,</w:t>
      </w:r>
      <w:r w:rsidR="00A15022">
        <w:t xml:space="preserve"> </w:t>
      </w:r>
      <w:r w:rsidR="00D97550">
        <w:t xml:space="preserve">the total </w:t>
      </w:r>
      <w:r>
        <w:t xml:space="preserve">monthly </w:t>
      </w:r>
      <w:r w:rsidR="00D97550">
        <w:t>fixed charges paid by Vectren</w:t>
      </w:r>
      <w:r w:rsidR="0078652F">
        <w:t>’</w:t>
      </w:r>
      <w:r w:rsidR="00D97550">
        <w:t xml:space="preserve">s customers </w:t>
      </w:r>
      <w:r w:rsidR="00A15022">
        <w:t>could be</w:t>
      </w:r>
      <w:r w:rsidR="00D97550">
        <w:t xml:space="preserve"> $48.11 in 2024.</w:t>
      </w:r>
      <w:r>
        <w:rPr>
          <w:rStyle w:val="FootnoteReference"/>
        </w:rPr>
        <w:footnoteReference w:id="3"/>
      </w:r>
      <w:r w:rsidR="0078652F">
        <w:t xml:space="preserve"> </w:t>
      </w:r>
      <w:r w:rsidR="00875C93">
        <w:t>The Office of the Ohio Consumers</w:t>
      </w:r>
      <w:r w:rsidR="0078652F">
        <w:t>’</w:t>
      </w:r>
      <w:r w:rsidR="00875C93">
        <w:t xml:space="preserve"> Counsel (“OCC”) files this Application for Rehearing (“Application”) to protect consumers</w:t>
      </w:r>
      <w:r>
        <w:t xml:space="preserve"> of Vectren Energy Delivery of Ohio, Inc. (“Vectren”)</w:t>
      </w:r>
      <w:r w:rsidR="00875C93">
        <w:t xml:space="preserve"> from paying </w:t>
      </w:r>
      <w:r w:rsidR="006767E5">
        <w:t xml:space="preserve">high </w:t>
      </w:r>
      <w:r w:rsidR="00A46CDB">
        <w:t>fixed charge</w:t>
      </w:r>
      <w:r w:rsidR="00A15022">
        <w:t>s</w:t>
      </w:r>
      <w:r w:rsidR="006767E5">
        <w:t xml:space="preserve"> for their service instead of paying low fixed charges with charges per unit of gas</w:t>
      </w:r>
      <w:r w:rsidR="00A46CDB">
        <w:t>.</w:t>
      </w:r>
      <w:r w:rsidR="000454D8">
        <w:t xml:space="preserve"> </w:t>
      </w:r>
    </w:p>
    <w:p w:rsidR="00A46CDB" w:rsidP="00A15022" w14:paraId="04932466" w14:textId="05DA5221">
      <w:pPr>
        <w:spacing w:line="480" w:lineRule="auto"/>
        <w:ind w:firstLine="720"/>
      </w:pPr>
      <w:r>
        <w:t>In its Opinion and Order of August 28, 2019, the PUCO rejected parties</w:t>
      </w:r>
      <w:r w:rsidR="0078652F">
        <w:t>’</w:t>
      </w:r>
      <w:r>
        <w:t xml:space="preserve"> challenges to the fixed charge because it did not believe that it was “necessary or appropriate to dramatically change rate designs solely upon short-term natural gas market conditions.”</w:t>
      </w:r>
      <w:r>
        <w:rPr>
          <w:rStyle w:val="FootnoteReference"/>
        </w:rPr>
        <w:footnoteReference w:id="4"/>
      </w:r>
      <w:r w:rsidR="000454D8">
        <w:t xml:space="preserve"> </w:t>
      </w:r>
      <w:r w:rsidR="006767E5">
        <w:t xml:space="preserve">The PUCO stated that </w:t>
      </w:r>
      <w:r>
        <w:t>“</w:t>
      </w:r>
      <w:r w:rsidR="003533EB">
        <w:t>[n]</w:t>
      </w:r>
      <w:r>
        <w:t>atural gas prices have been historically volatile and the balance between distribution costs and commodity costs may shift again in the future.”</w:t>
      </w:r>
      <w:r>
        <w:rPr>
          <w:rStyle w:val="FootnoteReference"/>
        </w:rPr>
        <w:footnoteReference w:id="5"/>
      </w:r>
      <w:r>
        <w:t xml:space="preserve"> But there is absolutely </w:t>
      </w:r>
      <w:r w:rsidRPr="00F83643">
        <w:t xml:space="preserve">no </w:t>
      </w:r>
      <w:r w:rsidRPr="00F83643" w:rsidR="006767E5">
        <w:t>evidence</w:t>
      </w:r>
      <w:r w:rsidR="006767E5">
        <w:t xml:space="preserve"> in the record</w:t>
      </w:r>
      <w:r>
        <w:t xml:space="preserve"> for the PUCO</w:t>
      </w:r>
      <w:r w:rsidR="0078652F">
        <w:t>’</w:t>
      </w:r>
      <w:r>
        <w:t>s conclusion.</w:t>
      </w:r>
      <w:r w:rsidR="000454D8">
        <w:t xml:space="preserve"> </w:t>
      </w:r>
      <w:r w:rsidR="006767E5">
        <w:t xml:space="preserve">Given the lack of evidence in the record, </w:t>
      </w:r>
      <w:r>
        <w:t xml:space="preserve">the </w:t>
      </w:r>
      <w:r w:rsidR="006767E5">
        <w:t>PUCO</w:t>
      </w:r>
      <w:r w:rsidR="0078652F">
        <w:t>’</w:t>
      </w:r>
      <w:r w:rsidR="006767E5">
        <w:t xml:space="preserve">s </w:t>
      </w:r>
      <w:r>
        <w:t>Opinion and Order violates R.C. 4903.09 and controlling precedent from the Supreme Court of Ohio.</w:t>
      </w:r>
      <w:r>
        <w:rPr>
          <w:rStyle w:val="FootnoteReference"/>
        </w:rPr>
        <w:footnoteReference w:id="6"/>
      </w:r>
      <w:r>
        <w:t xml:space="preserve"> </w:t>
      </w:r>
    </w:p>
    <w:p w:rsidR="00A46CDB" w:rsidP="00A46CDB" w14:paraId="1BE81CE5" w14:textId="77777777">
      <w:pPr>
        <w:spacing w:line="480" w:lineRule="auto"/>
        <w:ind w:firstLine="720"/>
      </w:pPr>
      <w:r>
        <w:t>The Opinion and Order harms customers and is unreasonable and unlawful in the following respects:</w:t>
      </w:r>
    </w:p>
    <w:p w:rsidR="00A46CDB" w:rsidRPr="00421F2C" w:rsidP="008A2B55" w14:paraId="32A94DBE" w14:textId="05F9A2E3">
      <w:pPr>
        <w:ind w:left="720"/>
        <w:rPr>
          <w:b/>
          <w:bCs/>
        </w:rPr>
      </w:pPr>
      <w:r w:rsidRPr="00421F2C">
        <w:rPr>
          <w:b/>
          <w:bCs/>
        </w:rPr>
        <w:t>ASSIGNMENT OF ERROR</w:t>
      </w:r>
      <w:r w:rsidR="006E28CF">
        <w:rPr>
          <w:b/>
          <w:bCs/>
        </w:rPr>
        <w:t>:</w:t>
      </w:r>
      <w:r w:rsidRPr="00421F2C" w:rsidR="000454D8">
        <w:rPr>
          <w:b/>
          <w:bCs/>
        </w:rPr>
        <w:t xml:space="preserve"> </w:t>
      </w:r>
      <w:r w:rsidRPr="00421F2C">
        <w:rPr>
          <w:b/>
          <w:bCs/>
        </w:rPr>
        <w:t>The PUCO</w:t>
      </w:r>
      <w:r w:rsidR="0078652F">
        <w:rPr>
          <w:b/>
          <w:bCs/>
        </w:rPr>
        <w:t>’</w:t>
      </w:r>
      <w:r w:rsidRPr="00421F2C">
        <w:rPr>
          <w:b/>
          <w:bCs/>
        </w:rPr>
        <w:t xml:space="preserve">s </w:t>
      </w:r>
      <w:r w:rsidRPr="00421F2C" w:rsidR="004861A5">
        <w:rPr>
          <w:b/>
          <w:bCs/>
        </w:rPr>
        <w:t>Opinion and Order</w:t>
      </w:r>
      <w:r w:rsidRPr="00421F2C">
        <w:rPr>
          <w:b/>
          <w:bCs/>
        </w:rPr>
        <w:t xml:space="preserve"> is</w:t>
      </w:r>
      <w:r w:rsidR="00195A9A">
        <w:rPr>
          <w:b/>
          <w:bCs/>
        </w:rPr>
        <w:t xml:space="preserve"> unreasonable and</w:t>
      </w:r>
      <w:r w:rsidRPr="00421F2C">
        <w:rPr>
          <w:b/>
          <w:bCs/>
        </w:rPr>
        <w:t xml:space="preserve"> unlawful </w:t>
      </w:r>
      <w:r w:rsidRPr="00421F2C" w:rsidR="00911F35">
        <w:rPr>
          <w:b/>
          <w:bCs/>
        </w:rPr>
        <w:t xml:space="preserve">under R.C. 4903.09 and </w:t>
      </w:r>
      <w:r w:rsidR="00195A9A">
        <w:rPr>
          <w:b/>
          <w:bCs/>
        </w:rPr>
        <w:t xml:space="preserve">Ohio </w:t>
      </w:r>
      <w:r w:rsidRPr="00421F2C" w:rsidR="00911F35">
        <w:rPr>
          <w:b/>
          <w:bCs/>
        </w:rPr>
        <w:t xml:space="preserve">Supreme Court precedent because it </w:t>
      </w:r>
      <w:r w:rsidR="00195A9A">
        <w:rPr>
          <w:b/>
          <w:bCs/>
        </w:rPr>
        <w:t>authorized</w:t>
      </w:r>
      <w:r w:rsidRPr="00421F2C" w:rsidR="00195A9A">
        <w:rPr>
          <w:b/>
          <w:bCs/>
        </w:rPr>
        <w:t xml:space="preserve"> </w:t>
      </w:r>
      <w:r w:rsidRPr="00421F2C" w:rsidR="004861A5">
        <w:rPr>
          <w:b/>
          <w:bCs/>
        </w:rPr>
        <w:t>Vectren</w:t>
      </w:r>
      <w:r w:rsidR="00195A9A">
        <w:rPr>
          <w:b/>
          <w:bCs/>
        </w:rPr>
        <w:t xml:space="preserve"> to bill its customers for a high</w:t>
      </w:r>
      <w:r w:rsidRPr="00421F2C" w:rsidR="004861A5">
        <w:rPr>
          <w:b/>
          <w:bCs/>
        </w:rPr>
        <w:t xml:space="preserve"> fixed charge</w:t>
      </w:r>
      <w:r w:rsidR="00195A9A">
        <w:rPr>
          <w:b/>
          <w:bCs/>
        </w:rPr>
        <w:t xml:space="preserve"> </w:t>
      </w:r>
      <w:r w:rsidRPr="00421F2C" w:rsidR="00911F35">
        <w:rPr>
          <w:b/>
          <w:bCs/>
        </w:rPr>
        <w:t>without support</w:t>
      </w:r>
      <w:r w:rsidR="00195A9A">
        <w:rPr>
          <w:b/>
          <w:bCs/>
        </w:rPr>
        <w:t xml:space="preserve"> in the record</w:t>
      </w:r>
      <w:r w:rsidRPr="00421F2C">
        <w:rPr>
          <w:b/>
          <w:bCs/>
        </w:rPr>
        <w:t>.</w:t>
      </w:r>
      <w:r w:rsidRPr="00421F2C" w:rsidR="000454D8">
        <w:rPr>
          <w:b/>
          <w:bCs/>
        </w:rPr>
        <w:t xml:space="preserve"> </w:t>
      </w:r>
    </w:p>
    <w:p w:rsidR="00A46CDB" w:rsidP="00A46CDB" w14:paraId="24182F9E" w14:textId="77777777"/>
    <w:p w:rsidR="00A46CDB" w:rsidP="00A46CDB" w14:paraId="3DF2FF03" w14:textId="073FB3D7">
      <w:pPr>
        <w:spacing w:line="480" w:lineRule="auto"/>
      </w:pPr>
      <w:r>
        <w:tab/>
        <w:t xml:space="preserve">The reasons </w:t>
      </w:r>
      <w:r w:rsidR="00195A9A">
        <w:t>for</w:t>
      </w:r>
      <w:r>
        <w:t xml:space="preserve"> this Application for Rehearing are set forth in the accompanying memorandum in support.</w:t>
      </w:r>
      <w:r w:rsidR="000454D8">
        <w:t xml:space="preserve"> </w:t>
      </w:r>
      <w:r>
        <w:t xml:space="preserve">The PUCO should grant rehearing and abrogate its </w:t>
      </w:r>
      <w:r w:rsidR="00C37836">
        <w:t>Opinion and Order</w:t>
      </w:r>
      <w:r>
        <w:t xml:space="preserve"> as requested by OCC.</w:t>
      </w:r>
    </w:p>
    <w:p w:rsidR="00F83643" w14:paraId="73C33EE7" w14:textId="77777777">
      <w:r>
        <w:br w:type="page"/>
      </w:r>
    </w:p>
    <w:p w:rsidR="00A46CDB" w:rsidP="00A46CDB" w14:paraId="2E2DF4E0" w14:textId="46BA4A5A">
      <w:pPr>
        <w:ind w:left="3600" w:firstLine="720"/>
      </w:pPr>
      <w:r w:rsidRPr="0029024A">
        <w:t>Respectfully submitted,</w:t>
      </w:r>
    </w:p>
    <w:p w:rsidR="00A46CDB" w:rsidRPr="0029024A" w:rsidP="00A46CDB" w14:paraId="34180699" w14:textId="77777777">
      <w:pPr>
        <w:ind w:left="3600" w:firstLine="720"/>
      </w:pPr>
    </w:p>
    <w:p w:rsidR="00A46CDB" w:rsidRPr="0029024A" w:rsidP="00A46CDB" w14:paraId="18C1F187" w14:textId="77777777">
      <w:pPr>
        <w:pStyle w:val="Footer"/>
        <w:suppressLineNumbers/>
        <w:tabs>
          <w:tab w:val="clear" w:pos="4320"/>
          <w:tab w:val="clear" w:pos="8640"/>
        </w:tabs>
        <w:ind w:left="4320"/>
      </w:pPr>
      <w:r w:rsidRPr="00CD4C8A">
        <w:rPr>
          <w:sz w:val="24"/>
          <w:szCs w:val="32"/>
        </w:rPr>
        <w:t>Bruce Weston (0016973)</w:t>
      </w:r>
    </w:p>
    <w:p w:rsidR="00A46CDB" w:rsidRPr="0029024A" w:rsidP="00A46CDB" w14:paraId="635B88A1" w14:textId="452A2504">
      <w:pPr>
        <w:suppressLineNumbers/>
        <w:ind w:left="4320"/>
      </w:pPr>
      <w:r w:rsidRPr="0029024A">
        <w:t>Ohio Consumers</w:t>
      </w:r>
      <w:r w:rsidR="0078652F">
        <w:t>’</w:t>
      </w:r>
      <w:r w:rsidRPr="0029024A">
        <w:t xml:space="preserve"> Counsel</w:t>
      </w:r>
    </w:p>
    <w:p w:rsidR="00A46CDB" w:rsidRPr="0029024A" w:rsidP="00A46CDB" w14:paraId="4995785B" w14:textId="77777777">
      <w:pPr>
        <w:suppressLineNumbers/>
        <w:ind w:left="4320"/>
      </w:pPr>
      <w:r w:rsidRPr="0029024A">
        <w:tab/>
      </w:r>
    </w:p>
    <w:p w:rsidR="00A46CDB" w:rsidRPr="0029024A" w:rsidP="00A46CDB" w14:paraId="06371C2B" w14:textId="77777777">
      <w:pPr>
        <w:suppressLineNumbers/>
        <w:ind w:left="4320"/>
      </w:pPr>
      <w:r w:rsidRPr="0029024A">
        <w:rPr>
          <w:i/>
          <w:u w:val="single"/>
        </w:rPr>
        <w:t>/s/ William J. Michael</w:t>
      </w:r>
      <w:r>
        <w:rPr>
          <w:i/>
          <w:u w:val="single"/>
        </w:rPr>
        <w:tab/>
      </w:r>
      <w:r>
        <w:rPr>
          <w:i/>
          <w:u w:val="single"/>
        </w:rPr>
        <w:tab/>
      </w:r>
    </w:p>
    <w:p w:rsidR="00A46CDB" w:rsidRPr="0029024A" w:rsidP="00A46CDB" w14:paraId="0B4060AF" w14:textId="77777777">
      <w:pPr>
        <w:suppressLineNumbers/>
        <w:ind w:left="4320"/>
      </w:pPr>
      <w:r w:rsidRPr="0029024A">
        <w:t>William J. Michael (0070921)</w:t>
      </w:r>
    </w:p>
    <w:p w:rsidR="00A46CDB" w:rsidRPr="0029024A" w:rsidP="00A46CDB" w14:paraId="3FC9E2DB" w14:textId="77777777">
      <w:pPr>
        <w:suppressLineNumbers/>
        <w:ind w:left="4320"/>
      </w:pPr>
      <w:r w:rsidRPr="0029024A">
        <w:t>Counsel of Record</w:t>
      </w:r>
    </w:p>
    <w:p w:rsidR="00421F2C" w:rsidRPr="00A329C2" w:rsidP="00421F2C" w14:paraId="2885C039" w14:textId="76240F84">
      <w:pPr>
        <w:tabs>
          <w:tab w:val="left" w:pos="3870"/>
        </w:tabs>
        <w:ind w:left="4320"/>
        <w:rPr>
          <w:rFonts w:eastAsia="Calibri"/>
        </w:rPr>
      </w:pPr>
      <w:r w:rsidRPr="00A329C2">
        <w:rPr>
          <w:rFonts w:eastAsia="Calibri"/>
        </w:rPr>
        <w:t>Amy Botschner-O</w:t>
      </w:r>
      <w:r w:rsidR="0078652F">
        <w:rPr>
          <w:rFonts w:eastAsia="Calibri"/>
        </w:rPr>
        <w:t>’</w:t>
      </w:r>
      <w:r w:rsidRPr="00A329C2">
        <w:rPr>
          <w:rFonts w:eastAsia="Calibri"/>
        </w:rPr>
        <w:t>Brien (0074423)</w:t>
      </w:r>
    </w:p>
    <w:p w:rsidR="00421F2C" w:rsidP="00421F2C" w14:paraId="2E2C0E5E" w14:textId="77777777">
      <w:pPr>
        <w:suppressLineNumbers/>
        <w:ind w:left="4320"/>
      </w:pPr>
      <w:r w:rsidRPr="0029024A">
        <w:t>Christopher Healey (0086027)</w:t>
      </w:r>
    </w:p>
    <w:p w:rsidR="00421F2C" w:rsidRPr="00A329C2" w:rsidP="00421F2C" w14:paraId="6B3006CF" w14:textId="6556478E">
      <w:pPr>
        <w:tabs>
          <w:tab w:val="left" w:pos="3870"/>
        </w:tabs>
        <w:ind w:left="4320"/>
        <w:rPr>
          <w:rFonts w:eastAsia="Calibri"/>
        </w:rPr>
      </w:pPr>
      <w:r w:rsidRPr="00A329C2">
        <w:rPr>
          <w:rFonts w:eastAsia="Calibri"/>
        </w:rPr>
        <w:t>Angela O</w:t>
      </w:r>
      <w:r w:rsidR="0078652F">
        <w:rPr>
          <w:rFonts w:eastAsia="Calibri"/>
        </w:rPr>
        <w:t>’</w:t>
      </w:r>
      <w:r w:rsidRPr="00A329C2">
        <w:rPr>
          <w:rFonts w:eastAsia="Calibri"/>
        </w:rPr>
        <w:t>Brien (0097579)</w:t>
      </w:r>
    </w:p>
    <w:p w:rsidR="00421F2C" w:rsidRPr="0029024A" w:rsidP="00421F2C" w14:paraId="2C822B29" w14:textId="43D4004C">
      <w:pPr>
        <w:suppressLineNumbers/>
        <w:ind w:left="4320"/>
      </w:pPr>
      <w:r w:rsidRPr="0029024A">
        <w:t>Assistant Consumers</w:t>
      </w:r>
      <w:r w:rsidR="0078652F">
        <w:t>’</w:t>
      </w:r>
      <w:r w:rsidRPr="0029024A">
        <w:t xml:space="preserve"> Counsel</w:t>
      </w:r>
    </w:p>
    <w:p w:rsidR="00421F2C" w:rsidRPr="0029024A" w:rsidP="00421F2C" w14:paraId="18BE9665" w14:textId="77777777">
      <w:pPr>
        <w:suppressLineNumbers/>
        <w:ind w:left="4320"/>
      </w:pPr>
    </w:p>
    <w:p w:rsidR="00421F2C" w:rsidRPr="0029024A" w:rsidP="00421F2C" w14:paraId="629C53A4" w14:textId="4EA83664">
      <w:pPr>
        <w:suppressLineNumbers/>
        <w:ind w:left="4320"/>
        <w:rPr>
          <w:b/>
        </w:rPr>
      </w:pPr>
      <w:r w:rsidRPr="0029024A">
        <w:rPr>
          <w:b/>
        </w:rPr>
        <w:t>Office of the Ohio Consumers</w:t>
      </w:r>
      <w:r w:rsidR="0078652F">
        <w:rPr>
          <w:b/>
        </w:rPr>
        <w:t>’</w:t>
      </w:r>
      <w:r w:rsidRPr="0029024A">
        <w:rPr>
          <w:b/>
        </w:rPr>
        <w:t xml:space="preserve"> Counsel</w:t>
      </w:r>
    </w:p>
    <w:p w:rsidR="00421F2C" w:rsidRPr="0029024A" w:rsidP="00421F2C" w14:paraId="2241A833" w14:textId="77777777">
      <w:pPr>
        <w:suppressLineNumbers/>
        <w:ind w:left="4320"/>
      </w:pPr>
      <w:r w:rsidRPr="0029024A">
        <w:t>65 East State Street, 7</w:t>
      </w:r>
      <w:r w:rsidRPr="000454D8">
        <w:t>th</w:t>
      </w:r>
      <w:r w:rsidRPr="0029024A">
        <w:t xml:space="preserve"> Floor</w:t>
      </w:r>
    </w:p>
    <w:p w:rsidR="00421F2C" w:rsidRPr="0029024A" w:rsidP="00421F2C" w14:paraId="4BDE7C67" w14:textId="77777777">
      <w:pPr>
        <w:suppressLineNumbers/>
        <w:ind w:left="4320"/>
      </w:pPr>
      <w:r w:rsidRPr="0029024A">
        <w:t>Columbus, Ohio 43215-4213</w:t>
      </w:r>
    </w:p>
    <w:p w:rsidR="00421F2C" w:rsidP="00421F2C" w14:paraId="31574706" w14:textId="77777777">
      <w:pPr>
        <w:suppressLineNumbers/>
        <w:autoSpaceDE w:val="0"/>
        <w:autoSpaceDN w:val="0"/>
        <w:adjustRightInd w:val="0"/>
        <w:ind w:left="3600" w:firstLine="720"/>
      </w:pPr>
      <w:r w:rsidRPr="0029024A">
        <w:t>Telephone [Michael]: (614) 466-1291</w:t>
      </w:r>
    </w:p>
    <w:p w:rsidR="00421F2C" w:rsidRPr="00A329C2" w:rsidP="00421F2C" w14:paraId="7C4C6F38" w14:textId="54E3E4C3">
      <w:pPr>
        <w:tabs>
          <w:tab w:val="left" w:pos="3870"/>
        </w:tabs>
        <w:ind w:left="4320" w:right="-450"/>
      </w:pPr>
      <w:r w:rsidRPr="00A329C2">
        <w:t>Telephone: [Botschner-O</w:t>
      </w:r>
      <w:r w:rsidR="0078652F">
        <w:t>’</w:t>
      </w:r>
      <w:r w:rsidRPr="00A329C2">
        <w:t xml:space="preserve">Brien] </w:t>
      </w:r>
      <w:r>
        <w:t>(</w:t>
      </w:r>
      <w:r w:rsidRPr="00A329C2">
        <w:t>614</w:t>
      </w:r>
      <w:r>
        <w:t>)</w:t>
      </w:r>
      <w:r w:rsidRPr="00A329C2">
        <w:t>-466-9575</w:t>
      </w:r>
    </w:p>
    <w:p w:rsidR="00421F2C" w:rsidP="00421F2C" w14:paraId="1B53A079" w14:textId="77777777">
      <w:pPr>
        <w:suppressLineNumbers/>
        <w:autoSpaceDE w:val="0"/>
        <w:autoSpaceDN w:val="0"/>
        <w:adjustRightInd w:val="0"/>
        <w:ind w:left="3600" w:firstLine="720"/>
      </w:pPr>
      <w:r w:rsidRPr="0029024A">
        <w:t>Telephone [Healey]: (614) 466-9571</w:t>
      </w:r>
      <w:r w:rsidRPr="0029024A">
        <w:tab/>
      </w:r>
    </w:p>
    <w:p w:rsidR="00421F2C" w:rsidRPr="00A329C2" w:rsidP="00421F2C" w14:paraId="723FEF70" w14:textId="3C20BE94">
      <w:pPr>
        <w:tabs>
          <w:tab w:val="left" w:pos="3870"/>
        </w:tabs>
        <w:ind w:left="4320"/>
      </w:pPr>
      <w:r w:rsidRPr="00A329C2">
        <w:t>Telephone: [O</w:t>
      </w:r>
      <w:r w:rsidR="0078652F">
        <w:t>’</w:t>
      </w:r>
      <w:r w:rsidRPr="00A329C2">
        <w:t>Brien] 614-466-9531</w:t>
      </w:r>
    </w:p>
    <w:p w:rsidR="00421F2C" w:rsidP="00421F2C" w14:paraId="19D17F58" w14:textId="7DD667CB">
      <w:pPr>
        <w:suppressLineNumbers/>
        <w:autoSpaceDE w:val="0"/>
        <w:autoSpaceDN w:val="0"/>
        <w:adjustRightInd w:val="0"/>
        <w:ind w:left="3600" w:firstLine="720"/>
        <w:rPr>
          <w:rStyle w:val="Hyperlink"/>
        </w:rPr>
      </w:pPr>
      <w:hyperlink r:id="rId7" w:history="1">
        <w:r w:rsidRPr="00661CD3" w:rsidR="00CA65BA">
          <w:rPr>
            <w:rStyle w:val="Hyperlink"/>
          </w:rPr>
          <w:t>william.michael@occ.ohio.gov</w:t>
        </w:r>
      </w:hyperlink>
    </w:p>
    <w:p w:rsidR="00641AF3" w:rsidP="00641AF3" w14:paraId="59E7F4B8" w14:textId="77777777">
      <w:pPr>
        <w:suppressLineNumbers/>
        <w:autoSpaceDE w:val="0"/>
        <w:autoSpaceDN w:val="0"/>
        <w:adjustRightInd w:val="0"/>
        <w:ind w:left="3600" w:firstLine="720"/>
        <w:rPr>
          <w:rStyle w:val="Hyperlink"/>
        </w:rPr>
      </w:pPr>
      <w:r>
        <w:rPr>
          <w:rStyle w:val="Hyperlink"/>
        </w:rPr>
        <w:t>amy.botschner.obrien@occ.ohio.gov</w:t>
      </w:r>
    </w:p>
    <w:p w:rsidR="00421F2C" w:rsidP="00421F2C" w14:paraId="150F1CED" w14:textId="66B88995">
      <w:pPr>
        <w:suppressLineNumbers/>
        <w:autoSpaceDE w:val="0"/>
        <w:autoSpaceDN w:val="0"/>
        <w:adjustRightInd w:val="0"/>
        <w:ind w:left="3600" w:firstLine="720"/>
        <w:rPr>
          <w:rStyle w:val="Hyperlink"/>
        </w:rPr>
      </w:pPr>
      <w:hyperlink r:id="rId8" w:history="1">
        <w:r w:rsidR="00CA65BA">
          <w:rPr>
            <w:rStyle w:val="Hyperlink"/>
          </w:rPr>
          <w:t>c</w:t>
        </w:r>
        <w:r w:rsidRPr="00661CD3" w:rsidR="00CA65BA">
          <w:rPr>
            <w:rStyle w:val="Hyperlink"/>
          </w:rPr>
          <w:t>hristopher.healey@occ.ohio.gov</w:t>
        </w:r>
      </w:hyperlink>
    </w:p>
    <w:p w:rsidR="008A2B55" w:rsidP="00421F2C" w14:paraId="24987964" w14:textId="293F3BB8">
      <w:pPr>
        <w:suppressLineNumbers/>
        <w:autoSpaceDE w:val="0"/>
        <w:autoSpaceDN w:val="0"/>
        <w:adjustRightInd w:val="0"/>
        <w:ind w:left="3600" w:firstLine="720"/>
      </w:pPr>
      <w:r>
        <w:rPr>
          <w:rStyle w:val="Hyperlink"/>
        </w:rPr>
        <w:t>angela.obrien@occ.ohio.gov</w:t>
      </w:r>
    </w:p>
    <w:p w:rsidR="00421F2C" w:rsidP="00421F2C" w14:paraId="7FD56E49" w14:textId="77777777">
      <w:pPr>
        <w:suppressLineNumbers/>
        <w:autoSpaceDE w:val="0"/>
        <w:autoSpaceDN w:val="0"/>
        <w:adjustRightInd w:val="0"/>
        <w:ind w:left="3600" w:firstLine="720"/>
      </w:pPr>
      <w:r>
        <w:t>(</w:t>
      </w:r>
      <w:r w:rsidRPr="0029024A">
        <w:t>will</w:t>
      </w:r>
      <w:r>
        <w:t>ing to</w:t>
      </w:r>
      <w:r w:rsidRPr="0029024A">
        <w:t xml:space="preserve"> accept service </w:t>
      </w:r>
      <w:r>
        <w:t>by e-</w:t>
      </w:r>
      <w:r w:rsidRPr="0029024A">
        <w:t>mail)</w:t>
      </w:r>
    </w:p>
    <w:p w:rsidR="00A46CDB" w:rsidP="00A46CDB" w14:paraId="71AC2F92" w14:textId="77777777">
      <w:pPr>
        <w:pStyle w:val="Heading1"/>
        <w:sectPr w:rsidSect="00A46CDB">
          <w:footerReference w:type="default" r:id="rId9"/>
          <w:pgSz w:w="12240" w:h="15840"/>
          <w:pgMar w:top="1440" w:right="1800" w:bottom="1440" w:left="1800" w:header="720" w:footer="720" w:gutter="0"/>
          <w:pgNumType w:start="2"/>
          <w:cols w:space="720"/>
          <w:docGrid w:linePitch="360"/>
        </w:sectPr>
      </w:pPr>
    </w:p>
    <w:p w:rsidR="00A46CDB" w:rsidRPr="00E666E3" w:rsidP="00A46CDB" w14:paraId="47B19109" w14:textId="77777777">
      <w:pPr>
        <w:jc w:val="center"/>
        <w:rPr>
          <w:b/>
        </w:rPr>
      </w:pPr>
      <w:r w:rsidRPr="00E666E3">
        <w:rPr>
          <w:b/>
        </w:rPr>
        <w:t>BEFORE</w:t>
      </w:r>
    </w:p>
    <w:p w:rsidR="00A46CDB" w:rsidP="00A46CDB" w14:paraId="0215E8CE" w14:textId="77777777">
      <w:pPr>
        <w:jc w:val="center"/>
        <w:rPr>
          <w:b/>
          <w:bCs/>
        </w:rPr>
      </w:pPr>
      <w:r w:rsidRPr="00E666E3">
        <w:rPr>
          <w:b/>
          <w:bCs/>
        </w:rPr>
        <w:t>THE PUBLIC UTILITIES COMMISSION OF OHIO</w:t>
      </w:r>
    </w:p>
    <w:p w:rsidR="00A46CDB" w:rsidP="00A46CDB" w14:paraId="1D90D4D8" w14:textId="77777777">
      <w:pPr>
        <w:jc w:val="center"/>
        <w:rPr>
          <w:b/>
          <w:bCs/>
        </w:rPr>
      </w:pPr>
    </w:p>
    <w:tbl>
      <w:tblPr>
        <w:tblW w:w="9624" w:type="dxa"/>
        <w:tblLook w:val="01E0"/>
      </w:tblPr>
      <w:tblGrid>
        <w:gridCol w:w="9624"/>
      </w:tblGrid>
      <w:tr w14:paraId="4218CFA4" w14:textId="77777777" w:rsidTr="008A2B55">
        <w:tblPrEx>
          <w:tblW w:w="9624" w:type="dxa"/>
          <w:tblLook w:val="01E0"/>
        </w:tblPrEx>
        <w:trPr>
          <w:trHeight w:val="807"/>
        </w:trPr>
        <w:tc>
          <w:tcPr>
            <w:tcW w:w="9624" w:type="dxa"/>
            <w:shd w:val="clear" w:color="auto" w:fill="auto"/>
          </w:tcPr>
          <w:tbl>
            <w:tblPr>
              <w:tblW w:w="9408" w:type="dxa"/>
              <w:tblLook w:val="01E0"/>
            </w:tblPr>
            <w:tblGrid>
              <w:gridCol w:w="5018"/>
              <w:gridCol w:w="358"/>
              <w:gridCol w:w="4032"/>
            </w:tblGrid>
            <w:tr w14:paraId="61098510" w14:textId="77777777" w:rsidTr="008A2B55">
              <w:tblPrEx>
                <w:tblW w:w="9408" w:type="dxa"/>
                <w:tblLook w:val="01E0"/>
              </w:tblPrEx>
              <w:trPr>
                <w:trHeight w:val="807"/>
              </w:trPr>
              <w:tc>
                <w:tcPr>
                  <w:tcW w:w="5018" w:type="dxa"/>
                  <w:shd w:val="clear" w:color="auto" w:fill="auto"/>
                </w:tcPr>
                <w:p w:rsidR="008A2B55" w:rsidRPr="00A329C2" w:rsidP="00546450" w14:paraId="7D2250E0" w14:textId="77777777">
                  <w:pPr>
                    <w:pStyle w:val="HTMLPreformatted"/>
                    <w:rPr>
                      <w:rFonts w:ascii="Times New Roman" w:hAnsi="Times New Roman" w:cs="Times New Roman"/>
                      <w:sz w:val="24"/>
                    </w:rPr>
                  </w:pPr>
                  <w:r w:rsidRPr="00A329C2">
                    <w:rPr>
                      <w:rFonts w:ascii="Times New Roman" w:hAnsi="Times New Roman" w:cs="Times New Roman"/>
                      <w:sz w:val="24"/>
                    </w:rPr>
                    <w:t>In the Matter of the Application of Vectren Energy Delivery of Ohio, Inc., for Approval of an Alternative Rate Plan.</w:t>
                  </w:r>
                </w:p>
              </w:tc>
              <w:tc>
                <w:tcPr>
                  <w:tcW w:w="358" w:type="dxa"/>
                  <w:shd w:val="clear" w:color="auto" w:fill="auto"/>
                </w:tcPr>
                <w:p w:rsidR="008A2B55" w:rsidRPr="00A329C2" w:rsidP="00546450" w14:paraId="2885A2DA"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8A2B55" w:rsidRPr="00A329C2" w:rsidP="00546450" w14:paraId="29C55A3E"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8A2B55" w:rsidRPr="00A329C2" w:rsidP="00546450" w14:paraId="1323B639"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8A2B55" w:rsidRPr="00A329C2" w:rsidP="00546450" w14:paraId="5C1256F0" w14:textId="77777777">
                  <w:pPr>
                    <w:pStyle w:val="HTMLPreformatted"/>
                    <w:rPr>
                      <w:rFonts w:ascii="Times New Roman" w:hAnsi="Times New Roman" w:cs="Times New Roman"/>
                      <w:sz w:val="24"/>
                    </w:rPr>
                  </w:pPr>
                </w:p>
              </w:tc>
              <w:tc>
                <w:tcPr>
                  <w:tcW w:w="4032" w:type="dxa"/>
                  <w:shd w:val="clear" w:color="auto" w:fill="auto"/>
                </w:tcPr>
                <w:p w:rsidR="008A2B55" w:rsidRPr="00A329C2" w:rsidP="00546450" w14:paraId="469E11CC" w14:textId="77777777">
                  <w:pPr>
                    <w:pStyle w:val="HTMLPreformatted"/>
                    <w:rPr>
                      <w:rFonts w:ascii="Times New Roman" w:hAnsi="Times New Roman" w:cs="Times New Roman"/>
                      <w:sz w:val="24"/>
                    </w:rPr>
                  </w:pPr>
                </w:p>
                <w:p w:rsidR="008A2B55" w:rsidRPr="00A329C2" w:rsidP="00546450" w14:paraId="391DAC6E" w14:textId="77777777">
                  <w:pPr>
                    <w:pStyle w:val="HTMLPreformatted"/>
                    <w:rPr>
                      <w:rFonts w:ascii="Times New Roman" w:hAnsi="Times New Roman" w:cs="Times New Roman"/>
                      <w:sz w:val="24"/>
                    </w:rPr>
                  </w:pPr>
                  <w:r w:rsidRPr="00A329C2">
                    <w:rPr>
                      <w:rFonts w:ascii="Times New Roman" w:hAnsi="Times New Roman" w:cs="Times New Roman"/>
                      <w:sz w:val="24"/>
                      <w:szCs w:val="20"/>
                    </w:rPr>
                    <w:t>Case No. 18-0049-GA-ALT</w:t>
                  </w:r>
                </w:p>
                <w:p w:rsidR="008A2B55" w:rsidRPr="00A329C2" w:rsidP="00546450" w14:paraId="426CD253" w14:textId="77777777">
                  <w:pPr>
                    <w:pStyle w:val="HTMLPreformatted"/>
                    <w:rPr>
                      <w:rFonts w:ascii="Times New Roman" w:hAnsi="Times New Roman" w:cs="Times New Roman"/>
                      <w:sz w:val="24"/>
                    </w:rPr>
                  </w:pPr>
                </w:p>
                <w:p w:rsidR="008A2B55" w:rsidRPr="00A329C2" w:rsidP="00546450" w14:paraId="63CD963D" w14:textId="77777777">
                  <w:pPr>
                    <w:pStyle w:val="HTMLPreformatted"/>
                    <w:rPr>
                      <w:rFonts w:ascii="Times New Roman" w:hAnsi="Times New Roman" w:cs="Times New Roman"/>
                      <w:sz w:val="24"/>
                    </w:rPr>
                  </w:pPr>
                </w:p>
              </w:tc>
            </w:tr>
            <w:tr w14:paraId="0773BC90" w14:textId="77777777" w:rsidTr="008A2B55">
              <w:tblPrEx>
                <w:tblW w:w="9408" w:type="dxa"/>
                <w:tblLook w:val="01E0"/>
              </w:tblPrEx>
              <w:trPr>
                <w:trHeight w:val="807"/>
              </w:trPr>
              <w:tc>
                <w:tcPr>
                  <w:tcW w:w="5018" w:type="dxa"/>
                  <w:shd w:val="clear" w:color="auto" w:fill="auto"/>
                </w:tcPr>
                <w:p w:rsidR="008A2B55" w:rsidRPr="00A329C2" w:rsidP="00546450" w14:paraId="4542AE06" w14:textId="77777777">
                  <w:pPr>
                    <w:pStyle w:val="HTMLPreformatted"/>
                    <w:rPr>
                      <w:rFonts w:ascii="Times New Roman" w:hAnsi="Times New Roman" w:cs="Times New Roman"/>
                      <w:sz w:val="24"/>
                    </w:rPr>
                  </w:pPr>
                  <w:r w:rsidRPr="00A329C2">
                    <w:rPr>
                      <w:rFonts w:ascii="Times New Roman" w:hAnsi="Times New Roman" w:cs="Times New Roman"/>
                      <w:sz w:val="24"/>
                    </w:rPr>
                    <w:t>In the Matter of the Application of Vectren Energy Delivery of Ohio, Inc., for Approval of an Increase in Gas Rates.</w:t>
                  </w:r>
                </w:p>
                <w:p w:rsidR="008A2B55" w:rsidRPr="00A329C2" w:rsidP="00546450" w14:paraId="2A1AF5A5" w14:textId="77777777">
                  <w:pPr>
                    <w:pStyle w:val="HTMLPreformatted"/>
                    <w:rPr>
                      <w:rFonts w:ascii="Times New Roman" w:hAnsi="Times New Roman" w:cs="Times New Roman"/>
                      <w:sz w:val="24"/>
                    </w:rPr>
                  </w:pPr>
                </w:p>
                <w:p w:rsidR="008A2B55" w:rsidRPr="00A329C2" w:rsidP="00546450" w14:paraId="674E9022" w14:textId="77777777">
                  <w:pPr>
                    <w:pStyle w:val="HTMLPreformatted"/>
                    <w:rPr>
                      <w:rFonts w:ascii="Times New Roman" w:hAnsi="Times New Roman" w:cs="Times New Roman"/>
                      <w:sz w:val="24"/>
                    </w:rPr>
                  </w:pPr>
                  <w:r w:rsidRPr="00A329C2">
                    <w:rPr>
                      <w:rFonts w:ascii="Times New Roman" w:hAnsi="Times New Roman" w:cs="Times New Roman"/>
                      <w:sz w:val="24"/>
                    </w:rPr>
                    <w:t xml:space="preserve">In the Matter of the Application of Vectren Energy Delivery of Ohio, Inc., for Approval of an Alternative Rate Plan. </w:t>
                  </w:r>
                </w:p>
              </w:tc>
              <w:tc>
                <w:tcPr>
                  <w:tcW w:w="358" w:type="dxa"/>
                  <w:shd w:val="clear" w:color="auto" w:fill="auto"/>
                </w:tcPr>
                <w:p w:rsidR="008A2B55" w:rsidRPr="00A329C2" w:rsidP="00546450" w14:paraId="4BFC5659"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8A2B55" w:rsidRPr="00A329C2" w:rsidP="00546450" w14:paraId="2A8960B0"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8A2B55" w:rsidRPr="00A329C2" w:rsidP="00546450" w14:paraId="734EF6EF"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8A2B55" w:rsidRPr="00A329C2" w:rsidP="00546450" w14:paraId="3764151A" w14:textId="77777777">
                  <w:pPr>
                    <w:pStyle w:val="HTMLPreformatted"/>
                    <w:rPr>
                      <w:rFonts w:ascii="Times New Roman" w:hAnsi="Times New Roman" w:cs="Times New Roman"/>
                      <w:sz w:val="24"/>
                    </w:rPr>
                  </w:pPr>
                </w:p>
                <w:p w:rsidR="008A2B55" w:rsidRPr="00A329C2" w:rsidP="00546450" w14:paraId="158A5E0A"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8A2B55" w:rsidRPr="00A329C2" w:rsidP="00546450" w14:paraId="78466611"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p w:rsidR="008A2B55" w:rsidRPr="00A329C2" w:rsidP="00546450" w14:paraId="3FC6A278" w14:textId="77777777">
                  <w:pPr>
                    <w:pStyle w:val="HTMLPreformatted"/>
                    <w:rPr>
                      <w:rFonts w:ascii="Times New Roman" w:hAnsi="Times New Roman" w:cs="Times New Roman"/>
                      <w:sz w:val="24"/>
                    </w:rPr>
                  </w:pPr>
                  <w:r w:rsidRPr="00A329C2">
                    <w:rPr>
                      <w:rFonts w:ascii="Times New Roman" w:hAnsi="Times New Roman" w:cs="Times New Roman"/>
                      <w:sz w:val="24"/>
                      <w:szCs w:val="20"/>
                    </w:rPr>
                    <w:t>)</w:t>
                  </w:r>
                </w:p>
              </w:tc>
              <w:tc>
                <w:tcPr>
                  <w:tcW w:w="4032" w:type="dxa"/>
                  <w:shd w:val="clear" w:color="auto" w:fill="auto"/>
                </w:tcPr>
                <w:p w:rsidR="008A2B55" w:rsidRPr="00A329C2" w:rsidP="00546450" w14:paraId="4253BF05" w14:textId="77777777">
                  <w:pPr>
                    <w:pStyle w:val="HTMLPreformatted"/>
                    <w:rPr>
                      <w:rFonts w:ascii="Times New Roman" w:hAnsi="Times New Roman" w:cs="Times New Roman"/>
                      <w:sz w:val="24"/>
                    </w:rPr>
                  </w:pPr>
                </w:p>
                <w:p w:rsidR="008A2B55" w:rsidRPr="00A329C2" w:rsidP="00546450" w14:paraId="21D3EC19" w14:textId="77777777">
                  <w:pPr>
                    <w:pStyle w:val="HTMLPreformatted"/>
                    <w:rPr>
                      <w:rFonts w:ascii="Times New Roman" w:hAnsi="Times New Roman" w:cs="Times New Roman"/>
                      <w:sz w:val="24"/>
                    </w:rPr>
                  </w:pPr>
                  <w:r w:rsidRPr="00A329C2">
                    <w:rPr>
                      <w:rFonts w:ascii="Times New Roman" w:hAnsi="Times New Roman" w:cs="Times New Roman"/>
                      <w:sz w:val="24"/>
                      <w:szCs w:val="20"/>
                    </w:rPr>
                    <w:t>Case No. 18-0298-GA-AIR</w:t>
                  </w:r>
                </w:p>
                <w:p w:rsidR="008A2B55" w:rsidRPr="00A329C2" w:rsidP="00546450" w14:paraId="5A154748" w14:textId="77777777">
                  <w:pPr>
                    <w:pStyle w:val="HTMLPreformatted"/>
                    <w:rPr>
                      <w:rFonts w:ascii="Times New Roman" w:hAnsi="Times New Roman" w:cs="Times New Roman"/>
                      <w:sz w:val="24"/>
                    </w:rPr>
                  </w:pPr>
                </w:p>
                <w:p w:rsidR="008A2B55" w:rsidRPr="00A329C2" w:rsidP="00546450" w14:paraId="7D5C8AF1" w14:textId="77777777">
                  <w:pPr>
                    <w:pStyle w:val="HTMLPreformatted"/>
                    <w:rPr>
                      <w:rFonts w:ascii="Times New Roman" w:hAnsi="Times New Roman" w:cs="Times New Roman"/>
                      <w:sz w:val="24"/>
                    </w:rPr>
                  </w:pPr>
                </w:p>
                <w:p w:rsidR="008A2B55" w:rsidRPr="00A329C2" w:rsidP="00546450" w14:paraId="624B2E11" w14:textId="77777777">
                  <w:pPr>
                    <w:pStyle w:val="HTMLPreformatted"/>
                    <w:rPr>
                      <w:rFonts w:ascii="Times New Roman" w:hAnsi="Times New Roman" w:cs="Times New Roman"/>
                      <w:sz w:val="24"/>
                    </w:rPr>
                  </w:pPr>
                </w:p>
                <w:p w:rsidR="008A2B55" w:rsidRPr="00A329C2" w:rsidP="00546450" w14:paraId="79333F61" w14:textId="77777777">
                  <w:pPr>
                    <w:pStyle w:val="HTMLPreformatted"/>
                    <w:rPr>
                      <w:rFonts w:ascii="Times New Roman" w:hAnsi="Times New Roman" w:cs="Times New Roman"/>
                      <w:sz w:val="24"/>
                    </w:rPr>
                  </w:pPr>
                  <w:r w:rsidRPr="00A329C2">
                    <w:rPr>
                      <w:rFonts w:ascii="Times New Roman" w:hAnsi="Times New Roman" w:cs="Times New Roman"/>
                      <w:sz w:val="24"/>
                      <w:szCs w:val="20"/>
                    </w:rPr>
                    <w:t>Case No. 18-0299-GA-ALT</w:t>
                  </w:r>
                </w:p>
                <w:p w:rsidR="008A2B55" w:rsidRPr="00A329C2" w:rsidP="00546450" w14:paraId="3E135A15" w14:textId="77777777">
                  <w:pPr>
                    <w:pStyle w:val="HTMLPreformatted"/>
                    <w:rPr>
                      <w:rFonts w:ascii="Times New Roman" w:hAnsi="Times New Roman" w:cs="Times New Roman"/>
                      <w:sz w:val="24"/>
                    </w:rPr>
                  </w:pPr>
                </w:p>
              </w:tc>
            </w:tr>
          </w:tbl>
          <w:p w:rsidR="008A2B55" w:rsidRPr="0029024A" w:rsidP="00A46CDB" w14:paraId="391A76BD" w14:textId="566F9BE9">
            <w:pPr>
              <w:suppressLineNumbers/>
              <w:autoSpaceDE w:val="0"/>
              <w:autoSpaceDN w:val="0"/>
              <w:adjustRightInd w:val="0"/>
            </w:pPr>
          </w:p>
        </w:tc>
      </w:tr>
    </w:tbl>
    <w:p w:rsidR="00A46CDB" w:rsidRPr="00E666E3" w:rsidP="00A46CDB" w14:paraId="4CE29840"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46CDB" w:rsidRPr="00E666E3" w:rsidP="00A46CDB" w14:paraId="2BF7A8A4" w14:textId="77777777">
      <w:pPr>
        <w:jc w:val="center"/>
        <w:rPr>
          <w:b/>
        </w:rPr>
      </w:pPr>
    </w:p>
    <w:p w:rsidR="00A46CDB" w:rsidRPr="00CD4C8A" w:rsidP="00A46CDB" w14:paraId="570D69CD" w14:textId="77777777">
      <w:pPr>
        <w:jc w:val="center"/>
        <w:rPr>
          <w:rFonts w:asciiTheme="majorBidi" w:hAnsiTheme="majorBidi" w:cstheme="majorBidi"/>
          <w:b/>
        </w:rPr>
      </w:pPr>
      <w:r w:rsidRPr="00CD4C8A">
        <w:rPr>
          <w:rFonts w:asciiTheme="majorBidi" w:hAnsiTheme="majorBidi" w:cstheme="majorBidi"/>
          <w:b/>
        </w:rPr>
        <w:t>MEMORANDUM IN SUPPORT</w:t>
      </w:r>
    </w:p>
    <w:p w:rsidR="00A46CDB" w:rsidRPr="00E666E3" w:rsidP="00A46CDB" w14:paraId="38A0CF97" w14:textId="77777777">
      <w:pPr>
        <w:pBdr>
          <w:bottom w:val="single" w:sz="12" w:space="1" w:color="auto"/>
        </w:pBdr>
        <w:rPr>
          <w:b/>
        </w:rPr>
      </w:pPr>
    </w:p>
    <w:p w:rsidR="00A46CDB" w:rsidRPr="00E666E3" w:rsidP="00A46CDB" w14:paraId="0C489FD6" w14:textId="77777777"/>
    <w:p w:rsidR="00A46CDB" w:rsidP="00A46CDB" w14:paraId="59288F43" w14:textId="77777777">
      <w:pPr>
        <w:pStyle w:val="Heading1"/>
      </w:pPr>
      <w:bookmarkStart w:id="1" w:name="_Toc534969803"/>
      <w:bookmarkStart w:id="2" w:name="_Toc534970002"/>
      <w:bookmarkStart w:id="3" w:name="_Toc534970543"/>
      <w:bookmarkStart w:id="4" w:name="_Toc534970649"/>
      <w:bookmarkStart w:id="5" w:name="_Toc535583490"/>
      <w:bookmarkStart w:id="6" w:name="_Toc16860454"/>
      <w:r>
        <w:t>I.</w:t>
      </w:r>
      <w:r>
        <w:tab/>
      </w:r>
      <w:r w:rsidRPr="00CD4C8A">
        <w:t>INTRODUCTION</w:t>
      </w:r>
      <w:bookmarkEnd w:id="1"/>
      <w:bookmarkEnd w:id="2"/>
      <w:bookmarkEnd w:id="3"/>
      <w:bookmarkEnd w:id="4"/>
      <w:bookmarkEnd w:id="5"/>
      <w:bookmarkEnd w:id="6"/>
    </w:p>
    <w:p w:rsidR="00A46CDB" w:rsidP="00A46CDB" w14:paraId="040CD1DD" w14:textId="17835468">
      <w:pPr>
        <w:spacing w:line="480" w:lineRule="auto"/>
        <w:ind w:firstLine="720"/>
      </w:pPr>
      <w:r>
        <w:t xml:space="preserve">The </w:t>
      </w:r>
      <w:r w:rsidR="00C37836">
        <w:t>Opinion and Order</w:t>
      </w:r>
      <w:r>
        <w:t xml:space="preserve"> in this case involving </w:t>
      </w:r>
      <w:r w:rsidR="00C37836">
        <w:t>Vectren</w:t>
      </w:r>
      <w:r w:rsidR="0078652F">
        <w:t>’</w:t>
      </w:r>
      <w:r w:rsidR="00C37836">
        <w:t xml:space="preserve">s </w:t>
      </w:r>
      <w:r w:rsidR="00984B50">
        <w:t xml:space="preserve">application for an increase in </w:t>
      </w:r>
      <w:r w:rsidR="00C37836">
        <w:t>base rate</w:t>
      </w:r>
      <w:r w:rsidR="00984B50">
        <w:t>s</w:t>
      </w:r>
      <w:r w:rsidR="00C37836">
        <w:t xml:space="preserve"> approved a Settlement that significantly increases the fixed charge that consumers will pay for natural gas service.</w:t>
      </w:r>
      <w:r w:rsidR="000454D8">
        <w:t xml:space="preserve"> </w:t>
      </w:r>
      <w:r w:rsidR="00C37836">
        <w:t>This will disproportionately burden low use residential customers and decrease incentives for energy efficiency.</w:t>
      </w:r>
      <w:r w:rsidR="000454D8">
        <w:t xml:space="preserve"> </w:t>
      </w:r>
      <w:r w:rsidR="00C37836">
        <w:t xml:space="preserve">The fixed charge approved in the Opinion and Order will result in a near 20% increase to the residential fixed charge during the first year of the Settlement alone, with the potential to mushroom to </w:t>
      </w:r>
      <w:r w:rsidR="00984B50">
        <w:t xml:space="preserve">total </w:t>
      </w:r>
      <w:r w:rsidR="00C37836">
        <w:t>monthly fixed charge</w:t>
      </w:r>
      <w:r w:rsidR="00984B50">
        <w:t>s</w:t>
      </w:r>
      <w:r w:rsidR="00C37836">
        <w:t xml:space="preserve"> for delivery service of $48.11 (a 74% increase) by 2024.</w:t>
      </w:r>
      <w:r>
        <w:rPr>
          <w:rStyle w:val="FootnoteReference"/>
        </w:rPr>
        <w:footnoteReference w:id="7"/>
      </w:r>
      <w:r w:rsidR="000454D8">
        <w:t xml:space="preserve"> </w:t>
      </w:r>
      <w:r w:rsidR="00C37836">
        <w:t xml:space="preserve">Thus, under the Opinion and Order approving the Settlement, </w:t>
      </w:r>
      <w:r w:rsidR="00262978">
        <w:t xml:space="preserve">by 2024 </w:t>
      </w:r>
      <w:r w:rsidR="00C37836">
        <w:t xml:space="preserve">residential customers could be required to pay almost $50.00 a month for service </w:t>
      </w:r>
      <w:r w:rsidR="00C37836">
        <w:rPr>
          <w:i/>
          <w:iCs/>
        </w:rPr>
        <w:t>even if they do not use a single molecule of gas</w:t>
      </w:r>
      <w:r w:rsidR="00C37836">
        <w:t>.</w:t>
      </w:r>
      <w:r>
        <w:rPr>
          <w:rStyle w:val="FootnoteReference"/>
        </w:rPr>
        <w:footnoteReference w:id="8"/>
      </w:r>
      <w:r w:rsidR="000454D8">
        <w:t xml:space="preserve"> </w:t>
      </w:r>
      <w:r w:rsidR="00C37836">
        <w:t>The travesty for consumers is that the PUCO approved Vectren</w:t>
      </w:r>
      <w:r w:rsidR="0078652F">
        <w:t>’</w:t>
      </w:r>
      <w:r w:rsidR="00C37836">
        <w:t>s sharp increase in the fixed charge without any record support for its rationale.</w:t>
      </w:r>
      <w:r w:rsidR="000454D8">
        <w:t xml:space="preserve"> </w:t>
      </w:r>
      <w:r w:rsidR="00911F35">
        <w:t>That violates the law.</w:t>
      </w:r>
    </w:p>
    <w:p w:rsidR="00A46CDB" w:rsidP="00A46CDB" w14:paraId="7ADBBA90" w14:textId="204B3434">
      <w:pPr>
        <w:spacing w:line="480" w:lineRule="auto"/>
        <w:ind w:firstLine="720"/>
      </w:pPr>
      <w:r>
        <w:t xml:space="preserve">To protect consumers, the PUCO should grant rehearing and abrogate its </w:t>
      </w:r>
      <w:r w:rsidR="00911F35">
        <w:t>Opinion and Order</w:t>
      </w:r>
      <w:r>
        <w:t xml:space="preserve"> as requested by OCC.</w:t>
      </w:r>
    </w:p>
    <w:p w:rsidR="00A46CDB" w:rsidP="00A46CDB" w14:paraId="5A9117C1" w14:textId="77777777">
      <w:pPr>
        <w:ind w:firstLine="720"/>
      </w:pPr>
    </w:p>
    <w:p w:rsidR="00A46CDB" w:rsidP="00A46CDB" w14:paraId="0B492141" w14:textId="77777777">
      <w:pPr>
        <w:pStyle w:val="Heading1"/>
      </w:pPr>
      <w:bookmarkStart w:id="7" w:name="_Toc534969804"/>
      <w:bookmarkStart w:id="8" w:name="_Toc534970003"/>
      <w:bookmarkStart w:id="9" w:name="_Toc534970544"/>
      <w:bookmarkStart w:id="10" w:name="_Toc534970650"/>
      <w:bookmarkStart w:id="11" w:name="_Toc535583491"/>
      <w:bookmarkStart w:id="12" w:name="_Toc16860455"/>
      <w:r>
        <w:t>II.</w:t>
      </w:r>
      <w:r>
        <w:tab/>
        <w:t>STANDARD OF REVIEW</w:t>
      </w:r>
      <w:bookmarkEnd w:id="7"/>
      <w:bookmarkEnd w:id="8"/>
      <w:bookmarkEnd w:id="9"/>
      <w:bookmarkEnd w:id="10"/>
      <w:bookmarkEnd w:id="11"/>
      <w:bookmarkEnd w:id="12"/>
    </w:p>
    <w:p w:rsidR="00A46CDB" w:rsidRPr="00E666E3" w:rsidP="00A46CDB" w14:paraId="0F8D81CC" w14:textId="28DA5411">
      <w:pPr>
        <w:spacing w:line="480" w:lineRule="auto"/>
        <w:ind w:firstLine="720"/>
      </w:pPr>
      <w:r w:rsidRPr="00E666E3">
        <w:t>Applications for rehearing are governed by R.C. 4903.10.</w:t>
      </w:r>
      <w:r w:rsidR="000454D8">
        <w:t xml:space="preserve"> </w:t>
      </w:r>
      <w:r w:rsidRPr="00E666E3">
        <w:t>The statute allows that, within 30 days after issuance of a PUCO order “any party who has entered an appearance in person or by counsel in the proceeding may apply for rehearing in respect to any matters determined in the proceeding.” OCC filed a motion to intervene in this proceeding, which was granted.</w:t>
      </w:r>
      <w:r w:rsidR="000454D8">
        <w:t xml:space="preserve"> </w:t>
      </w:r>
      <w:r w:rsidRPr="00E666E3">
        <w:t>OCC also filed testimony regarding the application</w:t>
      </w:r>
      <w:r>
        <w:t>, the Settlement,</w:t>
      </w:r>
      <w:r w:rsidRPr="00E666E3">
        <w:t xml:space="preserve"> and participated in the evidentiary hearing on the </w:t>
      </w:r>
      <w:r>
        <w:t>Settlement</w:t>
      </w:r>
      <w:r w:rsidRPr="00E666E3">
        <w:t>.</w:t>
      </w:r>
      <w:r w:rsidR="000454D8">
        <w:t xml:space="preserve"> </w:t>
      </w:r>
    </w:p>
    <w:p w:rsidR="00A46CDB" w:rsidRPr="00E666E3" w:rsidP="00A46CDB" w14:paraId="42B93804" w14:textId="77777777">
      <w:pPr>
        <w:spacing w:line="480" w:lineRule="auto"/>
        <w:ind w:firstLine="720"/>
      </w:pPr>
      <w:r w:rsidRPr="00E666E3">
        <w:t xml:space="preserve">R.C. 4903.10 requires that an application for rehearing must be “in writing and shall set forth specifically the ground or grounds on which the applicant considers the order to be unreasonable or unlawful.” In addition, Ohio Adm. Code </w:t>
      </w:r>
      <w:r w:rsidRPr="00E666E3">
        <w:rPr>
          <w:rStyle w:val="Strong"/>
          <w:b w:val="0"/>
        </w:rPr>
        <w:t>4901-1-35</w:t>
      </w:r>
      <w:r w:rsidRPr="00E666E3">
        <w:t>(A) states: “An application for rehearing must be accompanied by a memorandum in support, which shall be filed no later than the application for rehearing.”</w:t>
      </w:r>
    </w:p>
    <w:p w:rsidR="00A46CDB" w:rsidRPr="00E666E3" w:rsidP="00A46CDB" w14:paraId="56A6C12D" w14:textId="2396428A">
      <w:pPr>
        <w:spacing w:line="480" w:lineRule="auto"/>
        <w:ind w:firstLine="720"/>
      </w:pPr>
      <w:r w:rsidRPr="00E666E3">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w:t>
      </w:r>
      <w:r w:rsidR="000454D8">
        <w:t xml:space="preserve"> </w:t>
      </w:r>
    </w:p>
    <w:p w:rsidR="00A46CDB" w:rsidP="00A46CDB" w14:paraId="564DBF60" w14:textId="3D76D89B">
      <w:pPr>
        <w:spacing w:line="480" w:lineRule="auto"/>
        <w:ind w:firstLine="720"/>
      </w:pPr>
      <w:r w:rsidRPr="00E666E3">
        <w:t xml:space="preserve">The statutory standard for abrogating some portions of the </w:t>
      </w:r>
      <w:r w:rsidR="00911F35">
        <w:t>Opinion and Order</w:t>
      </w:r>
      <w:r w:rsidRPr="00E666E3">
        <w:t xml:space="preserve"> is met here. The PUCO should grant and hold rehearing on the matters specified in this </w:t>
      </w:r>
      <w:r>
        <w:t>Application</w:t>
      </w:r>
      <w:r w:rsidRPr="00E666E3">
        <w:t xml:space="preserve">, and subsequently abrogate or modify its </w:t>
      </w:r>
      <w:r w:rsidR="00911F35">
        <w:t>Opinion and Order</w:t>
      </w:r>
      <w:r w:rsidRPr="00E666E3">
        <w:t>. The PUCO</w:t>
      </w:r>
      <w:r w:rsidR="0078652F">
        <w:t>’</w:t>
      </w:r>
      <w:r w:rsidRPr="00E666E3">
        <w:t xml:space="preserve">s ruling was unreasonable or unlawful </w:t>
      </w:r>
      <w:r>
        <w:t>as described below</w:t>
      </w:r>
      <w:r w:rsidRPr="00E666E3">
        <w:t>.</w:t>
      </w:r>
    </w:p>
    <w:p w:rsidR="00A46CDB" w:rsidP="00A46CDB" w14:paraId="7FB3B284" w14:textId="39878803">
      <w:pPr>
        <w:rPr>
          <w:b/>
          <w:caps/>
        </w:rPr>
      </w:pPr>
    </w:p>
    <w:p w:rsidR="00A46CDB" w:rsidP="00A46CDB" w14:paraId="2BD480B1" w14:textId="77777777">
      <w:pPr>
        <w:pStyle w:val="Heading1"/>
      </w:pPr>
      <w:bookmarkStart w:id="13" w:name="_Toc534969805"/>
      <w:bookmarkStart w:id="14" w:name="_Toc534970004"/>
      <w:bookmarkStart w:id="15" w:name="_Toc534970545"/>
      <w:bookmarkStart w:id="16" w:name="_Toc534970651"/>
      <w:bookmarkStart w:id="17" w:name="_Toc535583492"/>
      <w:bookmarkStart w:id="18" w:name="_Toc16860456"/>
      <w:r>
        <w:t>iii.</w:t>
      </w:r>
      <w:r>
        <w:tab/>
        <w:t>ERRORS</w:t>
      </w:r>
      <w:bookmarkEnd w:id="13"/>
      <w:bookmarkEnd w:id="14"/>
      <w:bookmarkEnd w:id="15"/>
      <w:bookmarkEnd w:id="16"/>
      <w:bookmarkEnd w:id="17"/>
      <w:bookmarkEnd w:id="18"/>
    </w:p>
    <w:p w:rsidR="00A46CDB" w:rsidRPr="00E53620" w:rsidP="008A2B55" w14:paraId="1259E131" w14:textId="7B6BAE46">
      <w:pPr>
        <w:pStyle w:val="Heading2"/>
        <w:ind w:left="720"/>
      </w:pPr>
      <w:bookmarkStart w:id="19" w:name="_Toc534969806"/>
      <w:bookmarkStart w:id="20" w:name="_Toc534970005"/>
      <w:bookmarkStart w:id="21" w:name="_Toc534970546"/>
      <w:bookmarkStart w:id="22" w:name="_Toc534970652"/>
      <w:bookmarkStart w:id="23" w:name="_Toc535583493"/>
      <w:bookmarkStart w:id="24" w:name="_Toc16860457"/>
      <w:r w:rsidRPr="00E53620">
        <w:t>ASSIGNMENT OF ERROR</w:t>
      </w:r>
      <w:r w:rsidR="006E28CF">
        <w:t>:</w:t>
      </w:r>
      <w:bookmarkEnd w:id="19"/>
      <w:bookmarkEnd w:id="20"/>
      <w:bookmarkEnd w:id="21"/>
      <w:bookmarkEnd w:id="22"/>
      <w:bookmarkEnd w:id="23"/>
      <w:r w:rsidR="000454D8">
        <w:t xml:space="preserve"> </w:t>
      </w:r>
      <w:bookmarkEnd w:id="24"/>
      <w:r w:rsidRPr="00421F2C" w:rsidR="003533EB">
        <w:rPr>
          <w:bCs/>
        </w:rPr>
        <w:t>The PUCO</w:t>
      </w:r>
      <w:r w:rsidR="0078652F">
        <w:rPr>
          <w:bCs/>
        </w:rPr>
        <w:t>’</w:t>
      </w:r>
      <w:r w:rsidRPr="00421F2C" w:rsidR="003533EB">
        <w:rPr>
          <w:bCs/>
        </w:rPr>
        <w:t>s Opinion and Order is</w:t>
      </w:r>
      <w:r w:rsidR="003533EB">
        <w:rPr>
          <w:bCs/>
        </w:rPr>
        <w:t xml:space="preserve"> unreasonable and</w:t>
      </w:r>
      <w:r w:rsidRPr="00421F2C" w:rsidR="003533EB">
        <w:rPr>
          <w:bCs/>
        </w:rPr>
        <w:t xml:space="preserve"> unlawful under R.C. 4903.09 and </w:t>
      </w:r>
      <w:r w:rsidR="003533EB">
        <w:rPr>
          <w:bCs/>
        </w:rPr>
        <w:t xml:space="preserve">Ohio </w:t>
      </w:r>
      <w:r w:rsidRPr="00421F2C" w:rsidR="003533EB">
        <w:rPr>
          <w:bCs/>
        </w:rPr>
        <w:t xml:space="preserve">Supreme Court precedent because it </w:t>
      </w:r>
      <w:r w:rsidR="003533EB">
        <w:rPr>
          <w:bCs/>
        </w:rPr>
        <w:t>authorized</w:t>
      </w:r>
      <w:r w:rsidRPr="00421F2C" w:rsidR="003533EB">
        <w:rPr>
          <w:bCs/>
        </w:rPr>
        <w:t xml:space="preserve"> Vectren</w:t>
      </w:r>
      <w:r w:rsidR="003533EB">
        <w:rPr>
          <w:bCs/>
        </w:rPr>
        <w:t xml:space="preserve"> to bill its customers for a high</w:t>
      </w:r>
      <w:r w:rsidRPr="00421F2C" w:rsidR="003533EB">
        <w:rPr>
          <w:bCs/>
        </w:rPr>
        <w:t xml:space="preserve"> fixed charge</w:t>
      </w:r>
      <w:r w:rsidR="003533EB">
        <w:rPr>
          <w:bCs/>
        </w:rPr>
        <w:t xml:space="preserve"> </w:t>
      </w:r>
      <w:r w:rsidRPr="00421F2C" w:rsidR="003533EB">
        <w:rPr>
          <w:bCs/>
        </w:rPr>
        <w:t>without support</w:t>
      </w:r>
      <w:r w:rsidR="003533EB">
        <w:rPr>
          <w:bCs/>
        </w:rPr>
        <w:t xml:space="preserve"> in the record</w:t>
      </w:r>
      <w:r w:rsidRPr="00421F2C" w:rsidR="003533EB">
        <w:rPr>
          <w:bCs/>
        </w:rPr>
        <w:t>.</w:t>
      </w:r>
    </w:p>
    <w:p w:rsidR="00E64F04" w:rsidP="00A46CDB" w14:paraId="7CEE06B1" w14:textId="26855376">
      <w:pPr>
        <w:spacing w:line="480" w:lineRule="auto"/>
        <w:ind w:firstLine="720"/>
      </w:pPr>
      <w:r>
        <w:t xml:space="preserve">R.C. 4903.09 requires the PUCO, in all contested cases, to “file, with the records of such cases, findings of fact and </w:t>
      </w:r>
      <w:r w:rsidR="00984B50">
        <w:t xml:space="preserve">a </w:t>
      </w:r>
      <w:r>
        <w:t>written opinion setting forth the reasons prompting the decisions arrived at, based upon said findings of fact.”</w:t>
      </w:r>
      <w:r w:rsidR="000454D8">
        <w:t xml:space="preserve"> </w:t>
      </w:r>
      <w:r>
        <w:t>To meet the requirements of this statute, the PUCO</w:t>
      </w:r>
      <w:r w:rsidR="0078652F">
        <w:t>’</w:t>
      </w:r>
      <w:r>
        <w:t>s order must show, in sufficient detail, the facts in the record on which the order is based and the reasoning followed in reaching the conclusion.</w:t>
      </w:r>
      <w:r>
        <w:rPr>
          <w:rStyle w:val="FootnoteReference"/>
        </w:rPr>
        <w:footnoteReference w:id="9"/>
      </w:r>
      <w:r w:rsidR="000454D8">
        <w:t xml:space="preserve"> </w:t>
      </w:r>
      <w:r>
        <w:t>As the Supreme Court of Ohio has explained:</w:t>
      </w:r>
    </w:p>
    <w:p w:rsidR="00E64F04" w:rsidP="001915AB" w14:paraId="473C19A4" w14:textId="4AD9F7C5">
      <w:pPr>
        <w:ind w:left="1440" w:right="1440"/>
        <w:jc w:val="both"/>
      </w:pPr>
      <w:r>
        <w:t>The General Assembly never intended this court to perform the same functions and duties as the Public Utilities Commission but it did intend that this court should determine whether the facts found by the commission lawfully and reasonably justified the conclusions reached by the commission in its order and whether the evidence presented to the commission as found in the record supported the essential findings of fact so made by the commission.</w:t>
      </w:r>
      <w:r>
        <w:rPr>
          <w:rStyle w:val="FootnoteReference"/>
        </w:rPr>
        <w:footnoteReference w:id="10"/>
      </w:r>
    </w:p>
    <w:p w:rsidR="00E64F04" w:rsidP="00AA7B8B" w14:paraId="75FB758F" w14:textId="77777777">
      <w:pPr>
        <w:ind w:left="720"/>
      </w:pPr>
    </w:p>
    <w:p w:rsidR="00E30AC8" w:rsidP="00E7600C" w14:paraId="0933757F" w14:textId="162E1265">
      <w:pPr>
        <w:spacing w:line="480" w:lineRule="auto"/>
      </w:pPr>
      <w:r>
        <w:t>The PUCO failed to meet its responsibility to base its Opinion and Order on record evidence in its approval of Vectren</w:t>
      </w:r>
      <w:r w:rsidR="0078652F">
        <w:t>’</w:t>
      </w:r>
      <w:r>
        <w:t>s fixed charge.</w:t>
      </w:r>
    </w:p>
    <w:p w:rsidR="00597DD7" w:rsidP="00AA7B8B" w14:paraId="3FB1D2DB" w14:textId="6F5C5D49">
      <w:pPr>
        <w:spacing w:line="480" w:lineRule="auto"/>
        <w:ind w:firstLine="720"/>
      </w:pPr>
      <w:r>
        <w:t xml:space="preserve">In its briefing, </w:t>
      </w:r>
      <w:r w:rsidR="00875C93">
        <w:t xml:space="preserve">OCC explained in </w:t>
      </w:r>
      <w:r>
        <w:t>detail why the PUCO should reject the Settlement</w:t>
      </w:r>
      <w:r w:rsidR="0078652F">
        <w:t>’</w:t>
      </w:r>
      <w:r>
        <w:t>s adoption of Vectren</w:t>
      </w:r>
      <w:r w:rsidR="0078652F">
        <w:t>’</w:t>
      </w:r>
      <w:r>
        <w:t>s fixed charge.</w:t>
      </w:r>
      <w:r>
        <w:rPr>
          <w:rStyle w:val="FootnoteReference"/>
        </w:rPr>
        <w:footnoteReference w:id="11"/>
      </w:r>
      <w:r w:rsidR="000454D8">
        <w:t xml:space="preserve"> </w:t>
      </w:r>
      <w:r>
        <w:t>The fixed charge will negatively impact low-income and low-use residential customers.</w:t>
      </w:r>
      <w:r>
        <w:rPr>
          <w:rStyle w:val="FootnoteReference"/>
        </w:rPr>
        <w:footnoteReference w:id="12"/>
      </w:r>
      <w:r w:rsidR="000454D8">
        <w:t xml:space="preserve"> </w:t>
      </w:r>
      <w:r>
        <w:t>Further, the total increase in fixed charges under the Settlement is extraordinary – ranging from 20% to 74%.</w:t>
      </w:r>
      <w:r>
        <w:rPr>
          <w:rStyle w:val="FootnoteReference"/>
        </w:rPr>
        <w:footnoteReference w:id="13"/>
      </w:r>
      <w:r w:rsidR="000454D8">
        <w:t xml:space="preserve"> </w:t>
      </w:r>
      <w:r>
        <w:t>The negative impact on low-income and low-use residential customers and the dramatic bill increases mean that the Settlement is not in the public interest.</w:t>
      </w:r>
      <w:r>
        <w:rPr>
          <w:rStyle w:val="FootnoteReference"/>
        </w:rPr>
        <w:footnoteReference w:id="14"/>
      </w:r>
      <w:r>
        <w:t xml:space="preserve"> </w:t>
      </w:r>
    </w:p>
    <w:p w:rsidR="00597DD7" w:rsidP="00AA7B8B" w14:paraId="5309389D" w14:textId="46D9BAE8">
      <w:pPr>
        <w:spacing w:line="480" w:lineRule="auto"/>
      </w:pPr>
      <w:r>
        <w:tab/>
      </w:r>
      <w:r w:rsidR="003533EB">
        <w:t>T</w:t>
      </w:r>
      <w:r>
        <w:t>he PUCO recognized OCC</w:t>
      </w:r>
      <w:r w:rsidR="0078652F">
        <w:t>’</w:t>
      </w:r>
      <w:r>
        <w:t>s demonstration that “whereas it may have made sense to protect consumers from high gas prices through a fixed charge a decade ago, that concern is no longer relevant today.”</w:t>
      </w:r>
      <w:r>
        <w:rPr>
          <w:rStyle w:val="FootnoteReference"/>
        </w:rPr>
        <w:footnoteReference w:id="15"/>
      </w:r>
      <w:r w:rsidR="000454D8">
        <w:t xml:space="preserve"> </w:t>
      </w:r>
      <w:r>
        <w:t>That is because gas prices have declined substantially.</w:t>
      </w:r>
      <w:r>
        <w:rPr>
          <w:rStyle w:val="FootnoteReference"/>
        </w:rPr>
        <w:footnoteReference w:id="16"/>
      </w:r>
      <w:r w:rsidR="000454D8">
        <w:t xml:space="preserve"> </w:t>
      </w:r>
      <w:r w:rsidR="005E5D3F">
        <w:t>Vectren</w:t>
      </w:r>
      <w:r w:rsidR="0078652F">
        <w:t>’</w:t>
      </w:r>
      <w:r w:rsidR="005E5D3F">
        <w:t xml:space="preserve">s </w:t>
      </w:r>
      <w:r w:rsidR="00EB2F75">
        <w:t xml:space="preserve">high </w:t>
      </w:r>
      <w:r w:rsidR="005E5D3F">
        <w:t>fixed charge does not give consumers the benefit of lower gas prices.</w:t>
      </w:r>
      <w:r>
        <w:rPr>
          <w:rStyle w:val="FootnoteReference"/>
        </w:rPr>
        <w:footnoteReference w:id="17"/>
      </w:r>
      <w:r w:rsidR="000454D8">
        <w:t xml:space="preserve"> </w:t>
      </w:r>
      <w:r>
        <w:t xml:space="preserve">As OCC </w:t>
      </w:r>
      <w:r w:rsidR="0012062F">
        <w:t xml:space="preserve">stated previously </w:t>
      </w:r>
      <w:r>
        <w:t>to the PUCO, “consumers should be given the benefit of low commodity prices through a rate design that implements a volumetric component.”</w:t>
      </w:r>
      <w:r>
        <w:rPr>
          <w:rStyle w:val="FootnoteReference"/>
        </w:rPr>
        <w:footnoteReference w:id="18"/>
      </w:r>
      <w:r>
        <w:t xml:space="preserve"> </w:t>
      </w:r>
    </w:p>
    <w:p w:rsidR="00A46CDB" w:rsidP="00E30AC8" w14:paraId="1D20D4F1" w14:textId="2FCF6130">
      <w:pPr>
        <w:spacing w:line="480" w:lineRule="auto"/>
        <w:ind w:firstLine="720"/>
      </w:pPr>
      <w:r>
        <w:t xml:space="preserve">In its </w:t>
      </w:r>
      <w:r w:rsidR="00597DD7">
        <w:t>Opinion and Order</w:t>
      </w:r>
      <w:r>
        <w:t>, the PUCO rejected OCC</w:t>
      </w:r>
      <w:r w:rsidR="0078652F">
        <w:t>’</w:t>
      </w:r>
      <w:r>
        <w:t>s argument</w:t>
      </w:r>
      <w:r w:rsidR="00597DD7">
        <w:t>s.</w:t>
      </w:r>
      <w:r>
        <w:t xml:space="preserve"> </w:t>
      </w:r>
      <w:r w:rsidR="00597DD7">
        <w:t>It</w:t>
      </w:r>
      <w:r>
        <w:t xml:space="preserve"> wrote:</w:t>
      </w:r>
    </w:p>
    <w:p w:rsidR="00A46CDB" w:rsidP="00F83643" w14:paraId="0F95E79D" w14:textId="2BE36E01">
      <w:pPr>
        <w:ind w:left="1440" w:right="1440"/>
        <w:jc w:val="both"/>
      </w:pPr>
      <w:r>
        <w:t>We do not believe that it is necessary or appropriate to dramatically change rate designs solely upon short-term natural gas market conditions.</w:t>
      </w:r>
      <w:r w:rsidR="000454D8">
        <w:t xml:space="preserve"> </w:t>
      </w:r>
      <w:r>
        <w:t>Natural gas prices have been historically volatile and the balance between distribution costs and commodity costs may shift again in the future.</w:t>
      </w:r>
      <w:r>
        <w:rPr>
          <w:rStyle w:val="FootnoteReference"/>
        </w:rPr>
        <w:footnoteReference w:id="19"/>
      </w:r>
    </w:p>
    <w:p w:rsidR="00A46CDB" w:rsidRPr="00AD52E4" w:rsidP="00A46CDB" w14:paraId="04E31F25" w14:textId="77777777">
      <w:pPr>
        <w:ind w:left="720"/>
      </w:pPr>
    </w:p>
    <w:p w:rsidR="00404B23" w:rsidP="00A46CDB" w14:paraId="250D0AEF" w14:textId="49591FCF">
      <w:pPr>
        <w:spacing w:line="480" w:lineRule="auto"/>
      </w:pPr>
      <w:r>
        <w:t>There is absolutely no record support for these assertions.</w:t>
      </w:r>
      <w:r w:rsidR="000454D8">
        <w:t xml:space="preserve"> </w:t>
      </w:r>
      <w:r>
        <w:t>And the PUCO cites none.</w:t>
      </w:r>
      <w:r>
        <w:rPr>
          <w:rStyle w:val="FootnoteReference"/>
        </w:rPr>
        <w:footnoteReference w:id="20"/>
      </w:r>
      <w:r>
        <w:t xml:space="preserve"> </w:t>
      </w:r>
    </w:p>
    <w:p w:rsidR="00404B23" w:rsidP="00E7600C" w14:paraId="7CE220CE" w14:textId="3593918F">
      <w:pPr>
        <w:spacing w:line="480" w:lineRule="auto"/>
        <w:ind w:firstLine="720"/>
      </w:pPr>
      <w:r>
        <w:t xml:space="preserve">But there </w:t>
      </w:r>
      <w:r>
        <w:rPr>
          <w:i/>
          <w:iCs/>
        </w:rPr>
        <w:t xml:space="preserve">is </w:t>
      </w:r>
      <w:r>
        <w:t>voluminous record support for OCC</w:t>
      </w:r>
      <w:r w:rsidR="0078652F">
        <w:t>’</w:t>
      </w:r>
      <w:r>
        <w:t xml:space="preserve">s contention that the facts and circumstances of this case are vastly different </w:t>
      </w:r>
      <w:r w:rsidR="00EB2F75">
        <w:t xml:space="preserve">from </w:t>
      </w:r>
      <w:r>
        <w:t>those when Vectren</w:t>
      </w:r>
      <w:r w:rsidR="0078652F">
        <w:t>’</w:t>
      </w:r>
      <w:r>
        <w:t xml:space="preserve">s </w:t>
      </w:r>
      <w:r w:rsidR="00984B50">
        <w:t>f</w:t>
      </w:r>
      <w:r>
        <w:t xml:space="preserve">ixed </w:t>
      </w:r>
      <w:r w:rsidR="00984B50">
        <w:t>c</w:t>
      </w:r>
      <w:r>
        <w:t>harge was approved</w:t>
      </w:r>
      <w:r w:rsidR="00EB2F75">
        <w:t>,</w:t>
      </w:r>
      <w:r>
        <w:t xml:space="preserve"> over ten years ago in its last rate case.</w:t>
      </w:r>
      <w:r>
        <w:rPr>
          <w:rStyle w:val="FootnoteReference"/>
        </w:rPr>
        <w:footnoteReference w:id="21"/>
      </w:r>
      <w:r w:rsidR="000454D8">
        <w:t xml:space="preserve"> </w:t>
      </w:r>
      <w:r w:rsidR="00B145CE">
        <w:t>Vectren itself conceded that the last rate case was decided when gas prices were higher than they are now.</w:t>
      </w:r>
      <w:r>
        <w:rPr>
          <w:rStyle w:val="FootnoteReference"/>
        </w:rPr>
        <w:footnoteReference w:id="22"/>
      </w:r>
      <w:r w:rsidR="000454D8">
        <w:t xml:space="preserve"> </w:t>
      </w:r>
      <w:r>
        <w:t>In fact, the commodity portion of customers</w:t>
      </w:r>
      <w:r w:rsidR="0078652F">
        <w:t>’</w:t>
      </w:r>
      <w:r>
        <w:t xml:space="preserve"> bills was 15% more than it is now.</w:t>
      </w:r>
      <w:r>
        <w:rPr>
          <w:rStyle w:val="FootnoteReference"/>
        </w:rPr>
        <w:footnoteReference w:id="23"/>
      </w:r>
      <w:r w:rsidR="000454D8">
        <w:t xml:space="preserve"> </w:t>
      </w:r>
      <w:r>
        <w:t>As Environmental Law &amp; Policy Center Witness Nelson put it:</w:t>
      </w:r>
    </w:p>
    <w:p w:rsidR="00404B23" w:rsidP="001D74EF" w14:paraId="48EC3FDB" w14:textId="65E4C94B">
      <w:pPr>
        <w:ind w:left="1440" w:right="1440"/>
        <w:jc w:val="both"/>
      </w:pPr>
      <w:r>
        <w:t xml:space="preserve">[N]atural gas prices were </w:t>
      </w:r>
      <w:r>
        <w:rPr>
          <w:i/>
          <w:iCs/>
        </w:rPr>
        <w:t>3 times higher in 2008.</w:t>
      </w:r>
      <w:r w:rsidR="000454D8">
        <w:rPr>
          <w:i/>
          <w:iCs/>
        </w:rPr>
        <w:t xml:space="preserve"> </w:t>
      </w:r>
      <w:r>
        <w:t>Since 2008, Vectren</w:t>
      </w:r>
      <w:r w:rsidR="0078652F">
        <w:t>’</w:t>
      </w:r>
      <w:r>
        <w:t>s cost to service has increased as a portion of the residential bill while natural gas prices have decreased by a third.</w:t>
      </w:r>
      <w:r w:rsidR="000454D8">
        <w:t xml:space="preserve"> </w:t>
      </w:r>
      <w:r>
        <w:t>As a result, the Commission</w:t>
      </w:r>
      <w:r w:rsidR="0078652F">
        <w:t>’</w:t>
      </w:r>
      <w:r>
        <w:t>s previous justification for adopting SFV rate design is no longer sound or factually correct.</w:t>
      </w:r>
      <w:r>
        <w:rPr>
          <w:rStyle w:val="FootnoteReference"/>
        </w:rPr>
        <w:footnoteReference w:id="24"/>
      </w:r>
    </w:p>
    <w:p w:rsidR="000454D8" w:rsidP="001D74EF" w14:paraId="33423B2D" w14:textId="77777777">
      <w:pPr>
        <w:ind w:firstLine="720"/>
      </w:pPr>
    </w:p>
    <w:p w:rsidR="00A46CDB" w:rsidP="00B145CE" w14:paraId="665878E6" w14:textId="4D3A71BA">
      <w:pPr>
        <w:spacing w:line="480" w:lineRule="auto"/>
        <w:ind w:firstLine="720"/>
      </w:pPr>
      <w:r>
        <w:t>In consumers</w:t>
      </w:r>
      <w:r w:rsidR="0078652F">
        <w:t>’</w:t>
      </w:r>
      <w:r>
        <w:t xml:space="preserve"> interest, the PUCO should revisit </w:t>
      </w:r>
      <w:r w:rsidR="00B145CE">
        <w:t xml:space="preserve">its </w:t>
      </w:r>
      <w:r>
        <w:t>determination</w:t>
      </w:r>
      <w:r w:rsidR="00B145CE">
        <w:t xml:space="preserve"> to approve the Settlement with the </w:t>
      </w:r>
      <w:r w:rsidR="00984B50">
        <w:t>f</w:t>
      </w:r>
      <w:r w:rsidR="00B145CE">
        <w:t xml:space="preserve">ixed </w:t>
      </w:r>
      <w:r w:rsidR="00984B50">
        <w:t>c</w:t>
      </w:r>
      <w:r w:rsidR="00B145CE">
        <w:t>harge</w:t>
      </w:r>
      <w:r>
        <w:t>.</w:t>
      </w:r>
      <w:r w:rsidR="000454D8">
        <w:t xml:space="preserve"> </w:t>
      </w:r>
      <w:r w:rsidR="00B145CE">
        <w:t>There is no record support for its rationale for rejecting OCC</w:t>
      </w:r>
      <w:r w:rsidR="0078652F">
        <w:t>’</w:t>
      </w:r>
      <w:r w:rsidR="00B145CE">
        <w:t xml:space="preserve">s arguments </w:t>
      </w:r>
      <w:r w:rsidR="00E7600C">
        <w:t xml:space="preserve">against the </w:t>
      </w:r>
      <w:r w:rsidR="00984B50">
        <w:t>f</w:t>
      </w:r>
      <w:r w:rsidR="00E7600C">
        <w:t xml:space="preserve">ixed </w:t>
      </w:r>
      <w:r w:rsidR="00984B50">
        <w:t>c</w:t>
      </w:r>
      <w:r w:rsidR="00E7600C">
        <w:t xml:space="preserve">harge </w:t>
      </w:r>
      <w:r w:rsidR="00B145CE">
        <w:t>based on “short-term natural gas market conditions,” natural gas prices being</w:t>
      </w:r>
      <w:r w:rsidR="000454D8">
        <w:t xml:space="preserve"> </w:t>
      </w:r>
      <w:r w:rsidR="00B145CE">
        <w:t>“historically volatile,” or that “the balance between distribution costs and commodity costs may shift again in the future.”</w:t>
      </w:r>
      <w:r w:rsidR="00641AF3">
        <w:t xml:space="preserve"> </w:t>
      </w:r>
    </w:p>
    <w:p w:rsidR="00A46CDB" w:rsidP="00A46CDB" w14:paraId="6B230D5B" w14:textId="17E569AD">
      <w:pPr>
        <w:ind w:firstLine="720"/>
      </w:pPr>
    </w:p>
    <w:p w:rsidR="00A46CDB" w:rsidP="00A46CDB" w14:paraId="3AC45B4A" w14:textId="77777777">
      <w:pPr>
        <w:pStyle w:val="Heading1"/>
      </w:pPr>
      <w:bookmarkStart w:id="25" w:name="_Toc534969816"/>
      <w:bookmarkStart w:id="26" w:name="_Toc534970015"/>
      <w:bookmarkStart w:id="27" w:name="_Toc534970556"/>
      <w:bookmarkStart w:id="28" w:name="_Toc534970662"/>
      <w:bookmarkStart w:id="29" w:name="_Toc535583503"/>
      <w:bookmarkStart w:id="30" w:name="_Toc16860459"/>
      <w:r>
        <w:t>iv.</w:t>
      </w:r>
      <w:r>
        <w:tab/>
        <w:t>CONCLUSION</w:t>
      </w:r>
      <w:bookmarkEnd w:id="25"/>
      <w:bookmarkEnd w:id="26"/>
      <w:bookmarkEnd w:id="27"/>
      <w:bookmarkEnd w:id="28"/>
      <w:bookmarkEnd w:id="29"/>
      <w:bookmarkEnd w:id="30"/>
    </w:p>
    <w:p w:rsidR="008A2B55" w:rsidP="00A46CDB" w14:paraId="19EEE9D8" w14:textId="1D0F0BE9">
      <w:pPr>
        <w:spacing w:line="480" w:lineRule="auto"/>
        <w:ind w:firstLine="720"/>
      </w:pPr>
      <w:r w:rsidRPr="00E666E3">
        <w:t>To protect customers</w:t>
      </w:r>
      <w:r>
        <w:t xml:space="preserve"> from unnecessary and unlawful charges</w:t>
      </w:r>
      <w:r w:rsidRPr="00E666E3">
        <w:t xml:space="preserve">, the PUCO should grant rehearing and abrogate </w:t>
      </w:r>
      <w:r>
        <w:t xml:space="preserve">its </w:t>
      </w:r>
      <w:r w:rsidR="00E7600C">
        <w:t>Opinion and Order</w:t>
      </w:r>
      <w:r>
        <w:t xml:space="preserve">. </w:t>
      </w:r>
      <w:r w:rsidRPr="00E666E3">
        <w:t xml:space="preserve">This would </w:t>
      </w:r>
      <w:r w:rsidR="0012062F">
        <w:t>safeguard</w:t>
      </w:r>
      <w:r w:rsidRPr="00E666E3" w:rsidR="0012062F">
        <w:t xml:space="preserve"> </w:t>
      </w:r>
      <w:r w:rsidR="00E7600C">
        <w:t>that Vectren</w:t>
      </w:r>
      <w:r w:rsidR="0078652F">
        <w:t>’</w:t>
      </w:r>
      <w:r w:rsidR="00E7600C">
        <w:t xml:space="preserve">s </w:t>
      </w:r>
      <w:r>
        <w:t xml:space="preserve">charges to consumers </w:t>
      </w:r>
      <w:r w:rsidR="00E7600C">
        <w:t>would be</w:t>
      </w:r>
      <w:r>
        <w:t xml:space="preserve"> fair, just, </w:t>
      </w:r>
      <w:r w:rsidR="00E7600C">
        <w:t xml:space="preserve">and </w:t>
      </w:r>
      <w:r>
        <w:t>reasonable</w:t>
      </w:r>
      <w:r w:rsidRPr="00E666E3">
        <w:t xml:space="preserve">. </w:t>
      </w:r>
    </w:p>
    <w:p w:rsidR="001D74EF" w:rsidP="001D74EF" w14:paraId="7830B459" w14:textId="77777777">
      <w:pPr>
        <w:ind w:left="4320"/>
      </w:pPr>
    </w:p>
    <w:p w:rsidR="00A46CDB" w:rsidP="001D74EF" w14:paraId="7D8DD3A3" w14:textId="216D465A">
      <w:pPr>
        <w:ind w:left="4320"/>
      </w:pPr>
      <w:r w:rsidRPr="0029024A">
        <w:t>Respectfully submitted,</w:t>
      </w:r>
    </w:p>
    <w:p w:rsidR="00A46CDB" w:rsidRPr="0029024A" w:rsidP="00A46CDB" w14:paraId="44FD220E" w14:textId="77777777">
      <w:pPr>
        <w:ind w:left="3600" w:firstLine="720"/>
      </w:pPr>
    </w:p>
    <w:p w:rsidR="00A46CDB" w:rsidRPr="00CD4C8A" w:rsidP="00A46CDB" w14:paraId="3E104715" w14:textId="77777777">
      <w:pPr>
        <w:pStyle w:val="Footer"/>
        <w:suppressLineNumbers/>
        <w:tabs>
          <w:tab w:val="clear" w:pos="4320"/>
          <w:tab w:val="clear" w:pos="8640"/>
        </w:tabs>
        <w:ind w:left="4320"/>
        <w:rPr>
          <w:sz w:val="24"/>
          <w:szCs w:val="32"/>
        </w:rPr>
      </w:pPr>
      <w:r w:rsidRPr="00CD4C8A">
        <w:rPr>
          <w:sz w:val="24"/>
          <w:szCs w:val="32"/>
        </w:rPr>
        <w:t>Bruce Weston (0016973)</w:t>
      </w:r>
    </w:p>
    <w:p w:rsidR="00A46CDB" w:rsidRPr="0029024A" w:rsidP="00A46CDB" w14:paraId="1183BBDC" w14:textId="3235AC98">
      <w:pPr>
        <w:suppressLineNumbers/>
        <w:ind w:left="4320"/>
      </w:pPr>
      <w:r w:rsidRPr="0029024A">
        <w:t>Ohio Consumers</w:t>
      </w:r>
      <w:r w:rsidR="0078652F">
        <w:t>’</w:t>
      </w:r>
      <w:r w:rsidRPr="0029024A">
        <w:t xml:space="preserve"> Counsel</w:t>
      </w:r>
    </w:p>
    <w:p w:rsidR="00A46CDB" w:rsidRPr="0029024A" w:rsidP="00A46CDB" w14:paraId="05CAA87D" w14:textId="77777777">
      <w:pPr>
        <w:suppressLineNumbers/>
        <w:ind w:left="4320"/>
      </w:pPr>
      <w:r w:rsidRPr="0029024A">
        <w:tab/>
      </w:r>
    </w:p>
    <w:p w:rsidR="00A46CDB" w:rsidRPr="0029024A" w:rsidP="00A46CDB" w14:paraId="4AAE746A" w14:textId="020CBCBA">
      <w:pPr>
        <w:suppressLineNumbers/>
        <w:ind w:left="4320"/>
      </w:pPr>
      <w:r w:rsidRPr="0029024A">
        <w:rPr>
          <w:i/>
          <w:u w:val="single"/>
        </w:rPr>
        <w:t>/s/ William J. Michael</w:t>
      </w:r>
      <w:r w:rsidR="000454D8">
        <w:rPr>
          <w:i/>
          <w:u w:val="single"/>
        </w:rPr>
        <w:tab/>
      </w:r>
      <w:r w:rsidR="000454D8">
        <w:rPr>
          <w:i/>
          <w:u w:val="single"/>
        </w:rPr>
        <w:tab/>
      </w:r>
    </w:p>
    <w:p w:rsidR="00A46CDB" w:rsidRPr="0029024A" w:rsidP="00A46CDB" w14:paraId="21B4D868" w14:textId="77777777">
      <w:pPr>
        <w:suppressLineNumbers/>
        <w:ind w:left="4320"/>
      </w:pPr>
      <w:r w:rsidRPr="0029024A">
        <w:t>William J. Michael (0070921)</w:t>
      </w:r>
    </w:p>
    <w:p w:rsidR="00A46CDB" w:rsidP="00A46CDB" w14:paraId="31DED5B7" w14:textId="4AA7B16C">
      <w:pPr>
        <w:suppressLineNumbers/>
        <w:ind w:left="4320"/>
      </w:pPr>
      <w:r w:rsidRPr="0029024A">
        <w:t>Counsel of Record</w:t>
      </w:r>
    </w:p>
    <w:p w:rsidR="00DC2B7B" w:rsidRPr="00A329C2" w:rsidP="00DC2B7B" w14:paraId="3D93D0B9" w14:textId="1D3DE5B5">
      <w:pPr>
        <w:tabs>
          <w:tab w:val="left" w:pos="3870"/>
        </w:tabs>
        <w:ind w:left="4320"/>
        <w:rPr>
          <w:rFonts w:eastAsia="Calibri"/>
        </w:rPr>
      </w:pPr>
      <w:bookmarkStart w:id="31" w:name="_Hlk19101820"/>
      <w:r w:rsidRPr="00A329C2">
        <w:rPr>
          <w:rFonts w:eastAsia="Calibri"/>
        </w:rPr>
        <w:t>Amy Botschner-O</w:t>
      </w:r>
      <w:r w:rsidR="0078652F">
        <w:rPr>
          <w:rFonts w:eastAsia="Calibri"/>
        </w:rPr>
        <w:t>’</w:t>
      </w:r>
      <w:r w:rsidRPr="00A329C2">
        <w:rPr>
          <w:rFonts w:eastAsia="Calibri"/>
        </w:rPr>
        <w:t>Brien (0074423)</w:t>
      </w:r>
    </w:p>
    <w:p w:rsidR="00A46CDB" w:rsidP="00A46CDB" w14:paraId="4CB98F58" w14:textId="05C7A6A1">
      <w:pPr>
        <w:suppressLineNumbers/>
        <w:ind w:left="4320"/>
      </w:pPr>
      <w:r w:rsidRPr="0029024A">
        <w:t>Christopher Healey (0086027)</w:t>
      </w:r>
    </w:p>
    <w:p w:rsidR="00FF1D40" w:rsidRPr="00A329C2" w:rsidP="00FF1D40" w14:paraId="36C10316" w14:textId="659FF08F">
      <w:pPr>
        <w:tabs>
          <w:tab w:val="left" w:pos="3870"/>
        </w:tabs>
        <w:ind w:left="4320"/>
        <w:rPr>
          <w:rFonts w:eastAsia="Calibri"/>
        </w:rPr>
      </w:pPr>
      <w:r w:rsidRPr="00A329C2">
        <w:rPr>
          <w:rFonts w:eastAsia="Calibri"/>
        </w:rPr>
        <w:t>Angela O</w:t>
      </w:r>
      <w:r w:rsidR="0078652F">
        <w:rPr>
          <w:rFonts w:eastAsia="Calibri"/>
        </w:rPr>
        <w:t>’</w:t>
      </w:r>
      <w:r w:rsidRPr="00A329C2">
        <w:rPr>
          <w:rFonts w:eastAsia="Calibri"/>
        </w:rPr>
        <w:t>Brien (0097579)</w:t>
      </w:r>
    </w:p>
    <w:p w:rsidR="00A46CDB" w:rsidRPr="0029024A" w:rsidP="00A46CDB" w14:paraId="05BCEFD9" w14:textId="7F30CC6B">
      <w:pPr>
        <w:suppressLineNumbers/>
        <w:ind w:left="4320"/>
      </w:pPr>
      <w:r w:rsidRPr="0029024A">
        <w:t>Assistant Consumers</w:t>
      </w:r>
      <w:r w:rsidR="0078652F">
        <w:t>’</w:t>
      </w:r>
      <w:r w:rsidRPr="0029024A">
        <w:t xml:space="preserve"> Counsel</w:t>
      </w:r>
    </w:p>
    <w:p w:rsidR="00A46CDB" w:rsidRPr="0029024A" w:rsidP="00A46CDB" w14:paraId="3C4A193F" w14:textId="77777777">
      <w:pPr>
        <w:suppressLineNumbers/>
        <w:ind w:left="4320"/>
      </w:pPr>
    </w:p>
    <w:p w:rsidR="00A46CDB" w:rsidRPr="0029024A" w:rsidP="00A46CDB" w14:paraId="01B74F52" w14:textId="5A4E8D8D">
      <w:pPr>
        <w:suppressLineNumbers/>
        <w:ind w:left="4320"/>
        <w:rPr>
          <w:b/>
        </w:rPr>
      </w:pPr>
      <w:r w:rsidRPr="0029024A">
        <w:rPr>
          <w:b/>
        </w:rPr>
        <w:t>Office of the Ohio Consumers</w:t>
      </w:r>
      <w:r w:rsidR="0078652F">
        <w:rPr>
          <w:b/>
        </w:rPr>
        <w:t>’</w:t>
      </w:r>
      <w:r w:rsidRPr="0029024A">
        <w:rPr>
          <w:b/>
        </w:rPr>
        <w:t xml:space="preserve"> Counsel</w:t>
      </w:r>
    </w:p>
    <w:p w:rsidR="00A46CDB" w:rsidRPr="0029024A" w:rsidP="00A46CDB" w14:paraId="706AB090" w14:textId="77777777">
      <w:pPr>
        <w:suppressLineNumbers/>
        <w:ind w:left="4320"/>
      </w:pPr>
      <w:r w:rsidRPr="0029024A">
        <w:t>65 East State Street, 7</w:t>
      </w:r>
      <w:r w:rsidRPr="000454D8">
        <w:t>th</w:t>
      </w:r>
      <w:r w:rsidRPr="0029024A">
        <w:t xml:space="preserve"> Floor</w:t>
      </w:r>
    </w:p>
    <w:p w:rsidR="00A46CDB" w:rsidRPr="0029024A" w:rsidP="00A46CDB" w14:paraId="480471DC" w14:textId="77777777">
      <w:pPr>
        <w:suppressLineNumbers/>
        <w:ind w:left="4320"/>
      </w:pPr>
      <w:r w:rsidRPr="0029024A">
        <w:t>Columbus, Ohio 43215-4213</w:t>
      </w:r>
    </w:p>
    <w:p w:rsidR="00A46CDB" w:rsidP="00A46CDB" w14:paraId="6D90E4E7" w14:textId="75D7217C">
      <w:pPr>
        <w:suppressLineNumbers/>
        <w:autoSpaceDE w:val="0"/>
        <w:autoSpaceDN w:val="0"/>
        <w:adjustRightInd w:val="0"/>
        <w:ind w:left="3600" w:firstLine="720"/>
      </w:pPr>
      <w:r w:rsidRPr="0029024A">
        <w:t>Telephone [Michael]: (614) 466-1291</w:t>
      </w:r>
    </w:p>
    <w:p w:rsidR="00DC2B7B" w:rsidRPr="00A329C2" w:rsidP="00DC2B7B" w14:paraId="1E918BF6" w14:textId="19F940CA">
      <w:pPr>
        <w:tabs>
          <w:tab w:val="left" w:pos="3870"/>
        </w:tabs>
        <w:ind w:left="4320" w:right="-450"/>
      </w:pPr>
      <w:r w:rsidRPr="00A329C2">
        <w:t>Telephone: [Botschner-O</w:t>
      </w:r>
      <w:r w:rsidR="0078652F">
        <w:t>’</w:t>
      </w:r>
      <w:r w:rsidRPr="00A329C2">
        <w:t xml:space="preserve">Brien] </w:t>
      </w:r>
      <w:r>
        <w:t>(</w:t>
      </w:r>
      <w:r w:rsidRPr="00A329C2">
        <w:t>614</w:t>
      </w:r>
      <w:r>
        <w:t>)</w:t>
      </w:r>
      <w:r w:rsidRPr="00A329C2">
        <w:t>-466-9575</w:t>
      </w:r>
    </w:p>
    <w:p w:rsidR="00A46CDB" w:rsidP="00A46CDB" w14:paraId="6AAA65E8" w14:textId="7F773026">
      <w:pPr>
        <w:suppressLineNumbers/>
        <w:autoSpaceDE w:val="0"/>
        <w:autoSpaceDN w:val="0"/>
        <w:adjustRightInd w:val="0"/>
        <w:ind w:left="3600" w:firstLine="720"/>
      </w:pPr>
      <w:r w:rsidRPr="0029024A">
        <w:t>Telephone [Healey]: (614) 466-9571</w:t>
      </w:r>
      <w:r w:rsidRPr="0029024A">
        <w:tab/>
      </w:r>
    </w:p>
    <w:p w:rsidR="00FF1D40" w:rsidRPr="00A329C2" w:rsidP="00FF1D40" w14:paraId="1C0EA40B" w14:textId="05CEE79A">
      <w:pPr>
        <w:tabs>
          <w:tab w:val="left" w:pos="3870"/>
        </w:tabs>
        <w:ind w:left="4320"/>
      </w:pPr>
      <w:r w:rsidRPr="00A329C2">
        <w:t>Telephone: [O</w:t>
      </w:r>
      <w:r w:rsidR="0078652F">
        <w:t>’</w:t>
      </w:r>
      <w:r w:rsidRPr="00A329C2">
        <w:t>Brien] 614-466-9531</w:t>
      </w:r>
    </w:p>
    <w:p w:rsidR="00A46CDB" w:rsidP="00A46CDB" w14:paraId="26145604" w14:textId="51B1DD92">
      <w:pPr>
        <w:suppressLineNumbers/>
        <w:autoSpaceDE w:val="0"/>
        <w:autoSpaceDN w:val="0"/>
        <w:adjustRightInd w:val="0"/>
        <w:ind w:left="3600" w:firstLine="720"/>
        <w:rPr>
          <w:rStyle w:val="Hyperlink"/>
        </w:rPr>
      </w:pPr>
      <w:hyperlink r:id="rId7" w:history="1">
        <w:r w:rsidRPr="00661CD3" w:rsidR="00875C93">
          <w:rPr>
            <w:rStyle w:val="Hyperlink"/>
          </w:rPr>
          <w:t>william.michael@occ.ohio.gov</w:t>
        </w:r>
      </w:hyperlink>
    </w:p>
    <w:p w:rsidR="001D74EF" w:rsidP="001D74EF" w14:paraId="74C4D117" w14:textId="77777777">
      <w:pPr>
        <w:suppressLineNumbers/>
        <w:autoSpaceDE w:val="0"/>
        <w:autoSpaceDN w:val="0"/>
        <w:adjustRightInd w:val="0"/>
        <w:ind w:left="3600" w:firstLine="720"/>
        <w:rPr>
          <w:rStyle w:val="Hyperlink"/>
        </w:rPr>
      </w:pPr>
      <w:r>
        <w:rPr>
          <w:rStyle w:val="Hyperlink"/>
        </w:rPr>
        <w:t>amy.botschner.obrien@occ.ohio.gov</w:t>
      </w:r>
    </w:p>
    <w:p w:rsidR="00A46CDB" w:rsidP="00A46CDB" w14:paraId="75349E08" w14:textId="78573EB8">
      <w:pPr>
        <w:suppressLineNumbers/>
        <w:autoSpaceDE w:val="0"/>
        <w:autoSpaceDN w:val="0"/>
        <w:adjustRightInd w:val="0"/>
        <w:ind w:left="3600" w:firstLine="720"/>
        <w:rPr>
          <w:rStyle w:val="Hyperlink"/>
        </w:rPr>
      </w:pPr>
      <w:hyperlink r:id="rId8" w:history="1">
        <w:r w:rsidR="000454D8">
          <w:rPr>
            <w:rStyle w:val="Hyperlink"/>
          </w:rPr>
          <w:t>c</w:t>
        </w:r>
        <w:r w:rsidRPr="00661CD3" w:rsidR="00875C93">
          <w:rPr>
            <w:rStyle w:val="Hyperlink"/>
          </w:rPr>
          <w:t>hristopher.healey@occ.ohio.gov</w:t>
        </w:r>
      </w:hyperlink>
    </w:p>
    <w:p w:rsidR="008A2B55" w:rsidP="008A2B55" w14:paraId="0DDAAD5B" w14:textId="77777777">
      <w:pPr>
        <w:suppressLineNumbers/>
        <w:autoSpaceDE w:val="0"/>
        <w:autoSpaceDN w:val="0"/>
        <w:adjustRightInd w:val="0"/>
        <w:ind w:left="3600" w:firstLine="720"/>
      </w:pPr>
      <w:r>
        <w:rPr>
          <w:rStyle w:val="Hyperlink"/>
        </w:rPr>
        <w:t>angela.obrien@occ.ohio.gov</w:t>
      </w:r>
    </w:p>
    <w:p w:rsidR="00A46CDB" w:rsidP="00A46CDB" w14:paraId="7E9F9D27" w14:textId="77777777">
      <w:pPr>
        <w:suppressLineNumbers/>
        <w:autoSpaceDE w:val="0"/>
        <w:autoSpaceDN w:val="0"/>
        <w:adjustRightInd w:val="0"/>
        <w:ind w:left="3600" w:firstLine="720"/>
      </w:pPr>
      <w:r>
        <w:t>(</w:t>
      </w:r>
      <w:r w:rsidRPr="0029024A">
        <w:t>will</w:t>
      </w:r>
      <w:r>
        <w:t>ing to</w:t>
      </w:r>
      <w:r w:rsidRPr="0029024A">
        <w:t xml:space="preserve"> accept service </w:t>
      </w:r>
      <w:r>
        <w:t>by e-</w:t>
      </w:r>
      <w:r w:rsidRPr="0029024A">
        <w:t>mail)</w:t>
      </w:r>
    </w:p>
    <w:bookmarkEnd w:id="31"/>
    <w:p w:rsidR="00A46CDB" w:rsidRPr="00BB1D2E" w:rsidP="00A46CDB" w14:paraId="4C5CD1EF" w14:textId="77777777">
      <w:pPr>
        <w:spacing w:line="480" w:lineRule="auto"/>
      </w:pPr>
    </w:p>
    <w:p w:rsidR="00A46CDB" w:rsidP="00A46CDB" w14:paraId="1FEEA5E7" w14:textId="77777777">
      <w:pPr>
        <w:pStyle w:val="ANSWER"/>
        <w:suppressLineNumbers/>
        <w:ind w:left="720"/>
        <w:jc w:val="center"/>
        <w:rPr>
          <w:b/>
          <w:szCs w:val="24"/>
          <w:u w:val="single"/>
        </w:rPr>
        <w:sectPr w:rsidSect="00546450">
          <w:footerReference w:type="default" r:id="rId10"/>
          <w:pgSz w:w="12240" w:h="15840"/>
          <w:pgMar w:top="1440" w:right="1800" w:bottom="1440" w:left="1800" w:header="720" w:footer="720" w:gutter="0"/>
          <w:pgNumType w:start="1"/>
          <w:cols w:space="720"/>
          <w:docGrid w:linePitch="360"/>
        </w:sectPr>
      </w:pPr>
    </w:p>
    <w:p w:rsidR="00A46CDB" w:rsidP="00A46CDB" w14:paraId="215F4DDC" w14:textId="77777777">
      <w:pPr>
        <w:pStyle w:val="ANSWER"/>
        <w:suppressLineNumbers/>
        <w:ind w:left="720"/>
        <w:jc w:val="center"/>
        <w:rPr>
          <w:b/>
          <w:szCs w:val="24"/>
          <w:u w:val="single"/>
        </w:rPr>
      </w:pPr>
      <w:r>
        <w:rPr>
          <w:b/>
          <w:szCs w:val="24"/>
          <w:u w:val="single"/>
        </w:rPr>
        <w:t>CERTIFICATE OF SERVICE</w:t>
      </w:r>
    </w:p>
    <w:p w:rsidR="00A46CDB" w:rsidP="00A46CDB" w14:paraId="603ABA93" w14:textId="391F8D94">
      <w:pPr>
        <w:suppressLineNumbers/>
        <w:spacing w:line="480" w:lineRule="auto"/>
        <w:ind w:firstLine="720"/>
      </w:pPr>
      <w:r>
        <w:t xml:space="preserve">The undersigned hereby certifies that a true and correct copy of the foregoing Application for Rehearing has been served upon the below-named persons via electronic transmission this </w:t>
      </w:r>
      <w:r w:rsidR="002A657D">
        <w:t>27th</w:t>
      </w:r>
      <w:r>
        <w:t xml:space="preserve"> day of </w:t>
      </w:r>
      <w:r w:rsidR="00546450">
        <w:t xml:space="preserve">September </w:t>
      </w:r>
      <w:r>
        <w:t>2019.</w:t>
      </w:r>
      <w:r>
        <w:tab/>
      </w:r>
    </w:p>
    <w:p w:rsidR="00A46CDB" w:rsidP="00A46CDB" w14:paraId="48148872" w14:textId="56D58924">
      <w:pPr>
        <w:suppressLineNumbers/>
        <w:rPr>
          <w:u w:val="single"/>
        </w:rPr>
      </w:pPr>
      <w:r>
        <w:t xml:space="preserve"> </w:t>
      </w:r>
      <w:r>
        <w:tab/>
      </w:r>
      <w:r>
        <w:tab/>
      </w:r>
      <w:r>
        <w:tab/>
      </w:r>
      <w:r>
        <w:tab/>
      </w:r>
      <w:r>
        <w:tab/>
      </w:r>
      <w:r>
        <w:tab/>
      </w:r>
      <w:r>
        <w:rPr>
          <w:i/>
          <w:u w:val="single"/>
        </w:rPr>
        <w:t>/s/ William J. Michael</w:t>
      </w:r>
      <w:r w:rsidR="00546450">
        <w:rPr>
          <w:i/>
          <w:u w:val="single"/>
        </w:rPr>
        <w:tab/>
      </w:r>
      <w:r w:rsidR="00546450">
        <w:rPr>
          <w:i/>
          <w:u w:val="single"/>
        </w:rPr>
        <w:tab/>
      </w:r>
    </w:p>
    <w:p w:rsidR="00A46CDB" w:rsidP="00A46CDB" w14:paraId="56C35E98" w14:textId="77777777">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William J. Michael</w:t>
      </w:r>
    </w:p>
    <w:p w:rsidR="00A46CDB" w:rsidP="00A46CDB" w14:paraId="2010DD9D" w14:textId="74582F19">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Assistant Consumers</w:t>
      </w:r>
      <w:r w:rsidR="0078652F">
        <w:rPr>
          <w:rFonts w:ascii="Times New Roman" w:hAnsi="Times New Roman"/>
          <w:szCs w:val="24"/>
        </w:rPr>
        <w:t>’</w:t>
      </w:r>
      <w:r>
        <w:rPr>
          <w:rFonts w:ascii="Times New Roman" w:hAnsi="Times New Roman"/>
          <w:szCs w:val="24"/>
        </w:rPr>
        <w:t xml:space="preserve"> Counsel</w:t>
      </w:r>
    </w:p>
    <w:p w:rsidR="00A46CDB" w:rsidP="00A46CDB" w14:paraId="42129532" w14:textId="58A514DD">
      <w:pPr>
        <w:suppressLineNumbers/>
        <w:autoSpaceDE w:val="0"/>
        <w:autoSpaceDN w:val="0"/>
        <w:adjustRightInd w:val="0"/>
        <w:ind w:left="3600" w:firstLine="720"/>
      </w:pPr>
    </w:p>
    <w:p w:rsidR="002A1C42" w:rsidP="00A46CDB" w14:paraId="501E36CE" w14:textId="77777777">
      <w:pPr>
        <w:suppressLineNumbers/>
        <w:autoSpaceDE w:val="0"/>
        <w:autoSpaceDN w:val="0"/>
        <w:adjustRightInd w:val="0"/>
        <w:ind w:left="3600" w:firstLine="720"/>
      </w:pPr>
    </w:p>
    <w:p w:rsidR="002A1C42" w:rsidRPr="00F2718B" w:rsidP="002A1C42" w14:paraId="08284E21" w14:textId="6D411CB0">
      <w:r>
        <w:t>The PUCO</w:t>
      </w:r>
      <w:r w:rsidR="0078652F">
        <w:t>’</w:t>
      </w:r>
      <w:r>
        <w:t>s e-filing system will electronically serve notice of the filing of this document on the following parties:</w:t>
      </w:r>
    </w:p>
    <w:p w:rsidR="002A1C42" w:rsidP="00A46CDB" w14:paraId="23E0F51E" w14:textId="77777777">
      <w:pPr>
        <w:suppressLineNumbers/>
        <w:autoSpaceDE w:val="0"/>
        <w:autoSpaceDN w:val="0"/>
        <w:adjustRightInd w:val="0"/>
        <w:ind w:left="3600" w:firstLine="720"/>
      </w:pPr>
    </w:p>
    <w:p w:rsidR="00A46CDB" w:rsidP="00A46CDB" w14:paraId="5DF26BBD" w14:textId="77777777">
      <w:pPr>
        <w:suppressLineNumbers/>
        <w:spacing w:line="480" w:lineRule="auto"/>
        <w:ind w:firstLine="720"/>
        <w:jc w:val="center"/>
        <w:rPr>
          <w:b/>
        </w:rPr>
      </w:pPr>
      <w:r>
        <w:rPr>
          <w:b/>
        </w:rPr>
        <w:t>SERVICE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4230"/>
      </w:tblGrid>
      <w:tr w14:paraId="75BC61E3" w14:textId="77777777" w:rsidTr="0018683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60"/>
        </w:trPr>
        <w:tc>
          <w:tcPr>
            <w:tcW w:w="4428" w:type="dxa"/>
            <w:tcBorders>
              <w:top w:val="nil"/>
              <w:left w:val="nil"/>
              <w:bottom w:val="nil"/>
              <w:right w:val="nil"/>
            </w:tcBorders>
          </w:tcPr>
          <w:p w:rsidR="004B5190" w:rsidRPr="00A329C2" w:rsidP="004B5190" w14:paraId="38893025" w14:textId="77777777">
            <w:pPr>
              <w:autoSpaceDE w:val="0"/>
              <w:autoSpaceDN w:val="0"/>
              <w:adjustRightInd w:val="0"/>
            </w:pPr>
            <w:hyperlink r:id="rId11" w:history="1">
              <w:r w:rsidRPr="00A329C2" w:rsidR="00CA65BA">
                <w:rPr>
                  <w:rStyle w:val="Hyperlink"/>
                  <w:rFonts w:eastAsiaTheme="minorHAnsi"/>
                </w:rPr>
                <w:t>werner.margard@ohioattorneygeneral.gov</w:t>
              </w:r>
            </w:hyperlink>
          </w:p>
          <w:p w:rsidR="004B5190" w:rsidRPr="00A329C2" w:rsidP="004B5190" w14:paraId="0208BD3C" w14:textId="77777777">
            <w:pPr>
              <w:autoSpaceDE w:val="0"/>
              <w:autoSpaceDN w:val="0"/>
              <w:adjustRightInd w:val="0"/>
            </w:pPr>
            <w:hyperlink r:id="rId12" w:history="1">
              <w:r w:rsidRPr="00A329C2" w:rsidR="00CA65BA">
                <w:rPr>
                  <w:rStyle w:val="Hyperlink"/>
                  <w:rFonts w:eastAsiaTheme="minorHAnsi"/>
                </w:rPr>
                <w:t>mjsettineri@vorys.com</w:t>
              </w:r>
            </w:hyperlink>
          </w:p>
          <w:p w:rsidR="004B5190" w:rsidRPr="00A329C2" w:rsidP="004B5190" w14:paraId="24504658" w14:textId="77777777">
            <w:pPr>
              <w:autoSpaceDE w:val="0"/>
              <w:autoSpaceDN w:val="0"/>
              <w:adjustRightInd w:val="0"/>
            </w:pPr>
            <w:hyperlink r:id="rId13" w:history="1">
              <w:r w:rsidRPr="00A329C2" w:rsidR="00CA65BA">
                <w:rPr>
                  <w:rStyle w:val="Hyperlink"/>
                  <w:rFonts w:eastAsiaTheme="minorHAnsi"/>
                </w:rPr>
                <w:t>glpetrucci@vorys.com</w:t>
              </w:r>
            </w:hyperlink>
            <w:r w:rsidRPr="00A329C2" w:rsidR="00CA65BA">
              <w:rPr>
                <w:rFonts w:eastAsiaTheme="minorHAnsi"/>
              </w:rPr>
              <w:t xml:space="preserve"> </w:t>
            </w:r>
          </w:p>
          <w:p w:rsidR="004B5190" w:rsidRPr="00A329C2" w:rsidP="004B5190" w14:paraId="36A76381" w14:textId="77777777">
            <w:pPr>
              <w:autoSpaceDE w:val="0"/>
              <w:autoSpaceDN w:val="0"/>
              <w:adjustRightInd w:val="0"/>
            </w:pPr>
            <w:hyperlink r:id="rId14" w:history="1">
              <w:r w:rsidRPr="00A329C2" w:rsidR="00CA65BA">
                <w:rPr>
                  <w:rStyle w:val="Hyperlink"/>
                  <w:rFonts w:eastAsiaTheme="minorHAnsi"/>
                </w:rPr>
                <w:t>joliker@igsenergy.com</w:t>
              </w:r>
            </w:hyperlink>
          </w:p>
          <w:p w:rsidR="004B5190" w:rsidRPr="00A329C2" w:rsidP="004B5190" w14:paraId="4EA12BEC" w14:textId="77777777">
            <w:pPr>
              <w:autoSpaceDE w:val="0"/>
              <w:autoSpaceDN w:val="0"/>
              <w:adjustRightInd w:val="0"/>
            </w:pPr>
            <w:hyperlink r:id="rId15" w:history="1">
              <w:r w:rsidRPr="00A329C2" w:rsidR="00CA65BA">
                <w:rPr>
                  <w:rStyle w:val="Hyperlink"/>
                  <w:rFonts w:eastAsiaTheme="minorHAnsi"/>
                </w:rPr>
                <w:t>mnugent@igsenergy.com</w:t>
              </w:r>
            </w:hyperlink>
          </w:p>
          <w:p w:rsidR="004B5190" w:rsidRPr="00A329C2" w:rsidP="004B5190" w14:paraId="181ED155" w14:textId="77777777">
            <w:pPr>
              <w:autoSpaceDE w:val="0"/>
              <w:autoSpaceDN w:val="0"/>
              <w:adjustRightInd w:val="0"/>
            </w:pPr>
            <w:hyperlink r:id="rId16" w:history="1">
              <w:r w:rsidRPr="00A329C2" w:rsidR="00CA65BA">
                <w:rPr>
                  <w:rStyle w:val="Hyperlink"/>
                  <w:rFonts w:eastAsiaTheme="minorHAnsi"/>
                </w:rPr>
                <w:t>slesser@calfee.com</w:t>
              </w:r>
            </w:hyperlink>
          </w:p>
          <w:p w:rsidR="004B5190" w:rsidRPr="00A329C2" w:rsidP="004B5190" w14:paraId="71516020" w14:textId="77777777">
            <w:pPr>
              <w:autoSpaceDE w:val="0"/>
              <w:autoSpaceDN w:val="0"/>
              <w:adjustRightInd w:val="0"/>
            </w:pPr>
            <w:hyperlink r:id="rId17" w:history="1">
              <w:r w:rsidRPr="00A329C2" w:rsidR="00CA65BA">
                <w:rPr>
                  <w:rStyle w:val="Hyperlink"/>
                  <w:rFonts w:eastAsiaTheme="minorHAnsi"/>
                </w:rPr>
                <w:t>mkeaney@calfee.com</w:t>
              </w:r>
            </w:hyperlink>
          </w:p>
          <w:p w:rsidR="004B5190" w:rsidRPr="00A329C2" w:rsidP="004B5190" w14:paraId="59E198F2" w14:textId="77777777">
            <w:pPr>
              <w:autoSpaceDE w:val="0"/>
              <w:autoSpaceDN w:val="0"/>
              <w:adjustRightInd w:val="0"/>
            </w:pPr>
            <w:hyperlink r:id="rId18" w:history="1">
              <w:r w:rsidRPr="00A329C2" w:rsidR="00CA65BA">
                <w:rPr>
                  <w:rStyle w:val="Hyperlink"/>
                  <w:rFonts w:eastAsiaTheme="minorHAnsi"/>
                </w:rPr>
                <w:t>talexander@calfee.com</w:t>
              </w:r>
            </w:hyperlink>
          </w:p>
          <w:p w:rsidR="004B5190" w:rsidRPr="00A329C2" w:rsidP="004B5190" w14:paraId="3EB5565A" w14:textId="6FAFB275">
            <w:pPr>
              <w:autoSpaceDE w:val="0"/>
              <w:autoSpaceDN w:val="0"/>
              <w:adjustRightInd w:val="0"/>
            </w:pPr>
            <w:hyperlink r:id="rId19" w:history="1">
              <w:r w:rsidRPr="00A329C2" w:rsidR="00CA65BA">
                <w:rPr>
                  <w:rStyle w:val="Hyperlink"/>
                  <w:rFonts w:eastAsiaTheme="minorHAnsi"/>
                </w:rPr>
                <w:t>tony</w:t>
              </w:r>
              <w:r w:rsidR="0012587D">
                <w:rPr>
                  <w:rStyle w:val="Hyperlink"/>
                  <w:rFonts w:eastAsiaTheme="minorHAnsi"/>
                </w:rPr>
                <w:t>_</w:t>
              </w:r>
              <w:r w:rsidRPr="00A329C2" w:rsidR="00CA65BA">
                <w:rPr>
                  <w:rStyle w:val="Hyperlink"/>
                  <w:rFonts w:eastAsiaTheme="minorHAnsi"/>
                </w:rPr>
                <w:t>long@hna.honda.com</w:t>
              </w:r>
            </w:hyperlink>
          </w:p>
          <w:p w:rsidR="004B5190" w:rsidRPr="00A329C2" w:rsidP="004B5190" w14:paraId="24B6AD89" w14:textId="77777777">
            <w:pPr>
              <w:autoSpaceDE w:val="0"/>
              <w:autoSpaceDN w:val="0"/>
              <w:adjustRightInd w:val="0"/>
            </w:pPr>
            <w:hyperlink r:id="rId20" w:history="1">
              <w:r w:rsidRPr="00A329C2" w:rsidR="00CA65BA">
                <w:rPr>
                  <w:rStyle w:val="Hyperlink"/>
                  <w:rFonts w:eastAsiaTheme="minorHAnsi"/>
                </w:rPr>
                <w:t>cmooney@ohiopartners.org</w:t>
              </w:r>
            </w:hyperlink>
          </w:p>
          <w:p w:rsidR="004B5190" w:rsidRPr="00A329C2" w:rsidP="004B5190" w14:paraId="0F2C31FF" w14:textId="77777777">
            <w:pPr>
              <w:autoSpaceDE w:val="0"/>
              <w:autoSpaceDN w:val="0"/>
              <w:adjustRightInd w:val="0"/>
            </w:pPr>
          </w:p>
          <w:p w:rsidR="004B5190" w:rsidP="004B5190" w14:paraId="2D86B338" w14:textId="67311FAA">
            <w:pPr>
              <w:autoSpaceDE w:val="0"/>
              <w:autoSpaceDN w:val="0"/>
              <w:adjustRightInd w:val="0"/>
              <w:rPr>
                <w:rFonts w:eastAsiaTheme="minorHAnsi"/>
              </w:rPr>
            </w:pPr>
            <w:r w:rsidRPr="00A329C2">
              <w:rPr>
                <w:rFonts w:eastAsiaTheme="minorHAnsi"/>
              </w:rPr>
              <w:t>Attorney Examiner:</w:t>
            </w:r>
          </w:p>
          <w:p w:rsidR="009609C8" w:rsidRPr="00440A17" w:rsidP="004B5190" w14:paraId="6298A8A7" w14:textId="77777777">
            <w:pPr>
              <w:autoSpaceDE w:val="0"/>
              <w:autoSpaceDN w:val="0"/>
              <w:adjustRightInd w:val="0"/>
              <w:rPr>
                <w:rStyle w:val="Hyperlink"/>
                <w:rFonts w:eastAsiaTheme="minorHAnsi"/>
              </w:rPr>
            </w:pPr>
          </w:p>
          <w:p w:rsidR="004B5190" w:rsidRPr="00A329C2" w:rsidP="004B5190" w14:paraId="23962BEF" w14:textId="17C6064C">
            <w:pPr>
              <w:autoSpaceDE w:val="0"/>
              <w:autoSpaceDN w:val="0"/>
              <w:adjustRightInd w:val="0"/>
            </w:pPr>
            <w:hyperlink r:id="rId21" w:history="1">
              <w:r w:rsidRPr="00440A17" w:rsidR="00F27097">
                <w:rPr>
                  <w:rStyle w:val="Hyperlink"/>
                  <w:rFonts w:eastAsiaTheme="minorHAnsi"/>
                </w:rPr>
                <w:t>g</w:t>
              </w:r>
              <w:r w:rsidRPr="00A329C2" w:rsidR="00CA65BA">
                <w:rPr>
                  <w:rStyle w:val="Hyperlink"/>
                  <w:rFonts w:eastAsiaTheme="minorHAnsi"/>
                </w:rPr>
                <w:t>regory.price@puc.state.oh.us</w:t>
              </w:r>
            </w:hyperlink>
          </w:p>
          <w:p w:rsidR="004B5190" w:rsidRPr="00A329C2" w:rsidP="004B5190" w14:paraId="53203954" w14:textId="77777777">
            <w:pPr>
              <w:autoSpaceDE w:val="0"/>
              <w:autoSpaceDN w:val="0"/>
              <w:adjustRightInd w:val="0"/>
            </w:pPr>
            <w:hyperlink r:id="rId22" w:history="1">
              <w:r w:rsidRPr="00A329C2" w:rsidR="00CA65BA">
                <w:rPr>
                  <w:rStyle w:val="Hyperlink"/>
                  <w:rFonts w:eastAsiaTheme="minorHAnsi"/>
                </w:rPr>
                <w:t>patricia.schabo@puc.state.oh.us</w:t>
              </w:r>
            </w:hyperlink>
            <w:r w:rsidRPr="00A329C2" w:rsidR="00CA65BA">
              <w:rPr>
                <w:rFonts w:eastAsiaTheme="minorHAnsi"/>
              </w:rPr>
              <w:t xml:space="preserve"> </w:t>
            </w:r>
          </w:p>
          <w:p w:rsidR="00A46CDB" w:rsidP="00A46CDB" w14:paraId="1E81ACAE" w14:textId="77777777">
            <w:pPr>
              <w:suppressLineNumbers/>
              <w:rPr>
                <w:b/>
                <w:bCs/>
              </w:rPr>
            </w:pPr>
          </w:p>
        </w:tc>
        <w:tc>
          <w:tcPr>
            <w:tcW w:w="4428" w:type="dxa"/>
            <w:tcBorders>
              <w:top w:val="nil"/>
              <w:left w:val="nil"/>
              <w:bottom w:val="nil"/>
              <w:right w:val="nil"/>
            </w:tcBorders>
          </w:tcPr>
          <w:p w:rsidR="004B5190" w:rsidRPr="004B5190" w:rsidP="004B5190" w14:paraId="3FA6BC6A" w14:textId="283D3369">
            <w:pPr>
              <w:autoSpaceDE w:val="0"/>
              <w:autoSpaceDN w:val="0"/>
              <w:adjustRightInd w:val="0"/>
              <w:rPr>
                <w:rStyle w:val="Hyperlink"/>
              </w:rPr>
            </w:pPr>
            <w:r w:rsidRPr="004B5190">
              <w:rPr>
                <w:rStyle w:val="Hyperlink"/>
                <w:rFonts w:eastAsiaTheme="minorHAnsi"/>
              </w:rPr>
              <w:t xml:space="preserve">whitt@whitt-sturtevant.com </w:t>
            </w:r>
          </w:p>
          <w:p w:rsidR="004B5190" w:rsidRPr="00A329C2" w:rsidP="004B5190" w14:paraId="7A96FFF4" w14:textId="77777777">
            <w:pPr>
              <w:autoSpaceDE w:val="0"/>
              <w:autoSpaceDN w:val="0"/>
              <w:adjustRightInd w:val="0"/>
            </w:pPr>
            <w:hyperlink r:id="rId23" w:history="1">
              <w:r w:rsidRPr="00A329C2" w:rsidR="00CA65BA">
                <w:rPr>
                  <w:rStyle w:val="Hyperlink"/>
                  <w:rFonts w:eastAsiaTheme="minorHAnsi"/>
                </w:rPr>
                <w:t>rust@whitt-sturtevant.com</w:t>
              </w:r>
            </w:hyperlink>
            <w:r w:rsidRPr="00A329C2" w:rsidR="00CA65BA">
              <w:rPr>
                <w:rFonts w:eastAsiaTheme="minorHAnsi"/>
              </w:rPr>
              <w:t xml:space="preserve"> </w:t>
            </w:r>
          </w:p>
          <w:p w:rsidR="004B5190" w:rsidRPr="004B5190" w:rsidP="004B5190" w14:paraId="0DE61E7E" w14:textId="77777777">
            <w:pPr>
              <w:autoSpaceDE w:val="0"/>
              <w:autoSpaceDN w:val="0"/>
              <w:adjustRightInd w:val="0"/>
              <w:rPr>
                <w:rStyle w:val="Hyperlink"/>
                <w:rFonts w:eastAsiaTheme="minorHAnsi"/>
                <w:iCs/>
              </w:rPr>
            </w:pPr>
            <w:r w:rsidRPr="004B5190">
              <w:rPr>
                <w:rStyle w:val="Hyperlink"/>
                <w:rFonts w:eastAsiaTheme="minorHAnsi"/>
                <w:iCs/>
              </w:rPr>
              <w:t>kennedy@whitt-sturtevant.com</w:t>
            </w:r>
          </w:p>
          <w:p w:rsidR="004B5190" w:rsidRPr="00A329C2" w:rsidP="004B5190" w14:paraId="502C7C26" w14:textId="77777777">
            <w:pPr>
              <w:autoSpaceDE w:val="0"/>
              <w:autoSpaceDN w:val="0"/>
              <w:adjustRightInd w:val="0"/>
            </w:pPr>
            <w:hyperlink r:id="rId24" w:history="1">
              <w:r w:rsidRPr="00A329C2" w:rsidR="00CA65BA">
                <w:rPr>
                  <w:rStyle w:val="Hyperlink"/>
                  <w:rFonts w:eastAsiaTheme="minorHAnsi"/>
                </w:rPr>
                <w:t>fdarr@mcneeslaw.com</w:t>
              </w:r>
            </w:hyperlink>
            <w:r w:rsidRPr="00A329C2" w:rsidR="00CA65BA">
              <w:rPr>
                <w:rFonts w:eastAsiaTheme="minorHAnsi"/>
              </w:rPr>
              <w:t xml:space="preserve"> </w:t>
            </w:r>
          </w:p>
          <w:p w:rsidR="004B5190" w:rsidRPr="00A329C2" w:rsidP="004B5190" w14:paraId="55A3965E" w14:textId="77777777">
            <w:pPr>
              <w:tabs>
                <w:tab w:val="left" w:pos="960"/>
              </w:tabs>
              <w:rPr>
                <w:rStyle w:val="Hyperlink"/>
                <w:iCs/>
              </w:rPr>
            </w:pPr>
            <w:hyperlink r:id="rId25" w:history="1">
              <w:r w:rsidRPr="00A329C2" w:rsidR="00CA65BA">
                <w:rPr>
                  <w:rStyle w:val="Hyperlink"/>
                  <w:rFonts w:eastAsiaTheme="minorHAnsi"/>
                  <w:iCs/>
                </w:rPr>
                <w:t>mpritchard@mcneeslaw.com</w:t>
              </w:r>
            </w:hyperlink>
          </w:p>
          <w:p w:rsidR="004B5190" w:rsidRPr="00A329C2" w:rsidP="004B5190" w14:paraId="7FCC88CF" w14:textId="77777777">
            <w:pPr>
              <w:autoSpaceDE w:val="0"/>
              <w:autoSpaceDN w:val="0"/>
              <w:adjustRightInd w:val="0"/>
            </w:pPr>
            <w:hyperlink r:id="rId26" w:history="1">
              <w:r w:rsidRPr="00A329C2" w:rsidR="00CA65BA">
                <w:rPr>
                  <w:rStyle w:val="Hyperlink"/>
                  <w:rFonts w:eastAsiaTheme="minorHAnsi"/>
                </w:rPr>
                <w:t>jstephenson@vectren.com</w:t>
              </w:r>
            </w:hyperlink>
          </w:p>
          <w:p w:rsidR="004B5190" w:rsidRPr="00A329C2" w:rsidP="004B5190" w14:paraId="64A96648" w14:textId="77777777">
            <w:pPr>
              <w:tabs>
                <w:tab w:val="left" w:pos="960"/>
              </w:tabs>
              <w:rPr>
                <w:iCs/>
              </w:rPr>
            </w:pPr>
            <w:hyperlink r:id="rId27" w:history="1">
              <w:r w:rsidRPr="00A329C2" w:rsidR="00CA65BA">
                <w:rPr>
                  <w:rStyle w:val="Hyperlink"/>
                  <w:rFonts w:eastAsiaTheme="minorHAnsi"/>
                  <w:iCs/>
                </w:rPr>
                <w:t>Thomas.jernigan.3@us.af.mil</w:t>
              </w:r>
            </w:hyperlink>
          </w:p>
          <w:p w:rsidR="004B5190" w:rsidRPr="00A329C2" w:rsidP="004B5190" w14:paraId="51C5C660" w14:textId="77777777">
            <w:pPr>
              <w:tabs>
                <w:tab w:val="left" w:pos="960"/>
              </w:tabs>
              <w:rPr>
                <w:rStyle w:val="Hyperlink"/>
                <w:iCs/>
              </w:rPr>
            </w:pPr>
            <w:hyperlink r:id="rId28" w:history="1">
              <w:r w:rsidRPr="00A329C2" w:rsidR="00CA65BA">
                <w:rPr>
                  <w:rStyle w:val="Hyperlink"/>
                  <w:rFonts w:eastAsiaTheme="minorHAnsi"/>
                  <w:iCs/>
                </w:rPr>
                <w:t>Andrew.unsicker@us.af.mil</w:t>
              </w:r>
            </w:hyperlink>
          </w:p>
          <w:p w:rsidR="004B5190" w:rsidRPr="00A329C2" w:rsidP="004B5190" w14:paraId="2B583222" w14:textId="77777777">
            <w:pPr>
              <w:tabs>
                <w:tab w:val="left" w:pos="960"/>
              </w:tabs>
              <w:rPr>
                <w:iCs/>
              </w:rPr>
            </w:pPr>
            <w:hyperlink r:id="rId29" w:history="1">
              <w:r w:rsidRPr="00A329C2" w:rsidR="00CA65BA">
                <w:rPr>
                  <w:rStyle w:val="Hyperlink"/>
                  <w:rFonts w:eastAsiaTheme="minorHAnsi"/>
                  <w:iCs/>
                </w:rPr>
                <w:t>Darryl.Brown@us.af.mil</w:t>
              </w:r>
            </w:hyperlink>
          </w:p>
          <w:p w:rsidR="004B5190" w:rsidRPr="00A329C2" w:rsidP="004B5190" w14:paraId="71881359" w14:textId="77777777">
            <w:pPr>
              <w:tabs>
                <w:tab w:val="left" w:pos="960"/>
              </w:tabs>
              <w:rPr>
                <w:iCs/>
              </w:rPr>
            </w:pPr>
            <w:hyperlink r:id="rId30" w:history="1">
              <w:r w:rsidRPr="00A329C2" w:rsidR="00CA65BA">
                <w:rPr>
                  <w:rStyle w:val="Hyperlink"/>
                  <w:rFonts w:eastAsiaTheme="minorHAnsi"/>
                  <w:iCs/>
                </w:rPr>
                <w:t>Robert.friedman.5@us.af.mil</w:t>
              </w:r>
            </w:hyperlink>
          </w:p>
          <w:p w:rsidR="00A46CDB" w:rsidP="00A46CDB" w14:paraId="6D2313D2" w14:textId="77777777">
            <w:pPr>
              <w:suppressLineNumbers/>
              <w:rPr>
                <w:b/>
                <w:bCs/>
              </w:rPr>
            </w:pPr>
          </w:p>
        </w:tc>
      </w:tr>
    </w:tbl>
    <w:p w:rsidR="00A46CDB" w:rsidRPr="00E666E3" w:rsidP="00A46CDB" w14:paraId="57043261" w14:textId="77777777">
      <w:pPr>
        <w:ind w:left="3600" w:firstLine="720"/>
        <w:rPr>
          <w:b/>
          <w:bCs/>
        </w:rPr>
      </w:pPr>
    </w:p>
    <w:sectPr w:rsidSect="00A46CDB">
      <w:headerReference w:type="default" r:id="rId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643" w14:paraId="2F64553B" w14:textId="2BF45658">
    <w:pPr>
      <w:pStyle w:val="Footer"/>
      <w:jc w:val="center"/>
    </w:pPr>
  </w:p>
  <w:p w:rsidR="00AA7B8B" w:rsidRPr="00296FEE" w14:paraId="0E815CD4" w14:textId="4F9C6E5E">
    <w:pPr>
      <w:pStyle w:val="Footer"/>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85158667"/>
      <w:docPartObj>
        <w:docPartGallery w:val="Page Numbers (Bottom of Page)"/>
        <w:docPartUnique/>
      </w:docPartObj>
    </w:sdtPr>
    <w:sdtEndPr>
      <w:rPr>
        <w:noProof/>
      </w:rPr>
    </w:sdtEndPr>
    <w:sdtContent>
      <w:p w:rsidR="00F83643" w14:paraId="0D773C3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83643" w:rsidRPr="00296FEE" w14:paraId="324E89DD" w14:textId="77777777">
    <w:pPr>
      <w:pStyle w:val="Footer"/>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8082741"/>
      <w:docPartObj>
        <w:docPartGallery w:val="Page Numbers (Bottom of Page)"/>
        <w:docPartUnique/>
      </w:docPartObj>
    </w:sdtPr>
    <w:sdtEndPr>
      <w:rPr>
        <w:noProof/>
        <w:sz w:val="24"/>
      </w:rPr>
    </w:sdtEndPr>
    <w:sdtContent>
      <w:p w:rsidR="00546450" w:rsidRPr="00296FEE" w14:paraId="56B1ADAD" w14:textId="0EFCC505">
        <w:pPr>
          <w:pStyle w:val="Footer"/>
          <w:jc w:val="center"/>
          <w:rPr>
            <w:sz w:val="24"/>
          </w:rPr>
        </w:pPr>
        <w:r w:rsidRPr="00296FEE">
          <w:rPr>
            <w:sz w:val="24"/>
          </w:rPr>
          <w:fldChar w:fldCharType="begin"/>
        </w:r>
        <w:r w:rsidRPr="00296FEE">
          <w:rPr>
            <w:sz w:val="24"/>
          </w:rPr>
          <w:instrText xml:space="preserve"> PAGE   \* MERGEFORMAT </w:instrText>
        </w:r>
        <w:r w:rsidRPr="00296FEE">
          <w:rPr>
            <w:sz w:val="24"/>
          </w:rPr>
          <w:fldChar w:fldCharType="separate"/>
        </w:r>
        <w:r w:rsidRPr="00296FEE">
          <w:rPr>
            <w:noProof/>
            <w:sz w:val="24"/>
          </w:rPr>
          <w:t>2</w:t>
        </w:r>
        <w:r w:rsidRPr="00296FEE">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5667" w14:paraId="7C5B09E9" w14:textId="77777777">
      <w:r>
        <w:separator/>
      </w:r>
    </w:p>
  </w:footnote>
  <w:footnote w:type="continuationSeparator" w:id="1">
    <w:p w:rsidR="00845667" w14:paraId="270919D2" w14:textId="77777777">
      <w:r>
        <w:continuationSeparator/>
      </w:r>
    </w:p>
  </w:footnote>
  <w:footnote w:id="2">
    <w:p w:rsidR="0076792B" w:rsidP="007453F4" w14:paraId="1A258075" w14:textId="491E200F">
      <w:pPr>
        <w:pStyle w:val="FootnoteText"/>
        <w:spacing w:after="120"/>
      </w:pPr>
      <w:r>
        <w:rPr>
          <w:rStyle w:val="FootnoteReference"/>
        </w:rPr>
        <w:footnoteRef/>
      </w:r>
      <w:r>
        <w:t xml:space="preserve"> $18.37 base fixed charge plus $9.25 for the Distribution Replacement Rider.</w:t>
      </w:r>
    </w:p>
  </w:footnote>
  <w:footnote w:id="3">
    <w:p w:rsidR="00D97550" w:rsidP="007453F4" w14:paraId="4BB4F075" w14:textId="23C0B8EA">
      <w:pPr>
        <w:pStyle w:val="FootnoteText"/>
        <w:spacing w:after="120"/>
      </w:pPr>
      <w:r>
        <w:rPr>
          <w:rStyle w:val="FootnoteReference"/>
        </w:rPr>
        <w:footnoteRef/>
      </w:r>
      <w:r>
        <w:t xml:space="preserve"> $32.86 for the base fixed charge, plus the Distribution Replacement Rider (capped at $13.75), plus the Capital Expenditure Rider (capped at $1.50).</w:t>
      </w:r>
    </w:p>
  </w:footnote>
  <w:footnote w:id="4">
    <w:p w:rsidR="00AA7B8B" w:rsidP="007453F4" w14:paraId="7C3DFA1D" w14:textId="4698A4F6">
      <w:pPr>
        <w:pStyle w:val="FootnoteText"/>
        <w:spacing w:after="120"/>
      </w:pPr>
      <w:r>
        <w:rPr>
          <w:rStyle w:val="FootnoteReference"/>
        </w:rPr>
        <w:footnoteRef/>
      </w:r>
      <w:r>
        <w:t xml:space="preserve"> Opinion and Order at 74.</w:t>
      </w:r>
    </w:p>
  </w:footnote>
  <w:footnote w:id="5">
    <w:p w:rsidR="00AA7B8B" w:rsidRPr="00AA7B8B" w:rsidP="007453F4" w14:paraId="39CCC2DC" w14:textId="3D09E841">
      <w:pPr>
        <w:pStyle w:val="FootnoteText"/>
        <w:spacing w:after="120"/>
        <w:rPr>
          <w:i/>
          <w:iCs/>
        </w:rPr>
      </w:pPr>
      <w:r>
        <w:rPr>
          <w:rStyle w:val="FootnoteReference"/>
        </w:rPr>
        <w:footnoteRef/>
      </w:r>
      <w:r>
        <w:t xml:space="preserve"> </w:t>
      </w:r>
      <w:r w:rsidRPr="007453F4" w:rsidR="004F525A">
        <w:rPr>
          <w:i/>
          <w:iCs/>
        </w:rPr>
        <w:t>Id</w:t>
      </w:r>
      <w:r w:rsidR="004F525A">
        <w:t>.</w:t>
      </w:r>
    </w:p>
  </w:footnote>
  <w:footnote w:id="6">
    <w:p w:rsidR="00AA7B8B" w:rsidRPr="00AA7B8B" w:rsidP="007453F4" w14:paraId="6CDF898B" w14:textId="0A3DC2F0">
      <w:pPr>
        <w:pStyle w:val="FootnoteText"/>
        <w:spacing w:after="120"/>
        <w:rPr>
          <w:i/>
          <w:iCs/>
        </w:rPr>
      </w:pPr>
      <w:r>
        <w:rPr>
          <w:rStyle w:val="FootnoteReference"/>
        </w:rPr>
        <w:footnoteRef/>
      </w:r>
      <w:r>
        <w:t xml:space="preserve"> </w:t>
      </w:r>
      <w:r>
        <w:rPr>
          <w:i/>
          <w:iCs/>
        </w:rPr>
        <w:t>See, e.g., Motor Service Co. v. PUCO</w:t>
      </w:r>
      <w:r>
        <w:t xml:space="preserve">, 39 Ohio St.2d 5 (1974); </w:t>
      </w:r>
      <w:r w:rsidRPr="00AA7B8B">
        <w:rPr>
          <w:i/>
          <w:iCs/>
        </w:rPr>
        <w:t>Ohio Consumers</w:t>
      </w:r>
      <w:r w:rsidR="0078652F">
        <w:rPr>
          <w:i/>
          <w:iCs/>
        </w:rPr>
        <w:t>’</w:t>
      </w:r>
      <w:r w:rsidRPr="00AA7B8B">
        <w:rPr>
          <w:i/>
          <w:iCs/>
        </w:rPr>
        <w:t xml:space="preserve"> Counsel v. PUCO</w:t>
      </w:r>
      <w:r>
        <w:t>, 111 Ohio St.3d 300 (2006).</w:t>
      </w:r>
    </w:p>
  </w:footnote>
  <w:footnote w:id="7">
    <w:p w:rsidR="00AA7B8B" w:rsidP="007453F4" w14:paraId="2AD59582" w14:textId="408F668F">
      <w:pPr>
        <w:pStyle w:val="FootnoteText"/>
        <w:spacing w:after="120"/>
      </w:pPr>
      <w:r>
        <w:rPr>
          <w:rStyle w:val="FootnoteReference"/>
        </w:rPr>
        <w:footnoteRef/>
      </w:r>
      <w:r>
        <w:t xml:space="preserve"> OCC Ex. 6A at 9 (Gonzalez Supplemental Direct).</w:t>
      </w:r>
    </w:p>
  </w:footnote>
  <w:footnote w:id="8">
    <w:p w:rsidR="00AA7B8B" w:rsidRPr="00AA7B8B" w:rsidP="007453F4" w14:paraId="5ABC9454" w14:textId="066057BD">
      <w:pPr>
        <w:pStyle w:val="FootnoteText"/>
        <w:spacing w:after="120"/>
        <w:rPr>
          <w:i/>
          <w:iCs/>
        </w:rPr>
      </w:pPr>
      <w:r>
        <w:rPr>
          <w:rStyle w:val="FootnoteReference"/>
        </w:rPr>
        <w:footnoteRef/>
      </w:r>
      <w:r>
        <w:t xml:space="preserve"> </w:t>
      </w:r>
      <w:r>
        <w:rPr>
          <w:i/>
          <w:iCs/>
        </w:rPr>
        <w:t>See id.</w:t>
      </w:r>
    </w:p>
  </w:footnote>
  <w:footnote w:id="9">
    <w:p w:rsidR="00AA7B8B" w:rsidRPr="00E64F04" w:rsidP="007453F4" w14:paraId="55780B75" w14:textId="0FFD9CFD">
      <w:pPr>
        <w:pStyle w:val="FootnoteText"/>
        <w:spacing w:after="120"/>
      </w:pPr>
      <w:r>
        <w:rPr>
          <w:rStyle w:val="FootnoteReference"/>
        </w:rPr>
        <w:footnoteRef/>
      </w:r>
      <w:r>
        <w:t xml:space="preserve"> </w:t>
      </w:r>
      <w:r>
        <w:rPr>
          <w:i/>
          <w:iCs/>
        </w:rPr>
        <w:t>See, e.g., MCI Telecommunications Corp. v. PUCO</w:t>
      </w:r>
      <w:r>
        <w:t>, 32 Ohio St.3d 306 (1987).</w:t>
      </w:r>
    </w:p>
  </w:footnote>
  <w:footnote w:id="10">
    <w:p w:rsidR="00AA7B8B" w:rsidRPr="00E64F04" w:rsidP="007453F4" w14:paraId="27030E1E" w14:textId="168AD6A3">
      <w:pPr>
        <w:pStyle w:val="FootnoteText"/>
        <w:spacing w:after="120"/>
      </w:pPr>
      <w:r>
        <w:rPr>
          <w:rStyle w:val="FootnoteReference"/>
        </w:rPr>
        <w:footnoteRef/>
      </w:r>
      <w:r>
        <w:t xml:space="preserve"> </w:t>
      </w:r>
      <w:r>
        <w:rPr>
          <w:i/>
          <w:iCs/>
        </w:rPr>
        <w:t>Commercial Motor Freight, Inc. v. PUCO</w:t>
      </w:r>
      <w:r>
        <w:t xml:space="preserve">, 156 Ohio St. 360, 364 (1951); </w:t>
      </w:r>
      <w:r>
        <w:rPr>
          <w:i/>
          <w:iCs/>
        </w:rPr>
        <w:t>see also Motor Service Co. v. PUCO</w:t>
      </w:r>
      <w:r>
        <w:t xml:space="preserve">, 39 Ohio St.2d 5 (1974); </w:t>
      </w:r>
      <w:r w:rsidRPr="0065354F">
        <w:rPr>
          <w:i/>
          <w:iCs/>
        </w:rPr>
        <w:t>Ohio Consumers</w:t>
      </w:r>
      <w:r w:rsidR="0078652F">
        <w:rPr>
          <w:i/>
          <w:iCs/>
        </w:rPr>
        <w:t>’</w:t>
      </w:r>
      <w:r w:rsidRPr="0065354F">
        <w:rPr>
          <w:i/>
          <w:iCs/>
        </w:rPr>
        <w:t xml:space="preserve"> Counsel v. PUCO</w:t>
      </w:r>
      <w:r>
        <w:t>, 111 Ohio St.3d 300 (2006).</w:t>
      </w:r>
    </w:p>
  </w:footnote>
  <w:footnote w:id="11">
    <w:p w:rsidR="00AA7B8B" w:rsidRPr="00E30AC8" w:rsidP="007453F4" w14:paraId="0759BF41" w14:textId="5B57D073">
      <w:pPr>
        <w:pStyle w:val="FootnoteText"/>
        <w:spacing w:after="120"/>
      </w:pPr>
      <w:r>
        <w:rPr>
          <w:rStyle w:val="FootnoteReference"/>
        </w:rPr>
        <w:footnoteRef/>
      </w:r>
      <w:r>
        <w:t xml:space="preserve"> </w:t>
      </w:r>
      <w:r>
        <w:rPr>
          <w:i/>
          <w:iCs/>
        </w:rPr>
        <w:t xml:space="preserve">See </w:t>
      </w:r>
      <w:r>
        <w:t>OCC</w:t>
      </w:r>
      <w:r w:rsidR="0078652F">
        <w:t>’</w:t>
      </w:r>
      <w:r>
        <w:t>s Initial Brief at 19-24.</w:t>
      </w:r>
    </w:p>
  </w:footnote>
  <w:footnote w:id="12">
    <w:p w:rsidR="00AA7B8B" w:rsidRPr="00AA7B8B" w:rsidP="007453F4" w14:paraId="453813EB" w14:textId="0EF2D7D9">
      <w:pPr>
        <w:pStyle w:val="FootnoteText"/>
        <w:spacing w:after="120"/>
        <w:rPr>
          <w:i/>
          <w:iCs/>
        </w:rPr>
      </w:pPr>
      <w:r>
        <w:rPr>
          <w:rStyle w:val="FootnoteReference"/>
        </w:rPr>
        <w:footnoteRef/>
      </w:r>
      <w:r>
        <w:t xml:space="preserve"> </w:t>
      </w:r>
      <w:r>
        <w:rPr>
          <w:i/>
          <w:iCs/>
        </w:rPr>
        <w:t>See id.</w:t>
      </w:r>
    </w:p>
  </w:footnote>
  <w:footnote w:id="13">
    <w:p w:rsidR="00AA7B8B" w:rsidRPr="00AA7B8B" w:rsidP="007453F4" w14:paraId="7F7A1A00" w14:textId="4B053EAA">
      <w:pPr>
        <w:pStyle w:val="FootnoteText"/>
        <w:spacing w:after="120"/>
        <w:rPr>
          <w:i/>
          <w:iCs/>
        </w:rPr>
      </w:pPr>
      <w:r>
        <w:rPr>
          <w:rStyle w:val="FootnoteReference"/>
        </w:rPr>
        <w:footnoteRef/>
      </w:r>
      <w:r>
        <w:t xml:space="preserve"> </w:t>
      </w:r>
      <w:r>
        <w:rPr>
          <w:i/>
          <w:iCs/>
        </w:rPr>
        <w:t>See id.</w:t>
      </w:r>
    </w:p>
  </w:footnote>
  <w:footnote w:id="14">
    <w:p w:rsidR="00AA7B8B" w:rsidRPr="00AA7B8B" w:rsidP="007453F4" w14:paraId="13E4AA2B" w14:textId="7C77EEFB">
      <w:pPr>
        <w:pStyle w:val="FootnoteText"/>
        <w:spacing w:after="120"/>
        <w:rPr>
          <w:i/>
          <w:iCs/>
        </w:rPr>
      </w:pPr>
      <w:r>
        <w:rPr>
          <w:rStyle w:val="FootnoteReference"/>
        </w:rPr>
        <w:footnoteRef/>
      </w:r>
      <w:r>
        <w:t xml:space="preserve"> </w:t>
      </w:r>
      <w:r>
        <w:rPr>
          <w:i/>
          <w:iCs/>
        </w:rPr>
        <w:t>See id.</w:t>
      </w:r>
    </w:p>
  </w:footnote>
  <w:footnote w:id="15">
    <w:p w:rsidR="00AA7B8B" w:rsidP="007453F4" w14:paraId="384BFA26" w14:textId="1285C8AB">
      <w:pPr>
        <w:pStyle w:val="FootnoteText"/>
        <w:spacing w:after="120"/>
      </w:pPr>
      <w:r>
        <w:rPr>
          <w:rStyle w:val="FootnoteReference"/>
        </w:rPr>
        <w:footnoteRef/>
      </w:r>
      <w:r>
        <w:t xml:space="preserve"> Opinion and Order at 72.</w:t>
      </w:r>
    </w:p>
  </w:footnote>
  <w:footnote w:id="16">
    <w:p w:rsidR="00AA7B8B" w:rsidRPr="00404B23" w:rsidP="007453F4" w14:paraId="1B1D343B" w14:textId="29B5246F">
      <w:pPr>
        <w:pStyle w:val="FootnoteText"/>
        <w:spacing w:after="120"/>
      </w:pPr>
      <w:r>
        <w:rPr>
          <w:rStyle w:val="FootnoteReference"/>
        </w:rPr>
        <w:footnoteRef/>
      </w:r>
      <w:r>
        <w:t xml:space="preserve"> </w:t>
      </w:r>
      <w:r>
        <w:rPr>
          <w:i/>
          <w:iCs/>
        </w:rPr>
        <w:t xml:space="preserve">See, e.g., </w:t>
      </w:r>
      <w:r>
        <w:t>OCC</w:t>
      </w:r>
      <w:r w:rsidR="0078652F">
        <w:t>’</w:t>
      </w:r>
      <w:r>
        <w:t>s Reply at 4-5.</w:t>
      </w:r>
    </w:p>
  </w:footnote>
  <w:footnote w:id="17">
    <w:p w:rsidR="00AA7B8B" w:rsidRPr="00AA7B8B" w:rsidP="007453F4" w14:paraId="2FB15EA4" w14:textId="668A1EE0">
      <w:pPr>
        <w:pStyle w:val="FootnoteText"/>
        <w:spacing w:after="120"/>
        <w:rPr>
          <w:i/>
          <w:iCs/>
        </w:rPr>
      </w:pPr>
      <w:r>
        <w:rPr>
          <w:rStyle w:val="FootnoteReference"/>
        </w:rPr>
        <w:footnoteRef/>
      </w:r>
      <w:r>
        <w:t xml:space="preserve"> </w:t>
      </w:r>
      <w:r>
        <w:rPr>
          <w:i/>
          <w:iCs/>
        </w:rPr>
        <w:t xml:space="preserve">See </w:t>
      </w:r>
      <w:r>
        <w:t>Opinion and Order at 72.</w:t>
      </w:r>
    </w:p>
  </w:footnote>
  <w:footnote w:id="18">
    <w:p w:rsidR="00AA7B8B" w:rsidP="007453F4" w14:paraId="34CC4906" w14:textId="4508F615">
      <w:pPr>
        <w:pStyle w:val="FootnoteText"/>
        <w:spacing w:after="120"/>
      </w:pPr>
      <w:r>
        <w:rPr>
          <w:rStyle w:val="FootnoteReference"/>
        </w:rPr>
        <w:footnoteRef/>
      </w:r>
      <w:r>
        <w:t xml:space="preserve"> </w:t>
      </w:r>
      <w:r>
        <w:rPr>
          <w:i/>
          <w:iCs/>
        </w:rPr>
        <w:t>See id</w:t>
      </w:r>
      <w:r>
        <w:t>.</w:t>
      </w:r>
    </w:p>
  </w:footnote>
  <w:footnote w:id="19">
    <w:p w:rsidR="00AA7B8B" w:rsidP="007453F4" w14:paraId="73667735" w14:textId="1528723F">
      <w:pPr>
        <w:pStyle w:val="FootnoteText"/>
        <w:spacing w:after="120"/>
      </w:pPr>
      <w:r>
        <w:rPr>
          <w:rStyle w:val="FootnoteReference"/>
        </w:rPr>
        <w:footnoteRef/>
      </w:r>
      <w:r>
        <w:t xml:space="preserve"> </w:t>
      </w:r>
      <w:r>
        <w:rPr>
          <w:i/>
          <w:iCs/>
        </w:rPr>
        <w:t>See id.</w:t>
      </w:r>
      <w:r>
        <w:t xml:space="preserve"> at 74.</w:t>
      </w:r>
    </w:p>
  </w:footnote>
  <w:footnote w:id="20">
    <w:p w:rsidR="00AA7B8B" w:rsidRPr="00E1160D" w:rsidP="007453F4" w14:paraId="5CC93B16" w14:textId="2800D5DC">
      <w:pPr>
        <w:pStyle w:val="FootnoteText"/>
        <w:spacing w:after="120"/>
      </w:pPr>
      <w:r>
        <w:rPr>
          <w:rStyle w:val="FootnoteReference"/>
        </w:rPr>
        <w:footnoteRef/>
      </w:r>
      <w:r>
        <w:t xml:space="preserve"> </w:t>
      </w:r>
      <w:r>
        <w:rPr>
          <w:i/>
          <w:iCs/>
        </w:rPr>
        <w:t>See id.</w:t>
      </w:r>
      <w:r w:rsidR="000454D8">
        <w:rPr>
          <w:i/>
          <w:iCs/>
        </w:rPr>
        <w:t xml:space="preserve"> </w:t>
      </w:r>
      <w:r>
        <w:t>Even the most charitable reading of the Opinion and Order confirms that there is no record support.</w:t>
      </w:r>
      <w:r w:rsidR="000454D8">
        <w:t xml:space="preserve"> </w:t>
      </w:r>
      <w:r>
        <w:t>Previously, the Opinion and Order cites to specific parts of Vectren Witness Feingold</w:t>
      </w:r>
      <w:r w:rsidR="0078652F">
        <w:t>’</w:t>
      </w:r>
      <w:r>
        <w:t>s testimony and says he “cautions against unwinding SFV rate design based upon variations in the price of natural gas over time (VEDO Ex. 12.1 at 10-11, 44-45).”</w:t>
      </w:r>
      <w:r w:rsidR="000454D8">
        <w:t xml:space="preserve"> </w:t>
      </w:r>
      <w:r>
        <w:rPr>
          <w:i/>
          <w:iCs/>
        </w:rPr>
        <w:t>See id.</w:t>
      </w:r>
      <w:r w:rsidR="000454D8">
        <w:t xml:space="preserve"> </w:t>
      </w:r>
      <w:r>
        <w:t>But the cited portions of Vectren Witness Feingold</w:t>
      </w:r>
      <w:r w:rsidR="0078652F">
        <w:t>’</w:t>
      </w:r>
      <w:r>
        <w:t>s testimony do not even discuss “short-term natural gas market conditions,” purported historical volatility in natural gas prices, or the potential that “the balance between distribution costs and commodity costs may shift again in the future.”</w:t>
      </w:r>
      <w:r w:rsidR="000454D8">
        <w:t xml:space="preserve"> </w:t>
      </w:r>
      <w:r>
        <w:rPr>
          <w:i/>
          <w:iCs/>
        </w:rPr>
        <w:t xml:space="preserve">See </w:t>
      </w:r>
      <w:r>
        <w:t>Vectren Ex. 12.1 at 10-11, 44-45.</w:t>
      </w:r>
    </w:p>
  </w:footnote>
  <w:footnote w:id="21">
    <w:p w:rsidR="00AA7B8B" w:rsidRPr="00404B23" w:rsidP="007453F4" w14:paraId="405D9A05" w14:textId="4B3A4F6E">
      <w:pPr>
        <w:pStyle w:val="FootnoteText"/>
        <w:spacing w:after="120"/>
      </w:pPr>
      <w:r>
        <w:rPr>
          <w:rStyle w:val="FootnoteReference"/>
        </w:rPr>
        <w:footnoteRef/>
      </w:r>
      <w:r>
        <w:t xml:space="preserve"> </w:t>
      </w:r>
      <w:r>
        <w:rPr>
          <w:i/>
          <w:iCs/>
        </w:rPr>
        <w:t xml:space="preserve">See </w:t>
      </w:r>
      <w:r>
        <w:t>Case No. 07-1080-GA-AIR.</w:t>
      </w:r>
    </w:p>
  </w:footnote>
  <w:footnote w:id="22">
    <w:p w:rsidR="00AA7B8B" w:rsidRPr="00404B23" w:rsidP="007453F4" w14:paraId="392CF10B" w14:textId="1705FE76">
      <w:pPr>
        <w:pStyle w:val="FootnoteText"/>
        <w:spacing w:after="120"/>
      </w:pPr>
      <w:r>
        <w:rPr>
          <w:rStyle w:val="FootnoteReference"/>
        </w:rPr>
        <w:footnoteRef/>
      </w:r>
      <w:r>
        <w:t xml:space="preserve"> </w:t>
      </w:r>
      <w:r>
        <w:rPr>
          <w:i/>
          <w:iCs/>
        </w:rPr>
        <w:t xml:space="preserve">See </w:t>
      </w:r>
      <w:r>
        <w:t>Hearing Transcript, Vol. VI at 594:5-595:5.</w:t>
      </w:r>
    </w:p>
  </w:footnote>
  <w:footnote w:id="23">
    <w:p w:rsidR="00AA7B8B" w:rsidRPr="00404B23" w:rsidP="007453F4" w14:paraId="36CE91D8" w14:textId="3970061F">
      <w:pPr>
        <w:pStyle w:val="FootnoteText"/>
        <w:spacing w:after="120"/>
      </w:pPr>
      <w:r>
        <w:rPr>
          <w:rStyle w:val="FootnoteReference"/>
        </w:rPr>
        <w:footnoteRef/>
      </w:r>
      <w:r>
        <w:t xml:space="preserve"> </w:t>
      </w:r>
      <w:r>
        <w:rPr>
          <w:i/>
          <w:iCs/>
        </w:rPr>
        <w:t xml:space="preserve">See </w:t>
      </w:r>
      <w:r>
        <w:t>Hearing Transcript, Vol. VI</w:t>
      </w:r>
      <w:r>
        <w:rPr>
          <w:i/>
          <w:iCs/>
        </w:rPr>
        <w:t xml:space="preserve"> </w:t>
      </w:r>
      <w:r>
        <w:t>at 604:13-25.</w:t>
      </w:r>
    </w:p>
  </w:footnote>
  <w:footnote w:id="24">
    <w:p w:rsidR="00AA7B8B" w:rsidRPr="00B145CE" w:rsidP="007453F4" w14:paraId="7E3DA74C" w14:textId="1013263B">
      <w:pPr>
        <w:pStyle w:val="FootnoteText"/>
        <w:spacing w:after="120"/>
      </w:pPr>
      <w:r>
        <w:rPr>
          <w:rStyle w:val="FootnoteReference"/>
        </w:rPr>
        <w:footnoteRef/>
      </w:r>
      <w:r>
        <w:t xml:space="preserve"> </w:t>
      </w:r>
      <w:r>
        <w:rPr>
          <w:i/>
          <w:iCs/>
        </w:rPr>
        <w:t xml:space="preserve">See </w:t>
      </w:r>
      <w:r>
        <w:t>ELPC Ex. 2a at 12 (Nelson Supplemental Direct)</w:t>
      </w:r>
      <w:r w:rsidR="00EB2F75">
        <w:t xml:space="preserve"> (emphasis added)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7B8B" w14:paraId="765AD4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F8751C"/>
    <w:lvl w:ilvl="0">
      <w:start w:val="1"/>
      <w:numFmt w:val="decimal"/>
      <w:lvlText w:val="%1."/>
      <w:lvlJc w:val="left"/>
      <w:pPr>
        <w:tabs>
          <w:tab w:val="num" w:pos="1800"/>
        </w:tabs>
        <w:ind w:left="1800" w:hanging="360"/>
      </w:pPr>
    </w:lvl>
  </w:abstractNum>
  <w:abstractNum w:abstractNumId="2">
    <w:nsid w:val="FFFFFF7D"/>
    <w:multiLevelType w:val="singleLevel"/>
    <w:tmpl w:val="F9CE148A"/>
    <w:lvl w:ilvl="0">
      <w:start w:val="1"/>
      <w:numFmt w:val="decimal"/>
      <w:lvlText w:val="%1."/>
      <w:lvlJc w:val="left"/>
      <w:pPr>
        <w:tabs>
          <w:tab w:val="num" w:pos="1440"/>
        </w:tabs>
        <w:ind w:left="1440" w:hanging="360"/>
      </w:pPr>
    </w:lvl>
  </w:abstractNum>
  <w:abstractNum w:abstractNumId="3">
    <w:nsid w:val="FFFFFF7E"/>
    <w:multiLevelType w:val="singleLevel"/>
    <w:tmpl w:val="555ACA20"/>
    <w:lvl w:ilvl="0">
      <w:start w:val="1"/>
      <w:numFmt w:val="decimal"/>
      <w:lvlText w:val="%1."/>
      <w:lvlJc w:val="left"/>
      <w:pPr>
        <w:tabs>
          <w:tab w:val="num" w:pos="1080"/>
        </w:tabs>
        <w:ind w:left="1080" w:hanging="360"/>
      </w:pPr>
    </w:lvl>
  </w:abstractNum>
  <w:abstractNum w:abstractNumId="4">
    <w:nsid w:val="FFFFFF7F"/>
    <w:multiLevelType w:val="singleLevel"/>
    <w:tmpl w:val="1C7E8D7C"/>
    <w:lvl w:ilvl="0">
      <w:start w:val="1"/>
      <w:numFmt w:val="decimal"/>
      <w:lvlText w:val="%1."/>
      <w:lvlJc w:val="left"/>
      <w:pPr>
        <w:tabs>
          <w:tab w:val="num" w:pos="720"/>
        </w:tabs>
        <w:ind w:left="720" w:hanging="360"/>
      </w:pPr>
    </w:lvl>
  </w:abstractNum>
  <w:abstractNum w:abstractNumId="5">
    <w:nsid w:val="FFFFFF80"/>
    <w:multiLevelType w:val="singleLevel"/>
    <w:tmpl w:val="EA402C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84C9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1AC2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74651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34764E"/>
    <w:lvl w:ilvl="0">
      <w:start w:val="1"/>
      <w:numFmt w:val="decimal"/>
      <w:lvlText w:val="%1."/>
      <w:lvlJc w:val="left"/>
      <w:pPr>
        <w:tabs>
          <w:tab w:val="num" w:pos="360"/>
        </w:tabs>
        <w:ind w:left="360" w:hanging="360"/>
      </w:pPr>
    </w:lvl>
  </w:abstractNum>
  <w:abstractNum w:abstractNumId="10">
    <w:nsid w:val="FFFFFF89"/>
    <w:multiLevelType w:val="singleLevel"/>
    <w:tmpl w:val="9404F300"/>
    <w:lvl w:ilvl="0">
      <w:start w:val="1"/>
      <w:numFmt w:val="bullet"/>
      <w:lvlText w:val=""/>
      <w:lvlJc w:val="left"/>
      <w:pPr>
        <w:tabs>
          <w:tab w:val="num" w:pos="360"/>
        </w:tabs>
        <w:ind w:left="360" w:hanging="360"/>
      </w:pPr>
      <w:rPr>
        <w:rFonts w:ascii="Symbol" w:hAnsi="Symbol" w:hint="default"/>
      </w:rPr>
    </w:lvl>
  </w:abstractNum>
  <w:abstractNum w:abstractNumId="1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37323DFA"/>
    <w:multiLevelType w:val="hybridMultilevel"/>
    <w:tmpl w:val="CB3672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C2170D0"/>
    <w:multiLevelType w:val="hybridMultilevel"/>
    <w:tmpl w:val="34E8EF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69D4646"/>
    <w:multiLevelType w:val="hybridMultilevel"/>
    <w:tmpl w:val="7B04E922"/>
    <w:lvl w:ilvl="0">
      <w:start w:val="1"/>
      <w:numFmt w:val="upperRoman"/>
      <w:lvlText w:val="%1."/>
      <w:lvlJc w:val="left"/>
      <w:pPr>
        <w:ind w:left="1080" w:hanging="720"/>
      </w:pPr>
      <w:rPr>
        <w:rFonts w:ascii="Times New Roman" w:eastAsia="Times New Roman" w:hAnsi="Times New Roman" w:cs="Times New Roman" w:hint="default"/>
        <w:color w:val="0000FF"/>
        <w:sz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8"/>
  </w:num>
  <w:num w:numId="5">
    <w:abstractNumId w:val="12"/>
  </w:num>
  <w:num w:numId="6">
    <w:abstractNumId w:val="17"/>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7C"/>
    <w:rsid w:val="000454D8"/>
    <w:rsid w:val="00085A8D"/>
    <w:rsid w:val="000C1535"/>
    <w:rsid w:val="000F6D95"/>
    <w:rsid w:val="0012062F"/>
    <w:rsid w:val="0012587D"/>
    <w:rsid w:val="00186830"/>
    <w:rsid w:val="001915AB"/>
    <w:rsid w:val="00195A9A"/>
    <w:rsid w:val="001D74EF"/>
    <w:rsid w:val="00231BED"/>
    <w:rsid w:val="00261E87"/>
    <w:rsid w:val="00262978"/>
    <w:rsid w:val="0029024A"/>
    <w:rsid w:val="00296FEE"/>
    <w:rsid w:val="002A1C42"/>
    <w:rsid w:val="002A657D"/>
    <w:rsid w:val="002F1144"/>
    <w:rsid w:val="002F5434"/>
    <w:rsid w:val="003533EB"/>
    <w:rsid w:val="00404B23"/>
    <w:rsid w:val="00421F2C"/>
    <w:rsid w:val="00425ED6"/>
    <w:rsid w:val="00440A17"/>
    <w:rsid w:val="004574BB"/>
    <w:rsid w:val="00465484"/>
    <w:rsid w:val="004861A5"/>
    <w:rsid w:val="004B5190"/>
    <w:rsid w:val="004F525A"/>
    <w:rsid w:val="00546450"/>
    <w:rsid w:val="00597DD7"/>
    <w:rsid w:val="005E5D3F"/>
    <w:rsid w:val="00615923"/>
    <w:rsid w:val="00641AF3"/>
    <w:rsid w:val="0065354F"/>
    <w:rsid w:val="00661CD3"/>
    <w:rsid w:val="006767E5"/>
    <w:rsid w:val="00693944"/>
    <w:rsid w:val="006D2A8B"/>
    <w:rsid w:val="006E28CF"/>
    <w:rsid w:val="00735F97"/>
    <w:rsid w:val="007453F4"/>
    <w:rsid w:val="0076792B"/>
    <w:rsid w:val="0078652F"/>
    <w:rsid w:val="007B376B"/>
    <w:rsid w:val="007E228C"/>
    <w:rsid w:val="007F3EEA"/>
    <w:rsid w:val="00845667"/>
    <w:rsid w:val="00875C93"/>
    <w:rsid w:val="00897F5E"/>
    <w:rsid w:val="008A2B55"/>
    <w:rsid w:val="008B1FB6"/>
    <w:rsid w:val="008B6B29"/>
    <w:rsid w:val="008B7B4F"/>
    <w:rsid w:val="00911F35"/>
    <w:rsid w:val="00952A7C"/>
    <w:rsid w:val="009609C8"/>
    <w:rsid w:val="00984B50"/>
    <w:rsid w:val="00A15022"/>
    <w:rsid w:val="00A329C2"/>
    <w:rsid w:val="00A46CDB"/>
    <w:rsid w:val="00A52D51"/>
    <w:rsid w:val="00A97E4E"/>
    <w:rsid w:val="00AA7B8B"/>
    <w:rsid w:val="00AD52E4"/>
    <w:rsid w:val="00B145CE"/>
    <w:rsid w:val="00B72A48"/>
    <w:rsid w:val="00B81C69"/>
    <w:rsid w:val="00BB1D2E"/>
    <w:rsid w:val="00BE261E"/>
    <w:rsid w:val="00C37836"/>
    <w:rsid w:val="00C47E5B"/>
    <w:rsid w:val="00CA65BA"/>
    <w:rsid w:val="00CD4C8A"/>
    <w:rsid w:val="00D97550"/>
    <w:rsid w:val="00DC2B7B"/>
    <w:rsid w:val="00E1160D"/>
    <w:rsid w:val="00E30AC8"/>
    <w:rsid w:val="00E53620"/>
    <w:rsid w:val="00E64F04"/>
    <w:rsid w:val="00E666E3"/>
    <w:rsid w:val="00E7600C"/>
    <w:rsid w:val="00EB2F75"/>
    <w:rsid w:val="00EB6CF9"/>
    <w:rsid w:val="00EF5ED9"/>
    <w:rsid w:val="00F27097"/>
    <w:rsid w:val="00F2718B"/>
    <w:rsid w:val="00F83643"/>
    <w:rsid w:val="00FD0B7F"/>
    <w:rsid w:val="00FD78F7"/>
    <w:rsid w:val="00FF1D40"/>
  </w:rsids>
  <m:mathPr>
    <m:mathFont m:val="Cambria Math"/>
    <m:dispDef m:val="0"/>
    <m:wrapRight/>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F3"/>
  </w:style>
  <w:style w:type="paragraph" w:styleId="Heading1">
    <w:name w:val="heading 1"/>
    <w:basedOn w:val="Normal"/>
    <w:next w:val="Normal"/>
    <w:link w:val="Heading1Char"/>
    <w:autoRedefine/>
    <w:qFormat/>
    <w:rsid w:val="00485EB5"/>
    <w:pPr>
      <w:keepNext/>
      <w:tabs>
        <w:tab w:val="decimal" w:leader="dot" w:pos="8640"/>
      </w:tabs>
      <w:spacing w:after="240"/>
      <w:ind w:left="720" w:hanging="720"/>
      <w:outlineLvl w:val="0"/>
    </w:pPr>
    <w:rPr>
      <w:b/>
      <w:bCs/>
      <w:caps/>
    </w:rPr>
  </w:style>
  <w:style w:type="paragraph" w:styleId="Heading2">
    <w:name w:val="heading 2"/>
    <w:basedOn w:val="Normal"/>
    <w:next w:val="Normal"/>
    <w:autoRedefine/>
    <w:qFormat/>
    <w:rsid w:val="008A2B55"/>
    <w:pPr>
      <w:keepNext/>
      <w:spacing w:after="240"/>
      <w:outlineLvl w:val="1"/>
    </w:pPr>
    <w:rPr>
      <w:b/>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uiPriority w:val="99"/>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485EB5"/>
    <w:rPr>
      <w:b/>
      <w:bCs/>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B031E2"/>
    <w:pPr>
      <w:framePr w:wrap="notBeside" w:vAnchor="text" w:hAnchor="text" w:y="1"/>
      <w:tabs>
        <w:tab w:val="decimal" w:leader="dot" w:pos="8640"/>
      </w:tabs>
      <w:spacing w:after="240"/>
      <w:ind w:left="720" w:hanging="720"/>
      <w:outlineLvl w:val="0"/>
    </w:pPr>
    <w:rPr>
      <w:bCs/>
      <w:caps/>
    </w:rPr>
  </w:style>
  <w:style w:type="paragraph" w:styleId="TOC2">
    <w:name w:val="toc 2"/>
    <w:basedOn w:val="Normal"/>
    <w:next w:val="Normal"/>
    <w:autoRedefine/>
    <w:uiPriority w:val="39"/>
    <w:qFormat/>
    <w:rsid w:val="00B031E2"/>
    <w:pPr>
      <w:tabs>
        <w:tab w:val="decimal" w:leader="dot" w:pos="8640"/>
      </w:tabs>
      <w:spacing w:after="240"/>
      <w:ind w:left="720"/>
      <w:outlineLvl w:val="1"/>
    </w:pPr>
    <w:rPr>
      <w:bCs/>
    </w:r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aliases w:val=" Char1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34"/>
    <w:qFormat/>
    <w:rsid w:val="00BA0BEC"/>
    <w:pPr>
      <w:ind w:left="720"/>
      <w:contextualSpacing/>
    </w:pPr>
  </w:style>
  <w:style w:type="paragraph" w:styleId="EndnoteText">
    <w:name w:val="endnote text"/>
    <w:basedOn w:val="Normal"/>
    <w:link w:val="EndnoteTextChar"/>
    <w:semiHidden/>
    <w:unhideWhenUsed/>
    <w:rsid w:val="00A27434"/>
    <w:pPr>
      <w:widowControl w:val="0"/>
      <w:snapToGrid w:val="0"/>
    </w:pPr>
    <w:rPr>
      <w:rFonts w:ascii="Courier New" w:hAnsi="Courier New"/>
      <w:szCs w:val="20"/>
    </w:rPr>
  </w:style>
  <w:style w:type="character" w:customStyle="1" w:styleId="EndnoteTextChar">
    <w:name w:val="Endnote Text Char"/>
    <w:basedOn w:val="DefaultParagraphFont"/>
    <w:link w:val="EndnoteText"/>
    <w:semiHidden/>
    <w:rsid w:val="00A27434"/>
    <w:rPr>
      <w:rFonts w:ascii="Courier New" w:hAnsi="Courier New"/>
      <w:szCs w:val="20"/>
    </w:rPr>
  </w:style>
  <w:style w:type="paragraph" w:customStyle="1" w:styleId="ANSWER">
    <w:name w:val="ANSWER"/>
    <w:basedOn w:val="Normal"/>
    <w:rsid w:val="00A27434"/>
    <w:pPr>
      <w:spacing w:line="480" w:lineRule="auto"/>
      <w:ind w:left="1008" w:hanging="720"/>
    </w:pPr>
    <w:rPr>
      <w:szCs w:val="20"/>
    </w:rPr>
  </w:style>
  <w:style w:type="character" w:customStyle="1" w:styleId="UnresolvedMention1">
    <w:name w:val="Unresolved Mention1"/>
    <w:basedOn w:val="DefaultParagraphFont"/>
    <w:rsid w:val="00CB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werner.margard@ohioattorneygeneral.gov" TargetMode="External" /><Relationship Id="rId12" Type="http://schemas.openxmlformats.org/officeDocument/2006/relationships/hyperlink" Target="mailto:mjsettineri@vorys.com" TargetMode="External" /><Relationship Id="rId13" Type="http://schemas.openxmlformats.org/officeDocument/2006/relationships/hyperlink" Target="mailto:glpetrucci@vorys.com" TargetMode="External" /><Relationship Id="rId14" Type="http://schemas.openxmlformats.org/officeDocument/2006/relationships/hyperlink" Target="mailto:joliker@igsenergy.com" TargetMode="External" /><Relationship Id="rId15" Type="http://schemas.openxmlformats.org/officeDocument/2006/relationships/hyperlink" Target="mailto:mnugent@igsenergy.com" TargetMode="External" /><Relationship Id="rId16" Type="http://schemas.openxmlformats.org/officeDocument/2006/relationships/hyperlink" Target="mailto:slesser@calfee.com" TargetMode="External" /><Relationship Id="rId17" Type="http://schemas.openxmlformats.org/officeDocument/2006/relationships/hyperlink" Target="mailto:mkeaney@calfee.com" TargetMode="External" /><Relationship Id="rId18" Type="http://schemas.openxmlformats.org/officeDocument/2006/relationships/hyperlink" Target="mailto:talexander@calfee.com" TargetMode="External" /><Relationship Id="rId19" Type="http://schemas.openxmlformats.org/officeDocument/2006/relationships/hyperlink" Target="mailto:tony_long@hna.honda.com" TargetMode="External" /><Relationship Id="rId2" Type="http://schemas.openxmlformats.org/officeDocument/2006/relationships/settings" Target="settings.xml" /><Relationship Id="rId20" Type="http://schemas.openxmlformats.org/officeDocument/2006/relationships/hyperlink" Target="mailto:cmooney@ohiopartners.org" TargetMode="External" /><Relationship Id="rId21" Type="http://schemas.openxmlformats.org/officeDocument/2006/relationships/hyperlink" Target="mailto:Gregory.price@puc.state.oh.us" TargetMode="External" /><Relationship Id="rId22" Type="http://schemas.openxmlformats.org/officeDocument/2006/relationships/hyperlink" Target="mailto:patricia.schabo@puc.state.oh.us" TargetMode="External" /><Relationship Id="rId23" Type="http://schemas.openxmlformats.org/officeDocument/2006/relationships/hyperlink" Target="mailto:rust@whitt-sturtevant.com" TargetMode="External" /><Relationship Id="rId24" Type="http://schemas.openxmlformats.org/officeDocument/2006/relationships/hyperlink" Target="mailto:fdarr@mcneeslaw.com" TargetMode="External" /><Relationship Id="rId25" Type="http://schemas.openxmlformats.org/officeDocument/2006/relationships/hyperlink" Target="mailto:mpritchard@mcneeslaw.com" TargetMode="External" /><Relationship Id="rId26" Type="http://schemas.openxmlformats.org/officeDocument/2006/relationships/hyperlink" Target="mailto:jstephenson@vectren.com" TargetMode="External" /><Relationship Id="rId27" Type="http://schemas.openxmlformats.org/officeDocument/2006/relationships/hyperlink" Target="mailto:Thomas.jernigan.3@us.af.mil" TargetMode="External" /><Relationship Id="rId28" Type="http://schemas.openxmlformats.org/officeDocument/2006/relationships/hyperlink" Target="mailto:Andrew.unsicker@us.af.mil" TargetMode="External" /><Relationship Id="rId29" Type="http://schemas.openxmlformats.org/officeDocument/2006/relationships/hyperlink" Target="mailto:Darryl.Brown@us.af.mil" TargetMode="External" /><Relationship Id="rId3" Type="http://schemas.openxmlformats.org/officeDocument/2006/relationships/webSettings" Target="webSettings.xml" /><Relationship Id="rId30" Type="http://schemas.openxmlformats.org/officeDocument/2006/relationships/hyperlink" Target="mailto:Robert.friedman.5@us.af.mil" TargetMode="External" /><Relationship Id="rId31" Type="http://schemas.openxmlformats.org/officeDocument/2006/relationships/header" Target="header1.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Christopher.healey@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5AABE-5E25-4743-B7D2-4298DF6F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Vectren AFR.docx</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2019-09-27T15:19:36Z</dcterms:created>
  <dcterms:modified xsi:type="dcterms:W3CDTF">2019-09-27T15:19:36Z</dcterms:modified>
</cp:coreProperties>
</file>