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D0" w:rsidRDefault="007F5BD0">
      <w:pPr>
        <w:pStyle w:val="BodyText"/>
        <w:spacing w:line="240" w:lineRule="auto"/>
        <w:ind w:firstLine="0"/>
        <w:jc w:val="center"/>
        <w:rPr>
          <w:rFonts w:ascii="Times New Roman Bold" w:hAnsi="Times New Roman Bold"/>
          <w:b/>
          <w:caps/>
          <w:szCs w:val="24"/>
        </w:rPr>
      </w:pPr>
      <w:bookmarkStart w:id="0" w:name="_GoBack"/>
      <w:bookmarkEnd w:id="0"/>
      <w:r>
        <w:rPr>
          <w:rFonts w:ascii="Times New Roman Bold" w:hAnsi="Times New Roman Bold"/>
          <w:b/>
          <w:caps/>
          <w:szCs w:val="24"/>
        </w:rPr>
        <w:t xml:space="preserve">Before </w:t>
      </w:r>
    </w:p>
    <w:p w:rsidR="007F5BD0" w:rsidRDefault="007F5BD0">
      <w:pPr>
        <w:pStyle w:val="BodyText"/>
        <w:spacing w:line="240" w:lineRule="auto"/>
        <w:ind w:firstLine="0"/>
        <w:jc w:val="center"/>
        <w:rPr>
          <w:b/>
        </w:rPr>
      </w:pPr>
      <w:r>
        <w:rPr>
          <w:rFonts w:ascii="Times New Roman Bold" w:hAnsi="Times New Roman Bold"/>
          <w:b/>
        </w:rPr>
        <w:t xml:space="preserve">THE </w:t>
      </w:r>
      <w:r>
        <w:rPr>
          <w:b/>
        </w:rPr>
        <w:t xml:space="preserve">PUBLIC UTILITIES COMMISSION OF </w:t>
      </w:r>
      <w:smartTag w:uri="urn:schemas-microsoft-com:office:smarttags" w:element="State">
        <w:smartTag w:uri="urn:schemas-microsoft-com:office:smarttags" w:element="place">
          <w:r>
            <w:rPr>
              <w:b/>
            </w:rPr>
            <w:t>OHIO</w:t>
          </w:r>
        </w:smartTag>
      </w:smartTag>
    </w:p>
    <w:p w:rsidR="007F5BD0" w:rsidRDefault="007F5BD0">
      <w:pPr>
        <w:jc w:val="center"/>
        <w:rPr>
          <w:b/>
          <w:sz w:val="24"/>
          <w:szCs w:val="24"/>
        </w:rPr>
      </w:pPr>
    </w:p>
    <w:tbl>
      <w:tblPr>
        <w:tblW w:w="9092" w:type="dxa"/>
        <w:tblLook w:val="01E0" w:firstRow="1" w:lastRow="1" w:firstColumn="1" w:lastColumn="1" w:noHBand="0" w:noVBand="0"/>
      </w:tblPr>
      <w:tblGrid>
        <w:gridCol w:w="4332"/>
        <w:gridCol w:w="360"/>
        <w:gridCol w:w="4400"/>
      </w:tblGrid>
      <w:tr w:rsidR="007F5BD0">
        <w:trPr>
          <w:trHeight w:val="807"/>
        </w:trPr>
        <w:tc>
          <w:tcPr>
            <w:tcW w:w="4332" w:type="dxa"/>
          </w:tcPr>
          <w:p w:rsidR="007F5BD0" w:rsidRDefault="007F5BD0">
            <w:pPr>
              <w:pStyle w:val="InsideAddress"/>
              <w:rPr>
                <w:rFonts w:ascii="Times New Roman" w:hAnsi="Times New Roman"/>
              </w:rPr>
            </w:pPr>
            <w:r>
              <w:rPr>
                <w:rFonts w:ascii="Times New Roman" w:hAnsi="Times New Roman"/>
              </w:rPr>
              <w:t xml:space="preserve">In the Matter of the Application of Ormet Primary Aluminum Corporation for Approval of a Unique Arrangement with Ohio Power Company and </w:t>
            </w:r>
            <w:smartTag w:uri="urn:schemas-microsoft-com:office:smarttags" w:element="City">
              <w:smartTag w:uri="urn:schemas-microsoft-com:office:smarttags" w:element="place">
                <w:r>
                  <w:rPr>
                    <w:rFonts w:ascii="Times New Roman" w:hAnsi="Times New Roman"/>
                  </w:rPr>
                  <w:t>Columbus</w:t>
                </w:r>
              </w:smartTag>
            </w:smartTag>
            <w:r>
              <w:rPr>
                <w:rFonts w:ascii="Times New Roman" w:hAnsi="Times New Roman"/>
              </w:rPr>
              <w:t xml:space="preserve"> Southern Power Company.</w:t>
            </w:r>
          </w:p>
          <w:p w:rsidR="007F5BD0" w:rsidRDefault="007F5BD0">
            <w:pPr>
              <w:pStyle w:val="HTMLPreformatted"/>
              <w:rPr>
                <w:rFonts w:ascii="Times New Roman" w:hAnsi="Times New Roman"/>
                <w:sz w:val="24"/>
                <w:szCs w:val="24"/>
              </w:rPr>
            </w:pPr>
          </w:p>
        </w:tc>
        <w:tc>
          <w:tcPr>
            <w:tcW w:w="360" w:type="dxa"/>
          </w:tcPr>
          <w:p w:rsidR="007F5BD0" w:rsidRDefault="007F5BD0">
            <w:pPr>
              <w:pStyle w:val="HTMLPreformatted"/>
              <w:rPr>
                <w:rFonts w:ascii="Times New Roman" w:hAnsi="Times New Roman"/>
                <w:sz w:val="24"/>
                <w:szCs w:val="24"/>
              </w:rPr>
            </w:pPr>
            <w:r>
              <w:rPr>
                <w:rFonts w:ascii="Times New Roman" w:hAnsi="Times New Roman"/>
                <w:sz w:val="24"/>
                <w:szCs w:val="24"/>
              </w:rPr>
              <w:t>)</w:t>
            </w:r>
          </w:p>
          <w:p w:rsidR="007F5BD0" w:rsidRDefault="007F5BD0">
            <w:pPr>
              <w:pStyle w:val="HTMLPreformatted"/>
              <w:rPr>
                <w:rFonts w:ascii="Times New Roman" w:hAnsi="Times New Roman"/>
                <w:sz w:val="24"/>
                <w:szCs w:val="24"/>
              </w:rPr>
            </w:pPr>
            <w:r>
              <w:rPr>
                <w:rFonts w:ascii="Times New Roman" w:hAnsi="Times New Roman"/>
                <w:sz w:val="24"/>
                <w:szCs w:val="24"/>
              </w:rPr>
              <w:t>)</w:t>
            </w:r>
          </w:p>
          <w:p w:rsidR="007F5BD0" w:rsidRDefault="007F5BD0">
            <w:pPr>
              <w:pStyle w:val="HTMLPreformatted"/>
              <w:rPr>
                <w:rFonts w:ascii="Times New Roman" w:hAnsi="Times New Roman"/>
                <w:sz w:val="24"/>
                <w:szCs w:val="24"/>
              </w:rPr>
            </w:pPr>
            <w:r>
              <w:rPr>
                <w:rFonts w:ascii="Times New Roman" w:hAnsi="Times New Roman"/>
                <w:sz w:val="24"/>
                <w:szCs w:val="24"/>
              </w:rPr>
              <w:t>)</w:t>
            </w:r>
          </w:p>
          <w:p w:rsidR="007F5BD0" w:rsidRDefault="007F5BD0">
            <w:pPr>
              <w:pStyle w:val="HTMLPreformatted"/>
              <w:rPr>
                <w:rFonts w:ascii="Times New Roman" w:hAnsi="Times New Roman"/>
                <w:sz w:val="24"/>
                <w:szCs w:val="24"/>
              </w:rPr>
            </w:pPr>
            <w:r>
              <w:rPr>
                <w:rFonts w:ascii="Times New Roman" w:hAnsi="Times New Roman"/>
                <w:sz w:val="24"/>
                <w:szCs w:val="24"/>
              </w:rPr>
              <w:t>)</w:t>
            </w:r>
          </w:p>
          <w:p w:rsidR="007F5BD0" w:rsidRDefault="007F5BD0">
            <w:pPr>
              <w:pStyle w:val="HTMLPreformatted"/>
              <w:rPr>
                <w:rFonts w:ascii="Times New Roman" w:hAnsi="Times New Roman"/>
                <w:sz w:val="24"/>
                <w:szCs w:val="24"/>
              </w:rPr>
            </w:pPr>
            <w:r>
              <w:rPr>
                <w:rFonts w:ascii="Times New Roman" w:hAnsi="Times New Roman"/>
                <w:sz w:val="24"/>
                <w:szCs w:val="24"/>
              </w:rPr>
              <w:t>)</w:t>
            </w:r>
          </w:p>
        </w:tc>
        <w:tc>
          <w:tcPr>
            <w:tcW w:w="4400" w:type="dxa"/>
          </w:tcPr>
          <w:p w:rsidR="007F5BD0" w:rsidRDefault="007F5BD0">
            <w:pPr>
              <w:pStyle w:val="HTMLPreformatted"/>
              <w:rPr>
                <w:rFonts w:ascii="Times New Roman" w:hAnsi="Times New Roman"/>
                <w:sz w:val="24"/>
                <w:szCs w:val="24"/>
              </w:rPr>
            </w:pPr>
          </w:p>
          <w:p w:rsidR="007F5BD0" w:rsidRDefault="007F5BD0">
            <w:pPr>
              <w:pStyle w:val="HTMLPreformatted"/>
              <w:rPr>
                <w:rFonts w:ascii="Times New Roman" w:hAnsi="Times New Roman"/>
                <w:sz w:val="24"/>
                <w:szCs w:val="24"/>
              </w:rPr>
            </w:pPr>
            <w:r>
              <w:rPr>
                <w:rFonts w:ascii="Times New Roman" w:hAnsi="Times New Roman"/>
                <w:sz w:val="24"/>
                <w:szCs w:val="24"/>
              </w:rPr>
              <w:t xml:space="preserve">Case No. 09-119-EL-AEC </w:t>
            </w:r>
          </w:p>
        </w:tc>
      </w:tr>
    </w:tbl>
    <w:p w:rsidR="007F5BD0" w:rsidRDefault="007F5BD0">
      <w:pPr>
        <w:pStyle w:val="Footer"/>
        <w:tabs>
          <w:tab w:val="clear" w:pos="4320"/>
          <w:tab w:val="clear" w:pos="8640"/>
        </w:tabs>
        <w:spacing w:line="240" w:lineRule="auto"/>
        <w:rPr>
          <w:b/>
        </w:rPr>
      </w:pPr>
    </w:p>
    <w:p w:rsidR="007F5BD0" w:rsidRDefault="007F5BD0">
      <w:pPr>
        <w:pStyle w:val="Footer"/>
        <w:pBdr>
          <w:top w:val="single" w:sz="12" w:space="1" w:color="auto"/>
        </w:pBdr>
        <w:tabs>
          <w:tab w:val="clear" w:pos="4320"/>
          <w:tab w:val="clear" w:pos="8640"/>
        </w:tabs>
        <w:spacing w:line="240" w:lineRule="auto"/>
        <w:jc w:val="center"/>
        <w:rPr>
          <w:b/>
        </w:rPr>
      </w:pPr>
    </w:p>
    <w:p w:rsidR="007F5BD0" w:rsidRDefault="007F5BD0">
      <w:pPr>
        <w:jc w:val="center"/>
        <w:rPr>
          <w:b/>
          <w:sz w:val="24"/>
          <w:szCs w:val="24"/>
        </w:rPr>
      </w:pPr>
      <w:r>
        <w:rPr>
          <w:b/>
          <w:sz w:val="24"/>
          <w:szCs w:val="24"/>
        </w:rPr>
        <w:t>APPLICATION FOR REHEARING</w:t>
      </w:r>
    </w:p>
    <w:p w:rsidR="007F5BD0" w:rsidRDefault="007F5BD0">
      <w:pPr>
        <w:jc w:val="center"/>
        <w:rPr>
          <w:b/>
          <w:sz w:val="24"/>
          <w:szCs w:val="24"/>
        </w:rPr>
      </w:pPr>
      <w:r>
        <w:rPr>
          <w:b/>
          <w:sz w:val="24"/>
          <w:szCs w:val="24"/>
        </w:rPr>
        <w:t>BY</w:t>
      </w:r>
    </w:p>
    <w:p w:rsidR="007F5BD0" w:rsidRDefault="007F5BD0">
      <w:pPr>
        <w:jc w:val="center"/>
        <w:rPr>
          <w:b/>
          <w:sz w:val="24"/>
          <w:szCs w:val="24"/>
        </w:rPr>
      </w:pPr>
      <w:r>
        <w:rPr>
          <w:b/>
          <w:sz w:val="24"/>
          <w:szCs w:val="24"/>
        </w:rPr>
        <w:t xml:space="preserve">THE OFFICE OF THE </w:t>
      </w:r>
      <w:smartTag w:uri="urn:schemas-microsoft-com:office:smarttags" w:element="State">
        <w:smartTag w:uri="urn:schemas-microsoft-com:office:smarttags" w:element="place">
          <w:r>
            <w:rPr>
              <w:b/>
              <w:sz w:val="24"/>
              <w:szCs w:val="24"/>
            </w:rPr>
            <w:t>OHIO</w:t>
          </w:r>
        </w:smartTag>
      </w:smartTag>
      <w:r>
        <w:rPr>
          <w:b/>
          <w:sz w:val="24"/>
          <w:szCs w:val="24"/>
        </w:rPr>
        <w:t xml:space="preserve"> CONSUMERS’ COUNSEL</w:t>
      </w:r>
    </w:p>
    <w:p w:rsidR="007F5BD0" w:rsidRDefault="007F5BD0">
      <w:pPr>
        <w:pBdr>
          <w:bottom w:val="single" w:sz="12" w:space="0" w:color="auto"/>
        </w:pBdr>
        <w:jc w:val="center"/>
        <w:rPr>
          <w:sz w:val="24"/>
          <w:szCs w:val="24"/>
        </w:rPr>
      </w:pPr>
    </w:p>
    <w:p w:rsidR="007F5BD0" w:rsidRDefault="007F5BD0">
      <w:pPr>
        <w:pStyle w:val="Footer"/>
        <w:tabs>
          <w:tab w:val="clear" w:pos="4320"/>
          <w:tab w:val="clear" w:pos="8640"/>
          <w:tab w:val="left" w:pos="3600"/>
        </w:tabs>
      </w:pPr>
    </w:p>
    <w:p w:rsidR="007F5BD0" w:rsidRDefault="007F5BD0">
      <w:pPr>
        <w:pStyle w:val="InsideAddress"/>
        <w:tabs>
          <w:tab w:val="left" w:pos="4320"/>
        </w:tabs>
        <w:autoSpaceDE w:val="0"/>
        <w:autoSpaceDN w:val="0"/>
        <w:adjustRightInd w:val="0"/>
        <w:spacing w:line="480" w:lineRule="auto"/>
        <w:ind w:firstLine="720"/>
        <w:rPr>
          <w:szCs w:val="24"/>
        </w:rPr>
      </w:pPr>
      <w:r>
        <w:rPr>
          <w:szCs w:val="24"/>
        </w:rPr>
        <w:t>On behalf of approximately 1.2 million residential rate-paying consumers of the Ohio Power Company and the Columbus Southern Power Company (collectively “AEP Ohio”), OCC applies for rehearing of the October 17, 2012 Entry (“Entry”) of the Public Utilities Commission of Ohio (“Commission” or “PUCO”).   In prior rulings, the PUCO resolved Ormet’s proposals for electricity discounts by instituting, among other things, safeguards for customers who reimburse AEP Ohio for the millions of dollars in discounts.</w:t>
      </w:r>
      <w:r>
        <w:rPr>
          <w:rStyle w:val="FootnoteReference"/>
          <w:szCs w:val="24"/>
        </w:rPr>
        <w:footnoteReference w:id="1"/>
      </w:r>
      <w:r>
        <w:rPr>
          <w:szCs w:val="24"/>
        </w:rPr>
        <w:t xml:space="preserve">  </w:t>
      </w:r>
    </w:p>
    <w:p w:rsidR="007F5BD0" w:rsidRDefault="007F5BD0">
      <w:pPr>
        <w:pStyle w:val="InsideAddress"/>
        <w:tabs>
          <w:tab w:val="left" w:pos="4320"/>
        </w:tabs>
        <w:autoSpaceDE w:val="0"/>
        <w:autoSpaceDN w:val="0"/>
        <w:adjustRightInd w:val="0"/>
        <w:spacing w:line="480" w:lineRule="auto"/>
        <w:ind w:firstLine="720"/>
        <w:rPr>
          <w:szCs w:val="24"/>
        </w:rPr>
      </w:pPr>
      <w:r>
        <w:rPr>
          <w:szCs w:val="24"/>
        </w:rPr>
        <w:t xml:space="preserve">Consistent with the PUCO’s prior approach to this issue, the PUCO should modify its Entry in two respects.  First, the PUCO should clarify that it will continue to require Ormet to maintain 650 full time jobs.  Second, the PUCO should again include a provision that allows it to terminate the arrangement if long-term metal prices do not increase enough for Ormet to profitably operate. These rehearing claims are supported in the attached memorandum in support.  </w:t>
      </w:r>
    </w:p>
    <w:p w:rsidR="007F5BD0" w:rsidRDefault="007F5BD0">
      <w:pPr>
        <w:pStyle w:val="InsideAddress"/>
        <w:tabs>
          <w:tab w:val="left" w:pos="4320"/>
        </w:tabs>
        <w:autoSpaceDE w:val="0"/>
        <w:autoSpaceDN w:val="0"/>
        <w:adjustRightInd w:val="0"/>
        <w:spacing w:line="480" w:lineRule="auto"/>
        <w:ind w:firstLine="720"/>
        <w:sectPr w:rsidR="007F5BD0">
          <w:footerReference w:type="default" r:id="rId8"/>
          <w:pgSz w:w="12240" w:h="15840"/>
          <w:pgMar w:top="1440" w:right="1800" w:bottom="1440" w:left="1800" w:header="720" w:footer="720" w:gutter="0"/>
          <w:pgNumType w:start="2"/>
          <w:cols w:space="720"/>
          <w:titlePg/>
          <w:rtlGutter/>
          <w:docGrid w:linePitch="360"/>
        </w:sectPr>
      </w:pPr>
    </w:p>
    <w:p w:rsidR="007F5BD0" w:rsidRDefault="007F5BD0">
      <w:pPr>
        <w:pStyle w:val="InsideAddress"/>
        <w:tabs>
          <w:tab w:val="left" w:pos="4320"/>
        </w:tabs>
        <w:autoSpaceDE w:val="0"/>
        <w:autoSpaceDN w:val="0"/>
        <w:adjustRightInd w:val="0"/>
        <w:spacing w:line="480" w:lineRule="auto"/>
        <w:ind w:firstLine="720"/>
      </w:pPr>
      <w:r>
        <w:lastRenderedPageBreak/>
        <w:tab/>
        <w:t>Respectfully submitted,</w:t>
      </w:r>
    </w:p>
    <w:p w:rsidR="007F5BD0" w:rsidRDefault="007F5BD0">
      <w:pPr>
        <w:pStyle w:val="Footer"/>
        <w:tabs>
          <w:tab w:val="clear" w:pos="4320"/>
          <w:tab w:val="clear" w:pos="8640"/>
          <w:tab w:val="left" w:pos="3600"/>
        </w:tabs>
        <w:spacing w:line="240" w:lineRule="auto"/>
      </w:pPr>
      <w:r>
        <w:tab/>
      </w:r>
      <w:r>
        <w:tab/>
      </w:r>
      <w:r>
        <w:tab/>
        <w:t>BRUCE J. WESTON</w:t>
      </w:r>
    </w:p>
    <w:p w:rsidR="007F5BD0" w:rsidRDefault="007F5BD0">
      <w:pPr>
        <w:tabs>
          <w:tab w:val="left" w:pos="4320"/>
        </w:tabs>
        <w:rPr>
          <w:sz w:val="24"/>
          <w:szCs w:val="24"/>
        </w:rPr>
      </w:pPr>
      <w:r>
        <w:rPr>
          <w:sz w:val="24"/>
          <w:szCs w:val="24"/>
        </w:rPr>
        <w:tab/>
      </w:r>
      <w:smartTag w:uri="urn:schemas-microsoft-com:office:smarttags" w:element="State">
        <w:smartTag w:uri="urn:schemas-microsoft-com:office:smarttags" w:element="place">
          <w:r>
            <w:rPr>
              <w:sz w:val="24"/>
              <w:szCs w:val="24"/>
            </w:rPr>
            <w:t>OHIO</w:t>
          </w:r>
        </w:smartTag>
      </w:smartTag>
      <w:r>
        <w:rPr>
          <w:sz w:val="24"/>
          <w:szCs w:val="24"/>
        </w:rPr>
        <w:t xml:space="preserve"> CONSUMERS’ COUNSEL</w:t>
      </w:r>
    </w:p>
    <w:p w:rsidR="007F5BD0" w:rsidRDefault="007F5BD0">
      <w:pPr>
        <w:tabs>
          <w:tab w:val="left" w:pos="4320"/>
        </w:tabs>
        <w:rPr>
          <w:sz w:val="24"/>
          <w:szCs w:val="24"/>
        </w:rPr>
      </w:pPr>
      <w:r>
        <w:rPr>
          <w:sz w:val="24"/>
          <w:szCs w:val="24"/>
        </w:rPr>
        <w:tab/>
      </w:r>
    </w:p>
    <w:p w:rsidR="007F5BD0" w:rsidRDefault="007F5BD0">
      <w:pPr>
        <w:tabs>
          <w:tab w:val="left" w:pos="4320"/>
        </w:tabs>
        <w:rPr>
          <w:sz w:val="24"/>
          <w:szCs w:val="24"/>
        </w:rPr>
      </w:pPr>
      <w:r>
        <w:rPr>
          <w:sz w:val="24"/>
          <w:szCs w:val="24"/>
        </w:rPr>
        <w:tab/>
      </w:r>
      <w:r>
        <w:rPr>
          <w:i/>
          <w:sz w:val="24"/>
          <w:szCs w:val="24"/>
          <w:u w:val="single"/>
        </w:rPr>
        <w:t>/s/ Maureen R. Grady</w:t>
      </w:r>
      <w:r>
        <w:rPr>
          <w:sz w:val="24"/>
          <w:szCs w:val="24"/>
        </w:rPr>
        <w:t>_________________</w:t>
      </w:r>
    </w:p>
    <w:p w:rsidR="007F5BD0" w:rsidRDefault="007F5BD0">
      <w:pPr>
        <w:tabs>
          <w:tab w:val="left" w:pos="-720"/>
        </w:tabs>
        <w:suppressAutoHyphens/>
        <w:jc w:val="both"/>
        <w:rPr>
          <w:spacing w:val="-3"/>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pacing w:val="-3"/>
          <w:sz w:val="24"/>
          <w:szCs w:val="24"/>
        </w:rPr>
        <w:t>Maureen R. Grady, Counsel of Record</w:t>
      </w:r>
    </w:p>
    <w:p w:rsidR="007F5BD0" w:rsidRDefault="007F5BD0">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Assistant Consumers’ Counsel</w:t>
      </w:r>
    </w:p>
    <w:p w:rsidR="007F5BD0" w:rsidRDefault="007F5BD0">
      <w:pPr>
        <w:tabs>
          <w:tab w:val="left" w:pos="-720"/>
        </w:tabs>
        <w:suppressAutoHyphens/>
        <w:jc w:val="both"/>
        <w:rPr>
          <w:spacing w:val="-3"/>
          <w:sz w:val="24"/>
          <w:szCs w:val="24"/>
        </w:rPr>
      </w:pPr>
    </w:p>
    <w:p w:rsidR="007F5BD0" w:rsidRDefault="007F5BD0">
      <w:pPr>
        <w:tabs>
          <w:tab w:val="left" w:pos="4320"/>
        </w:tabs>
        <w:rPr>
          <w:b/>
          <w:sz w:val="24"/>
          <w:szCs w:val="24"/>
        </w:rPr>
      </w:pPr>
      <w:r>
        <w:rPr>
          <w:sz w:val="24"/>
          <w:szCs w:val="24"/>
        </w:rPr>
        <w:t xml:space="preserve"> </w:t>
      </w:r>
      <w:r>
        <w:rPr>
          <w:sz w:val="24"/>
          <w:szCs w:val="24"/>
        </w:rPr>
        <w:tab/>
      </w:r>
      <w:r>
        <w:rPr>
          <w:b/>
          <w:sz w:val="24"/>
          <w:szCs w:val="24"/>
        </w:rPr>
        <w:t xml:space="preserve">Office of the </w:t>
      </w:r>
      <w:smartTag w:uri="urn:schemas-microsoft-com:office:smarttags" w:element="State">
        <w:smartTag w:uri="urn:schemas-microsoft-com:office:smarttags" w:element="place">
          <w:r>
            <w:rPr>
              <w:b/>
              <w:sz w:val="24"/>
              <w:szCs w:val="24"/>
            </w:rPr>
            <w:t>Ohio</w:t>
          </w:r>
        </w:smartTag>
      </w:smartTag>
      <w:r>
        <w:rPr>
          <w:b/>
          <w:sz w:val="24"/>
          <w:szCs w:val="24"/>
        </w:rPr>
        <w:t xml:space="preserve"> Consumers’ Counsel</w:t>
      </w:r>
    </w:p>
    <w:p w:rsidR="007F5BD0" w:rsidRDefault="007F5BD0">
      <w:pPr>
        <w:tabs>
          <w:tab w:val="left" w:pos="4320"/>
        </w:tabs>
        <w:rPr>
          <w:sz w:val="24"/>
          <w:szCs w:val="24"/>
        </w:rPr>
      </w:pPr>
      <w:r>
        <w:rPr>
          <w:sz w:val="24"/>
          <w:szCs w:val="24"/>
        </w:rPr>
        <w:tab/>
      </w:r>
      <w:smartTag w:uri="urn:schemas-microsoft-com:office:smarttags" w:element="Street">
        <w:smartTag w:uri="urn:schemas-microsoft-com:office:smarttags" w:element="address">
          <w:r>
            <w:rPr>
              <w:sz w:val="24"/>
              <w:szCs w:val="24"/>
            </w:rPr>
            <w:t>10 West Broad Street, Suite 1800</w:t>
          </w:r>
        </w:smartTag>
      </w:smartTag>
    </w:p>
    <w:p w:rsidR="007F5BD0" w:rsidRDefault="007F5BD0">
      <w:pPr>
        <w:tabs>
          <w:tab w:val="left" w:pos="4320"/>
        </w:tabs>
        <w:rPr>
          <w:sz w:val="24"/>
          <w:szCs w:val="24"/>
        </w:rPr>
      </w:pPr>
      <w:r>
        <w:rPr>
          <w:sz w:val="24"/>
          <w:szCs w:val="24"/>
        </w:rPr>
        <w:tab/>
      </w:r>
      <w:smartTag w:uri="urn:schemas-microsoft-com:office:smarttags" w:element="City">
        <w:smartTag w:uri="urn:schemas-microsoft-com:office:smarttags" w:element="place">
          <w:r>
            <w:rPr>
              <w:sz w:val="24"/>
              <w:szCs w:val="24"/>
            </w:rPr>
            <w:t>Columbus</w:t>
          </w:r>
        </w:smartTag>
        <w:r>
          <w:rPr>
            <w:sz w:val="24"/>
            <w:szCs w:val="24"/>
          </w:rPr>
          <w:t xml:space="preserve">, </w:t>
        </w:r>
        <w:smartTag w:uri="urn:schemas-microsoft-com:office:smarttags" w:element="PostalCode">
          <w:r>
            <w:rPr>
              <w:sz w:val="24"/>
              <w:szCs w:val="24"/>
            </w:rPr>
            <w:t>Ohio</w:t>
          </w:r>
        </w:smartTag>
        <w:r>
          <w:rPr>
            <w:sz w:val="24"/>
            <w:szCs w:val="24"/>
          </w:rPr>
          <w:t xml:space="preserve"> </w:t>
        </w:r>
        <w:smartTag w:uri="urn:schemas-microsoft-com:office:smarttags" w:element="PostalCode">
          <w:r>
            <w:rPr>
              <w:sz w:val="24"/>
              <w:szCs w:val="24"/>
            </w:rPr>
            <w:t>43215-3485</w:t>
          </w:r>
        </w:smartTag>
      </w:smartTag>
    </w:p>
    <w:p w:rsidR="007F5BD0" w:rsidRDefault="007F5BD0">
      <w:pPr>
        <w:tabs>
          <w:tab w:val="left" w:pos="4320"/>
        </w:tabs>
        <w:rPr>
          <w:sz w:val="24"/>
          <w:szCs w:val="24"/>
        </w:rPr>
      </w:pPr>
      <w:r>
        <w:rPr>
          <w:sz w:val="24"/>
          <w:szCs w:val="24"/>
        </w:rPr>
        <w:tab/>
        <w:t>(614) 466-9567 (Telephone)</w:t>
      </w:r>
    </w:p>
    <w:p w:rsidR="007F5BD0" w:rsidRDefault="007F5BD0">
      <w:pPr>
        <w:pStyle w:val="Footer"/>
        <w:tabs>
          <w:tab w:val="clear" w:pos="8640"/>
          <w:tab w:val="left" w:pos="4320"/>
        </w:tabs>
        <w:spacing w:line="240" w:lineRule="auto"/>
      </w:pPr>
      <w:r>
        <w:tab/>
      </w:r>
      <w:r>
        <w:tab/>
        <w:t>(614) 466-9475 (Facsimile)</w:t>
      </w:r>
    </w:p>
    <w:p w:rsidR="007F5BD0" w:rsidRDefault="007F5BD0">
      <w:pPr>
        <w:pStyle w:val="Footer"/>
        <w:tabs>
          <w:tab w:val="clear" w:pos="8640"/>
          <w:tab w:val="left" w:pos="4320"/>
        </w:tabs>
        <w:spacing w:line="240" w:lineRule="auto"/>
      </w:pPr>
      <w:r>
        <w:tab/>
      </w:r>
      <w:r>
        <w:tab/>
      </w:r>
      <w:hyperlink r:id="rId9" w:history="1">
        <w:r>
          <w:rPr>
            <w:rStyle w:val="Hyperlink"/>
          </w:rPr>
          <w:t>grady@occ.state.oh.us</w:t>
        </w:r>
      </w:hyperlink>
    </w:p>
    <w:p w:rsidR="007F5BD0" w:rsidRDefault="007F5BD0">
      <w:pPr>
        <w:pStyle w:val="BodyText"/>
        <w:spacing w:line="240" w:lineRule="auto"/>
        <w:ind w:firstLine="0"/>
        <w:rPr>
          <w:szCs w:val="24"/>
        </w:rPr>
      </w:pPr>
    </w:p>
    <w:p w:rsidR="007F5BD0" w:rsidRDefault="007F5BD0">
      <w:pPr>
        <w:ind w:left="4320"/>
        <w:rPr>
          <w:sz w:val="24"/>
          <w:szCs w:val="24"/>
          <w:lang w:val="de-DE"/>
        </w:rPr>
        <w:sectPr w:rsidR="007F5BD0">
          <w:pgSz w:w="12240" w:h="15840"/>
          <w:pgMar w:top="1440" w:right="1800" w:bottom="1440" w:left="1800" w:header="720" w:footer="720" w:gutter="0"/>
          <w:pgNumType w:start="2"/>
          <w:cols w:space="720"/>
          <w:titlePg/>
          <w:docGrid w:linePitch="360"/>
        </w:sectPr>
      </w:pPr>
    </w:p>
    <w:p w:rsidR="007F5BD0" w:rsidRDefault="007F5BD0">
      <w:pPr>
        <w:jc w:val="center"/>
        <w:rPr>
          <w:b/>
          <w:caps/>
          <w:sz w:val="24"/>
          <w:szCs w:val="24"/>
        </w:rPr>
      </w:pPr>
      <w:r>
        <w:rPr>
          <w:b/>
          <w:caps/>
          <w:sz w:val="24"/>
          <w:szCs w:val="24"/>
        </w:rPr>
        <w:lastRenderedPageBreak/>
        <w:t xml:space="preserve">Before </w:t>
      </w:r>
    </w:p>
    <w:p w:rsidR="007F5BD0" w:rsidRDefault="007F5BD0">
      <w:pPr>
        <w:jc w:val="center"/>
        <w:rPr>
          <w:b/>
          <w:caps/>
          <w:sz w:val="24"/>
          <w:szCs w:val="24"/>
        </w:rPr>
      </w:pPr>
      <w:r>
        <w:rPr>
          <w:b/>
          <w:caps/>
          <w:sz w:val="24"/>
          <w:szCs w:val="24"/>
        </w:rPr>
        <w:t xml:space="preserve">the Public Utilities Commission of </w:t>
      </w:r>
      <w:smartTag w:uri="urn:schemas-microsoft-com:office:smarttags" w:element="PostalCode">
        <w:r>
          <w:rPr>
            <w:b/>
            <w:caps/>
            <w:sz w:val="24"/>
            <w:szCs w:val="24"/>
          </w:rPr>
          <w:t>Ohio</w:t>
        </w:r>
      </w:smartTag>
    </w:p>
    <w:p w:rsidR="007F5BD0" w:rsidRDefault="007F5BD0"/>
    <w:tbl>
      <w:tblPr>
        <w:tblW w:w="9092" w:type="dxa"/>
        <w:tblLook w:val="01E0" w:firstRow="1" w:lastRow="1" w:firstColumn="1" w:lastColumn="1" w:noHBand="0" w:noVBand="0"/>
      </w:tblPr>
      <w:tblGrid>
        <w:gridCol w:w="4332"/>
        <w:gridCol w:w="360"/>
        <w:gridCol w:w="4400"/>
      </w:tblGrid>
      <w:tr w:rsidR="007F5BD0">
        <w:trPr>
          <w:trHeight w:val="807"/>
        </w:trPr>
        <w:tc>
          <w:tcPr>
            <w:tcW w:w="4332" w:type="dxa"/>
          </w:tcPr>
          <w:p w:rsidR="007F5BD0" w:rsidRDefault="007F5BD0">
            <w:pPr>
              <w:pStyle w:val="InsideAddress"/>
              <w:rPr>
                <w:rFonts w:ascii="Times New Roman" w:hAnsi="Times New Roman"/>
                <w:szCs w:val="24"/>
              </w:rPr>
            </w:pPr>
            <w:r>
              <w:rPr>
                <w:rFonts w:ascii="Times New Roman" w:hAnsi="Times New Roman"/>
              </w:rPr>
              <w:t xml:space="preserve">In the Matter of the Application of Ormet Primary Aluminum Corporation for Approval of a Unique Arrangement with Ohio Power Company and </w:t>
            </w:r>
            <w:smartTag w:uri="urn:schemas-microsoft-com:office:smarttags" w:element="PostalCode">
              <w:r>
                <w:rPr>
                  <w:rFonts w:ascii="Times New Roman" w:hAnsi="Times New Roman"/>
                </w:rPr>
                <w:t>Columbus</w:t>
              </w:r>
            </w:smartTag>
            <w:r>
              <w:rPr>
                <w:rFonts w:ascii="Times New Roman" w:hAnsi="Times New Roman"/>
              </w:rPr>
              <w:t xml:space="preserve"> Southern Power Company.</w:t>
            </w:r>
          </w:p>
        </w:tc>
        <w:tc>
          <w:tcPr>
            <w:tcW w:w="360" w:type="dxa"/>
          </w:tcPr>
          <w:p w:rsidR="007F5BD0" w:rsidRDefault="007F5BD0">
            <w:pPr>
              <w:pStyle w:val="HTMLPreformatted"/>
              <w:rPr>
                <w:rFonts w:ascii="Times New Roman" w:hAnsi="Times New Roman"/>
                <w:sz w:val="24"/>
                <w:szCs w:val="24"/>
              </w:rPr>
            </w:pPr>
            <w:r>
              <w:rPr>
                <w:rFonts w:ascii="Times New Roman" w:hAnsi="Times New Roman"/>
                <w:sz w:val="24"/>
                <w:szCs w:val="24"/>
              </w:rPr>
              <w:t>)</w:t>
            </w:r>
          </w:p>
          <w:p w:rsidR="007F5BD0" w:rsidRDefault="007F5BD0">
            <w:pPr>
              <w:pStyle w:val="HTMLPreformatted"/>
              <w:rPr>
                <w:rFonts w:ascii="Times New Roman" w:hAnsi="Times New Roman"/>
                <w:sz w:val="24"/>
                <w:szCs w:val="24"/>
              </w:rPr>
            </w:pPr>
            <w:r>
              <w:rPr>
                <w:rFonts w:ascii="Times New Roman" w:hAnsi="Times New Roman"/>
                <w:sz w:val="24"/>
                <w:szCs w:val="24"/>
              </w:rPr>
              <w:t>)</w:t>
            </w:r>
          </w:p>
          <w:p w:rsidR="007F5BD0" w:rsidRDefault="007F5BD0">
            <w:pPr>
              <w:pStyle w:val="HTMLPreformatted"/>
              <w:rPr>
                <w:rFonts w:ascii="Times New Roman" w:hAnsi="Times New Roman"/>
                <w:sz w:val="24"/>
                <w:szCs w:val="24"/>
              </w:rPr>
            </w:pPr>
            <w:r>
              <w:rPr>
                <w:rFonts w:ascii="Times New Roman" w:hAnsi="Times New Roman"/>
                <w:sz w:val="24"/>
                <w:szCs w:val="24"/>
              </w:rPr>
              <w:t>)</w:t>
            </w:r>
          </w:p>
          <w:p w:rsidR="007F5BD0" w:rsidRDefault="007F5BD0">
            <w:pPr>
              <w:pStyle w:val="HTMLPreformatted"/>
              <w:rPr>
                <w:rFonts w:ascii="Times New Roman" w:hAnsi="Times New Roman"/>
                <w:sz w:val="24"/>
                <w:szCs w:val="24"/>
              </w:rPr>
            </w:pPr>
            <w:r>
              <w:rPr>
                <w:rFonts w:ascii="Times New Roman" w:hAnsi="Times New Roman"/>
                <w:sz w:val="24"/>
                <w:szCs w:val="24"/>
              </w:rPr>
              <w:t>)</w:t>
            </w:r>
          </w:p>
          <w:p w:rsidR="007F5BD0" w:rsidRDefault="007F5BD0">
            <w:pPr>
              <w:pStyle w:val="HTMLPreformatted"/>
              <w:rPr>
                <w:rFonts w:ascii="Times New Roman" w:hAnsi="Times New Roman"/>
                <w:sz w:val="24"/>
                <w:szCs w:val="24"/>
              </w:rPr>
            </w:pPr>
            <w:r>
              <w:rPr>
                <w:rFonts w:ascii="Times New Roman" w:hAnsi="Times New Roman"/>
                <w:sz w:val="24"/>
                <w:szCs w:val="24"/>
              </w:rPr>
              <w:t>)</w:t>
            </w:r>
          </w:p>
        </w:tc>
        <w:tc>
          <w:tcPr>
            <w:tcW w:w="4400" w:type="dxa"/>
          </w:tcPr>
          <w:p w:rsidR="007F5BD0" w:rsidRDefault="007F5BD0">
            <w:pPr>
              <w:pStyle w:val="HTMLPreformatted"/>
              <w:rPr>
                <w:rFonts w:ascii="Times New Roman" w:hAnsi="Times New Roman"/>
                <w:sz w:val="24"/>
                <w:szCs w:val="24"/>
              </w:rPr>
            </w:pPr>
          </w:p>
          <w:p w:rsidR="007F5BD0" w:rsidRDefault="007F5BD0">
            <w:pPr>
              <w:pStyle w:val="HTMLPreformatted"/>
              <w:rPr>
                <w:rFonts w:ascii="Times New Roman" w:hAnsi="Times New Roman"/>
                <w:sz w:val="24"/>
                <w:szCs w:val="24"/>
              </w:rPr>
            </w:pPr>
            <w:r>
              <w:rPr>
                <w:rFonts w:ascii="Times New Roman" w:hAnsi="Times New Roman"/>
                <w:sz w:val="24"/>
                <w:szCs w:val="24"/>
              </w:rPr>
              <w:t xml:space="preserve">Case No. 09-119-EL-AEC </w:t>
            </w:r>
          </w:p>
        </w:tc>
      </w:tr>
    </w:tbl>
    <w:p w:rsidR="007F5BD0" w:rsidRDefault="007F5BD0">
      <w:pPr>
        <w:pStyle w:val="Footer"/>
        <w:tabs>
          <w:tab w:val="clear" w:pos="4320"/>
          <w:tab w:val="clear" w:pos="8640"/>
          <w:tab w:val="left" w:pos="3600"/>
        </w:tabs>
        <w:spacing w:before="240" w:line="240" w:lineRule="auto"/>
        <w:rPr>
          <w:b/>
        </w:rPr>
      </w:pPr>
      <w:r>
        <w:tab/>
      </w:r>
      <w:r>
        <w:tab/>
      </w:r>
    </w:p>
    <w:p w:rsidR="007F5BD0" w:rsidRDefault="007F5BD0">
      <w:pPr>
        <w:pStyle w:val="Footer"/>
        <w:pBdr>
          <w:top w:val="single" w:sz="12" w:space="1" w:color="auto"/>
        </w:pBdr>
        <w:tabs>
          <w:tab w:val="clear" w:pos="4320"/>
          <w:tab w:val="clear" w:pos="8640"/>
        </w:tabs>
        <w:spacing w:line="240" w:lineRule="auto"/>
        <w:jc w:val="center"/>
        <w:rPr>
          <w:b/>
        </w:rPr>
      </w:pPr>
    </w:p>
    <w:p w:rsidR="007F5BD0" w:rsidRDefault="007F5BD0">
      <w:pPr>
        <w:jc w:val="center"/>
        <w:rPr>
          <w:b/>
          <w:sz w:val="24"/>
          <w:szCs w:val="24"/>
        </w:rPr>
      </w:pPr>
      <w:r>
        <w:rPr>
          <w:b/>
          <w:sz w:val="24"/>
          <w:szCs w:val="24"/>
        </w:rPr>
        <w:t>MEMORANDUM IN SUPPORT</w:t>
      </w:r>
    </w:p>
    <w:p w:rsidR="007F5BD0" w:rsidRDefault="007F5BD0">
      <w:pPr>
        <w:pBdr>
          <w:bottom w:val="single" w:sz="12" w:space="1" w:color="auto"/>
        </w:pBdr>
        <w:jc w:val="center"/>
        <w:rPr>
          <w:b/>
          <w:sz w:val="24"/>
          <w:szCs w:val="24"/>
        </w:rPr>
      </w:pPr>
    </w:p>
    <w:p w:rsidR="007F5BD0" w:rsidRDefault="007F5BD0">
      <w:pPr>
        <w:rPr>
          <w:b/>
          <w:sz w:val="24"/>
          <w:szCs w:val="24"/>
        </w:rPr>
      </w:pPr>
    </w:p>
    <w:p w:rsidR="007F5BD0" w:rsidRPr="0074477D" w:rsidRDefault="007F5BD0" w:rsidP="0074477D">
      <w:pPr>
        <w:pStyle w:val="Heading1"/>
      </w:pPr>
      <w:bookmarkStart w:id="1" w:name="_Toc226530739"/>
      <w:bookmarkStart w:id="2" w:name="_Toc237854991"/>
      <w:r w:rsidRPr="0074477D">
        <w:t>I.</w:t>
      </w:r>
      <w:r w:rsidRPr="0074477D">
        <w:tab/>
        <w:t xml:space="preserve">INTRODUCTION </w:t>
      </w:r>
      <w:bookmarkEnd w:id="1"/>
      <w:bookmarkEnd w:id="2"/>
    </w:p>
    <w:p w:rsidR="007F5BD0" w:rsidRDefault="007F5BD0">
      <w:pPr>
        <w:spacing w:line="480" w:lineRule="auto"/>
        <w:ind w:firstLine="720"/>
        <w:rPr>
          <w:sz w:val="24"/>
          <w:szCs w:val="24"/>
        </w:rPr>
      </w:pPr>
      <w:r>
        <w:rPr>
          <w:sz w:val="24"/>
          <w:szCs w:val="24"/>
        </w:rPr>
        <w:t xml:space="preserve">Ormet is a major producer (smelter) of aluminum in the </w:t>
      </w:r>
      <w:smartTag w:uri="urn:schemas-microsoft-com:office:smarttags" w:element="PostalCode">
        <w:r>
          <w:rPr>
            <w:sz w:val="24"/>
            <w:szCs w:val="24"/>
          </w:rPr>
          <w:t>United States</w:t>
        </w:r>
      </w:smartTag>
      <w:r>
        <w:rPr>
          <w:sz w:val="24"/>
          <w:szCs w:val="24"/>
        </w:rPr>
        <w:t>.</w:t>
      </w:r>
      <w:r>
        <w:rPr>
          <w:rStyle w:val="FootnoteReference"/>
          <w:caps/>
          <w:sz w:val="24"/>
          <w:szCs w:val="24"/>
        </w:rPr>
        <w:t xml:space="preserve"> </w:t>
      </w:r>
      <w:r>
        <w:rPr>
          <w:rStyle w:val="FootnoteReference"/>
          <w:caps/>
          <w:sz w:val="24"/>
          <w:szCs w:val="24"/>
        </w:rPr>
        <w:footnoteReference w:id="2"/>
      </w:r>
      <w:r>
        <w:rPr>
          <w:sz w:val="24"/>
          <w:szCs w:val="24"/>
        </w:rPr>
        <w:t xml:space="preserve">  Ormet’s</w:t>
      </w:r>
      <w:r>
        <w:rPr>
          <w:caps/>
          <w:sz w:val="24"/>
          <w:szCs w:val="24"/>
        </w:rPr>
        <w:t xml:space="preserve"> </w:t>
      </w:r>
      <w:r>
        <w:rPr>
          <w:sz w:val="24"/>
          <w:szCs w:val="24"/>
        </w:rPr>
        <w:t xml:space="preserve">smelter is located in </w:t>
      </w:r>
      <w:smartTag w:uri="urn:schemas-microsoft-com:office:smarttags" w:element="PostalCode">
        <w:smartTag w:uri="urn:schemas-microsoft-com:office:smarttags" w:element="PostalCode">
          <w:r>
            <w:rPr>
              <w:sz w:val="24"/>
              <w:szCs w:val="24"/>
            </w:rPr>
            <w:t>Hannibal</w:t>
          </w:r>
        </w:smartTag>
        <w:r>
          <w:rPr>
            <w:sz w:val="24"/>
            <w:szCs w:val="24"/>
          </w:rPr>
          <w:t xml:space="preserve">, </w:t>
        </w:r>
        <w:smartTag w:uri="urn:schemas-microsoft-com:office:smarttags" w:element="PostalCode">
          <w:r>
            <w:rPr>
              <w:sz w:val="24"/>
              <w:szCs w:val="24"/>
            </w:rPr>
            <w:t>Ohio</w:t>
          </w:r>
        </w:smartTag>
      </w:smartTag>
      <w:r>
        <w:rPr>
          <w:sz w:val="24"/>
          <w:szCs w:val="24"/>
        </w:rPr>
        <w:t>.</w:t>
      </w:r>
      <w:r>
        <w:rPr>
          <w:rStyle w:val="FootnoteReference"/>
          <w:sz w:val="24"/>
          <w:szCs w:val="24"/>
        </w:rPr>
        <w:footnoteReference w:id="3"/>
      </w:r>
      <w:r>
        <w:rPr>
          <w:sz w:val="24"/>
          <w:szCs w:val="24"/>
        </w:rPr>
        <w:t xml:space="preserve">  When the smelter is fully operating (six potlines),</w:t>
      </w:r>
      <w:r>
        <w:rPr>
          <w:rStyle w:val="FootnoteReference"/>
          <w:b/>
          <w:sz w:val="24"/>
          <w:szCs w:val="24"/>
        </w:rPr>
        <w:footnoteReference w:id="4"/>
      </w:r>
      <w:r>
        <w:rPr>
          <w:b/>
          <w:sz w:val="24"/>
          <w:szCs w:val="24"/>
        </w:rPr>
        <w:t xml:space="preserve"> </w:t>
      </w:r>
      <w:r>
        <w:rPr>
          <w:sz w:val="24"/>
          <w:szCs w:val="24"/>
        </w:rPr>
        <w:t xml:space="preserve"> Ormet employs approximately one thousand employees.</w:t>
      </w:r>
      <w:r>
        <w:rPr>
          <w:rStyle w:val="FootnoteReference"/>
          <w:caps/>
          <w:sz w:val="24"/>
          <w:szCs w:val="24"/>
        </w:rPr>
        <w:footnoteReference w:id="5"/>
      </w:r>
      <w:r>
        <w:rPr>
          <w:sz w:val="24"/>
          <w:szCs w:val="24"/>
        </w:rPr>
        <w:t xml:space="preserve"> Roughly sixty percent (60%) of Ormet’s smelter employees are </w:t>
      </w:r>
      <w:smartTag w:uri="urn:schemas-microsoft-com:office:smarttags" w:element="PostalCode">
        <w:r>
          <w:rPr>
            <w:sz w:val="24"/>
            <w:szCs w:val="24"/>
          </w:rPr>
          <w:t>Ohio</w:t>
        </w:r>
      </w:smartTag>
      <w:r>
        <w:rPr>
          <w:sz w:val="24"/>
          <w:szCs w:val="24"/>
        </w:rPr>
        <w:t xml:space="preserve"> residents and forty percent (40%) are residents of </w:t>
      </w:r>
      <w:smartTag w:uri="urn:schemas-microsoft-com:office:smarttags" w:element="PostalCode">
        <w:r>
          <w:rPr>
            <w:sz w:val="24"/>
            <w:szCs w:val="24"/>
          </w:rPr>
          <w:t>West Virginia</w:t>
        </w:r>
      </w:smartTag>
      <w:r>
        <w:rPr>
          <w:sz w:val="24"/>
          <w:szCs w:val="24"/>
        </w:rPr>
        <w:t xml:space="preserve"> or </w:t>
      </w:r>
      <w:smartTag w:uri="urn:schemas-microsoft-com:office:smarttags" w:element="PostalCode">
        <w:r>
          <w:rPr>
            <w:sz w:val="24"/>
            <w:szCs w:val="24"/>
          </w:rPr>
          <w:t>Pennsylvania</w:t>
        </w:r>
      </w:smartTag>
      <w:r>
        <w:rPr>
          <w:sz w:val="24"/>
          <w:szCs w:val="24"/>
        </w:rPr>
        <w:t>.</w:t>
      </w:r>
      <w:r>
        <w:rPr>
          <w:rStyle w:val="FootnoteReference"/>
          <w:sz w:val="24"/>
          <w:szCs w:val="24"/>
        </w:rPr>
        <w:footnoteReference w:id="6"/>
      </w:r>
      <w:r>
        <w:rPr>
          <w:sz w:val="24"/>
          <w:szCs w:val="24"/>
        </w:rPr>
        <w:t xml:space="preserve"> </w:t>
      </w:r>
    </w:p>
    <w:p w:rsidR="007F5BD0" w:rsidRDefault="007F5BD0">
      <w:pPr>
        <w:spacing w:line="480" w:lineRule="auto"/>
        <w:ind w:firstLine="720"/>
        <w:rPr>
          <w:sz w:val="24"/>
          <w:szCs w:val="24"/>
        </w:rPr>
      </w:pPr>
      <w:r>
        <w:rPr>
          <w:sz w:val="24"/>
          <w:szCs w:val="24"/>
        </w:rPr>
        <w:t>On July 14, 2009, the PUCO approved, by Opinion and Order, a ten-year “unique arrangement” for Ormet.</w:t>
      </w:r>
      <w:r>
        <w:rPr>
          <w:rStyle w:val="FootnoteReference"/>
          <w:szCs w:val="24"/>
        </w:rPr>
        <w:footnoteReference w:id="7"/>
      </w:r>
      <w:r>
        <w:rPr>
          <w:sz w:val="24"/>
          <w:szCs w:val="24"/>
        </w:rPr>
        <w:t xml:space="preserve">  Under the arrangement Ormet receives a yearly discount on the power bill it would otherwise pay at AEP Ohio’s tariff rates.   The customers of AEP Ohio were ordered to fund the discount, reimbursing AEP Ohio for the discount to </w:t>
      </w:r>
      <w:r>
        <w:rPr>
          <w:sz w:val="24"/>
          <w:szCs w:val="24"/>
        </w:rPr>
        <w:lastRenderedPageBreak/>
        <w:t>Ormet. Over the term of the arrangement, the discount customers are expected to pay is $305.7 million.</w:t>
      </w:r>
      <w:r>
        <w:rPr>
          <w:rStyle w:val="FootnoteReference"/>
          <w:szCs w:val="24"/>
        </w:rPr>
        <w:footnoteReference w:id="8"/>
      </w:r>
      <w:r>
        <w:rPr>
          <w:sz w:val="24"/>
          <w:szCs w:val="24"/>
        </w:rPr>
        <w:t xml:space="preserve">   </w:t>
      </w:r>
    </w:p>
    <w:p w:rsidR="007F5BD0" w:rsidRDefault="007F5BD0">
      <w:pPr>
        <w:spacing w:line="480" w:lineRule="auto"/>
        <w:ind w:firstLine="720"/>
        <w:rPr>
          <w:sz w:val="24"/>
          <w:szCs w:val="24"/>
        </w:rPr>
      </w:pPr>
      <w:r>
        <w:rPr>
          <w:sz w:val="24"/>
          <w:szCs w:val="24"/>
        </w:rPr>
        <w:t xml:space="preserve">The discount is for economic development--to retain </w:t>
      </w:r>
      <w:smartTag w:uri="urn:schemas-microsoft-com:office:smarttags" w:element="PostalCode">
        <w:r>
          <w:rPr>
            <w:sz w:val="24"/>
            <w:szCs w:val="24"/>
          </w:rPr>
          <w:t>Ohio</w:t>
        </w:r>
      </w:smartTag>
      <w:r>
        <w:rPr>
          <w:sz w:val="24"/>
          <w:szCs w:val="24"/>
        </w:rPr>
        <w:t xml:space="preserve"> jobs at Ormet.  In arranging the discount to Ormet, the PUCO sought to protect Ohioans—by maintaining jobs at Ormet and putting a limit on the money customers would pay to reimburse AEP for the discount.  One protection ordered was that Ormet must maintain 650 full-time employees for </w:t>
      </w:r>
      <w:smartTag w:uri="urn:schemas-microsoft-com:office:smarttags" w:element="PostalCode">
        <w:r>
          <w:rPr>
            <w:sz w:val="24"/>
            <w:szCs w:val="24"/>
          </w:rPr>
          <w:t>Ohio</w:t>
        </w:r>
      </w:smartTag>
      <w:r>
        <w:rPr>
          <w:sz w:val="24"/>
          <w:szCs w:val="24"/>
        </w:rPr>
        <w:t>.</w:t>
      </w:r>
      <w:r>
        <w:rPr>
          <w:rStyle w:val="FootnoteReference"/>
          <w:szCs w:val="24"/>
        </w:rPr>
        <w:footnoteReference w:id="9"/>
      </w:r>
      <w:r>
        <w:rPr>
          <w:sz w:val="24"/>
          <w:szCs w:val="24"/>
        </w:rPr>
        <w:t xml:space="preserve">  A second protection ordered by the PUCO was a provision allowing it to terminate the arrangement (discount) if long-term metal prices did not increase enough for Ormet to profitably operate.</w:t>
      </w:r>
      <w:r>
        <w:rPr>
          <w:rStyle w:val="FootnoteReference"/>
          <w:szCs w:val="24"/>
        </w:rPr>
        <w:footnoteReference w:id="10"/>
      </w:r>
      <w:r>
        <w:rPr>
          <w:sz w:val="24"/>
          <w:szCs w:val="24"/>
        </w:rPr>
        <w:t xml:space="preserve">  </w:t>
      </w:r>
    </w:p>
    <w:p w:rsidR="007F5BD0" w:rsidRDefault="007F5BD0">
      <w:pPr>
        <w:spacing w:line="480" w:lineRule="auto"/>
        <w:ind w:firstLine="720"/>
        <w:rPr>
          <w:sz w:val="24"/>
          <w:szCs w:val="24"/>
        </w:rPr>
      </w:pPr>
      <w:r>
        <w:rPr>
          <w:sz w:val="24"/>
          <w:szCs w:val="24"/>
        </w:rPr>
        <w:t>On October 12, 2012, Ormet requested that the Commission modify its earlier approved arrangement.</w:t>
      </w:r>
      <w:r>
        <w:rPr>
          <w:rStyle w:val="FootnoteReference"/>
          <w:szCs w:val="24"/>
        </w:rPr>
        <w:footnoteReference w:id="11"/>
      </w:r>
      <w:r>
        <w:rPr>
          <w:sz w:val="24"/>
          <w:szCs w:val="24"/>
        </w:rPr>
        <w:t xml:space="preserve">  Ormet sought to defer payments for the remainder of 2012 because it had already exhausted its yearly discount.</w:t>
      </w:r>
      <w:r>
        <w:rPr>
          <w:rStyle w:val="FootnoteReference"/>
          <w:szCs w:val="24"/>
        </w:rPr>
        <w:footnoteReference w:id="12"/>
      </w:r>
      <w:r>
        <w:rPr>
          <w:sz w:val="24"/>
          <w:szCs w:val="24"/>
        </w:rPr>
        <w:t xml:space="preserve">  Ormet asked that if it fails to make a scheduled payment for its electricity bill, the missed payment should be collected from </w:t>
      </w:r>
      <w:r>
        <w:rPr>
          <w:sz w:val="24"/>
          <w:szCs w:val="24"/>
        </w:rPr>
        <w:lastRenderedPageBreak/>
        <w:t>AEP Ohio’s other customers.</w:t>
      </w:r>
      <w:r>
        <w:rPr>
          <w:rStyle w:val="FootnoteReference"/>
          <w:szCs w:val="24"/>
        </w:rPr>
        <w:footnoteReference w:id="13"/>
      </w:r>
      <w:r>
        <w:rPr>
          <w:sz w:val="24"/>
          <w:szCs w:val="24"/>
        </w:rPr>
        <w:t xml:space="preserve">  Ormet also stated that AEP Ohio consents to its request provided that AEP Ohio would be allowed to collect from other customers the amounts owed by Ormet.</w:t>
      </w:r>
      <w:r>
        <w:rPr>
          <w:rStyle w:val="FootnoteReference"/>
          <w:szCs w:val="24"/>
        </w:rPr>
        <w:footnoteReference w:id="14"/>
      </w:r>
    </w:p>
    <w:p w:rsidR="007F5BD0" w:rsidRDefault="007F5BD0">
      <w:pPr>
        <w:spacing w:line="480" w:lineRule="auto"/>
        <w:ind w:firstLine="720"/>
        <w:rPr>
          <w:sz w:val="24"/>
          <w:szCs w:val="24"/>
        </w:rPr>
      </w:pPr>
      <w:r>
        <w:rPr>
          <w:sz w:val="24"/>
          <w:szCs w:val="24"/>
        </w:rPr>
        <w:t>On October 17, 2012, the Commission, in an Entry, ruled that Ormet may defer payment of its electric bill for October and November 2012, with payment to be prorated over a seventeen-month period.</w:t>
      </w:r>
      <w:r>
        <w:rPr>
          <w:rStyle w:val="FootnoteReference"/>
          <w:szCs w:val="24"/>
        </w:rPr>
        <w:footnoteReference w:id="15"/>
      </w:r>
      <w:r>
        <w:rPr>
          <w:sz w:val="24"/>
          <w:szCs w:val="24"/>
        </w:rPr>
        <w:t xml:space="preserve">  The Commission also granted AEP Ohio accounting authority to defer the amounts of Ormet’s unpaid electricity bills for 2012, not to exceed $20 million.  It is expected that this $20 million will become part of the discount funded by AEP Ohio’s customers, in addition to the $305.7 million customers are already obliged to pay AEP Ohio for the discount to Ormet.  </w:t>
      </w:r>
    </w:p>
    <w:p w:rsidR="007F5BD0" w:rsidRDefault="007F5BD0">
      <w:pPr>
        <w:rPr>
          <w:sz w:val="24"/>
          <w:szCs w:val="24"/>
        </w:rPr>
      </w:pPr>
      <w:r>
        <w:rPr>
          <w:sz w:val="24"/>
          <w:szCs w:val="24"/>
        </w:rPr>
        <w:t xml:space="preserve"> </w:t>
      </w:r>
    </w:p>
    <w:p w:rsidR="007F5BD0" w:rsidRPr="0074477D" w:rsidRDefault="007F5BD0" w:rsidP="0074477D">
      <w:pPr>
        <w:pStyle w:val="Heading1"/>
      </w:pPr>
      <w:bookmarkStart w:id="3" w:name="_Toc226530740"/>
      <w:bookmarkStart w:id="4" w:name="_Toc237854992"/>
      <w:r w:rsidRPr="0074477D">
        <w:t>II.</w:t>
      </w:r>
      <w:r w:rsidRPr="0074477D">
        <w:tab/>
        <w:t>STATUTORY BASIS FOR APPLICATIONS FOR REHEARING</w:t>
      </w:r>
      <w:bookmarkEnd w:id="3"/>
      <w:bookmarkEnd w:id="4"/>
    </w:p>
    <w:p w:rsidR="007F5BD0" w:rsidRDefault="007F5BD0">
      <w:pPr>
        <w:spacing w:line="480" w:lineRule="auto"/>
        <w:ind w:firstLine="720"/>
        <w:rPr>
          <w:sz w:val="24"/>
          <w:szCs w:val="24"/>
        </w:rPr>
      </w:pPr>
      <w:r>
        <w:rPr>
          <w:sz w:val="24"/>
          <w:szCs w:val="24"/>
        </w:rPr>
        <w:t>Applications for rehearing are governed by R.C. 4903.10 and may be sought by any party who has entered an appearance in the proceeding. The Commission may grant and hold rehearing on matters raised in an application, if “in its judgment sufficient reason therefor is made to appear.”  If the Commission grants rehearing and determines that its order is in any respect unjust or unwarranted, the Commission may “abrogate or modify” the Order.</w:t>
      </w:r>
      <w:r>
        <w:rPr>
          <w:rStyle w:val="FootnoteReference"/>
          <w:sz w:val="24"/>
          <w:szCs w:val="24"/>
        </w:rPr>
        <w:footnoteReference w:id="16"/>
      </w:r>
    </w:p>
    <w:p w:rsidR="007F5BD0" w:rsidRDefault="007F5BD0">
      <w:pPr>
        <w:spacing w:line="480" w:lineRule="auto"/>
        <w:ind w:firstLine="720"/>
        <w:rPr>
          <w:sz w:val="24"/>
          <w:szCs w:val="24"/>
        </w:rPr>
      </w:pPr>
      <w:r>
        <w:rPr>
          <w:sz w:val="24"/>
          <w:szCs w:val="24"/>
        </w:rPr>
        <w:lastRenderedPageBreak/>
        <w:t>As a party to the proceeding</w:t>
      </w:r>
      <w:r>
        <w:rPr>
          <w:rStyle w:val="FootnoteReference"/>
          <w:szCs w:val="24"/>
        </w:rPr>
        <w:footnoteReference w:id="17"/>
      </w:r>
      <w:r>
        <w:rPr>
          <w:sz w:val="24"/>
          <w:szCs w:val="24"/>
        </w:rPr>
        <w:t xml:space="preserve"> OCC meets the statutory condition necessary to file an application under R.C. 4903.10. OCC respectfully requests that the PUCO modify its Entry to continue its earlier ordered customer protections for the reasons discussed below.</w:t>
      </w:r>
    </w:p>
    <w:p w:rsidR="007F5BD0" w:rsidRDefault="007F5BD0">
      <w:pPr>
        <w:ind w:firstLine="720"/>
        <w:rPr>
          <w:sz w:val="24"/>
          <w:szCs w:val="24"/>
        </w:rPr>
      </w:pPr>
    </w:p>
    <w:p w:rsidR="007F5BD0" w:rsidRPr="0074477D" w:rsidRDefault="007F5BD0" w:rsidP="0074477D">
      <w:pPr>
        <w:pStyle w:val="Heading1"/>
      </w:pPr>
      <w:bookmarkStart w:id="5" w:name="_Toc226530742"/>
      <w:bookmarkStart w:id="6" w:name="_Toc237854993"/>
      <w:r w:rsidRPr="0074477D">
        <w:t>III.</w:t>
      </w:r>
      <w:r w:rsidRPr="0074477D">
        <w:tab/>
        <w:t>RECOMMENDATIONS</w:t>
      </w:r>
      <w:bookmarkEnd w:id="5"/>
      <w:bookmarkEnd w:id="6"/>
    </w:p>
    <w:p w:rsidR="007F5BD0" w:rsidRDefault="007F5BD0">
      <w:pPr>
        <w:spacing w:line="480" w:lineRule="auto"/>
        <w:ind w:firstLine="720"/>
        <w:rPr>
          <w:sz w:val="24"/>
          <w:szCs w:val="24"/>
        </w:rPr>
      </w:pPr>
      <w:r>
        <w:rPr>
          <w:sz w:val="24"/>
          <w:szCs w:val="24"/>
        </w:rPr>
        <w:t xml:space="preserve">In its October 17, 2012 Entry, the PUCO concluded that the </w:t>
      </w:r>
      <w:r w:rsidR="00640BE1">
        <w:rPr>
          <w:sz w:val="24"/>
          <w:szCs w:val="24"/>
        </w:rPr>
        <w:t xml:space="preserve">additional </w:t>
      </w:r>
      <w:r>
        <w:rPr>
          <w:sz w:val="24"/>
          <w:szCs w:val="24"/>
        </w:rPr>
        <w:t>discount granted to Ormet is sufficient and “properly constrained” while considering the interests of AEP Ohio and its other ratepayers.</w:t>
      </w:r>
      <w:r>
        <w:rPr>
          <w:rStyle w:val="FootnoteReference"/>
          <w:szCs w:val="24"/>
        </w:rPr>
        <w:footnoteReference w:id="18"/>
      </w:r>
      <w:r>
        <w:rPr>
          <w:sz w:val="24"/>
          <w:szCs w:val="24"/>
        </w:rPr>
        <w:t xml:space="preserve">  The PUCO expressed concerns, however, as to the financial risk being incurred by AEP Ohio’s ratepayers, where “unprecedented” subsidies were approved to keep Ormet and hundreds of jobs in </w:t>
      </w:r>
      <w:smartTag w:uri="urn:schemas-microsoft-com:office:smarttags" w:element="PostalCode">
        <w:r>
          <w:rPr>
            <w:sz w:val="24"/>
            <w:szCs w:val="24"/>
          </w:rPr>
          <w:t>Ohio</w:t>
        </w:r>
      </w:smartTag>
      <w:r>
        <w:rPr>
          <w:sz w:val="24"/>
          <w:szCs w:val="24"/>
        </w:rPr>
        <w:t>.</w:t>
      </w:r>
      <w:r>
        <w:rPr>
          <w:rStyle w:val="FootnoteReference"/>
          <w:szCs w:val="24"/>
        </w:rPr>
        <w:footnoteReference w:id="19"/>
      </w:r>
      <w:r>
        <w:rPr>
          <w:sz w:val="24"/>
          <w:szCs w:val="24"/>
        </w:rPr>
        <w:t xml:space="preserve"> </w:t>
      </w:r>
    </w:p>
    <w:p w:rsidR="007F5BD0" w:rsidRDefault="007F5BD0">
      <w:pPr>
        <w:pStyle w:val="InsideAddress"/>
        <w:tabs>
          <w:tab w:val="left" w:pos="4320"/>
        </w:tabs>
        <w:autoSpaceDE w:val="0"/>
        <w:autoSpaceDN w:val="0"/>
        <w:adjustRightInd w:val="0"/>
        <w:spacing w:line="480" w:lineRule="auto"/>
        <w:ind w:firstLine="720"/>
        <w:rPr>
          <w:szCs w:val="24"/>
        </w:rPr>
      </w:pPr>
      <w:r>
        <w:rPr>
          <w:szCs w:val="24"/>
        </w:rPr>
        <w:t>The PUCO should now clarify that the existing safeguards (for the customers who are paying AEP Ohio for the discounts to Ormet) will continue as part of the revised Ormet arrangement. As stated, the PUCO’s existing two safeguards, approved in 2009 in its original Opinion and Order, were job commitments and an independent termination provision.</w:t>
      </w:r>
    </w:p>
    <w:p w:rsidR="007F5BD0" w:rsidRDefault="007F5BD0">
      <w:pPr>
        <w:pStyle w:val="InsideAddress"/>
        <w:tabs>
          <w:tab w:val="left" w:pos="4320"/>
        </w:tabs>
        <w:autoSpaceDE w:val="0"/>
        <w:autoSpaceDN w:val="0"/>
        <w:adjustRightInd w:val="0"/>
        <w:spacing w:line="480" w:lineRule="auto"/>
        <w:ind w:firstLine="720"/>
        <w:rPr>
          <w:szCs w:val="24"/>
        </w:rPr>
      </w:pPr>
      <w:r>
        <w:rPr>
          <w:szCs w:val="24"/>
        </w:rPr>
        <w:t xml:space="preserve">One </w:t>
      </w:r>
      <w:r w:rsidR="00640BE1">
        <w:rPr>
          <w:szCs w:val="24"/>
        </w:rPr>
        <w:t xml:space="preserve">safeguard </w:t>
      </w:r>
      <w:r>
        <w:rPr>
          <w:szCs w:val="24"/>
        </w:rPr>
        <w:t>ordered by the PUCO in 2009 was that Ormet must maintain 650 full-time employees for Ohio.  This should be a commitment as well for the additional $20 million discount.</w:t>
      </w:r>
      <w:r>
        <w:rPr>
          <w:rStyle w:val="FootnoteReference"/>
          <w:szCs w:val="24"/>
        </w:rPr>
        <w:footnoteReference w:id="20"/>
      </w:r>
      <w:r>
        <w:rPr>
          <w:szCs w:val="24"/>
        </w:rPr>
        <w:t xml:space="preserve">  A second protection originally ordered by the PUCO is that it reserved the right to terminate the Ormet arrangement (discount) if long-term metal prices did not increase enough for Ormet to profitably operate (and afford its electricity </w:t>
      </w:r>
      <w:r>
        <w:rPr>
          <w:szCs w:val="24"/>
        </w:rPr>
        <w:lastRenderedPageBreak/>
        <w:t>bills).</w:t>
      </w:r>
      <w:r>
        <w:rPr>
          <w:rStyle w:val="FootnoteReference"/>
          <w:szCs w:val="24"/>
        </w:rPr>
        <w:footnoteReference w:id="21"/>
      </w:r>
      <w:r>
        <w:rPr>
          <w:szCs w:val="24"/>
        </w:rPr>
        <w:t xml:space="preserve">  The PUCO previously concluded that “the primary purpose of the unique arrangement is to retain jobs rather than to boost world aluminum production or to enrich Ormet’s investors.”</w:t>
      </w:r>
      <w:r>
        <w:rPr>
          <w:rStyle w:val="FootnoteReference"/>
          <w:szCs w:val="24"/>
        </w:rPr>
        <w:footnoteReference w:id="22"/>
      </w:r>
      <w:r>
        <w:rPr>
          <w:szCs w:val="24"/>
        </w:rPr>
        <w:t xml:space="preserve"> </w:t>
      </w:r>
    </w:p>
    <w:p w:rsidR="007F5BD0" w:rsidRDefault="007F5BD0">
      <w:pPr>
        <w:pStyle w:val="InsideAddress"/>
        <w:tabs>
          <w:tab w:val="left" w:pos="4320"/>
        </w:tabs>
        <w:autoSpaceDE w:val="0"/>
        <w:autoSpaceDN w:val="0"/>
        <w:adjustRightInd w:val="0"/>
        <w:spacing w:line="480" w:lineRule="auto"/>
        <w:rPr>
          <w:szCs w:val="24"/>
        </w:rPr>
      </w:pPr>
      <w:r>
        <w:rPr>
          <w:szCs w:val="24"/>
        </w:rPr>
        <w:t xml:space="preserve">          The Commission should grant rehearing on this matter where the issues involve the continuation of the PUCO’s prior customer safeguards.   </w:t>
      </w:r>
    </w:p>
    <w:p w:rsidR="007F5BD0" w:rsidRDefault="007F5BD0">
      <w:pPr>
        <w:pStyle w:val="InsideAddress"/>
        <w:tabs>
          <w:tab w:val="left" w:pos="4320"/>
        </w:tabs>
        <w:autoSpaceDE w:val="0"/>
        <w:autoSpaceDN w:val="0"/>
        <w:adjustRightInd w:val="0"/>
        <w:spacing w:line="480" w:lineRule="auto"/>
        <w:ind w:firstLine="720"/>
        <w:rPr>
          <w:b/>
        </w:rPr>
      </w:pPr>
      <w:r>
        <w:rPr>
          <w:szCs w:val="24"/>
        </w:rPr>
        <w:tab/>
      </w:r>
      <w:r>
        <w:t>Respectfully submitted,</w:t>
      </w:r>
    </w:p>
    <w:p w:rsidR="007F5BD0" w:rsidRDefault="007F5BD0">
      <w:pPr>
        <w:pStyle w:val="Footer"/>
        <w:tabs>
          <w:tab w:val="clear" w:pos="4320"/>
          <w:tab w:val="clear" w:pos="8640"/>
          <w:tab w:val="left" w:pos="3600"/>
        </w:tabs>
        <w:spacing w:line="240" w:lineRule="auto"/>
      </w:pPr>
      <w:r>
        <w:tab/>
      </w:r>
      <w:r>
        <w:tab/>
      </w:r>
      <w:r>
        <w:tab/>
        <w:t>BRUCE J. WESTON</w:t>
      </w:r>
    </w:p>
    <w:p w:rsidR="007F5BD0" w:rsidRDefault="007F5BD0">
      <w:pPr>
        <w:tabs>
          <w:tab w:val="left" w:pos="4320"/>
        </w:tabs>
        <w:rPr>
          <w:sz w:val="24"/>
          <w:szCs w:val="24"/>
        </w:rPr>
      </w:pPr>
      <w:r>
        <w:rPr>
          <w:sz w:val="24"/>
          <w:szCs w:val="24"/>
        </w:rPr>
        <w:tab/>
      </w:r>
      <w:smartTag w:uri="urn:schemas-microsoft-com:office:smarttags" w:element="PostalCode">
        <w:r>
          <w:rPr>
            <w:sz w:val="24"/>
            <w:szCs w:val="24"/>
          </w:rPr>
          <w:t>OHIO</w:t>
        </w:r>
      </w:smartTag>
      <w:r>
        <w:rPr>
          <w:sz w:val="24"/>
          <w:szCs w:val="24"/>
        </w:rPr>
        <w:t xml:space="preserve"> CONSUMERS’ COUNSEL</w:t>
      </w:r>
    </w:p>
    <w:p w:rsidR="007F5BD0" w:rsidRDefault="007F5BD0">
      <w:pPr>
        <w:tabs>
          <w:tab w:val="left" w:pos="4320"/>
        </w:tabs>
        <w:rPr>
          <w:sz w:val="24"/>
          <w:szCs w:val="24"/>
        </w:rPr>
      </w:pPr>
    </w:p>
    <w:p w:rsidR="007F5BD0" w:rsidRDefault="007F5BD0">
      <w:pPr>
        <w:tabs>
          <w:tab w:val="left" w:pos="4320"/>
        </w:tabs>
        <w:rPr>
          <w:sz w:val="24"/>
          <w:szCs w:val="24"/>
        </w:rPr>
      </w:pPr>
    </w:p>
    <w:p w:rsidR="007F5BD0" w:rsidRDefault="007F5BD0">
      <w:pPr>
        <w:tabs>
          <w:tab w:val="left" w:pos="4320"/>
        </w:tabs>
        <w:rPr>
          <w:sz w:val="24"/>
          <w:szCs w:val="24"/>
        </w:rPr>
      </w:pPr>
      <w:r>
        <w:rPr>
          <w:sz w:val="24"/>
          <w:szCs w:val="24"/>
        </w:rPr>
        <w:tab/>
      </w:r>
      <w:r>
        <w:rPr>
          <w:i/>
          <w:sz w:val="24"/>
          <w:szCs w:val="24"/>
          <w:u w:val="single"/>
        </w:rPr>
        <w:t>/s/ Maureen R. Grady</w:t>
      </w:r>
      <w:r>
        <w:rPr>
          <w:sz w:val="24"/>
          <w:szCs w:val="24"/>
        </w:rPr>
        <w:t>_________________</w:t>
      </w:r>
    </w:p>
    <w:p w:rsidR="007F5BD0" w:rsidRDefault="007F5BD0">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Maureen R. Grady, Counsel of Record</w:t>
      </w:r>
    </w:p>
    <w:p w:rsidR="007F5BD0" w:rsidRDefault="007F5BD0">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Assistant Consumers’ Counsel</w:t>
      </w:r>
    </w:p>
    <w:p w:rsidR="007F5BD0" w:rsidRDefault="007F5BD0">
      <w:pPr>
        <w:tabs>
          <w:tab w:val="left" w:pos="-720"/>
        </w:tabs>
        <w:suppressAutoHyphens/>
        <w:jc w:val="both"/>
        <w:rPr>
          <w:spacing w:val="-3"/>
          <w:sz w:val="24"/>
          <w:szCs w:val="24"/>
        </w:rPr>
      </w:pPr>
    </w:p>
    <w:p w:rsidR="007F5BD0" w:rsidRDefault="007F5BD0">
      <w:pPr>
        <w:tabs>
          <w:tab w:val="left" w:pos="4320"/>
        </w:tabs>
        <w:rPr>
          <w:b/>
          <w:sz w:val="24"/>
          <w:szCs w:val="24"/>
        </w:rPr>
      </w:pPr>
      <w:r>
        <w:rPr>
          <w:sz w:val="24"/>
          <w:szCs w:val="24"/>
        </w:rPr>
        <w:t xml:space="preserve"> </w:t>
      </w:r>
      <w:r>
        <w:rPr>
          <w:sz w:val="24"/>
          <w:szCs w:val="24"/>
        </w:rPr>
        <w:tab/>
      </w:r>
      <w:r>
        <w:rPr>
          <w:b/>
          <w:sz w:val="24"/>
          <w:szCs w:val="24"/>
        </w:rPr>
        <w:t xml:space="preserve">Office of the </w:t>
      </w:r>
      <w:smartTag w:uri="urn:schemas-microsoft-com:office:smarttags" w:element="PostalCode">
        <w:r>
          <w:rPr>
            <w:b/>
            <w:sz w:val="24"/>
            <w:szCs w:val="24"/>
          </w:rPr>
          <w:t>Ohio</w:t>
        </w:r>
      </w:smartTag>
      <w:r>
        <w:rPr>
          <w:b/>
          <w:sz w:val="24"/>
          <w:szCs w:val="24"/>
        </w:rPr>
        <w:t xml:space="preserve"> Consumers’ Counsel</w:t>
      </w:r>
    </w:p>
    <w:p w:rsidR="007F5BD0" w:rsidRDefault="007F5BD0">
      <w:pPr>
        <w:tabs>
          <w:tab w:val="left" w:pos="4320"/>
        </w:tabs>
        <w:rPr>
          <w:sz w:val="24"/>
          <w:szCs w:val="24"/>
        </w:rPr>
      </w:pPr>
      <w:r>
        <w:rPr>
          <w:sz w:val="24"/>
          <w:szCs w:val="24"/>
        </w:rPr>
        <w:tab/>
      </w:r>
      <w:smartTag w:uri="urn:schemas-microsoft-com:office:smarttags" w:element="PostalCode">
        <w:r>
          <w:rPr>
            <w:sz w:val="24"/>
            <w:szCs w:val="24"/>
          </w:rPr>
          <w:t>10 West Broad Street, Suite 1800</w:t>
        </w:r>
      </w:smartTag>
    </w:p>
    <w:p w:rsidR="007F5BD0" w:rsidRDefault="007F5BD0">
      <w:pPr>
        <w:tabs>
          <w:tab w:val="left" w:pos="4320"/>
        </w:tabs>
        <w:rPr>
          <w:sz w:val="24"/>
          <w:szCs w:val="24"/>
        </w:rPr>
      </w:pPr>
      <w:r>
        <w:rPr>
          <w:sz w:val="24"/>
          <w:szCs w:val="24"/>
        </w:rPr>
        <w:tab/>
      </w:r>
      <w:smartTag w:uri="urn:schemas-microsoft-com:office:smarttags" w:element="PostalCode">
        <w:smartTag w:uri="urn:schemas-microsoft-com:office:smarttags" w:element="PostalCode">
          <w:r>
            <w:rPr>
              <w:sz w:val="24"/>
              <w:szCs w:val="24"/>
            </w:rPr>
            <w:t>Columbus</w:t>
          </w:r>
        </w:smartTag>
        <w:r>
          <w:rPr>
            <w:sz w:val="24"/>
            <w:szCs w:val="24"/>
          </w:rPr>
          <w:t xml:space="preserve">, </w:t>
        </w:r>
        <w:smartTag w:uri="urn:schemas-microsoft-com:office:smarttags" w:element="PostalCode">
          <w:r>
            <w:rPr>
              <w:sz w:val="24"/>
              <w:szCs w:val="24"/>
            </w:rPr>
            <w:t>Ohio</w:t>
          </w:r>
        </w:smartTag>
        <w:r>
          <w:rPr>
            <w:sz w:val="24"/>
            <w:szCs w:val="24"/>
          </w:rPr>
          <w:t xml:space="preserve"> </w:t>
        </w:r>
        <w:smartTag w:uri="urn:schemas-microsoft-com:office:smarttags" w:element="PostalCode">
          <w:r>
            <w:rPr>
              <w:sz w:val="24"/>
              <w:szCs w:val="24"/>
            </w:rPr>
            <w:t>43215-3485</w:t>
          </w:r>
        </w:smartTag>
      </w:smartTag>
    </w:p>
    <w:p w:rsidR="007F5BD0" w:rsidRDefault="007F5BD0">
      <w:pPr>
        <w:tabs>
          <w:tab w:val="left" w:pos="4320"/>
        </w:tabs>
        <w:rPr>
          <w:sz w:val="24"/>
          <w:szCs w:val="24"/>
        </w:rPr>
      </w:pPr>
      <w:r>
        <w:rPr>
          <w:sz w:val="24"/>
          <w:szCs w:val="24"/>
        </w:rPr>
        <w:tab/>
        <w:t>(614) 466-9567 (Telephone)</w:t>
      </w:r>
    </w:p>
    <w:p w:rsidR="007F5BD0" w:rsidRDefault="007F5BD0">
      <w:pPr>
        <w:pStyle w:val="Footer"/>
        <w:tabs>
          <w:tab w:val="clear" w:pos="8640"/>
          <w:tab w:val="left" w:pos="4320"/>
        </w:tabs>
        <w:spacing w:line="240" w:lineRule="auto"/>
      </w:pPr>
      <w:r>
        <w:tab/>
      </w:r>
      <w:r>
        <w:tab/>
        <w:t>(614) 466-9475 (Facsimile)</w:t>
      </w:r>
    </w:p>
    <w:p w:rsidR="007F5BD0" w:rsidRDefault="007F5BD0">
      <w:pPr>
        <w:pStyle w:val="Footer"/>
        <w:tabs>
          <w:tab w:val="clear" w:pos="8640"/>
          <w:tab w:val="left" w:pos="4320"/>
        </w:tabs>
        <w:spacing w:line="240" w:lineRule="auto"/>
      </w:pPr>
      <w:r>
        <w:tab/>
      </w:r>
      <w:r>
        <w:tab/>
      </w:r>
      <w:hyperlink r:id="rId10" w:history="1">
        <w:r>
          <w:rPr>
            <w:rStyle w:val="Hyperlink"/>
          </w:rPr>
          <w:t>grady@occ.state.oh.us</w:t>
        </w:r>
      </w:hyperlink>
    </w:p>
    <w:p w:rsidR="007F5BD0" w:rsidRDefault="007F5BD0">
      <w:pPr>
        <w:pStyle w:val="Footer"/>
        <w:tabs>
          <w:tab w:val="clear" w:pos="8640"/>
          <w:tab w:val="left" w:pos="4320"/>
        </w:tabs>
        <w:spacing w:line="240" w:lineRule="auto"/>
      </w:pPr>
    </w:p>
    <w:p w:rsidR="007F5BD0" w:rsidRDefault="007F5BD0">
      <w:pPr>
        <w:pStyle w:val="BodyText"/>
        <w:tabs>
          <w:tab w:val="left" w:pos="4320"/>
        </w:tabs>
        <w:spacing w:line="240" w:lineRule="auto"/>
        <w:ind w:firstLine="0"/>
        <w:rPr>
          <w:szCs w:val="24"/>
        </w:rPr>
      </w:pPr>
    </w:p>
    <w:p w:rsidR="007F5BD0" w:rsidRDefault="007F5BD0">
      <w:pPr>
        <w:pStyle w:val="BodyText"/>
        <w:tabs>
          <w:tab w:val="left" w:pos="4320"/>
        </w:tabs>
        <w:spacing w:line="240" w:lineRule="auto"/>
        <w:ind w:firstLine="0"/>
        <w:rPr>
          <w:szCs w:val="24"/>
        </w:rPr>
      </w:pPr>
      <w:r>
        <w:rPr>
          <w:szCs w:val="24"/>
        </w:rPr>
        <w:tab/>
      </w:r>
      <w:r>
        <w:rPr>
          <w:szCs w:val="24"/>
        </w:rPr>
        <w:tab/>
      </w:r>
    </w:p>
    <w:p w:rsidR="007F5BD0" w:rsidRDefault="007F5BD0">
      <w:pPr>
        <w:jc w:val="center"/>
        <w:rPr>
          <w:b/>
          <w:caps/>
          <w:spacing w:val="-3"/>
          <w:sz w:val="24"/>
          <w:szCs w:val="24"/>
          <w:u w:val="single"/>
        </w:rPr>
      </w:pPr>
      <w:r>
        <w:rPr>
          <w:szCs w:val="24"/>
        </w:rPr>
        <w:br w:type="page"/>
      </w:r>
      <w:r>
        <w:rPr>
          <w:b/>
          <w:caps/>
          <w:spacing w:val="-3"/>
          <w:sz w:val="24"/>
          <w:szCs w:val="24"/>
          <w:u w:val="single"/>
        </w:rPr>
        <w:lastRenderedPageBreak/>
        <w:t>Certificate Of Service</w:t>
      </w:r>
    </w:p>
    <w:p w:rsidR="007F5BD0" w:rsidRDefault="007F5BD0">
      <w:pPr>
        <w:spacing w:line="480" w:lineRule="auto"/>
        <w:rPr>
          <w:sz w:val="24"/>
          <w:szCs w:val="24"/>
        </w:rPr>
      </w:pPr>
      <w:r>
        <w:rPr>
          <w:sz w:val="24"/>
          <w:szCs w:val="24"/>
        </w:rPr>
        <w:tab/>
      </w:r>
    </w:p>
    <w:p w:rsidR="007F5BD0" w:rsidRDefault="007F5BD0">
      <w:pPr>
        <w:spacing w:line="480" w:lineRule="auto"/>
        <w:ind w:firstLine="720"/>
        <w:rPr>
          <w:sz w:val="24"/>
          <w:szCs w:val="24"/>
        </w:rPr>
      </w:pPr>
      <w:r>
        <w:rPr>
          <w:sz w:val="24"/>
          <w:szCs w:val="24"/>
        </w:rPr>
        <w:t xml:space="preserve">I hereby certify that the foregoing Application for Rehearing was served via electronic transmission upon the following parties of record, this 16th day of November 2012.  </w:t>
      </w:r>
    </w:p>
    <w:p w:rsidR="007F5BD0" w:rsidRDefault="007F5BD0">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i/>
          <w:spacing w:val="-3"/>
          <w:sz w:val="24"/>
          <w:szCs w:val="24"/>
          <w:u w:val="single"/>
        </w:rPr>
        <w:t>/s/ Maureen R. Grady</w:t>
      </w:r>
      <w:r>
        <w:rPr>
          <w:spacing w:val="-3"/>
          <w:sz w:val="24"/>
          <w:szCs w:val="24"/>
        </w:rPr>
        <w:t>__________________</w:t>
      </w:r>
    </w:p>
    <w:p w:rsidR="007F5BD0" w:rsidRDefault="007F5BD0">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Maureen R. Grady</w:t>
      </w:r>
    </w:p>
    <w:p w:rsidR="007F5BD0" w:rsidRDefault="007F5BD0">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Assistant Consumers’ Counsel</w:t>
      </w:r>
    </w:p>
    <w:p w:rsidR="007F5BD0" w:rsidRDefault="007F5BD0">
      <w:pPr>
        <w:tabs>
          <w:tab w:val="left" w:pos="-720"/>
        </w:tabs>
        <w:suppressAutoHyphens/>
        <w:rPr>
          <w:spacing w:val="-3"/>
          <w:sz w:val="24"/>
          <w:szCs w:val="24"/>
        </w:rPr>
      </w:pPr>
    </w:p>
    <w:p w:rsidR="007F5BD0" w:rsidRDefault="007F5BD0">
      <w:pPr>
        <w:tabs>
          <w:tab w:val="left" w:pos="-720"/>
        </w:tabs>
        <w:suppressAutoHyphens/>
        <w:jc w:val="center"/>
        <w:rPr>
          <w:b/>
          <w:spacing w:val="-3"/>
          <w:sz w:val="24"/>
          <w:szCs w:val="24"/>
          <w:u w:val="single"/>
        </w:rPr>
      </w:pPr>
    </w:p>
    <w:p w:rsidR="007F5BD0" w:rsidRDefault="007F5BD0">
      <w:pPr>
        <w:tabs>
          <w:tab w:val="left" w:pos="-720"/>
        </w:tabs>
        <w:suppressAutoHyphens/>
        <w:jc w:val="center"/>
        <w:rPr>
          <w:b/>
          <w:spacing w:val="-3"/>
          <w:sz w:val="24"/>
          <w:szCs w:val="24"/>
          <w:u w:val="single"/>
        </w:rPr>
      </w:pPr>
      <w:r>
        <w:rPr>
          <w:b/>
          <w:spacing w:val="-3"/>
          <w:sz w:val="24"/>
          <w:szCs w:val="24"/>
          <w:u w:val="single"/>
        </w:rPr>
        <w:t>SERVICE LIST</w:t>
      </w:r>
    </w:p>
    <w:p w:rsidR="007F5BD0" w:rsidRDefault="007F5BD0">
      <w:pPr>
        <w:tabs>
          <w:tab w:val="left" w:pos="-720"/>
        </w:tabs>
        <w:suppressAutoHyphens/>
        <w:jc w:val="center"/>
        <w:rPr>
          <w:b/>
          <w:spacing w:val="-3"/>
          <w:sz w:val="24"/>
          <w:szCs w:val="24"/>
          <w:u w:val="single"/>
        </w:rPr>
      </w:pPr>
    </w:p>
    <w:p w:rsidR="007F5BD0" w:rsidRDefault="007F5BD0">
      <w:pPr>
        <w:tabs>
          <w:tab w:val="left" w:pos="-720"/>
        </w:tabs>
        <w:suppressAutoHyphens/>
        <w:jc w:val="center"/>
        <w:rPr>
          <w:b/>
          <w:spacing w:val="-3"/>
          <w:sz w:val="24"/>
          <w:szCs w:val="24"/>
          <w:u w:val="single"/>
        </w:rPr>
      </w:pPr>
    </w:p>
    <w:tbl>
      <w:tblPr>
        <w:tblW w:w="0" w:type="auto"/>
        <w:tblLook w:val="00A0" w:firstRow="1" w:lastRow="0" w:firstColumn="1" w:lastColumn="0" w:noHBand="0" w:noVBand="0"/>
      </w:tblPr>
      <w:tblGrid>
        <w:gridCol w:w="4428"/>
        <w:gridCol w:w="4428"/>
      </w:tblGrid>
      <w:tr w:rsidR="007F5BD0">
        <w:tc>
          <w:tcPr>
            <w:tcW w:w="4428" w:type="dxa"/>
          </w:tcPr>
          <w:p w:rsidR="007F5BD0" w:rsidRDefault="00F3516B">
            <w:pPr>
              <w:rPr>
                <w:sz w:val="24"/>
                <w:szCs w:val="24"/>
              </w:rPr>
            </w:pPr>
            <w:hyperlink r:id="rId11" w:history="1">
              <w:r w:rsidR="007F5BD0">
                <w:rPr>
                  <w:color w:val="0000FF"/>
                  <w:sz w:val="24"/>
                  <w:szCs w:val="24"/>
                  <w:u w:val="single"/>
                </w:rPr>
                <w:t>Thomas.mcnamee@puc.state.oh.us</w:t>
              </w:r>
            </w:hyperlink>
          </w:p>
          <w:p w:rsidR="007F5BD0" w:rsidRDefault="00F3516B">
            <w:pPr>
              <w:rPr>
                <w:sz w:val="24"/>
                <w:szCs w:val="24"/>
              </w:rPr>
            </w:pPr>
            <w:hyperlink r:id="rId12" w:history="1">
              <w:r w:rsidR="007F5BD0">
                <w:rPr>
                  <w:color w:val="0000FF"/>
                  <w:sz w:val="24"/>
                  <w:szCs w:val="24"/>
                  <w:u w:val="single"/>
                </w:rPr>
                <w:t>stnourse@aep.com</w:t>
              </w:r>
            </w:hyperlink>
          </w:p>
          <w:p w:rsidR="007F5BD0" w:rsidRDefault="00F3516B">
            <w:pPr>
              <w:rPr>
                <w:sz w:val="24"/>
                <w:szCs w:val="24"/>
              </w:rPr>
            </w:pPr>
            <w:hyperlink r:id="rId13" w:history="1">
              <w:r w:rsidR="007F5BD0">
                <w:rPr>
                  <w:rStyle w:val="Hyperlink"/>
                  <w:sz w:val="24"/>
                  <w:szCs w:val="24"/>
                </w:rPr>
                <w:t>myurick@taftlaw.com</w:t>
              </w:r>
            </w:hyperlink>
          </w:p>
          <w:p w:rsidR="007F5BD0" w:rsidRDefault="00F3516B">
            <w:pPr>
              <w:rPr>
                <w:sz w:val="24"/>
                <w:szCs w:val="24"/>
              </w:rPr>
            </w:pPr>
            <w:hyperlink r:id="rId14" w:history="1">
              <w:r w:rsidR="007F5BD0">
                <w:rPr>
                  <w:rStyle w:val="Hyperlink"/>
                  <w:sz w:val="24"/>
                  <w:szCs w:val="24"/>
                </w:rPr>
                <w:t>mwhite@taftlaw.com</w:t>
              </w:r>
            </w:hyperlink>
          </w:p>
          <w:p w:rsidR="007F5BD0" w:rsidRDefault="00F3516B">
            <w:pPr>
              <w:rPr>
                <w:sz w:val="24"/>
                <w:szCs w:val="24"/>
              </w:rPr>
            </w:pPr>
            <w:hyperlink r:id="rId15" w:history="1">
              <w:r w:rsidR="007F5BD0">
                <w:rPr>
                  <w:color w:val="0000FF"/>
                  <w:sz w:val="24"/>
                  <w:szCs w:val="24"/>
                  <w:u w:val="single"/>
                </w:rPr>
                <w:t>dboehm@bkllawfirm.com</w:t>
              </w:r>
            </w:hyperlink>
          </w:p>
          <w:p w:rsidR="007F5BD0" w:rsidRDefault="00F3516B">
            <w:pPr>
              <w:tabs>
                <w:tab w:val="left" w:pos="-720"/>
              </w:tabs>
              <w:suppressAutoHyphens/>
              <w:rPr>
                <w:b/>
                <w:spacing w:val="-3"/>
                <w:sz w:val="24"/>
                <w:szCs w:val="24"/>
                <w:u w:val="single"/>
              </w:rPr>
            </w:pPr>
            <w:hyperlink r:id="rId16" w:history="1">
              <w:r w:rsidR="007F5BD0">
                <w:rPr>
                  <w:color w:val="0000FF"/>
                  <w:sz w:val="24"/>
                  <w:szCs w:val="24"/>
                  <w:u w:val="single"/>
                </w:rPr>
                <w:t>mkurtz@bkllawfirm.com</w:t>
              </w:r>
            </w:hyperlink>
          </w:p>
        </w:tc>
        <w:tc>
          <w:tcPr>
            <w:tcW w:w="4428" w:type="dxa"/>
          </w:tcPr>
          <w:p w:rsidR="007F5BD0" w:rsidRDefault="00F3516B">
            <w:pPr>
              <w:rPr>
                <w:sz w:val="24"/>
                <w:szCs w:val="24"/>
              </w:rPr>
            </w:pPr>
            <w:hyperlink r:id="rId17" w:history="1">
              <w:r w:rsidR="007F5BD0">
                <w:rPr>
                  <w:color w:val="0000FF"/>
                  <w:sz w:val="24"/>
                  <w:szCs w:val="24"/>
                  <w:u w:val="single"/>
                </w:rPr>
                <w:t>cvince@sonnenschein.com</w:t>
              </w:r>
            </w:hyperlink>
          </w:p>
          <w:p w:rsidR="007F5BD0" w:rsidRDefault="00F3516B">
            <w:pPr>
              <w:rPr>
                <w:sz w:val="24"/>
                <w:szCs w:val="24"/>
              </w:rPr>
            </w:pPr>
            <w:hyperlink r:id="rId18" w:history="1">
              <w:r w:rsidR="007F5BD0">
                <w:rPr>
                  <w:color w:val="0000FF"/>
                  <w:sz w:val="24"/>
                  <w:szCs w:val="24"/>
                  <w:u w:val="single"/>
                </w:rPr>
                <w:t>ehand@sonnenschein.com</w:t>
              </w:r>
            </w:hyperlink>
          </w:p>
          <w:p w:rsidR="007F5BD0" w:rsidRDefault="00F3516B">
            <w:pPr>
              <w:rPr>
                <w:sz w:val="24"/>
                <w:szCs w:val="24"/>
              </w:rPr>
            </w:pPr>
            <w:hyperlink r:id="rId19" w:history="1">
              <w:r w:rsidR="007F5BD0">
                <w:rPr>
                  <w:color w:val="0000FF"/>
                  <w:sz w:val="24"/>
                  <w:szCs w:val="24"/>
                  <w:u w:val="single"/>
                </w:rPr>
                <w:t>dbonner@sonnenschein.com</w:t>
              </w:r>
            </w:hyperlink>
          </w:p>
          <w:p w:rsidR="007F5BD0" w:rsidRDefault="00F3516B">
            <w:pPr>
              <w:rPr>
                <w:sz w:val="24"/>
                <w:szCs w:val="24"/>
              </w:rPr>
            </w:pPr>
            <w:hyperlink r:id="rId20" w:history="1">
              <w:r w:rsidR="007F5BD0">
                <w:rPr>
                  <w:color w:val="0000FF"/>
                  <w:sz w:val="24"/>
                  <w:szCs w:val="24"/>
                  <w:u w:val="single"/>
                </w:rPr>
                <w:t>dbarnowski@sonnenschein.com</w:t>
              </w:r>
            </w:hyperlink>
          </w:p>
          <w:p w:rsidR="007F5BD0" w:rsidRDefault="00F3516B">
            <w:pPr>
              <w:autoSpaceDE w:val="0"/>
              <w:autoSpaceDN w:val="0"/>
              <w:adjustRightInd w:val="0"/>
              <w:rPr>
                <w:sz w:val="24"/>
                <w:szCs w:val="24"/>
              </w:rPr>
            </w:pPr>
            <w:hyperlink r:id="rId21" w:history="1">
              <w:r w:rsidR="007F5BD0">
                <w:rPr>
                  <w:color w:val="0000FF"/>
                  <w:sz w:val="24"/>
                  <w:szCs w:val="24"/>
                  <w:u w:val="single"/>
                </w:rPr>
                <w:t>sam@mwncmh.com</w:t>
              </w:r>
            </w:hyperlink>
          </w:p>
          <w:p w:rsidR="007F5BD0" w:rsidRDefault="00F3516B">
            <w:pPr>
              <w:autoSpaceDE w:val="0"/>
              <w:autoSpaceDN w:val="0"/>
              <w:adjustRightInd w:val="0"/>
              <w:rPr>
                <w:sz w:val="24"/>
                <w:szCs w:val="24"/>
              </w:rPr>
            </w:pPr>
            <w:hyperlink r:id="rId22" w:history="1">
              <w:r w:rsidR="007F5BD0">
                <w:rPr>
                  <w:rStyle w:val="Hyperlink"/>
                  <w:sz w:val="24"/>
                  <w:szCs w:val="24"/>
                </w:rPr>
                <w:t>tsiwo@bricker.com</w:t>
              </w:r>
            </w:hyperlink>
          </w:p>
          <w:p w:rsidR="007F5BD0" w:rsidRDefault="007F5BD0">
            <w:pPr>
              <w:rPr>
                <w:rStyle w:val="Hyperlink"/>
                <w:sz w:val="24"/>
                <w:szCs w:val="24"/>
              </w:rPr>
            </w:pPr>
            <w:r>
              <w:rPr>
                <w:color w:val="0000FF"/>
                <w:sz w:val="24"/>
                <w:szCs w:val="24"/>
                <w:u w:val="single"/>
              </w:rPr>
              <w:fldChar w:fldCharType="begin"/>
            </w:r>
            <w:r w:rsidR="00E7581C">
              <w:rPr>
                <w:color w:val="0000FF"/>
                <w:sz w:val="24"/>
                <w:szCs w:val="24"/>
                <w:u w:val="single"/>
              </w:rPr>
              <w:instrText>HYPERLINK "mailto:Gregory.price@puc.state.oh.us"</w:instrText>
            </w:r>
            <w:r>
              <w:rPr>
                <w:color w:val="0000FF"/>
                <w:sz w:val="24"/>
                <w:szCs w:val="24"/>
                <w:u w:val="single"/>
              </w:rPr>
              <w:fldChar w:fldCharType="separate"/>
            </w:r>
          </w:p>
          <w:p w:rsidR="007F5BD0" w:rsidRDefault="007F5BD0">
            <w:pPr>
              <w:rPr>
                <w:rStyle w:val="Hyperlink"/>
                <w:sz w:val="24"/>
                <w:szCs w:val="24"/>
              </w:rPr>
            </w:pPr>
            <w:r>
              <w:rPr>
                <w:rStyle w:val="Hyperlink"/>
                <w:sz w:val="24"/>
                <w:szCs w:val="24"/>
              </w:rPr>
              <w:t>Gregory.price@puc.state.oh.us</w:t>
            </w:r>
          </w:p>
          <w:p w:rsidR="007F5BD0" w:rsidRDefault="007F5BD0">
            <w:pPr>
              <w:rPr>
                <w:rStyle w:val="Hyperlink"/>
                <w:sz w:val="23"/>
                <w:szCs w:val="23"/>
              </w:rPr>
            </w:pPr>
          </w:p>
          <w:p w:rsidR="007F5BD0" w:rsidRDefault="007F5BD0">
            <w:pPr>
              <w:rPr>
                <w:rStyle w:val="Hyperlink"/>
                <w:sz w:val="24"/>
                <w:szCs w:val="24"/>
              </w:rPr>
            </w:pPr>
          </w:p>
          <w:p w:rsidR="007F5BD0" w:rsidRDefault="007F5BD0">
            <w:pPr>
              <w:rPr>
                <w:sz w:val="24"/>
                <w:szCs w:val="24"/>
              </w:rPr>
            </w:pPr>
            <w:r>
              <w:rPr>
                <w:color w:val="0000FF"/>
                <w:sz w:val="24"/>
                <w:szCs w:val="24"/>
                <w:u w:val="single"/>
              </w:rPr>
              <w:fldChar w:fldCharType="end"/>
            </w:r>
          </w:p>
          <w:p w:rsidR="007F5BD0" w:rsidRDefault="007F5BD0">
            <w:pPr>
              <w:tabs>
                <w:tab w:val="left" w:pos="-720"/>
              </w:tabs>
              <w:suppressAutoHyphens/>
              <w:jc w:val="center"/>
              <w:rPr>
                <w:b/>
                <w:spacing w:val="-3"/>
                <w:sz w:val="24"/>
                <w:szCs w:val="24"/>
                <w:u w:val="single"/>
              </w:rPr>
            </w:pPr>
          </w:p>
        </w:tc>
      </w:tr>
    </w:tbl>
    <w:p w:rsidR="007F5BD0" w:rsidRDefault="007F5BD0">
      <w:pPr>
        <w:tabs>
          <w:tab w:val="left" w:pos="-720"/>
        </w:tabs>
        <w:suppressAutoHyphens/>
        <w:jc w:val="center"/>
        <w:rPr>
          <w:b/>
          <w:spacing w:val="-3"/>
          <w:sz w:val="24"/>
          <w:szCs w:val="24"/>
          <w:u w:val="single"/>
        </w:rPr>
      </w:pPr>
    </w:p>
    <w:p w:rsidR="007F5BD0" w:rsidRDefault="007F5BD0">
      <w:pPr>
        <w:rPr>
          <w:sz w:val="24"/>
          <w:szCs w:val="24"/>
        </w:rPr>
      </w:pPr>
    </w:p>
    <w:p w:rsidR="007F5BD0" w:rsidRDefault="007F5BD0"/>
    <w:p w:rsidR="007F5BD0" w:rsidRDefault="007F5BD0">
      <w:pPr>
        <w:jc w:val="center"/>
        <w:rPr>
          <w:sz w:val="24"/>
          <w:szCs w:val="24"/>
        </w:rPr>
      </w:pPr>
    </w:p>
    <w:sectPr w:rsidR="007F5BD0" w:rsidSect="00953E3B">
      <w:headerReference w:type="even" r:id="rId23"/>
      <w:headerReference w:type="default" r:id="rId24"/>
      <w:headerReference w:type="first" r:id="rId25"/>
      <w:footerReference w:type="first" r:id="rId2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16B" w:rsidRDefault="00F3516B">
      <w:r>
        <w:separator/>
      </w:r>
    </w:p>
  </w:endnote>
  <w:endnote w:type="continuationSeparator" w:id="0">
    <w:p w:rsidR="00F3516B" w:rsidRDefault="00F3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D0" w:rsidRDefault="00140C0E">
    <w:pPr>
      <w:pStyle w:val="Footer"/>
      <w:jc w:val="center"/>
    </w:pPr>
    <w:r>
      <w:fldChar w:fldCharType="begin"/>
    </w:r>
    <w:r>
      <w:instrText xml:space="preserve"> PAGE   \* MERGEFORMAT </w:instrText>
    </w:r>
    <w:r>
      <w:fldChar w:fldCharType="separate"/>
    </w:r>
    <w:r w:rsidR="000531B6">
      <w:rPr>
        <w:noProof/>
      </w:rPr>
      <w:t>2</w:t>
    </w:r>
    <w:r>
      <w:rPr>
        <w:noProof/>
      </w:rPr>
      <w:fldChar w:fldCharType="end"/>
    </w:r>
  </w:p>
  <w:p w:rsidR="007F5BD0" w:rsidRDefault="007F5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D0" w:rsidRDefault="007F5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16B" w:rsidRDefault="00F3516B">
      <w:r>
        <w:separator/>
      </w:r>
    </w:p>
  </w:footnote>
  <w:footnote w:type="continuationSeparator" w:id="0">
    <w:p w:rsidR="00F3516B" w:rsidRDefault="00F3516B">
      <w:r>
        <w:continuationSeparator/>
      </w:r>
    </w:p>
  </w:footnote>
  <w:footnote w:id="1">
    <w:p w:rsidR="007F5BD0" w:rsidRDefault="007F5BD0">
      <w:pPr>
        <w:pStyle w:val="FootnoteText"/>
      </w:pPr>
      <w:r>
        <w:rPr>
          <w:rStyle w:val="FootnoteReference"/>
        </w:rPr>
        <w:footnoteRef/>
      </w:r>
      <w:r>
        <w:t xml:space="preserve"> See </w:t>
      </w:r>
      <w:r>
        <w:rPr>
          <w:i/>
        </w:rPr>
        <w:t>In the Matter of the Application of Ormet Primary Aluminum Corporation for Approval of a Unique Arrangement with Ohio Power Company</w:t>
      </w:r>
      <w:r>
        <w:t xml:space="preserve">, Case No. 09-119-EL-AEC, Opinion and Order (July 15, 2009). </w:t>
      </w:r>
    </w:p>
  </w:footnote>
  <w:footnote w:id="2">
    <w:p w:rsidR="007F5BD0" w:rsidRDefault="007F5BD0">
      <w:pPr>
        <w:pStyle w:val="FootnoteText"/>
      </w:pPr>
      <w:r>
        <w:rPr>
          <w:rStyle w:val="FootnoteReference"/>
        </w:rPr>
        <w:footnoteRef/>
      </w:r>
      <w:r>
        <w:t xml:space="preserve"> Ormet also owns an alumina refinery in Burnside </w:t>
      </w:r>
      <w:smartTag w:uri="urn:schemas-microsoft-com:office:smarttags" w:element="State">
        <w:smartTag w:uri="urn:schemas-microsoft-com:office:smarttags" w:element="place">
          <w:r>
            <w:t>Louisiana</w:t>
          </w:r>
        </w:smartTag>
      </w:smartTag>
      <w:r>
        <w:t xml:space="preserve"> which was restarted on November 1, 2011.  Ormet Corporation Rule 15c2-11 at 1, Information and </w:t>
      </w:r>
      <w:r w:rsidR="00640BE1">
        <w:t>D</w:t>
      </w:r>
      <w:r>
        <w:t xml:space="preserve">isclosure Statement for the Six Months Ended June 30, 2012. </w:t>
      </w:r>
    </w:p>
  </w:footnote>
  <w:footnote w:id="3">
    <w:p w:rsidR="007F5BD0" w:rsidRDefault="007F5BD0">
      <w:pPr>
        <w:pStyle w:val="FootnoteText"/>
      </w:pPr>
      <w:r>
        <w:rPr>
          <w:rStyle w:val="FootnoteReference"/>
        </w:rPr>
        <w:footnoteRef/>
      </w:r>
      <w:r>
        <w:t xml:space="preserve"> See</w:t>
      </w:r>
      <w:r>
        <w:rPr>
          <w:i/>
        </w:rPr>
        <w:t xml:space="preserve"> </w:t>
      </w:r>
      <w:smartTag w:uri="urn:schemas-microsoft-com:office:smarttags" w:element="State">
        <w:smartTag w:uri="urn:schemas-microsoft-com:office:smarttags" w:element="place">
          <w:r>
            <w:t>Id.</w:t>
          </w:r>
        </w:smartTag>
      </w:smartTag>
    </w:p>
  </w:footnote>
  <w:footnote w:id="4">
    <w:p w:rsidR="007F5BD0" w:rsidRDefault="007F5BD0">
      <w:pPr>
        <w:pStyle w:val="FootnoteText"/>
      </w:pPr>
      <w:r>
        <w:rPr>
          <w:rStyle w:val="FootnoteReference"/>
        </w:rPr>
        <w:footnoteRef/>
      </w:r>
      <w:r>
        <w:t xml:space="preserve"> Ormet reduced production at the </w:t>
      </w:r>
      <w:smartTag w:uri="urn:schemas-microsoft-com:office:smarttags" w:element="City">
        <w:smartTag w:uri="urn:schemas-microsoft-com:office:smarttags" w:element="place">
          <w:r>
            <w:t>Hannibal</w:t>
          </w:r>
        </w:smartTag>
      </w:smartTag>
      <w:r>
        <w:t xml:space="preserve"> smelter to four pot lines at the end of August 2012.  As of October 1, 2012, Ormet has reduced its </w:t>
      </w:r>
      <w:smartTag w:uri="urn:schemas-microsoft-com:office:smarttags" w:element="City">
        <w:smartTag w:uri="urn:schemas-microsoft-com:office:smarttags" w:element="place">
          <w:r>
            <w:t>Hannibal</w:t>
          </w:r>
        </w:smartTag>
      </w:smartTag>
      <w:r>
        <w:t xml:space="preserve"> smelter workforce by approximately 90 employees.  </w:t>
      </w:r>
      <w:smartTag w:uri="urn:schemas-microsoft-com:office:smarttags" w:element="State">
        <w:smartTag w:uri="urn:schemas-microsoft-com:office:smarttags" w:element="place">
          <w:r>
            <w:t>Id.</w:t>
          </w:r>
        </w:smartTag>
      </w:smartTag>
      <w:r>
        <w:t xml:space="preserve">  </w:t>
      </w:r>
    </w:p>
  </w:footnote>
  <w:footnote w:id="5">
    <w:p w:rsidR="007F5BD0" w:rsidRDefault="007F5BD0">
      <w:pPr>
        <w:pStyle w:val="FootnoteText"/>
      </w:pPr>
      <w:r>
        <w:rPr>
          <w:rStyle w:val="FootnoteReference"/>
        </w:rPr>
        <w:footnoteRef/>
      </w:r>
      <w:r>
        <w:t xml:space="preserve"> See Affidavit of James Burns Riley (Oct. 19, 2012).  </w:t>
      </w:r>
    </w:p>
  </w:footnote>
  <w:footnote w:id="6">
    <w:p w:rsidR="007F5BD0" w:rsidRDefault="007F5BD0">
      <w:pPr>
        <w:pStyle w:val="FootnoteText"/>
      </w:pPr>
      <w:r>
        <w:rPr>
          <w:rStyle w:val="FootnoteReference"/>
        </w:rPr>
        <w:footnoteRef/>
      </w:r>
      <w:r>
        <w:t xml:space="preserve"> See Ormet Exhibit 5 at 5 (Coomes).</w:t>
      </w:r>
    </w:p>
  </w:footnote>
  <w:footnote w:id="7">
    <w:p w:rsidR="007F5BD0" w:rsidRDefault="007F5BD0">
      <w:pPr>
        <w:pStyle w:val="FootnoteText"/>
      </w:pPr>
      <w:r>
        <w:rPr>
          <w:rStyle w:val="FootnoteReference"/>
        </w:rPr>
        <w:footnoteRef/>
      </w:r>
      <w:r>
        <w:t xml:space="preserve"> </w:t>
      </w:r>
      <w:r>
        <w:rPr>
          <w:i/>
        </w:rPr>
        <w:t>In the Matter of the Application of Ormet Primary Aluminum Corporation for Approval of a Unique Arrangement with Ohio Power Company</w:t>
      </w:r>
      <w:r>
        <w:t>, Case No. 09-119-EL-AEC, Opinion and Order (July 15, 2009).</w:t>
      </w:r>
    </w:p>
  </w:footnote>
  <w:footnote w:id="8">
    <w:p w:rsidR="007F5BD0" w:rsidRDefault="007F5BD0">
      <w:r>
        <w:rPr>
          <w:rStyle w:val="FootnoteReference"/>
        </w:rPr>
        <w:footnoteRef/>
      </w:r>
      <w:r>
        <w:t xml:space="preserve"> In 2009 the discount provided to Ormet was $11.78 million. </w:t>
      </w:r>
      <w:r>
        <w:rPr>
          <w:i/>
          <w:iCs/>
        </w:rPr>
        <w:t>In the Matter of the Application of Columbus Southern Power Company and Ohio Power Company to Adjust the Economic Development Cost Recovery Rider Rates</w:t>
      </w:r>
      <w:r>
        <w:t>, Case No. 09-1075-EL-UNC, Application at Schedules 5, 5b (November 13, 2009).  For 2010, through 2018, the Commission imposed restrictions on the discount provided to Ormet.  For 2010 and 2011, there is a maximum discount of $60 million per year.  In 2012, the maximum discount is $54 million, for c</w:t>
      </w:r>
      <w:r w:rsidR="00640BE1">
        <w:t>alendar years 2013 through 2018,</w:t>
      </w:r>
      <w:r>
        <w:t xml:space="preserve"> the maximum discount is reduced by $10 million per year. </w:t>
      </w:r>
      <w:r w:rsidR="00A0141D">
        <w:t xml:space="preserve"> </w:t>
      </w:r>
      <w:r>
        <w:t xml:space="preserve">See Opinion and Order at 10.  </w:t>
      </w:r>
    </w:p>
  </w:footnote>
  <w:footnote w:id="9">
    <w:p w:rsidR="007F5BD0" w:rsidRDefault="007F5BD0">
      <w:pPr>
        <w:pStyle w:val="FootnoteText"/>
      </w:pPr>
      <w:r>
        <w:rPr>
          <w:rStyle w:val="FootnoteReference"/>
        </w:rPr>
        <w:footnoteRef/>
      </w:r>
      <w:r>
        <w:t xml:space="preserve"> </w:t>
      </w:r>
      <w:smartTag w:uri="urn:schemas-microsoft-com:office:smarttags" w:element="State">
        <w:smartTag w:uri="urn:schemas-microsoft-com:office:smarttags" w:element="place">
          <w:r>
            <w:t>Id.</w:t>
          </w:r>
        </w:smartTag>
      </w:smartTag>
      <w:r>
        <w:t xml:space="preserve">  </w:t>
      </w:r>
    </w:p>
  </w:footnote>
  <w:footnote w:id="10">
    <w:p w:rsidR="007F5BD0" w:rsidRDefault="007F5BD0">
      <w:pPr>
        <w:pStyle w:val="FootnoteText"/>
      </w:pPr>
      <w:r>
        <w:rPr>
          <w:rStyle w:val="FootnoteReference"/>
        </w:rPr>
        <w:footnoteRef/>
      </w:r>
      <w:r>
        <w:t xml:space="preserve"> Specifically, the Commission determined that it could terminate the arrangement “if Ormet does not begin to reduce the amount of accumulated deferrals, and carrying charges [potentially created in years 2010 and 2011 through deferral accounting], through the payment of above-tariff rates, by April 1, 2012.”  Order at 15. Termination was to become effective immediately upon issuance of a PUCO order terminating the arrangement.  </w:t>
      </w:r>
      <w:smartTag w:uri="urn:schemas-microsoft-com:office:smarttags" w:element="State">
        <w:smartTag w:uri="urn:schemas-microsoft-com:office:smarttags" w:element="place">
          <w:r>
            <w:t>Id.</w:t>
          </w:r>
        </w:smartTag>
      </w:smartTag>
      <w:r>
        <w:t xml:space="preserve">  </w:t>
      </w:r>
    </w:p>
  </w:footnote>
  <w:footnote w:id="11">
    <w:p w:rsidR="007F5BD0" w:rsidRDefault="007F5BD0">
      <w:pPr>
        <w:pStyle w:val="FootnoteText"/>
      </w:pPr>
      <w:r>
        <w:rPr>
          <w:rStyle w:val="FootnoteReference"/>
        </w:rPr>
        <w:footnoteRef/>
      </w:r>
      <w:r>
        <w:t xml:space="preserve"> </w:t>
      </w:r>
      <w:r>
        <w:rPr>
          <w:i/>
        </w:rPr>
        <w:t>In the Matter of the Application of Ormet Primary Aluminum Corporation for Approval of a Unique Arrangement with Ohio Power Company</w:t>
      </w:r>
      <w:r>
        <w:t>, Case No. 09-119-EL-AEC, Ormet Motion for Expedited Approval of Payment Deferral and Memorandum in Support (Oct. 12, 2012).</w:t>
      </w:r>
    </w:p>
  </w:footnote>
  <w:footnote w:id="12">
    <w:p w:rsidR="007F5BD0" w:rsidRDefault="007F5BD0">
      <w:pPr>
        <w:pStyle w:val="FootnoteText"/>
      </w:pPr>
      <w:r>
        <w:rPr>
          <w:rStyle w:val="FootnoteReference"/>
        </w:rPr>
        <w:footnoteRef/>
      </w:r>
      <w:r>
        <w:t xml:space="preserve"> Ormet attributes this to the “declining </w:t>
      </w:r>
      <w:r w:rsidR="00640BE1">
        <w:t>m</w:t>
      </w:r>
      <w:r>
        <w:t xml:space="preserve">etals market and an overabundance of supply.” </w:t>
      </w:r>
      <w:smartTag w:uri="urn:schemas-microsoft-com:office:smarttags" w:element="State">
        <w:smartTag w:uri="urn:schemas-microsoft-com:office:smarttags" w:element="place">
          <w:r>
            <w:t>Id.</w:t>
          </w:r>
        </w:smartTag>
      </w:smartTag>
      <w:r>
        <w:t xml:space="preserve">  at ¶2. The 2012 discount provided to Ormet was $54 million, funded by customers.  </w:t>
      </w:r>
    </w:p>
  </w:footnote>
  <w:footnote w:id="13">
    <w:p w:rsidR="007F5BD0" w:rsidRDefault="007F5BD0">
      <w:pPr>
        <w:pStyle w:val="FootnoteText"/>
        <w:spacing w:before="0" w:after="120"/>
      </w:pPr>
      <w:r>
        <w:rPr>
          <w:rStyle w:val="FootnoteReference"/>
        </w:rPr>
        <w:footnoteRef/>
      </w:r>
      <w:r>
        <w:t xml:space="preserve"> </w:t>
      </w:r>
      <w:smartTag w:uri="urn:schemas-microsoft-com:office:smarttags" w:element="State">
        <w:smartTag w:uri="urn:schemas-microsoft-com:office:smarttags" w:element="place">
          <w:r>
            <w:t>Id.</w:t>
          </w:r>
        </w:smartTag>
      </w:smartTag>
      <w:r>
        <w:t xml:space="preserve"> at ¶6.</w:t>
      </w:r>
    </w:p>
  </w:footnote>
  <w:footnote w:id="14">
    <w:p w:rsidR="007F5BD0" w:rsidRDefault="007F5BD0">
      <w:pPr>
        <w:pStyle w:val="FootnoteText"/>
        <w:spacing w:before="0" w:after="120"/>
      </w:pPr>
      <w:r>
        <w:rPr>
          <w:rStyle w:val="FootnoteReference"/>
        </w:rPr>
        <w:footnoteRef/>
      </w:r>
      <w:r>
        <w:t xml:space="preserve"> </w:t>
      </w:r>
      <w:smartTag w:uri="urn:schemas-microsoft-com:office:smarttags" w:element="State">
        <w:smartTag w:uri="urn:schemas-microsoft-com:office:smarttags" w:element="place">
          <w:r>
            <w:t>Id.</w:t>
          </w:r>
        </w:smartTag>
      </w:smartTag>
      <w:r>
        <w:t xml:space="preserve"> at ¶8.</w:t>
      </w:r>
    </w:p>
  </w:footnote>
  <w:footnote w:id="15">
    <w:p w:rsidR="007F5BD0" w:rsidRDefault="007F5BD0">
      <w:pPr>
        <w:pStyle w:val="FootnoteText"/>
        <w:spacing w:before="0" w:after="120"/>
      </w:pPr>
      <w:r>
        <w:rPr>
          <w:rStyle w:val="FootnoteReference"/>
        </w:rPr>
        <w:footnoteRef/>
      </w:r>
      <w:r>
        <w:t xml:space="preserve"> </w:t>
      </w:r>
      <w:r>
        <w:rPr>
          <w:i/>
        </w:rPr>
        <w:t>In the Matter of the Application of Ormet Primary Aluminum Corporation for Approval of a Unique Arrangement with Ohio Power Company</w:t>
      </w:r>
      <w:r>
        <w:t xml:space="preserve">, Case No. 09-119-EL-AEC, Entry at ¶5.  </w:t>
      </w:r>
    </w:p>
  </w:footnote>
  <w:footnote w:id="16">
    <w:p w:rsidR="007F5BD0" w:rsidRDefault="007F5BD0">
      <w:pPr>
        <w:pStyle w:val="FootnoteText"/>
        <w:spacing w:before="0" w:after="120"/>
      </w:pPr>
      <w:r>
        <w:rPr>
          <w:rStyle w:val="FootnoteReference"/>
        </w:rPr>
        <w:footnoteRef/>
      </w:r>
      <w:r>
        <w:t xml:space="preserve"> R.C. 4903.10. </w:t>
      </w:r>
    </w:p>
  </w:footnote>
  <w:footnote w:id="17">
    <w:p w:rsidR="007F5BD0" w:rsidRDefault="007F5BD0">
      <w:pPr>
        <w:pStyle w:val="FootnoteText"/>
        <w:spacing w:before="0" w:after="120"/>
      </w:pPr>
      <w:r>
        <w:rPr>
          <w:rStyle w:val="FootnoteReference"/>
        </w:rPr>
        <w:footnoteRef/>
      </w:r>
      <w:r>
        <w:t xml:space="preserve"> The PUCO granted OCC‘s Motion to Intervene on April 17, 2009.  Entry at ¶4 (Apr.17, 2009). </w:t>
      </w:r>
    </w:p>
  </w:footnote>
  <w:footnote w:id="18">
    <w:p w:rsidR="007F5BD0" w:rsidRDefault="007F5BD0">
      <w:pPr>
        <w:pStyle w:val="FootnoteText"/>
      </w:pPr>
      <w:r>
        <w:rPr>
          <w:rStyle w:val="FootnoteReference"/>
        </w:rPr>
        <w:footnoteRef/>
      </w:r>
      <w:r>
        <w:t xml:space="preserve"> Entry at ¶5 (Oct. 17, 2012).</w:t>
      </w:r>
    </w:p>
  </w:footnote>
  <w:footnote w:id="19">
    <w:p w:rsidR="007F5BD0" w:rsidRDefault="007F5BD0">
      <w:pPr>
        <w:pStyle w:val="FootnoteText"/>
      </w:pPr>
      <w:r>
        <w:rPr>
          <w:rStyle w:val="FootnoteReference"/>
        </w:rPr>
        <w:footnoteRef/>
      </w:r>
      <w:r>
        <w:t xml:space="preserve"> </w:t>
      </w:r>
      <w:smartTag w:uri="urn:schemas-microsoft-com:office:smarttags" w:element="place">
        <w:smartTag w:uri="urn:schemas-microsoft-com:office:smarttags" w:element="State">
          <w:r>
            <w:t>Id.</w:t>
          </w:r>
        </w:smartTag>
      </w:smartTag>
    </w:p>
  </w:footnote>
  <w:footnote w:id="20">
    <w:p w:rsidR="007F5BD0" w:rsidRDefault="007F5BD0">
      <w:pPr>
        <w:pStyle w:val="FootnoteText"/>
      </w:pPr>
      <w:r>
        <w:rPr>
          <w:rStyle w:val="FootnoteReference"/>
        </w:rPr>
        <w:footnoteRef/>
      </w:r>
      <w:r>
        <w:t xml:space="preserve"> </w:t>
      </w:r>
      <w:smartTag w:uri="urn:schemas-microsoft-com:office:smarttags" w:element="place">
        <w:r>
          <w:t>Id.</w:t>
        </w:r>
      </w:smartTag>
      <w:r>
        <w:t xml:space="preserve">  </w:t>
      </w:r>
    </w:p>
  </w:footnote>
  <w:footnote w:id="21">
    <w:p w:rsidR="007F5BD0" w:rsidRDefault="007F5BD0">
      <w:pPr>
        <w:pStyle w:val="FootnoteText"/>
      </w:pPr>
      <w:r>
        <w:rPr>
          <w:rStyle w:val="FootnoteReference"/>
        </w:rPr>
        <w:footnoteRef/>
      </w:r>
      <w:r>
        <w:t xml:space="preserve"> Specifically, the Commission determined that it could terminate the arrangement “if Ormet does not begin to reduce the amount of accumulated deferrals, and carrying charges [potentially created in years 2010 and 2011 through deferral accounting], through the payment of above-tariff rates, by April 1, 2012.”  Order at 15. Termination was to become effective immediately upon issuance of a PUCO order terminating the arrangement.  Opinion and Order at 15.    </w:t>
      </w:r>
    </w:p>
  </w:footnote>
  <w:footnote w:id="22">
    <w:p w:rsidR="007F5BD0" w:rsidRDefault="007F5BD0">
      <w:pPr>
        <w:pStyle w:val="FootnoteText"/>
      </w:pPr>
      <w:r>
        <w:rPr>
          <w:rStyle w:val="FootnoteReference"/>
        </w:rPr>
        <w:footnoteRef/>
      </w:r>
      <w:r>
        <w:t xml:space="preserve"> </w:t>
      </w:r>
      <w:smartTag w:uri="urn:schemas-microsoft-com:office:smarttags" w:element="place">
        <w:r>
          <w:t>Id.</w:t>
        </w:r>
      </w:smartTag>
      <w:r>
        <w:t xml:space="preserve"> at 11.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D0" w:rsidRDefault="007F5B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D0" w:rsidRDefault="007F5B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BD0" w:rsidRDefault="007F5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18D7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1AA3F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34026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D5B89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3C69D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CE049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1C44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5A25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C63F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72205A"/>
    <w:lvl w:ilvl="0">
      <w:start w:val="1"/>
      <w:numFmt w:val="bullet"/>
      <w:lvlText w:val=""/>
      <w:lvlJc w:val="left"/>
      <w:pPr>
        <w:tabs>
          <w:tab w:val="num" w:pos="360"/>
        </w:tabs>
        <w:ind w:left="360" w:hanging="360"/>
      </w:pPr>
      <w:rPr>
        <w:rFonts w:ascii="Symbol" w:hAnsi="Symbol" w:hint="default"/>
      </w:rPr>
    </w:lvl>
  </w:abstractNum>
  <w:abstractNum w:abstractNumId="10">
    <w:nsid w:val="008A542E"/>
    <w:multiLevelType w:val="hybridMultilevel"/>
    <w:tmpl w:val="10E44D02"/>
    <w:lvl w:ilvl="0" w:tplc="99608754">
      <w:start w:val="1"/>
      <w:numFmt w:val="upp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1D44050"/>
    <w:multiLevelType w:val="hybridMultilevel"/>
    <w:tmpl w:val="8076CBE6"/>
    <w:lvl w:ilvl="0" w:tplc="CB202092">
      <w:start w:val="2"/>
      <w:numFmt w:val="upp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2">
    <w:nsid w:val="24F1721F"/>
    <w:multiLevelType w:val="hybridMultilevel"/>
    <w:tmpl w:val="2DBE35D8"/>
    <w:lvl w:ilvl="0" w:tplc="2FBCB82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BA751CA"/>
    <w:multiLevelType w:val="hybridMultilevel"/>
    <w:tmpl w:val="1BDA0040"/>
    <w:lvl w:ilvl="0" w:tplc="DA22FC48">
      <w:start w:val="4"/>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3D0074F5"/>
    <w:multiLevelType w:val="hybridMultilevel"/>
    <w:tmpl w:val="B07AC924"/>
    <w:lvl w:ilvl="0" w:tplc="498A8E0A">
      <w:start w:val="3"/>
      <w:numFmt w:val="upperLetter"/>
      <w:lvlText w:val="%1."/>
      <w:lvlJc w:val="left"/>
      <w:pPr>
        <w:tabs>
          <w:tab w:val="num" w:pos="1170"/>
        </w:tabs>
        <w:ind w:left="1170" w:hanging="360"/>
      </w:pPr>
      <w:rPr>
        <w:rFonts w:cs="Times New Roman" w:hint="default"/>
        <w:b/>
      </w:rPr>
    </w:lvl>
    <w:lvl w:ilvl="1" w:tplc="04090019">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5">
    <w:nsid w:val="46672C52"/>
    <w:multiLevelType w:val="hybridMultilevel"/>
    <w:tmpl w:val="6E869898"/>
    <w:lvl w:ilvl="0" w:tplc="E294E99A">
      <w:start w:val="3"/>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A4446DB"/>
    <w:multiLevelType w:val="hybridMultilevel"/>
    <w:tmpl w:val="124A0048"/>
    <w:lvl w:ilvl="0" w:tplc="894EE020">
      <w:start w:val="2010"/>
      <w:numFmt w:val="decimal"/>
      <w:lvlText w:val="%1"/>
      <w:lvlJc w:val="left"/>
      <w:pPr>
        <w:tabs>
          <w:tab w:val="num" w:pos="960"/>
        </w:tabs>
        <w:ind w:left="960" w:hanging="600"/>
      </w:pPr>
      <w:rPr>
        <w:rFonts w:cs="Times New Roman" w:hint="default"/>
      </w:rPr>
    </w:lvl>
    <w:lvl w:ilvl="1" w:tplc="1F34731E">
      <w:start w:val="6"/>
      <w:numFmt w:val="lowerLetter"/>
      <w:lvlText w:val="%2."/>
      <w:lvlJc w:val="left"/>
      <w:pPr>
        <w:tabs>
          <w:tab w:val="num" w:pos="720"/>
        </w:tabs>
        <w:ind w:left="720" w:hanging="360"/>
      </w:pPr>
      <w:rPr>
        <w:rFonts w:cs="Times New Roman" w:hint="default"/>
      </w:rPr>
    </w:lvl>
    <w:lvl w:ilvl="2" w:tplc="0D6647F4">
      <w:start w:val="6"/>
      <w:numFmt w:val="upperLetter"/>
      <w:lvlText w:val="%3."/>
      <w:lvlJc w:val="left"/>
      <w:pPr>
        <w:tabs>
          <w:tab w:val="num" w:pos="1080"/>
        </w:tabs>
        <w:ind w:left="1080" w:hanging="360"/>
      </w:pPr>
      <w:rPr>
        <w:rFonts w:cs="Times New Roman" w:hint="default"/>
        <w:b/>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F385D98"/>
    <w:multiLevelType w:val="multilevel"/>
    <w:tmpl w:val="10E44D02"/>
    <w:lvl w:ilvl="0">
      <w:start w:val="1"/>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12D7FF0"/>
    <w:multiLevelType w:val="hybridMultilevel"/>
    <w:tmpl w:val="8D42C046"/>
    <w:lvl w:ilvl="0" w:tplc="BEE864B6">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27C1BC0"/>
    <w:multiLevelType w:val="multilevel"/>
    <w:tmpl w:val="8D42C046"/>
    <w:lvl w:ilvl="0">
      <w:start w:val="1"/>
      <w:numFmt w:val="upperLetter"/>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32F01C3"/>
    <w:multiLevelType w:val="hybridMultilevel"/>
    <w:tmpl w:val="10505438"/>
    <w:lvl w:ilvl="0" w:tplc="BEE864B6">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39301C8"/>
    <w:multiLevelType w:val="multilevel"/>
    <w:tmpl w:val="1BDA0040"/>
    <w:lvl w:ilvl="0">
      <w:start w:val="4"/>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53A5371C"/>
    <w:multiLevelType w:val="multilevel"/>
    <w:tmpl w:val="6634786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D0862AC"/>
    <w:multiLevelType w:val="hybridMultilevel"/>
    <w:tmpl w:val="26EA67AC"/>
    <w:lvl w:ilvl="0" w:tplc="BEE864B6">
      <w:start w:val="1"/>
      <w:numFmt w:val="upperLetter"/>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10"/>
  </w:num>
  <w:num w:numId="2">
    <w:abstractNumId w:val="23"/>
  </w:num>
  <w:num w:numId="3">
    <w:abstractNumId w:val="22"/>
  </w:num>
  <w:num w:numId="4">
    <w:abstractNumId w:val="20"/>
  </w:num>
  <w:num w:numId="5">
    <w:abstractNumId w:val="17"/>
  </w:num>
  <w:num w:numId="6">
    <w:abstractNumId w:val="18"/>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4"/>
    </w:lvlOverride>
  </w:num>
  <w:num w:numId="20">
    <w:abstractNumId w:val="13"/>
  </w:num>
  <w:num w:numId="21">
    <w:abstractNumId w:val="13"/>
    <w:lvlOverride w:ilvl="0">
      <w:startOverride w:val="4"/>
    </w:lvlOverride>
  </w:num>
  <w:num w:numId="22">
    <w:abstractNumId w:val="21"/>
  </w:num>
  <w:num w:numId="23">
    <w:abstractNumId w:val="15"/>
  </w:num>
  <w:num w:numId="24">
    <w:abstractNumId w:val="16"/>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BD0"/>
    <w:rsid w:val="000531B6"/>
    <w:rsid w:val="000F632D"/>
    <w:rsid w:val="00140C0E"/>
    <w:rsid w:val="00410BF4"/>
    <w:rsid w:val="00640BE1"/>
    <w:rsid w:val="0074477D"/>
    <w:rsid w:val="007F5BD0"/>
    <w:rsid w:val="00953E3B"/>
    <w:rsid w:val="00A0141D"/>
    <w:rsid w:val="00E7581C"/>
    <w:rsid w:val="00F35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9"/>
    <w:qFormat/>
    <w:rsid w:val="0074477D"/>
    <w:pPr>
      <w:keepNext/>
      <w:spacing w:after="240"/>
      <w:outlineLvl w:val="0"/>
    </w:pPr>
    <w:rPr>
      <w:b/>
      <w:bCs/>
      <w:kern w:val="32"/>
      <w:sz w:val="24"/>
      <w:szCs w:val="24"/>
    </w:rPr>
  </w:style>
  <w:style w:type="paragraph" w:styleId="Heading2">
    <w:name w:val="heading 2"/>
    <w:basedOn w:val="Normal"/>
    <w:next w:val="Normal"/>
    <w:link w:val="Heading2Char"/>
    <w:autoRedefine/>
    <w:uiPriority w:val="99"/>
    <w:qFormat/>
    <w:pPr>
      <w:keepNext/>
      <w:spacing w:after="240"/>
      <w:ind w:left="1440" w:hanging="720"/>
      <w:outlineLvl w:val="1"/>
    </w:pPr>
    <w:rPr>
      <w:rFonts w:ascii="Cambria" w:hAnsi="Cambria"/>
      <w:b/>
      <w:bCs/>
      <w:i/>
      <w:iCs/>
      <w:sz w:val="28"/>
      <w:szCs w:val="28"/>
    </w:rPr>
  </w:style>
  <w:style w:type="paragraph" w:styleId="Heading3">
    <w:name w:val="heading 3"/>
    <w:basedOn w:val="Normal"/>
    <w:next w:val="Normal"/>
    <w:link w:val="Heading3Char"/>
    <w:autoRedefine/>
    <w:uiPriority w:val="99"/>
    <w:qFormat/>
    <w:pPr>
      <w:keepNext/>
      <w:tabs>
        <w:tab w:val="left" w:pos="0"/>
        <w:tab w:val="left" w:pos="720"/>
      </w:tabs>
      <w:spacing w:after="240"/>
      <w:ind w:left="2160" w:hanging="72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4477D"/>
    <w:rPr>
      <w:b/>
      <w:bCs/>
      <w:kern w:val="32"/>
      <w:sz w:val="24"/>
      <w:szCs w:val="24"/>
    </w:rPr>
  </w:style>
  <w:style w:type="character" w:customStyle="1" w:styleId="Heading2Char">
    <w:name w:val="Heading 2 Char"/>
    <w:link w:val="Heading2"/>
    <w:uiPriority w:val="99"/>
    <w:semiHidden/>
    <w:locked/>
    <w:rPr>
      <w:rFonts w:ascii="Cambria" w:hAnsi="Cambria" w:cs="Times New Roman"/>
      <w:b/>
      <w:i/>
      <w:sz w:val="28"/>
    </w:rPr>
  </w:style>
  <w:style w:type="character" w:customStyle="1" w:styleId="Heading3Char">
    <w:name w:val="Heading 3 Char"/>
    <w:link w:val="Heading3"/>
    <w:uiPriority w:val="99"/>
    <w:semiHidden/>
    <w:locked/>
    <w:rPr>
      <w:rFonts w:ascii="Cambria" w:hAnsi="Cambria" w:cs="Times New Roman"/>
      <w:b/>
      <w:sz w:val="26"/>
    </w:rPr>
  </w:style>
  <w:style w:type="character" w:customStyle="1" w:styleId="HTMLPreformattedChar">
    <w:name w:val="HTML Preformatted Char"/>
    <w:uiPriority w:val="99"/>
    <w:semiHidden/>
    <w:locked/>
    <w:rPr>
      <w:rFonts w:ascii="Courier New" w:hAnsi="Courier New"/>
      <w:lang w:val="en-US" w:eastAsia="en-US"/>
    </w:rPr>
  </w:style>
  <w:style w:type="paragraph" w:styleId="HTMLPreformatted">
    <w:name w:val="HTML Preformatted"/>
    <w:basedOn w:val="Normal"/>
    <w:link w:val="HTMLPreformatted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1">
    <w:name w:val="HTML Preformatted Char1"/>
    <w:link w:val="HTMLPreformatted"/>
    <w:uiPriority w:val="99"/>
    <w:semiHidden/>
    <w:locked/>
    <w:rPr>
      <w:rFonts w:ascii="Courier New" w:hAnsi="Courier New" w:cs="Times New Roman"/>
      <w:sz w:val="20"/>
    </w:rPr>
  </w:style>
  <w:style w:type="paragraph" w:customStyle="1" w:styleId="InsideAddress">
    <w:name w:val="Inside Address"/>
    <w:basedOn w:val="Normal"/>
    <w:uiPriority w:val="99"/>
    <w:rPr>
      <w:rFonts w:ascii="Times" w:hAnsi="Times"/>
      <w:sz w:val="24"/>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left" w:pos="0"/>
        <w:tab w:val="left" w:pos="720"/>
        <w:tab w:val="center" w:pos="4320"/>
        <w:tab w:val="right" w:pos="8640"/>
      </w:tabs>
      <w:spacing w:line="480" w:lineRule="auto"/>
    </w:pPr>
    <w:rPr>
      <w:sz w:val="24"/>
    </w:rPr>
  </w:style>
  <w:style w:type="character" w:customStyle="1" w:styleId="FooterChar">
    <w:name w:val="Footer Char"/>
    <w:link w:val="Footer"/>
    <w:uiPriority w:val="99"/>
    <w:locked/>
    <w:rPr>
      <w:rFonts w:cs="Times New Roman"/>
      <w:sz w:val="24"/>
    </w:rPr>
  </w:style>
  <w:style w:type="paragraph" w:styleId="BodyText">
    <w:name w:val="Body Text"/>
    <w:basedOn w:val="Normal"/>
    <w:link w:val="BodyTextChar"/>
    <w:uiPriority w:val="99"/>
    <w:pPr>
      <w:tabs>
        <w:tab w:val="left" w:pos="0"/>
        <w:tab w:val="left" w:pos="720"/>
      </w:tabs>
      <w:spacing w:line="480" w:lineRule="auto"/>
      <w:ind w:firstLine="720"/>
    </w:pPr>
    <w:rPr>
      <w:sz w:val="24"/>
    </w:rPr>
  </w:style>
  <w:style w:type="character" w:customStyle="1" w:styleId="BodyTextChar">
    <w:name w:val="Body Text Char"/>
    <w:link w:val="BodyText"/>
    <w:uiPriority w:val="99"/>
    <w:locked/>
    <w:rPr>
      <w:rFonts w:cs="Times New Roman"/>
      <w:sz w:val="24"/>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link w:val="BodyTextIndent"/>
    <w:uiPriority w:val="99"/>
    <w:locked/>
    <w:rPr>
      <w:rFonts w:cs="Times New Roman"/>
    </w:rPr>
  </w:style>
  <w:style w:type="paragraph" w:styleId="FootnoteText">
    <w:name w:val="footnote text"/>
    <w:aliases w:val="Footnote Text Char,Footnote Text Char4 Char,Footnote Text Char Char4 Char,Footnote Text Char4 Char1 Char Char,Footnote Text Char Char4 Char1 Char Char,Footnote Text Char5 Char1 Char Char Char Char Char,Footnote Text Char2,Footnote Text Ch"/>
    <w:basedOn w:val="Normal"/>
    <w:link w:val="FootnoteTextChar1"/>
    <w:uiPriority w:val="99"/>
    <w:semiHidden/>
    <w:pPr>
      <w:spacing w:before="120"/>
    </w:pPr>
  </w:style>
  <w:style w:type="character" w:customStyle="1" w:styleId="FootnoteTextChar1">
    <w:name w:val="Footnote Text Char1"/>
    <w:aliases w:val="Footnote Text Char Char,Footnote Text Char4 Char Char,Footnote Text Char Char4 Char Char,Footnote Text Char4 Char1 Char Char Char,Footnote Text Char Char4 Char1 Char Char Char,Footnote Text Char5 Char1 Char Char Char Char Char Char"/>
    <w:link w:val="FootnoteText"/>
    <w:uiPriority w:val="99"/>
    <w:semiHidden/>
    <w:locked/>
    <w:rPr>
      <w:rFonts w:cs="Times New Roman"/>
      <w:lang w:val="en-US" w:eastAsia="en-US"/>
    </w:rPr>
  </w:style>
  <w:style w:type="character" w:styleId="FootnoteReference">
    <w:name w:val="footnote reference"/>
    <w:aliases w:val="o"/>
    <w:uiPriority w:val="99"/>
    <w:semiHidden/>
    <w:rPr>
      <w:rFonts w:cs="Times New Roman"/>
      <w:sz w:val="20"/>
      <w:vertAlign w:val="superscript"/>
    </w:rPr>
  </w:style>
  <w:style w:type="character" w:customStyle="1" w:styleId="documentbody">
    <w:name w:val="documentbody"/>
    <w:uiPriority w:val="99"/>
  </w:style>
  <w:style w:type="character" w:customStyle="1" w:styleId="groupheading">
    <w:name w:val="groupheading"/>
    <w:uiPriority w:val="99"/>
  </w:style>
  <w:style w:type="character" w:customStyle="1" w:styleId="informationalsmall">
    <w:name w:val="informationalsmall"/>
    <w:uiPriority w:val="99"/>
  </w:style>
  <w:style w:type="paragraph" w:styleId="BalloonText">
    <w:name w:val="Balloon Text"/>
    <w:basedOn w:val="Normal"/>
    <w:link w:val="BalloonTextChar"/>
    <w:uiPriority w:val="99"/>
    <w:semiHidden/>
    <w:rPr>
      <w:sz w:val="2"/>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lang w:val="en-US"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sz w:val="20"/>
      <w:lang w:val="en-US" w:eastAsia="en-US"/>
    </w:rPr>
  </w:style>
  <w:style w:type="paragraph" w:styleId="EndnoteText">
    <w:name w:val="endnote text"/>
    <w:basedOn w:val="Normal"/>
    <w:link w:val="EndnoteTextChar"/>
    <w:uiPriority w:val="99"/>
    <w:semiHidden/>
    <w:pPr>
      <w:widowControl w:val="0"/>
    </w:pPr>
  </w:style>
  <w:style w:type="character" w:customStyle="1" w:styleId="EndnoteTextChar">
    <w:name w:val="Endnote Text Char"/>
    <w:link w:val="EndnoteText"/>
    <w:uiPriority w:val="99"/>
    <w:semiHidden/>
    <w:locked/>
    <w:rPr>
      <w:rFonts w:cs="Times New Roman"/>
      <w:sz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cs="Times New Roman"/>
    </w:rPr>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locked/>
    <w:rPr>
      <w:rFonts w:cs="Times New Roman"/>
      <w:sz w:val="16"/>
    </w:rPr>
  </w:style>
  <w:style w:type="paragraph" w:styleId="TOC1">
    <w:name w:val="toc 1"/>
    <w:basedOn w:val="Normal"/>
    <w:next w:val="Normal"/>
    <w:autoRedefine/>
    <w:uiPriority w:val="99"/>
    <w:semiHidden/>
    <w:pPr>
      <w:tabs>
        <w:tab w:val="left" w:pos="720"/>
        <w:tab w:val="decimal" w:leader="dot" w:pos="8640"/>
      </w:tabs>
      <w:spacing w:after="240"/>
      <w:ind w:left="720" w:hanging="720"/>
    </w:pPr>
    <w:rPr>
      <w:caps/>
      <w:sz w:val="24"/>
      <w:szCs w:val="24"/>
    </w:rPr>
  </w:style>
  <w:style w:type="paragraph" w:styleId="TOC2">
    <w:name w:val="toc 2"/>
    <w:basedOn w:val="Normal"/>
    <w:next w:val="Normal"/>
    <w:autoRedefine/>
    <w:uiPriority w:val="99"/>
    <w:semiHidden/>
    <w:pPr>
      <w:tabs>
        <w:tab w:val="left" w:pos="720"/>
        <w:tab w:val="left" w:pos="1440"/>
        <w:tab w:val="decimal" w:leader="dot" w:pos="8640"/>
      </w:tabs>
      <w:spacing w:after="240"/>
      <w:ind w:left="1440" w:hanging="720"/>
    </w:pPr>
    <w:rPr>
      <w:sz w:val="24"/>
      <w:szCs w:val="24"/>
    </w:rPr>
  </w:style>
  <w:style w:type="character" w:styleId="FollowedHyperlink">
    <w:name w:val="FollowedHyperlink"/>
    <w:uiPriority w:val="9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4486">
      <w:marLeft w:val="60"/>
      <w:marRight w:val="60"/>
      <w:marTop w:val="60"/>
      <w:marBottom w:val="15"/>
      <w:divBdr>
        <w:top w:val="none" w:sz="0" w:space="0" w:color="auto"/>
        <w:left w:val="none" w:sz="0" w:space="0" w:color="auto"/>
        <w:bottom w:val="none" w:sz="0" w:space="0" w:color="auto"/>
        <w:right w:val="none" w:sz="0" w:space="0" w:color="auto"/>
      </w:divBdr>
      <w:divsChild>
        <w:div w:id="379944485">
          <w:marLeft w:val="0"/>
          <w:marRight w:val="0"/>
          <w:marTop w:val="0"/>
          <w:marBottom w:val="0"/>
          <w:divBdr>
            <w:top w:val="none" w:sz="0" w:space="0" w:color="auto"/>
            <w:left w:val="none" w:sz="0" w:space="0" w:color="auto"/>
            <w:bottom w:val="none" w:sz="0" w:space="0" w:color="auto"/>
            <w:right w:val="none" w:sz="0" w:space="0" w:color="auto"/>
          </w:divBdr>
        </w:div>
        <w:div w:id="37994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yurick@taftlaw.com" TargetMode="External"/><Relationship Id="rId18" Type="http://schemas.openxmlformats.org/officeDocument/2006/relationships/hyperlink" Target="mailto:ehand@sonnenschein.com"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sam@mwncmh.com" TargetMode="External"/><Relationship Id="rId7" Type="http://schemas.openxmlformats.org/officeDocument/2006/relationships/endnotes" Target="endnotes.xml"/><Relationship Id="rId12" Type="http://schemas.openxmlformats.org/officeDocument/2006/relationships/hyperlink" Target="mailto:stnourse@aep.com" TargetMode="External"/><Relationship Id="rId17" Type="http://schemas.openxmlformats.org/officeDocument/2006/relationships/hyperlink" Target="mailto:cvince@sonnenschein.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mkurtz@bkllawfirm.com" TargetMode="External"/><Relationship Id="rId20" Type="http://schemas.openxmlformats.org/officeDocument/2006/relationships/hyperlink" Target="mailto:dbarnowski@sonnenschei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omas.mcnamee@puc.state.oh.u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boehm@bkllawfirm.co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grady@occ.state.oh.us" TargetMode="External"/><Relationship Id="rId19" Type="http://schemas.openxmlformats.org/officeDocument/2006/relationships/hyperlink" Target="mailto:dbonner@sonnenschein.com" TargetMode="External"/><Relationship Id="rId4" Type="http://schemas.openxmlformats.org/officeDocument/2006/relationships/settings" Target="settings.xml"/><Relationship Id="rId9" Type="http://schemas.openxmlformats.org/officeDocument/2006/relationships/hyperlink" Target="mailto:grady@occ.state.oh.us" TargetMode="External"/><Relationship Id="rId14" Type="http://schemas.openxmlformats.org/officeDocument/2006/relationships/hyperlink" Target="mailto:mwhite@taftlaw.com" TargetMode="External"/><Relationship Id="rId22" Type="http://schemas.openxmlformats.org/officeDocument/2006/relationships/hyperlink" Target="mailto:tsiwo@bricker.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8383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2009-04-03T19:53:00Z</cp:lastPrinted>
  <dcterms:created xsi:type="dcterms:W3CDTF">2012-11-15T16:13:00Z</dcterms:created>
  <dcterms:modified xsi:type="dcterms:W3CDTF">2012-11-15T16:15:00Z</dcterms:modified>
  <cp:category> </cp:category>
  <cp:contentStatus> </cp:contentStatus>
</cp:coreProperties>
</file>