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A044B5" w:rsidRDefault="00A044B5" w:rsidP="0091665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4C0A9C">
              <w:rPr>
                <w:rFonts w:ascii="Times New Roman" w:hAnsi="Times New Roman" w:cs="Times New Roman"/>
                <w:sz w:val="24"/>
                <w:szCs w:val="24"/>
              </w:rPr>
              <w:t xml:space="preserve"> the Application of Duke Energy Ohio, Inc., for Approval to Continue Cost Recovery Mechanism for Energy Efficiency Programs Through 2016.</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Default="00A044B5">
            <w:pPr>
              <w:pStyle w:val="HTMLPreformatted"/>
              <w:rPr>
                <w:rFonts w:ascii="Times New Roman" w:hAnsi="Times New Roman"/>
                <w:sz w:val="24"/>
              </w:rPr>
            </w:pPr>
            <w:r w:rsidRPr="00A044B5">
              <w:rPr>
                <w:rFonts w:ascii="Times New Roman" w:hAnsi="Times New Roman"/>
                <w:sz w:val="24"/>
              </w:rPr>
              <w:t>)</w:t>
            </w:r>
          </w:p>
          <w:p w:rsidR="004C0A9C" w:rsidRPr="00A044B5" w:rsidRDefault="004C0A9C">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r w:rsidRPr="00A044B5">
              <w:rPr>
                <w:rFonts w:ascii="Times New Roman" w:hAnsi="Times New Roman"/>
                <w:sz w:val="24"/>
              </w:rPr>
              <w:t xml:space="preserve">Case No. </w:t>
            </w:r>
            <w:r w:rsidR="007E0876">
              <w:rPr>
                <w:rFonts w:ascii="Times New Roman" w:hAnsi="Times New Roman"/>
                <w:sz w:val="24"/>
              </w:rPr>
              <w:t>14-</w:t>
            </w:r>
            <w:r w:rsidR="004C0A9C">
              <w:rPr>
                <w:rFonts w:ascii="Times New Roman" w:hAnsi="Times New Roman"/>
                <w:sz w:val="24"/>
              </w:rPr>
              <w:t>1</w:t>
            </w:r>
            <w:r w:rsidR="007E0876">
              <w:rPr>
                <w:rFonts w:ascii="Times New Roman" w:hAnsi="Times New Roman"/>
                <w:sz w:val="24"/>
              </w:rPr>
              <w:t>580-EL-RDR</w:t>
            </w:r>
          </w:p>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p>
        </w:tc>
      </w:tr>
    </w:tbl>
    <w:p w:rsidR="00A044B5" w:rsidRDefault="00A044B5">
      <w:pPr>
        <w:pStyle w:val="HTMLPreformatted"/>
        <w:rPr>
          <w:rFonts w:ascii="Times New Roman" w:hAnsi="Times New Roman"/>
          <w:sz w:val="24"/>
        </w:rPr>
      </w:pPr>
      <w:r>
        <w:rPr>
          <w:rFonts w:ascii="Times New Roman" w:hAnsi="Times New Roman"/>
          <w:sz w:val="24"/>
        </w:rPr>
        <w:tab/>
      </w: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2458BD" w:rsidRDefault="00A044B5" w:rsidP="00AD19E0">
      <w:pPr>
        <w:pStyle w:val="BodyTextIndent3"/>
        <w:widowControl w:val="0"/>
        <w:spacing w:line="480" w:lineRule="auto"/>
        <w:ind w:right="-312"/>
      </w:pPr>
      <w:r>
        <w:t>The Office of the Ohio Consumers’ Counsel (“OCC”)</w:t>
      </w:r>
      <w:r w:rsidR="00182A52">
        <w:t xml:space="preserve"> moves to intervene in this case</w:t>
      </w:r>
      <w:r w:rsidR="00A02EF8">
        <w:t xml:space="preserve"> that was filed </w:t>
      </w:r>
      <w:r w:rsidR="00182A52">
        <w:t>three years after</w:t>
      </w:r>
      <w:r>
        <w:t xml:space="preserve"> </w:t>
      </w:r>
      <w:r w:rsidR="00A02EF8">
        <w:t xml:space="preserve">OCC </w:t>
      </w:r>
      <w:r w:rsidR="00182A52">
        <w:t>settl</w:t>
      </w:r>
      <w:r w:rsidR="00A02EF8">
        <w:t>ed</w:t>
      </w:r>
      <w:r w:rsidR="00182A52">
        <w:t xml:space="preserve"> a case with Duke Energy Ohio</w:t>
      </w:r>
      <w:r w:rsidR="00030A8E">
        <w:t xml:space="preserve"> </w:t>
      </w:r>
      <w:r w:rsidR="00182A52">
        <w:t xml:space="preserve">that resolved energy efficiency programs and charges to Duke’s </w:t>
      </w:r>
      <w:r w:rsidR="0097486F">
        <w:t>618,000 residential electric consumers</w:t>
      </w:r>
      <w:r w:rsidR="00C305EF">
        <w:t xml:space="preserve"> through 2015</w:t>
      </w:r>
      <w:r w:rsidR="00D43430">
        <w:t xml:space="preserve"> (but not for 2016)</w:t>
      </w:r>
      <w:r w:rsidR="00182A52">
        <w:t xml:space="preserve">.  </w:t>
      </w:r>
      <w:r w:rsidR="004D47D3">
        <w:t>Duke Energy Ohio</w:t>
      </w:r>
      <w:r w:rsidR="009B7085">
        <w:t xml:space="preserve"> </w:t>
      </w:r>
      <w:r w:rsidR="004D47D3">
        <w:t>(“Duke”</w:t>
      </w:r>
      <w:r w:rsidR="007A1D57">
        <w:t xml:space="preserve"> or “Utility”</w:t>
      </w:r>
      <w:r w:rsidR="004D47D3">
        <w:t xml:space="preserve">) has </w:t>
      </w:r>
      <w:r w:rsidR="009B7085">
        <w:t>filed an Application</w:t>
      </w:r>
      <w:r w:rsidR="0097486F">
        <w:t>, with regard to Senate Bill 310,</w:t>
      </w:r>
      <w:r w:rsidR="004D47D3">
        <w:t xml:space="preserve"> </w:t>
      </w:r>
      <w:r w:rsidR="009B7085">
        <w:t>requesting the</w:t>
      </w:r>
      <w:r w:rsidR="004D47D3">
        <w:t xml:space="preserve"> Public Utilities Commission of Ohio (“PUCO”) </w:t>
      </w:r>
      <w:r w:rsidR="009B7085">
        <w:t xml:space="preserve">to </w:t>
      </w:r>
      <w:r w:rsidR="00664241">
        <w:t xml:space="preserve">allow it to collect from customers the costs of </w:t>
      </w:r>
      <w:r w:rsidR="00FF09B0">
        <w:t xml:space="preserve">its </w:t>
      </w:r>
      <w:r w:rsidR="0010048D">
        <w:t>2016</w:t>
      </w:r>
      <w:r w:rsidR="007223AB">
        <w:t xml:space="preserve"> </w:t>
      </w:r>
      <w:r w:rsidR="00FF09B0">
        <w:t>energy efficiency programs</w:t>
      </w:r>
      <w:r w:rsidR="00260B5B">
        <w:t>, among other things</w:t>
      </w:r>
      <w:r w:rsidR="00FF09B0">
        <w:t>.</w:t>
      </w:r>
      <w:r w:rsidR="0010048D">
        <w:rPr>
          <w:rStyle w:val="FootnoteReference"/>
        </w:rPr>
        <w:footnoteReference w:id="2"/>
      </w:r>
    </w:p>
    <w:p w:rsidR="00916657" w:rsidRDefault="002458BD" w:rsidP="00260B5B">
      <w:pPr>
        <w:pStyle w:val="BodyTextIndent3"/>
        <w:widowControl w:val="0"/>
        <w:spacing w:line="480" w:lineRule="auto"/>
        <w:ind w:right="-312"/>
      </w:pPr>
      <w:r>
        <w:t xml:space="preserve">Duke’s Application raises at least two </w:t>
      </w:r>
      <w:r w:rsidR="00260B5B">
        <w:t>major</w:t>
      </w:r>
      <w:r>
        <w:t xml:space="preserve"> issues</w:t>
      </w:r>
      <w:r w:rsidR="00260B5B">
        <w:t>.  One is what charges should customers have to pay for energy efficiency</w:t>
      </w:r>
      <w:r w:rsidR="000B0A9E">
        <w:t xml:space="preserve"> in 2016,</w:t>
      </w:r>
      <w:r w:rsidR="00260B5B">
        <w:t xml:space="preserve"> </w:t>
      </w:r>
      <w:r w:rsidR="00A02EF8">
        <w:t xml:space="preserve">per </w:t>
      </w:r>
      <w:r w:rsidR="00260B5B">
        <w:t>the settlement and Order in Case No.</w:t>
      </w:r>
      <w:r w:rsidR="00ED5174">
        <w:t xml:space="preserve"> 11-4393-EL-RDR</w:t>
      </w:r>
      <w:r w:rsidR="00260B5B">
        <w:t xml:space="preserve">.  And the other is what provision of Senate Bill 310 (a continued plan </w:t>
      </w:r>
    </w:p>
    <w:p w:rsidR="002458BD" w:rsidRDefault="00260B5B" w:rsidP="00916657">
      <w:pPr>
        <w:pStyle w:val="BodyTextIndent3"/>
        <w:widowControl w:val="0"/>
        <w:spacing w:line="480" w:lineRule="auto"/>
        <w:ind w:right="-312" w:firstLine="0"/>
      </w:pPr>
      <w:r>
        <w:t xml:space="preserve">or an amended plan) is invoked by Duke’s Application (which Duke believes is a continued plan). </w:t>
      </w:r>
    </w:p>
    <w:p w:rsidR="00D77270" w:rsidRDefault="00260B5B" w:rsidP="00AD19E0">
      <w:pPr>
        <w:pStyle w:val="BodyTextIndent3"/>
        <w:widowControl w:val="0"/>
        <w:spacing w:line="480" w:lineRule="auto"/>
        <w:ind w:right="-312"/>
      </w:pPr>
      <w:r>
        <w:t xml:space="preserve">For its part, </w:t>
      </w:r>
      <w:r w:rsidR="00FF09B0">
        <w:t xml:space="preserve">Duke </w:t>
      </w:r>
      <w:r w:rsidR="0070552D">
        <w:t>seeks to continue its current portfolio of energy efficiency and peak demand reduction programs</w:t>
      </w:r>
      <w:r w:rsidR="00A02EF8">
        <w:t xml:space="preserve"> for years that include 2016</w:t>
      </w:r>
      <w:r w:rsidR="0070552D">
        <w:t>.</w:t>
      </w:r>
      <w:r w:rsidR="007E0876">
        <w:t xml:space="preserve">  </w:t>
      </w:r>
      <w:r w:rsidR="0070552D">
        <w:t>Duke</w:t>
      </w:r>
      <w:r w:rsidR="008E6D61">
        <w:t xml:space="preserve"> </w:t>
      </w:r>
      <w:r w:rsidR="007E0876">
        <w:t xml:space="preserve">seeks approval </w:t>
      </w:r>
      <w:r w:rsidR="000B0A9E">
        <w:t xml:space="preserve">for </w:t>
      </w:r>
      <w:r w:rsidR="000B0A9E">
        <w:lastRenderedPageBreak/>
        <w:t xml:space="preserve">continued authority to </w:t>
      </w:r>
      <w:r w:rsidR="004D47D3">
        <w:t>charge customers for</w:t>
      </w:r>
      <w:r w:rsidR="00B2570C">
        <w:t xml:space="preserve"> higher levels of</w:t>
      </w:r>
      <w:r w:rsidR="004D47D3">
        <w:t xml:space="preserve"> shared savings</w:t>
      </w:r>
      <w:r w:rsidR="00B2570C">
        <w:t xml:space="preserve"> (i.e., Duke profit</w:t>
      </w:r>
      <w:r w:rsidR="00D77270">
        <w:t>s</w:t>
      </w:r>
      <w:r w:rsidR="00B2570C">
        <w:t>) by avoiding</w:t>
      </w:r>
      <w:r w:rsidR="008E6D61">
        <w:t xml:space="preserve"> a cap on its charges</w:t>
      </w:r>
      <w:r>
        <w:t>.  A</w:t>
      </w:r>
      <w:r w:rsidR="008E6D61">
        <w:t>nd</w:t>
      </w:r>
      <w:r>
        <w:t xml:space="preserve"> Duke is </w:t>
      </w:r>
      <w:r w:rsidR="008E6D61">
        <w:t xml:space="preserve">apparently </w:t>
      </w:r>
      <w:r>
        <w:t xml:space="preserve">proposing to continue </w:t>
      </w:r>
      <w:r w:rsidR="00B2570C">
        <w:t xml:space="preserve">using </w:t>
      </w:r>
      <w:r w:rsidR="00B2570C" w:rsidRPr="002D1419">
        <w:rPr>
          <w:i/>
        </w:rPr>
        <w:t>past</w:t>
      </w:r>
      <w:r w:rsidR="00B2570C">
        <w:t xml:space="preserve"> “banked” savings to charge </w:t>
      </w:r>
      <w:r w:rsidR="00B2570C" w:rsidRPr="002D1419">
        <w:rPr>
          <w:i/>
        </w:rPr>
        <w:t>current</w:t>
      </w:r>
      <w:r w:rsidR="00B2570C">
        <w:t xml:space="preserve"> customers more money</w:t>
      </w:r>
      <w:r w:rsidR="008E6D61">
        <w:t xml:space="preserve">.  Further, Duke proposes </w:t>
      </w:r>
      <w:r w:rsidR="000B0A9E">
        <w:t>continued authority to</w:t>
      </w:r>
      <w:r w:rsidR="008E6D61">
        <w:t xml:space="preserve"> charge</w:t>
      </w:r>
      <w:r w:rsidR="00B2570C">
        <w:t xml:space="preserve"> customers </w:t>
      </w:r>
      <w:r w:rsidR="008E6D61">
        <w:t>for shared savings (profit) on all energy efficiency</w:t>
      </w:r>
      <w:r w:rsidR="00810CCB">
        <w:t xml:space="preserve"> (including efficiency for Duke to merely comply with the statutory benchmark)</w:t>
      </w:r>
      <w:r w:rsidR="008E6D61">
        <w:t xml:space="preserve"> instead of limiting charges for shared savings to just the energy efficiency that exceeds (as an incentive) the statutory benchmark. </w:t>
      </w:r>
    </w:p>
    <w:p w:rsidR="00A044B5" w:rsidRDefault="00D77270" w:rsidP="00AD19E0">
      <w:pPr>
        <w:pStyle w:val="BodyTextIndent3"/>
        <w:widowControl w:val="0"/>
        <w:spacing w:line="480" w:lineRule="auto"/>
        <w:ind w:right="-312"/>
      </w:pPr>
      <w:r>
        <w:t>T</w:t>
      </w:r>
      <w:r w:rsidR="00A044B5">
        <w:t xml:space="preserve">he reasons the </w:t>
      </w:r>
      <w:r w:rsidR="00641070">
        <w:t>PUCO</w:t>
      </w:r>
      <w:r w:rsidR="00A044B5">
        <w:t xml:space="preserve"> should grant OCC’s Motion</w:t>
      </w:r>
      <w:r w:rsidR="009E00A8">
        <w:t xml:space="preserve"> to Intervene on behalf of Duke’s residential electric customers</w:t>
      </w:r>
      <w:r w:rsidR="00A044B5">
        <w:t xml:space="preserve"> are further set forth in the attached Memorandum in Support.</w:t>
      </w:r>
      <w:r w:rsidR="009E00A8">
        <w:t xml:space="preserve">  </w:t>
      </w:r>
    </w:p>
    <w:p w:rsidR="00A044B5" w:rsidRDefault="00A044B5">
      <w:pPr>
        <w:pStyle w:val="BodyTextIndent3"/>
        <w:widowControl w:val="0"/>
        <w:ind w:left="3600" w:right="-672"/>
        <w:rPr>
          <w:szCs w:val="24"/>
        </w:rPr>
      </w:pPr>
      <w:r>
        <w:rPr>
          <w:szCs w:val="24"/>
        </w:rPr>
        <w:t>Respectfully submitted,</w:t>
      </w:r>
    </w:p>
    <w:p w:rsidR="00A044B5" w:rsidRDefault="00A044B5">
      <w:pPr>
        <w:pStyle w:val="Footer"/>
        <w:tabs>
          <w:tab w:val="clear" w:pos="8640"/>
          <w:tab w:val="left" w:pos="4320"/>
        </w:tabs>
        <w:spacing w:before="240"/>
        <w:rPr>
          <w:sz w:val="24"/>
          <w:szCs w:val="24"/>
        </w:rPr>
      </w:pPr>
      <w:r>
        <w:rPr>
          <w:sz w:val="24"/>
          <w:szCs w:val="24"/>
        </w:rPr>
        <w:tab/>
        <w:t>BRUCE J. WESTON</w:t>
      </w:r>
    </w:p>
    <w:p w:rsidR="00A044B5" w:rsidRDefault="00A044B5">
      <w:pPr>
        <w:tabs>
          <w:tab w:val="left" w:pos="4320"/>
        </w:tabs>
        <w:rPr>
          <w:szCs w:val="24"/>
        </w:rPr>
      </w:pPr>
      <w:r>
        <w:rPr>
          <w:szCs w:val="24"/>
        </w:rPr>
        <w:tab/>
      </w:r>
      <w:r w:rsidR="008D3A4F">
        <w:rPr>
          <w:szCs w:val="24"/>
        </w:rPr>
        <w:t xml:space="preserve">OHIO </w:t>
      </w:r>
      <w:r>
        <w:rPr>
          <w:szCs w:val="24"/>
        </w:rPr>
        <w:t>CONSUMERS’ COUNSEL</w:t>
      </w:r>
    </w:p>
    <w:p w:rsidR="00A044B5" w:rsidRDefault="00A044B5">
      <w:pPr>
        <w:tabs>
          <w:tab w:val="left" w:pos="4320"/>
        </w:tabs>
        <w:rPr>
          <w:szCs w:val="24"/>
        </w:rPr>
      </w:pPr>
      <w:r>
        <w:rPr>
          <w:szCs w:val="24"/>
        </w:rPr>
        <w:tab/>
      </w:r>
    </w:p>
    <w:p w:rsidR="00A044B5" w:rsidRDefault="004C0A9C">
      <w:pPr>
        <w:tabs>
          <w:tab w:val="left" w:pos="4320"/>
        </w:tabs>
        <w:rPr>
          <w:szCs w:val="24"/>
        </w:rPr>
      </w:pPr>
      <w:r>
        <w:rPr>
          <w:szCs w:val="24"/>
        </w:rPr>
        <w:tab/>
      </w:r>
      <w:r>
        <w:rPr>
          <w:i/>
          <w:szCs w:val="24"/>
          <w:u w:val="single"/>
        </w:rPr>
        <w:t>/s/ Kyle L. Kern</w:t>
      </w:r>
      <w:r w:rsidR="00A044B5">
        <w:rPr>
          <w:szCs w:val="24"/>
        </w:rPr>
        <w:t>_________________</w:t>
      </w:r>
    </w:p>
    <w:p w:rsidR="00A044B5" w:rsidRDefault="00A044B5">
      <w:pPr>
        <w:tabs>
          <w:tab w:val="left" w:pos="4320"/>
        </w:tabs>
        <w:rPr>
          <w:szCs w:val="24"/>
        </w:rPr>
      </w:pPr>
      <w:r>
        <w:rPr>
          <w:szCs w:val="24"/>
        </w:rPr>
        <w:tab/>
      </w:r>
      <w:r w:rsidR="004C0A9C">
        <w:rPr>
          <w:szCs w:val="24"/>
        </w:rPr>
        <w:t>Kyle L. Kern</w:t>
      </w:r>
      <w:r>
        <w:rPr>
          <w:szCs w:val="24"/>
        </w:rPr>
        <w:t>, Counsel of Record</w:t>
      </w:r>
    </w:p>
    <w:p w:rsidR="00EB6E22" w:rsidRDefault="00EB6E22">
      <w:pPr>
        <w:tabs>
          <w:tab w:val="left" w:pos="4320"/>
        </w:tabs>
        <w:rPr>
          <w:szCs w:val="24"/>
        </w:rPr>
      </w:pPr>
      <w:r>
        <w:rPr>
          <w:szCs w:val="24"/>
        </w:rPr>
        <w:tab/>
        <w:t>Michael J. Schuler</w:t>
      </w:r>
    </w:p>
    <w:p w:rsidR="00A044B5" w:rsidRDefault="00A044B5">
      <w:pPr>
        <w:tabs>
          <w:tab w:val="left" w:pos="4320"/>
        </w:tabs>
        <w:rPr>
          <w:szCs w:val="24"/>
        </w:rPr>
      </w:pPr>
      <w:r>
        <w:rPr>
          <w:szCs w:val="24"/>
        </w:rPr>
        <w:tab/>
        <w:t>Assistant Consumers’ Counsel</w:t>
      </w:r>
    </w:p>
    <w:p w:rsidR="00A044B5" w:rsidRDefault="00A044B5">
      <w:pPr>
        <w:pStyle w:val="Heading1"/>
        <w:ind w:left="3240" w:right="-648" w:firstLine="720"/>
        <w:rPr>
          <w:u w:val="none"/>
        </w:rPr>
      </w:pPr>
      <w:r>
        <w:rPr>
          <w:u w:val="none"/>
        </w:rPr>
        <w:tab/>
      </w:r>
    </w:p>
    <w:p w:rsidR="00A044B5" w:rsidRDefault="00A044B5">
      <w:pPr>
        <w:pStyle w:val="Heading1"/>
        <w:ind w:left="3240" w:right="-648" w:firstLine="720"/>
        <w:rPr>
          <w:u w:val="none"/>
        </w:rPr>
      </w:pPr>
      <w:r>
        <w:rPr>
          <w:u w:val="none"/>
        </w:rPr>
        <w:tab/>
        <w:t>Office of the Ohio Consumers’ Counsel</w:t>
      </w:r>
    </w:p>
    <w:p w:rsidR="00A044B5" w:rsidRDefault="00A044B5">
      <w:pPr>
        <w:pStyle w:val="Heading1"/>
        <w:ind w:left="3240" w:right="-648" w:firstLine="720"/>
        <w:rPr>
          <w:b w:val="0"/>
          <w:u w:val="none"/>
        </w:rPr>
      </w:pPr>
      <w:r>
        <w:rPr>
          <w:b w:val="0"/>
          <w:u w:val="none"/>
        </w:rPr>
        <w:tab/>
        <w:t>10 West Broad Street, Suite 1800</w:t>
      </w:r>
    </w:p>
    <w:p w:rsidR="00A044B5" w:rsidRDefault="00A044B5">
      <w:pPr>
        <w:pStyle w:val="Heading1"/>
        <w:ind w:left="3240" w:right="-648" w:firstLine="720"/>
        <w:rPr>
          <w:b w:val="0"/>
          <w:u w:val="none"/>
        </w:rPr>
      </w:pPr>
      <w:r>
        <w:rPr>
          <w:b w:val="0"/>
          <w:u w:val="none"/>
        </w:rPr>
        <w:tab/>
        <w:t>Columbus, Ohio 43215-3485</w:t>
      </w:r>
    </w:p>
    <w:p w:rsidR="00A044B5" w:rsidRDefault="00D55177">
      <w:pPr>
        <w:autoSpaceDE w:val="0"/>
        <w:autoSpaceDN w:val="0"/>
        <w:adjustRightInd w:val="0"/>
        <w:ind w:left="3600" w:firstLine="720"/>
        <w:rPr>
          <w:szCs w:val="24"/>
        </w:rPr>
      </w:pPr>
      <w:r>
        <w:rPr>
          <w:szCs w:val="24"/>
        </w:rPr>
        <w:t>Telephone</w:t>
      </w:r>
      <w:r w:rsidR="004C0A9C">
        <w:rPr>
          <w:szCs w:val="24"/>
        </w:rPr>
        <w:t>:  Kern Direct – 614-466-9585</w:t>
      </w:r>
    </w:p>
    <w:p w:rsidR="00EB6E22" w:rsidRDefault="00EB6E22">
      <w:pPr>
        <w:autoSpaceDE w:val="0"/>
        <w:autoSpaceDN w:val="0"/>
        <w:adjustRightInd w:val="0"/>
        <w:ind w:left="3600" w:firstLine="720"/>
        <w:rPr>
          <w:szCs w:val="24"/>
        </w:rPr>
      </w:pPr>
      <w:r>
        <w:rPr>
          <w:szCs w:val="24"/>
        </w:rPr>
        <w:t>Telephone:  Schuler Direct – 614-466-9547</w:t>
      </w:r>
    </w:p>
    <w:p w:rsidR="004C0A9C" w:rsidRDefault="00125C7D">
      <w:pPr>
        <w:autoSpaceDE w:val="0"/>
        <w:autoSpaceDN w:val="0"/>
        <w:adjustRightInd w:val="0"/>
        <w:ind w:left="3600" w:firstLine="720"/>
        <w:rPr>
          <w:szCs w:val="24"/>
        </w:rPr>
      </w:pPr>
      <w:hyperlink r:id="rId8" w:history="1">
        <w:r w:rsidR="005E15EE" w:rsidRPr="005B6B5C">
          <w:rPr>
            <w:rStyle w:val="Hyperlink"/>
            <w:szCs w:val="24"/>
          </w:rPr>
          <w:t>Kyle.kern@occ.ohio.gov</w:t>
        </w:r>
      </w:hyperlink>
    </w:p>
    <w:p w:rsidR="00EB6E22" w:rsidRDefault="00125C7D">
      <w:pPr>
        <w:autoSpaceDE w:val="0"/>
        <w:autoSpaceDN w:val="0"/>
        <w:adjustRightInd w:val="0"/>
        <w:ind w:left="3600" w:firstLine="720"/>
        <w:rPr>
          <w:szCs w:val="24"/>
        </w:rPr>
      </w:pPr>
      <w:hyperlink r:id="rId9" w:history="1">
        <w:r w:rsidR="005E15EE" w:rsidRPr="005B6B5C">
          <w:rPr>
            <w:rStyle w:val="Hyperlink"/>
            <w:szCs w:val="24"/>
          </w:rPr>
          <w:t>Michael.schuler@occ.ohio.gov</w:t>
        </w:r>
      </w:hyperlink>
    </w:p>
    <w:p w:rsidR="00EB6E22" w:rsidRDefault="00EB6E22">
      <w:pPr>
        <w:autoSpaceDE w:val="0"/>
        <w:autoSpaceDN w:val="0"/>
        <w:adjustRightInd w:val="0"/>
        <w:ind w:left="3600" w:firstLine="720"/>
        <w:rPr>
          <w:szCs w:val="24"/>
        </w:rPr>
      </w:pPr>
    </w:p>
    <w:p w:rsidR="00A044B5" w:rsidRDefault="00A044B5">
      <w:pPr>
        <w:rPr>
          <w:szCs w:val="24"/>
        </w:rPr>
      </w:pPr>
    </w:p>
    <w:p w:rsidR="00A044B5" w:rsidRDefault="00A044B5">
      <w:pPr>
        <w:rPr>
          <w:szCs w:val="24"/>
        </w:rPr>
      </w:pPr>
    </w:p>
    <w:p w:rsidR="00A044B5" w:rsidRDefault="00A044B5">
      <w:pPr>
        <w:pStyle w:val="HTMLPreformatted"/>
        <w:jc w:val="center"/>
        <w:rPr>
          <w:rFonts w:ascii="Times New Roman" w:hAnsi="Times New Roman"/>
          <w:b/>
          <w:bCs/>
          <w:sz w:val="24"/>
        </w:rPr>
        <w:sectPr w:rsidR="00A04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lastRenderedPageBreak/>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4C0A9C" w:rsidRDefault="004C0A9C" w:rsidP="004C0A9C">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C0A9C" w:rsidTr="0030264E">
        <w:trPr>
          <w:trHeight w:val="807"/>
        </w:trPr>
        <w:tc>
          <w:tcPr>
            <w:tcW w:w="4332" w:type="dxa"/>
            <w:shd w:val="clear" w:color="auto" w:fill="auto"/>
          </w:tcPr>
          <w:p w:rsidR="004C0A9C" w:rsidRPr="00A044B5" w:rsidRDefault="004C0A9C" w:rsidP="0030264E">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Approval to Continue Cost Recovery Mechanism for Energy Efficiency Programs Through 2016.</w:t>
            </w:r>
          </w:p>
          <w:p w:rsidR="004C0A9C" w:rsidRPr="00A044B5" w:rsidRDefault="004C0A9C" w:rsidP="0030264E">
            <w:pPr>
              <w:pStyle w:val="HTMLPreformatted"/>
              <w:rPr>
                <w:rFonts w:ascii="Times New Roman" w:hAnsi="Times New Roman"/>
                <w:sz w:val="24"/>
                <w:szCs w:val="24"/>
              </w:rPr>
            </w:pPr>
          </w:p>
        </w:tc>
        <w:tc>
          <w:tcPr>
            <w:tcW w:w="360" w:type="dxa"/>
            <w:shd w:val="clear" w:color="auto" w:fill="auto"/>
          </w:tcPr>
          <w:p w:rsidR="004C0A9C" w:rsidRPr="00A044B5" w:rsidRDefault="004C0A9C" w:rsidP="0030264E">
            <w:pPr>
              <w:pStyle w:val="HTMLPreformatted"/>
              <w:rPr>
                <w:rFonts w:ascii="Times New Roman" w:hAnsi="Times New Roman"/>
                <w:sz w:val="24"/>
              </w:rPr>
            </w:pPr>
            <w:r w:rsidRPr="00A044B5">
              <w:rPr>
                <w:rFonts w:ascii="Times New Roman" w:hAnsi="Times New Roman"/>
                <w:sz w:val="24"/>
              </w:rPr>
              <w:t>)</w:t>
            </w:r>
          </w:p>
          <w:p w:rsidR="004C0A9C" w:rsidRPr="00A044B5" w:rsidRDefault="004C0A9C" w:rsidP="0030264E">
            <w:pPr>
              <w:pStyle w:val="HTMLPreformatted"/>
              <w:rPr>
                <w:rFonts w:ascii="Times New Roman" w:hAnsi="Times New Roman"/>
                <w:sz w:val="24"/>
              </w:rPr>
            </w:pPr>
            <w:r w:rsidRPr="00A044B5">
              <w:rPr>
                <w:rFonts w:ascii="Times New Roman" w:hAnsi="Times New Roman"/>
                <w:sz w:val="24"/>
              </w:rPr>
              <w:t>)</w:t>
            </w:r>
          </w:p>
          <w:p w:rsidR="004C0A9C" w:rsidRPr="00A044B5" w:rsidRDefault="004C0A9C" w:rsidP="0030264E">
            <w:pPr>
              <w:pStyle w:val="HTMLPreformatted"/>
              <w:rPr>
                <w:rFonts w:ascii="Times New Roman" w:hAnsi="Times New Roman"/>
                <w:sz w:val="24"/>
              </w:rPr>
            </w:pPr>
            <w:r w:rsidRPr="00A044B5">
              <w:rPr>
                <w:rFonts w:ascii="Times New Roman" w:hAnsi="Times New Roman"/>
                <w:sz w:val="24"/>
              </w:rPr>
              <w:t>)</w:t>
            </w:r>
          </w:p>
          <w:p w:rsidR="004C0A9C" w:rsidRDefault="004C0A9C" w:rsidP="0030264E">
            <w:pPr>
              <w:pStyle w:val="HTMLPreformatted"/>
              <w:rPr>
                <w:rFonts w:ascii="Times New Roman" w:hAnsi="Times New Roman"/>
                <w:sz w:val="24"/>
              </w:rPr>
            </w:pPr>
            <w:r w:rsidRPr="00A044B5">
              <w:rPr>
                <w:rFonts w:ascii="Times New Roman" w:hAnsi="Times New Roman"/>
                <w:sz w:val="24"/>
              </w:rPr>
              <w:t>)</w:t>
            </w:r>
          </w:p>
          <w:p w:rsidR="004C0A9C" w:rsidRPr="00A044B5" w:rsidRDefault="004C0A9C" w:rsidP="0030264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4C0A9C" w:rsidRPr="00A044B5" w:rsidRDefault="004C0A9C" w:rsidP="0030264E">
            <w:pPr>
              <w:pStyle w:val="HTMLPreformatted"/>
              <w:rPr>
                <w:rFonts w:ascii="Times New Roman" w:hAnsi="Times New Roman"/>
                <w:sz w:val="24"/>
              </w:rPr>
            </w:pPr>
          </w:p>
          <w:p w:rsidR="004C0A9C" w:rsidRPr="00A044B5" w:rsidRDefault="004C0A9C" w:rsidP="0030264E">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14-1580-EL-RDR</w:t>
            </w:r>
          </w:p>
          <w:p w:rsidR="004C0A9C" w:rsidRPr="00A044B5" w:rsidRDefault="004C0A9C" w:rsidP="0030264E">
            <w:pPr>
              <w:pStyle w:val="HTMLPreformatted"/>
              <w:rPr>
                <w:rFonts w:ascii="Times New Roman" w:hAnsi="Times New Roman"/>
                <w:sz w:val="24"/>
              </w:rPr>
            </w:pPr>
          </w:p>
          <w:p w:rsidR="004C0A9C" w:rsidRPr="00A044B5" w:rsidRDefault="004C0A9C" w:rsidP="0030264E">
            <w:pPr>
              <w:pStyle w:val="HTMLPreformatted"/>
              <w:rPr>
                <w:rFonts w:ascii="Times New Roman" w:hAnsi="Times New Roman"/>
                <w:sz w:val="24"/>
              </w:rPr>
            </w:pP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303DB9" w:rsidRDefault="00303DB9">
      <w:pPr>
        <w:pStyle w:val="BodyTextIndent3"/>
        <w:widowControl w:val="0"/>
        <w:spacing w:line="480" w:lineRule="auto"/>
        <w:ind w:right="-24"/>
      </w:pPr>
      <w:r>
        <w:t>In 2011, the Consumers’ Counsel settle</w:t>
      </w:r>
      <w:r w:rsidR="009E00A8">
        <w:t>d</w:t>
      </w:r>
      <w:r>
        <w:t xml:space="preserve"> with Duke and other parties </w:t>
      </w:r>
      <w:r w:rsidR="00521A6E">
        <w:t>Duke’s</w:t>
      </w:r>
      <w:r>
        <w:t xml:space="preserve"> energy efficiency mechanism</w:t>
      </w:r>
      <w:r w:rsidR="009E00A8">
        <w:t xml:space="preserve"> for charging customers</w:t>
      </w:r>
      <w:r w:rsidR="00521A6E">
        <w:t xml:space="preserve"> for its energy efficiency portfolio</w:t>
      </w:r>
      <w:r>
        <w:t xml:space="preserve"> </w:t>
      </w:r>
      <w:r w:rsidR="009E00A8">
        <w:t>in</w:t>
      </w:r>
      <w:r>
        <w:t xml:space="preserve"> the years 2012 through 2015.  A key consumer protection in th</w:t>
      </w:r>
      <w:r w:rsidR="009E00A8">
        <w:t>e</w:t>
      </w:r>
      <w:r>
        <w:t xml:space="preserve"> settlement was that the appropriateness of any charges to customers for the year 2016 was left open for a future PUCO case and decision.  In this regard, the PUCO </w:t>
      </w:r>
      <w:r w:rsidR="00521A6E">
        <w:t>acknowledged in</w:t>
      </w:r>
      <w:r w:rsidR="00DB42AC">
        <w:t xml:space="preserve"> Case No. 13-431-EL</w:t>
      </w:r>
      <w:r w:rsidR="00EC08A7">
        <w:t>-POR</w:t>
      </w:r>
      <w:r>
        <w:t xml:space="preserve"> that:</w:t>
      </w:r>
    </w:p>
    <w:p w:rsidR="00602421" w:rsidRDefault="00602421" w:rsidP="00EB6E22">
      <w:pPr>
        <w:autoSpaceDE w:val="0"/>
        <w:autoSpaceDN w:val="0"/>
        <w:adjustRightInd w:val="0"/>
        <w:ind w:left="1440" w:right="720"/>
        <w:rPr>
          <w:szCs w:val="24"/>
        </w:rPr>
      </w:pPr>
      <w:r>
        <w:rPr>
          <w:szCs w:val="24"/>
        </w:rPr>
        <w:t>The mechanism</w:t>
      </w:r>
      <w:r w:rsidR="00521A6E">
        <w:rPr>
          <w:szCs w:val="24"/>
        </w:rPr>
        <w:t xml:space="preserve"> for recovering costs from Duke’</w:t>
      </w:r>
      <w:r>
        <w:rPr>
          <w:szCs w:val="24"/>
        </w:rPr>
        <w:t>s customers, including recovery of prudent program costs incurred, lost distribution revenues and an incentive mechanism, shall expire at the end of 2015, as controlled</w:t>
      </w:r>
      <w:r w:rsidR="00616C30">
        <w:rPr>
          <w:szCs w:val="24"/>
        </w:rPr>
        <w:t xml:space="preserve"> by the stipulation in the 2011</w:t>
      </w:r>
      <w:r>
        <w:rPr>
          <w:szCs w:val="24"/>
        </w:rPr>
        <w:t xml:space="preserve"> Portfolio Case.</w:t>
      </w:r>
      <w:r>
        <w:rPr>
          <w:rStyle w:val="FootnoteReference"/>
          <w:szCs w:val="24"/>
        </w:rPr>
        <w:footnoteReference w:id="3"/>
      </w:r>
    </w:p>
    <w:p w:rsidR="00602421" w:rsidRPr="00602421" w:rsidRDefault="00602421" w:rsidP="00616C30">
      <w:pPr>
        <w:autoSpaceDE w:val="0"/>
        <w:autoSpaceDN w:val="0"/>
        <w:adjustRightInd w:val="0"/>
        <w:rPr>
          <w:szCs w:val="24"/>
        </w:rPr>
      </w:pPr>
    </w:p>
    <w:p w:rsidR="00303DB9" w:rsidRDefault="00303DB9">
      <w:pPr>
        <w:pStyle w:val="BodyTextIndent3"/>
        <w:widowControl w:val="0"/>
        <w:spacing w:line="480" w:lineRule="auto"/>
        <w:ind w:right="-24"/>
      </w:pPr>
      <w:r>
        <w:t>Meanwhile, in legislation (Senate Bill 310) this year, the General Assembly allowed for two different options for energy efficiency programs and charges to consumers for the next two years</w:t>
      </w:r>
      <w:r w:rsidR="00ED5174">
        <w:t xml:space="preserve"> affecting Ohio consumers</w:t>
      </w:r>
      <w:r>
        <w:t xml:space="preserve">.  In this regard, </w:t>
      </w:r>
      <w:r w:rsidR="00DE5E54">
        <w:t>uncodified Section 6 of Senate Bill 310 states:</w:t>
      </w:r>
    </w:p>
    <w:p w:rsidR="00DE5E54" w:rsidRDefault="00DE5E54" w:rsidP="00EB6E22">
      <w:pPr>
        <w:numPr>
          <w:ilvl w:val="0"/>
          <w:numId w:val="7"/>
        </w:numPr>
        <w:autoSpaceDE w:val="0"/>
        <w:autoSpaceDN w:val="0"/>
        <w:adjustRightInd w:val="0"/>
        <w:ind w:left="1440" w:hanging="720"/>
        <w:rPr>
          <w:szCs w:val="24"/>
        </w:rPr>
      </w:pPr>
      <w:r>
        <w:rPr>
          <w:szCs w:val="24"/>
        </w:rPr>
        <w:t>If an electric distribution utility has a portfolio plan that is in effect on the effective date of this section, the utility shall do either of the following, at its sole discretion:</w:t>
      </w:r>
    </w:p>
    <w:p w:rsidR="00521A6E" w:rsidRDefault="00521A6E" w:rsidP="00616C30">
      <w:pPr>
        <w:autoSpaceDE w:val="0"/>
        <w:autoSpaceDN w:val="0"/>
        <w:adjustRightInd w:val="0"/>
        <w:ind w:left="1110"/>
        <w:rPr>
          <w:szCs w:val="24"/>
        </w:rPr>
      </w:pPr>
    </w:p>
    <w:p w:rsidR="00DE5E54" w:rsidRDefault="00DE5E54" w:rsidP="00EB6E22">
      <w:pPr>
        <w:autoSpaceDE w:val="0"/>
        <w:autoSpaceDN w:val="0"/>
        <w:adjustRightInd w:val="0"/>
        <w:ind w:left="2160" w:hanging="720"/>
        <w:rPr>
          <w:szCs w:val="24"/>
        </w:rPr>
      </w:pPr>
      <w:r>
        <w:rPr>
          <w:szCs w:val="24"/>
        </w:rPr>
        <w:t xml:space="preserve">(1) </w:t>
      </w:r>
      <w:r w:rsidR="00EB6E22">
        <w:rPr>
          <w:szCs w:val="24"/>
        </w:rPr>
        <w:tab/>
      </w:r>
      <w:r>
        <w:rPr>
          <w:szCs w:val="24"/>
        </w:rPr>
        <w:t>Continue to implement the portfolio plan with no amendments to the plan, for the duration that the Public Utilities Commission originally approved, subject to divisions (D) and (E) of this section;</w:t>
      </w:r>
    </w:p>
    <w:p w:rsidR="00521A6E" w:rsidRDefault="00521A6E" w:rsidP="00EB6E22">
      <w:pPr>
        <w:autoSpaceDE w:val="0"/>
        <w:autoSpaceDN w:val="0"/>
        <w:adjustRightInd w:val="0"/>
        <w:ind w:left="2160" w:hanging="720"/>
        <w:rPr>
          <w:szCs w:val="24"/>
        </w:rPr>
      </w:pPr>
    </w:p>
    <w:p w:rsidR="00DE5E54" w:rsidRDefault="00DE5E54" w:rsidP="00EB6E22">
      <w:pPr>
        <w:autoSpaceDE w:val="0"/>
        <w:autoSpaceDN w:val="0"/>
        <w:adjustRightInd w:val="0"/>
        <w:ind w:left="2160" w:hanging="720"/>
        <w:rPr>
          <w:szCs w:val="24"/>
        </w:rPr>
      </w:pPr>
      <w:r>
        <w:rPr>
          <w:szCs w:val="24"/>
        </w:rPr>
        <w:t xml:space="preserve">(2) </w:t>
      </w:r>
      <w:r w:rsidR="00EB6E22">
        <w:rPr>
          <w:szCs w:val="24"/>
        </w:rPr>
        <w:tab/>
      </w:r>
      <w:r>
        <w:rPr>
          <w:szCs w:val="24"/>
        </w:rPr>
        <w:t>Seek an amendment of the portfolio plan under division (B) of this section.</w:t>
      </w:r>
    </w:p>
    <w:p w:rsidR="00521A6E" w:rsidRDefault="00521A6E" w:rsidP="00616C30">
      <w:pPr>
        <w:autoSpaceDE w:val="0"/>
        <w:autoSpaceDN w:val="0"/>
        <w:adjustRightInd w:val="0"/>
        <w:ind w:left="1440"/>
        <w:rPr>
          <w:szCs w:val="24"/>
        </w:rPr>
      </w:pPr>
    </w:p>
    <w:p w:rsidR="004C0A9C" w:rsidRDefault="00DE5E54" w:rsidP="00916657">
      <w:pPr>
        <w:autoSpaceDE w:val="0"/>
        <w:autoSpaceDN w:val="0"/>
        <w:adjustRightInd w:val="0"/>
        <w:spacing w:line="480" w:lineRule="auto"/>
      </w:pPr>
      <w:r>
        <w:rPr>
          <w:szCs w:val="24"/>
        </w:rPr>
        <w:tab/>
      </w:r>
      <w:r w:rsidR="00AD19E0">
        <w:t xml:space="preserve">By way of background, in Case No. 11-4393-EL-RDR, Duke agreed (in a </w:t>
      </w:r>
      <w:r w:rsidR="00BE029C">
        <w:t xml:space="preserve">settlement </w:t>
      </w:r>
      <w:r w:rsidR="00AD19E0">
        <w:t xml:space="preserve">with OCC and others) that its </w:t>
      </w:r>
      <w:r w:rsidR="00217E9B">
        <w:t xml:space="preserve">cost recovery and </w:t>
      </w:r>
      <w:r w:rsidR="00AD19E0">
        <w:t xml:space="preserve">shared savings mechanism </w:t>
      </w:r>
    </w:p>
    <w:p w:rsidR="00AC79BB" w:rsidRDefault="00AD19E0" w:rsidP="004C0A9C">
      <w:pPr>
        <w:pStyle w:val="BodyTextIndent3"/>
        <w:widowControl w:val="0"/>
        <w:spacing w:line="480" w:lineRule="auto"/>
        <w:ind w:right="-24" w:firstLine="0"/>
      </w:pPr>
      <w:r>
        <w:t>would expire on December 31, 2015.</w:t>
      </w:r>
      <w:r>
        <w:rPr>
          <w:rStyle w:val="FootnoteReference"/>
        </w:rPr>
        <w:footnoteReference w:id="4"/>
      </w:r>
      <w:r>
        <w:t xml:space="preserve">  </w:t>
      </w:r>
      <w:r w:rsidR="004412F2">
        <w:t>Moreover, t</w:t>
      </w:r>
      <w:r>
        <w:t>he Utility’s incentive mechanism was to be reevaluated by “interested parties” in the third quarter of 2014 to “assess the reasonableness and effectiveness of the incentive mechanism and to consider whether or not [the interested parties] support its further use as structured or as modified.”</w:t>
      </w:r>
      <w:r>
        <w:rPr>
          <w:rStyle w:val="FootnoteReference"/>
        </w:rPr>
        <w:footnoteReference w:id="5"/>
      </w:r>
      <w:r>
        <w:t xml:space="preserve">  </w:t>
      </w:r>
    </w:p>
    <w:p w:rsidR="00EB6E22" w:rsidRDefault="00810FA4" w:rsidP="002D1419">
      <w:pPr>
        <w:pStyle w:val="BodyTextIndent3"/>
        <w:widowControl w:val="0"/>
        <w:spacing w:line="480" w:lineRule="auto"/>
        <w:ind w:right="-24"/>
      </w:pPr>
      <w:r>
        <w:t>Duke claims</w:t>
      </w:r>
      <w:r w:rsidR="00843280">
        <w:t xml:space="preserve"> in its Application</w:t>
      </w:r>
      <w:r>
        <w:t xml:space="preserve"> that “the majority of signatory parties are in agreement with continuing the cost recovery mechanism</w:t>
      </w:r>
      <w:r w:rsidR="00AC79BB">
        <w:t>.</w:t>
      </w:r>
      <w:r>
        <w:t>”</w:t>
      </w:r>
      <w:r w:rsidR="00AC79BB">
        <w:t xml:space="preserve">  Duke did not</w:t>
      </w:r>
      <w:r>
        <w:t xml:space="preserve"> specify </w:t>
      </w:r>
      <w:r w:rsidR="00476D58">
        <w:t>which</w:t>
      </w:r>
      <w:r>
        <w:t xml:space="preserve"> parties</w:t>
      </w:r>
      <w:r w:rsidR="00476D58">
        <w:t xml:space="preserve"> are in agreement</w:t>
      </w:r>
      <w:r w:rsidR="00306A75">
        <w:t>.</w:t>
      </w:r>
      <w:r w:rsidR="00AC79BB">
        <w:t xml:space="preserve">  For the record, OCC is not in agreement.</w:t>
      </w:r>
      <w:r w:rsidR="00306A75">
        <w:t xml:space="preserve">  </w:t>
      </w:r>
      <w:r w:rsidR="00AC79BB">
        <w:t>In this regard, t</w:t>
      </w:r>
      <w:r w:rsidR="00AD19E0">
        <w:t xml:space="preserve">he </w:t>
      </w:r>
    </w:p>
    <w:p w:rsidR="0013696C" w:rsidRDefault="00EB6E22" w:rsidP="00916657">
      <w:pPr>
        <w:pStyle w:val="BodyTextIndent3"/>
        <w:widowControl w:val="0"/>
        <w:spacing w:line="480" w:lineRule="auto"/>
        <w:ind w:right="-24" w:firstLine="0"/>
      </w:pPr>
      <w:r>
        <w:br w:type="page"/>
      </w:r>
      <w:r w:rsidR="00AD19E0">
        <w:t>interested parties did not reach an agreement as to the appropriateness of Duke’s requested incentive mechanism for 2016.</w:t>
      </w:r>
      <w:r w:rsidR="00AD19E0">
        <w:rPr>
          <w:rStyle w:val="FootnoteReference"/>
        </w:rPr>
        <w:footnoteReference w:id="6"/>
      </w:r>
      <w:r w:rsidR="00AD19E0">
        <w:t xml:space="preserve"> </w:t>
      </w:r>
      <w:r w:rsidR="00306A75">
        <w:t xml:space="preserve"> </w:t>
      </w:r>
    </w:p>
    <w:p w:rsidR="00A044B5" w:rsidRDefault="0097486F" w:rsidP="00616C30">
      <w:pPr>
        <w:pStyle w:val="BodyTextIndent3"/>
        <w:widowControl w:val="0"/>
        <w:spacing w:line="480" w:lineRule="auto"/>
        <w:ind w:right="-24" w:firstLine="0"/>
      </w:pPr>
      <w:r>
        <w:tab/>
      </w:r>
      <w:r w:rsidR="00A044B5">
        <w:rPr>
          <w:szCs w:val="24"/>
        </w:rPr>
        <w:t xml:space="preserve">OCC has authority under law to represent </w:t>
      </w:r>
      <w:r w:rsidR="00A044B5">
        <w:t>the in</w:t>
      </w:r>
      <w:r w:rsidR="00A5514C">
        <w:t xml:space="preserve">terests of all the </w:t>
      </w:r>
      <w:r w:rsidR="002E78DA">
        <w:t xml:space="preserve">618,000 </w:t>
      </w:r>
      <w:r w:rsidR="00A044B5">
        <w:t xml:space="preserve">residential utility customers of </w:t>
      </w:r>
      <w:r w:rsidR="002E78DA">
        <w:t>Duke</w:t>
      </w:r>
      <w:r w:rsidR="00A044B5">
        <w:t>, pursuant to R.C. Chapter 4911.</w:t>
      </w:r>
      <w:r w:rsidR="00A044B5">
        <w:rPr>
          <w:szCs w:val="24"/>
        </w:rPr>
        <w:t xml:space="preserve"> </w:t>
      </w:r>
      <w:r w:rsidR="00A044B5">
        <w:t xml:space="preserve"> R.C. 4903.221 provides, in part, that any person “who may be adversely affected” by a PUCO proceeding is entitled to seek in</w:t>
      </w:r>
      <w:r w:rsidR="002A4912">
        <w:t xml:space="preserve">tervention in that proceeding. </w:t>
      </w:r>
      <w:r w:rsidR="00A044B5">
        <w:t>The interests of Ohio’s residential customers may be “adversely affected” by this case, especially if the customers were unrepresented in a pr</w:t>
      </w:r>
      <w:r w:rsidR="002A4912">
        <w:t>oceeding</w:t>
      </w:r>
      <w:r w:rsidR="007223AB">
        <w:t xml:space="preserve"> where Duke is seeking approval for an incentive mechanism that has costs that customers pay.</w:t>
      </w:r>
      <w:r w:rsidR="002A4912">
        <w:t xml:space="preserve"> </w:t>
      </w:r>
      <w:r w:rsidR="00A044B5">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4C0A9C">
      <w:pPr>
        <w:ind w:left="2160" w:right="720" w:hanging="720"/>
        <w:rPr>
          <w:szCs w:val="24"/>
        </w:rPr>
      </w:pPr>
      <w:r>
        <w:rPr>
          <w:szCs w:val="24"/>
        </w:rPr>
        <w:t>(1)</w:t>
      </w:r>
      <w:r>
        <w:rPr>
          <w:szCs w:val="24"/>
        </w:rPr>
        <w:tab/>
        <w:t>The nature and extent of the prospective intervenor’s interest;</w:t>
      </w:r>
    </w:p>
    <w:p w:rsidR="00A044B5" w:rsidRDefault="00A044B5" w:rsidP="004C0A9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4C0A9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4C0A9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 xml:space="preserve">First, the nature and extent of OCC’s interest is representing the residential </w:t>
      </w:r>
      <w:r w:rsidR="001C055D">
        <w:t xml:space="preserve">electric </w:t>
      </w:r>
      <w:r>
        <w:t>customers o</w:t>
      </w:r>
      <w:r>
        <w:rPr>
          <w:szCs w:val="24"/>
        </w:rPr>
        <w:t xml:space="preserve">f </w:t>
      </w:r>
      <w:r w:rsidR="007223AB">
        <w:rPr>
          <w:szCs w:val="24"/>
        </w:rPr>
        <w:t>Duke</w:t>
      </w:r>
      <w:r>
        <w:rPr>
          <w:szCs w:val="24"/>
        </w:rPr>
        <w:t xml:space="preserve"> in this case i</w:t>
      </w:r>
      <w:r w:rsidR="002A4912">
        <w:rPr>
          <w:szCs w:val="24"/>
        </w:rPr>
        <w:t xml:space="preserve">nvolving </w:t>
      </w:r>
      <w:r w:rsidR="007223AB">
        <w:rPr>
          <w:szCs w:val="24"/>
        </w:rPr>
        <w:t xml:space="preserve">Duke’s request </w:t>
      </w:r>
      <w:r w:rsidR="0070552D">
        <w:rPr>
          <w:szCs w:val="24"/>
        </w:rPr>
        <w:t xml:space="preserve">to continue its </w:t>
      </w:r>
      <w:r w:rsidR="001C055D">
        <w:rPr>
          <w:szCs w:val="24"/>
        </w:rPr>
        <w:t>energy efficiency</w:t>
      </w:r>
      <w:r w:rsidR="0070552D">
        <w:rPr>
          <w:szCs w:val="24"/>
        </w:rPr>
        <w:t xml:space="preserve"> programs and related </w:t>
      </w:r>
      <w:r w:rsidR="001C055D">
        <w:rPr>
          <w:szCs w:val="24"/>
        </w:rPr>
        <w:t>charges to consumers</w:t>
      </w:r>
      <w:r w:rsidR="002A4912">
        <w:rPr>
          <w:szCs w:val="24"/>
        </w:rPr>
        <w:t xml:space="preserve">. </w:t>
      </w:r>
      <w:r>
        <w:rPr>
          <w:szCs w:val="24"/>
        </w:rPr>
        <w:t xml:space="preserve">This interest is different than that of any other party and especially different than that of the </w:t>
      </w:r>
      <w:r w:rsidR="0070552D">
        <w:rPr>
          <w:szCs w:val="24"/>
        </w:rPr>
        <w:t>U</w:t>
      </w:r>
      <w:r>
        <w:rPr>
          <w:szCs w:val="24"/>
        </w:rPr>
        <w:t>tility whose advocacy includes the financial interest of stockholders.</w:t>
      </w:r>
    </w:p>
    <w:p w:rsidR="00A044B5" w:rsidRDefault="00A044B5" w:rsidP="00AD19E0">
      <w:pPr>
        <w:autoSpaceDE w:val="0"/>
        <w:autoSpaceDN w:val="0"/>
        <w:adjustRightInd w:val="0"/>
        <w:spacing w:line="480" w:lineRule="auto"/>
        <w:ind w:firstLine="720"/>
      </w:pPr>
      <w:r w:rsidRPr="007223AB">
        <w:rPr>
          <w:szCs w:val="24"/>
        </w:rPr>
        <w:t>Second, OCC’s advocacy will include advancing the position that</w:t>
      </w:r>
      <w:r w:rsidR="00742B62">
        <w:rPr>
          <w:szCs w:val="24"/>
        </w:rPr>
        <w:t xml:space="preserve"> Duke’s</w:t>
      </w:r>
      <w:r w:rsidRPr="007223AB">
        <w:rPr>
          <w:szCs w:val="24"/>
        </w:rPr>
        <w:t xml:space="preserve"> </w:t>
      </w:r>
      <w:r w:rsidR="00742B62" w:rsidRPr="007223AB">
        <w:rPr>
          <w:szCs w:val="24"/>
        </w:rPr>
        <w:t xml:space="preserve">residential </w:t>
      </w:r>
      <w:r w:rsidR="00742B62">
        <w:rPr>
          <w:szCs w:val="24"/>
        </w:rPr>
        <w:t xml:space="preserve">electric </w:t>
      </w:r>
      <w:r w:rsidR="00742B62" w:rsidRPr="007223AB">
        <w:rPr>
          <w:szCs w:val="24"/>
        </w:rPr>
        <w:t xml:space="preserve">customers </w:t>
      </w:r>
      <w:r w:rsidR="00742B62">
        <w:rPr>
          <w:szCs w:val="24"/>
        </w:rPr>
        <w:t xml:space="preserve">should pay </w:t>
      </w:r>
      <w:r w:rsidR="007223AB" w:rsidRPr="007223AB">
        <w:rPr>
          <w:szCs w:val="24"/>
        </w:rPr>
        <w:t>no more than what is reasonable and lawful under Ohio law,</w:t>
      </w:r>
      <w:r w:rsidR="007223AB">
        <w:rPr>
          <w:szCs w:val="24"/>
        </w:rPr>
        <w:t xml:space="preserve"> </w:t>
      </w:r>
      <w:r w:rsidR="007223AB" w:rsidRPr="007223AB">
        <w:t>for service that is adequate under Ohio law.</w:t>
      </w:r>
      <w:r w:rsidRPr="007223AB">
        <w:t xml:space="preserve">  OCC’s position is therefore directly related to the merits of this case that is pending before the PUCO, the authority with regulatory control of public utilities’ rates and service quality in Ohio. </w:t>
      </w:r>
    </w:p>
    <w:p w:rsidR="003E5E2B" w:rsidRDefault="001C055D" w:rsidP="00AD19E0">
      <w:pPr>
        <w:autoSpaceDE w:val="0"/>
        <w:autoSpaceDN w:val="0"/>
        <w:adjustRightInd w:val="0"/>
        <w:spacing w:line="480" w:lineRule="auto"/>
        <w:ind w:firstLine="720"/>
      </w:pPr>
      <w:r>
        <w:t xml:space="preserve">In this regard, issues in this case will include whether Duke’s </w:t>
      </w:r>
      <w:r w:rsidR="00742B62">
        <w:t>Application is reasonable under its 2011 settlement</w:t>
      </w:r>
      <w:r w:rsidR="00CC76E0">
        <w:rPr>
          <w:rStyle w:val="FootnoteReference"/>
        </w:rPr>
        <w:footnoteReference w:id="7"/>
      </w:r>
      <w:r w:rsidR="00742B62">
        <w:t xml:space="preserve"> with OCC and others.</w:t>
      </w:r>
      <w:r w:rsidR="003E5E2B">
        <w:t xml:space="preserve">  And issues will include whether Duke’s Application</w:t>
      </w:r>
      <w:r w:rsidR="00742B62">
        <w:t xml:space="preserve"> </w:t>
      </w:r>
      <w:r>
        <w:t xml:space="preserve">is proper under </w:t>
      </w:r>
      <w:r w:rsidR="00ED5174">
        <w:t xml:space="preserve">Uncodified </w:t>
      </w:r>
      <w:r w:rsidR="002D1419">
        <w:t>Section 6(A)(1) of Substitute Senate Bill 310.</w:t>
      </w:r>
      <w:r>
        <w:t xml:space="preserve">  </w:t>
      </w:r>
    </w:p>
    <w:p w:rsidR="005E15EE" w:rsidRDefault="001C055D" w:rsidP="00AD19E0">
      <w:pPr>
        <w:autoSpaceDE w:val="0"/>
        <w:autoSpaceDN w:val="0"/>
        <w:adjustRightInd w:val="0"/>
        <w:spacing w:line="480" w:lineRule="auto"/>
        <w:ind w:firstLine="720"/>
      </w:pPr>
      <w:r>
        <w:t>Duke’s Application involves the issue of whether its proposal for shared savings should instead include a hard dollar cap to limit Duke’s charges to consumers.  It should</w:t>
      </w:r>
      <w:r w:rsidR="00F95642">
        <w:t xml:space="preserve"> include a cap</w:t>
      </w:r>
      <w:r w:rsidR="00343251">
        <w:t xml:space="preserve"> in 2106</w:t>
      </w:r>
      <w:r>
        <w:t>.  Also, Duke’s Application involves the issue of whether it should be limited to charging customers for shared savings on only the efficiency savings that exceed the statutory benchmark (so that Duke is not charging customers for an incentive for it to merely comply with the statutory benchmark).</w:t>
      </w:r>
      <w:r>
        <w:rPr>
          <w:rStyle w:val="FootnoteReference"/>
        </w:rPr>
        <w:footnoteReference w:id="8"/>
      </w:r>
      <w:r w:rsidR="00F95642">
        <w:t xml:space="preserve">  Duke’s charges to consumers</w:t>
      </w:r>
      <w:r>
        <w:t xml:space="preserve"> should be so limited</w:t>
      </w:r>
      <w:r w:rsidR="00343251">
        <w:t xml:space="preserve"> in 2016</w:t>
      </w:r>
      <w:r>
        <w:t>.  And</w:t>
      </w:r>
      <w:r w:rsidR="00F95642">
        <w:t xml:space="preserve"> the Application</w:t>
      </w:r>
      <w:r w:rsidR="006F69E1">
        <w:t xml:space="preserve"> seems to involve</w:t>
      </w:r>
      <w:r w:rsidR="00F95642">
        <w:t xml:space="preserve"> an issue of </w:t>
      </w:r>
      <w:r w:rsidR="006F69E1">
        <w:t xml:space="preserve">whether </w:t>
      </w:r>
    </w:p>
    <w:p w:rsidR="00916657" w:rsidRDefault="005E15EE" w:rsidP="005E15EE">
      <w:pPr>
        <w:autoSpaceDE w:val="0"/>
        <w:autoSpaceDN w:val="0"/>
        <w:adjustRightInd w:val="0"/>
        <w:spacing w:line="480" w:lineRule="auto"/>
      </w:pPr>
      <w:r>
        <w:br w:type="page"/>
      </w:r>
      <w:r w:rsidR="006F69E1">
        <w:t xml:space="preserve">Duke may </w:t>
      </w:r>
      <w:r w:rsidR="002D1419">
        <w:t xml:space="preserve">use </w:t>
      </w:r>
      <w:r w:rsidR="002D1419" w:rsidRPr="00916657">
        <w:t>past</w:t>
      </w:r>
      <w:r w:rsidR="006F69E1">
        <w:t xml:space="preserve"> “banked” savings to charge </w:t>
      </w:r>
      <w:r w:rsidR="006F69E1" w:rsidRPr="00006165">
        <w:rPr>
          <w:i/>
        </w:rPr>
        <w:t>current</w:t>
      </w:r>
      <w:r w:rsidR="006F69E1">
        <w:t xml:space="preserve"> customers more money.  Duke </w:t>
      </w:r>
    </w:p>
    <w:p w:rsidR="006F69E1" w:rsidRDefault="006F69E1" w:rsidP="00916657">
      <w:pPr>
        <w:autoSpaceDE w:val="0"/>
        <w:autoSpaceDN w:val="0"/>
        <w:adjustRightInd w:val="0"/>
        <w:spacing w:line="480" w:lineRule="auto"/>
      </w:pPr>
      <w:r>
        <w:t xml:space="preserve">should not be allowed to </w:t>
      </w:r>
      <w:r w:rsidR="00FD474A">
        <w:t xml:space="preserve">use past banked savings to </w:t>
      </w:r>
      <w:r>
        <w:t xml:space="preserve">charge customers for </w:t>
      </w:r>
      <w:r w:rsidR="00FD474A">
        <w:t>an incentive award</w:t>
      </w:r>
      <w:r w:rsidR="006175BD">
        <w:t xml:space="preserve"> for 2016</w:t>
      </w:r>
      <w:r>
        <w:t>.</w:t>
      </w:r>
    </w:p>
    <w:p w:rsidR="00A044B5" w:rsidRDefault="006F69E1" w:rsidP="00616C30">
      <w:pPr>
        <w:pStyle w:val="BodyTextIndent3"/>
        <w:spacing w:line="480" w:lineRule="auto"/>
        <w:ind w:firstLine="0"/>
        <w:rPr>
          <w:szCs w:val="24"/>
        </w:rPr>
      </w:pPr>
      <w:r>
        <w:tab/>
      </w:r>
      <w:r w:rsidR="00A044B5">
        <w:t xml:space="preserve">Third, </w:t>
      </w:r>
      <w:r w:rsidR="00A044B5">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rsidRDefault="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7223AB">
        <w:t>Duke is seeking approval of its</w:t>
      </w:r>
      <w:r w:rsidR="00EE215C">
        <w:t xml:space="preserve"> 2016</w:t>
      </w:r>
      <w:r w:rsidR="007223AB">
        <w:t xml:space="preserve"> </w:t>
      </w:r>
      <w:r w:rsidR="00C70FDD">
        <w:t>EE/PDR cost recovery and incentive mechanism that are charged to customers</w:t>
      </w:r>
      <w:r>
        <w:rPr>
          <w:szCs w:val="24"/>
        </w:rPr>
        <w:t xml:space="preserve">.  </w:t>
      </w:r>
    </w:p>
    <w:p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916657"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w:t>
      </w:r>
    </w:p>
    <w:p w:rsidR="00A044B5" w:rsidRDefault="00916657" w:rsidP="00916657">
      <w:pPr>
        <w:pStyle w:val="BodyTextIndent3"/>
        <w:widowControl w:val="0"/>
        <w:spacing w:line="480" w:lineRule="auto"/>
        <w:ind w:right="-24" w:firstLine="0"/>
        <w:rPr>
          <w:szCs w:val="24"/>
        </w:rPr>
      </w:pPr>
      <w:r>
        <w:rPr>
          <w:szCs w:val="24"/>
        </w:rPr>
        <w:br w:type="page"/>
      </w:r>
      <w:r w:rsidR="002A4912">
        <w:rPr>
          <w:szCs w:val="24"/>
        </w:rPr>
        <w:t xml:space="preserve">customers. </w:t>
      </w:r>
      <w:r w:rsidR="00A044B5">
        <w:rPr>
          <w:szCs w:val="24"/>
        </w:rPr>
        <w:t>That interest is different from, and not represented by, any other entity in Ohio.</w:t>
      </w:r>
    </w:p>
    <w:p w:rsidR="00A044B5" w:rsidRDefault="00A044B5" w:rsidP="00916657">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w:t>
      </w:r>
      <w:r w:rsidR="00916657">
        <w:rPr>
          <w:szCs w:val="24"/>
        </w:rPr>
        <w:t xml:space="preserve"> </w:t>
      </w:r>
      <w:r>
        <w:rPr>
          <w:szCs w:val="24"/>
        </w:rPr>
        <w:t>denying OCC’s interventions and that OCC should have been granted intervention in both proceedings.</w:t>
      </w:r>
      <w:r>
        <w:rPr>
          <w:rStyle w:val="FootnoteReference"/>
          <w:szCs w:val="24"/>
        </w:rPr>
        <w:footnoteReference w:id="9"/>
      </w:r>
      <w:r>
        <w:rPr>
          <w:szCs w:val="24"/>
        </w:rPr>
        <w:t xml:space="preserve">  </w:t>
      </w:r>
    </w:p>
    <w:p w:rsidR="00A044B5" w:rsidRDefault="00A044B5">
      <w:pPr>
        <w:spacing w:line="480" w:lineRule="auto"/>
        <w:ind w:firstLine="720"/>
        <w:rPr>
          <w:szCs w:val="24"/>
        </w:rPr>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EB6E22" w:rsidRDefault="00EB6E22" w:rsidP="00EB6E22">
      <w:pPr>
        <w:pStyle w:val="BodyTextIndent3"/>
        <w:widowControl w:val="0"/>
        <w:ind w:left="3600" w:right="-672"/>
        <w:rPr>
          <w:szCs w:val="24"/>
        </w:rPr>
      </w:pPr>
      <w:r>
        <w:rPr>
          <w:szCs w:val="24"/>
        </w:rPr>
        <w:t>Respectfully submitted,</w:t>
      </w:r>
    </w:p>
    <w:p w:rsidR="00EB6E22" w:rsidRDefault="00EB6E22" w:rsidP="00EB6E22">
      <w:pPr>
        <w:pStyle w:val="Footer"/>
        <w:tabs>
          <w:tab w:val="clear" w:pos="8640"/>
          <w:tab w:val="left" w:pos="4320"/>
        </w:tabs>
        <w:spacing w:before="240"/>
        <w:rPr>
          <w:sz w:val="24"/>
          <w:szCs w:val="24"/>
        </w:rPr>
      </w:pPr>
      <w:r>
        <w:rPr>
          <w:sz w:val="24"/>
          <w:szCs w:val="24"/>
        </w:rPr>
        <w:tab/>
        <w:t>BRUCE J. WESTON</w:t>
      </w:r>
    </w:p>
    <w:p w:rsidR="00EB6E22" w:rsidRDefault="00EB6E22" w:rsidP="00EB6E22">
      <w:pPr>
        <w:tabs>
          <w:tab w:val="left" w:pos="4320"/>
        </w:tabs>
        <w:rPr>
          <w:szCs w:val="24"/>
        </w:rPr>
      </w:pPr>
      <w:r>
        <w:rPr>
          <w:szCs w:val="24"/>
        </w:rPr>
        <w:tab/>
        <w:t>OHIO CONSUMERS’ COUNSEL</w:t>
      </w:r>
    </w:p>
    <w:p w:rsidR="00EB6E22" w:rsidRDefault="00EB6E22" w:rsidP="00EB6E22">
      <w:pPr>
        <w:tabs>
          <w:tab w:val="left" w:pos="4320"/>
        </w:tabs>
        <w:rPr>
          <w:szCs w:val="24"/>
        </w:rPr>
      </w:pPr>
      <w:r>
        <w:rPr>
          <w:szCs w:val="24"/>
        </w:rPr>
        <w:tab/>
      </w:r>
    </w:p>
    <w:p w:rsidR="00EB6E22" w:rsidRDefault="00EB6E22" w:rsidP="00EB6E22">
      <w:pPr>
        <w:tabs>
          <w:tab w:val="left" w:pos="4320"/>
        </w:tabs>
        <w:rPr>
          <w:szCs w:val="24"/>
        </w:rPr>
      </w:pPr>
      <w:r>
        <w:rPr>
          <w:szCs w:val="24"/>
        </w:rPr>
        <w:tab/>
      </w:r>
      <w:r>
        <w:rPr>
          <w:i/>
          <w:szCs w:val="24"/>
          <w:u w:val="single"/>
        </w:rPr>
        <w:t>/s/ Kyle L. Kern</w:t>
      </w:r>
      <w:r>
        <w:rPr>
          <w:szCs w:val="24"/>
        </w:rPr>
        <w:t>_________________</w:t>
      </w:r>
    </w:p>
    <w:p w:rsidR="00EB6E22" w:rsidRDefault="00EB6E22" w:rsidP="00EB6E22">
      <w:pPr>
        <w:tabs>
          <w:tab w:val="left" w:pos="4320"/>
        </w:tabs>
        <w:rPr>
          <w:szCs w:val="24"/>
        </w:rPr>
      </w:pPr>
      <w:r>
        <w:rPr>
          <w:szCs w:val="24"/>
        </w:rPr>
        <w:tab/>
        <w:t>Kyle L. Kern, Counsel of Record</w:t>
      </w:r>
    </w:p>
    <w:p w:rsidR="00EB6E22" w:rsidRDefault="00EB6E22" w:rsidP="00EB6E22">
      <w:pPr>
        <w:tabs>
          <w:tab w:val="left" w:pos="4320"/>
        </w:tabs>
        <w:rPr>
          <w:szCs w:val="24"/>
        </w:rPr>
      </w:pPr>
      <w:r>
        <w:rPr>
          <w:szCs w:val="24"/>
        </w:rPr>
        <w:tab/>
        <w:t>Michael J. Schuler</w:t>
      </w:r>
    </w:p>
    <w:p w:rsidR="00EB6E22" w:rsidRDefault="00EB6E22" w:rsidP="00EB6E22">
      <w:pPr>
        <w:tabs>
          <w:tab w:val="left" w:pos="4320"/>
        </w:tabs>
        <w:rPr>
          <w:szCs w:val="24"/>
        </w:rPr>
      </w:pPr>
      <w:r>
        <w:rPr>
          <w:szCs w:val="24"/>
        </w:rPr>
        <w:tab/>
        <w:t>Assistant Consumers’ Counsel</w:t>
      </w:r>
    </w:p>
    <w:p w:rsidR="00EB6E22" w:rsidRDefault="00EB6E22" w:rsidP="00EB6E22">
      <w:pPr>
        <w:pStyle w:val="Heading1"/>
        <w:ind w:left="3240" w:right="-648" w:firstLine="720"/>
        <w:rPr>
          <w:u w:val="none"/>
        </w:rPr>
      </w:pPr>
      <w:r>
        <w:rPr>
          <w:u w:val="none"/>
        </w:rPr>
        <w:tab/>
      </w:r>
    </w:p>
    <w:p w:rsidR="00EB6E22" w:rsidRDefault="00EB6E22" w:rsidP="00EB6E22">
      <w:pPr>
        <w:pStyle w:val="Heading1"/>
        <w:ind w:left="3240" w:right="-648" w:firstLine="720"/>
        <w:rPr>
          <w:u w:val="none"/>
        </w:rPr>
      </w:pPr>
      <w:r>
        <w:rPr>
          <w:u w:val="none"/>
        </w:rPr>
        <w:tab/>
        <w:t>Office of the Ohio Consumers’ Counsel</w:t>
      </w:r>
    </w:p>
    <w:p w:rsidR="00EB6E22" w:rsidRDefault="00EB6E22" w:rsidP="00EB6E22">
      <w:pPr>
        <w:pStyle w:val="Heading1"/>
        <w:ind w:left="3240" w:right="-648" w:firstLine="720"/>
        <w:rPr>
          <w:b w:val="0"/>
          <w:u w:val="none"/>
        </w:rPr>
      </w:pPr>
      <w:r>
        <w:rPr>
          <w:b w:val="0"/>
          <w:u w:val="none"/>
        </w:rPr>
        <w:tab/>
        <w:t>10 West Broad Street, Suite 1800</w:t>
      </w:r>
    </w:p>
    <w:p w:rsidR="00EB6E22" w:rsidRDefault="00EB6E22" w:rsidP="00EB6E22">
      <w:pPr>
        <w:pStyle w:val="Heading1"/>
        <w:ind w:left="3240" w:right="-648" w:firstLine="720"/>
        <w:rPr>
          <w:b w:val="0"/>
          <w:u w:val="none"/>
        </w:rPr>
      </w:pPr>
      <w:r>
        <w:rPr>
          <w:b w:val="0"/>
          <w:u w:val="none"/>
        </w:rPr>
        <w:tab/>
        <w:t>Columbus, Ohio 43215-3485</w:t>
      </w:r>
    </w:p>
    <w:p w:rsidR="00EB6E22" w:rsidRDefault="00EB6E22" w:rsidP="00EB6E22">
      <w:pPr>
        <w:autoSpaceDE w:val="0"/>
        <w:autoSpaceDN w:val="0"/>
        <w:adjustRightInd w:val="0"/>
        <w:ind w:left="3600" w:firstLine="720"/>
        <w:rPr>
          <w:szCs w:val="24"/>
        </w:rPr>
      </w:pPr>
      <w:r>
        <w:rPr>
          <w:szCs w:val="24"/>
        </w:rPr>
        <w:t>Telephone:  Kern Direct – 614-466-9585</w:t>
      </w:r>
    </w:p>
    <w:p w:rsidR="00EB6E22" w:rsidRDefault="00EB6E22" w:rsidP="00EB6E22">
      <w:pPr>
        <w:autoSpaceDE w:val="0"/>
        <w:autoSpaceDN w:val="0"/>
        <w:adjustRightInd w:val="0"/>
        <w:ind w:left="3600" w:firstLine="720"/>
        <w:rPr>
          <w:szCs w:val="24"/>
        </w:rPr>
      </w:pPr>
      <w:r>
        <w:rPr>
          <w:szCs w:val="24"/>
        </w:rPr>
        <w:t>Telephone:  Schuler Direct – 614-466-9547</w:t>
      </w:r>
    </w:p>
    <w:p w:rsidR="00EB6E22" w:rsidRDefault="00125C7D" w:rsidP="00EB6E22">
      <w:pPr>
        <w:autoSpaceDE w:val="0"/>
        <w:autoSpaceDN w:val="0"/>
        <w:adjustRightInd w:val="0"/>
        <w:ind w:left="3600" w:firstLine="720"/>
        <w:rPr>
          <w:szCs w:val="24"/>
        </w:rPr>
      </w:pPr>
      <w:hyperlink r:id="rId16" w:history="1">
        <w:r w:rsidR="005E15EE" w:rsidRPr="005B6B5C">
          <w:rPr>
            <w:rStyle w:val="Hyperlink"/>
            <w:szCs w:val="24"/>
          </w:rPr>
          <w:t>Kyle.kern@occ.ohio.gov</w:t>
        </w:r>
      </w:hyperlink>
    </w:p>
    <w:p w:rsidR="00EB6E22" w:rsidRDefault="00125C7D" w:rsidP="00EB6E22">
      <w:pPr>
        <w:autoSpaceDE w:val="0"/>
        <w:autoSpaceDN w:val="0"/>
        <w:adjustRightInd w:val="0"/>
        <w:ind w:left="3600" w:firstLine="720"/>
        <w:rPr>
          <w:szCs w:val="24"/>
        </w:rPr>
      </w:pPr>
      <w:hyperlink r:id="rId17" w:history="1">
        <w:r w:rsidR="005E15EE" w:rsidRPr="005B6B5C">
          <w:rPr>
            <w:rStyle w:val="Hyperlink"/>
            <w:szCs w:val="24"/>
          </w:rPr>
          <w:t>Michael.schuler@occ.ohio.gov</w:t>
        </w:r>
      </w:hyperlink>
    </w:p>
    <w:p w:rsidR="00EB6E22" w:rsidRDefault="00EB6E22" w:rsidP="00916657">
      <w:pPr>
        <w:pStyle w:val="BodyTextIndent3"/>
        <w:widowControl w:val="0"/>
        <w:ind w:left="3600" w:right="-672"/>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jc w:val="center"/>
        <w:rPr>
          <w:b/>
          <w:bCs/>
          <w:u w:val="single"/>
        </w:rPr>
      </w:pPr>
      <w:r>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sidRPr="00916657">
        <w:t>via</w:t>
      </w:r>
      <w:r w:rsidR="002A4912">
        <w:t xml:space="preserve"> electronic transmission</w:t>
      </w:r>
      <w:r>
        <w:t xml:space="preserve">, this </w:t>
      </w:r>
      <w:r w:rsidR="000E570C">
        <w:t>1</w:t>
      </w:r>
      <w:r w:rsidR="00EB6E22">
        <w:t>4</w:t>
      </w:r>
      <w:r w:rsidR="00EB6E22" w:rsidRPr="00EB6E22">
        <w:rPr>
          <w:vertAlign w:val="superscript"/>
        </w:rPr>
        <w:t>th</w:t>
      </w:r>
      <w:r w:rsidR="00EB6E22">
        <w:t xml:space="preserve"> </w:t>
      </w:r>
      <w:r>
        <w:t xml:space="preserve">day of </w:t>
      </w:r>
      <w:r w:rsidR="000E570C">
        <w:t>October</w:t>
      </w:r>
      <w:r w:rsidR="004C0A9C">
        <w:t>, 2014.</w:t>
      </w:r>
    </w:p>
    <w:p w:rsidR="004C0A9C" w:rsidRDefault="004C0A9C">
      <w:pPr>
        <w:spacing w:line="480" w:lineRule="atLeast"/>
      </w:pPr>
    </w:p>
    <w:p w:rsidR="00A044B5" w:rsidRDefault="00A044B5">
      <w:pPr>
        <w:tabs>
          <w:tab w:val="left" w:pos="4320"/>
        </w:tabs>
      </w:pPr>
      <w:r>
        <w:tab/>
      </w:r>
      <w:r w:rsidR="004C0A9C">
        <w:rPr>
          <w:i/>
          <w:u w:val="single"/>
        </w:rPr>
        <w:t>/s/ Kyle L. Kern</w:t>
      </w:r>
      <w:r>
        <w:t>______________</w:t>
      </w:r>
    </w:p>
    <w:p w:rsidR="004C0A9C" w:rsidRDefault="00A044B5">
      <w:pPr>
        <w:tabs>
          <w:tab w:val="left" w:pos="4320"/>
        </w:tabs>
      </w:pPr>
      <w:r>
        <w:tab/>
      </w:r>
      <w:r w:rsidR="004C0A9C">
        <w:t>Kyle L. Kern</w:t>
      </w:r>
    </w:p>
    <w:p w:rsidR="00A044B5" w:rsidRDefault="004C0A9C">
      <w:pPr>
        <w:tabs>
          <w:tab w:val="left" w:pos="4320"/>
        </w:tabs>
      </w:pPr>
      <w:r>
        <w:tab/>
      </w:r>
      <w:r w:rsidR="00A044B5">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pPr>
        <w:pStyle w:val="BodyText"/>
        <w:rPr>
          <w:b/>
          <w:bCs/>
        </w:rPr>
      </w:pPr>
    </w:p>
    <w:tbl>
      <w:tblPr>
        <w:tblW w:w="0" w:type="auto"/>
        <w:tblLook w:val="01E0" w:firstRow="1" w:lastRow="1" w:firstColumn="1" w:lastColumn="1" w:noHBand="0" w:noVBand="0"/>
      </w:tblPr>
      <w:tblGrid>
        <w:gridCol w:w="4428"/>
        <w:gridCol w:w="4428"/>
      </w:tblGrid>
      <w:tr w:rsidR="00A044B5" w:rsidRPr="00A044B5" w:rsidTr="00A044B5">
        <w:tc>
          <w:tcPr>
            <w:tcW w:w="4428" w:type="dxa"/>
            <w:shd w:val="clear" w:color="auto" w:fill="auto"/>
          </w:tcPr>
          <w:p w:rsidR="00A044B5" w:rsidRDefault="004C0A9C" w:rsidP="00A044B5">
            <w:pPr>
              <w:autoSpaceDE w:val="0"/>
              <w:autoSpaceDN w:val="0"/>
              <w:adjustRightInd w:val="0"/>
              <w:rPr>
                <w:bCs/>
              </w:rPr>
            </w:pPr>
            <w:r>
              <w:rPr>
                <w:bCs/>
              </w:rPr>
              <w:t>William Wright</w:t>
            </w:r>
          </w:p>
          <w:p w:rsidR="004C0A9C" w:rsidRDefault="004C0A9C" w:rsidP="00A044B5">
            <w:pPr>
              <w:autoSpaceDE w:val="0"/>
              <w:autoSpaceDN w:val="0"/>
              <w:adjustRightInd w:val="0"/>
              <w:rPr>
                <w:bCs/>
              </w:rPr>
            </w:pPr>
            <w:r>
              <w:rPr>
                <w:bCs/>
              </w:rPr>
              <w:t>Attorney General’s Office</w:t>
            </w:r>
          </w:p>
          <w:p w:rsidR="004C0A9C" w:rsidRDefault="004C0A9C" w:rsidP="00A044B5">
            <w:pPr>
              <w:autoSpaceDE w:val="0"/>
              <w:autoSpaceDN w:val="0"/>
              <w:adjustRightInd w:val="0"/>
              <w:rPr>
                <w:bCs/>
              </w:rPr>
            </w:pPr>
            <w:r>
              <w:rPr>
                <w:bCs/>
              </w:rPr>
              <w:t>Public Utilities Commission of Ohio</w:t>
            </w:r>
          </w:p>
          <w:p w:rsidR="004C0A9C" w:rsidRDefault="004C0A9C" w:rsidP="00A044B5">
            <w:pPr>
              <w:autoSpaceDE w:val="0"/>
              <w:autoSpaceDN w:val="0"/>
              <w:adjustRightInd w:val="0"/>
              <w:rPr>
                <w:bCs/>
              </w:rPr>
            </w:pPr>
            <w:r>
              <w:rPr>
                <w:bCs/>
              </w:rPr>
              <w:t>180 E. Broad St., 6</w:t>
            </w:r>
            <w:r w:rsidRPr="004C0A9C">
              <w:rPr>
                <w:bCs/>
                <w:vertAlign w:val="superscript"/>
              </w:rPr>
              <w:t>th</w:t>
            </w:r>
            <w:r>
              <w:rPr>
                <w:bCs/>
              </w:rPr>
              <w:t xml:space="preserve"> Fl.</w:t>
            </w:r>
          </w:p>
          <w:p w:rsidR="004C0A9C" w:rsidRDefault="004C0A9C" w:rsidP="00A044B5">
            <w:pPr>
              <w:autoSpaceDE w:val="0"/>
              <w:autoSpaceDN w:val="0"/>
              <w:adjustRightInd w:val="0"/>
              <w:rPr>
                <w:bCs/>
              </w:rPr>
            </w:pPr>
            <w:r>
              <w:rPr>
                <w:bCs/>
              </w:rPr>
              <w:t>Columbus, OH 43215</w:t>
            </w:r>
          </w:p>
          <w:p w:rsidR="004C0A9C" w:rsidRDefault="00125C7D" w:rsidP="00A044B5">
            <w:pPr>
              <w:autoSpaceDE w:val="0"/>
              <w:autoSpaceDN w:val="0"/>
              <w:adjustRightInd w:val="0"/>
              <w:rPr>
                <w:bCs/>
              </w:rPr>
            </w:pPr>
            <w:hyperlink r:id="rId18" w:history="1">
              <w:r w:rsidR="005E15EE" w:rsidRPr="005B6B5C">
                <w:rPr>
                  <w:rStyle w:val="Hyperlink"/>
                  <w:bCs/>
                </w:rPr>
                <w:t>William.wright@puc.state.oh.us</w:t>
              </w:r>
            </w:hyperlink>
          </w:p>
          <w:p w:rsidR="005E15EE" w:rsidRDefault="005E15EE" w:rsidP="00A044B5">
            <w:pPr>
              <w:autoSpaceDE w:val="0"/>
              <w:autoSpaceDN w:val="0"/>
              <w:adjustRightInd w:val="0"/>
              <w:rPr>
                <w:bCs/>
              </w:rPr>
            </w:pPr>
          </w:p>
          <w:p w:rsidR="00EB6E22" w:rsidRDefault="00EB6E22" w:rsidP="00A044B5">
            <w:pPr>
              <w:autoSpaceDE w:val="0"/>
              <w:autoSpaceDN w:val="0"/>
              <w:adjustRightInd w:val="0"/>
              <w:rPr>
                <w:bCs/>
              </w:rPr>
            </w:pPr>
          </w:p>
          <w:p w:rsidR="004C0A9C" w:rsidRPr="00A044B5" w:rsidRDefault="004C0A9C" w:rsidP="00A044B5">
            <w:pPr>
              <w:autoSpaceDE w:val="0"/>
              <w:autoSpaceDN w:val="0"/>
              <w:adjustRightInd w:val="0"/>
              <w:rPr>
                <w:bCs/>
              </w:rPr>
            </w:pPr>
          </w:p>
        </w:tc>
        <w:tc>
          <w:tcPr>
            <w:tcW w:w="4428" w:type="dxa"/>
            <w:shd w:val="clear" w:color="auto" w:fill="auto"/>
          </w:tcPr>
          <w:p w:rsidR="004C0A9C" w:rsidRPr="00F21D15" w:rsidRDefault="004C0A9C" w:rsidP="004C0A9C">
            <w:pPr>
              <w:autoSpaceDE w:val="0"/>
              <w:autoSpaceDN w:val="0"/>
              <w:adjustRightInd w:val="0"/>
              <w:rPr>
                <w:szCs w:val="24"/>
              </w:rPr>
            </w:pPr>
            <w:r w:rsidRPr="00F21D15">
              <w:rPr>
                <w:szCs w:val="24"/>
              </w:rPr>
              <w:t>Amy B. Spiller, Counsel of Record</w:t>
            </w:r>
          </w:p>
          <w:p w:rsidR="004C0A9C" w:rsidRPr="00F21D15" w:rsidRDefault="004C0A9C" w:rsidP="004C0A9C">
            <w:pPr>
              <w:autoSpaceDE w:val="0"/>
              <w:autoSpaceDN w:val="0"/>
              <w:adjustRightInd w:val="0"/>
              <w:rPr>
                <w:szCs w:val="24"/>
              </w:rPr>
            </w:pPr>
            <w:r w:rsidRPr="00F21D15">
              <w:rPr>
                <w:szCs w:val="24"/>
              </w:rPr>
              <w:t>Elizabeth H. Watts</w:t>
            </w:r>
          </w:p>
          <w:p w:rsidR="004C0A9C" w:rsidRPr="00F21D15" w:rsidRDefault="004C0A9C" w:rsidP="004C0A9C">
            <w:pPr>
              <w:autoSpaceDE w:val="0"/>
              <w:autoSpaceDN w:val="0"/>
              <w:adjustRightInd w:val="0"/>
              <w:rPr>
                <w:szCs w:val="24"/>
              </w:rPr>
            </w:pPr>
            <w:r w:rsidRPr="00F21D15">
              <w:rPr>
                <w:szCs w:val="24"/>
              </w:rPr>
              <w:t>139 E. Fourth Street, 1303-Main</w:t>
            </w:r>
          </w:p>
          <w:p w:rsidR="004C0A9C" w:rsidRPr="00F21D15" w:rsidRDefault="004C0A9C" w:rsidP="004C0A9C">
            <w:pPr>
              <w:autoSpaceDE w:val="0"/>
              <w:autoSpaceDN w:val="0"/>
              <w:adjustRightInd w:val="0"/>
              <w:rPr>
                <w:szCs w:val="24"/>
              </w:rPr>
            </w:pPr>
            <w:r w:rsidRPr="00F21D15">
              <w:rPr>
                <w:szCs w:val="24"/>
              </w:rPr>
              <w:t>P.O. Box 961</w:t>
            </w:r>
          </w:p>
          <w:p w:rsidR="004C0A9C" w:rsidRPr="00F21D15" w:rsidRDefault="004C0A9C" w:rsidP="004C0A9C">
            <w:pPr>
              <w:autoSpaceDE w:val="0"/>
              <w:autoSpaceDN w:val="0"/>
              <w:adjustRightInd w:val="0"/>
              <w:rPr>
                <w:szCs w:val="24"/>
              </w:rPr>
            </w:pPr>
            <w:r w:rsidRPr="00F21D15">
              <w:rPr>
                <w:szCs w:val="24"/>
              </w:rPr>
              <w:t>Cincinnati, O</w:t>
            </w:r>
            <w:r w:rsidR="00BE7576">
              <w:rPr>
                <w:szCs w:val="24"/>
              </w:rPr>
              <w:t>H</w:t>
            </w:r>
            <w:r w:rsidRPr="00F21D15">
              <w:rPr>
                <w:szCs w:val="24"/>
              </w:rPr>
              <w:t xml:space="preserve"> 45201-0960</w:t>
            </w:r>
          </w:p>
          <w:p w:rsidR="004C0A9C" w:rsidRDefault="00125C7D" w:rsidP="004C0A9C">
            <w:pPr>
              <w:pStyle w:val="BodyText"/>
              <w:rPr>
                <w:szCs w:val="24"/>
              </w:rPr>
            </w:pPr>
            <w:hyperlink r:id="rId19" w:history="1">
              <w:r w:rsidR="005E15EE" w:rsidRPr="005B6B5C">
                <w:rPr>
                  <w:rStyle w:val="Hyperlink"/>
                  <w:szCs w:val="24"/>
                </w:rPr>
                <w:t>Amy.Spiller@duke-energy.com</w:t>
              </w:r>
            </w:hyperlink>
          </w:p>
          <w:p w:rsidR="004C0A9C" w:rsidRDefault="00125C7D" w:rsidP="004C0A9C">
            <w:pPr>
              <w:pStyle w:val="BodyText"/>
              <w:rPr>
                <w:szCs w:val="24"/>
              </w:rPr>
            </w:pPr>
            <w:hyperlink r:id="rId20" w:history="1">
              <w:r w:rsidR="005E15EE" w:rsidRPr="005B6B5C">
                <w:rPr>
                  <w:rStyle w:val="Hyperlink"/>
                  <w:szCs w:val="24"/>
                </w:rPr>
                <w:t>Elizabeth.watts@duke-energy.com</w:t>
              </w:r>
            </w:hyperlink>
          </w:p>
          <w:p w:rsidR="004C0A9C" w:rsidRDefault="004C0A9C" w:rsidP="004C0A9C">
            <w:pPr>
              <w:pStyle w:val="BodyText"/>
              <w:rPr>
                <w:szCs w:val="24"/>
              </w:rPr>
            </w:pPr>
          </w:p>
          <w:p w:rsidR="004C0A9C" w:rsidRPr="00F21D15" w:rsidRDefault="004C0A9C" w:rsidP="004C0A9C">
            <w:pPr>
              <w:pStyle w:val="BodyText"/>
              <w:rPr>
                <w:szCs w:val="24"/>
              </w:rPr>
            </w:pPr>
            <w:r>
              <w:rPr>
                <w:szCs w:val="24"/>
              </w:rPr>
              <w:t>Counsel for Duke Energy-Ohio</w:t>
            </w:r>
          </w:p>
          <w:p w:rsidR="00A044B5" w:rsidRPr="00A044B5" w:rsidRDefault="00A044B5">
            <w:pPr>
              <w:pStyle w:val="BodyText"/>
              <w:rPr>
                <w:bCs/>
              </w:rPr>
            </w:pPr>
          </w:p>
        </w:tc>
      </w:tr>
      <w:tr w:rsidR="00A044B5" w:rsidRPr="00A044B5" w:rsidTr="00A044B5">
        <w:tc>
          <w:tcPr>
            <w:tcW w:w="4428" w:type="dxa"/>
            <w:shd w:val="clear" w:color="auto" w:fill="auto"/>
          </w:tcPr>
          <w:p w:rsidR="00BE7576" w:rsidRDefault="00BE7576">
            <w:pPr>
              <w:rPr>
                <w:szCs w:val="24"/>
              </w:rPr>
            </w:pPr>
          </w:p>
          <w:p w:rsidR="00BE7576" w:rsidRDefault="00BE7576">
            <w:pPr>
              <w:rPr>
                <w:szCs w:val="24"/>
              </w:rPr>
            </w:pPr>
          </w:p>
          <w:p w:rsidR="00EB6E22" w:rsidRDefault="00BE7576">
            <w:pPr>
              <w:rPr>
                <w:szCs w:val="24"/>
              </w:rPr>
            </w:pPr>
            <w:r>
              <w:rPr>
                <w:szCs w:val="24"/>
              </w:rPr>
              <w:t>David C. Rinebolt</w:t>
            </w:r>
          </w:p>
          <w:p w:rsidR="00BE7576" w:rsidRDefault="00BE7576">
            <w:pPr>
              <w:rPr>
                <w:szCs w:val="24"/>
              </w:rPr>
            </w:pPr>
            <w:r>
              <w:rPr>
                <w:szCs w:val="24"/>
              </w:rPr>
              <w:t>Colleen L. Mooney</w:t>
            </w:r>
          </w:p>
          <w:p w:rsidR="00BE7576" w:rsidRDefault="00BE7576">
            <w:pPr>
              <w:rPr>
                <w:szCs w:val="24"/>
              </w:rPr>
            </w:pPr>
            <w:r>
              <w:rPr>
                <w:szCs w:val="24"/>
              </w:rPr>
              <w:t>Ohio Partners for Affordable Energy</w:t>
            </w:r>
          </w:p>
          <w:p w:rsidR="00BE7576" w:rsidRDefault="00BE7576">
            <w:pPr>
              <w:rPr>
                <w:szCs w:val="24"/>
              </w:rPr>
            </w:pPr>
            <w:r>
              <w:rPr>
                <w:szCs w:val="24"/>
              </w:rPr>
              <w:t>231 West Lima St.</w:t>
            </w:r>
          </w:p>
          <w:p w:rsidR="00BE7576" w:rsidRDefault="00BE7576">
            <w:pPr>
              <w:rPr>
                <w:szCs w:val="24"/>
              </w:rPr>
            </w:pPr>
            <w:r>
              <w:rPr>
                <w:szCs w:val="24"/>
              </w:rPr>
              <w:t>Findlay, OH 45840</w:t>
            </w:r>
          </w:p>
          <w:p w:rsidR="00BE7576" w:rsidRDefault="00125C7D">
            <w:pPr>
              <w:rPr>
                <w:szCs w:val="24"/>
              </w:rPr>
            </w:pPr>
            <w:hyperlink r:id="rId21" w:history="1">
              <w:r w:rsidR="00BE7576" w:rsidRPr="00F3248A">
                <w:rPr>
                  <w:rStyle w:val="Hyperlink"/>
                  <w:szCs w:val="24"/>
                </w:rPr>
                <w:t>drinebolt@ohiopartners.org</w:t>
              </w:r>
            </w:hyperlink>
          </w:p>
          <w:p w:rsidR="00BE7576" w:rsidRDefault="00125C7D">
            <w:pPr>
              <w:rPr>
                <w:szCs w:val="24"/>
              </w:rPr>
            </w:pPr>
            <w:hyperlink r:id="rId22" w:history="1">
              <w:r w:rsidR="00BE7576" w:rsidRPr="00F3248A">
                <w:rPr>
                  <w:rStyle w:val="Hyperlink"/>
                  <w:szCs w:val="24"/>
                </w:rPr>
                <w:t>cmooney@ohiopartners.org</w:t>
              </w:r>
            </w:hyperlink>
          </w:p>
          <w:p w:rsidR="00BE7576" w:rsidRDefault="00BE7576">
            <w:pPr>
              <w:rPr>
                <w:szCs w:val="24"/>
              </w:rPr>
            </w:pPr>
          </w:p>
          <w:p w:rsidR="00BE7576" w:rsidRDefault="00BE7576">
            <w:pPr>
              <w:rPr>
                <w:szCs w:val="24"/>
              </w:rPr>
            </w:pPr>
          </w:p>
          <w:p w:rsidR="004C0A9C" w:rsidRPr="00A044B5" w:rsidRDefault="004C0A9C">
            <w:pPr>
              <w:rPr>
                <w:szCs w:val="24"/>
              </w:rPr>
            </w:pPr>
          </w:p>
        </w:tc>
        <w:tc>
          <w:tcPr>
            <w:tcW w:w="4428" w:type="dxa"/>
            <w:shd w:val="clear" w:color="auto" w:fill="auto"/>
          </w:tcPr>
          <w:p w:rsidR="00BE7576" w:rsidRDefault="00BE7576" w:rsidP="00BE7576">
            <w:pPr>
              <w:rPr>
                <w:szCs w:val="24"/>
              </w:rPr>
            </w:pPr>
          </w:p>
          <w:p w:rsidR="00BE7576" w:rsidRDefault="00BE7576" w:rsidP="00BE7576">
            <w:pPr>
              <w:rPr>
                <w:szCs w:val="24"/>
              </w:rPr>
            </w:pPr>
          </w:p>
          <w:p w:rsidR="00BE7576" w:rsidRDefault="00BE7576" w:rsidP="00BE7576">
            <w:pPr>
              <w:rPr>
                <w:szCs w:val="24"/>
              </w:rPr>
            </w:pPr>
            <w:r>
              <w:rPr>
                <w:szCs w:val="24"/>
              </w:rPr>
              <w:t>Attorney Examiners:</w:t>
            </w:r>
          </w:p>
          <w:p w:rsidR="00BE7576" w:rsidRDefault="00BE7576" w:rsidP="00BE7576">
            <w:pPr>
              <w:rPr>
                <w:szCs w:val="24"/>
              </w:rPr>
            </w:pPr>
          </w:p>
          <w:p w:rsidR="00BE7576" w:rsidRDefault="00125C7D" w:rsidP="00BE7576">
            <w:pPr>
              <w:rPr>
                <w:szCs w:val="24"/>
              </w:rPr>
            </w:pPr>
            <w:hyperlink r:id="rId23" w:history="1">
              <w:r w:rsidR="00BE7576" w:rsidRPr="005B6B5C">
                <w:rPr>
                  <w:rStyle w:val="Hyperlink"/>
                  <w:szCs w:val="24"/>
                </w:rPr>
                <w:t>Christine.pirik@puc.state.oh.us</w:t>
              </w:r>
            </w:hyperlink>
          </w:p>
          <w:p w:rsidR="00BE7576" w:rsidRDefault="00125C7D" w:rsidP="00BE7576">
            <w:pPr>
              <w:rPr>
                <w:szCs w:val="24"/>
              </w:rPr>
            </w:pPr>
            <w:hyperlink r:id="rId24" w:history="1">
              <w:r w:rsidR="00BE7576" w:rsidRPr="005B6B5C">
                <w:rPr>
                  <w:rStyle w:val="Hyperlink"/>
                  <w:szCs w:val="24"/>
                </w:rPr>
                <w:t>Nicholas.walstra@puc.state.oh.us</w:t>
              </w:r>
            </w:hyperlink>
          </w:p>
          <w:p w:rsidR="00A044B5" w:rsidRPr="00A044B5" w:rsidRDefault="00A044B5">
            <w:pPr>
              <w:rPr>
                <w:bCs/>
              </w:rPr>
            </w:pPr>
          </w:p>
        </w:tc>
      </w:tr>
    </w:tbl>
    <w:p w:rsidR="00A044B5" w:rsidRDefault="00A044B5">
      <w:pPr>
        <w:pStyle w:val="BodyText"/>
        <w:rPr>
          <w:b/>
          <w:bCs/>
        </w:rPr>
      </w:pPr>
    </w:p>
    <w:sectPr w:rsidR="00A044B5">
      <w:headerReference w:type="even" r:id="rId25"/>
      <w:headerReference w:type="default" r:id="rId26"/>
      <w:footerReference w:type="default" r:id="rId27"/>
      <w:headerReference w:type="first" r:id="rId28"/>
      <w:footerReference w:type="first" r:id="rId29"/>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49" w:rsidRDefault="00E91D49">
      <w:r>
        <w:separator/>
      </w:r>
    </w:p>
  </w:endnote>
  <w:endnote w:type="continuationSeparator" w:id="0">
    <w:p w:rsidR="00E91D49" w:rsidRDefault="00E91D49">
      <w:r>
        <w:continuationSeparator/>
      </w:r>
    </w:p>
  </w:endnote>
  <w:endnote w:type="continuationNotice" w:id="1">
    <w:p w:rsidR="00E91D49" w:rsidRDefault="00E9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0DA">
      <w:rPr>
        <w:rStyle w:val="PageNumber"/>
        <w:noProof/>
      </w:rPr>
      <w:t>1</w:t>
    </w:r>
    <w:r>
      <w:rPr>
        <w:rStyle w:val="PageNumber"/>
      </w:rPr>
      <w:fldChar w:fldCharType="end"/>
    </w:r>
  </w:p>
  <w:p w:rsidR="00343251" w:rsidRDefault="00343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25C7D">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82" w:rsidRDefault="00964A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E7576">
      <w:rPr>
        <w:rStyle w:val="PageNumber"/>
        <w:noProof/>
        <w:sz w:val="24"/>
        <w:szCs w:val="24"/>
      </w:rPr>
      <w:t>7</w:t>
    </w:r>
    <w:r>
      <w:rPr>
        <w:rStyle w:val="PageNumber"/>
        <w:sz w:val="24"/>
        <w:szCs w:val="24"/>
      </w:rPr>
      <w:fldChar w:fldCharType="end"/>
    </w:r>
  </w:p>
  <w:p w:rsidR="00343251" w:rsidRDefault="00343251">
    <w:pPr>
      <w:pStyle w:val="Footer"/>
      <w:framePr w:wrap="around" w:vAnchor="text" w:hAnchor="margin" w:xAlign="center" w:y="1"/>
      <w:rPr>
        <w:rStyle w:val="PageNumber"/>
      </w:rPr>
    </w:pPr>
  </w:p>
  <w:p w:rsidR="00343251" w:rsidRDefault="003432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49" w:rsidRDefault="00E91D49">
      <w:r>
        <w:separator/>
      </w:r>
    </w:p>
  </w:footnote>
  <w:footnote w:type="continuationSeparator" w:id="0">
    <w:p w:rsidR="00E91D49" w:rsidRDefault="00E91D49">
      <w:r>
        <w:continuationSeparator/>
      </w:r>
    </w:p>
  </w:footnote>
  <w:footnote w:type="continuationNotice" w:id="1">
    <w:p w:rsidR="00E91D49" w:rsidRDefault="00E91D49"/>
  </w:footnote>
  <w:footnote w:id="2">
    <w:p w:rsidR="00343251" w:rsidRDefault="00343251" w:rsidP="007223AB">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343251" w:rsidRDefault="00343251">
      <w:pPr>
        <w:pStyle w:val="FootnoteText"/>
      </w:pPr>
      <w:r>
        <w:rPr>
          <w:rStyle w:val="FootnoteReference"/>
        </w:rPr>
        <w:footnoteRef/>
      </w:r>
      <w:r>
        <w:t xml:space="preserve"> </w:t>
      </w:r>
      <w:r w:rsidRPr="00616C30">
        <w:rPr>
          <w:i/>
        </w:rPr>
        <w:t>In the Matter of the Application of Duke Energy Ohio, Inc. for Approval of its Energy Efficiency and Peak-Demand Reduction Portfolio Programs</w:t>
      </w:r>
      <w:r>
        <w:t>, Case No. 13-431-EL-POR, Opinion and Order at 6.</w:t>
      </w:r>
    </w:p>
  </w:footnote>
  <w:footnote w:id="4">
    <w:p w:rsidR="00343251" w:rsidRDefault="00343251" w:rsidP="00306A75">
      <w:pPr>
        <w:autoSpaceDE w:val="0"/>
        <w:autoSpaceDN w:val="0"/>
        <w:adjustRightInd w:val="0"/>
        <w:spacing w:after="120"/>
      </w:pPr>
      <w:r w:rsidRPr="00306A75">
        <w:rPr>
          <w:rStyle w:val="FootnoteReference"/>
          <w:sz w:val="20"/>
        </w:rPr>
        <w:footnoteRef/>
      </w:r>
      <w:r w:rsidRPr="00306A75">
        <w:rPr>
          <w:sz w:val="20"/>
        </w:rPr>
        <w:t xml:space="preserve"> </w:t>
      </w:r>
      <w:r w:rsidRPr="00306A75">
        <w:rPr>
          <w:i/>
          <w:iCs/>
          <w:sz w:val="20"/>
        </w:rPr>
        <w:t>In the Matter of the Application of Duke Energy Ohio, Inc. for an Energy Efficiency Cost Recovery Mechanism and for Approval of Additional Programs for Inclusion in its Existing Portfolio</w:t>
      </w:r>
      <w:r w:rsidRPr="00306A75">
        <w:rPr>
          <w:sz w:val="20"/>
        </w:rPr>
        <w:t>, Case No. 11-4393-EL-RDR, Stipulation and Recommendation at 5 (Nov. 18, 2011).  This agreement was acknowledged in the Stipulation and Recommendation resolving Case No. 13-431-EL-POR</w:t>
      </w:r>
      <w:r>
        <w:t>.</w:t>
      </w:r>
    </w:p>
  </w:footnote>
  <w:footnote w:id="5">
    <w:p w:rsidR="00343251" w:rsidRDefault="00343251" w:rsidP="00306A75">
      <w:pPr>
        <w:pStyle w:val="FootnoteText"/>
        <w:spacing w:after="120"/>
      </w:pPr>
      <w:r>
        <w:rPr>
          <w:rStyle w:val="FootnoteReference"/>
        </w:rPr>
        <w:footnoteRef/>
      </w:r>
      <w:r>
        <w:t xml:space="preserve"> Id.</w:t>
      </w:r>
    </w:p>
  </w:footnote>
  <w:footnote w:id="6">
    <w:p w:rsidR="00343251" w:rsidRDefault="00343251" w:rsidP="00306A75">
      <w:pPr>
        <w:pStyle w:val="FootnoteText"/>
        <w:spacing w:after="120"/>
      </w:pPr>
      <w:r>
        <w:rPr>
          <w:rStyle w:val="FootnoteReference"/>
        </w:rPr>
        <w:footnoteRef/>
      </w:r>
      <w:r>
        <w:t xml:space="preserve"> Application at ¶ 10 on page 3.  </w:t>
      </w:r>
    </w:p>
  </w:footnote>
  <w:footnote w:id="7">
    <w:p w:rsidR="00CC76E0" w:rsidRDefault="00CC76E0" w:rsidP="00CC76E0">
      <w:pPr>
        <w:pStyle w:val="FootnoteText"/>
        <w:spacing w:after="120"/>
      </w:pPr>
      <w:r>
        <w:rPr>
          <w:rStyle w:val="FootnoteReference"/>
        </w:rPr>
        <w:footnoteRef/>
      </w:r>
      <w:r>
        <w:t xml:space="preserve"> See </w:t>
      </w:r>
      <w:r w:rsidRPr="00306A75">
        <w:rPr>
          <w:i/>
          <w:iCs/>
        </w:rPr>
        <w:t>In the Matter of the Application of Duke Energy Ohio, Inc. for an Energy Efficiency Cost Recovery Mechanism and for Approval of Additional Programs for Inclusion in its Existing Portfolio</w:t>
      </w:r>
      <w:r>
        <w:t>, Case No. 11-4393-EL-RDR, Stipulation and Recommendation at 5, (November 18, 2011) and August 15, 2011 Opinion and Order at 8.</w:t>
      </w:r>
    </w:p>
  </w:footnote>
  <w:footnote w:id="8">
    <w:p w:rsidR="00343251" w:rsidRDefault="00343251" w:rsidP="00CC76E0">
      <w:pPr>
        <w:pStyle w:val="FootnoteText"/>
        <w:spacing w:after="120"/>
      </w:pPr>
      <w:r>
        <w:rPr>
          <w:rStyle w:val="FootnoteReference"/>
        </w:rPr>
        <w:footnoteRef/>
      </w:r>
      <w:r>
        <w:t xml:space="preserve"> Ohio Power Company (Case Nos. 11-5568-EL-POR, 11-5569-EL-POR, Opinion and Order at 8), The Dayton Power and Light Company (Case No. 13-0833-EL-POR at 8)and FirstEnergy (Case No. 12-2190-EL-POR, Opinion and Order at 16) all currently have hard dollar caps on their shared savings incentive mechanisms.</w:t>
      </w:r>
    </w:p>
  </w:footnote>
  <w:footnote w:id="9">
    <w:p w:rsidR="00343251" w:rsidRDefault="00343251">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82" w:rsidRDefault="0096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82" w:rsidRDefault="00964A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51" w:rsidRDefault="0034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21B5451"/>
    <w:multiLevelType w:val="hybridMultilevel"/>
    <w:tmpl w:val="71A2C676"/>
    <w:lvl w:ilvl="0" w:tplc="362237E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011C7"/>
    <w:rsid w:val="0001323A"/>
    <w:rsid w:val="00015EF2"/>
    <w:rsid w:val="000248CD"/>
    <w:rsid w:val="00030A8E"/>
    <w:rsid w:val="00082870"/>
    <w:rsid w:val="000B0A9E"/>
    <w:rsid w:val="000B1206"/>
    <w:rsid w:val="000E570C"/>
    <w:rsid w:val="0010048D"/>
    <w:rsid w:val="00107C24"/>
    <w:rsid w:val="00125B4B"/>
    <w:rsid w:val="00125C7D"/>
    <w:rsid w:val="0013696C"/>
    <w:rsid w:val="00154936"/>
    <w:rsid w:val="00182A52"/>
    <w:rsid w:val="00190F78"/>
    <w:rsid w:val="001A7586"/>
    <w:rsid w:val="001C055D"/>
    <w:rsid w:val="001C7B17"/>
    <w:rsid w:val="001D0897"/>
    <w:rsid w:val="001D16DE"/>
    <w:rsid w:val="00200B47"/>
    <w:rsid w:val="00203BE5"/>
    <w:rsid w:val="00217E9B"/>
    <w:rsid w:val="00233A62"/>
    <w:rsid w:val="002458BD"/>
    <w:rsid w:val="00260B5B"/>
    <w:rsid w:val="0026613C"/>
    <w:rsid w:val="00270856"/>
    <w:rsid w:val="0027478A"/>
    <w:rsid w:val="002A4912"/>
    <w:rsid w:val="002B64AF"/>
    <w:rsid w:val="002D1419"/>
    <w:rsid w:val="002D6BB3"/>
    <w:rsid w:val="002E78DA"/>
    <w:rsid w:val="002E7A64"/>
    <w:rsid w:val="0030264E"/>
    <w:rsid w:val="00303DB9"/>
    <w:rsid w:val="00306A75"/>
    <w:rsid w:val="00343251"/>
    <w:rsid w:val="00376584"/>
    <w:rsid w:val="003B147A"/>
    <w:rsid w:val="003B7CA8"/>
    <w:rsid w:val="003E5E2B"/>
    <w:rsid w:val="003F0FBF"/>
    <w:rsid w:val="003F66C3"/>
    <w:rsid w:val="004052A8"/>
    <w:rsid w:val="00413D31"/>
    <w:rsid w:val="0042105F"/>
    <w:rsid w:val="004412F2"/>
    <w:rsid w:val="00462F52"/>
    <w:rsid w:val="00476D58"/>
    <w:rsid w:val="004A35C1"/>
    <w:rsid w:val="004C0A9C"/>
    <w:rsid w:val="004D47D3"/>
    <w:rsid w:val="00506DC5"/>
    <w:rsid w:val="00514C59"/>
    <w:rsid w:val="0051520D"/>
    <w:rsid w:val="00521A6E"/>
    <w:rsid w:val="005748C6"/>
    <w:rsid w:val="00575ED1"/>
    <w:rsid w:val="005A6744"/>
    <w:rsid w:val="005E15EE"/>
    <w:rsid w:val="005E7C5B"/>
    <w:rsid w:val="00602421"/>
    <w:rsid w:val="00616C30"/>
    <w:rsid w:val="006175BD"/>
    <w:rsid w:val="0062108F"/>
    <w:rsid w:val="00641070"/>
    <w:rsid w:val="00653DCB"/>
    <w:rsid w:val="006558A8"/>
    <w:rsid w:val="00664241"/>
    <w:rsid w:val="006C5E97"/>
    <w:rsid w:val="006D30C4"/>
    <w:rsid w:val="006D68B2"/>
    <w:rsid w:val="006E69EC"/>
    <w:rsid w:val="006F69E1"/>
    <w:rsid w:val="0070552D"/>
    <w:rsid w:val="00715DD0"/>
    <w:rsid w:val="007223AB"/>
    <w:rsid w:val="007241FA"/>
    <w:rsid w:val="00730C0C"/>
    <w:rsid w:val="00742B62"/>
    <w:rsid w:val="00760DE9"/>
    <w:rsid w:val="00794B96"/>
    <w:rsid w:val="007A1D57"/>
    <w:rsid w:val="007C0BC6"/>
    <w:rsid w:val="007E0876"/>
    <w:rsid w:val="007E1162"/>
    <w:rsid w:val="007F3C02"/>
    <w:rsid w:val="00810CCB"/>
    <w:rsid w:val="00810FA4"/>
    <w:rsid w:val="00825D8A"/>
    <w:rsid w:val="00843280"/>
    <w:rsid w:val="008821FE"/>
    <w:rsid w:val="008A4FAB"/>
    <w:rsid w:val="008D3A4F"/>
    <w:rsid w:val="008E6D61"/>
    <w:rsid w:val="008F4272"/>
    <w:rsid w:val="00902CDA"/>
    <w:rsid w:val="00916657"/>
    <w:rsid w:val="00926F97"/>
    <w:rsid w:val="00930614"/>
    <w:rsid w:val="009308A2"/>
    <w:rsid w:val="00930FF1"/>
    <w:rsid w:val="00964A82"/>
    <w:rsid w:val="0097486F"/>
    <w:rsid w:val="00980FCB"/>
    <w:rsid w:val="00995EE9"/>
    <w:rsid w:val="009B7085"/>
    <w:rsid w:val="009E00A8"/>
    <w:rsid w:val="009E06DD"/>
    <w:rsid w:val="00A02EF8"/>
    <w:rsid w:val="00A044B5"/>
    <w:rsid w:val="00A43708"/>
    <w:rsid w:val="00A5514C"/>
    <w:rsid w:val="00A90C3F"/>
    <w:rsid w:val="00AC102B"/>
    <w:rsid w:val="00AC79BB"/>
    <w:rsid w:val="00AD135E"/>
    <w:rsid w:val="00AD19E0"/>
    <w:rsid w:val="00AE437E"/>
    <w:rsid w:val="00B10116"/>
    <w:rsid w:val="00B2570C"/>
    <w:rsid w:val="00B30C59"/>
    <w:rsid w:val="00B66487"/>
    <w:rsid w:val="00B91AAB"/>
    <w:rsid w:val="00BA335C"/>
    <w:rsid w:val="00BA431D"/>
    <w:rsid w:val="00BA5871"/>
    <w:rsid w:val="00BB550B"/>
    <w:rsid w:val="00BB5A95"/>
    <w:rsid w:val="00BC7AB9"/>
    <w:rsid w:val="00BE029C"/>
    <w:rsid w:val="00BE7576"/>
    <w:rsid w:val="00C01537"/>
    <w:rsid w:val="00C305EF"/>
    <w:rsid w:val="00C70FDD"/>
    <w:rsid w:val="00C910AC"/>
    <w:rsid w:val="00CC76E0"/>
    <w:rsid w:val="00CD2057"/>
    <w:rsid w:val="00CF6F2D"/>
    <w:rsid w:val="00D208B7"/>
    <w:rsid w:val="00D42CCF"/>
    <w:rsid w:val="00D43430"/>
    <w:rsid w:val="00D470AF"/>
    <w:rsid w:val="00D55177"/>
    <w:rsid w:val="00D57504"/>
    <w:rsid w:val="00D74BAB"/>
    <w:rsid w:val="00D77270"/>
    <w:rsid w:val="00DB42AC"/>
    <w:rsid w:val="00DE3BDA"/>
    <w:rsid w:val="00DE5E54"/>
    <w:rsid w:val="00E14340"/>
    <w:rsid w:val="00E30904"/>
    <w:rsid w:val="00E42A54"/>
    <w:rsid w:val="00E91496"/>
    <w:rsid w:val="00E91D49"/>
    <w:rsid w:val="00EB6E22"/>
    <w:rsid w:val="00EB6E87"/>
    <w:rsid w:val="00EC08A7"/>
    <w:rsid w:val="00EC443C"/>
    <w:rsid w:val="00ED5174"/>
    <w:rsid w:val="00EE215C"/>
    <w:rsid w:val="00EF3AD6"/>
    <w:rsid w:val="00F1341B"/>
    <w:rsid w:val="00F4296C"/>
    <w:rsid w:val="00F661B9"/>
    <w:rsid w:val="00F83E5A"/>
    <w:rsid w:val="00F840DA"/>
    <w:rsid w:val="00F95642"/>
    <w:rsid w:val="00FD12B3"/>
    <w:rsid w:val="00FD1421"/>
    <w:rsid w:val="00FD474A"/>
    <w:rsid w:val="00FF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4C0A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4C0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mailto:drinebolt@ohiopartners.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ael.schuler@occ.ohio.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Kyle.kern@occ.ohio.gov" TargetMode="External"/><Relationship Id="rId20" Type="http://schemas.openxmlformats.org/officeDocument/2006/relationships/hyperlink" Target="mailto:Elizabeth.watts@duke-energy.com"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Nicholas.walstra@puc.state.oh.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hristine.pirik@puc.state.oh.us"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Amy.Spiller@duke-energy.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eader" Target="header3.xml"/><Relationship Id="rId22" Type="http://schemas.openxmlformats.org/officeDocument/2006/relationships/hyperlink" Target="mailto:cmooney@ohiopartners.org"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9860</Characters>
  <Application>Microsoft Office Word</Application>
  <DocSecurity>0</DocSecurity>
  <Lines>273</Lines>
  <Paragraphs>115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11611</CharactersWithSpaces>
  <SharedDoc>false</SharedDoc>
  <HyperlinkBase> </HyperlinkBase>
  <HLinks>
    <vt:vector size="54" baseType="variant">
      <vt:variant>
        <vt:i4>458879</vt:i4>
      </vt:variant>
      <vt:variant>
        <vt:i4>24</vt:i4>
      </vt:variant>
      <vt:variant>
        <vt:i4>0</vt:i4>
      </vt:variant>
      <vt:variant>
        <vt:i4>5</vt:i4>
      </vt:variant>
      <vt:variant>
        <vt:lpwstr>mailto:Nicholas.walstra@puc.state.oh.us</vt:lpwstr>
      </vt:variant>
      <vt:variant>
        <vt:lpwstr/>
      </vt:variant>
      <vt:variant>
        <vt:i4>3342423</vt:i4>
      </vt:variant>
      <vt:variant>
        <vt:i4>21</vt:i4>
      </vt:variant>
      <vt:variant>
        <vt:i4>0</vt:i4>
      </vt:variant>
      <vt:variant>
        <vt:i4>5</vt:i4>
      </vt:variant>
      <vt:variant>
        <vt:lpwstr>mailto:Christine.pirik@puc.state.oh.us</vt:lpwstr>
      </vt:variant>
      <vt:variant>
        <vt:lpwstr/>
      </vt:variant>
      <vt:variant>
        <vt:i4>3866631</vt:i4>
      </vt:variant>
      <vt:variant>
        <vt:i4>18</vt:i4>
      </vt:variant>
      <vt:variant>
        <vt:i4>0</vt:i4>
      </vt:variant>
      <vt:variant>
        <vt:i4>5</vt:i4>
      </vt:variant>
      <vt:variant>
        <vt:lpwstr>mailto:Elizabeth.watts@duke-energy.com</vt:lpwstr>
      </vt:variant>
      <vt:variant>
        <vt:lpwstr/>
      </vt:variant>
      <vt:variant>
        <vt:i4>3604486</vt:i4>
      </vt:variant>
      <vt:variant>
        <vt:i4>15</vt:i4>
      </vt:variant>
      <vt:variant>
        <vt:i4>0</vt:i4>
      </vt:variant>
      <vt:variant>
        <vt:i4>5</vt:i4>
      </vt:variant>
      <vt:variant>
        <vt:lpwstr>mailto:Amy.Spiller@duke-energy.com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3080222</vt:i4>
      </vt:variant>
      <vt:variant>
        <vt:i4>9</vt:i4>
      </vt:variant>
      <vt:variant>
        <vt:i4>0</vt:i4>
      </vt:variant>
      <vt:variant>
        <vt:i4>5</vt:i4>
      </vt:variant>
      <vt:variant>
        <vt:lpwstr>mailto:Michael.schuler@occ.ohio.gov</vt:lpwstr>
      </vt:variant>
      <vt:variant>
        <vt:lpwstr/>
      </vt:variant>
      <vt:variant>
        <vt:i4>720930</vt:i4>
      </vt:variant>
      <vt:variant>
        <vt:i4>6</vt:i4>
      </vt:variant>
      <vt:variant>
        <vt:i4>0</vt:i4>
      </vt:variant>
      <vt:variant>
        <vt:i4>5</vt:i4>
      </vt:variant>
      <vt:variant>
        <vt:lpwstr>mailto:Kyle.kern@occ.ohio.gov</vt:lpwstr>
      </vt:variant>
      <vt:variant>
        <vt:lpwstr/>
      </vt:variant>
      <vt:variant>
        <vt:i4>3080222</vt:i4>
      </vt:variant>
      <vt:variant>
        <vt:i4>3</vt:i4>
      </vt:variant>
      <vt:variant>
        <vt:i4>0</vt:i4>
      </vt:variant>
      <vt:variant>
        <vt:i4>5</vt:i4>
      </vt:variant>
      <vt:variant>
        <vt:lpwstr>mailto:Michael.schuler@occ.ohio.gov</vt:lpwstr>
      </vt:variant>
      <vt:variant>
        <vt:lpwstr/>
      </vt:variant>
      <vt:variant>
        <vt:i4>720930</vt:i4>
      </vt:variant>
      <vt:variant>
        <vt:i4>0</vt:i4>
      </vt:variant>
      <vt:variant>
        <vt:i4>0</vt:i4>
      </vt:variant>
      <vt:variant>
        <vt:i4>5</vt:i4>
      </vt:variant>
      <vt:variant>
        <vt:lpwstr>mailto:Kyle.kern@occ.ohio.gov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2014-09-24T18:16:00Z</cp:lastPrinted>
  <dcterms:created xsi:type="dcterms:W3CDTF">2014-10-14T19:23:00Z</dcterms:created>
  <dcterms:modified xsi:type="dcterms:W3CDTF">2014-10-14T19:23:00Z</dcterms:modified>
  <cp:category> </cp:category>
  <cp:contentStatus> </cp:contentStatus>
</cp:coreProperties>
</file>