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C20" w:rsidRDefault="00BE7C20" w:rsidP="00BE7C20">
      <w:pPr>
        <w:jc w:val="center"/>
        <w:rPr>
          <w:rFonts w:cs="Arial"/>
          <w:b/>
          <w:smallCaps/>
          <w:sz w:val="28"/>
        </w:rPr>
      </w:pPr>
      <w:r>
        <w:rPr>
          <w:rFonts w:cs="Arial"/>
          <w:b/>
          <w:smallCaps/>
          <w:sz w:val="28"/>
        </w:rPr>
        <w:t>Before</w:t>
      </w:r>
    </w:p>
    <w:p w:rsidR="00BE7C20" w:rsidRDefault="00BE7C20" w:rsidP="00BE7C20">
      <w:pPr>
        <w:jc w:val="center"/>
        <w:rPr>
          <w:rFonts w:cs="Arial"/>
          <w:b/>
          <w:smallCaps/>
          <w:sz w:val="28"/>
        </w:rPr>
      </w:pPr>
      <w:r>
        <w:rPr>
          <w:rFonts w:cs="Arial"/>
          <w:b/>
          <w:smallCaps/>
          <w:sz w:val="28"/>
        </w:rPr>
        <w:t>The Public Utilities Commission of Ohio</w:t>
      </w:r>
    </w:p>
    <w:p w:rsidR="00BE7C20" w:rsidRPr="00D95797" w:rsidRDefault="00BE7C20" w:rsidP="00BE7C20">
      <w:pPr>
        <w:autoSpaceDE w:val="0"/>
        <w:autoSpaceDN w:val="0"/>
        <w:adjustRightInd w:val="0"/>
        <w:rPr>
          <w:rFonts w:cs="Arial"/>
        </w:rPr>
      </w:pPr>
    </w:p>
    <w:p w:rsidR="00BE7C20" w:rsidRPr="00D95797" w:rsidRDefault="00BE7C20" w:rsidP="00BE7C20">
      <w:pPr>
        <w:autoSpaceDE w:val="0"/>
        <w:autoSpaceDN w:val="0"/>
        <w:adjustRightInd w:val="0"/>
        <w:rPr>
          <w:rFonts w:cs="Arial"/>
        </w:rPr>
      </w:pPr>
    </w:p>
    <w:p w:rsidR="00BE7C20" w:rsidRDefault="00BE7C20" w:rsidP="00BE7C20">
      <w:pPr>
        <w:pStyle w:val="BodyText"/>
        <w:tabs>
          <w:tab w:val="clear" w:pos="5040"/>
          <w:tab w:val="left" w:pos="4680"/>
          <w:tab w:val="left" w:pos="5760"/>
        </w:tabs>
        <w:rPr>
          <w:rFonts w:cs="Arial"/>
          <w:b w:val="0"/>
          <w:smallCaps w:val="0"/>
          <w:sz w:val="24"/>
          <w:szCs w:val="24"/>
        </w:rPr>
      </w:pPr>
      <w:r>
        <w:rPr>
          <w:rFonts w:cs="Arial"/>
          <w:b w:val="0"/>
          <w:smallCaps w:val="0"/>
          <w:sz w:val="24"/>
          <w:szCs w:val="24"/>
        </w:rPr>
        <w:t>In the Matter of the Application of</w:t>
      </w:r>
      <w:r>
        <w:rPr>
          <w:rFonts w:cs="Arial"/>
          <w:b w:val="0"/>
          <w:smallCaps w:val="0"/>
          <w:sz w:val="24"/>
          <w:szCs w:val="24"/>
        </w:rPr>
        <w:tab/>
        <w:t>)</w:t>
      </w:r>
      <w:r>
        <w:rPr>
          <w:rFonts w:cs="Arial"/>
          <w:b w:val="0"/>
          <w:smallCaps w:val="0"/>
          <w:sz w:val="24"/>
          <w:szCs w:val="24"/>
        </w:rPr>
        <w:tab/>
      </w:r>
    </w:p>
    <w:p w:rsidR="00BE7C20" w:rsidRDefault="00BE7C20" w:rsidP="00BE7C20">
      <w:pPr>
        <w:pStyle w:val="BodyText"/>
        <w:tabs>
          <w:tab w:val="clear" w:pos="5040"/>
          <w:tab w:val="left" w:pos="4680"/>
          <w:tab w:val="left" w:pos="5760"/>
        </w:tabs>
        <w:rPr>
          <w:rFonts w:cs="Arial"/>
          <w:b w:val="0"/>
          <w:smallCaps w:val="0"/>
          <w:sz w:val="24"/>
          <w:szCs w:val="24"/>
        </w:rPr>
      </w:pPr>
      <w:r>
        <w:rPr>
          <w:rFonts w:cs="Arial"/>
          <w:b w:val="0"/>
          <w:smallCaps w:val="0"/>
          <w:sz w:val="24"/>
          <w:szCs w:val="24"/>
        </w:rPr>
        <w:t>The Dayton Power and Light Company</w:t>
      </w:r>
      <w:r>
        <w:rPr>
          <w:rFonts w:cs="Arial"/>
          <w:b w:val="0"/>
          <w:smallCaps w:val="0"/>
          <w:sz w:val="24"/>
          <w:szCs w:val="24"/>
        </w:rPr>
        <w:tab/>
        <w:t>)</w:t>
      </w:r>
      <w:r w:rsidR="00832A24">
        <w:rPr>
          <w:rFonts w:cs="Arial"/>
          <w:b w:val="0"/>
          <w:smallCaps w:val="0"/>
          <w:sz w:val="24"/>
          <w:szCs w:val="24"/>
        </w:rPr>
        <w:tab/>
        <w:t>Case No. 13-2420-EL-UNC</w:t>
      </w:r>
    </w:p>
    <w:p w:rsidR="00BE7C20" w:rsidRDefault="00BE7C20" w:rsidP="00BE7C20">
      <w:pPr>
        <w:pStyle w:val="BodyText"/>
        <w:tabs>
          <w:tab w:val="clear" w:pos="5040"/>
          <w:tab w:val="left" w:pos="4680"/>
          <w:tab w:val="left" w:pos="5760"/>
        </w:tabs>
        <w:rPr>
          <w:rFonts w:cs="Arial"/>
          <w:b w:val="0"/>
          <w:smallCaps w:val="0"/>
          <w:sz w:val="24"/>
          <w:szCs w:val="24"/>
        </w:rPr>
      </w:pPr>
      <w:r>
        <w:rPr>
          <w:rFonts w:cs="Arial"/>
          <w:b w:val="0"/>
          <w:smallCaps w:val="0"/>
          <w:sz w:val="24"/>
          <w:szCs w:val="24"/>
        </w:rPr>
        <w:t>For Authority to Transfer or Sell its</w:t>
      </w:r>
      <w:r>
        <w:rPr>
          <w:rFonts w:cs="Arial"/>
          <w:b w:val="0"/>
          <w:smallCaps w:val="0"/>
          <w:sz w:val="24"/>
          <w:szCs w:val="24"/>
        </w:rPr>
        <w:tab/>
        <w:t>)</w:t>
      </w:r>
    </w:p>
    <w:p w:rsidR="00BE7C20" w:rsidRDefault="00BE7C20" w:rsidP="00BE7C20">
      <w:pPr>
        <w:pStyle w:val="BodyText"/>
        <w:tabs>
          <w:tab w:val="clear" w:pos="5040"/>
          <w:tab w:val="left" w:pos="4680"/>
          <w:tab w:val="left" w:pos="5760"/>
        </w:tabs>
        <w:rPr>
          <w:rFonts w:cs="Arial"/>
          <w:b w:val="0"/>
          <w:smallCaps w:val="0"/>
          <w:sz w:val="24"/>
          <w:szCs w:val="24"/>
        </w:rPr>
      </w:pPr>
      <w:r>
        <w:rPr>
          <w:rFonts w:cs="Arial"/>
          <w:b w:val="0"/>
          <w:smallCaps w:val="0"/>
          <w:sz w:val="24"/>
          <w:szCs w:val="24"/>
        </w:rPr>
        <w:t>Generation Assets.</w:t>
      </w:r>
      <w:r>
        <w:rPr>
          <w:rFonts w:cs="Arial"/>
          <w:b w:val="0"/>
          <w:smallCaps w:val="0"/>
          <w:sz w:val="24"/>
          <w:szCs w:val="24"/>
        </w:rPr>
        <w:tab/>
        <w:t>)</w:t>
      </w:r>
    </w:p>
    <w:p w:rsidR="00BE7C20" w:rsidRPr="00BE7C20" w:rsidRDefault="00BE7C20" w:rsidP="00BE7C20">
      <w:pPr>
        <w:pStyle w:val="BodyText"/>
        <w:tabs>
          <w:tab w:val="clear" w:pos="5040"/>
          <w:tab w:val="left" w:pos="4680"/>
          <w:tab w:val="left" w:pos="5760"/>
        </w:tabs>
        <w:rPr>
          <w:rFonts w:cs="Arial"/>
          <w:b w:val="0"/>
          <w:smallCaps w:val="0"/>
          <w:sz w:val="24"/>
          <w:szCs w:val="24"/>
        </w:rPr>
      </w:pPr>
    </w:p>
    <w:p w:rsidR="00BE7C20" w:rsidRPr="00A118C1" w:rsidRDefault="00BE7C20" w:rsidP="00BE7C20">
      <w:pPr>
        <w:pStyle w:val="BodyText"/>
        <w:rPr>
          <w:rFonts w:cs="Arial"/>
          <w:b w:val="0"/>
        </w:rPr>
      </w:pPr>
    </w:p>
    <w:p w:rsidR="00BE7C20" w:rsidRPr="00443DD4" w:rsidRDefault="00BE7C20" w:rsidP="00BE7C20">
      <w:pPr>
        <w:pStyle w:val="BodyText"/>
        <w:pBdr>
          <w:top w:val="single" w:sz="12" w:space="1" w:color="auto"/>
        </w:pBdr>
        <w:rPr>
          <w:rFonts w:cs="Arial"/>
          <w:sz w:val="28"/>
          <w:szCs w:val="28"/>
        </w:rPr>
      </w:pPr>
    </w:p>
    <w:p w:rsidR="00BE7C20" w:rsidRPr="004439F6" w:rsidRDefault="008A42D3" w:rsidP="00BE7C20">
      <w:pPr>
        <w:jc w:val="center"/>
        <w:rPr>
          <w:rFonts w:cs="Arial"/>
          <w:b/>
          <w:smallCaps/>
          <w:sz w:val="28"/>
          <w:szCs w:val="28"/>
        </w:rPr>
      </w:pPr>
      <w:r w:rsidRPr="004439F6">
        <w:rPr>
          <w:rFonts w:cs="Arial"/>
          <w:b/>
          <w:smallCaps/>
          <w:sz w:val="28"/>
          <w:szCs w:val="28"/>
        </w:rPr>
        <w:t>C</w:t>
      </w:r>
      <w:r w:rsidR="00701293" w:rsidRPr="004439F6">
        <w:rPr>
          <w:rFonts w:cs="Arial"/>
          <w:b/>
          <w:smallCaps/>
          <w:sz w:val="28"/>
          <w:szCs w:val="28"/>
        </w:rPr>
        <w:t xml:space="preserve">omments of </w:t>
      </w:r>
      <w:r w:rsidR="00BE7C20" w:rsidRPr="004439F6">
        <w:rPr>
          <w:rFonts w:cs="Arial"/>
          <w:b/>
          <w:smallCaps/>
          <w:sz w:val="28"/>
          <w:szCs w:val="28"/>
        </w:rPr>
        <w:t>Industrial Energy Users-Ohio</w:t>
      </w:r>
    </w:p>
    <w:p w:rsidR="00BE7C20" w:rsidRPr="00443DD4" w:rsidRDefault="00BE7C20" w:rsidP="00BE7C20">
      <w:pPr>
        <w:pBdr>
          <w:bottom w:val="single" w:sz="12" w:space="1" w:color="auto"/>
        </w:pBdr>
        <w:jc w:val="both"/>
        <w:rPr>
          <w:rFonts w:cs="Arial"/>
          <w:sz w:val="28"/>
          <w:szCs w:val="28"/>
        </w:rPr>
      </w:pPr>
    </w:p>
    <w:p w:rsidR="00BE7C20" w:rsidRDefault="00BE7C20" w:rsidP="00BE7C20">
      <w:pPr>
        <w:jc w:val="both"/>
        <w:rPr>
          <w:rFonts w:cs="Arial"/>
        </w:rPr>
      </w:pPr>
    </w:p>
    <w:p w:rsidR="00BE7C20" w:rsidRDefault="00BE7C20" w:rsidP="00BE7C20">
      <w:pPr>
        <w:tabs>
          <w:tab w:val="left" w:pos="4320"/>
          <w:tab w:val="right" w:pos="8640"/>
        </w:tabs>
        <w:ind w:left="4320"/>
        <w:jc w:val="both"/>
        <w:rPr>
          <w:rFonts w:cs="Arial"/>
        </w:rPr>
      </w:pPr>
    </w:p>
    <w:p w:rsidR="00BE7C20" w:rsidRDefault="00BE7C20" w:rsidP="00BE7C20">
      <w:pPr>
        <w:tabs>
          <w:tab w:val="left" w:pos="4320"/>
          <w:tab w:val="right" w:pos="8640"/>
        </w:tabs>
        <w:ind w:left="4320"/>
        <w:jc w:val="both"/>
        <w:rPr>
          <w:rFonts w:cs="Arial"/>
        </w:rPr>
      </w:pPr>
    </w:p>
    <w:p w:rsidR="00BE7C20" w:rsidRDefault="00BE7C20" w:rsidP="00BE7C20">
      <w:pPr>
        <w:tabs>
          <w:tab w:val="left" w:pos="4320"/>
          <w:tab w:val="right" w:pos="8640"/>
        </w:tabs>
        <w:ind w:left="4320"/>
        <w:jc w:val="both"/>
        <w:rPr>
          <w:rFonts w:cs="Arial"/>
        </w:rPr>
      </w:pPr>
    </w:p>
    <w:p w:rsidR="00BE7C20" w:rsidRDefault="00BE7C20" w:rsidP="00BE7C20">
      <w:pPr>
        <w:tabs>
          <w:tab w:val="left" w:pos="4320"/>
          <w:tab w:val="right" w:pos="8640"/>
        </w:tabs>
        <w:ind w:left="4320"/>
        <w:jc w:val="both"/>
        <w:rPr>
          <w:rFonts w:cs="Arial"/>
        </w:rPr>
      </w:pPr>
    </w:p>
    <w:p w:rsidR="00BE7C20" w:rsidRDefault="00BE7C20" w:rsidP="00BE7C20">
      <w:pPr>
        <w:tabs>
          <w:tab w:val="left" w:pos="4320"/>
          <w:tab w:val="right" w:pos="8640"/>
        </w:tabs>
        <w:ind w:left="4320"/>
        <w:jc w:val="both"/>
        <w:rPr>
          <w:rFonts w:cs="Arial"/>
        </w:rPr>
      </w:pPr>
    </w:p>
    <w:p w:rsidR="00BE7C20" w:rsidRDefault="00BE7C20" w:rsidP="00BE7C20">
      <w:pPr>
        <w:tabs>
          <w:tab w:val="left" w:pos="4320"/>
          <w:tab w:val="right" w:pos="8640"/>
        </w:tabs>
        <w:ind w:left="4320"/>
        <w:jc w:val="both"/>
        <w:rPr>
          <w:rFonts w:cs="Arial"/>
        </w:rPr>
      </w:pPr>
    </w:p>
    <w:p w:rsidR="00BE7C20" w:rsidRDefault="00BE7C20" w:rsidP="00BE7C20">
      <w:pPr>
        <w:tabs>
          <w:tab w:val="left" w:pos="4320"/>
          <w:tab w:val="right" w:pos="8640"/>
        </w:tabs>
        <w:ind w:left="4320"/>
        <w:jc w:val="both"/>
        <w:rPr>
          <w:rFonts w:cs="Arial"/>
        </w:rPr>
      </w:pPr>
    </w:p>
    <w:p w:rsidR="00BE7C20" w:rsidRDefault="00BE7C20" w:rsidP="00BE7C20">
      <w:pPr>
        <w:tabs>
          <w:tab w:val="left" w:pos="4320"/>
          <w:tab w:val="right" w:pos="8640"/>
        </w:tabs>
        <w:ind w:left="4320"/>
        <w:jc w:val="both"/>
        <w:rPr>
          <w:rFonts w:cs="Arial"/>
        </w:rPr>
      </w:pPr>
    </w:p>
    <w:p w:rsidR="00BE7C20" w:rsidRDefault="00BE7C20" w:rsidP="00BE7C20">
      <w:pPr>
        <w:tabs>
          <w:tab w:val="left" w:pos="4320"/>
          <w:tab w:val="right" w:pos="8640"/>
        </w:tabs>
        <w:ind w:left="4320"/>
        <w:jc w:val="both"/>
        <w:rPr>
          <w:rFonts w:cs="Arial"/>
        </w:rPr>
      </w:pPr>
    </w:p>
    <w:p w:rsidR="00BE7C20" w:rsidRDefault="00BE7C20" w:rsidP="00BE7C20">
      <w:pPr>
        <w:tabs>
          <w:tab w:val="left" w:pos="4320"/>
          <w:tab w:val="right" w:pos="8640"/>
        </w:tabs>
        <w:ind w:left="4320"/>
        <w:jc w:val="both"/>
        <w:rPr>
          <w:rFonts w:cs="Arial"/>
        </w:rPr>
      </w:pPr>
    </w:p>
    <w:p w:rsidR="00BE7C20" w:rsidRDefault="00BE7C20" w:rsidP="00BE7C20">
      <w:pPr>
        <w:tabs>
          <w:tab w:val="left" w:pos="4320"/>
          <w:tab w:val="right" w:pos="8640"/>
        </w:tabs>
        <w:ind w:left="4320"/>
        <w:jc w:val="both"/>
        <w:rPr>
          <w:rFonts w:cs="Arial"/>
        </w:rPr>
      </w:pPr>
    </w:p>
    <w:p w:rsidR="00BE7C20" w:rsidRDefault="00BE7C20" w:rsidP="00BE7C20">
      <w:pPr>
        <w:tabs>
          <w:tab w:val="left" w:pos="4320"/>
          <w:tab w:val="right" w:pos="8640"/>
        </w:tabs>
        <w:ind w:left="4320"/>
        <w:jc w:val="both"/>
        <w:rPr>
          <w:rFonts w:cs="Arial"/>
        </w:rPr>
      </w:pPr>
    </w:p>
    <w:p w:rsidR="00BE7C20" w:rsidRDefault="00BE7C20" w:rsidP="00BE7C20">
      <w:pPr>
        <w:tabs>
          <w:tab w:val="left" w:pos="4320"/>
          <w:tab w:val="right" w:pos="8640"/>
        </w:tabs>
        <w:ind w:left="4320"/>
        <w:jc w:val="both"/>
        <w:rPr>
          <w:rFonts w:cs="Arial"/>
        </w:rPr>
      </w:pPr>
    </w:p>
    <w:p w:rsidR="00BE7C20" w:rsidRPr="00FA702C" w:rsidRDefault="00BE7C20" w:rsidP="00BE7C20">
      <w:pPr>
        <w:tabs>
          <w:tab w:val="left" w:pos="4320"/>
          <w:tab w:val="right" w:pos="8640"/>
        </w:tabs>
        <w:ind w:left="4320"/>
        <w:jc w:val="both"/>
        <w:rPr>
          <w:rFonts w:cs="Arial"/>
          <w:sz w:val="24"/>
          <w:szCs w:val="24"/>
        </w:rPr>
      </w:pPr>
      <w:r w:rsidRPr="00FA702C">
        <w:rPr>
          <w:rFonts w:cs="Arial"/>
          <w:sz w:val="24"/>
          <w:szCs w:val="24"/>
        </w:rPr>
        <w:t>Samuel C. Randazzo (Counsel of Record)</w:t>
      </w:r>
    </w:p>
    <w:p w:rsidR="00BE7C20" w:rsidRPr="00FA702C" w:rsidRDefault="00BE7C20" w:rsidP="00BE7C20">
      <w:pPr>
        <w:pStyle w:val="BodyText3"/>
        <w:widowControl w:val="0"/>
        <w:tabs>
          <w:tab w:val="left" w:pos="4320"/>
        </w:tabs>
        <w:spacing w:after="0"/>
        <w:ind w:left="4320"/>
        <w:jc w:val="both"/>
        <w:rPr>
          <w:rFonts w:cs="Arial"/>
          <w:bCs/>
          <w:sz w:val="24"/>
          <w:szCs w:val="24"/>
        </w:rPr>
      </w:pPr>
      <w:r w:rsidRPr="00FA702C">
        <w:rPr>
          <w:rFonts w:cs="Arial"/>
          <w:bCs/>
          <w:sz w:val="24"/>
          <w:szCs w:val="24"/>
        </w:rPr>
        <w:t>Frank P. Darr</w:t>
      </w:r>
    </w:p>
    <w:p w:rsidR="00BE7C20" w:rsidRPr="00FA702C" w:rsidRDefault="00BE7C20" w:rsidP="00BE7C20">
      <w:pPr>
        <w:pStyle w:val="BodyText3"/>
        <w:widowControl w:val="0"/>
        <w:tabs>
          <w:tab w:val="left" w:pos="4320"/>
        </w:tabs>
        <w:spacing w:after="0"/>
        <w:ind w:left="4320"/>
        <w:jc w:val="both"/>
        <w:rPr>
          <w:rFonts w:cs="Arial"/>
          <w:b/>
          <w:bCs/>
          <w:sz w:val="24"/>
          <w:szCs w:val="24"/>
        </w:rPr>
      </w:pPr>
      <w:r w:rsidRPr="00FA702C">
        <w:rPr>
          <w:rFonts w:cs="Arial"/>
          <w:bCs/>
          <w:sz w:val="24"/>
          <w:szCs w:val="24"/>
        </w:rPr>
        <w:t>Matthew R. Pritchard</w:t>
      </w:r>
    </w:p>
    <w:p w:rsidR="00BE7C20" w:rsidRPr="00FA702C" w:rsidRDefault="00BE7C20" w:rsidP="00BE7C20">
      <w:pPr>
        <w:pStyle w:val="BodyText3"/>
        <w:widowControl w:val="0"/>
        <w:tabs>
          <w:tab w:val="left" w:pos="4320"/>
        </w:tabs>
        <w:spacing w:after="0"/>
        <w:ind w:left="4320"/>
        <w:jc w:val="both"/>
        <w:rPr>
          <w:rFonts w:cs="Arial"/>
          <w:b/>
          <w:bCs/>
          <w:smallCaps/>
          <w:sz w:val="24"/>
          <w:szCs w:val="24"/>
        </w:rPr>
      </w:pPr>
      <w:r w:rsidRPr="00FA702C">
        <w:rPr>
          <w:rFonts w:cs="Arial"/>
          <w:bCs/>
          <w:smallCaps/>
          <w:sz w:val="24"/>
          <w:szCs w:val="24"/>
        </w:rPr>
        <w:t>McNees Wallace &amp; Nurick LLC</w:t>
      </w:r>
    </w:p>
    <w:p w:rsidR="00BE7C20" w:rsidRPr="00FA702C" w:rsidRDefault="00BE7C20" w:rsidP="00BE7C20">
      <w:pPr>
        <w:pStyle w:val="BodyText3"/>
        <w:widowControl w:val="0"/>
        <w:tabs>
          <w:tab w:val="left" w:pos="4320"/>
        </w:tabs>
        <w:spacing w:after="0"/>
        <w:ind w:left="4320"/>
        <w:jc w:val="both"/>
        <w:rPr>
          <w:rFonts w:cs="Arial"/>
          <w:b/>
          <w:bCs/>
          <w:sz w:val="24"/>
          <w:szCs w:val="24"/>
        </w:rPr>
      </w:pPr>
      <w:r w:rsidRPr="00FA702C">
        <w:rPr>
          <w:rFonts w:cs="Arial"/>
          <w:bCs/>
          <w:sz w:val="24"/>
          <w:szCs w:val="24"/>
        </w:rPr>
        <w:t>21 East State Street, 17</w:t>
      </w:r>
      <w:r w:rsidRPr="00FA702C">
        <w:rPr>
          <w:rFonts w:cs="Arial"/>
          <w:bCs/>
          <w:sz w:val="24"/>
          <w:szCs w:val="24"/>
          <w:vertAlign w:val="superscript"/>
        </w:rPr>
        <w:t>TH</w:t>
      </w:r>
      <w:r w:rsidRPr="00FA702C">
        <w:rPr>
          <w:rFonts w:cs="Arial"/>
          <w:bCs/>
          <w:sz w:val="24"/>
          <w:szCs w:val="24"/>
        </w:rPr>
        <w:t xml:space="preserve"> Floor</w:t>
      </w:r>
    </w:p>
    <w:p w:rsidR="00BE7C20" w:rsidRPr="00FA702C" w:rsidRDefault="00BE7C20" w:rsidP="00BE7C20">
      <w:pPr>
        <w:pStyle w:val="BodyText"/>
        <w:tabs>
          <w:tab w:val="left" w:pos="4320"/>
        </w:tabs>
        <w:ind w:left="4320"/>
        <w:rPr>
          <w:b w:val="0"/>
          <w:smallCaps w:val="0"/>
          <w:sz w:val="24"/>
          <w:szCs w:val="24"/>
        </w:rPr>
      </w:pPr>
      <w:r w:rsidRPr="00FA702C">
        <w:rPr>
          <w:b w:val="0"/>
          <w:smallCaps w:val="0"/>
          <w:sz w:val="24"/>
          <w:szCs w:val="24"/>
        </w:rPr>
        <w:t>Columbus, OH  43215</w:t>
      </w:r>
    </w:p>
    <w:p w:rsidR="00BE7C20" w:rsidRPr="00FA702C" w:rsidRDefault="00BE7C20" w:rsidP="00BE7C20">
      <w:pPr>
        <w:pStyle w:val="BodyText"/>
        <w:tabs>
          <w:tab w:val="left" w:pos="4320"/>
        </w:tabs>
        <w:ind w:left="4320"/>
        <w:rPr>
          <w:b w:val="0"/>
          <w:smallCaps w:val="0"/>
          <w:sz w:val="24"/>
          <w:szCs w:val="24"/>
        </w:rPr>
      </w:pPr>
      <w:r w:rsidRPr="00FA702C">
        <w:rPr>
          <w:b w:val="0"/>
          <w:smallCaps w:val="0"/>
          <w:sz w:val="24"/>
          <w:szCs w:val="24"/>
        </w:rPr>
        <w:t>Telephone:  (614) 469-8000</w:t>
      </w:r>
    </w:p>
    <w:p w:rsidR="00BE7C20" w:rsidRPr="00FA702C" w:rsidRDefault="00BE7C20" w:rsidP="00BE7C20">
      <w:pPr>
        <w:pStyle w:val="BodyText"/>
        <w:tabs>
          <w:tab w:val="left" w:pos="4320"/>
        </w:tabs>
        <w:ind w:left="4320"/>
        <w:rPr>
          <w:b w:val="0"/>
          <w:smallCaps w:val="0"/>
          <w:sz w:val="24"/>
          <w:szCs w:val="24"/>
        </w:rPr>
      </w:pPr>
      <w:r w:rsidRPr="00FA702C">
        <w:rPr>
          <w:b w:val="0"/>
          <w:smallCaps w:val="0"/>
          <w:sz w:val="24"/>
          <w:szCs w:val="24"/>
        </w:rPr>
        <w:t>Telecopier:  (614) 469-4653</w:t>
      </w:r>
    </w:p>
    <w:p w:rsidR="00BE7C20" w:rsidRPr="00FA702C" w:rsidRDefault="00BE7C20" w:rsidP="00BE7C20">
      <w:pPr>
        <w:pStyle w:val="BodyText"/>
        <w:ind w:left="4320"/>
        <w:rPr>
          <w:b w:val="0"/>
          <w:smallCaps w:val="0"/>
          <w:sz w:val="24"/>
          <w:szCs w:val="24"/>
        </w:rPr>
      </w:pPr>
      <w:r w:rsidRPr="00FA702C">
        <w:rPr>
          <w:b w:val="0"/>
          <w:smallCaps w:val="0"/>
          <w:sz w:val="24"/>
          <w:szCs w:val="24"/>
        </w:rPr>
        <w:t>sam@mwncmh.com</w:t>
      </w:r>
    </w:p>
    <w:p w:rsidR="00BE7C20" w:rsidRPr="00FA702C" w:rsidRDefault="00BE7C20" w:rsidP="00BE7C20">
      <w:pPr>
        <w:pStyle w:val="BodyText"/>
        <w:ind w:left="4320"/>
        <w:rPr>
          <w:b w:val="0"/>
          <w:smallCaps w:val="0"/>
          <w:sz w:val="24"/>
          <w:szCs w:val="24"/>
        </w:rPr>
      </w:pPr>
      <w:r w:rsidRPr="00FA702C">
        <w:rPr>
          <w:b w:val="0"/>
          <w:smallCaps w:val="0"/>
          <w:sz w:val="24"/>
          <w:szCs w:val="24"/>
        </w:rPr>
        <w:t>fdarr@mwncmh.com</w:t>
      </w:r>
    </w:p>
    <w:p w:rsidR="00BE7C20" w:rsidRPr="00FA702C" w:rsidRDefault="00BE7C20" w:rsidP="00BE7C20">
      <w:pPr>
        <w:pStyle w:val="BodyText"/>
        <w:ind w:left="4320"/>
        <w:rPr>
          <w:rFonts w:cs="Arial"/>
          <w:b w:val="0"/>
          <w:sz w:val="24"/>
          <w:szCs w:val="24"/>
        </w:rPr>
      </w:pPr>
      <w:r w:rsidRPr="00FA702C">
        <w:rPr>
          <w:rFonts w:cs="Arial"/>
          <w:b w:val="0"/>
          <w:smallCaps w:val="0"/>
          <w:sz w:val="24"/>
          <w:szCs w:val="24"/>
        </w:rPr>
        <w:t>mpritchard@mwncmh.com</w:t>
      </w:r>
    </w:p>
    <w:p w:rsidR="00BE7C20" w:rsidRPr="00FA702C" w:rsidRDefault="00BE7C20" w:rsidP="00BE7C20">
      <w:pPr>
        <w:pStyle w:val="BodyText"/>
        <w:ind w:left="4320"/>
        <w:rPr>
          <w:rFonts w:cs="Arial"/>
          <w:sz w:val="24"/>
          <w:szCs w:val="24"/>
        </w:rPr>
      </w:pPr>
    </w:p>
    <w:p w:rsidR="00BE7C20" w:rsidRDefault="00BD7806" w:rsidP="00BE7C20">
      <w:pPr>
        <w:jc w:val="both"/>
        <w:rPr>
          <w:rFonts w:cs="Arial"/>
          <w:b/>
          <w:sz w:val="24"/>
          <w:szCs w:val="24"/>
        </w:rPr>
      </w:pPr>
      <w:r>
        <w:rPr>
          <w:rFonts w:cs="Arial"/>
          <w:b/>
          <w:sz w:val="24"/>
          <w:szCs w:val="24"/>
        </w:rPr>
        <w:t>March 25</w:t>
      </w:r>
      <w:r w:rsidR="00BE7C20">
        <w:rPr>
          <w:rFonts w:cs="Arial"/>
          <w:b/>
          <w:sz w:val="24"/>
          <w:szCs w:val="24"/>
        </w:rPr>
        <w:t xml:space="preserve">, </w:t>
      </w:r>
      <w:r w:rsidR="00BE7C20" w:rsidRPr="00FA702C">
        <w:rPr>
          <w:rFonts w:cs="Arial"/>
          <w:b/>
          <w:sz w:val="24"/>
          <w:szCs w:val="24"/>
        </w:rPr>
        <w:t>2014</w:t>
      </w:r>
      <w:r w:rsidR="00BE7C20" w:rsidRPr="00FA702C">
        <w:rPr>
          <w:rFonts w:cs="Arial"/>
          <w:b/>
          <w:sz w:val="24"/>
          <w:szCs w:val="24"/>
        </w:rPr>
        <w:tab/>
      </w:r>
      <w:r w:rsidR="00BE7C20">
        <w:rPr>
          <w:rFonts w:cs="Arial"/>
          <w:b/>
          <w:sz w:val="24"/>
          <w:szCs w:val="24"/>
        </w:rPr>
        <w:tab/>
      </w:r>
      <w:r w:rsidR="00305225">
        <w:rPr>
          <w:rFonts w:cs="Arial"/>
          <w:b/>
          <w:sz w:val="24"/>
          <w:szCs w:val="24"/>
        </w:rPr>
        <w:tab/>
      </w:r>
      <w:r w:rsidR="00305225">
        <w:rPr>
          <w:rFonts w:cs="Arial"/>
          <w:b/>
          <w:sz w:val="24"/>
          <w:szCs w:val="24"/>
        </w:rPr>
        <w:tab/>
      </w:r>
      <w:r w:rsidR="00BE7C20" w:rsidRPr="00FA702C">
        <w:rPr>
          <w:rFonts w:cs="Arial"/>
          <w:b/>
          <w:sz w:val="24"/>
          <w:szCs w:val="24"/>
        </w:rPr>
        <w:t>Attorneys for Industrial Energy Users-Ohio</w:t>
      </w:r>
    </w:p>
    <w:p w:rsidR="00DA3EAE" w:rsidRDefault="00DA3EAE" w:rsidP="00BE7C20">
      <w:pPr>
        <w:jc w:val="both"/>
        <w:rPr>
          <w:rFonts w:cs="Arial"/>
          <w:b/>
        </w:rPr>
        <w:sectPr w:rsidR="00DA3EAE" w:rsidSect="00FE4714">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gNumType w:start="1"/>
          <w:cols w:space="720"/>
          <w:titlePg/>
          <w:docGrid w:linePitch="360"/>
        </w:sectPr>
      </w:pPr>
    </w:p>
    <w:p w:rsidR="00DA3EAE" w:rsidRPr="00453547" w:rsidRDefault="00DA3EAE" w:rsidP="00DA3EAE">
      <w:pPr>
        <w:pStyle w:val="TOCHeading"/>
        <w:rPr>
          <w:rFonts w:ascii="Arial Bold" w:hAnsi="Arial Bold"/>
          <w:caps/>
          <w:sz w:val="24"/>
          <w:szCs w:val="24"/>
        </w:rPr>
      </w:pPr>
      <w:bookmarkStart w:id="0" w:name="TOCHeading"/>
      <w:r w:rsidRPr="00453547">
        <w:rPr>
          <w:rFonts w:ascii="Arial Bold" w:hAnsi="Arial Bold"/>
          <w:caps/>
          <w:sz w:val="24"/>
          <w:szCs w:val="24"/>
        </w:rPr>
        <w:lastRenderedPageBreak/>
        <w:t>Table of Contents</w:t>
      </w:r>
    </w:p>
    <w:p w:rsidR="00DA3EAE" w:rsidRPr="00453547" w:rsidRDefault="00DA3EAE" w:rsidP="00DA3EAE">
      <w:pPr>
        <w:pStyle w:val="TOCPage"/>
        <w:rPr>
          <w:sz w:val="24"/>
          <w:szCs w:val="24"/>
        </w:rPr>
      </w:pPr>
      <w:bookmarkStart w:id="1" w:name="TOCPage"/>
      <w:bookmarkEnd w:id="0"/>
      <w:r w:rsidRPr="00453547">
        <w:rPr>
          <w:sz w:val="24"/>
          <w:szCs w:val="24"/>
        </w:rPr>
        <w:t>Pa</w:t>
      </w:r>
      <w:bookmarkStart w:id="2" w:name="_GoBack"/>
      <w:bookmarkEnd w:id="2"/>
      <w:r w:rsidRPr="00453547">
        <w:rPr>
          <w:sz w:val="24"/>
          <w:szCs w:val="24"/>
        </w:rPr>
        <w:t>ge</w:t>
      </w:r>
    </w:p>
    <w:bookmarkEnd w:id="1"/>
    <w:p w:rsidR="0043434F" w:rsidRPr="0043434F" w:rsidRDefault="0043434F">
      <w:pPr>
        <w:pStyle w:val="TOC1"/>
        <w:rPr>
          <w:rFonts w:asciiTheme="minorHAnsi" w:eastAsiaTheme="minorEastAsia" w:hAnsiTheme="minorHAnsi"/>
          <w:noProof/>
          <w:sz w:val="24"/>
          <w:szCs w:val="24"/>
        </w:rPr>
      </w:pPr>
      <w:r w:rsidRPr="0043434F">
        <w:rPr>
          <w:noProof/>
          <w:sz w:val="24"/>
          <w:szCs w:val="24"/>
        </w:rPr>
        <w:fldChar w:fldCharType="begin"/>
      </w:r>
      <w:r w:rsidRPr="0043434F">
        <w:rPr>
          <w:noProof/>
          <w:sz w:val="24"/>
          <w:szCs w:val="24"/>
        </w:rPr>
        <w:instrText xml:space="preserve"> TOC \t "Heading 1,1,Heading 2,2,Heading 3,3,Heading 4,4,S2.Heading 1,1,S2.Heading 2,2,S2.Heading 3,3,S2.Heading 4,4" </w:instrText>
      </w:r>
      <w:r w:rsidRPr="0043434F">
        <w:rPr>
          <w:noProof/>
          <w:sz w:val="24"/>
          <w:szCs w:val="24"/>
        </w:rPr>
        <w:fldChar w:fldCharType="separate"/>
      </w:r>
      <w:bookmarkStart w:id="3" w:name="TOCLocation"/>
      <w:r w:rsidRPr="0043434F">
        <w:rPr>
          <w:noProof/>
          <w:color w:val="010000"/>
          <w:sz w:val="24"/>
          <w:szCs w:val="24"/>
        </w:rPr>
        <w:t>I.</w:t>
      </w:r>
      <w:r w:rsidRPr="0043434F">
        <w:rPr>
          <w:rFonts w:asciiTheme="minorHAnsi" w:eastAsiaTheme="minorEastAsia" w:hAnsiTheme="minorHAnsi"/>
          <w:noProof/>
          <w:sz w:val="24"/>
          <w:szCs w:val="24"/>
        </w:rPr>
        <w:tab/>
      </w:r>
      <w:r w:rsidRPr="0043434F">
        <w:rPr>
          <w:noProof/>
          <w:sz w:val="24"/>
          <w:szCs w:val="24"/>
        </w:rPr>
        <w:t>INTRODUCTION</w:t>
      </w:r>
      <w:r w:rsidRPr="0043434F">
        <w:rPr>
          <w:noProof/>
          <w:sz w:val="24"/>
          <w:szCs w:val="24"/>
        </w:rPr>
        <w:tab/>
      </w:r>
      <w:r w:rsidRPr="0043434F">
        <w:rPr>
          <w:noProof/>
          <w:sz w:val="24"/>
          <w:szCs w:val="24"/>
        </w:rPr>
        <w:fldChar w:fldCharType="begin"/>
      </w:r>
      <w:r w:rsidRPr="0043434F">
        <w:rPr>
          <w:noProof/>
          <w:sz w:val="24"/>
          <w:szCs w:val="24"/>
        </w:rPr>
        <w:instrText xml:space="preserve"> PAGEREF _Toc383524576 \h </w:instrText>
      </w:r>
      <w:r w:rsidRPr="0043434F">
        <w:rPr>
          <w:noProof/>
          <w:sz w:val="24"/>
          <w:szCs w:val="24"/>
        </w:rPr>
      </w:r>
      <w:r w:rsidRPr="0043434F">
        <w:rPr>
          <w:noProof/>
          <w:sz w:val="24"/>
          <w:szCs w:val="24"/>
        </w:rPr>
        <w:fldChar w:fldCharType="separate"/>
      </w:r>
      <w:r w:rsidRPr="0043434F">
        <w:rPr>
          <w:noProof/>
          <w:sz w:val="24"/>
          <w:szCs w:val="24"/>
        </w:rPr>
        <w:t>1</w:t>
      </w:r>
      <w:r w:rsidRPr="0043434F">
        <w:rPr>
          <w:noProof/>
          <w:sz w:val="24"/>
          <w:szCs w:val="24"/>
        </w:rPr>
        <w:fldChar w:fldCharType="end"/>
      </w:r>
    </w:p>
    <w:p w:rsidR="0043434F" w:rsidRPr="0043434F" w:rsidRDefault="0043434F">
      <w:pPr>
        <w:pStyle w:val="TOC1"/>
        <w:rPr>
          <w:rFonts w:asciiTheme="minorHAnsi" w:eastAsiaTheme="minorEastAsia" w:hAnsiTheme="minorHAnsi"/>
          <w:noProof/>
          <w:sz w:val="24"/>
          <w:szCs w:val="24"/>
        </w:rPr>
      </w:pPr>
      <w:r w:rsidRPr="0043434F">
        <w:rPr>
          <w:noProof/>
          <w:color w:val="010000"/>
          <w:sz w:val="24"/>
          <w:szCs w:val="24"/>
        </w:rPr>
        <w:t>II.</w:t>
      </w:r>
      <w:r w:rsidRPr="0043434F">
        <w:rPr>
          <w:rFonts w:asciiTheme="minorHAnsi" w:eastAsiaTheme="minorEastAsia" w:hAnsiTheme="minorHAnsi"/>
          <w:noProof/>
          <w:sz w:val="24"/>
          <w:szCs w:val="24"/>
        </w:rPr>
        <w:tab/>
      </w:r>
      <w:r w:rsidRPr="0043434F">
        <w:rPr>
          <w:noProof/>
          <w:sz w:val="24"/>
          <w:szCs w:val="24"/>
        </w:rPr>
        <w:t>ARGUMENT</w:t>
      </w:r>
      <w:r w:rsidRPr="0043434F">
        <w:rPr>
          <w:noProof/>
          <w:sz w:val="24"/>
          <w:szCs w:val="24"/>
        </w:rPr>
        <w:tab/>
      </w:r>
      <w:r w:rsidRPr="0043434F">
        <w:rPr>
          <w:noProof/>
          <w:sz w:val="24"/>
          <w:szCs w:val="24"/>
        </w:rPr>
        <w:fldChar w:fldCharType="begin"/>
      </w:r>
      <w:r w:rsidRPr="0043434F">
        <w:rPr>
          <w:noProof/>
          <w:sz w:val="24"/>
          <w:szCs w:val="24"/>
        </w:rPr>
        <w:instrText xml:space="preserve"> PAGEREF _Toc383524577 \h </w:instrText>
      </w:r>
      <w:r w:rsidRPr="0043434F">
        <w:rPr>
          <w:noProof/>
          <w:sz w:val="24"/>
          <w:szCs w:val="24"/>
        </w:rPr>
      </w:r>
      <w:r w:rsidRPr="0043434F">
        <w:rPr>
          <w:noProof/>
          <w:sz w:val="24"/>
          <w:szCs w:val="24"/>
        </w:rPr>
        <w:fldChar w:fldCharType="separate"/>
      </w:r>
      <w:r w:rsidRPr="0043434F">
        <w:rPr>
          <w:noProof/>
          <w:sz w:val="24"/>
          <w:szCs w:val="24"/>
        </w:rPr>
        <w:t>3</w:t>
      </w:r>
      <w:r w:rsidRPr="0043434F">
        <w:rPr>
          <w:noProof/>
          <w:sz w:val="24"/>
          <w:szCs w:val="24"/>
        </w:rPr>
        <w:fldChar w:fldCharType="end"/>
      </w:r>
    </w:p>
    <w:p w:rsidR="0043434F" w:rsidRPr="0043434F" w:rsidRDefault="0043434F" w:rsidP="0043434F">
      <w:pPr>
        <w:pStyle w:val="TOC2"/>
        <w:rPr>
          <w:rFonts w:asciiTheme="minorHAnsi" w:eastAsiaTheme="minorEastAsia" w:hAnsiTheme="minorHAnsi"/>
          <w:noProof/>
          <w:sz w:val="24"/>
          <w:szCs w:val="24"/>
        </w:rPr>
      </w:pPr>
      <w:r w:rsidRPr="0043434F">
        <w:rPr>
          <w:noProof/>
          <w:color w:val="010000"/>
          <w:sz w:val="24"/>
          <w:szCs w:val="24"/>
        </w:rPr>
        <w:t>A.</w:t>
      </w:r>
      <w:r w:rsidRPr="0043434F">
        <w:rPr>
          <w:rFonts w:asciiTheme="minorHAnsi" w:eastAsiaTheme="minorEastAsia" w:hAnsiTheme="minorHAnsi"/>
          <w:noProof/>
          <w:sz w:val="24"/>
          <w:szCs w:val="24"/>
        </w:rPr>
        <w:tab/>
      </w:r>
      <w:r w:rsidRPr="0043434F">
        <w:rPr>
          <w:noProof/>
          <w:sz w:val="24"/>
          <w:szCs w:val="24"/>
        </w:rPr>
        <w:t>DP&amp;L has not clearly set forth the terms and conditions of the transfer</w:t>
      </w:r>
      <w:r w:rsidRPr="0043434F">
        <w:rPr>
          <w:noProof/>
          <w:sz w:val="24"/>
          <w:szCs w:val="24"/>
        </w:rPr>
        <w:tab/>
      </w:r>
      <w:r w:rsidRPr="0043434F">
        <w:rPr>
          <w:noProof/>
          <w:sz w:val="24"/>
          <w:szCs w:val="24"/>
        </w:rPr>
        <w:fldChar w:fldCharType="begin"/>
      </w:r>
      <w:r w:rsidRPr="0043434F">
        <w:rPr>
          <w:noProof/>
          <w:sz w:val="24"/>
          <w:szCs w:val="24"/>
        </w:rPr>
        <w:instrText xml:space="preserve"> PAGEREF _Toc383524578 \h </w:instrText>
      </w:r>
      <w:r w:rsidRPr="0043434F">
        <w:rPr>
          <w:noProof/>
          <w:sz w:val="24"/>
          <w:szCs w:val="24"/>
        </w:rPr>
      </w:r>
      <w:r w:rsidRPr="0043434F">
        <w:rPr>
          <w:noProof/>
          <w:sz w:val="24"/>
          <w:szCs w:val="24"/>
        </w:rPr>
        <w:fldChar w:fldCharType="separate"/>
      </w:r>
      <w:r w:rsidRPr="0043434F">
        <w:rPr>
          <w:noProof/>
          <w:sz w:val="24"/>
          <w:szCs w:val="24"/>
        </w:rPr>
        <w:t>4</w:t>
      </w:r>
      <w:r w:rsidRPr="0043434F">
        <w:rPr>
          <w:noProof/>
          <w:sz w:val="24"/>
          <w:szCs w:val="24"/>
        </w:rPr>
        <w:fldChar w:fldCharType="end"/>
      </w:r>
    </w:p>
    <w:p w:rsidR="0043434F" w:rsidRPr="0043434F" w:rsidRDefault="0043434F" w:rsidP="0043434F">
      <w:pPr>
        <w:pStyle w:val="TOC2"/>
        <w:rPr>
          <w:rFonts w:asciiTheme="minorHAnsi" w:eastAsiaTheme="minorEastAsia" w:hAnsiTheme="minorHAnsi"/>
          <w:noProof/>
          <w:sz w:val="24"/>
          <w:szCs w:val="24"/>
        </w:rPr>
      </w:pPr>
      <w:r w:rsidRPr="0043434F">
        <w:rPr>
          <w:noProof/>
          <w:color w:val="010000"/>
          <w:sz w:val="24"/>
          <w:szCs w:val="24"/>
        </w:rPr>
        <w:t>B.</w:t>
      </w:r>
      <w:r w:rsidRPr="0043434F">
        <w:rPr>
          <w:rFonts w:asciiTheme="minorHAnsi" w:eastAsiaTheme="minorEastAsia" w:hAnsiTheme="minorHAnsi"/>
          <w:noProof/>
          <w:sz w:val="24"/>
          <w:szCs w:val="24"/>
        </w:rPr>
        <w:tab/>
      </w:r>
      <w:r w:rsidRPr="0043434F">
        <w:rPr>
          <w:noProof/>
          <w:sz w:val="24"/>
          <w:szCs w:val="24"/>
        </w:rPr>
        <w:t>DP&amp;L has not demonstrated how the transfer will impact the standard service offer and ignores significant adverse consequences of its Application</w:t>
      </w:r>
      <w:r w:rsidRPr="0043434F">
        <w:rPr>
          <w:noProof/>
          <w:sz w:val="24"/>
          <w:szCs w:val="24"/>
        </w:rPr>
        <w:tab/>
      </w:r>
      <w:r w:rsidRPr="0043434F">
        <w:rPr>
          <w:noProof/>
          <w:sz w:val="24"/>
          <w:szCs w:val="24"/>
        </w:rPr>
        <w:fldChar w:fldCharType="begin"/>
      </w:r>
      <w:r w:rsidRPr="0043434F">
        <w:rPr>
          <w:noProof/>
          <w:sz w:val="24"/>
          <w:szCs w:val="24"/>
        </w:rPr>
        <w:instrText xml:space="preserve"> PAGEREF _Toc383524579 \h </w:instrText>
      </w:r>
      <w:r w:rsidRPr="0043434F">
        <w:rPr>
          <w:noProof/>
          <w:sz w:val="24"/>
          <w:szCs w:val="24"/>
        </w:rPr>
      </w:r>
      <w:r w:rsidRPr="0043434F">
        <w:rPr>
          <w:noProof/>
          <w:sz w:val="24"/>
          <w:szCs w:val="24"/>
        </w:rPr>
        <w:fldChar w:fldCharType="separate"/>
      </w:r>
      <w:r w:rsidRPr="0043434F">
        <w:rPr>
          <w:noProof/>
          <w:sz w:val="24"/>
          <w:szCs w:val="24"/>
        </w:rPr>
        <w:t>5</w:t>
      </w:r>
      <w:r w:rsidRPr="0043434F">
        <w:rPr>
          <w:noProof/>
          <w:sz w:val="24"/>
          <w:szCs w:val="24"/>
        </w:rPr>
        <w:fldChar w:fldCharType="end"/>
      </w:r>
    </w:p>
    <w:p w:rsidR="0043434F" w:rsidRPr="0043434F" w:rsidRDefault="0043434F" w:rsidP="0043434F">
      <w:pPr>
        <w:pStyle w:val="TOC2"/>
        <w:rPr>
          <w:rFonts w:asciiTheme="minorHAnsi" w:eastAsiaTheme="minorEastAsia" w:hAnsiTheme="minorHAnsi"/>
          <w:noProof/>
          <w:sz w:val="24"/>
          <w:szCs w:val="24"/>
        </w:rPr>
      </w:pPr>
      <w:r w:rsidRPr="0043434F">
        <w:rPr>
          <w:noProof/>
          <w:color w:val="010000"/>
          <w:sz w:val="24"/>
          <w:szCs w:val="24"/>
        </w:rPr>
        <w:t>C.</w:t>
      </w:r>
      <w:r w:rsidRPr="0043434F">
        <w:rPr>
          <w:rFonts w:asciiTheme="minorHAnsi" w:eastAsiaTheme="minorEastAsia" w:hAnsiTheme="minorHAnsi"/>
          <w:noProof/>
          <w:sz w:val="24"/>
          <w:szCs w:val="24"/>
        </w:rPr>
        <w:tab/>
      </w:r>
      <w:r w:rsidRPr="0043434F">
        <w:rPr>
          <w:noProof/>
          <w:sz w:val="24"/>
          <w:szCs w:val="24"/>
        </w:rPr>
        <w:t>DP&amp;L’s Application proposes terms and conditions that are unlawful, unreasonable, and not in the public interest</w:t>
      </w:r>
      <w:r w:rsidRPr="0043434F">
        <w:rPr>
          <w:noProof/>
          <w:sz w:val="24"/>
          <w:szCs w:val="24"/>
        </w:rPr>
        <w:tab/>
      </w:r>
      <w:r w:rsidRPr="0043434F">
        <w:rPr>
          <w:noProof/>
          <w:sz w:val="24"/>
          <w:szCs w:val="24"/>
        </w:rPr>
        <w:fldChar w:fldCharType="begin"/>
      </w:r>
      <w:r w:rsidRPr="0043434F">
        <w:rPr>
          <w:noProof/>
          <w:sz w:val="24"/>
          <w:szCs w:val="24"/>
        </w:rPr>
        <w:instrText xml:space="preserve"> PAGEREF _Toc383524580 \h </w:instrText>
      </w:r>
      <w:r w:rsidRPr="0043434F">
        <w:rPr>
          <w:noProof/>
          <w:sz w:val="24"/>
          <w:szCs w:val="24"/>
        </w:rPr>
      </w:r>
      <w:r w:rsidRPr="0043434F">
        <w:rPr>
          <w:noProof/>
          <w:sz w:val="24"/>
          <w:szCs w:val="24"/>
        </w:rPr>
        <w:fldChar w:fldCharType="separate"/>
      </w:r>
      <w:r w:rsidRPr="0043434F">
        <w:rPr>
          <w:noProof/>
          <w:sz w:val="24"/>
          <w:szCs w:val="24"/>
        </w:rPr>
        <w:t>7</w:t>
      </w:r>
      <w:r w:rsidRPr="0043434F">
        <w:rPr>
          <w:noProof/>
          <w:sz w:val="24"/>
          <w:szCs w:val="24"/>
        </w:rPr>
        <w:fldChar w:fldCharType="end"/>
      </w:r>
    </w:p>
    <w:p w:rsidR="0043434F" w:rsidRPr="0043434F" w:rsidRDefault="0043434F" w:rsidP="0043434F">
      <w:pPr>
        <w:pStyle w:val="TOC3"/>
        <w:rPr>
          <w:rFonts w:asciiTheme="minorHAnsi" w:eastAsiaTheme="minorEastAsia" w:hAnsiTheme="minorHAnsi"/>
          <w:noProof/>
          <w:sz w:val="24"/>
          <w:szCs w:val="24"/>
        </w:rPr>
      </w:pPr>
      <w:r w:rsidRPr="0043434F">
        <w:rPr>
          <w:noProof/>
          <w:color w:val="010000"/>
          <w:sz w:val="24"/>
          <w:szCs w:val="24"/>
        </w:rPr>
        <w:t>1.</w:t>
      </w:r>
      <w:r w:rsidRPr="0043434F">
        <w:rPr>
          <w:rFonts w:asciiTheme="minorHAnsi" w:eastAsiaTheme="minorEastAsia" w:hAnsiTheme="minorHAnsi"/>
          <w:noProof/>
          <w:sz w:val="24"/>
          <w:szCs w:val="24"/>
        </w:rPr>
        <w:tab/>
      </w:r>
      <w:r w:rsidRPr="0043434F">
        <w:rPr>
          <w:noProof/>
          <w:sz w:val="24"/>
          <w:szCs w:val="24"/>
        </w:rPr>
        <w:t>If permitted to continue, the SSR should terminate after the generation assets are transferred</w:t>
      </w:r>
      <w:r w:rsidRPr="0043434F">
        <w:rPr>
          <w:noProof/>
          <w:sz w:val="24"/>
          <w:szCs w:val="24"/>
        </w:rPr>
        <w:tab/>
      </w:r>
      <w:r w:rsidRPr="0043434F">
        <w:rPr>
          <w:noProof/>
          <w:sz w:val="24"/>
          <w:szCs w:val="24"/>
        </w:rPr>
        <w:fldChar w:fldCharType="begin"/>
      </w:r>
      <w:r w:rsidRPr="0043434F">
        <w:rPr>
          <w:noProof/>
          <w:sz w:val="24"/>
          <w:szCs w:val="24"/>
        </w:rPr>
        <w:instrText xml:space="preserve"> PAGEREF _Toc383524581 \h </w:instrText>
      </w:r>
      <w:r w:rsidRPr="0043434F">
        <w:rPr>
          <w:noProof/>
          <w:sz w:val="24"/>
          <w:szCs w:val="24"/>
        </w:rPr>
      </w:r>
      <w:r w:rsidRPr="0043434F">
        <w:rPr>
          <w:noProof/>
          <w:sz w:val="24"/>
          <w:szCs w:val="24"/>
        </w:rPr>
        <w:fldChar w:fldCharType="separate"/>
      </w:r>
      <w:r w:rsidRPr="0043434F">
        <w:rPr>
          <w:noProof/>
          <w:sz w:val="24"/>
          <w:szCs w:val="24"/>
        </w:rPr>
        <w:t>7</w:t>
      </w:r>
      <w:r w:rsidRPr="0043434F">
        <w:rPr>
          <w:noProof/>
          <w:sz w:val="24"/>
          <w:szCs w:val="24"/>
        </w:rPr>
        <w:fldChar w:fldCharType="end"/>
      </w:r>
    </w:p>
    <w:p w:rsidR="0043434F" w:rsidRPr="0043434F" w:rsidRDefault="0043434F" w:rsidP="0043434F">
      <w:pPr>
        <w:pStyle w:val="TOC3"/>
        <w:rPr>
          <w:rFonts w:asciiTheme="minorHAnsi" w:eastAsiaTheme="minorEastAsia" w:hAnsiTheme="minorHAnsi"/>
          <w:noProof/>
          <w:sz w:val="24"/>
          <w:szCs w:val="24"/>
        </w:rPr>
      </w:pPr>
      <w:r w:rsidRPr="0043434F">
        <w:rPr>
          <w:noProof/>
          <w:color w:val="010000"/>
          <w:sz w:val="24"/>
          <w:szCs w:val="24"/>
        </w:rPr>
        <w:t>2.</w:t>
      </w:r>
      <w:r w:rsidRPr="0043434F">
        <w:rPr>
          <w:rFonts w:asciiTheme="minorHAnsi" w:eastAsiaTheme="minorEastAsia" w:hAnsiTheme="minorHAnsi"/>
          <w:noProof/>
          <w:sz w:val="24"/>
          <w:szCs w:val="24"/>
        </w:rPr>
        <w:tab/>
      </w:r>
      <w:r w:rsidRPr="0043434F">
        <w:rPr>
          <w:noProof/>
          <w:sz w:val="24"/>
          <w:szCs w:val="24"/>
        </w:rPr>
        <w:t>DP&amp;L’s requests to retain environmental liabilities and for accounting modifications to defer related clean-up costs is unlawful and unreasonable</w:t>
      </w:r>
      <w:r w:rsidRPr="0043434F">
        <w:rPr>
          <w:noProof/>
          <w:sz w:val="24"/>
          <w:szCs w:val="24"/>
        </w:rPr>
        <w:tab/>
      </w:r>
      <w:r w:rsidRPr="0043434F">
        <w:rPr>
          <w:noProof/>
          <w:sz w:val="24"/>
          <w:szCs w:val="24"/>
        </w:rPr>
        <w:fldChar w:fldCharType="begin"/>
      </w:r>
      <w:r w:rsidRPr="0043434F">
        <w:rPr>
          <w:noProof/>
          <w:sz w:val="24"/>
          <w:szCs w:val="24"/>
        </w:rPr>
        <w:instrText xml:space="preserve"> PAGEREF _Toc383524582 \h </w:instrText>
      </w:r>
      <w:r w:rsidRPr="0043434F">
        <w:rPr>
          <w:noProof/>
          <w:sz w:val="24"/>
          <w:szCs w:val="24"/>
        </w:rPr>
      </w:r>
      <w:r w:rsidRPr="0043434F">
        <w:rPr>
          <w:noProof/>
          <w:sz w:val="24"/>
          <w:szCs w:val="24"/>
        </w:rPr>
        <w:fldChar w:fldCharType="separate"/>
      </w:r>
      <w:r w:rsidRPr="0043434F">
        <w:rPr>
          <w:noProof/>
          <w:sz w:val="24"/>
          <w:szCs w:val="24"/>
        </w:rPr>
        <w:t>8</w:t>
      </w:r>
      <w:r w:rsidRPr="0043434F">
        <w:rPr>
          <w:noProof/>
          <w:sz w:val="24"/>
          <w:szCs w:val="24"/>
        </w:rPr>
        <w:fldChar w:fldCharType="end"/>
      </w:r>
    </w:p>
    <w:p w:rsidR="0043434F" w:rsidRPr="0043434F" w:rsidRDefault="0043434F" w:rsidP="0043434F">
      <w:pPr>
        <w:pStyle w:val="TOC4"/>
        <w:rPr>
          <w:rFonts w:asciiTheme="minorHAnsi" w:eastAsiaTheme="minorEastAsia" w:hAnsiTheme="minorHAnsi"/>
          <w:noProof/>
          <w:sz w:val="24"/>
          <w:szCs w:val="24"/>
        </w:rPr>
      </w:pPr>
      <w:r w:rsidRPr="0043434F">
        <w:rPr>
          <w:noProof/>
          <w:color w:val="010000"/>
          <w:sz w:val="24"/>
          <w:szCs w:val="24"/>
        </w:rPr>
        <w:t>a.</w:t>
      </w:r>
      <w:r w:rsidRPr="0043434F">
        <w:rPr>
          <w:rFonts w:asciiTheme="minorHAnsi" w:eastAsiaTheme="minorEastAsia" w:hAnsiTheme="minorHAnsi"/>
          <w:noProof/>
          <w:sz w:val="24"/>
          <w:szCs w:val="24"/>
        </w:rPr>
        <w:tab/>
      </w:r>
      <w:r w:rsidRPr="0043434F">
        <w:rPr>
          <w:noProof/>
          <w:sz w:val="24"/>
          <w:szCs w:val="24"/>
        </w:rPr>
        <w:t>Authority to seek to recover environmental clean-up costs from customers</w:t>
      </w:r>
      <w:r w:rsidRPr="0043434F">
        <w:rPr>
          <w:noProof/>
          <w:sz w:val="24"/>
          <w:szCs w:val="24"/>
        </w:rPr>
        <w:tab/>
      </w:r>
      <w:r w:rsidRPr="0043434F">
        <w:rPr>
          <w:noProof/>
          <w:sz w:val="24"/>
          <w:szCs w:val="24"/>
        </w:rPr>
        <w:fldChar w:fldCharType="begin"/>
      </w:r>
      <w:r w:rsidRPr="0043434F">
        <w:rPr>
          <w:noProof/>
          <w:sz w:val="24"/>
          <w:szCs w:val="24"/>
        </w:rPr>
        <w:instrText xml:space="preserve"> PAGEREF _Toc383524583 \h </w:instrText>
      </w:r>
      <w:r w:rsidRPr="0043434F">
        <w:rPr>
          <w:noProof/>
          <w:sz w:val="24"/>
          <w:szCs w:val="24"/>
        </w:rPr>
      </w:r>
      <w:r w:rsidRPr="0043434F">
        <w:rPr>
          <w:noProof/>
          <w:sz w:val="24"/>
          <w:szCs w:val="24"/>
        </w:rPr>
        <w:fldChar w:fldCharType="separate"/>
      </w:r>
      <w:r w:rsidRPr="0043434F">
        <w:rPr>
          <w:noProof/>
          <w:sz w:val="24"/>
          <w:szCs w:val="24"/>
        </w:rPr>
        <w:t>9</w:t>
      </w:r>
      <w:r w:rsidRPr="0043434F">
        <w:rPr>
          <w:noProof/>
          <w:sz w:val="24"/>
          <w:szCs w:val="24"/>
        </w:rPr>
        <w:fldChar w:fldCharType="end"/>
      </w:r>
    </w:p>
    <w:p w:rsidR="0043434F" w:rsidRPr="0043434F" w:rsidRDefault="0043434F" w:rsidP="0043434F">
      <w:pPr>
        <w:pStyle w:val="TOC4"/>
        <w:rPr>
          <w:rFonts w:asciiTheme="minorHAnsi" w:eastAsiaTheme="minorEastAsia" w:hAnsiTheme="minorHAnsi"/>
          <w:noProof/>
          <w:sz w:val="24"/>
          <w:szCs w:val="24"/>
        </w:rPr>
      </w:pPr>
      <w:r w:rsidRPr="0043434F">
        <w:rPr>
          <w:noProof/>
          <w:color w:val="010000"/>
          <w:sz w:val="24"/>
          <w:szCs w:val="24"/>
        </w:rPr>
        <w:t>b.</w:t>
      </w:r>
      <w:r w:rsidRPr="0043434F">
        <w:rPr>
          <w:rFonts w:asciiTheme="minorHAnsi" w:eastAsiaTheme="minorEastAsia" w:hAnsiTheme="minorHAnsi"/>
          <w:noProof/>
          <w:sz w:val="24"/>
          <w:szCs w:val="24"/>
        </w:rPr>
        <w:tab/>
      </w:r>
      <w:r w:rsidRPr="0043434F">
        <w:rPr>
          <w:noProof/>
          <w:sz w:val="24"/>
          <w:szCs w:val="24"/>
        </w:rPr>
        <w:t>Accounting authority</w:t>
      </w:r>
      <w:r w:rsidRPr="0043434F">
        <w:rPr>
          <w:noProof/>
          <w:sz w:val="24"/>
          <w:szCs w:val="24"/>
        </w:rPr>
        <w:tab/>
      </w:r>
      <w:r w:rsidRPr="0043434F">
        <w:rPr>
          <w:noProof/>
          <w:sz w:val="24"/>
          <w:szCs w:val="24"/>
        </w:rPr>
        <w:fldChar w:fldCharType="begin"/>
      </w:r>
      <w:r w:rsidRPr="0043434F">
        <w:rPr>
          <w:noProof/>
          <w:sz w:val="24"/>
          <w:szCs w:val="24"/>
        </w:rPr>
        <w:instrText xml:space="preserve"> PAGEREF _Toc383524584 \h </w:instrText>
      </w:r>
      <w:r w:rsidRPr="0043434F">
        <w:rPr>
          <w:noProof/>
          <w:sz w:val="24"/>
          <w:szCs w:val="24"/>
        </w:rPr>
      </w:r>
      <w:r w:rsidRPr="0043434F">
        <w:rPr>
          <w:noProof/>
          <w:sz w:val="24"/>
          <w:szCs w:val="24"/>
        </w:rPr>
        <w:fldChar w:fldCharType="separate"/>
      </w:r>
      <w:r w:rsidRPr="0043434F">
        <w:rPr>
          <w:noProof/>
          <w:sz w:val="24"/>
          <w:szCs w:val="24"/>
        </w:rPr>
        <w:t>12</w:t>
      </w:r>
      <w:r w:rsidRPr="0043434F">
        <w:rPr>
          <w:noProof/>
          <w:sz w:val="24"/>
          <w:szCs w:val="24"/>
        </w:rPr>
        <w:fldChar w:fldCharType="end"/>
      </w:r>
    </w:p>
    <w:p w:rsidR="0043434F" w:rsidRPr="0043434F" w:rsidRDefault="0043434F" w:rsidP="0043434F">
      <w:pPr>
        <w:pStyle w:val="TOC3"/>
        <w:rPr>
          <w:rFonts w:asciiTheme="minorHAnsi" w:eastAsiaTheme="minorEastAsia" w:hAnsiTheme="minorHAnsi"/>
          <w:noProof/>
          <w:sz w:val="24"/>
          <w:szCs w:val="24"/>
        </w:rPr>
      </w:pPr>
      <w:r w:rsidRPr="0043434F">
        <w:rPr>
          <w:noProof/>
          <w:color w:val="010000"/>
          <w:sz w:val="24"/>
          <w:szCs w:val="24"/>
        </w:rPr>
        <w:t>3.</w:t>
      </w:r>
      <w:r w:rsidRPr="0043434F">
        <w:rPr>
          <w:rFonts w:asciiTheme="minorHAnsi" w:eastAsiaTheme="minorEastAsia" w:hAnsiTheme="minorHAnsi"/>
          <w:noProof/>
          <w:sz w:val="24"/>
          <w:szCs w:val="24"/>
        </w:rPr>
        <w:tab/>
      </w:r>
      <w:r w:rsidRPr="0043434F">
        <w:rPr>
          <w:noProof/>
          <w:sz w:val="24"/>
          <w:szCs w:val="24"/>
        </w:rPr>
        <w:t>DP&amp;L’s request to defer OVEC costs is unlawful and unreasonable</w:t>
      </w:r>
      <w:r w:rsidRPr="0043434F">
        <w:rPr>
          <w:noProof/>
          <w:sz w:val="24"/>
          <w:szCs w:val="24"/>
        </w:rPr>
        <w:tab/>
      </w:r>
      <w:r w:rsidRPr="0043434F">
        <w:rPr>
          <w:noProof/>
          <w:sz w:val="24"/>
          <w:szCs w:val="24"/>
        </w:rPr>
        <w:fldChar w:fldCharType="begin"/>
      </w:r>
      <w:r w:rsidRPr="0043434F">
        <w:rPr>
          <w:noProof/>
          <w:sz w:val="24"/>
          <w:szCs w:val="24"/>
        </w:rPr>
        <w:instrText xml:space="preserve"> PAGEREF _Toc383524585 \h </w:instrText>
      </w:r>
      <w:r w:rsidRPr="0043434F">
        <w:rPr>
          <w:noProof/>
          <w:sz w:val="24"/>
          <w:szCs w:val="24"/>
        </w:rPr>
      </w:r>
      <w:r w:rsidRPr="0043434F">
        <w:rPr>
          <w:noProof/>
          <w:sz w:val="24"/>
          <w:szCs w:val="24"/>
        </w:rPr>
        <w:fldChar w:fldCharType="separate"/>
      </w:r>
      <w:r w:rsidRPr="0043434F">
        <w:rPr>
          <w:noProof/>
          <w:sz w:val="24"/>
          <w:szCs w:val="24"/>
        </w:rPr>
        <w:t>14</w:t>
      </w:r>
      <w:r w:rsidRPr="0043434F">
        <w:rPr>
          <w:noProof/>
          <w:sz w:val="24"/>
          <w:szCs w:val="24"/>
        </w:rPr>
        <w:fldChar w:fldCharType="end"/>
      </w:r>
    </w:p>
    <w:p w:rsidR="0043434F" w:rsidRPr="0043434F" w:rsidRDefault="0043434F" w:rsidP="0043434F">
      <w:pPr>
        <w:pStyle w:val="TOC3"/>
        <w:rPr>
          <w:rFonts w:asciiTheme="minorHAnsi" w:eastAsiaTheme="minorEastAsia" w:hAnsiTheme="minorHAnsi"/>
          <w:noProof/>
          <w:sz w:val="24"/>
          <w:szCs w:val="24"/>
        </w:rPr>
      </w:pPr>
      <w:r w:rsidRPr="0043434F">
        <w:rPr>
          <w:noProof/>
          <w:color w:val="010000"/>
          <w:sz w:val="24"/>
          <w:szCs w:val="24"/>
        </w:rPr>
        <w:t>4.</w:t>
      </w:r>
      <w:r w:rsidRPr="0043434F">
        <w:rPr>
          <w:rFonts w:asciiTheme="minorHAnsi" w:eastAsiaTheme="minorEastAsia" w:hAnsiTheme="minorHAnsi"/>
          <w:noProof/>
          <w:sz w:val="24"/>
          <w:szCs w:val="24"/>
        </w:rPr>
        <w:tab/>
      </w:r>
      <w:r w:rsidRPr="0043434F">
        <w:rPr>
          <w:noProof/>
          <w:sz w:val="24"/>
          <w:szCs w:val="24"/>
        </w:rPr>
        <w:t>DP&amp;L is seeking to retain debt that may expose customers to unreasonable leverage</w:t>
      </w:r>
      <w:r w:rsidRPr="0043434F">
        <w:rPr>
          <w:noProof/>
          <w:sz w:val="24"/>
          <w:szCs w:val="24"/>
        </w:rPr>
        <w:tab/>
      </w:r>
      <w:r w:rsidRPr="0043434F">
        <w:rPr>
          <w:noProof/>
          <w:sz w:val="24"/>
          <w:szCs w:val="24"/>
        </w:rPr>
        <w:fldChar w:fldCharType="begin"/>
      </w:r>
      <w:r w:rsidRPr="0043434F">
        <w:rPr>
          <w:noProof/>
          <w:sz w:val="24"/>
          <w:szCs w:val="24"/>
        </w:rPr>
        <w:instrText xml:space="preserve"> PAGEREF _Toc383524586 \h </w:instrText>
      </w:r>
      <w:r w:rsidRPr="0043434F">
        <w:rPr>
          <w:noProof/>
          <w:sz w:val="24"/>
          <w:szCs w:val="24"/>
        </w:rPr>
      </w:r>
      <w:r w:rsidRPr="0043434F">
        <w:rPr>
          <w:noProof/>
          <w:sz w:val="24"/>
          <w:szCs w:val="24"/>
        </w:rPr>
        <w:fldChar w:fldCharType="separate"/>
      </w:r>
      <w:r w:rsidRPr="0043434F">
        <w:rPr>
          <w:noProof/>
          <w:sz w:val="24"/>
          <w:szCs w:val="24"/>
        </w:rPr>
        <w:t>18</w:t>
      </w:r>
      <w:r w:rsidRPr="0043434F">
        <w:rPr>
          <w:noProof/>
          <w:sz w:val="24"/>
          <w:szCs w:val="24"/>
        </w:rPr>
        <w:fldChar w:fldCharType="end"/>
      </w:r>
    </w:p>
    <w:p w:rsidR="0043434F" w:rsidRPr="0043434F" w:rsidRDefault="0043434F" w:rsidP="0043434F">
      <w:pPr>
        <w:pStyle w:val="TOC3"/>
        <w:rPr>
          <w:rFonts w:asciiTheme="minorHAnsi" w:eastAsiaTheme="minorEastAsia" w:hAnsiTheme="minorHAnsi"/>
          <w:noProof/>
          <w:sz w:val="24"/>
          <w:szCs w:val="24"/>
        </w:rPr>
      </w:pPr>
      <w:r w:rsidRPr="0043434F">
        <w:rPr>
          <w:noProof/>
          <w:color w:val="010000"/>
          <w:sz w:val="24"/>
          <w:szCs w:val="24"/>
        </w:rPr>
        <w:t>5.</w:t>
      </w:r>
      <w:r w:rsidRPr="0043434F">
        <w:rPr>
          <w:rFonts w:asciiTheme="minorHAnsi" w:eastAsiaTheme="minorEastAsia" w:hAnsiTheme="minorHAnsi"/>
          <w:noProof/>
          <w:sz w:val="24"/>
          <w:szCs w:val="24"/>
        </w:rPr>
        <w:tab/>
      </w:r>
      <w:r w:rsidRPr="0043434F">
        <w:rPr>
          <w:noProof/>
          <w:sz w:val="24"/>
          <w:szCs w:val="24"/>
        </w:rPr>
        <w:t>The Commission should deny DP&amp;L’s request to waive a hearing</w:t>
      </w:r>
      <w:r w:rsidRPr="0043434F">
        <w:rPr>
          <w:noProof/>
          <w:sz w:val="24"/>
          <w:szCs w:val="24"/>
        </w:rPr>
        <w:tab/>
      </w:r>
      <w:r w:rsidRPr="0043434F">
        <w:rPr>
          <w:noProof/>
          <w:sz w:val="24"/>
          <w:szCs w:val="24"/>
        </w:rPr>
        <w:fldChar w:fldCharType="begin"/>
      </w:r>
      <w:r w:rsidRPr="0043434F">
        <w:rPr>
          <w:noProof/>
          <w:sz w:val="24"/>
          <w:szCs w:val="24"/>
        </w:rPr>
        <w:instrText xml:space="preserve"> PAGEREF _Toc383524587 \h </w:instrText>
      </w:r>
      <w:r w:rsidRPr="0043434F">
        <w:rPr>
          <w:noProof/>
          <w:sz w:val="24"/>
          <w:szCs w:val="24"/>
        </w:rPr>
      </w:r>
      <w:r w:rsidRPr="0043434F">
        <w:rPr>
          <w:noProof/>
          <w:sz w:val="24"/>
          <w:szCs w:val="24"/>
        </w:rPr>
        <w:fldChar w:fldCharType="separate"/>
      </w:r>
      <w:r w:rsidRPr="0043434F">
        <w:rPr>
          <w:noProof/>
          <w:sz w:val="24"/>
          <w:szCs w:val="24"/>
        </w:rPr>
        <w:t>20</w:t>
      </w:r>
      <w:r w:rsidRPr="0043434F">
        <w:rPr>
          <w:noProof/>
          <w:sz w:val="24"/>
          <w:szCs w:val="24"/>
        </w:rPr>
        <w:fldChar w:fldCharType="end"/>
      </w:r>
    </w:p>
    <w:p w:rsidR="0043434F" w:rsidRPr="0043434F" w:rsidRDefault="0043434F">
      <w:pPr>
        <w:pStyle w:val="TOC1"/>
        <w:rPr>
          <w:rFonts w:asciiTheme="minorHAnsi" w:eastAsiaTheme="minorEastAsia" w:hAnsiTheme="minorHAnsi"/>
          <w:noProof/>
          <w:sz w:val="24"/>
          <w:szCs w:val="24"/>
        </w:rPr>
      </w:pPr>
      <w:r w:rsidRPr="0043434F">
        <w:rPr>
          <w:noProof/>
          <w:color w:val="010000"/>
          <w:sz w:val="24"/>
          <w:szCs w:val="24"/>
        </w:rPr>
        <w:t>III.</w:t>
      </w:r>
      <w:r w:rsidRPr="0043434F">
        <w:rPr>
          <w:rFonts w:asciiTheme="minorHAnsi" w:eastAsiaTheme="minorEastAsia" w:hAnsiTheme="minorHAnsi"/>
          <w:noProof/>
          <w:sz w:val="24"/>
          <w:szCs w:val="24"/>
        </w:rPr>
        <w:tab/>
      </w:r>
      <w:r w:rsidRPr="0043434F">
        <w:rPr>
          <w:noProof/>
          <w:sz w:val="24"/>
          <w:szCs w:val="24"/>
        </w:rPr>
        <w:t>CONCLUSION</w:t>
      </w:r>
      <w:r w:rsidRPr="0043434F">
        <w:rPr>
          <w:noProof/>
          <w:sz w:val="24"/>
          <w:szCs w:val="24"/>
        </w:rPr>
        <w:tab/>
      </w:r>
      <w:r w:rsidRPr="0043434F">
        <w:rPr>
          <w:noProof/>
          <w:sz w:val="24"/>
          <w:szCs w:val="24"/>
        </w:rPr>
        <w:fldChar w:fldCharType="begin"/>
      </w:r>
      <w:r w:rsidRPr="0043434F">
        <w:rPr>
          <w:noProof/>
          <w:sz w:val="24"/>
          <w:szCs w:val="24"/>
        </w:rPr>
        <w:instrText xml:space="preserve"> PAGEREF _Toc383524588 \h </w:instrText>
      </w:r>
      <w:r w:rsidRPr="0043434F">
        <w:rPr>
          <w:noProof/>
          <w:sz w:val="24"/>
          <w:szCs w:val="24"/>
        </w:rPr>
      </w:r>
      <w:r w:rsidRPr="0043434F">
        <w:rPr>
          <w:noProof/>
          <w:sz w:val="24"/>
          <w:szCs w:val="24"/>
        </w:rPr>
        <w:fldChar w:fldCharType="separate"/>
      </w:r>
      <w:r w:rsidRPr="0043434F">
        <w:rPr>
          <w:noProof/>
          <w:sz w:val="24"/>
          <w:szCs w:val="24"/>
        </w:rPr>
        <w:t>24</w:t>
      </w:r>
      <w:r w:rsidRPr="0043434F">
        <w:rPr>
          <w:noProof/>
          <w:sz w:val="24"/>
          <w:szCs w:val="24"/>
        </w:rPr>
        <w:fldChar w:fldCharType="end"/>
      </w:r>
    </w:p>
    <w:bookmarkEnd w:id="3"/>
    <w:p w:rsidR="00DA3EAE" w:rsidRPr="0043434F" w:rsidRDefault="0043434F" w:rsidP="00F66F53">
      <w:pPr>
        <w:tabs>
          <w:tab w:val="right" w:leader="dot" w:pos="9360"/>
        </w:tabs>
        <w:spacing w:after="240"/>
        <w:ind w:right="720"/>
        <w:jc w:val="both"/>
        <w:rPr>
          <w:rFonts w:cs="Arial"/>
          <w:b/>
          <w:smallCaps/>
          <w:sz w:val="24"/>
          <w:szCs w:val="24"/>
        </w:rPr>
        <w:sectPr w:rsidR="00DA3EAE" w:rsidRPr="0043434F" w:rsidSect="00453547">
          <w:headerReference w:type="default" r:id="rId15"/>
          <w:footerReference w:type="default" r:id="rId16"/>
          <w:headerReference w:type="first" r:id="rId17"/>
          <w:footerReference w:type="first" r:id="rId18"/>
          <w:pgSz w:w="12240" w:h="15840" w:code="1"/>
          <w:pgMar w:top="1440" w:right="1440" w:bottom="1440" w:left="1440" w:header="720" w:footer="720" w:gutter="0"/>
          <w:pgNumType w:fmt="lowerRoman" w:start="1"/>
          <w:cols w:space="720"/>
          <w:docGrid w:linePitch="360"/>
        </w:sectPr>
      </w:pPr>
      <w:r w:rsidRPr="0043434F">
        <w:rPr>
          <w:noProof/>
          <w:sz w:val="24"/>
          <w:szCs w:val="24"/>
        </w:rPr>
        <w:fldChar w:fldCharType="end"/>
      </w:r>
    </w:p>
    <w:p w:rsidR="00BE7C20" w:rsidRDefault="00BE7C20" w:rsidP="00F66F53">
      <w:pPr>
        <w:jc w:val="center"/>
        <w:rPr>
          <w:rFonts w:cs="Arial"/>
          <w:b/>
          <w:smallCaps/>
          <w:sz w:val="28"/>
        </w:rPr>
      </w:pPr>
      <w:r>
        <w:rPr>
          <w:rFonts w:cs="Arial"/>
          <w:b/>
          <w:smallCaps/>
          <w:sz w:val="28"/>
        </w:rPr>
        <w:lastRenderedPageBreak/>
        <w:t>Before</w:t>
      </w:r>
    </w:p>
    <w:p w:rsidR="00BE7C20" w:rsidRDefault="00BE7C20" w:rsidP="00BE7C20">
      <w:pPr>
        <w:jc w:val="center"/>
        <w:rPr>
          <w:rFonts w:cs="Arial"/>
          <w:b/>
          <w:smallCaps/>
          <w:sz w:val="28"/>
        </w:rPr>
      </w:pPr>
      <w:r>
        <w:rPr>
          <w:rFonts w:cs="Arial"/>
          <w:b/>
          <w:smallCaps/>
          <w:sz w:val="28"/>
        </w:rPr>
        <w:t>The Public Utilities Commission of Ohio</w:t>
      </w:r>
    </w:p>
    <w:p w:rsidR="00BE7C20" w:rsidRPr="00D95797" w:rsidRDefault="00BE7C20" w:rsidP="00BE7C20">
      <w:pPr>
        <w:autoSpaceDE w:val="0"/>
        <w:autoSpaceDN w:val="0"/>
        <w:adjustRightInd w:val="0"/>
        <w:rPr>
          <w:rFonts w:cs="Arial"/>
        </w:rPr>
      </w:pPr>
    </w:p>
    <w:p w:rsidR="00BE7C20" w:rsidRPr="00D95797" w:rsidRDefault="00BE7C20" w:rsidP="00BE7C20">
      <w:pPr>
        <w:autoSpaceDE w:val="0"/>
        <w:autoSpaceDN w:val="0"/>
        <w:adjustRightInd w:val="0"/>
        <w:rPr>
          <w:rFonts w:cs="Arial"/>
        </w:rPr>
      </w:pPr>
    </w:p>
    <w:p w:rsidR="00BE7C20" w:rsidRDefault="00BE7C20" w:rsidP="00BE7C20">
      <w:pPr>
        <w:pStyle w:val="BodyText"/>
        <w:tabs>
          <w:tab w:val="clear" w:pos="5040"/>
          <w:tab w:val="left" w:pos="4680"/>
          <w:tab w:val="left" w:pos="5760"/>
        </w:tabs>
        <w:rPr>
          <w:rFonts w:cs="Arial"/>
          <w:b w:val="0"/>
          <w:smallCaps w:val="0"/>
          <w:sz w:val="24"/>
          <w:szCs w:val="24"/>
        </w:rPr>
      </w:pPr>
      <w:r>
        <w:rPr>
          <w:rFonts w:cs="Arial"/>
          <w:b w:val="0"/>
          <w:smallCaps w:val="0"/>
          <w:sz w:val="24"/>
          <w:szCs w:val="24"/>
        </w:rPr>
        <w:t>In the Matter of the Application of</w:t>
      </w:r>
      <w:r>
        <w:rPr>
          <w:rFonts w:cs="Arial"/>
          <w:b w:val="0"/>
          <w:smallCaps w:val="0"/>
          <w:sz w:val="24"/>
          <w:szCs w:val="24"/>
        </w:rPr>
        <w:tab/>
        <w:t>)</w:t>
      </w:r>
      <w:r>
        <w:rPr>
          <w:rFonts w:cs="Arial"/>
          <w:b w:val="0"/>
          <w:smallCaps w:val="0"/>
          <w:sz w:val="24"/>
          <w:szCs w:val="24"/>
        </w:rPr>
        <w:tab/>
      </w:r>
    </w:p>
    <w:p w:rsidR="00BE7C20" w:rsidRDefault="00BE7C20" w:rsidP="00BE7C20">
      <w:pPr>
        <w:pStyle w:val="BodyText"/>
        <w:tabs>
          <w:tab w:val="clear" w:pos="5040"/>
          <w:tab w:val="left" w:pos="4680"/>
          <w:tab w:val="left" w:pos="5760"/>
        </w:tabs>
        <w:rPr>
          <w:rFonts w:cs="Arial"/>
          <w:b w:val="0"/>
          <w:smallCaps w:val="0"/>
          <w:sz w:val="24"/>
          <w:szCs w:val="24"/>
        </w:rPr>
      </w:pPr>
      <w:r>
        <w:rPr>
          <w:rFonts w:cs="Arial"/>
          <w:b w:val="0"/>
          <w:smallCaps w:val="0"/>
          <w:sz w:val="24"/>
          <w:szCs w:val="24"/>
        </w:rPr>
        <w:t>The Dayton Power and Light Company</w:t>
      </w:r>
      <w:r>
        <w:rPr>
          <w:rFonts w:cs="Arial"/>
          <w:b w:val="0"/>
          <w:smallCaps w:val="0"/>
          <w:sz w:val="24"/>
          <w:szCs w:val="24"/>
        </w:rPr>
        <w:tab/>
        <w:t>)</w:t>
      </w:r>
      <w:r w:rsidR="003170B0" w:rsidRPr="003170B0">
        <w:rPr>
          <w:rFonts w:cs="Arial"/>
          <w:b w:val="0"/>
          <w:smallCaps w:val="0"/>
          <w:sz w:val="24"/>
          <w:szCs w:val="24"/>
        </w:rPr>
        <w:t xml:space="preserve"> </w:t>
      </w:r>
      <w:r w:rsidR="003170B0">
        <w:rPr>
          <w:rFonts w:cs="Arial"/>
          <w:b w:val="0"/>
          <w:smallCaps w:val="0"/>
          <w:sz w:val="24"/>
          <w:szCs w:val="24"/>
        </w:rPr>
        <w:tab/>
        <w:t>Case No. 13-2420-EL-UNC</w:t>
      </w:r>
    </w:p>
    <w:p w:rsidR="00BE7C20" w:rsidRDefault="00BE7C20" w:rsidP="00BE7C20">
      <w:pPr>
        <w:pStyle w:val="BodyText"/>
        <w:tabs>
          <w:tab w:val="clear" w:pos="5040"/>
          <w:tab w:val="left" w:pos="4680"/>
          <w:tab w:val="left" w:pos="5760"/>
        </w:tabs>
        <w:rPr>
          <w:rFonts w:cs="Arial"/>
          <w:b w:val="0"/>
          <w:smallCaps w:val="0"/>
          <w:sz w:val="24"/>
          <w:szCs w:val="24"/>
        </w:rPr>
      </w:pPr>
      <w:r>
        <w:rPr>
          <w:rFonts w:cs="Arial"/>
          <w:b w:val="0"/>
          <w:smallCaps w:val="0"/>
          <w:sz w:val="24"/>
          <w:szCs w:val="24"/>
        </w:rPr>
        <w:t>For Authority to Transfer or Sell its</w:t>
      </w:r>
      <w:r>
        <w:rPr>
          <w:rFonts w:cs="Arial"/>
          <w:b w:val="0"/>
          <w:smallCaps w:val="0"/>
          <w:sz w:val="24"/>
          <w:szCs w:val="24"/>
        </w:rPr>
        <w:tab/>
        <w:t>)</w:t>
      </w:r>
    </w:p>
    <w:p w:rsidR="00BE7C20" w:rsidRDefault="00BE7C20" w:rsidP="00BE7C20">
      <w:pPr>
        <w:pStyle w:val="BodyText"/>
        <w:tabs>
          <w:tab w:val="clear" w:pos="5040"/>
          <w:tab w:val="left" w:pos="4680"/>
          <w:tab w:val="left" w:pos="5760"/>
        </w:tabs>
        <w:rPr>
          <w:rFonts w:cs="Arial"/>
          <w:b w:val="0"/>
          <w:smallCaps w:val="0"/>
          <w:sz w:val="24"/>
          <w:szCs w:val="24"/>
        </w:rPr>
      </w:pPr>
      <w:r>
        <w:rPr>
          <w:rFonts w:cs="Arial"/>
          <w:b w:val="0"/>
          <w:smallCaps w:val="0"/>
          <w:sz w:val="24"/>
          <w:szCs w:val="24"/>
        </w:rPr>
        <w:t>Generation Assets.</w:t>
      </w:r>
      <w:r>
        <w:rPr>
          <w:rFonts w:cs="Arial"/>
          <w:b w:val="0"/>
          <w:smallCaps w:val="0"/>
          <w:sz w:val="24"/>
          <w:szCs w:val="24"/>
        </w:rPr>
        <w:tab/>
        <w:t>)</w:t>
      </w:r>
    </w:p>
    <w:p w:rsidR="00BE7C20" w:rsidRPr="00BE7C20" w:rsidRDefault="00BE7C20" w:rsidP="00BE7C20">
      <w:pPr>
        <w:pStyle w:val="BodyText"/>
        <w:tabs>
          <w:tab w:val="clear" w:pos="5040"/>
          <w:tab w:val="left" w:pos="4680"/>
          <w:tab w:val="left" w:pos="5760"/>
        </w:tabs>
        <w:rPr>
          <w:rFonts w:cs="Arial"/>
          <w:b w:val="0"/>
          <w:smallCaps w:val="0"/>
          <w:sz w:val="24"/>
          <w:szCs w:val="24"/>
        </w:rPr>
      </w:pPr>
    </w:p>
    <w:p w:rsidR="00BE7C20" w:rsidRPr="00A118C1" w:rsidRDefault="00BE7C20" w:rsidP="00BE7C20">
      <w:pPr>
        <w:pStyle w:val="BodyText"/>
        <w:rPr>
          <w:rFonts w:cs="Arial"/>
          <w:b w:val="0"/>
        </w:rPr>
      </w:pPr>
    </w:p>
    <w:p w:rsidR="00BE7C20" w:rsidRPr="00443DD4" w:rsidRDefault="00BE7C20" w:rsidP="00BE7C20">
      <w:pPr>
        <w:pStyle w:val="BodyText"/>
        <w:pBdr>
          <w:top w:val="single" w:sz="12" w:space="1" w:color="auto"/>
        </w:pBdr>
        <w:rPr>
          <w:rFonts w:cs="Arial"/>
          <w:sz w:val="28"/>
          <w:szCs w:val="28"/>
        </w:rPr>
      </w:pPr>
    </w:p>
    <w:p w:rsidR="00BE7C20" w:rsidRPr="004439F6" w:rsidRDefault="008A42D3" w:rsidP="00BE7C20">
      <w:pPr>
        <w:jc w:val="center"/>
        <w:rPr>
          <w:rFonts w:cs="Arial"/>
          <w:b/>
          <w:smallCaps/>
          <w:sz w:val="28"/>
          <w:szCs w:val="28"/>
        </w:rPr>
      </w:pPr>
      <w:r w:rsidRPr="004439F6">
        <w:rPr>
          <w:rFonts w:cs="Arial"/>
          <w:b/>
          <w:smallCaps/>
          <w:sz w:val="28"/>
          <w:szCs w:val="28"/>
        </w:rPr>
        <w:t>C</w:t>
      </w:r>
      <w:r w:rsidR="00C75887" w:rsidRPr="004439F6">
        <w:rPr>
          <w:rFonts w:cs="Arial"/>
          <w:b/>
          <w:smallCaps/>
          <w:sz w:val="28"/>
          <w:szCs w:val="28"/>
        </w:rPr>
        <w:t>omments</w:t>
      </w:r>
      <w:r w:rsidR="00BE7C20" w:rsidRPr="004439F6">
        <w:rPr>
          <w:rFonts w:cs="Arial"/>
          <w:b/>
          <w:smallCaps/>
          <w:sz w:val="28"/>
          <w:szCs w:val="28"/>
        </w:rPr>
        <w:t xml:space="preserve"> of Industrial Energy Users-Ohio</w:t>
      </w:r>
    </w:p>
    <w:p w:rsidR="00BE7C20" w:rsidRPr="004439F6" w:rsidRDefault="00BE7C20" w:rsidP="00BE7C20">
      <w:pPr>
        <w:pBdr>
          <w:bottom w:val="single" w:sz="12" w:space="1" w:color="auto"/>
        </w:pBdr>
        <w:jc w:val="both"/>
        <w:rPr>
          <w:rFonts w:cs="Arial"/>
          <w:sz w:val="28"/>
          <w:szCs w:val="28"/>
        </w:rPr>
      </w:pPr>
    </w:p>
    <w:p w:rsidR="00BE7C20" w:rsidRPr="004439F6" w:rsidRDefault="00BE7C20" w:rsidP="00084D95">
      <w:pPr>
        <w:spacing w:after="100" w:afterAutospacing="1"/>
        <w:jc w:val="both"/>
        <w:rPr>
          <w:rFonts w:cs="Arial"/>
          <w:b/>
          <w:sz w:val="28"/>
          <w:szCs w:val="28"/>
        </w:rPr>
      </w:pPr>
    </w:p>
    <w:p w:rsidR="00112E4B" w:rsidRPr="002C127A" w:rsidRDefault="00E5733B" w:rsidP="002C127A">
      <w:pPr>
        <w:pStyle w:val="S2Heading1"/>
        <w:rPr>
          <w:sz w:val="24"/>
          <w:szCs w:val="24"/>
        </w:rPr>
      </w:pPr>
      <w:bookmarkStart w:id="4" w:name="_Toc383506922"/>
      <w:bookmarkStart w:id="5" w:name="_Toc383517955"/>
      <w:bookmarkStart w:id="6" w:name="_Toc383524576"/>
      <w:r w:rsidRPr="002C127A">
        <w:rPr>
          <w:sz w:val="24"/>
          <w:szCs w:val="24"/>
        </w:rPr>
        <w:t>INTRODUCTION</w:t>
      </w:r>
      <w:bookmarkEnd w:id="4"/>
      <w:bookmarkEnd w:id="5"/>
      <w:bookmarkEnd w:id="6"/>
    </w:p>
    <w:p w:rsidR="00C50D01" w:rsidRDefault="006D3572" w:rsidP="006D3572">
      <w:pPr>
        <w:tabs>
          <w:tab w:val="left" w:pos="720"/>
          <w:tab w:val="right" w:pos="8640"/>
        </w:tabs>
        <w:spacing w:line="480" w:lineRule="auto"/>
        <w:jc w:val="both"/>
        <w:rPr>
          <w:rFonts w:cs="Arial"/>
          <w:sz w:val="24"/>
          <w:szCs w:val="24"/>
        </w:rPr>
      </w:pPr>
      <w:r>
        <w:rPr>
          <w:rFonts w:cs="Arial"/>
          <w:sz w:val="24"/>
          <w:szCs w:val="24"/>
        </w:rPr>
        <w:tab/>
        <w:t xml:space="preserve">The Opinion and Order </w:t>
      </w:r>
      <w:r w:rsidR="00CC1AB7">
        <w:rPr>
          <w:rFonts w:cs="Arial"/>
          <w:sz w:val="24"/>
          <w:szCs w:val="24"/>
        </w:rPr>
        <w:t xml:space="preserve">(“ESP Order”) </w:t>
      </w:r>
      <w:r>
        <w:rPr>
          <w:rFonts w:cs="Arial"/>
          <w:sz w:val="24"/>
          <w:szCs w:val="24"/>
        </w:rPr>
        <w:t xml:space="preserve">modifying and approving Dayton Power and Light Company’s (“DP&amp;L”) electric security plan (“ESP”) required DP&amp;L to file an application to transfer its </w:t>
      </w:r>
      <w:r w:rsidR="00FB04E5">
        <w:rPr>
          <w:rFonts w:cs="Arial"/>
          <w:sz w:val="24"/>
          <w:szCs w:val="24"/>
        </w:rPr>
        <w:t>generation</w:t>
      </w:r>
      <w:r>
        <w:rPr>
          <w:rFonts w:cs="Arial"/>
          <w:sz w:val="24"/>
          <w:szCs w:val="24"/>
        </w:rPr>
        <w:t xml:space="preserve"> assets.</w:t>
      </w:r>
      <w:r w:rsidR="003D5F90">
        <w:rPr>
          <w:rStyle w:val="FootnoteReference"/>
          <w:rFonts w:cs="Arial"/>
          <w:sz w:val="24"/>
          <w:szCs w:val="24"/>
        </w:rPr>
        <w:footnoteReference w:id="1"/>
      </w:r>
      <w:r>
        <w:rPr>
          <w:rFonts w:cs="Arial"/>
          <w:sz w:val="24"/>
          <w:szCs w:val="24"/>
        </w:rPr>
        <w:t xml:space="preserve">  </w:t>
      </w:r>
      <w:r w:rsidR="00427E25">
        <w:rPr>
          <w:rFonts w:cs="Arial"/>
          <w:sz w:val="24"/>
          <w:szCs w:val="24"/>
        </w:rPr>
        <w:t>After filing a placeholder application, which provided scant details,</w:t>
      </w:r>
      <w:r>
        <w:rPr>
          <w:rFonts w:cs="Arial"/>
          <w:sz w:val="24"/>
          <w:szCs w:val="24"/>
        </w:rPr>
        <w:t xml:space="preserve"> DP&amp;L</w:t>
      </w:r>
      <w:r w:rsidR="00427E25">
        <w:rPr>
          <w:rFonts w:cs="Arial"/>
          <w:sz w:val="24"/>
          <w:szCs w:val="24"/>
        </w:rPr>
        <w:t xml:space="preserve"> filed a</w:t>
      </w:r>
      <w:r>
        <w:rPr>
          <w:rFonts w:cs="Arial"/>
          <w:sz w:val="24"/>
          <w:szCs w:val="24"/>
        </w:rPr>
        <w:t xml:space="preserve"> supplemental application </w:t>
      </w:r>
      <w:r w:rsidR="00CC1AB7">
        <w:rPr>
          <w:rFonts w:cs="Arial"/>
          <w:sz w:val="24"/>
          <w:szCs w:val="24"/>
        </w:rPr>
        <w:t xml:space="preserve">(“Application”) </w:t>
      </w:r>
      <w:r>
        <w:rPr>
          <w:rFonts w:cs="Arial"/>
          <w:sz w:val="24"/>
          <w:szCs w:val="24"/>
        </w:rPr>
        <w:t xml:space="preserve">to transfer its </w:t>
      </w:r>
      <w:r w:rsidR="00FB04E5">
        <w:rPr>
          <w:rFonts w:cs="Arial"/>
          <w:sz w:val="24"/>
          <w:szCs w:val="24"/>
        </w:rPr>
        <w:t>generation</w:t>
      </w:r>
      <w:r>
        <w:rPr>
          <w:rFonts w:cs="Arial"/>
          <w:sz w:val="24"/>
          <w:szCs w:val="24"/>
        </w:rPr>
        <w:t xml:space="preserve"> assets </w:t>
      </w:r>
      <w:r w:rsidR="00F142BE">
        <w:rPr>
          <w:rFonts w:cs="Arial"/>
          <w:sz w:val="24"/>
          <w:szCs w:val="24"/>
        </w:rPr>
        <w:t>on February 25, 2014.</w:t>
      </w:r>
    </w:p>
    <w:p w:rsidR="00F142BE" w:rsidRDefault="00C50D01" w:rsidP="006D3572">
      <w:pPr>
        <w:tabs>
          <w:tab w:val="left" w:pos="720"/>
          <w:tab w:val="right" w:pos="8640"/>
        </w:tabs>
        <w:spacing w:line="480" w:lineRule="auto"/>
        <w:jc w:val="both"/>
        <w:rPr>
          <w:rFonts w:cs="Arial"/>
          <w:sz w:val="24"/>
          <w:szCs w:val="24"/>
        </w:rPr>
      </w:pPr>
      <w:r>
        <w:rPr>
          <w:rFonts w:cs="Arial"/>
          <w:sz w:val="24"/>
          <w:szCs w:val="24"/>
        </w:rPr>
        <w:tab/>
      </w:r>
      <w:r w:rsidR="002C0478">
        <w:rPr>
          <w:rFonts w:cs="Arial"/>
          <w:sz w:val="24"/>
          <w:szCs w:val="24"/>
        </w:rPr>
        <w:t xml:space="preserve">The Application still does not provide information required by </w:t>
      </w:r>
      <w:r w:rsidR="00CC1AB7">
        <w:rPr>
          <w:rFonts w:cs="Arial"/>
          <w:sz w:val="24"/>
          <w:szCs w:val="24"/>
        </w:rPr>
        <w:t>the Public Utilities Commission of Ohio (“</w:t>
      </w:r>
      <w:r w:rsidR="002C0478">
        <w:rPr>
          <w:rFonts w:cs="Arial"/>
          <w:sz w:val="24"/>
          <w:szCs w:val="24"/>
        </w:rPr>
        <w:t>Commission</w:t>
      </w:r>
      <w:r w:rsidR="00CC1AB7">
        <w:rPr>
          <w:rFonts w:cs="Arial"/>
          <w:sz w:val="24"/>
          <w:szCs w:val="24"/>
        </w:rPr>
        <w:t>”)</w:t>
      </w:r>
      <w:r w:rsidR="002C0478">
        <w:rPr>
          <w:rFonts w:cs="Arial"/>
          <w:sz w:val="24"/>
          <w:szCs w:val="24"/>
        </w:rPr>
        <w:t xml:space="preserve"> rules that </w:t>
      </w:r>
      <w:r w:rsidR="006A2F08">
        <w:rPr>
          <w:rFonts w:cs="Arial"/>
          <w:sz w:val="24"/>
          <w:szCs w:val="24"/>
        </w:rPr>
        <w:t>is</w:t>
      </w:r>
      <w:r w:rsidR="00CC1AB7">
        <w:rPr>
          <w:rFonts w:cs="Arial"/>
          <w:sz w:val="24"/>
          <w:szCs w:val="24"/>
        </w:rPr>
        <w:t xml:space="preserve"> </w:t>
      </w:r>
      <w:r w:rsidR="002C0478">
        <w:rPr>
          <w:rFonts w:cs="Arial"/>
          <w:sz w:val="24"/>
          <w:szCs w:val="24"/>
        </w:rPr>
        <w:t xml:space="preserve">necessary to determine </w:t>
      </w:r>
      <w:r w:rsidR="00F142BE">
        <w:rPr>
          <w:rFonts w:cs="Arial"/>
          <w:sz w:val="24"/>
          <w:szCs w:val="24"/>
        </w:rPr>
        <w:t xml:space="preserve">that </w:t>
      </w:r>
      <w:r w:rsidR="002C0478">
        <w:rPr>
          <w:rFonts w:cs="Arial"/>
          <w:sz w:val="24"/>
          <w:szCs w:val="24"/>
        </w:rPr>
        <w:t>the requested transfer satisfies statutory and administrative</w:t>
      </w:r>
      <w:r w:rsidR="00B562D4">
        <w:rPr>
          <w:rFonts w:cs="Arial"/>
          <w:sz w:val="24"/>
          <w:szCs w:val="24"/>
        </w:rPr>
        <w:t xml:space="preserve"> </w:t>
      </w:r>
      <w:r w:rsidR="002C0478">
        <w:rPr>
          <w:rFonts w:cs="Arial"/>
          <w:sz w:val="24"/>
          <w:szCs w:val="24"/>
        </w:rPr>
        <w:t xml:space="preserve">requirements.  </w:t>
      </w:r>
      <w:r w:rsidR="00320B85">
        <w:rPr>
          <w:rFonts w:cs="Arial"/>
          <w:sz w:val="24"/>
          <w:szCs w:val="24"/>
        </w:rPr>
        <w:t>As discussed below, it fails to provide information regarding the terms and conditions of a transfer and information regarding the effect of the transfer on the standard service offer (“SSO”).</w:t>
      </w:r>
      <w:r w:rsidR="00F142BE">
        <w:rPr>
          <w:rFonts w:cs="Arial"/>
          <w:sz w:val="24"/>
          <w:szCs w:val="24"/>
        </w:rPr>
        <w:t xml:space="preserve">  </w:t>
      </w:r>
    </w:p>
    <w:p w:rsidR="00B766F1" w:rsidRDefault="00F142BE" w:rsidP="006D3572">
      <w:pPr>
        <w:tabs>
          <w:tab w:val="left" w:pos="720"/>
          <w:tab w:val="right" w:pos="8640"/>
        </w:tabs>
        <w:spacing w:line="480" w:lineRule="auto"/>
        <w:jc w:val="both"/>
        <w:rPr>
          <w:rFonts w:cs="Arial"/>
          <w:sz w:val="24"/>
          <w:szCs w:val="24"/>
        </w:rPr>
      </w:pPr>
      <w:r>
        <w:rPr>
          <w:rFonts w:cs="Arial"/>
          <w:sz w:val="24"/>
          <w:szCs w:val="24"/>
        </w:rPr>
        <w:tab/>
      </w:r>
      <w:r w:rsidR="00320B85">
        <w:rPr>
          <w:rFonts w:cs="Arial"/>
          <w:sz w:val="24"/>
          <w:szCs w:val="24"/>
        </w:rPr>
        <w:t>Even though it cannot describe the terms of the proposed transfer to meet the minimum requirements of the Commission’s rules</w:t>
      </w:r>
      <w:r w:rsidR="002C0478">
        <w:rPr>
          <w:rFonts w:cs="Arial"/>
          <w:sz w:val="24"/>
          <w:szCs w:val="24"/>
        </w:rPr>
        <w:t xml:space="preserve">, DP&amp;L also seeks to secure </w:t>
      </w:r>
      <w:r w:rsidR="002C0478">
        <w:rPr>
          <w:rFonts w:cs="Arial"/>
          <w:sz w:val="24"/>
          <w:szCs w:val="24"/>
        </w:rPr>
        <w:lastRenderedPageBreak/>
        <w:t xml:space="preserve">additional authority to shift economic and environmental risks associated with its generation assets to customers.  </w:t>
      </w:r>
      <w:r w:rsidR="00C50D01">
        <w:rPr>
          <w:rFonts w:cs="Arial"/>
          <w:sz w:val="24"/>
          <w:szCs w:val="24"/>
        </w:rPr>
        <w:t xml:space="preserve">Specifically, DP&amp;L </w:t>
      </w:r>
      <w:r w:rsidR="002C0478">
        <w:rPr>
          <w:rFonts w:cs="Arial"/>
          <w:sz w:val="24"/>
          <w:szCs w:val="24"/>
        </w:rPr>
        <w:t>requests:</w:t>
      </w:r>
    </w:p>
    <w:p w:rsidR="00C50D01" w:rsidRDefault="00C50D01" w:rsidP="00C50D01">
      <w:pPr>
        <w:pStyle w:val="ListParagraph"/>
        <w:numPr>
          <w:ilvl w:val="0"/>
          <w:numId w:val="6"/>
        </w:numPr>
        <w:tabs>
          <w:tab w:val="left" w:pos="720"/>
          <w:tab w:val="right" w:pos="8640"/>
        </w:tabs>
        <w:ind w:left="1080"/>
        <w:jc w:val="both"/>
        <w:rPr>
          <w:rFonts w:cs="Arial"/>
          <w:sz w:val="24"/>
          <w:szCs w:val="24"/>
        </w:rPr>
      </w:pPr>
      <w:r>
        <w:rPr>
          <w:rFonts w:cs="Arial"/>
          <w:sz w:val="24"/>
          <w:szCs w:val="24"/>
        </w:rPr>
        <w:t>authority to collect the Service Stability Rider (“SSR”) even if DP&amp;L transfers its assets to a third party</w:t>
      </w:r>
      <w:r w:rsidR="003C2DD2">
        <w:rPr>
          <w:rFonts w:cs="Arial"/>
          <w:sz w:val="24"/>
          <w:szCs w:val="24"/>
        </w:rPr>
        <w:t>;</w:t>
      </w:r>
    </w:p>
    <w:p w:rsidR="000A3F3A" w:rsidRDefault="00C50D01" w:rsidP="00C50D01">
      <w:pPr>
        <w:pStyle w:val="ListParagraph"/>
        <w:numPr>
          <w:ilvl w:val="0"/>
          <w:numId w:val="6"/>
        </w:numPr>
        <w:tabs>
          <w:tab w:val="left" w:pos="720"/>
          <w:tab w:val="right" w:pos="8640"/>
        </w:tabs>
        <w:ind w:left="1080"/>
        <w:jc w:val="both"/>
        <w:rPr>
          <w:rFonts w:cs="Arial"/>
          <w:sz w:val="24"/>
          <w:szCs w:val="24"/>
        </w:rPr>
      </w:pPr>
      <w:r>
        <w:rPr>
          <w:rFonts w:cs="Arial"/>
          <w:sz w:val="24"/>
          <w:szCs w:val="24"/>
        </w:rPr>
        <w:t xml:space="preserve">authority to retain responsibility for future environmental liabilities associated with DP&amp;L’s divested </w:t>
      </w:r>
      <w:r w:rsidR="00FB04E5">
        <w:rPr>
          <w:rFonts w:cs="Arial"/>
          <w:sz w:val="24"/>
          <w:szCs w:val="24"/>
        </w:rPr>
        <w:t>generation</w:t>
      </w:r>
      <w:r>
        <w:rPr>
          <w:rFonts w:cs="Arial"/>
          <w:sz w:val="24"/>
          <w:szCs w:val="24"/>
        </w:rPr>
        <w:t xml:space="preserve"> assets, as well as authority to “defer costs associated with environmental clean-up or remediation incurred by DP&amp;L because of its ownership or operation of electric generation assets, and imposed in the future pursuant to federal or state law, rules, or regulations</w:t>
      </w:r>
      <w:r w:rsidR="003C2DD2">
        <w:rPr>
          <w:rFonts w:cs="Arial"/>
          <w:sz w:val="24"/>
          <w:szCs w:val="24"/>
        </w:rPr>
        <w:t>”; </w:t>
      </w:r>
    </w:p>
    <w:p w:rsidR="00ED1A0B" w:rsidRDefault="00ED1A0B" w:rsidP="00C50D01">
      <w:pPr>
        <w:pStyle w:val="ListParagraph"/>
        <w:numPr>
          <w:ilvl w:val="0"/>
          <w:numId w:val="6"/>
        </w:numPr>
        <w:tabs>
          <w:tab w:val="left" w:pos="720"/>
          <w:tab w:val="right" w:pos="8640"/>
        </w:tabs>
        <w:ind w:left="1080"/>
        <w:jc w:val="both"/>
        <w:rPr>
          <w:rFonts w:cs="Arial"/>
          <w:sz w:val="24"/>
          <w:szCs w:val="24"/>
        </w:rPr>
      </w:pPr>
      <w:r>
        <w:rPr>
          <w:rFonts w:cs="Arial"/>
          <w:sz w:val="24"/>
          <w:szCs w:val="24"/>
        </w:rPr>
        <w:t>authority to retain the purchased power contract with the Ohio Valley Electric Corporation (“OVEC”) and to “defer the costs associated with OVEC, which are not currently being recovered through DP&amp;L’s fuel rider” and to recover these expenses from all customers</w:t>
      </w:r>
      <w:r w:rsidR="003C2DD2">
        <w:rPr>
          <w:rFonts w:cs="Arial"/>
          <w:sz w:val="24"/>
          <w:szCs w:val="24"/>
        </w:rPr>
        <w:t>; and</w:t>
      </w:r>
    </w:p>
    <w:p w:rsidR="00ED1A0B" w:rsidRPr="00ED1A0B" w:rsidRDefault="00ED1A0B" w:rsidP="00ED1A0B">
      <w:pPr>
        <w:pStyle w:val="ListParagraph"/>
        <w:numPr>
          <w:ilvl w:val="0"/>
          <w:numId w:val="6"/>
        </w:numPr>
        <w:tabs>
          <w:tab w:val="left" w:pos="720"/>
          <w:tab w:val="right" w:pos="8640"/>
        </w:tabs>
        <w:ind w:left="1080"/>
        <w:jc w:val="both"/>
        <w:rPr>
          <w:rFonts w:cs="Arial"/>
          <w:sz w:val="24"/>
          <w:szCs w:val="24"/>
        </w:rPr>
      </w:pPr>
      <w:r>
        <w:rPr>
          <w:rFonts w:cs="Arial"/>
          <w:sz w:val="24"/>
          <w:szCs w:val="24"/>
        </w:rPr>
        <w:t>authority to modify its capital ratio “to maintain the greater of, (i) total debt of up to $750 million or (ii) total debt equal to 75% of ratebase at the time of separation,” which would residually encumber DP&amp;L, the electric distribution utility (“EDU”), with generation-related debt. </w:t>
      </w:r>
    </w:p>
    <w:p w:rsidR="00ED1A0B" w:rsidRPr="00ED1A0B" w:rsidRDefault="00ED1A0B" w:rsidP="00ED1A0B">
      <w:pPr>
        <w:tabs>
          <w:tab w:val="left" w:pos="720"/>
          <w:tab w:val="right" w:pos="8640"/>
        </w:tabs>
        <w:jc w:val="both"/>
        <w:rPr>
          <w:rFonts w:cs="Arial"/>
          <w:sz w:val="24"/>
          <w:szCs w:val="24"/>
        </w:rPr>
      </w:pPr>
    </w:p>
    <w:p w:rsidR="00DC1089" w:rsidRDefault="002C0478" w:rsidP="002B4833">
      <w:pPr>
        <w:tabs>
          <w:tab w:val="left" w:pos="720"/>
          <w:tab w:val="right" w:pos="8640"/>
        </w:tabs>
        <w:spacing w:line="480" w:lineRule="auto"/>
        <w:jc w:val="both"/>
        <w:rPr>
          <w:rFonts w:cs="Arial"/>
          <w:sz w:val="24"/>
          <w:szCs w:val="24"/>
        </w:rPr>
      </w:pPr>
      <w:r>
        <w:rPr>
          <w:rFonts w:cs="Arial"/>
          <w:sz w:val="24"/>
          <w:szCs w:val="24"/>
        </w:rPr>
        <w:t xml:space="preserve">Additionally, </w:t>
      </w:r>
      <w:r w:rsidR="007D5ED1">
        <w:rPr>
          <w:rFonts w:cs="Arial"/>
          <w:sz w:val="24"/>
          <w:szCs w:val="24"/>
        </w:rPr>
        <w:t>DP&amp;L request</w:t>
      </w:r>
      <w:r>
        <w:rPr>
          <w:rFonts w:cs="Arial"/>
          <w:sz w:val="24"/>
          <w:szCs w:val="24"/>
        </w:rPr>
        <w:t>s that the Commission waive a hearing, thereby</w:t>
      </w:r>
      <w:r w:rsidR="007D5ED1">
        <w:rPr>
          <w:rFonts w:cs="Arial"/>
          <w:sz w:val="24"/>
          <w:szCs w:val="24"/>
        </w:rPr>
        <w:t xml:space="preserve"> </w:t>
      </w:r>
      <w:r>
        <w:rPr>
          <w:rFonts w:cs="Arial"/>
          <w:sz w:val="24"/>
          <w:szCs w:val="24"/>
        </w:rPr>
        <w:t>depriving</w:t>
      </w:r>
      <w:r w:rsidR="00ED1A0B">
        <w:rPr>
          <w:rFonts w:cs="Arial"/>
          <w:sz w:val="24"/>
          <w:szCs w:val="24"/>
        </w:rPr>
        <w:t xml:space="preserve"> parties </w:t>
      </w:r>
      <w:r w:rsidR="00270829">
        <w:rPr>
          <w:rFonts w:cs="Arial"/>
          <w:sz w:val="24"/>
          <w:szCs w:val="24"/>
        </w:rPr>
        <w:t xml:space="preserve">of </w:t>
      </w:r>
      <w:r w:rsidR="00ED1A0B">
        <w:rPr>
          <w:rFonts w:cs="Arial"/>
          <w:sz w:val="24"/>
          <w:szCs w:val="24"/>
        </w:rPr>
        <w:t>the</w:t>
      </w:r>
      <w:r w:rsidR="00650102">
        <w:rPr>
          <w:rFonts w:cs="Arial"/>
          <w:sz w:val="24"/>
          <w:szCs w:val="24"/>
        </w:rPr>
        <w:t xml:space="preserve"> due process right</w:t>
      </w:r>
      <w:r>
        <w:rPr>
          <w:rFonts w:cs="Arial"/>
          <w:sz w:val="24"/>
          <w:szCs w:val="24"/>
        </w:rPr>
        <w:t>s</w:t>
      </w:r>
      <w:r w:rsidR="00650102">
        <w:rPr>
          <w:rFonts w:cs="Arial"/>
          <w:sz w:val="24"/>
          <w:szCs w:val="24"/>
        </w:rPr>
        <w:t xml:space="preserve"> </w:t>
      </w:r>
      <w:r w:rsidR="00DF736B">
        <w:rPr>
          <w:rFonts w:cs="Arial"/>
          <w:sz w:val="24"/>
          <w:szCs w:val="24"/>
        </w:rPr>
        <w:t>provided</w:t>
      </w:r>
      <w:r w:rsidR="00650102">
        <w:rPr>
          <w:rFonts w:cs="Arial"/>
          <w:sz w:val="24"/>
          <w:szCs w:val="24"/>
        </w:rPr>
        <w:t xml:space="preserve"> by the Commission’s rules.</w:t>
      </w:r>
      <w:r w:rsidR="007D5ED1">
        <w:rPr>
          <w:rStyle w:val="FootnoteReference"/>
          <w:rFonts w:cs="Arial"/>
          <w:sz w:val="24"/>
          <w:szCs w:val="24"/>
        </w:rPr>
        <w:footnoteReference w:id="2"/>
      </w:r>
      <w:r w:rsidR="00DC1089">
        <w:rPr>
          <w:rFonts w:cs="Arial"/>
          <w:sz w:val="24"/>
          <w:szCs w:val="24"/>
        </w:rPr>
        <w:t xml:space="preserve"> </w:t>
      </w:r>
    </w:p>
    <w:p w:rsidR="002B4833" w:rsidRDefault="007D5ED1" w:rsidP="002A6727">
      <w:pPr>
        <w:tabs>
          <w:tab w:val="left" w:pos="720"/>
          <w:tab w:val="right" w:pos="8640"/>
        </w:tabs>
        <w:spacing w:after="240" w:line="480" w:lineRule="auto"/>
        <w:jc w:val="both"/>
        <w:rPr>
          <w:rFonts w:cs="Arial"/>
          <w:sz w:val="24"/>
          <w:szCs w:val="24"/>
        </w:rPr>
      </w:pPr>
      <w:r>
        <w:rPr>
          <w:rFonts w:cs="Arial"/>
          <w:sz w:val="24"/>
          <w:szCs w:val="24"/>
        </w:rPr>
        <w:tab/>
      </w:r>
      <w:r w:rsidR="002629A5">
        <w:rPr>
          <w:rFonts w:cs="Arial"/>
          <w:sz w:val="24"/>
          <w:szCs w:val="24"/>
        </w:rPr>
        <w:t xml:space="preserve">DP&amp;L’s failure to provide the information required by the Commission rules and its unlawful and unreasonable requests to saddle customers with the economic </w:t>
      </w:r>
      <w:r w:rsidR="00320B85">
        <w:rPr>
          <w:rFonts w:cs="Arial"/>
          <w:sz w:val="24"/>
          <w:szCs w:val="24"/>
        </w:rPr>
        <w:t xml:space="preserve">risks </w:t>
      </w:r>
      <w:r w:rsidR="002629A5">
        <w:rPr>
          <w:rFonts w:cs="Arial"/>
          <w:sz w:val="24"/>
          <w:szCs w:val="24"/>
        </w:rPr>
        <w:t>and environmental clean</w:t>
      </w:r>
      <w:r w:rsidR="00B562D4">
        <w:rPr>
          <w:rFonts w:cs="Arial"/>
          <w:sz w:val="24"/>
          <w:szCs w:val="24"/>
        </w:rPr>
        <w:t>-</w:t>
      </w:r>
      <w:r w:rsidR="002629A5">
        <w:rPr>
          <w:rFonts w:cs="Arial"/>
          <w:sz w:val="24"/>
          <w:szCs w:val="24"/>
        </w:rPr>
        <w:t>up costs of the assets it intends to transfer</w:t>
      </w:r>
      <w:r w:rsidR="00320B85">
        <w:rPr>
          <w:rFonts w:cs="Arial"/>
          <w:sz w:val="24"/>
          <w:szCs w:val="24"/>
        </w:rPr>
        <w:t xml:space="preserve"> while also violating the terms of the </w:t>
      </w:r>
      <w:r w:rsidR="00DF736B">
        <w:rPr>
          <w:rFonts w:cs="Arial"/>
          <w:sz w:val="24"/>
          <w:szCs w:val="24"/>
        </w:rPr>
        <w:t>o</w:t>
      </w:r>
      <w:r w:rsidR="00CC1AB7">
        <w:rPr>
          <w:rFonts w:cs="Arial"/>
          <w:sz w:val="24"/>
          <w:szCs w:val="24"/>
        </w:rPr>
        <w:t xml:space="preserve">rder </w:t>
      </w:r>
      <w:r w:rsidR="00320B85">
        <w:rPr>
          <w:rFonts w:cs="Arial"/>
          <w:sz w:val="24"/>
          <w:szCs w:val="24"/>
        </w:rPr>
        <w:t xml:space="preserve">permitting its merger with </w:t>
      </w:r>
      <w:r w:rsidR="00CC1AB7">
        <w:rPr>
          <w:rFonts w:cs="Arial"/>
          <w:sz w:val="24"/>
          <w:szCs w:val="24"/>
        </w:rPr>
        <w:t>the AES Corporation (“</w:t>
      </w:r>
      <w:r w:rsidR="00320B85">
        <w:rPr>
          <w:rFonts w:cs="Arial"/>
          <w:sz w:val="24"/>
          <w:szCs w:val="24"/>
        </w:rPr>
        <w:t>AES</w:t>
      </w:r>
      <w:r w:rsidR="00CC1AB7">
        <w:rPr>
          <w:rFonts w:cs="Arial"/>
          <w:sz w:val="24"/>
          <w:szCs w:val="24"/>
        </w:rPr>
        <w:t>”)</w:t>
      </w:r>
      <w:r w:rsidR="002629A5">
        <w:rPr>
          <w:rFonts w:cs="Arial"/>
          <w:sz w:val="24"/>
          <w:szCs w:val="24"/>
        </w:rPr>
        <w:t xml:space="preserve"> render the Application unjust, unreasonable, and not in the public interest.  </w:t>
      </w:r>
      <w:r w:rsidR="00DF736B">
        <w:rPr>
          <w:rFonts w:cs="Arial"/>
          <w:sz w:val="24"/>
          <w:szCs w:val="24"/>
        </w:rPr>
        <w:t xml:space="preserve">Pursuant to the Commission’s rules, the Commission shall set an application for the transfer of generation assets for hearing if </w:t>
      </w:r>
      <w:r w:rsidR="00DF736B" w:rsidRPr="002C0478">
        <w:rPr>
          <w:rFonts w:cs="Arial"/>
          <w:sz w:val="24"/>
          <w:szCs w:val="24"/>
        </w:rPr>
        <w:t>the application appears to be unjust, unreasonable, or not in the public interest</w:t>
      </w:r>
      <w:r w:rsidR="00DF736B">
        <w:rPr>
          <w:rFonts w:cs="Arial"/>
          <w:sz w:val="24"/>
          <w:szCs w:val="24"/>
        </w:rPr>
        <w:t>, and “[t]</w:t>
      </w:r>
      <w:r w:rsidR="00DF736B" w:rsidRPr="00B562D4">
        <w:rPr>
          <w:rFonts w:cs="Arial"/>
          <w:sz w:val="24"/>
          <w:szCs w:val="24"/>
        </w:rPr>
        <w:t xml:space="preserve">he commission shall fix a time and place for a hearing with respect to any application that proposes to alter the jurisdiction of the commission </w:t>
      </w:r>
      <w:r w:rsidR="00DF736B" w:rsidRPr="00B562D4">
        <w:rPr>
          <w:rFonts w:cs="Arial"/>
          <w:sz w:val="24"/>
          <w:szCs w:val="24"/>
        </w:rPr>
        <w:lastRenderedPageBreak/>
        <w:t>over a generation asset</w:t>
      </w:r>
      <w:r w:rsidR="00DF736B">
        <w:rPr>
          <w:rFonts w:cs="Arial"/>
          <w:sz w:val="24"/>
          <w:szCs w:val="24"/>
        </w:rPr>
        <w:t>.”</w:t>
      </w:r>
      <w:r w:rsidR="00DF736B">
        <w:rPr>
          <w:rStyle w:val="FootnoteReference"/>
          <w:rFonts w:cs="Arial"/>
          <w:sz w:val="24"/>
          <w:szCs w:val="24"/>
        </w:rPr>
        <w:footnoteReference w:id="3"/>
      </w:r>
      <w:r w:rsidR="00DF736B">
        <w:rPr>
          <w:rFonts w:cs="Arial"/>
          <w:sz w:val="24"/>
          <w:szCs w:val="24"/>
        </w:rPr>
        <w:t xml:space="preserve">  </w:t>
      </w:r>
      <w:r w:rsidR="002629A5">
        <w:rPr>
          <w:rFonts w:cs="Arial"/>
          <w:sz w:val="24"/>
          <w:szCs w:val="24"/>
        </w:rPr>
        <w:t>Rather than sched</w:t>
      </w:r>
      <w:r w:rsidR="00320B85">
        <w:rPr>
          <w:rFonts w:cs="Arial"/>
          <w:sz w:val="24"/>
          <w:szCs w:val="24"/>
        </w:rPr>
        <w:t>ul</w:t>
      </w:r>
      <w:r w:rsidR="002629A5">
        <w:rPr>
          <w:rFonts w:cs="Arial"/>
          <w:sz w:val="24"/>
          <w:szCs w:val="24"/>
        </w:rPr>
        <w:t>ing a hearing, however, t</w:t>
      </w:r>
      <w:r>
        <w:rPr>
          <w:rFonts w:cs="Arial"/>
          <w:sz w:val="24"/>
          <w:szCs w:val="24"/>
        </w:rPr>
        <w:t xml:space="preserve">he Commission should </w:t>
      </w:r>
      <w:r w:rsidR="002629A5">
        <w:rPr>
          <w:rFonts w:cs="Arial"/>
          <w:sz w:val="24"/>
          <w:szCs w:val="24"/>
        </w:rPr>
        <w:t xml:space="preserve">summarily </w:t>
      </w:r>
      <w:r>
        <w:rPr>
          <w:rFonts w:cs="Arial"/>
          <w:sz w:val="24"/>
          <w:szCs w:val="24"/>
        </w:rPr>
        <w:t>reject</w:t>
      </w:r>
      <w:r w:rsidR="00DC1089">
        <w:rPr>
          <w:rFonts w:cs="Arial"/>
          <w:sz w:val="24"/>
          <w:szCs w:val="24"/>
        </w:rPr>
        <w:t xml:space="preserve"> the </w:t>
      </w:r>
      <w:r w:rsidR="002629A5">
        <w:rPr>
          <w:rFonts w:cs="Arial"/>
          <w:sz w:val="24"/>
          <w:szCs w:val="24"/>
        </w:rPr>
        <w:t xml:space="preserve">unlawful and unreasonable proposals contained in the Application and order DP&amp;L to file an amended application for the transfer of the </w:t>
      </w:r>
      <w:r w:rsidR="00FB04E5">
        <w:rPr>
          <w:rFonts w:cs="Arial"/>
          <w:sz w:val="24"/>
          <w:szCs w:val="24"/>
        </w:rPr>
        <w:t>generation</w:t>
      </w:r>
      <w:r w:rsidR="002629A5">
        <w:rPr>
          <w:rFonts w:cs="Arial"/>
          <w:sz w:val="24"/>
          <w:szCs w:val="24"/>
        </w:rPr>
        <w:t xml:space="preserve"> assets that complies with the Commission’s rules</w:t>
      </w:r>
      <w:r w:rsidR="00C56592">
        <w:rPr>
          <w:rFonts w:cs="Arial"/>
          <w:sz w:val="24"/>
          <w:szCs w:val="24"/>
        </w:rPr>
        <w:t>,</w:t>
      </w:r>
      <w:r w:rsidR="003C2DD2">
        <w:rPr>
          <w:rFonts w:cs="Arial"/>
          <w:sz w:val="24"/>
          <w:szCs w:val="24"/>
        </w:rPr>
        <w:t xml:space="preserve"> </w:t>
      </w:r>
      <w:r w:rsidR="008C3EB7">
        <w:rPr>
          <w:rFonts w:cs="Arial"/>
          <w:sz w:val="24"/>
          <w:szCs w:val="24"/>
        </w:rPr>
        <w:t>Ohio</w:t>
      </w:r>
      <w:r w:rsidR="003C2DD2">
        <w:rPr>
          <w:rFonts w:cs="Arial"/>
          <w:sz w:val="24"/>
          <w:szCs w:val="24"/>
        </w:rPr>
        <w:t xml:space="preserve"> law, and sound public policy</w:t>
      </w:r>
      <w:r w:rsidR="002629A5">
        <w:rPr>
          <w:rFonts w:cs="Arial"/>
          <w:sz w:val="24"/>
          <w:szCs w:val="24"/>
        </w:rPr>
        <w:t>.</w:t>
      </w:r>
    </w:p>
    <w:p w:rsidR="00E5733B" w:rsidRPr="002C127A" w:rsidRDefault="00EB058C" w:rsidP="002C127A">
      <w:pPr>
        <w:pStyle w:val="S2Heading1"/>
        <w:rPr>
          <w:sz w:val="24"/>
          <w:szCs w:val="24"/>
        </w:rPr>
      </w:pPr>
      <w:bookmarkStart w:id="7" w:name="_Toc383506923"/>
      <w:bookmarkStart w:id="8" w:name="_Toc383517956"/>
      <w:bookmarkStart w:id="9" w:name="_Toc383524577"/>
      <w:r w:rsidRPr="002C127A">
        <w:rPr>
          <w:sz w:val="24"/>
          <w:szCs w:val="24"/>
        </w:rPr>
        <w:t>ARGUMENT</w:t>
      </w:r>
      <w:bookmarkEnd w:id="7"/>
      <w:bookmarkEnd w:id="8"/>
      <w:bookmarkEnd w:id="9"/>
    </w:p>
    <w:p w:rsidR="00EB058C" w:rsidRDefault="006867A0" w:rsidP="00EB058C">
      <w:pPr>
        <w:tabs>
          <w:tab w:val="left" w:pos="720"/>
          <w:tab w:val="right" w:pos="8640"/>
        </w:tabs>
        <w:spacing w:line="480" w:lineRule="auto"/>
        <w:jc w:val="both"/>
        <w:rPr>
          <w:rFonts w:cs="Arial"/>
          <w:sz w:val="24"/>
          <w:szCs w:val="24"/>
        </w:rPr>
      </w:pPr>
      <w:r>
        <w:rPr>
          <w:rFonts w:eastAsia="Times New Roman" w:cs="Arial"/>
          <w:sz w:val="24"/>
          <w:szCs w:val="24"/>
        </w:rPr>
        <w:tab/>
      </w:r>
      <w:r w:rsidR="00EB058C" w:rsidRPr="00EB058C">
        <w:rPr>
          <w:rFonts w:eastAsia="Times New Roman" w:cs="Arial"/>
          <w:sz w:val="24"/>
          <w:szCs w:val="24"/>
        </w:rPr>
        <w:t xml:space="preserve">An </w:t>
      </w:r>
      <w:r w:rsidR="00683BF1">
        <w:rPr>
          <w:rFonts w:eastAsia="Times New Roman" w:cs="Arial"/>
          <w:sz w:val="24"/>
          <w:szCs w:val="24"/>
        </w:rPr>
        <w:t xml:space="preserve">EDU </w:t>
      </w:r>
      <w:r w:rsidR="00701293">
        <w:rPr>
          <w:rFonts w:eastAsia="Times New Roman" w:cs="Arial"/>
          <w:sz w:val="24"/>
          <w:szCs w:val="24"/>
        </w:rPr>
        <w:t>must receive Commission approval</w:t>
      </w:r>
      <w:r>
        <w:rPr>
          <w:rFonts w:eastAsia="Times New Roman" w:cs="Arial"/>
          <w:sz w:val="24"/>
          <w:szCs w:val="24"/>
        </w:rPr>
        <w:t xml:space="preserve"> to transfer its </w:t>
      </w:r>
      <w:r w:rsidR="00FB04E5">
        <w:rPr>
          <w:rFonts w:eastAsia="Times New Roman" w:cs="Arial"/>
          <w:sz w:val="24"/>
          <w:szCs w:val="24"/>
        </w:rPr>
        <w:t>generation</w:t>
      </w:r>
      <w:r>
        <w:rPr>
          <w:rFonts w:eastAsia="Times New Roman" w:cs="Arial"/>
          <w:sz w:val="24"/>
          <w:szCs w:val="24"/>
        </w:rPr>
        <w:t xml:space="preserve"> assets</w:t>
      </w:r>
      <w:r w:rsidR="00EB058C" w:rsidRPr="00EB058C">
        <w:rPr>
          <w:rFonts w:eastAsia="Times New Roman" w:cs="Arial"/>
          <w:sz w:val="24"/>
          <w:szCs w:val="24"/>
        </w:rPr>
        <w:t>.</w:t>
      </w:r>
      <w:r w:rsidR="00EB058C" w:rsidRPr="00EB058C">
        <w:rPr>
          <w:rFonts w:eastAsia="Times New Roman" w:cs="Arial"/>
          <w:sz w:val="24"/>
          <w:szCs w:val="24"/>
          <w:vertAlign w:val="superscript"/>
        </w:rPr>
        <w:footnoteReference w:id="4"/>
      </w:r>
      <w:r w:rsidR="00EB058C">
        <w:rPr>
          <w:rFonts w:eastAsia="Times New Roman" w:cs="Arial"/>
          <w:sz w:val="24"/>
          <w:szCs w:val="24"/>
        </w:rPr>
        <w:t xml:space="preserve"> </w:t>
      </w:r>
      <w:r w:rsidR="00EB058C" w:rsidRPr="00EB058C">
        <w:rPr>
          <w:rFonts w:eastAsia="Times New Roman" w:cs="Arial"/>
          <w:sz w:val="24"/>
          <w:szCs w:val="24"/>
        </w:rPr>
        <w:t xml:space="preserve"> The Commission </w:t>
      </w:r>
      <w:r w:rsidR="00DF736B">
        <w:rPr>
          <w:rFonts w:eastAsia="Times New Roman" w:cs="Arial"/>
          <w:sz w:val="24"/>
          <w:szCs w:val="24"/>
        </w:rPr>
        <w:t>may</w:t>
      </w:r>
      <w:r w:rsidR="00EB058C" w:rsidRPr="00EB058C">
        <w:rPr>
          <w:rFonts w:eastAsia="Times New Roman" w:cs="Arial"/>
          <w:sz w:val="24"/>
          <w:szCs w:val="24"/>
        </w:rPr>
        <w:t xml:space="preserve"> approve an application to transfer </w:t>
      </w:r>
      <w:r w:rsidR="00FB04E5">
        <w:rPr>
          <w:rFonts w:eastAsia="Times New Roman" w:cs="Arial"/>
          <w:sz w:val="24"/>
          <w:szCs w:val="24"/>
        </w:rPr>
        <w:t>generation</w:t>
      </w:r>
      <w:r w:rsidR="00EB058C" w:rsidRPr="00EB058C">
        <w:rPr>
          <w:rFonts w:eastAsia="Times New Roman" w:cs="Arial"/>
          <w:sz w:val="24"/>
          <w:szCs w:val="24"/>
        </w:rPr>
        <w:t xml:space="preserve"> assets </w:t>
      </w:r>
      <w:r w:rsidR="00701293">
        <w:rPr>
          <w:rFonts w:eastAsia="Times New Roman" w:cs="Arial"/>
          <w:sz w:val="24"/>
          <w:szCs w:val="24"/>
        </w:rPr>
        <w:t xml:space="preserve">only </w:t>
      </w:r>
      <w:r w:rsidR="00EB058C" w:rsidRPr="00EB058C">
        <w:rPr>
          <w:rFonts w:eastAsia="Times New Roman" w:cs="Arial"/>
          <w:sz w:val="24"/>
          <w:szCs w:val="24"/>
        </w:rPr>
        <w:t>if it “</w:t>
      </w:r>
      <w:r w:rsidR="00EB058C" w:rsidRPr="00EB058C">
        <w:rPr>
          <w:rFonts w:cs="Arial"/>
          <w:sz w:val="24"/>
          <w:szCs w:val="24"/>
        </w:rPr>
        <w:t>is satisfied that the sale or transfer is just, reasonab</w:t>
      </w:r>
      <w:r w:rsidR="00EB058C">
        <w:rPr>
          <w:rFonts w:cs="Arial"/>
          <w:sz w:val="24"/>
          <w:szCs w:val="24"/>
        </w:rPr>
        <w:t>le, and in the public interest . . . .</w:t>
      </w:r>
      <w:r w:rsidR="00EB058C" w:rsidRPr="00EB058C">
        <w:rPr>
          <w:rFonts w:cs="Arial"/>
          <w:sz w:val="24"/>
          <w:szCs w:val="24"/>
        </w:rPr>
        <w:t>”</w:t>
      </w:r>
      <w:r w:rsidR="00EB058C" w:rsidRPr="00EB058C">
        <w:rPr>
          <w:rFonts w:cs="Arial"/>
          <w:sz w:val="24"/>
          <w:szCs w:val="24"/>
          <w:vertAlign w:val="superscript"/>
        </w:rPr>
        <w:footnoteReference w:id="5"/>
      </w:r>
      <w:r w:rsidR="00EB058C" w:rsidRPr="00EB058C">
        <w:rPr>
          <w:rFonts w:cs="Arial"/>
          <w:sz w:val="24"/>
          <w:szCs w:val="24"/>
        </w:rPr>
        <w:t xml:space="preserve">  The Commission must also ensure that the transfer furthers state policy objectives containe</w:t>
      </w:r>
      <w:r w:rsidR="001433AD">
        <w:rPr>
          <w:rFonts w:cs="Arial"/>
          <w:sz w:val="24"/>
          <w:szCs w:val="24"/>
        </w:rPr>
        <w:t>d in R.C. 4928.02</w:t>
      </w:r>
      <w:r w:rsidR="00EB058C" w:rsidRPr="00EB058C">
        <w:rPr>
          <w:rFonts w:cs="Arial"/>
          <w:sz w:val="24"/>
          <w:szCs w:val="24"/>
        </w:rPr>
        <w:t>.</w:t>
      </w:r>
      <w:r w:rsidR="00EB058C" w:rsidRPr="00EB058C">
        <w:rPr>
          <w:rFonts w:cs="Arial"/>
          <w:sz w:val="24"/>
          <w:szCs w:val="24"/>
          <w:vertAlign w:val="superscript"/>
        </w:rPr>
        <w:footnoteReference w:id="6"/>
      </w:r>
      <w:r w:rsidR="00EB058C" w:rsidRPr="00EB058C">
        <w:rPr>
          <w:rFonts w:cs="Arial"/>
          <w:sz w:val="24"/>
          <w:szCs w:val="24"/>
        </w:rPr>
        <w:t xml:space="preserve">  </w:t>
      </w:r>
    </w:p>
    <w:p w:rsidR="00FE3D36" w:rsidRPr="006867A0" w:rsidRDefault="00DF736B" w:rsidP="00FE3D36">
      <w:pPr>
        <w:spacing w:line="480" w:lineRule="auto"/>
        <w:ind w:firstLine="720"/>
        <w:jc w:val="both"/>
        <w:rPr>
          <w:rFonts w:cs="Arial"/>
          <w:sz w:val="24"/>
          <w:szCs w:val="24"/>
        </w:rPr>
      </w:pPr>
      <w:r>
        <w:rPr>
          <w:rFonts w:cs="Arial"/>
          <w:sz w:val="24"/>
          <w:szCs w:val="24"/>
        </w:rPr>
        <w:t xml:space="preserve">Pursuant to </w:t>
      </w:r>
      <w:r w:rsidR="00FE3D36" w:rsidRPr="006867A0">
        <w:rPr>
          <w:rFonts w:cs="Arial"/>
          <w:sz w:val="24"/>
          <w:szCs w:val="24"/>
        </w:rPr>
        <w:t xml:space="preserve">Rule 4901:1-37-09(C), OAC, an application to sell or transfer </w:t>
      </w:r>
      <w:r w:rsidR="00FB04E5">
        <w:rPr>
          <w:rFonts w:cs="Arial"/>
          <w:sz w:val="24"/>
          <w:szCs w:val="24"/>
        </w:rPr>
        <w:t>generation</w:t>
      </w:r>
      <w:r w:rsidR="00FE3D36" w:rsidRPr="006867A0">
        <w:rPr>
          <w:rFonts w:cs="Arial"/>
          <w:sz w:val="24"/>
          <w:szCs w:val="24"/>
        </w:rPr>
        <w:t xml:space="preserve"> assets </w:t>
      </w:r>
      <w:r w:rsidR="00FE3D36" w:rsidRPr="007A6D48">
        <w:rPr>
          <w:rFonts w:cs="Arial"/>
          <w:sz w:val="24"/>
          <w:szCs w:val="24"/>
        </w:rPr>
        <w:t>shall, at a minimum</w:t>
      </w:r>
      <w:r w:rsidR="00FE3D36" w:rsidRPr="006867A0">
        <w:rPr>
          <w:rFonts w:cs="Arial"/>
          <w:sz w:val="24"/>
          <w:szCs w:val="24"/>
        </w:rPr>
        <w:t>:</w:t>
      </w:r>
    </w:p>
    <w:p w:rsidR="00FE3D36" w:rsidRPr="006867A0" w:rsidRDefault="00FE3D36" w:rsidP="00FE3D36">
      <w:pPr>
        <w:spacing w:after="120" w:line="276" w:lineRule="auto"/>
        <w:ind w:left="1440" w:right="720" w:hanging="720"/>
        <w:jc w:val="both"/>
        <w:rPr>
          <w:rFonts w:cs="Arial"/>
          <w:sz w:val="24"/>
          <w:szCs w:val="24"/>
        </w:rPr>
      </w:pPr>
      <w:r w:rsidRPr="006867A0">
        <w:rPr>
          <w:rFonts w:cs="Arial"/>
          <w:sz w:val="24"/>
          <w:szCs w:val="24"/>
        </w:rPr>
        <w:t>(1)</w:t>
      </w:r>
      <w:r w:rsidRPr="006867A0">
        <w:rPr>
          <w:rFonts w:cs="Arial"/>
          <w:sz w:val="24"/>
          <w:szCs w:val="24"/>
        </w:rPr>
        <w:tab/>
        <w:t xml:space="preserve">Clearly set forth the object and purpose of the sale or transfer, and the </w:t>
      </w:r>
      <w:r w:rsidRPr="007A6D48">
        <w:rPr>
          <w:rFonts w:cs="Arial"/>
          <w:sz w:val="24"/>
          <w:szCs w:val="24"/>
        </w:rPr>
        <w:t>terms and conditions</w:t>
      </w:r>
      <w:r w:rsidRPr="006867A0">
        <w:rPr>
          <w:rFonts w:cs="Arial"/>
          <w:sz w:val="24"/>
          <w:szCs w:val="24"/>
        </w:rPr>
        <w:t xml:space="preserve"> of the same.</w:t>
      </w:r>
    </w:p>
    <w:p w:rsidR="00FE3D36" w:rsidRPr="006867A0" w:rsidRDefault="00FE3D36" w:rsidP="00FE3D36">
      <w:pPr>
        <w:spacing w:after="120" w:line="276" w:lineRule="auto"/>
        <w:ind w:left="1440" w:right="720" w:hanging="720"/>
        <w:jc w:val="both"/>
        <w:rPr>
          <w:rFonts w:cs="Arial"/>
          <w:sz w:val="24"/>
          <w:szCs w:val="24"/>
        </w:rPr>
      </w:pPr>
      <w:r w:rsidRPr="006867A0">
        <w:rPr>
          <w:rFonts w:cs="Arial"/>
          <w:sz w:val="24"/>
          <w:szCs w:val="24"/>
        </w:rPr>
        <w:t>(2)</w:t>
      </w:r>
      <w:r w:rsidRPr="006867A0">
        <w:rPr>
          <w:rFonts w:cs="Arial"/>
          <w:sz w:val="24"/>
          <w:szCs w:val="24"/>
        </w:rPr>
        <w:tab/>
        <w:t>Demonstrate how the sale or transfer will affect the current and future standard service offer established pursuant to section 4928.141 of the Revised Code.</w:t>
      </w:r>
    </w:p>
    <w:p w:rsidR="00FE3D36" w:rsidRPr="006867A0" w:rsidRDefault="00FE3D36" w:rsidP="00FE3D36">
      <w:pPr>
        <w:spacing w:after="120" w:line="276" w:lineRule="auto"/>
        <w:ind w:left="1440" w:right="720" w:hanging="720"/>
        <w:jc w:val="both"/>
        <w:rPr>
          <w:rFonts w:cs="Arial"/>
          <w:sz w:val="24"/>
          <w:szCs w:val="24"/>
        </w:rPr>
      </w:pPr>
      <w:r w:rsidRPr="006867A0">
        <w:rPr>
          <w:rFonts w:cs="Arial"/>
          <w:sz w:val="24"/>
          <w:szCs w:val="24"/>
        </w:rPr>
        <w:t>(3)</w:t>
      </w:r>
      <w:r w:rsidRPr="006867A0">
        <w:rPr>
          <w:rFonts w:cs="Arial"/>
          <w:sz w:val="24"/>
          <w:szCs w:val="24"/>
        </w:rPr>
        <w:tab/>
        <w:t>Demonstrate how the proposed sale or transfer will affect the public interest.</w:t>
      </w:r>
    </w:p>
    <w:p w:rsidR="00FE3D36" w:rsidRPr="006867A0" w:rsidRDefault="00FE3D36" w:rsidP="00FE3D36">
      <w:pPr>
        <w:spacing w:after="120" w:line="276" w:lineRule="auto"/>
        <w:ind w:left="1440" w:right="720" w:hanging="720"/>
        <w:jc w:val="both"/>
        <w:rPr>
          <w:rFonts w:cs="Arial"/>
          <w:sz w:val="24"/>
          <w:szCs w:val="24"/>
        </w:rPr>
      </w:pPr>
      <w:r w:rsidRPr="006867A0">
        <w:rPr>
          <w:rFonts w:cs="Arial"/>
          <w:sz w:val="24"/>
          <w:szCs w:val="24"/>
        </w:rPr>
        <w:t>(4)</w:t>
      </w:r>
      <w:r w:rsidRPr="006867A0">
        <w:rPr>
          <w:rFonts w:cs="Arial"/>
          <w:sz w:val="24"/>
          <w:szCs w:val="24"/>
        </w:rPr>
        <w:tab/>
        <w:t>State the fair market value and book value of all property to be transferred from the electric utility, and state how the fair market value was determined.</w:t>
      </w:r>
      <w:r w:rsidRPr="006867A0">
        <w:rPr>
          <w:rFonts w:cs="Arial"/>
          <w:sz w:val="24"/>
          <w:szCs w:val="24"/>
          <w:vertAlign w:val="superscript"/>
        </w:rPr>
        <w:footnoteReference w:id="7"/>
      </w:r>
    </w:p>
    <w:p w:rsidR="00B650C3" w:rsidRDefault="00FE3D36" w:rsidP="00B650C3">
      <w:pPr>
        <w:spacing w:line="480" w:lineRule="auto"/>
        <w:jc w:val="both"/>
        <w:rPr>
          <w:rFonts w:cs="Arial"/>
          <w:sz w:val="24"/>
          <w:szCs w:val="24"/>
        </w:rPr>
      </w:pPr>
      <w:r w:rsidRPr="006867A0">
        <w:rPr>
          <w:rFonts w:cs="Arial"/>
          <w:sz w:val="24"/>
          <w:szCs w:val="24"/>
        </w:rPr>
        <w:lastRenderedPageBreak/>
        <w:t>The detailed information required by this rule enables the Commission to evaluate whether the transfer will promote competition, state policy, and the public interest</w:t>
      </w:r>
      <w:r w:rsidR="003C2DD2">
        <w:rPr>
          <w:rFonts w:cs="Arial"/>
          <w:sz w:val="24"/>
          <w:szCs w:val="24"/>
        </w:rPr>
        <w:t>.</w:t>
      </w:r>
      <w:r>
        <w:rPr>
          <w:rFonts w:cs="Arial"/>
          <w:sz w:val="24"/>
          <w:szCs w:val="24"/>
        </w:rPr>
        <w:t xml:space="preserve">  A party may receive a waiver of the application requirements only after demonstrating good cause.</w:t>
      </w:r>
      <w:r w:rsidR="009454C4">
        <w:rPr>
          <w:rStyle w:val="FootnoteReference"/>
          <w:rFonts w:cs="Arial"/>
          <w:sz w:val="24"/>
          <w:szCs w:val="24"/>
        </w:rPr>
        <w:footnoteReference w:id="8"/>
      </w:r>
    </w:p>
    <w:p w:rsidR="0089276F" w:rsidRPr="002C127A" w:rsidRDefault="0089276F" w:rsidP="0089276F">
      <w:pPr>
        <w:pStyle w:val="S2Heading2"/>
        <w:rPr>
          <w:sz w:val="24"/>
          <w:szCs w:val="24"/>
        </w:rPr>
      </w:pPr>
      <w:bookmarkStart w:id="10" w:name="_Toc383506924"/>
      <w:bookmarkStart w:id="11" w:name="_Toc383517957"/>
      <w:bookmarkStart w:id="12" w:name="_Toc383524578"/>
      <w:r w:rsidRPr="002C127A">
        <w:rPr>
          <w:sz w:val="24"/>
          <w:szCs w:val="24"/>
        </w:rPr>
        <w:t>DP&amp;L has not clearly set forth the terms and conditions of the transfer</w:t>
      </w:r>
      <w:bookmarkEnd w:id="10"/>
      <w:bookmarkEnd w:id="11"/>
      <w:bookmarkEnd w:id="12"/>
    </w:p>
    <w:p w:rsidR="0089276F" w:rsidRDefault="00F927F1" w:rsidP="0089276F">
      <w:pPr>
        <w:spacing w:line="480" w:lineRule="auto"/>
        <w:ind w:firstLine="720"/>
        <w:jc w:val="both"/>
        <w:rPr>
          <w:rFonts w:cs="Arial"/>
          <w:sz w:val="24"/>
          <w:szCs w:val="24"/>
        </w:rPr>
      </w:pPr>
      <w:r>
        <w:rPr>
          <w:rFonts w:cs="Arial"/>
          <w:sz w:val="24"/>
          <w:szCs w:val="24"/>
        </w:rPr>
        <w:t>The application must “[c]</w:t>
      </w:r>
      <w:r w:rsidRPr="006867A0">
        <w:rPr>
          <w:rFonts w:cs="Arial"/>
          <w:sz w:val="24"/>
          <w:szCs w:val="24"/>
        </w:rPr>
        <w:t xml:space="preserve">learly set forth the object and purpose of the sale or transfer, and the </w:t>
      </w:r>
      <w:r w:rsidRPr="00701293">
        <w:rPr>
          <w:rFonts w:cs="Arial"/>
          <w:sz w:val="24"/>
          <w:szCs w:val="24"/>
        </w:rPr>
        <w:t>terms and conditions</w:t>
      </w:r>
      <w:r w:rsidRPr="006867A0">
        <w:rPr>
          <w:rFonts w:cs="Arial"/>
          <w:sz w:val="24"/>
          <w:szCs w:val="24"/>
        </w:rPr>
        <w:t xml:space="preserve"> of the same.</w:t>
      </w:r>
      <w:r>
        <w:rPr>
          <w:rFonts w:cs="Arial"/>
          <w:sz w:val="24"/>
          <w:szCs w:val="24"/>
        </w:rPr>
        <w:t>”</w:t>
      </w:r>
      <w:r>
        <w:rPr>
          <w:rStyle w:val="FootnoteReference"/>
          <w:rFonts w:cs="Arial"/>
          <w:sz w:val="24"/>
          <w:szCs w:val="24"/>
        </w:rPr>
        <w:footnoteReference w:id="9"/>
      </w:r>
      <w:r>
        <w:rPr>
          <w:rFonts w:cs="Arial"/>
          <w:sz w:val="24"/>
          <w:szCs w:val="24"/>
        </w:rPr>
        <w:t xml:space="preserve">  </w:t>
      </w:r>
      <w:r w:rsidR="00183F74">
        <w:rPr>
          <w:rFonts w:cs="Arial"/>
          <w:sz w:val="24"/>
          <w:szCs w:val="24"/>
        </w:rPr>
        <w:t xml:space="preserve">Several aspects of </w:t>
      </w:r>
      <w:r w:rsidR="0089276F">
        <w:rPr>
          <w:rFonts w:cs="Arial"/>
          <w:sz w:val="24"/>
          <w:szCs w:val="24"/>
        </w:rPr>
        <w:t>DP&amp;L’s Applic</w:t>
      </w:r>
      <w:r w:rsidR="00183F74">
        <w:rPr>
          <w:rFonts w:cs="Arial"/>
          <w:sz w:val="24"/>
          <w:szCs w:val="24"/>
        </w:rPr>
        <w:t>ation fall short of</w:t>
      </w:r>
      <w:r w:rsidR="0089276F">
        <w:rPr>
          <w:rFonts w:cs="Arial"/>
          <w:sz w:val="24"/>
          <w:szCs w:val="24"/>
        </w:rPr>
        <w:t xml:space="preserve"> satisfy</w:t>
      </w:r>
      <w:r w:rsidR="00183F74">
        <w:rPr>
          <w:rFonts w:cs="Arial"/>
          <w:sz w:val="24"/>
          <w:szCs w:val="24"/>
        </w:rPr>
        <w:t>ing</w:t>
      </w:r>
      <w:r w:rsidR="0089276F">
        <w:rPr>
          <w:rFonts w:cs="Arial"/>
          <w:sz w:val="24"/>
          <w:szCs w:val="24"/>
        </w:rPr>
        <w:t xml:space="preserve"> this requirement</w:t>
      </w:r>
      <w:r w:rsidR="00183F74">
        <w:rPr>
          <w:rFonts w:cs="Arial"/>
          <w:sz w:val="24"/>
          <w:szCs w:val="24"/>
        </w:rPr>
        <w:t>.</w:t>
      </w:r>
    </w:p>
    <w:p w:rsidR="00403C03" w:rsidRDefault="00270829" w:rsidP="0089276F">
      <w:pPr>
        <w:spacing w:line="480" w:lineRule="auto"/>
        <w:ind w:firstLine="720"/>
        <w:jc w:val="both"/>
        <w:rPr>
          <w:rFonts w:cs="Arial"/>
          <w:sz w:val="24"/>
          <w:szCs w:val="24"/>
        </w:rPr>
      </w:pPr>
      <w:r>
        <w:rPr>
          <w:rFonts w:cs="Arial"/>
          <w:sz w:val="24"/>
          <w:szCs w:val="24"/>
        </w:rPr>
        <w:t xml:space="preserve">As in the prior filing, DP&amp;L does not provide any detail regarding the terms of the transfer.  It does not identify the transferee of the assets, stating it will transfer </w:t>
      </w:r>
      <w:r w:rsidR="0089276F">
        <w:rPr>
          <w:rFonts w:cs="Arial"/>
          <w:sz w:val="24"/>
          <w:szCs w:val="24"/>
        </w:rPr>
        <w:t xml:space="preserve">its </w:t>
      </w:r>
      <w:r w:rsidR="00FB04E5">
        <w:rPr>
          <w:rFonts w:cs="Arial"/>
          <w:sz w:val="24"/>
          <w:szCs w:val="24"/>
        </w:rPr>
        <w:t>generation</w:t>
      </w:r>
      <w:r w:rsidR="0089276F">
        <w:rPr>
          <w:rFonts w:cs="Arial"/>
          <w:sz w:val="24"/>
          <w:szCs w:val="24"/>
        </w:rPr>
        <w:t xml:space="preserve"> assets </w:t>
      </w:r>
      <w:r w:rsidR="00403C03">
        <w:rPr>
          <w:rFonts w:cs="Arial"/>
          <w:sz w:val="24"/>
          <w:szCs w:val="24"/>
        </w:rPr>
        <w:t>to its</w:t>
      </w:r>
      <w:r w:rsidR="0089276F">
        <w:rPr>
          <w:rFonts w:cs="Arial"/>
          <w:sz w:val="24"/>
          <w:szCs w:val="24"/>
        </w:rPr>
        <w:t xml:space="preserve"> unregulated affiliate or “to an unaffiliated third party through a potential sale.”</w:t>
      </w:r>
      <w:r w:rsidR="00403C03">
        <w:rPr>
          <w:rStyle w:val="FootnoteReference"/>
          <w:rFonts w:cs="Arial"/>
          <w:sz w:val="24"/>
          <w:szCs w:val="24"/>
        </w:rPr>
        <w:footnoteReference w:id="10"/>
      </w:r>
      <w:r w:rsidR="0089276F">
        <w:rPr>
          <w:rFonts w:cs="Arial"/>
          <w:sz w:val="24"/>
          <w:szCs w:val="24"/>
        </w:rPr>
        <w:t xml:space="preserve"> </w:t>
      </w:r>
      <w:r w:rsidR="00403C03">
        <w:rPr>
          <w:rFonts w:cs="Arial"/>
          <w:sz w:val="24"/>
          <w:szCs w:val="24"/>
        </w:rPr>
        <w:t xml:space="preserve"> </w:t>
      </w:r>
      <w:r>
        <w:rPr>
          <w:rFonts w:cs="Arial"/>
          <w:sz w:val="24"/>
          <w:szCs w:val="24"/>
        </w:rPr>
        <w:t xml:space="preserve">It does not state </w:t>
      </w:r>
      <w:r w:rsidR="003D5F90">
        <w:rPr>
          <w:rFonts w:cs="Arial"/>
          <w:sz w:val="24"/>
          <w:szCs w:val="24"/>
        </w:rPr>
        <w:t xml:space="preserve">the </w:t>
      </w:r>
      <w:r>
        <w:rPr>
          <w:rFonts w:cs="Arial"/>
          <w:sz w:val="24"/>
          <w:szCs w:val="24"/>
        </w:rPr>
        <w:t xml:space="preserve">date of transfer, only offering </w:t>
      </w:r>
      <w:r w:rsidR="0089276F">
        <w:rPr>
          <w:rFonts w:cs="Arial"/>
          <w:sz w:val="24"/>
          <w:szCs w:val="24"/>
        </w:rPr>
        <w:t>that “a sale to a third party could occur as early as 2014.”</w:t>
      </w:r>
      <w:r w:rsidR="00403C03">
        <w:rPr>
          <w:rStyle w:val="FootnoteReference"/>
          <w:rFonts w:cs="Arial"/>
          <w:sz w:val="24"/>
          <w:szCs w:val="24"/>
        </w:rPr>
        <w:footnoteReference w:id="11"/>
      </w:r>
      <w:r w:rsidR="0089276F">
        <w:rPr>
          <w:rFonts w:cs="Arial"/>
          <w:sz w:val="24"/>
          <w:szCs w:val="24"/>
        </w:rPr>
        <w:t xml:space="preserve">  </w:t>
      </w:r>
      <w:r>
        <w:rPr>
          <w:rFonts w:cs="Arial"/>
          <w:sz w:val="24"/>
          <w:szCs w:val="24"/>
        </w:rPr>
        <w:t xml:space="preserve">It fails to state the amount of the purchase price, offering only that the price will be </w:t>
      </w:r>
      <w:r w:rsidR="00403C03">
        <w:rPr>
          <w:rFonts w:cs="Arial"/>
          <w:sz w:val="24"/>
          <w:szCs w:val="24"/>
        </w:rPr>
        <w:t>at fair market value and that it will state the fair market value “no later than 75 days before the transfer date.”</w:t>
      </w:r>
      <w:r w:rsidR="00403C03">
        <w:rPr>
          <w:rStyle w:val="FootnoteReference"/>
          <w:rFonts w:cs="Arial"/>
          <w:sz w:val="24"/>
          <w:szCs w:val="24"/>
        </w:rPr>
        <w:footnoteReference w:id="12"/>
      </w:r>
    </w:p>
    <w:p w:rsidR="00DB6D81" w:rsidRDefault="00DB6D81" w:rsidP="00DB6D81">
      <w:pPr>
        <w:spacing w:line="480" w:lineRule="auto"/>
        <w:ind w:firstLine="720"/>
        <w:jc w:val="both"/>
        <w:rPr>
          <w:rFonts w:cs="Arial"/>
          <w:sz w:val="24"/>
          <w:szCs w:val="24"/>
        </w:rPr>
      </w:pPr>
      <w:r>
        <w:rPr>
          <w:rFonts w:cs="Arial"/>
          <w:sz w:val="24"/>
          <w:szCs w:val="24"/>
        </w:rPr>
        <w:t xml:space="preserve">DP&amp;L’s Application </w:t>
      </w:r>
      <w:r w:rsidR="00270829">
        <w:rPr>
          <w:rFonts w:cs="Arial"/>
          <w:sz w:val="24"/>
          <w:szCs w:val="24"/>
        </w:rPr>
        <w:t xml:space="preserve">also </w:t>
      </w:r>
      <w:r>
        <w:rPr>
          <w:rFonts w:cs="Arial"/>
          <w:sz w:val="24"/>
          <w:szCs w:val="24"/>
        </w:rPr>
        <w:t>proposes that</w:t>
      </w:r>
      <w:r w:rsidR="002629A5">
        <w:rPr>
          <w:rFonts w:cs="Arial"/>
          <w:sz w:val="24"/>
          <w:szCs w:val="24"/>
        </w:rPr>
        <w:t>,</w:t>
      </w:r>
      <w:r>
        <w:rPr>
          <w:rFonts w:cs="Arial"/>
          <w:sz w:val="24"/>
          <w:szCs w:val="24"/>
        </w:rPr>
        <w:t xml:space="preserve"> </w:t>
      </w:r>
      <w:r w:rsidRPr="008E1665">
        <w:rPr>
          <w:rFonts w:cs="Arial"/>
          <w:sz w:val="24"/>
          <w:szCs w:val="24"/>
        </w:rPr>
        <w:t xml:space="preserve">after the transfer of its generation assets, it be permitted to maintain </w:t>
      </w:r>
      <w:r w:rsidR="005E48E6" w:rsidRPr="008E1665">
        <w:rPr>
          <w:rFonts w:cs="Arial"/>
          <w:sz w:val="24"/>
          <w:szCs w:val="24"/>
        </w:rPr>
        <w:t xml:space="preserve">temporarily </w:t>
      </w:r>
      <w:r w:rsidRPr="008E1665">
        <w:rPr>
          <w:rFonts w:cs="Arial"/>
          <w:sz w:val="24"/>
          <w:szCs w:val="24"/>
        </w:rPr>
        <w:t xml:space="preserve">total </w:t>
      </w:r>
      <w:r w:rsidR="007026EC" w:rsidRPr="008E1665">
        <w:rPr>
          <w:rFonts w:cs="Arial"/>
          <w:sz w:val="24"/>
          <w:szCs w:val="24"/>
        </w:rPr>
        <w:t>long-term</w:t>
      </w:r>
      <w:r w:rsidRPr="008E1665">
        <w:rPr>
          <w:rFonts w:cs="Arial"/>
          <w:sz w:val="24"/>
          <w:szCs w:val="24"/>
        </w:rPr>
        <w:t xml:space="preserve"> debt of $750 million or total debt equal to 75% of rate base, whichever is greater.</w:t>
      </w:r>
      <w:r>
        <w:rPr>
          <w:rFonts w:cs="Arial"/>
          <w:sz w:val="24"/>
          <w:szCs w:val="24"/>
        </w:rPr>
        <w:t xml:space="preserve">  DP&amp;L’s </w:t>
      </w:r>
      <w:r w:rsidRPr="008E1665">
        <w:rPr>
          <w:rFonts w:cs="Arial"/>
          <w:sz w:val="24"/>
          <w:szCs w:val="24"/>
        </w:rPr>
        <w:t>request appears to raise the threshold question of whether the debt associated with the</w:t>
      </w:r>
      <w:r>
        <w:rPr>
          <w:rFonts w:cs="Arial"/>
          <w:sz w:val="24"/>
          <w:szCs w:val="24"/>
        </w:rPr>
        <w:t xml:space="preserve"> to-be-transferred</w:t>
      </w:r>
      <w:r w:rsidRPr="008E1665">
        <w:rPr>
          <w:rFonts w:cs="Arial"/>
          <w:sz w:val="24"/>
          <w:szCs w:val="24"/>
        </w:rPr>
        <w:t xml:space="preserve"> </w:t>
      </w:r>
      <w:r w:rsidR="00FB04E5">
        <w:rPr>
          <w:rFonts w:cs="Arial"/>
          <w:sz w:val="24"/>
          <w:szCs w:val="24"/>
        </w:rPr>
        <w:t>generation</w:t>
      </w:r>
      <w:r>
        <w:rPr>
          <w:rFonts w:cs="Arial"/>
          <w:sz w:val="24"/>
          <w:szCs w:val="24"/>
        </w:rPr>
        <w:t xml:space="preserve"> </w:t>
      </w:r>
      <w:r>
        <w:rPr>
          <w:rFonts w:cs="Arial"/>
          <w:sz w:val="24"/>
          <w:szCs w:val="24"/>
        </w:rPr>
        <w:lastRenderedPageBreak/>
        <w:t xml:space="preserve">assets </w:t>
      </w:r>
      <w:r w:rsidRPr="008E1665">
        <w:rPr>
          <w:rFonts w:cs="Arial"/>
          <w:sz w:val="24"/>
          <w:szCs w:val="24"/>
        </w:rPr>
        <w:t>will remain for DP&amp;L’s customers to service.</w:t>
      </w:r>
      <w:r>
        <w:rPr>
          <w:rFonts w:cs="Arial"/>
          <w:sz w:val="24"/>
          <w:szCs w:val="24"/>
        </w:rPr>
        <w:t xml:space="preserve">  </w:t>
      </w:r>
      <w:r w:rsidR="003C2DD2">
        <w:rPr>
          <w:rFonts w:cs="Arial"/>
          <w:sz w:val="24"/>
          <w:szCs w:val="24"/>
        </w:rPr>
        <w:t xml:space="preserve">If </w:t>
      </w:r>
      <w:r>
        <w:rPr>
          <w:rFonts w:cs="Arial"/>
          <w:sz w:val="24"/>
          <w:szCs w:val="24"/>
        </w:rPr>
        <w:t xml:space="preserve">so, DP&amp;L fails to disclose the amount of debt it would leave behind in the transfer.  </w:t>
      </w:r>
    </w:p>
    <w:p w:rsidR="008E1665" w:rsidRDefault="00403C03" w:rsidP="0089276F">
      <w:pPr>
        <w:spacing w:line="480" w:lineRule="auto"/>
        <w:ind w:firstLine="720"/>
        <w:jc w:val="both"/>
        <w:rPr>
          <w:rFonts w:cs="Arial"/>
          <w:sz w:val="24"/>
          <w:szCs w:val="24"/>
        </w:rPr>
      </w:pPr>
      <w:r>
        <w:rPr>
          <w:rFonts w:cs="Arial"/>
          <w:sz w:val="24"/>
          <w:szCs w:val="24"/>
        </w:rPr>
        <w:t xml:space="preserve">DP&amp;L’s Application further proposes to </w:t>
      </w:r>
      <w:r w:rsidR="002629A5">
        <w:rPr>
          <w:rFonts w:cs="Arial"/>
          <w:sz w:val="24"/>
          <w:szCs w:val="24"/>
        </w:rPr>
        <w:t xml:space="preserve">retain </w:t>
      </w:r>
      <w:r>
        <w:rPr>
          <w:rFonts w:cs="Arial"/>
          <w:sz w:val="24"/>
          <w:szCs w:val="24"/>
        </w:rPr>
        <w:t xml:space="preserve">environmental liabilities associated with the historical operation of its </w:t>
      </w:r>
      <w:r w:rsidR="00FB04E5">
        <w:rPr>
          <w:rFonts w:cs="Arial"/>
          <w:sz w:val="24"/>
          <w:szCs w:val="24"/>
        </w:rPr>
        <w:t>generation</w:t>
      </w:r>
      <w:r>
        <w:rPr>
          <w:rFonts w:cs="Arial"/>
          <w:sz w:val="24"/>
          <w:szCs w:val="24"/>
        </w:rPr>
        <w:t xml:space="preserve"> assets and to </w:t>
      </w:r>
      <w:r w:rsidR="002629A5">
        <w:rPr>
          <w:rFonts w:cs="Arial"/>
          <w:sz w:val="24"/>
          <w:szCs w:val="24"/>
        </w:rPr>
        <w:t xml:space="preserve">seek to </w:t>
      </w:r>
      <w:r>
        <w:rPr>
          <w:rFonts w:cs="Arial"/>
          <w:sz w:val="24"/>
          <w:szCs w:val="24"/>
        </w:rPr>
        <w:t xml:space="preserve">recover clean-up costs related to these liabilities from all customers.  DP&amp;L fails to identify </w:t>
      </w:r>
      <w:r w:rsidR="002629A5">
        <w:rPr>
          <w:rFonts w:cs="Arial"/>
          <w:sz w:val="24"/>
          <w:szCs w:val="24"/>
        </w:rPr>
        <w:t xml:space="preserve">any legal authority on which the Commission may approve its request or </w:t>
      </w:r>
      <w:r>
        <w:rPr>
          <w:rFonts w:cs="Arial"/>
          <w:sz w:val="24"/>
          <w:szCs w:val="24"/>
        </w:rPr>
        <w:t>the ma</w:t>
      </w:r>
      <w:r w:rsidR="00DB6D81">
        <w:rPr>
          <w:rFonts w:cs="Arial"/>
          <w:sz w:val="24"/>
          <w:szCs w:val="24"/>
        </w:rPr>
        <w:t>gnitude of these liabilities or</w:t>
      </w:r>
      <w:r>
        <w:rPr>
          <w:rFonts w:cs="Arial"/>
          <w:sz w:val="24"/>
          <w:szCs w:val="24"/>
        </w:rPr>
        <w:t xml:space="preserve"> the generation </w:t>
      </w:r>
      <w:r w:rsidR="00FB04E5">
        <w:rPr>
          <w:rFonts w:cs="Arial"/>
          <w:sz w:val="24"/>
          <w:szCs w:val="24"/>
        </w:rPr>
        <w:t>assets</w:t>
      </w:r>
      <w:r>
        <w:rPr>
          <w:rFonts w:cs="Arial"/>
          <w:sz w:val="24"/>
          <w:szCs w:val="24"/>
        </w:rPr>
        <w:t xml:space="preserve"> to which </w:t>
      </w:r>
      <w:r w:rsidR="008E1665">
        <w:rPr>
          <w:rFonts w:cs="Arial"/>
          <w:sz w:val="24"/>
          <w:szCs w:val="24"/>
        </w:rPr>
        <w:t>th</w:t>
      </w:r>
      <w:r w:rsidR="00DB6D81">
        <w:rPr>
          <w:rFonts w:cs="Arial"/>
          <w:sz w:val="24"/>
          <w:szCs w:val="24"/>
        </w:rPr>
        <w:t>e liabilities relate</w:t>
      </w:r>
      <w:r w:rsidR="008E1665">
        <w:rPr>
          <w:rFonts w:cs="Arial"/>
          <w:sz w:val="24"/>
          <w:szCs w:val="24"/>
        </w:rPr>
        <w:t>.  Moreover, DP&amp;L fails to identify how and when it will seek to recover the cost of these liabilities from customers.</w:t>
      </w:r>
    </w:p>
    <w:p w:rsidR="0089276F" w:rsidRDefault="00183F74" w:rsidP="00183F74">
      <w:pPr>
        <w:spacing w:line="480" w:lineRule="auto"/>
        <w:ind w:firstLine="720"/>
        <w:jc w:val="both"/>
        <w:rPr>
          <w:rFonts w:cs="Arial"/>
          <w:sz w:val="24"/>
          <w:szCs w:val="24"/>
        </w:rPr>
      </w:pPr>
      <w:r>
        <w:rPr>
          <w:rFonts w:cs="Arial"/>
          <w:sz w:val="24"/>
          <w:szCs w:val="24"/>
        </w:rPr>
        <w:t xml:space="preserve">Moreover, </w:t>
      </w:r>
      <w:r w:rsidR="008E1665">
        <w:rPr>
          <w:rFonts w:cs="Arial"/>
          <w:sz w:val="24"/>
          <w:szCs w:val="24"/>
        </w:rPr>
        <w:t>DP&amp;L requests authority “to defer the costs associated with OVEC which are not currently being recovered through DP&amp;L’s fuel rider.”</w:t>
      </w:r>
      <w:r w:rsidR="00DB6D81">
        <w:rPr>
          <w:rStyle w:val="FootnoteReference"/>
          <w:rFonts w:cs="Arial"/>
          <w:sz w:val="24"/>
          <w:szCs w:val="24"/>
        </w:rPr>
        <w:footnoteReference w:id="13"/>
      </w:r>
      <w:r w:rsidR="008E1665">
        <w:rPr>
          <w:rFonts w:cs="Arial"/>
          <w:sz w:val="24"/>
          <w:szCs w:val="24"/>
        </w:rPr>
        <w:t xml:space="preserve">  </w:t>
      </w:r>
      <w:r w:rsidR="004E5121">
        <w:rPr>
          <w:rFonts w:cs="Arial"/>
          <w:sz w:val="24"/>
          <w:szCs w:val="24"/>
        </w:rPr>
        <w:t xml:space="preserve">As with the environmental clean-up costs it seeks to have customers pay,  </w:t>
      </w:r>
      <w:r w:rsidR="008E1665">
        <w:rPr>
          <w:rFonts w:cs="Arial"/>
          <w:sz w:val="24"/>
          <w:szCs w:val="24"/>
        </w:rPr>
        <w:t xml:space="preserve">DP&amp;L does not provide </w:t>
      </w:r>
      <w:r w:rsidR="004E5121">
        <w:rPr>
          <w:rFonts w:cs="Arial"/>
          <w:sz w:val="24"/>
          <w:szCs w:val="24"/>
        </w:rPr>
        <w:t xml:space="preserve">any legal basis that would permit the Commission to order this recovery or </w:t>
      </w:r>
      <w:r w:rsidR="008E1665">
        <w:rPr>
          <w:rFonts w:cs="Arial"/>
          <w:sz w:val="24"/>
          <w:szCs w:val="24"/>
        </w:rPr>
        <w:t xml:space="preserve">details regarding the magnitude of costs that it will not recover </w:t>
      </w:r>
      <w:r w:rsidR="00CC1AB7">
        <w:rPr>
          <w:rFonts w:cs="Arial"/>
          <w:sz w:val="24"/>
          <w:szCs w:val="24"/>
        </w:rPr>
        <w:t xml:space="preserve">through </w:t>
      </w:r>
      <w:r w:rsidR="008E1665">
        <w:rPr>
          <w:rFonts w:cs="Arial"/>
          <w:sz w:val="24"/>
          <w:szCs w:val="24"/>
        </w:rPr>
        <w:t>the fuel rider.</w:t>
      </w:r>
      <w:r w:rsidR="00DB6D81">
        <w:rPr>
          <w:rStyle w:val="FootnoteReference"/>
          <w:rFonts w:cs="Arial"/>
          <w:sz w:val="24"/>
          <w:szCs w:val="24"/>
        </w:rPr>
        <w:footnoteReference w:id="14"/>
      </w:r>
      <w:r w:rsidR="008E1665">
        <w:rPr>
          <w:rFonts w:cs="Arial"/>
          <w:sz w:val="24"/>
          <w:szCs w:val="24"/>
        </w:rPr>
        <w:t xml:space="preserve">  DP&amp;L also fails to identify whether it would apply </w:t>
      </w:r>
      <w:r w:rsidR="00D118ED">
        <w:rPr>
          <w:rFonts w:cs="Arial"/>
          <w:sz w:val="24"/>
          <w:szCs w:val="24"/>
        </w:rPr>
        <w:t>off-</w:t>
      </w:r>
      <w:r w:rsidR="008E1665">
        <w:rPr>
          <w:rFonts w:cs="Arial"/>
          <w:sz w:val="24"/>
          <w:szCs w:val="24"/>
        </w:rPr>
        <w:t>system sales margins from OVEC agains</w:t>
      </w:r>
      <w:r>
        <w:rPr>
          <w:rFonts w:cs="Arial"/>
          <w:sz w:val="24"/>
          <w:szCs w:val="24"/>
        </w:rPr>
        <w:t xml:space="preserve">t the costs it is requesting </w:t>
      </w:r>
      <w:r w:rsidR="008E1665">
        <w:rPr>
          <w:rFonts w:cs="Arial"/>
          <w:sz w:val="24"/>
          <w:szCs w:val="24"/>
        </w:rPr>
        <w:t>authority to defer</w:t>
      </w:r>
      <w:r>
        <w:rPr>
          <w:rFonts w:cs="Arial"/>
          <w:sz w:val="24"/>
          <w:szCs w:val="24"/>
        </w:rPr>
        <w:t xml:space="preserve"> for future collection</w:t>
      </w:r>
      <w:r w:rsidR="008E1665">
        <w:rPr>
          <w:rFonts w:cs="Arial"/>
          <w:sz w:val="24"/>
          <w:szCs w:val="24"/>
        </w:rPr>
        <w:t>.</w:t>
      </w:r>
      <w:r w:rsidR="00DB6D81">
        <w:rPr>
          <w:rFonts w:cs="Arial"/>
          <w:sz w:val="24"/>
          <w:szCs w:val="24"/>
        </w:rPr>
        <w:t xml:space="preserve">  DP&amp;L is essentially asking for a b</w:t>
      </w:r>
      <w:r>
        <w:rPr>
          <w:rFonts w:cs="Arial"/>
          <w:sz w:val="24"/>
          <w:szCs w:val="24"/>
        </w:rPr>
        <w:t>lan</w:t>
      </w:r>
      <w:r w:rsidR="00DB6D81">
        <w:rPr>
          <w:rFonts w:cs="Arial"/>
          <w:sz w:val="24"/>
          <w:szCs w:val="24"/>
        </w:rPr>
        <w:t>k check</w:t>
      </w:r>
      <w:r>
        <w:rPr>
          <w:rFonts w:cs="Arial"/>
          <w:sz w:val="24"/>
          <w:szCs w:val="24"/>
        </w:rPr>
        <w:t>.</w:t>
      </w:r>
      <w:r w:rsidR="008E1665">
        <w:rPr>
          <w:rFonts w:cs="Arial"/>
          <w:sz w:val="24"/>
          <w:szCs w:val="24"/>
        </w:rPr>
        <w:t xml:space="preserve">  </w:t>
      </w:r>
    </w:p>
    <w:p w:rsidR="004E5121" w:rsidRDefault="004E5121" w:rsidP="00183F74">
      <w:pPr>
        <w:spacing w:line="480" w:lineRule="auto"/>
        <w:ind w:firstLine="720"/>
        <w:jc w:val="both"/>
        <w:rPr>
          <w:rFonts w:cs="Arial"/>
          <w:sz w:val="24"/>
          <w:szCs w:val="24"/>
        </w:rPr>
      </w:pPr>
      <w:r>
        <w:rPr>
          <w:rFonts w:cs="Arial"/>
          <w:sz w:val="24"/>
          <w:szCs w:val="24"/>
        </w:rPr>
        <w:t xml:space="preserve">In summary, the Application does not </w:t>
      </w:r>
      <w:r w:rsidR="00270829">
        <w:rPr>
          <w:rFonts w:cs="Arial"/>
          <w:sz w:val="24"/>
          <w:szCs w:val="24"/>
        </w:rPr>
        <w:t>clearly set forth the terms and conditions of the transfer</w:t>
      </w:r>
      <w:r w:rsidR="003D5F90">
        <w:rPr>
          <w:rFonts w:cs="Arial"/>
          <w:sz w:val="24"/>
          <w:szCs w:val="24"/>
        </w:rPr>
        <w:t xml:space="preserve"> as required by the Commission’s rules.</w:t>
      </w:r>
    </w:p>
    <w:p w:rsidR="00183F74" w:rsidRPr="002C127A" w:rsidRDefault="00183F74" w:rsidP="002C127A">
      <w:pPr>
        <w:pStyle w:val="S2Heading2"/>
        <w:rPr>
          <w:sz w:val="24"/>
          <w:szCs w:val="24"/>
        </w:rPr>
      </w:pPr>
      <w:bookmarkStart w:id="13" w:name="_Toc383506925"/>
      <w:bookmarkStart w:id="14" w:name="_Toc383517958"/>
      <w:bookmarkStart w:id="15" w:name="_Toc383524579"/>
      <w:r w:rsidRPr="002C127A">
        <w:rPr>
          <w:sz w:val="24"/>
          <w:szCs w:val="24"/>
        </w:rPr>
        <w:t xml:space="preserve">DP&amp;L has not demonstrated how the transfer will impact the </w:t>
      </w:r>
      <w:r w:rsidR="00CC1AB7" w:rsidRPr="002C127A">
        <w:rPr>
          <w:sz w:val="24"/>
          <w:szCs w:val="24"/>
        </w:rPr>
        <w:t>standard service offer</w:t>
      </w:r>
      <w:bookmarkEnd w:id="13"/>
      <w:r w:rsidR="00DF736B">
        <w:rPr>
          <w:sz w:val="24"/>
          <w:szCs w:val="24"/>
        </w:rPr>
        <w:t xml:space="preserve"> </w:t>
      </w:r>
      <w:r w:rsidR="00DF736B" w:rsidRPr="00DF736B">
        <w:rPr>
          <w:sz w:val="24"/>
          <w:szCs w:val="24"/>
        </w:rPr>
        <w:t>and ignores significant adverse consequences of its Application</w:t>
      </w:r>
      <w:bookmarkEnd w:id="14"/>
      <w:bookmarkEnd w:id="15"/>
    </w:p>
    <w:p w:rsidR="00183F74" w:rsidRDefault="00183F74" w:rsidP="00183F74">
      <w:pPr>
        <w:spacing w:line="480" w:lineRule="auto"/>
        <w:ind w:firstLine="720"/>
        <w:jc w:val="both"/>
        <w:rPr>
          <w:rFonts w:cs="Arial"/>
          <w:sz w:val="24"/>
          <w:szCs w:val="24"/>
        </w:rPr>
      </w:pPr>
      <w:r>
        <w:rPr>
          <w:rFonts w:cs="Arial"/>
          <w:sz w:val="24"/>
          <w:szCs w:val="24"/>
        </w:rPr>
        <w:t xml:space="preserve">The </w:t>
      </w:r>
      <w:r w:rsidR="00CC1AB7">
        <w:rPr>
          <w:rFonts w:cs="Arial"/>
          <w:sz w:val="24"/>
          <w:szCs w:val="24"/>
        </w:rPr>
        <w:t xml:space="preserve">Application </w:t>
      </w:r>
      <w:r>
        <w:rPr>
          <w:rFonts w:cs="Arial"/>
          <w:sz w:val="24"/>
          <w:szCs w:val="24"/>
        </w:rPr>
        <w:t>must “[d]</w:t>
      </w:r>
      <w:r w:rsidRPr="006867A0">
        <w:rPr>
          <w:rFonts w:cs="Arial"/>
          <w:sz w:val="24"/>
          <w:szCs w:val="24"/>
        </w:rPr>
        <w:t>emonstrate how the sale or transfer will affect the current and future standard service offer established pursuant to secti</w:t>
      </w:r>
      <w:r w:rsidR="00E11DCB">
        <w:rPr>
          <w:rFonts w:cs="Arial"/>
          <w:sz w:val="24"/>
          <w:szCs w:val="24"/>
        </w:rPr>
        <w:t xml:space="preserve">on 4928.141 of </w:t>
      </w:r>
      <w:r w:rsidR="00E11DCB">
        <w:rPr>
          <w:rFonts w:cs="Arial"/>
          <w:sz w:val="24"/>
          <w:szCs w:val="24"/>
        </w:rPr>
        <w:lastRenderedPageBreak/>
        <w:t>the Revised Code”</w:t>
      </w:r>
      <w:r>
        <w:rPr>
          <w:rStyle w:val="FootnoteReference"/>
          <w:rFonts w:cs="Arial"/>
          <w:sz w:val="24"/>
          <w:szCs w:val="24"/>
        </w:rPr>
        <w:footnoteReference w:id="15"/>
      </w:r>
      <w:r w:rsidR="00E11DCB">
        <w:rPr>
          <w:rFonts w:cs="Arial"/>
          <w:sz w:val="24"/>
          <w:szCs w:val="24"/>
        </w:rPr>
        <w:t xml:space="preserve"> and “</w:t>
      </w:r>
      <w:r w:rsidRPr="00701293">
        <w:rPr>
          <w:rFonts w:cs="Arial"/>
          <w:sz w:val="24"/>
          <w:szCs w:val="24"/>
        </w:rPr>
        <w:t>how the proposed sale or transfer will affect the public interest.”</w:t>
      </w:r>
      <w:r w:rsidRPr="00701293">
        <w:rPr>
          <w:rStyle w:val="FootnoteReference"/>
          <w:rFonts w:cs="Arial"/>
          <w:sz w:val="24"/>
          <w:szCs w:val="24"/>
        </w:rPr>
        <w:footnoteReference w:id="16"/>
      </w:r>
      <w:r w:rsidRPr="00701293">
        <w:rPr>
          <w:rFonts w:cs="Arial"/>
          <w:sz w:val="24"/>
          <w:szCs w:val="24"/>
        </w:rPr>
        <w:t xml:space="preserve"> </w:t>
      </w:r>
      <w:r w:rsidR="00E11DCB">
        <w:rPr>
          <w:rFonts w:cs="Arial"/>
          <w:sz w:val="24"/>
          <w:szCs w:val="24"/>
        </w:rPr>
        <w:t xml:space="preserve"> DP&amp;L claims that</w:t>
      </w:r>
      <w:r>
        <w:rPr>
          <w:rFonts w:cs="Arial"/>
          <w:sz w:val="24"/>
          <w:szCs w:val="24"/>
        </w:rPr>
        <w:t xml:space="preserve"> the trans</w:t>
      </w:r>
      <w:r w:rsidR="00E11DCB">
        <w:rPr>
          <w:rFonts w:cs="Arial"/>
          <w:sz w:val="24"/>
          <w:szCs w:val="24"/>
        </w:rPr>
        <w:t>fer</w:t>
      </w:r>
      <w:r>
        <w:rPr>
          <w:rFonts w:cs="Arial"/>
          <w:sz w:val="24"/>
          <w:szCs w:val="24"/>
        </w:rPr>
        <w:t xml:space="preserve"> will not have a material </w:t>
      </w:r>
      <w:r w:rsidR="00E11DCB">
        <w:rPr>
          <w:rFonts w:cs="Arial"/>
          <w:sz w:val="24"/>
          <w:szCs w:val="24"/>
        </w:rPr>
        <w:t>effect on the terms of the</w:t>
      </w:r>
      <w:r>
        <w:rPr>
          <w:rFonts w:cs="Arial"/>
          <w:sz w:val="24"/>
          <w:szCs w:val="24"/>
        </w:rPr>
        <w:t xml:space="preserve"> </w:t>
      </w:r>
      <w:r w:rsidR="00E11DCB">
        <w:rPr>
          <w:rFonts w:cs="Arial"/>
          <w:sz w:val="24"/>
          <w:szCs w:val="24"/>
        </w:rPr>
        <w:t>SSO because it will provide an SSO through a competitive bidding process after it transfers the assets.</w:t>
      </w:r>
      <w:r>
        <w:rPr>
          <w:rStyle w:val="FootnoteReference"/>
          <w:rFonts w:cs="Arial"/>
          <w:sz w:val="24"/>
          <w:szCs w:val="24"/>
        </w:rPr>
        <w:footnoteReference w:id="17"/>
      </w:r>
      <w:r w:rsidR="00E11DCB">
        <w:rPr>
          <w:rFonts w:cs="Arial"/>
          <w:sz w:val="24"/>
          <w:szCs w:val="24"/>
        </w:rPr>
        <w:t xml:space="preserve">  </w:t>
      </w:r>
      <w:r w:rsidR="00E11DCB" w:rsidRPr="00701293">
        <w:rPr>
          <w:rFonts w:cs="Arial"/>
          <w:sz w:val="24"/>
          <w:szCs w:val="24"/>
        </w:rPr>
        <w:t xml:space="preserve">DP&amp;L </w:t>
      </w:r>
      <w:r w:rsidR="00270829">
        <w:rPr>
          <w:rFonts w:cs="Arial"/>
          <w:sz w:val="24"/>
          <w:szCs w:val="24"/>
        </w:rPr>
        <w:t xml:space="preserve">also </w:t>
      </w:r>
      <w:r w:rsidR="00E11DCB" w:rsidRPr="00701293">
        <w:rPr>
          <w:rFonts w:cs="Arial"/>
          <w:sz w:val="24"/>
          <w:szCs w:val="24"/>
        </w:rPr>
        <w:t>claims that “[t]he Commission found in DP&amp;L’s ESP case that DP&amp;L separating its generati</w:t>
      </w:r>
      <w:r w:rsidR="00E11DCB">
        <w:rPr>
          <w:rFonts w:cs="Arial"/>
          <w:sz w:val="24"/>
          <w:szCs w:val="24"/>
        </w:rPr>
        <w:t>o</w:t>
      </w:r>
      <w:r w:rsidR="00E11DCB" w:rsidRPr="00701293">
        <w:rPr>
          <w:rFonts w:cs="Arial"/>
          <w:sz w:val="24"/>
          <w:szCs w:val="24"/>
        </w:rPr>
        <w:t>n assets was a benefit of DP&amp;L’s ESP a</w:t>
      </w:r>
      <w:r w:rsidR="00DB6D81">
        <w:rPr>
          <w:rFonts w:cs="Arial"/>
          <w:sz w:val="24"/>
          <w:szCs w:val="24"/>
        </w:rPr>
        <w:t>nd was in the public interest.</w:t>
      </w:r>
      <w:r w:rsidR="00E11DCB" w:rsidRPr="00701293">
        <w:rPr>
          <w:rFonts w:cs="Arial"/>
          <w:sz w:val="24"/>
          <w:szCs w:val="24"/>
        </w:rPr>
        <w:t>”</w:t>
      </w:r>
      <w:r w:rsidR="00E11DCB" w:rsidRPr="00701293">
        <w:rPr>
          <w:rStyle w:val="FootnoteReference"/>
          <w:rFonts w:cs="Arial"/>
          <w:sz w:val="24"/>
          <w:szCs w:val="24"/>
        </w:rPr>
        <w:footnoteReference w:id="18"/>
      </w:r>
      <w:r w:rsidR="00E11DCB">
        <w:rPr>
          <w:rFonts w:cs="Arial"/>
          <w:sz w:val="24"/>
          <w:szCs w:val="24"/>
        </w:rPr>
        <w:t xml:space="preserve">  Both of DP&amp;L’s claims are incorrect.  </w:t>
      </w:r>
    </w:p>
    <w:p w:rsidR="008903CF" w:rsidRDefault="003C2DD2" w:rsidP="00E11DCB">
      <w:pPr>
        <w:spacing w:line="480" w:lineRule="auto"/>
        <w:ind w:firstLine="720"/>
        <w:jc w:val="both"/>
        <w:rPr>
          <w:rFonts w:cs="Arial"/>
          <w:sz w:val="24"/>
          <w:szCs w:val="24"/>
        </w:rPr>
      </w:pPr>
      <w:r>
        <w:rPr>
          <w:rFonts w:cs="Arial"/>
          <w:sz w:val="24"/>
          <w:szCs w:val="24"/>
        </w:rPr>
        <w:t xml:space="preserve">Although </w:t>
      </w:r>
      <w:r w:rsidR="00183F74">
        <w:rPr>
          <w:rFonts w:cs="Arial"/>
          <w:sz w:val="24"/>
          <w:szCs w:val="24"/>
        </w:rPr>
        <w:t xml:space="preserve">DP&amp;L </w:t>
      </w:r>
      <w:r>
        <w:rPr>
          <w:rFonts w:cs="Arial"/>
          <w:sz w:val="24"/>
          <w:szCs w:val="24"/>
        </w:rPr>
        <w:t xml:space="preserve">states that the transfer will not affect SSO customers, it </w:t>
      </w:r>
      <w:r w:rsidR="00183F74">
        <w:rPr>
          <w:rFonts w:cs="Arial"/>
          <w:sz w:val="24"/>
          <w:szCs w:val="24"/>
        </w:rPr>
        <w:t>has proposed to continue existing nonbypassable charges and to lay the accounting foundation for future nonbypassable charges</w:t>
      </w:r>
      <w:r w:rsidR="00E11DCB">
        <w:rPr>
          <w:rFonts w:cs="Arial"/>
          <w:sz w:val="24"/>
          <w:szCs w:val="24"/>
        </w:rPr>
        <w:t xml:space="preserve">, which will </w:t>
      </w:r>
      <w:r w:rsidR="005E48E6">
        <w:rPr>
          <w:rFonts w:cs="Arial"/>
          <w:sz w:val="24"/>
          <w:szCs w:val="24"/>
        </w:rPr>
        <w:t>affect</w:t>
      </w:r>
      <w:r w:rsidR="00E11DCB">
        <w:rPr>
          <w:rFonts w:cs="Arial"/>
          <w:sz w:val="24"/>
          <w:szCs w:val="24"/>
        </w:rPr>
        <w:t xml:space="preserve"> SSO customers </w:t>
      </w:r>
      <w:r w:rsidR="005E48E6">
        <w:rPr>
          <w:rFonts w:cs="Arial"/>
          <w:sz w:val="24"/>
          <w:szCs w:val="24"/>
        </w:rPr>
        <w:t>and</w:t>
      </w:r>
      <w:r w:rsidR="00E11DCB">
        <w:rPr>
          <w:rFonts w:cs="Arial"/>
          <w:sz w:val="24"/>
          <w:szCs w:val="24"/>
        </w:rPr>
        <w:t xml:space="preserve"> shopping customers</w:t>
      </w:r>
      <w:r w:rsidR="00183F74">
        <w:rPr>
          <w:rFonts w:cs="Arial"/>
          <w:sz w:val="24"/>
          <w:szCs w:val="24"/>
        </w:rPr>
        <w:t>.  DP&amp;L</w:t>
      </w:r>
      <w:r w:rsidR="006C5E76">
        <w:rPr>
          <w:rFonts w:cs="Arial"/>
          <w:sz w:val="24"/>
          <w:szCs w:val="24"/>
        </w:rPr>
        <w:t>, however,</w:t>
      </w:r>
      <w:r w:rsidR="00183F74">
        <w:rPr>
          <w:rFonts w:cs="Arial"/>
          <w:sz w:val="24"/>
          <w:szCs w:val="24"/>
        </w:rPr>
        <w:t xml:space="preserve"> has not indicated the manner in which these charges will </w:t>
      </w:r>
      <w:r w:rsidR="005E48E6">
        <w:rPr>
          <w:rFonts w:cs="Arial"/>
          <w:sz w:val="24"/>
          <w:szCs w:val="24"/>
        </w:rPr>
        <w:t>affect</w:t>
      </w:r>
      <w:r w:rsidR="00183F74">
        <w:rPr>
          <w:rFonts w:cs="Arial"/>
          <w:sz w:val="24"/>
          <w:szCs w:val="24"/>
        </w:rPr>
        <w:t xml:space="preserve"> the existing and future SSO.  </w:t>
      </w:r>
      <w:r w:rsidR="00270829">
        <w:rPr>
          <w:rFonts w:cs="Arial"/>
          <w:sz w:val="24"/>
          <w:szCs w:val="24"/>
        </w:rPr>
        <w:t>Moreover, DP&amp;L has not revealed the impact of the proposed modification to its capital ratio, discussed below, and whether that modification may be the impetus for additional future financial support in the form of yet another request for a nonbypassable charge.</w:t>
      </w:r>
      <w:r w:rsidR="00270829">
        <w:rPr>
          <w:rFonts w:cs="Arial"/>
          <w:sz w:val="24"/>
          <w:szCs w:val="24"/>
        </w:rPr>
        <w:t xml:space="preserve">  </w:t>
      </w:r>
      <w:r w:rsidR="00183F74">
        <w:rPr>
          <w:rFonts w:cs="Arial"/>
          <w:sz w:val="24"/>
          <w:szCs w:val="24"/>
        </w:rPr>
        <w:t xml:space="preserve">Without a quantification of the magnitude of those charges, DP&amp;L cannot demonstrate the impact of its Application on the SSO.  </w:t>
      </w:r>
      <w:r w:rsidR="00E11DCB">
        <w:rPr>
          <w:rFonts w:cs="Arial"/>
          <w:sz w:val="24"/>
          <w:szCs w:val="24"/>
        </w:rPr>
        <w:t xml:space="preserve">  </w:t>
      </w:r>
    </w:p>
    <w:p w:rsidR="00E11DCB" w:rsidRDefault="00DB6D81" w:rsidP="008903CF">
      <w:pPr>
        <w:spacing w:line="480" w:lineRule="auto"/>
        <w:ind w:firstLine="720"/>
        <w:jc w:val="both"/>
        <w:rPr>
          <w:rFonts w:cs="Arial"/>
          <w:sz w:val="24"/>
          <w:szCs w:val="24"/>
        </w:rPr>
      </w:pPr>
      <w:r>
        <w:rPr>
          <w:rFonts w:cs="Arial"/>
          <w:sz w:val="24"/>
          <w:szCs w:val="24"/>
        </w:rPr>
        <w:t>Additionally, t</w:t>
      </w:r>
      <w:r w:rsidR="008903CF">
        <w:rPr>
          <w:rFonts w:cs="Arial"/>
          <w:sz w:val="24"/>
          <w:szCs w:val="24"/>
        </w:rPr>
        <w:t>he Commission never determined that DP&amp;L’s generation asset transfer is in the public interest</w:t>
      </w:r>
      <w:r w:rsidR="008903CF" w:rsidRPr="008903CF">
        <w:rPr>
          <w:rFonts w:cs="Arial"/>
          <w:sz w:val="24"/>
          <w:szCs w:val="24"/>
        </w:rPr>
        <w:t xml:space="preserve">—nor could it have made such a finding without reviewing the specific terms and conditions upon which DP&amp;L proposed to </w:t>
      </w:r>
      <w:r w:rsidR="008903CF">
        <w:rPr>
          <w:rFonts w:cs="Arial"/>
          <w:sz w:val="24"/>
          <w:szCs w:val="24"/>
        </w:rPr>
        <w:t xml:space="preserve">transfer its </w:t>
      </w:r>
      <w:r w:rsidR="00FB04E5">
        <w:rPr>
          <w:rFonts w:cs="Arial"/>
          <w:sz w:val="24"/>
          <w:szCs w:val="24"/>
        </w:rPr>
        <w:t>generation</w:t>
      </w:r>
      <w:r w:rsidR="008903CF">
        <w:rPr>
          <w:rFonts w:cs="Arial"/>
          <w:sz w:val="24"/>
          <w:szCs w:val="24"/>
        </w:rPr>
        <w:t xml:space="preserve"> assets.  As discussed further below, because the terms and conditions </w:t>
      </w:r>
      <w:r w:rsidR="008903CF">
        <w:rPr>
          <w:rFonts w:cs="Arial"/>
          <w:sz w:val="24"/>
          <w:szCs w:val="24"/>
        </w:rPr>
        <w:lastRenderedPageBreak/>
        <w:t>proposed by DP&amp;L are unlawful and unreasonable, DP&amp;L’s Application is not just, reasonable, and in the public interest.</w:t>
      </w:r>
    </w:p>
    <w:p w:rsidR="00270829" w:rsidRPr="007A6D48" w:rsidRDefault="00270829" w:rsidP="007A6D48">
      <w:pPr>
        <w:pStyle w:val="S2Heading2"/>
        <w:rPr>
          <w:sz w:val="24"/>
          <w:szCs w:val="24"/>
        </w:rPr>
      </w:pPr>
      <w:bookmarkStart w:id="16" w:name="_Toc383506926"/>
      <w:bookmarkStart w:id="17" w:name="_Toc383517959"/>
      <w:bookmarkStart w:id="18" w:name="_Toc383524580"/>
      <w:r w:rsidRPr="007A6D48">
        <w:rPr>
          <w:sz w:val="24"/>
          <w:szCs w:val="24"/>
        </w:rPr>
        <w:t xml:space="preserve">DP&amp;L’s Application </w:t>
      </w:r>
      <w:r w:rsidR="003D5F90">
        <w:rPr>
          <w:sz w:val="24"/>
          <w:szCs w:val="24"/>
        </w:rPr>
        <w:t>proposes</w:t>
      </w:r>
      <w:r w:rsidRPr="007A6D48">
        <w:rPr>
          <w:sz w:val="24"/>
          <w:szCs w:val="24"/>
        </w:rPr>
        <w:t xml:space="preserve"> </w:t>
      </w:r>
      <w:r w:rsidR="00453547">
        <w:rPr>
          <w:sz w:val="24"/>
          <w:szCs w:val="24"/>
        </w:rPr>
        <w:t>t</w:t>
      </w:r>
      <w:r w:rsidRPr="007A6D48">
        <w:rPr>
          <w:sz w:val="24"/>
          <w:szCs w:val="24"/>
        </w:rPr>
        <w:t xml:space="preserve">erms and </w:t>
      </w:r>
      <w:r w:rsidR="00453547">
        <w:rPr>
          <w:sz w:val="24"/>
          <w:szCs w:val="24"/>
        </w:rPr>
        <w:t>c</w:t>
      </w:r>
      <w:r w:rsidRPr="007A6D48">
        <w:rPr>
          <w:sz w:val="24"/>
          <w:szCs w:val="24"/>
        </w:rPr>
        <w:t xml:space="preserve">onditions </w:t>
      </w:r>
      <w:r w:rsidR="00453547">
        <w:rPr>
          <w:sz w:val="24"/>
          <w:szCs w:val="24"/>
        </w:rPr>
        <w:t>t</w:t>
      </w:r>
      <w:r w:rsidRPr="007A6D48">
        <w:rPr>
          <w:sz w:val="24"/>
          <w:szCs w:val="24"/>
        </w:rPr>
        <w:t xml:space="preserve">hat </w:t>
      </w:r>
      <w:r w:rsidR="00453547">
        <w:rPr>
          <w:sz w:val="24"/>
          <w:szCs w:val="24"/>
        </w:rPr>
        <w:t>a</w:t>
      </w:r>
      <w:r w:rsidRPr="007A6D48">
        <w:rPr>
          <w:sz w:val="24"/>
          <w:szCs w:val="24"/>
        </w:rPr>
        <w:t xml:space="preserve">re </w:t>
      </w:r>
      <w:r w:rsidR="00453547">
        <w:rPr>
          <w:sz w:val="24"/>
          <w:szCs w:val="24"/>
        </w:rPr>
        <w:t>u</w:t>
      </w:r>
      <w:r w:rsidRPr="007A6D48">
        <w:rPr>
          <w:sz w:val="24"/>
          <w:szCs w:val="24"/>
        </w:rPr>
        <w:t xml:space="preserve">nlawful, </w:t>
      </w:r>
      <w:r w:rsidR="00453547">
        <w:rPr>
          <w:sz w:val="24"/>
          <w:szCs w:val="24"/>
        </w:rPr>
        <w:t>u</w:t>
      </w:r>
      <w:r w:rsidRPr="007A6D48">
        <w:rPr>
          <w:sz w:val="24"/>
          <w:szCs w:val="24"/>
        </w:rPr>
        <w:t xml:space="preserve">nreasonable, and </w:t>
      </w:r>
      <w:r w:rsidR="00453547">
        <w:rPr>
          <w:sz w:val="24"/>
          <w:szCs w:val="24"/>
        </w:rPr>
        <w:t>n</w:t>
      </w:r>
      <w:r w:rsidRPr="007A6D48">
        <w:rPr>
          <w:sz w:val="24"/>
          <w:szCs w:val="24"/>
        </w:rPr>
        <w:t xml:space="preserve">ot in the </w:t>
      </w:r>
      <w:r w:rsidR="00453547">
        <w:rPr>
          <w:sz w:val="24"/>
          <w:szCs w:val="24"/>
        </w:rPr>
        <w:t>p</w:t>
      </w:r>
      <w:r w:rsidRPr="007A6D48">
        <w:rPr>
          <w:sz w:val="24"/>
          <w:szCs w:val="24"/>
        </w:rPr>
        <w:t xml:space="preserve">ublic </w:t>
      </w:r>
      <w:r w:rsidR="00453547">
        <w:rPr>
          <w:sz w:val="24"/>
          <w:szCs w:val="24"/>
        </w:rPr>
        <w:t>i</w:t>
      </w:r>
      <w:r w:rsidRPr="007A6D48">
        <w:rPr>
          <w:sz w:val="24"/>
          <w:szCs w:val="24"/>
        </w:rPr>
        <w:t>nterest</w:t>
      </w:r>
      <w:bookmarkEnd w:id="16"/>
      <w:bookmarkEnd w:id="17"/>
      <w:bookmarkEnd w:id="18"/>
    </w:p>
    <w:p w:rsidR="008903CF" w:rsidRPr="002A6727" w:rsidRDefault="00270829" w:rsidP="002A6727">
      <w:pPr>
        <w:pStyle w:val="S2Heading3"/>
        <w:rPr>
          <w:sz w:val="24"/>
          <w:szCs w:val="24"/>
        </w:rPr>
      </w:pPr>
      <w:bookmarkStart w:id="19" w:name="_Toc383506927"/>
      <w:bookmarkStart w:id="20" w:name="_Toc383517960"/>
      <w:bookmarkStart w:id="21" w:name="_Toc383524581"/>
      <w:r>
        <w:rPr>
          <w:sz w:val="24"/>
          <w:szCs w:val="24"/>
        </w:rPr>
        <w:t>If permitted to continue, t</w:t>
      </w:r>
      <w:r w:rsidR="00F927F1" w:rsidRPr="002C127A">
        <w:rPr>
          <w:sz w:val="24"/>
          <w:szCs w:val="24"/>
        </w:rPr>
        <w:t xml:space="preserve">he SSR </w:t>
      </w:r>
      <w:r w:rsidR="008903CF" w:rsidRPr="002C127A">
        <w:rPr>
          <w:sz w:val="24"/>
          <w:szCs w:val="24"/>
        </w:rPr>
        <w:t xml:space="preserve">should terminate after the </w:t>
      </w:r>
      <w:r w:rsidR="00FB04E5">
        <w:rPr>
          <w:sz w:val="24"/>
          <w:szCs w:val="24"/>
        </w:rPr>
        <w:t>generation</w:t>
      </w:r>
      <w:r w:rsidR="008903CF" w:rsidRPr="002C127A">
        <w:rPr>
          <w:sz w:val="24"/>
          <w:szCs w:val="24"/>
        </w:rPr>
        <w:t xml:space="preserve"> assets are transferred</w:t>
      </w:r>
      <w:bookmarkEnd w:id="19"/>
      <w:bookmarkEnd w:id="20"/>
      <w:bookmarkEnd w:id="21"/>
    </w:p>
    <w:p w:rsidR="00DB2497" w:rsidRDefault="007842B0" w:rsidP="002D5A3C">
      <w:pPr>
        <w:spacing w:line="480" w:lineRule="auto"/>
        <w:ind w:firstLine="720"/>
        <w:jc w:val="both"/>
        <w:rPr>
          <w:rFonts w:cs="Arial"/>
          <w:sz w:val="24"/>
          <w:szCs w:val="24"/>
        </w:rPr>
      </w:pPr>
      <w:r>
        <w:rPr>
          <w:rFonts w:cs="Arial"/>
          <w:sz w:val="24"/>
          <w:szCs w:val="24"/>
        </w:rPr>
        <w:t>The Application states that DP&amp;L</w:t>
      </w:r>
      <w:r w:rsidR="00DB2497">
        <w:rPr>
          <w:rFonts w:cs="Arial"/>
          <w:sz w:val="24"/>
          <w:szCs w:val="24"/>
        </w:rPr>
        <w:t xml:space="preserve"> will transfer its </w:t>
      </w:r>
      <w:r w:rsidR="00FB04E5">
        <w:rPr>
          <w:rFonts w:cs="Arial"/>
          <w:sz w:val="24"/>
          <w:szCs w:val="24"/>
        </w:rPr>
        <w:t>generation</w:t>
      </w:r>
      <w:r w:rsidR="00DB2497">
        <w:rPr>
          <w:rFonts w:cs="Arial"/>
          <w:sz w:val="24"/>
          <w:szCs w:val="24"/>
        </w:rPr>
        <w:t xml:space="preserve"> assets to an affiliate at fair market value </w:t>
      </w:r>
      <w:r>
        <w:rPr>
          <w:rFonts w:cs="Arial"/>
          <w:sz w:val="24"/>
          <w:szCs w:val="24"/>
        </w:rPr>
        <w:t>on or before May 31, 2017.  The Application</w:t>
      </w:r>
      <w:r w:rsidR="00DB2497">
        <w:rPr>
          <w:rFonts w:cs="Arial"/>
          <w:sz w:val="24"/>
          <w:szCs w:val="24"/>
        </w:rPr>
        <w:t xml:space="preserve"> further </w:t>
      </w:r>
      <w:r w:rsidR="00DB2497" w:rsidRPr="007842B0">
        <w:rPr>
          <w:rFonts w:cs="Arial"/>
          <w:sz w:val="24"/>
          <w:szCs w:val="24"/>
        </w:rPr>
        <w:t>claims</w:t>
      </w:r>
      <w:r w:rsidR="00DB2497">
        <w:rPr>
          <w:rFonts w:cs="Arial"/>
          <w:sz w:val="24"/>
          <w:szCs w:val="24"/>
        </w:rPr>
        <w:t xml:space="preserve"> that </w:t>
      </w:r>
      <w:r>
        <w:rPr>
          <w:rFonts w:cs="Arial"/>
          <w:sz w:val="24"/>
          <w:szCs w:val="24"/>
        </w:rPr>
        <w:t>DP&amp;L</w:t>
      </w:r>
      <w:r w:rsidR="006C5E76">
        <w:rPr>
          <w:rFonts w:cs="Arial"/>
          <w:sz w:val="24"/>
          <w:szCs w:val="24"/>
        </w:rPr>
        <w:t xml:space="preserve"> has</w:t>
      </w:r>
      <w:r w:rsidR="002D5A3C">
        <w:rPr>
          <w:rFonts w:cs="Arial"/>
          <w:sz w:val="24"/>
          <w:szCs w:val="24"/>
        </w:rPr>
        <w:t xml:space="preserve"> “recently begun to evaluate the transfer of DP&amp;L’s generation assets to an unaffiliated third party through a potential sale.  A sale to a third party could occur as early as 2014.”</w:t>
      </w:r>
      <w:r w:rsidR="002D5A3C">
        <w:rPr>
          <w:rStyle w:val="FootnoteReference"/>
          <w:rFonts w:cs="Arial"/>
          <w:sz w:val="24"/>
          <w:szCs w:val="24"/>
        </w:rPr>
        <w:footnoteReference w:id="19"/>
      </w:r>
      <w:r w:rsidR="005E0EEB">
        <w:rPr>
          <w:rFonts w:cs="Arial"/>
          <w:sz w:val="24"/>
          <w:szCs w:val="24"/>
        </w:rPr>
        <w:t xml:space="preserve">  </w:t>
      </w:r>
      <w:r>
        <w:rPr>
          <w:rFonts w:cs="Arial"/>
          <w:sz w:val="24"/>
          <w:szCs w:val="24"/>
        </w:rPr>
        <w:t>The Application further states</w:t>
      </w:r>
      <w:r w:rsidR="005E0EEB">
        <w:rPr>
          <w:rFonts w:cs="Arial"/>
          <w:sz w:val="24"/>
          <w:szCs w:val="24"/>
        </w:rPr>
        <w:t xml:space="preserve"> that</w:t>
      </w:r>
      <w:r w:rsidR="002D5A3C">
        <w:rPr>
          <w:rFonts w:cs="Arial"/>
          <w:sz w:val="24"/>
          <w:szCs w:val="24"/>
        </w:rPr>
        <w:t xml:space="preserve"> “[r]egardless of the specific timing or </w:t>
      </w:r>
      <w:r w:rsidR="00CC1AB7">
        <w:rPr>
          <w:rFonts w:cs="Arial"/>
          <w:sz w:val="24"/>
          <w:szCs w:val="24"/>
        </w:rPr>
        <w:t xml:space="preserve">mechanics of </w:t>
      </w:r>
      <w:r w:rsidR="002D5A3C">
        <w:rPr>
          <w:rFonts w:cs="Arial"/>
          <w:sz w:val="24"/>
          <w:szCs w:val="24"/>
        </w:rPr>
        <w:t xml:space="preserve">divestiture, the underlying legal basis supporting the Commission’s Order in DP&amp;L’s ESP case </w:t>
      </w:r>
      <w:r w:rsidR="00CC1AB7">
        <w:rPr>
          <w:rFonts w:cs="Arial"/>
          <w:sz w:val="24"/>
          <w:szCs w:val="24"/>
        </w:rPr>
        <w:t xml:space="preserve">(12-426-EL-SSO) </w:t>
      </w:r>
      <w:r w:rsidR="002D5A3C">
        <w:rPr>
          <w:rFonts w:cs="Arial"/>
          <w:sz w:val="24"/>
          <w:szCs w:val="24"/>
        </w:rPr>
        <w:t>outlining the need for DP&amp;L’s Service Stability Rider during the entire term of the ESP remains unchanged.”</w:t>
      </w:r>
      <w:r w:rsidR="00DB6D81">
        <w:rPr>
          <w:rStyle w:val="FootnoteReference"/>
          <w:rFonts w:cs="Arial"/>
          <w:sz w:val="24"/>
          <w:szCs w:val="24"/>
        </w:rPr>
        <w:footnoteReference w:id="20"/>
      </w:r>
      <w:r w:rsidR="002D5A3C">
        <w:rPr>
          <w:rFonts w:cs="Arial"/>
          <w:sz w:val="24"/>
          <w:szCs w:val="24"/>
        </w:rPr>
        <w:t xml:space="preserve">  DP&amp;L </w:t>
      </w:r>
      <w:r>
        <w:rPr>
          <w:rFonts w:cs="Arial"/>
          <w:sz w:val="24"/>
          <w:szCs w:val="24"/>
        </w:rPr>
        <w:t xml:space="preserve">argues </w:t>
      </w:r>
      <w:r w:rsidR="002D5A3C">
        <w:rPr>
          <w:rFonts w:cs="Arial"/>
          <w:sz w:val="24"/>
          <w:szCs w:val="24"/>
        </w:rPr>
        <w:t xml:space="preserve">that because it is not a structurally separated utility, the losses of each company (distribution, transmission, or generation) may adversely </w:t>
      </w:r>
      <w:r w:rsidR="005E48E6">
        <w:rPr>
          <w:rFonts w:cs="Arial"/>
          <w:sz w:val="24"/>
          <w:szCs w:val="24"/>
        </w:rPr>
        <w:t>affect</w:t>
      </w:r>
      <w:r w:rsidR="002D5A3C">
        <w:rPr>
          <w:rFonts w:cs="Arial"/>
          <w:sz w:val="24"/>
          <w:szCs w:val="24"/>
        </w:rPr>
        <w:t xml:space="preserve"> the entire utility.  DP&amp;L </w:t>
      </w:r>
      <w:r w:rsidR="00270829">
        <w:rPr>
          <w:rFonts w:cs="Arial"/>
          <w:sz w:val="24"/>
          <w:szCs w:val="24"/>
        </w:rPr>
        <w:t xml:space="preserve">further </w:t>
      </w:r>
      <w:r>
        <w:rPr>
          <w:rFonts w:cs="Arial"/>
          <w:sz w:val="24"/>
          <w:szCs w:val="24"/>
        </w:rPr>
        <w:t xml:space="preserve">claims </w:t>
      </w:r>
      <w:r w:rsidR="002D5A3C">
        <w:rPr>
          <w:rFonts w:cs="Arial"/>
          <w:sz w:val="24"/>
          <w:szCs w:val="24"/>
        </w:rPr>
        <w:t>that “[g]iven current poor market conditions, DP&amp;L could sustain a serious, continuing financial loss that strongly supports the ongoing need to recover the SSR through</w:t>
      </w:r>
      <w:r w:rsidR="00CC1AB7">
        <w:rPr>
          <w:rFonts w:cs="Arial"/>
          <w:sz w:val="24"/>
          <w:szCs w:val="24"/>
        </w:rPr>
        <w:t>out</w:t>
      </w:r>
      <w:r w:rsidR="002D5A3C">
        <w:rPr>
          <w:rFonts w:cs="Arial"/>
          <w:sz w:val="24"/>
          <w:szCs w:val="24"/>
        </w:rPr>
        <w:t xml:space="preserve"> the term of the ESP.”</w:t>
      </w:r>
      <w:r w:rsidR="005E0EEB">
        <w:rPr>
          <w:rStyle w:val="FootnoteReference"/>
          <w:rFonts w:cs="Arial"/>
          <w:sz w:val="24"/>
          <w:szCs w:val="24"/>
        </w:rPr>
        <w:footnoteReference w:id="21"/>
      </w:r>
      <w:r w:rsidR="005E0EEB">
        <w:rPr>
          <w:rFonts w:cs="Arial"/>
          <w:sz w:val="24"/>
          <w:szCs w:val="24"/>
        </w:rPr>
        <w:t xml:space="preserve">  </w:t>
      </w:r>
      <w:r w:rsidR="00DB6D81">
        <w:rPr>
          <w:rFonts w:cs="Arial"/>
          <w:sz w:val="24"/>
          <w:szCs w:val="24"/>
        </w:rPr>
        <w:t>As discussed below, t</w:t>
      </w:r>
      <w:r w:rsidR="005E0EEB">
        <w:rPr>
          <w:rFonts w:cs="Arial"/>
          <w:sz w:val="24"/>
          <w:szCs w:val="24"/>
        </w:rPr>
        <w:t>he Commission should reject DP&amp;L’s request to continue the SSR</w:t>
      </w:r>
      <w:r w:rsidR="00DB6D81">
        <w:rPr>
          <w:rFonts w:cs="Arial"/>
          <w:sz w:val="24"/>
          <w:szCs w:val="24"/>
        </w:rPr>
        <w:t xml:space="preserve"> after it transfers it</w:t>
      </w:r>
      <w:r w:rsidR="00CC1AB7">
        <w:rPr>
          <w:rFonts w:cs="Arial"/>
          <w:sz w:val="24"/>
          <w:szCs w:val="24"/>
        </w:rPr>
        <w:t>s</w:t>
      </w:r>
      <w:r w:rsidR="00DB6D81">
        <w:rPr>
          <w:rFonts w:cs="Arial"/>
          <w:sz w:val="24"/>
          <w:szCs w:val="24"/>
        </w:rPr>
        <w:t xml:space="preserve"> </w:t>
      </w:r>
      <w:r w:rsidR="00FB04E5">
        <w:rPr>
          <w:rFonts w:cs="Arial"/>
          <w:sz w:val="24"/>
          <w:szCs w:val="24"/>
        </w:rPr>
        <w:t>generation</w:t>
      </w:r>
      <w:r w:rsidR="00DB6D81">
        <w:rPr>
          <w:rFonts w:cs="Arial"/>
          <w:sz w:val="24"/>
          <w:szCs w:val="24"/>
        </w:rPr>
        <w:t xml:space="preserve"> assets</w:t>
      </w:r>
      <w:r w:rsidR="005E0EEB">
        <w:rPr>
          <w:rFonts w:cs="Arial"/>
          <w:sz w:val="24"/>
          <w:szCs w:val="24"/>
        </w:rPr>
        <w:t xml:space="preserve">. </w:t>
      </w:r>
    </w:p>
    <w:p w:rsidR="007842B0" w:rsidRDefault="005E0EEB" w:rsidP="007842B0">
      <w:pPr>
        <w:spacing w:line="480" w:lineRule="auto"/>
        <w:ind w:firstLine="720"/>
        <w:jc w:val="both"/>
        <w:rPr>
          <w:rFonts w:cs="Arial"/>
          <w:sz w:val="24"/>
          <w:szCs w:val="24"/>
        </w:rPr>
      </w:pPr>
      <w:r>
        <w:rPr>
          <w:rFonts w:cs="Arial"/>
          <w:sz w:val="24"/>
          <w:szCs w:val="24"/>
        </w:rPr>
        <w:t xml:space="preserve">Initially, as discussed in more detail in </w:t>
      </w:r>
      <w:r w:rsidR="008C4B96">
        <w:rPr>
          <w:rFonts w:cs="Arial"/>
          <w:sz w:val="24"/>
          <w:szCs w:val="24"/>
        </w:rPr>
        <w:t>Industrial Energy Users-Ohio’s (“</w:t>
      </w:r>
      <w:r>
        <w:rPr>
          <w:rFonts w:cs="Arial"/>
          <w:sz w:val="24"/>
          <w:szCs w:val="24"/>
        </w:rPr>
        <w:t>IEU-Ohio</w:t>
      </w:r>
      <w:r w:rsidR="008C4B96">
        <w:rPr>
          <w:rFonts w:cs="Arial"/>
          <w:sz w:val="24"/>
          <w:szCs w:val="24"/>
        </w:rPr>
        <w:t>”)</w:t>
      </w:r>
      <w:r>
        <w:rPr>
          <w:rFonts w:cs="Arial"/>
          <w:sz w:val="24"/>
          <w:szCs w:val="24"/>
        </w:rPr>
        <w:t xml:space="preserve"> Application for Rehearing</w:t>
      </w:r>
      <w:r w:rsidR="003D5F90">
        <w:rPr>
          <w:rFonts w:cs="Arial"/>
          <w:sz w:val="24"/>
          <w:szCs w:val="24"/>
        </w:rPr>
        <w:t xml:space="preserve"> in the ESP Case</w:t>
      </w:r>
      <w:r>
        <w:rPr>
          <w:rFonts w:cs="Arial"/>
          <w:sz w:val="24"/>
          <w:szCs w:val="24"/>
        </w:rPr>
        <w:t>, the SSR</w:t>
      </w:r>
      <w:r w:rsidR="00DB6D81">
        <w:rPr>
          <w:rFonts w:cs="Arial"/>
          <w:sz w:val="24"/>
          <w:szCs w:val="24"/>
        </w:rPr>
        <w:t xml:space="preserve"> is </w:t>
      </w:r>
      <w:r>
        <w:rPr>
          <w:rFonts w:cs="Arial"/>
          <w:sz w:val="24"/>
          <w:szCs w:val="24"/>
        </w:rPr>
        <w:t xml:space="preserve">unlawful and </w:t>
      </w:r>
      <w:r>
        <w:rPr>
          <w:rFonts w:cs="Arial"/>
          <w:sz w:val="24"/>
          <w:szCs w:val="24"/>
        </w:rPr>
        <w:lastRenderedPageBreak/>
        <w:t>unreasonable.</w:t>
      </w:r>
      <w:r w:rsidR="00DB6D81">
        <w:rPr>
          <w:rStyle w:val="FootnoteReference"/>
          <w:rFonts w:cs="Arial"/>
          <w:sz w:val="24"/>
          <w:szCs w:val="24"/>
        </w:rPr>
        <w:footnoteReference w:id="22"/>
      </w:r>
      <w:r>
        <w:rPr>
          <w:rFonts w:cs="Arial"/>
          <w:sz w:val="24"/>
          <w:szCs w:val="24"/>
        </w:rPr>
        <w:t xml:space="preserve">  Moreover, after DP&amp;L transfers its </w:t>
      </w:r>
      <w:r w:rsidR="00FB04E5">
        <w:rPr>
          <w:rFonts w:cs="Arial"/>
          <w:sz w:val="24"/>
          <w:szCs w:val="24"/>
        </w:rPr>
        <w:t>generation</w:t>
      </w:r>
      <w:r>
        <w:rPr>
          <w:rFonts w:cs="Arial"/>
          <w:sz w:val="24"/>
          <w:szCs w:val="24"/>
        </w:rPr>
        <w:t xml:space="preserve"> assets, even under the Commission’s reasoning in the ESP Order, the </w:t>
      </w:r>
      <w:r w:rsidR="00B11761">
        <w:rPr>
          <w:rFonts w:cs="Arial"/>
          <w:sz w:val="24"/>
          <w:szCs w:val="24"/>
        </w:rPr>
        <w:t>Commission should direct DP&amp;L to terminate the SSR</w:t>
      </w:r>
      <w:r>
        <w:rPr>
          <w:rFonts w:cs="Arial"/>
          <w:sz w:val="24"/>
          <w:szCs w:val="24"/>
        </w:rPr>
        <w:t xml:space="preserve">.  </w:t>
      </w:r>
      <w:r w:rsidR="007D2771">
        <w:rPr>
          <w:rFonts w:eastAsia="Calibri" w:cs="Times New Roman"/>
          <w:sz w:val="24"/>
          <w:szCs w:val="24"/>
        </w:rPr>
        <w:t>The Commission authorized the SSR</w:t>
      </w:r>
      <w:r w:rsidR="007D2771" w:rsidRPr="005E0EEB">
        <w:rPr>
          <w:rFonts w:eastAsia="Calibri" w:cs="Times New Roman"/>
          <w:sz w:val="24"/>
          <w:szCs w:val="24"/>
        </w:rPr>
        <w:t xml:space="preserve"> </w:t>
      </w:r>
      <w:r w:rsidR="007D2771">
        <w:rPr>
          <w:rFonts w:eastAsia="Calibri" w:cs="Times New Roman"/>
          <w:sz w:val="24"/>
          <w:szCs w:val="24"/>
        </w:rPr>
        <w:t>t</w:t>
      </w:r>
      <w:r w:rsidRPr="005E0EEB">
        <w:rPr>
          <w:rFonts w:eastAsia="Calibri" w:cs="Times New Roman"/>
          <w:sz w:val="24"/>
          <w:szCs w:val="24"/>
        </w:rPr>
        <w:t xml:space="preserve">o staunch </w:t>
      </w:r>
      <w:r w:rsidR="00AB42E0">
        <w:rPr>
          <w:rFonts w:eastAsia="Calibri" w:cs="Times New Roman"/>
          <w:sz w:val="24"/>
          <w:szCs w:val="24"/>
        </w:rPr>
        <w:t>an alleged</w:t>
      </w:r>
      <w:r w:rsidR="00AB42E0" w:rsidRPr="005E0EEB">
        <w:rPr>
          <w:rFonts w:eastAsia="Calibri" w:cs="Times New Roman"/>
          <w:sz w:val="24"/>
          <w:szCs w:val="24"/>
        </w:rPr>
        <w:t xml:space="preserve"> </w:t>
      </w:r>
      <w:r w:rsidRPr="005E0EEB">
        <w:rPr>
          <w:rFonts w:eastAsia="Calibri" w:cs="Times New Roman"/>
          <w:sz w:val="24"/>
          <w:szCs w:val="24"/>
        </w:rPr>
        <w:t>revenue shortfall and to prop u</w:t>
      </w:r>
      <w:r w:rsidR="007D2771">
        <w:rPr>
          <w:rFonts w:eastAsia="Calibri" w:cs="Times New Roman"/>
          <w:sz w:val="24"/>
          <w:szCs w:val="24"/>
        </w:rPr>
        <w:t>p DP&amp;L’s total company earnings</w:t>
      </w:r>
      <w:r>
        <w:rPr>
          <w:rFonts w:eastAsia="Calibri" w:cs="Times New Roman"/>
          <w:sz w:val="24"/>
          <w:szCs w:val="24"/>
        </w:rPr>
        <w:t>.</w:t>
      </w:r>
      <w:r w:rsidR="00F927F1" w:rsidRPr="005E0EEB">
        <w:rPr>
          <w:rFonts w:cs="Arial"/>
          <w:sz w:val="24"/>
          <w:szCs w:val="24"/>
        </w:rPr>
        <w:t xml:space="preserve"> </w:t>
      </w:r>
      <w:r>
        <w:rPr>
          <w:rFonts w:cs="Arial"/>
          <w:sz w:val="24"/>
          <w:szCs w:val="24"/>
        </w:rPr>
        <w:t xml:space="preserve"> </w:t>
      </w:r>
      <w:r w:rsidR="00AB42E0">
        <w:rPr>
          <w:rFonts w:cs="Arial"/>
          <w:sz w:val="24"/>
          <w:szCs w:val="24"/>
        </w:rPr>
        <w:t>In recognition of the connection between the SSR and the transfer of the generation assets</w:t>
      </w:r>
      <w:r w:rsidR="00DB6D81">
        <w:rPr>
          <w:rFonts w:cs="Arial"/>
          <w:sz w:val="24"/>
          <w:szCs w:val="24"/>
        </w:rPr>
        <w:t>, t</w:t>
      </w:r>
      <w:r>
        <w:rPr>
          <w:rFonts w:cs="Arial"/>
          <w:sz w:val="24"/>
          <w:szCs w:val="24"/>
        </w:rPr>
        <w:t xml:space="preserve">he Commission </w:t>
      </w:r>
      <w:r w:rsidR="00AB42E0">
        <w:rPr>
          <w:rFonts w:cs="Arial"/>
          <w:sz w:val="24"/>
          <w:szCs w:val="24"/>
        </w:rPr>
        <w:t xml:space="preserve">limited its authorization of </w:t>
      </w:r>
      <w:r>
        <w:rPr>
          <w:rFonts w:cs="Arial"/>
          <w:sz w:val="24"/>
          <w:szCs w:val="24"/>
        </w:rPr>
        <w:t xml:space="preserve">the SSR </w:t>
      </w:r>
      <w:r w:rsidR="00AB42E0">
        <w:rPr>
          <w:rFonts w:cs="Arial"/>
          <w:sz w:val="24"/>
          <w:szCs w:val="24"/>
        </w:rPr>
        <w:t xml:space="preserve">to </w:t>
      </w:r>
      <w:r>
        <w:rPr>
          <w:rFonts w:cs="Arial"/>
          <w:sz w:val="24"/>
          <w:szCs w:val="24"/>
        </w:rPr>
        <w:t>a five-year term so that DP&amp;L</w:t>
      </w:r>
      <w:r w:rsidR="00F927F1">
        <w:rPr>
          <w:rFonts w:cs="Arial"/>
          <w:sz w:val="24"/>
          <w:szCs w:val="24"/>
        </w:rPr>
        <w:t xml:space="preserve"> could</w:t>
      </w:r>
      <w:r>
        <w:rPr>
          <w:rFonts w:cs="Arial"/>
          <w:sz w:val="24"/>
          <w:szCs w:val="24"/>
        </w:rPr>
        <w:t xml:space="preserve"> unwind its first mortgage bonds and</w:t>
      </w:r>
      <w:r w:rsidR="00F927F1">
        <w:rPr>
          <w:rFonts w:cs="Arial"/>
          <w:sz w:val="24"/>
          <w:szCs w:val="24"/>
        </w:rPr>
        <w:t xml:space="preserve"> transfer </w:t>
      </w:r>
      <w:r>
        <w:rPr>
          <w:rFonts w:cs="Arial"/>
          <w:sz w:val="24"/>
          <w:szCs w:val="24"/>
        </w:rPr>
        <w:t xml:space="preserve">its </w:t>
      </w:r>
      <w:r w:rsidR="00FB04E5">
        <w:rPr>
          <w:rFonts w:cs="Arial"/>
          <w:sz w:val="24"/>
          <w:szCs w:val="24"/>
        </w:rPr>
        <w:t>generation</w:t>
      </w:r>
      <w:r>
        <w:rPr>
          <w:rFonts w:cs="Arial"/>
          <w:sz w:val="24"/>
          <w:szCs w:val="24"/>
        </w:rPr>
        <w:t xml:space="preserve"> assets in 2017.</w:t>
      </w:r>
      <w:r w:rsidR="00F927F1">
        <w:rPr>
          <w:rStyle w:val="FootnoteReference"/>
          <w:rFonts w:cs="Arial"/>
          <w:sz w:val="24"/>
          <w:szCs w:val="24"/>
        </w:rPr>
        <w:footnoteReference w:id="23"/>
      </w:r>
      <w:r w:rsidR="007D2771">
        <w:rPr>
          <w:rFonts w:cs="Arial"/>
          <w:sz w:val="24"/>
          <w:szCs w:val="24"/>
        </w:rPr>
        <w:t xml:space="preserve">  After DP&amp;L transfers its </w:t>
      </w:r>
      <w:r w:rsidR="00FB04E5">
        <w:rPr>
          <w:rFonts w:cs="Arial"/>
          <w:sz w:val="24"/>
          <w:szCs w:val="24"/>
        </w:rPr>
        <w:t>generation</w:t>
      </w:r>
      <w:r w:rsidR="007D2771">
        <w:rPr>
          <w:rFonts w:cs="Arial"/>
          <w:sz w:val="24"/>
          <w:szCs w:val="24"/>
        </w:rPr>
        <w:t xml:space="preserve"> assets</w:t>
      </w:r>
      <w:r>
        <w:rPr>
          <w:rFonts w:cs="Arial"/>
          <w:sz w:val="24"/>
          <w:szCs w:val="24"/>
        </w:rPr>
        <w:t>, there simply is no reason to continue the SSR.</w:t>
      </w:r>
      <w:r w:rsidR="007D2771">
        <w:rPr>
          <w:rFonts w:cs="Arial"/>
          <w:sz w:val="24"/>
          <w:szCs w:val="24"/>
        </w:rPr>
        <w:t xml:space="preserve">  DP&amp;L, the EDU, will no longer be impacted by the performance of DP&amp;L’s </w:t>
      </w:r>
      <w:r w:rsidR="00FB04E5">
        <w:rPr>
          <w:rFonts w:cs="Arial"/>
          <w:sz w:val="24"/>
          <w:szCs w:val="24"/>
        </w:rPr>
        <w:t>generation</w:t>
      </w:r>
      <w:r w:rsidR="007D2771">
        <w:rPr>
          <w:rFonts w:cs="Arial"/>
          <w:sz w:val="24"/>
          <w:szCs w:val="24"/>
        </w:rPr>
        <w:t xml:space="preserve"> assets, and, despite DP&amp;L’s previous claims to the contrary, DP&amp;L can transfer its assets prior to 2017.  Thus, the Commission should </w:t>
      </w:r>
      <w:r w:rsidR="00674A4B">
        <w:rPr>
          <w:rFonts w:cs="Arial"/>
          <w:sz w:val="24"/>
          <w:szCs w:val="24"/>
        </w:rPr>
        <w:t xml:space="preserve">reject DP&amp;L’s attempt to extend the SSR after it transfers the generation assets to a third party.  </w:t>
      </w:r>
    </w:p>
    <w:p w:rsidR="00F142BE" w:rsidRPr="007842B0" w:rsidRDefault="00AB42E0" w:rsidP="007842B0">
      <w:pPr>
        <w:spacing w:line="480" w:lineRule="auto"/>
        <w:ind w:firstLine="720"/>
        <w:jc w:val="both"/>
        <w:rPr>
          <w:rFonts w:cs="Arial"/>
          <w:sz w:val="24"/>
          <w:szCs w:val="24"/>
        </w:rPr>
      </w:pPr>
      <w:r>
        <w:rPr>
          <w:rFonts w:cs="Arial"/>
          <w:sz w:val="24"/>
          <w:szCs w:val="24"/>
        </w:rPr>
        <w:t xml:space="preserve">Because the SSR is unlawful, the Commission should have denied DP&amp;L’s request to authorize the rider.  After the </w:t>
      </w:r>
      <w:r w:rsidR="00FB04E5">
        <w:rPr>
          <w:rFonts w:cs="Arial"/>
          <w:sz w:val="24"/>
          <w:szCs w:val="24"/>
        </w:rPr>
        <w:t>generation</w:t>
      </w:r>
      <w:r>
        <w:rPr>
          <w:rFonts w:cs="Arial"/>
          <w:sz w:val="24"/>
          <w:szCs w:val="24"/>
        </w:rPr>
        <w:t xml:space="preserve"> assets are transferred, the rationale for continuing the rider will no longer exist.  Therefore, the </w:t>
      </w:r>
      <w:r w:rsidR="00AC720A">
        <w:rPr>
          <w:rFonts w:cs="Arial"/>
          <w:sz w:val="24"/>
          <w:szCs w:val="24"/>
        </w:rPr>
        <w:t>Commission</w:t>
      </w:r>
      <w:r>
        <w:rPr>
          <w:rFonts w:cs="Arial"/>
          <w:sz w:val="24"/>
          <w:szCs w:val="24"/>
        </w:rPr>
        <w:t xml:space="preserve"> should reject DP&amp;L’s request </w:t>
      </w:r>
      <w:r w:rsidR="003D5F90">
        <w:rPr>
          <w:rFonts w:cs="Arial"/>
          <w:sz w:val="24"/>
          <w:szCs w:val="24"/>
        </w:rPr>
        <w:t>for authorization to continue</w:t>
      </w:r>
      <w:r>
        <w:rPr>
          <w:rFonts w:cs="Arial"/>
          <w:sz w:val="24"/>
          <w:szCs w:val="24"/>
        </w:rPr>
        <w:t xml:space="preserve"> the SSR</w:t>
      </w:r>
      <w:r w:rsidR="003D5F90">
        <w:rPr>
          <w:rFonts w:cs="Arial"/>
          <w:sz w:val="24"/>
          <w:szCs w:val="24"/>
        </w:rPr>
        <w:t xml:space="preserve"> after it transfers the generation assets</w:t>
      </w:r>
      <w:r>
        <w:rPr>
          <w:rFonts w:cs="Arial"/>
          <w:sz w:val="24"/>
          <w:szCs w:val="24"/>
        </w:rPr>
        <w:t>.</w:t>
      </w:r>
    </w:p>
    <w:p w:rsidR="008903CF" w:rsidRPr="002C127A" w:rsidRDefault="008903CF" w:rsidP="002C127A">
      <w:pPr>
        <w:pStyle w:val="S2Heading3"/>
        <w:rPr>
          <w:sz w:val="24"/>
          <w:szCs w:val="24"/>
        </w:rPr>
      </w:pPr>
      <w:bookmarkStart w:id="22" w:name="_Toc383506928"/>
      <w:bookmarkStart w:id="23" w:name="_Toc383517961"/>
      <w:bookmarkStart w:id="24" w:name="_Toc383524582"/>
      <w:r w:rsidRPr="002C127A">
        <w:rPr>
          <w:sz w:val="24"/>
          <w:szCs w:val="24"/>
        </w:rPr>
        <w:t>DP&amp;L’s request</w:t>
      </w:r>
      <w:r w:rsidR="00DF736B">
        <w:rPr>
          <w:sz w:val="24"/>
          <w:szCs w:val="24"/>
        </w:rPr>
        <w:t>s</w:t>
      </w:r>
      <w:r w:rsidRPr="002C127A">
        <w:rPr>
          <w:sz w:val="24"/>
          <w:szCs w:val="24"/>
        </w:rPr>
        <w:t xml:space="preserve"> to retain environmental liabilities and </w:t>
      </w:r>
      <w:r w:rsidR="00DF736B">
        <w:rPr>
          <w:sz w:val="24"/>
          <w:szCs w:val="24"/>
        </w:rPr>
        <w:t xml:space="preserve">for accounting modifications to </w:t>
      </w:r>
      <w:r w:rsidRPr="002C127A">
        <w:rPr>
          <w:sz w:val="24"/>
          <w:szCs w:val="24"/>
        </w:rPr>
        <w:t>defer related clean-up costs is unlawful and unreasonable</w:t>
      </w:r>
      <w:bookmarkEnd w:id="22"/>
      <w:bookmarkEnd w:id="23"/>
      <w:bookmarkEnd w:id="24"/>
    </w:p>
    <w:p w:rsidR="008903CF" w:rsidRPr="008903CF" w:rsidRDefault="008903CF" w:rsidP="008903CF">
      <w:pPr>
        <w:spacing w:line="480" w:lineRule="auto"/>
        <w:ind w:firstLine="720"/>
        <w:jc w:val="both"/>
        <w:rPr>
          <w:sz w:val="24"/>
          <w:szCs w:val="24"/>
        </w:rPr>
      </w:pPr>
      <w:r w:rsidRPr="008903CF">
        <w:rPr>
          <w:sz w:val="24"/>
          <w:szCs w:val="24"/>
        </w:rPr>
        <w:t xml:space="preserve">DP&amp;L also seeks authorization (1) to retain responsibility for future environmental clean-up costs associated with its “historic ownership of its generation facilities” and “to </w:t>
      </w:r>
      <w:r w:rsidRPr="008903CF">
        <w:rPr>
          <w:sz w:val="24"/>
          <w:szCs w:val="24"/>
        </w:rPr>
        <w:lastRenderedPageBreak/>
        <w:t xml:space="preserve">allow it to seek recovery </w:t>
      </w:r>
      <w:r w:rsidR="00CC1AB7">
        <w:rPr>
          <w:sz w:val="24"/>
          <w:szCs w:val="24"/>
        </w:rPr>
        <w:t>for</w:t>
      </w:r>
      <w:r w:rsidR="00CC1AB7" w:rsidRPr="008903CF">
        <w:rPr>
          <w:sz w:val="24"/>
          <w:szCs w:val="24"/>
        </w:rPr>
        <w:t xml:space="preserve"> </w:t>
      </w:r>
      <w:r w:rsidRPr="008903CF">
        <w:rPr>
          <w:sz w:val="24"/>
          <w:szCs w:val="24"/>
        </w:rPr>
        <w:t xml:space="preserve">prudently incurred environmental clean-up costs for real property that had been used and useful for </w:t>
      </w:r>
      <w:r w:rsidR="00CC1AB7">
        <w:rPr>
          <w:sz w:val="24"/>
          <w:szCs w:val="24"/>
        </w:rPr>
        <w:t xml:space="preserve">the </w:t>
      </w:r>
      <w:r w:rsidRPr="008903CF">
        <w:rPr>
          <w:sz w:val="24"/>
          <w:szCs w:val="24"/>
        </w:rPr>
        <w:t xml:space="preserve">production of electricity for the benefit of the customers of DP&amp;L” and (2) for accounting modifications to permit it </w:t>
      </w:r>
      <w:r w:rsidR="00D118ED">
        <w:rPr>
          <w:sz w:val="24"/>
          <w:szCs w:val="24"/>
        </w:rPr>
        <w:t xml:space="preserve">to </w:t>
      </w:r>
      <w:r w:rsidRPr="008903CF">
        <w:rPr>
          <w:sz w:val="24"/>
          <w:szCs w:val="24"/>
        </w:rPr>
        <w:t>defer the clean-up costs with interest at its cost of debt.</w:t>
      </w:r>
      <w:r w:rsidRPr="008903CF">
        <w:rPr>
          <w:sz w:val="24"/>
          <w:szCs w:val="24"/>
          <w:vertAlign w:val="superscript"/>
        </w:rPr>
        <w:footnoteReference w:id="24"/>
      </w:r>
      <w:r w:rsidRPr="008903CF">
        <w:rPr>
          <w:sz w:val="24"/>
          <w:szCs w:val="24"/>
        </w:rPr>
        <w:t xml:space="preserve">  Because there is not a lawful basis for either request and neither request is reasonable, the Commission should </w:t>
      </w:r>
      <w:r w:rsidR="006C5E76">
        <w:rPr>
          <w:sz w:val="24"/>
          <w:szCs w:val="24"/>
        </w:rPr>
        <w:t>reject this part of the Application because it is</w:t>
      </w:r>
      <w:r w:rsidRPr="008903CF">
        <w:rPr>
          <w:sz w:val="24"/>
          <w:szCs w:val="24"/>
        </w:rPr>
        <w:t xml:space="preserve"> unjust, unreasonable, and not in the public interest.  </w:t>
      </w:r>
    </w:p>
    <w:p w:rsidR="007842B0" w:rsidRPr="002C127A" w:rsidRDefault="004E5121" w:rsidP="002C127A">
      <w:pPr>
        <w:pStyle w:val="S2Heading4"/>
        <w:rPr>
          <w:sz w:val="24"/>
          <w:szCs w:val="24"/>
        </w:rPr>
      </w:pPr>
      <w:bookmarkStart w:id="25" w:name="_Toc383506929"/>
      <w:bookmarkStart w:id="26" w:name="_Toc383517962"/>
      <w:bookmarkStart w:id="27" w:name="_Toc383524583"/>
      <w:r w:rsidRPr="002C127A">
        <w:rPr>
          <w:sz w:val="24"/>
          <w:szCs w:val="24"/>
        </w:rPr>
        <w:t>Authority to seek to recover environmental clean-up costs from customers</w:t>
      </w:r>
      <w:bookmarkEnd w:id="25"/>
      <w:bookmarkEnd w:id="26"/>
      <w:bookmarkEnd w:id="27"/>
    </w:p>
    <w:p w:rsidR="00057562" w:rsidRDefault="00057562" w:rsidP="006A2F08">
      <w:pPr>
        <w:spacing w:line="480" w:lineRule="auto"/>
        <w:ind w:firstLine="720"/>
        <w:jc w:val="both"/>
        <w:rPr>
          <w:sz w:val="24"/>
          <w:szCs w:val="24"/>
        </w:rPr>
      </w:pPr>
      <w:r>
        <w:rPr>
          <w:sz w:val="24"/>
          <w:szCs w:val="24"/>
        </w:rPr>
        <w:t>As noted above, the nature and scope of the liabilities that DP&amp;L seeks to have customers pay at some time in the future is not disclosed.  Even if DP&amp;L had provided that information, it would not form a basis for the Commission to authorize DP&amp;L to seek to recover environmental clean-up costs.</w:t>
      </w:r>
      <w:r w:rsidR="00760EA0">
        <w:rPr>
          <w:sz w:val="24"/>
          <w:szCs w:val="24"/>
        </w:rPr>
        <w:t xml:space="preserve"> </w:t>
      </w:r>
      <w:r>
        <w:rPr>
          <w:sz w:val="24"/>
          <w:szCs w:val="24"/>
        </w:rPr>
        <w:t xml:space="preserve"> </w:t>
      </w:r>
      <w:r w:rsidR="004E5121">
        <w:rPr>
          <w:sz w:val="24"/>
          <w:szCs w:val="24"/>
        </w:rPr>
        <w:t xml:space="preserve">Ohio law </w:t>
      </w:r>
      <w:r>
        <w:rPr>
          <w:sz w:val="24"/>
          <w:szCs w:val="24"/>
        </w:rPr>
        <w:t>provides</w:t>
      </w:r>
      <w:r w:rsidR="004E5121">
        <w:rPr>
          <w:sz w:val="24"/>
          <w:szCs w:val="24"/>
        </w:rPr>
        <w:t xml:space="preserve"> </w:t>
      </w:r>
      <w:r w:rsidR="00AB42E0">
        <w:rPr>
          <w:sz w:val="24"/>
          <w:szCs w:val="24"/>
        </w:rPr>
        <w:t xml:space="preserve">only </w:t>
      </w:r>
      <w:r w:rsidR="004E5121">
        <w:rPr>
          <w:sz w:val="24"/>
          <w:szCs w:val="24"/>
        </w:rPr>
        <w:t>three methods o</w:t>
      </w:r>
      <w:r>
        <w:rPr>
          <w:sz w:val="24"/>
          <w:szCs w:val="24"/>
        </w:rPr>
        <w:t xml:space="preserve">f establishing customer charges, </w:t>
      </w:r>
      <w:r w:rsidR="00AB42E0">
        <w:rPr>
          <w:sz w:val="24"/>
          <w:szCs w:val="24"/>
        </w:rPr>
        <w:t xml:space="preserve">and </w:t>
      </w:r>
      <w:r w:rsidR="000C2D94">
        <w:rPr>
          <w:sz w:val="24"/>
          <w:szCs w:val="24"/>
        </w:rPr>
        <w:t>none permits the Commission to authorize the recovery of clean-up costs that DP&amp;L is seeking</w:t>
      </w:r>
      <w:r w:rsidR="008903CF" w:rsidRPr="008903CF">
        <w:rPr>
          <w:sz w:val="24"/>
          <w:szCs w:val="24"/>
        </w:rPr>
        <w:t xml:space="preserve">.  </w:t>
      </w:r>
    </w:p>
    <w:p w:rsidR="008903CF" w:rsidRPr="008903CF" w:rsidRDefault="008903CF" w:rsidP="00057562">
      <w:pPr>
        <w:spacing w:line="480" w:lineRule="auto"/>
        <w:ind w:firstLine="720"/>
        <w:jc w:val="both"/>
        <w:rPr>
          <w:sz w:val="24"/>
          <w:szCs w:val="24"/>
        </w:rPr>
      </w:pPr>
      <w:r w:rsidRPr="008903CF">
        <w:rPr>
          <w:sz w:val="24"/>
          <w:szCs w:val="24"/>
        </w:rPr>
        <w:t xml:space="preserve">The first </w:t>
      </w:r>
      <w:r w:rsidR="00057562">
        <w:rPr>
          <w:sz w:val="24"/>
          <w:szCs w:val="24"/>
        </w:rPr>
        <w:t xml:space="preserve">means of establishing a charge or price </w:t>
      </w:r>
      <w:r w:rsidRPr="008903CF">
        <w:rPr>
          <w:sz w:val="24"/>
          <w:szCs w:val="24"/>
        </w:rPr>
        <w:t>is through a Market Rate Offer (“MRO”) under R.C. 4928.142.  R.C. 4928.142, however, limits the price that may be authorized under an MRO to that resulting from the auction pr</w:t>
      </w:r>
      <w:r>
        <w:rPr>
          <w:sz w:val="24"/>
          <w:szCs w:val="24"/>
        </w:rPr>
        <w:t>ocess.  The environmental clean-</w:t>
      </w:r>
      <w:r w:rsidRPr="008903CF">
        <w:rPr>
          <w:sz w:val="24"/>
          <w:szCs w:val="24"/>
        </w:rPr>
        <w:t xml:space="preserve">up costs of </w:t>
      </w:r>
      <w:r w:rsidR="000C2D94">
        <w:rPr>
          <w:sz w:val="24"/>
          <w:szCs w:val="24"/>
        </w:rPr>
        <w:t>DP&amp;L</w:t>
      </w:r>
      <w:r w:rsidRPr="008903CF">
        <w:rPr>
          <w:sz w:val="24"/>
          <w:szCs w:val="24"/>
        </w:rPr>
        <w:t xml:space="preserve"> are not </w:t>
      </w:r>
      <w:r w:rsidR="00760EA0">
        <w:rPr>
          <w:sz w:val="24"/>
          <w:szCs w:val="24"/>
        </w:rPr>
        <w:t xml:space="preserve">related to the price of electricity produced by the auction process and </w:t>
      </w:r>
      <w:r w:rsidRPr="008903CF">
        <w:rPr>
          <w:sz w:val="24"/>
          <w:szCs w:val="24"/>
        </w:rPr>
        <w:t xml:space="preserve">could </w:t>
      </w:r>
      <w:r w:rsidR="00760EA0">
        <w:rPr>
          <w:sz w:val="24"/>
          <w:szCs w:val="24"/>
        </w:rPr>
        <w:t xml:space="preserve">not </w:t>
      </w:r>
      <w:r w:rsidRPr="008903CF">
        <w:rPr>
          <w:sz w:val="24"/>
          <w:szCs w:val="24"/>
        </w:rPr>
        <w:t>be recovered under the limited terms of an MRO.</w:t>
      </w:r>
    </w:p>
    <w:p w:rsidR="008903CF" w:rsidRPr="008903CF" w:rsidRDefault="008903CF" w:rsidP="008903CF">
      <w:pPr>
        <w:spacing w:line="480" w:lineRule="auto"/>
        <w:ind w:firstLine="720"/>
        <w:jc w:val="both"/>
        <w:rPr>
          <w:sz w:val="24"/>
          <w:szCs w:val="24"/>
        </w:rPr>
      </w:pPr>
      <w:r w:rsidRPr="008903CF">
        <w:rPr>
          <w:sz w:val="24"/>
          <w:szCs w:val="24"/>
        </w:rPr>
        <w:t xml:space="preserve">The second </w:t>
      </w:r>
      <w:r w:rsidR="00760EA0">
        <w:rPr>
          <w:sz w:val="24"/>
          <w:szCs w:val="24"/>
        </w:rPr>
        <w:t xml:space="preserve">process </w:t>
      </w:r>
      <w:r w:rsidRPr="008903CF">
        <w:rPr>
          <w:sz w:val="24"/>
          <w:szCs w:val="24"/>
        </w:rPr>
        <w:t xml:space="preserve">is through the cost recovery mechanisms that can be included in an ESP under R.C. 4928.143.  The costs that shall be recovered in an ESP are limited to the supply of electric generation service.  </w:t>
      </w:r>
      <w:r w:rsidR="000C2D94">
        <w:rPr>
          <w:sz w:val="24"/>
          <w:szCs w:val="24"/>
        </w:rPr>
        <w:t xml:space="preserve">Plainly, the environmental costs </w:t>
      </w:r>
      <w:r w:rsidR="003D5F90">
        <w:rPr>
          <w:sz w:val="24"/>
          <w:szCs w:val="24"/>
        </w:rPr>
        <w:t xml:space="preserve">associated with plant held by a third party </w:t>
      </w:r>
      <w:r w:rsidR="000C2D94">
        <w:rPr>
          <w:sz w:val="24"/>
          <w:szCs w:val="24"/>
        </w:rPr>
        <w:t xml:space="preserve">would not be a cost of the generation </w:t>
      </w:r>
      <w:r w:rsidR="000C2D94">
        <w:rPr>
          <w:sz w:val="24"/>
          <w:szCs w:val="24"/>
        </w:rPr>
        <w:lastRenderedPageBreak/>
        <w:t xml:space="preserve">supplied to customers.  </w:t>
      </w:r>
      <w:r w:rsidRPr="008903CF">
        <w:rPr>
          <w:sz w:val="24"/>
          <w:szCs w:val="24"/>
        </w:rPr>
        <w:t xml:space="preserve">An ESP also may include recovery of other costs, but none of the permitted additional provisions extends authority for the Commission to </w:t>
      </w:r>
      <w:r w:rsidR="00760EA0">
        <w:rPr>
          <w:sz w:val="24"/>
          <w:szCs w:val="24"/>
        </w:rPr>
        <w:t>authorize</w:t>
      </w:r>
      <w:r w:rsidRPr="008903CF">
        <w:rPr>
          <w:sz w:val="24"/>
          <w:szCs w:val="24"/>
        </w:rPr>
        <w:t xml:space="preserve"> recovery of future unknown environmental clean-up costs.</w:t>
      </w:r>
      <w:r w:rsidRPr="008903CF">
        <w:rPr>
          <w:sz w:val="24"/>
          <w:szCs w:val="24"/>
          <w:vertAlign w:val="superscript"/>
        </w:rPr>
        <w:footnoteReference w:id="25"/>
      </w:r>
      <w:r w:rsidRPr="008903CF">
        <w:rPr>
          <w:sz w:val="24"/>
          <w:szCs w:val="24"/>
        </w:rPr>
        <w:t xml:space="preserve">  </w:t>
      </w:r>
      <w:r w:rsidR="005E48E6" w:rsidRPr="008903CF">
        <w:rPr>
          <w:sz w:val="24"/>
          <w:szCs w:val="24"/>
        </w:rPr>
        <w:t>Because</w:t>
      </w:r>
      <w:r w:rsidRPr="008903CF">
        <w:rPr>
          <w:sz w:val="24"/>
          <w:szCs w:val="24"/>
        </w:rPr>
        <w:t xml:space="preserve"> of the statutory limits contained in R.C. 4928.143, </w:t>
      </w:r>
      <w:r w:rsidR="000C2D94">
        <w:rPr>
          <w:sz w:val="24"/>
          <w:szCs w:val="24"/>
        </w:rPr>
        <w:t xml:space="preserve">therefore, </w:t>
      </w:r>
      <w:r w:rsidRPr="008903CF">
        <w:rPr>
          <w:sz w:val="24"/>
          <w:szCs w:val="24"/>
        </w:rPr>
        <w:t xml:space="preserve">the Commission could not authorize the recovery of these prospective unknown environmental clean-up costs.  </w:t>
      </w:r>
    </w:p>
    <w:p w:rsidR="00540463" w:rsidRDefault="008903CF" w:rsidP="008903CF">
      <w:pPr>
        <w:spacing w:line="480" w:lineRule="auto"/>
        <w:ind w:firstLine="720"/>
        <w:jc w:val="both"/>
        <w:rPr>
          <w:sz w:val="24"/>
          <w:szCs w:val="24"/>
        </w:rPr>
      </w:pPr>
      <w:r w:rsidRPr="008903CF">
        <w:rPr>
          <w:sz w:val="24"/>
          <w:szCs w:val="24"/>
        </w:rPr>
        <w:t xml:space="preserve">The third possibility for the recovery of these costs would be through a base distribution rate case under R.C. Chapter 4909.  R.C. 4909.15(A)(4), however, limits the expenses that an </w:t>
      </w:r>
      <w:r w:rsidR="00C2491B">
        <w:rPr>
          <w:sz w:val="24"/>
          <w:szCs w:val="24"/>
        </w:rPr>
        <w:t>EDU</w:t>
      </w:r>
      <w:r w:rsidRPr="008903CF">
        <w:rPr>
          <w:sz w:val="24"/>
          <w:szCs w:val="24"/>
        </w:rPr>
        <w:t xml:space="preserve"> may recover through its base distribution rates to “</w:t>
      </w:r>
      <w:r w:rsidR="00581922">
        <w:rPr>
          <w:sz w:val="24"/>
          <w:szCs w:val="24"/>
        </w:rPr>
        <w:t>[</w:t>
      </w:r>
      <w:r w:rsidRPr="008903CF">
        <w:rPr>
          <w:sz w:val="24"/>
          <w:szCs w:val="24"/>
        </w:rPr>
        <w:t>t</w:t>
      </w:r>
      <w:r w:rsidR="00581922">
        <w:rPr>
          <w:sz w:val="24"/>
          <w:szCs w:val="24"/>
        </w:rPr>
        <w:t>]</w:t>
      </w:r>
      <w:r w:rsidRPr="008903CF">
        <w:rPr>
          <w:sz w:val="24"/>
          <w:szCs w:val="24"/>
        </w:rPr>
        <w:t xml:space="preserve">he cost to the utility of rendering the public utility service for the test period used for the determination under </w:t>
      </w:r>
      <w:r w:rsidR="00581922">
        <w:rPr>
          <w:sz w:val="24"/>
          <w:szCs w:val="24"/>
        </w:rPr>
        <w:t xml:space="preserve">division </w:t>
      </w:r>
      <w:r w:rsidRPr="008903CF">
        <w:rPr>
          <w:sz w:val="24"/>
          <w:szCs w:val="24"/>
        </w:rPr>
        <w:t xml:space="preserve">(C)(1) of this section” with some adjustments.  The environmental clean-up costs would be those associated with assets no longer held by the EDU or used in the rendering of service during the test period.  Because these are not costs of the EDU to provide service to customers, the costs </w:t>
      </w:r>
      <w:r w:rsidR="000C2D94">
        <w:rPr>
          <w:sz w:val="24"/>
          <w:szCs w:val="24"/>
        </w:rPr>
        <w:t>would</w:t>
      </w:r>
      <w:r w:rsidR="000C2D94" w:rsidRPr="008903CF">
        <w:rPr>
          <w:sz w:val="24"/>
          <w:szCs w:val="24"/>
        </w:rPr>
        <w:t xml:space="preserve"> </w:t>
      </w:r>
      <w:r w:rsidRPr="008903CF">
        <w:rPr>
          <w:sz w:val="24"/>
          <w:szCs w:val="24"/>
        </w:rPr>
        <w:t xml:space="preserve">not </w:t>
      </w:r>
      <w:r w:rsidR="00CC1AB7">
        <w:rPr>
          <w:sz w:val="24"/>
          <w:szCs w:val="24"/>
        </w:rPr>
        <w:t xml:space="preserve">be </w:t>
      </w:r>
      <w:r w:rsidRPr="008903CF">
        <w:rPr>
          <w:sz w:val="24"/>
          <w:szCs w:val="24"/>
        </w:rPr>
        <w:t>recoverable from customers.</w:t>
      </w:r>
      <w:r w:rsidRPr="008903CF">
        <w:rPr>
          <w:sz w:val="24"/>
          <w:szCs w:val="24"/>
          <w:vertAlign w:val="superscript"/>
        </w:rPr>
        <w:footnoteReference w:id="26"/>
      </w:r>
      <w:r w:rsidRPr="008903CF">
        <w:rPr>
          <w:sz w:val="24"/>
          <w:szCs w:val="24"/>
        </w:rPr>
        <w:t xml:space="preserve">  </w:t>
      </w:r>
    </w:p>
    <w:p w:rsidR="00540463" w:rsidRPr="008903CF" w:rsidRDefault="00540463" w:rsidP="00540463">
      <w:pPr>
        <w:spacing w:line="480" w:lineRule="auto"/>
        <w:ind w:firstLine="720"/>
        <w:jc w:val="both"/>
        <w:rPr>
          <w:sz w:val="24"/>
          <w:szCs w:val="24"/>
        </w:rPr>
      </w:pPr>
      <w:r>
        <w:rPr>
          <w:sz w:val="24"/>
          <w:szCs w:val="24"/>
        </w:rPr>
        <w:t>Thus</w:t>
      </w:r>
      <w:r w:rsidRPr="008903CF">
        <w:rPr>
          <w:sz w:val="24"/>
          <w:szCs w:val="24"/>
        </w:rPr>
        <w:t>, the “relief” that DP&amp;L is seeking</w:t>
      </w:r>
      <w:r w:rsidR="006C5E76">
        <w:rPr>
          <w:sz w:val="24"/>
          <w:szCs w:val="24"/>
        </w:rPr>
        <w:t>, the authorization to file an application to recover environmental clean-up costs at some unknown future time,</w:t>
      </w:r>
      <w:r w:rsidRPr="008903CF">
        <w:rPr>
          <w:sz w:val="24"/>
          <w:szCs w:val="24"/>
        </w:rPr>
        <w:t xml:space="preserve"> is meaningless</w:t>
      </w:r>
      <w:r w:rsidR="006C5E76">
        <w:rPr>
          <w:sz w:val="24"/>
          <w:szCs w:val="24"/>
        </w:rPr>
        <w:t xml:space="preserve">. </w:t>
      </w:r>
      <w:r w:rsidRPr="008903CF">
        <w:rPr>
          <w:sz w:val="24"/>
          <w:szCs w:val="24"/>
        </w:rPr>
        <w:t xml:space="preserve"> </w:t>
      </w:r>
      <w:r w:rsidR="006C5E76">
        <w:rPr>
          <w:sz w:val="24"/>
          <w:szCs w:val="24"/>
        </w:rPr>
        <w:t xml:space="preserve">The Commission lacks authority to permit DP&amp;L to recover these costs currently; thus, </w:t>
      </w:r>
      <w:r w:rsidR="006C5E76">
        <w:rPr>
          <w:sz w:val="24"/>
          <w:szCs w:val="24"/>
        </w:rPr>
        <w:lastRenderedPageBreak/>
        <w:t xml:space="preserve">there is no legal basis for the Commission to authorize DP&amp;L to seek recovery in the future.  </w:t>
      </w:r>
      <w:r w:rsidRPr="008903CF">
        <w:rPr>
          <w:sz w:val="24"/>
          <w:szCs w:val="24"/>
        </w:rPr>
        <w:t>Certainly, DP&amp;L can file any frivolous application it chooses, but the Commission should not encourage that behavior by granting authorization to do so.</w:t>
      </w:r>
    </w:p>
    <w:p w:rsidR="00DE75EB" w:rsidRDefault="00760EA0" w:rsidP="00DE75EB">
      <w:pPr>
        <w:spacing w:line="480" w:lineRule="auto"/>
        <w:ind w:firstLine="720"/>
        <w:jc w:val="both"/>
        <w:rPr>
          <w:sz w:val="24"/>
          <w:szCs w:val="24"/>
        </w:rPr>
      </w:pPr>
      <w:r>
        <w:rPr>
          <w:sz w:val="24"/>
          <w:szCs w:val="24"/>
        </w:rPr>
        <w:t xml:space="preserve">Moreover, </w:t>
      </w:r>
      <w:r w:rsidR="00057562">
        <w:rPr>
          <w:sz w:val="24"/>
          <w:szCs w:val="24"/>
        </w:rPr>
        <w:t xml:space="preserve">the Commission has implicitly found that it is reasonable </w:t>
      </w:r>
      <w:r w:rsidR="00540463">
        <w:rPr>
          <w:sz w:val="24"/>
          <w:szCs w:val="24"/>
        </w:rPr>
        <w:t xml:space="preserve">to relieve customers of the environmental liabilities when a </w:t>
      </w:r>
      <w:r w:rsidR="00FB04E5">
        <w:rPr>
          <w:sz w:val="24"/>
          <w:szCs w:val="24"/>
        </w:rPr>
        <w:t>generation</w:t>
      </w:r>
      <w:r w:rsidR="00540463">
        <w:rPr>
          <w:sz w:val="24"/>
          <w:szCs w:val="24"/>
        </w:rPr>
        <w:t xml:space="preserve"> asset is transferred to an affiliate.  </w:t>
      </w:r>
      <w:r>
        <w:rPr>
          <w:sz w:val="24"/>
          <w:szCs w:val="24"/>
        </w:rPr>
        <w:t>In</w:t>
      </w:r>
      <w:r w:rsidR="00EA4098">
        <w:rPr>
          <w:sz w:val="24"/>
          <w:szCs w:val="24"/>
        </w:rPr>
        <w:t xml:space="preserve"> </w:t>
      </w:r>
      <w:r w:rsidR="00DE75EB">
        <w:rPr>
          <w:sz w:val="24"/>
          <w:szCs w:val="24"/>
        </w:rPr>
        <w:t xml:space="preserve">the </w:t>
      </w:r>
      <w:r w:rsidR="00CC1AB7">
        <w:rPr>
          <w:sz w:val="24"/>
          <w:szCs w:val="24"/>
        </w:rPr>
        <w:t>Ohio Power Company (“</w:t>
      </w:r>
      <w:r w:rsidR="00EA4098">
        <w:rPr>
          <w:sz w:val="24"/>
          <w:szCs w:val="24"/>
        </w:rPr>
        <w:t>AEP-Ohio</w:t>
      </w:r>
      <w:r w:rsidR="00CC1AB7">
        <w:rPr>
          <w:sz w:val="24"/>
          <w:szCs w:val="24"/>
        </w:rPr>
        <w:t>”)</w:t>
      </w:r>
      <w:r w:rsidR="00EA4098">
        <w:rPr>
          <w:sz w:val="24"/>
          <w:szCs w:val="24"/>
        </w:rPr>
        <w:t xml:space="preserve"> generation asset transfer case,</w:t>
      </w:r>
      <w:r w:rsidR="00904B59">
        <w:rPr>
          <w:sz w:val="24"/>
          <w:szCs w:val="24"/>
        </w:rPr>
        <w:t xml:space="preserve"> the Commission noted that “AEPGenC</w:t>
      </w:r>
      <w:r w:rsidR="00EA4098">
        <w:rPr>
          <w:sz w:val="24"/>
          <w:szCs w:val="24"/>
        </w:rPr>
        <w:t xml:space="preserve">o would receive [AEP-Ohio’s] </w:t>
      </w:r>
      <w:r w:rsidR="00EA4098" w:rsidRPr="00EA4098">
        <w:rPr>
          <w:sz w:val="24"/>
          <w:szCs w:val="24"/>
        </w:rPr>
        <w:t>ex</w:t>
      </w:r>
      <w:r w:rsidR="00EA4098">
        <w:rPr>
          <w:sz w:val="24"/>
          <w:szCs w:val="24"/>
        </w:rPr>
        <w:t xml:space="preserve">isting generation units and contractual </w:t>
      </w:r>
      <w:r w:rsidR="00EA4098" w:rsidRPr="00EA4098">
        <w:rPr>
          <w:sz w:val="24"/>
          <w:szCs w:val="24"/>
        </w:rPr>
        <w:t>entitlem</w:t>
      </w:r>
      <w:r w:rsidR="00EA4098">
        <w:rPr>
          <w:sz w:val="24"/>
          <w:szCs w:val="24"/>
        </w:rPr>
        <w:t xml:space="preserve">ents </w:t>
      </w:r>
      <w:r w:rsidR="00EA4098" w:rsidRPr="007A6D48">
        <w:rPr>
          <w:sz w:val="24"/>
          <w:szCs w:val="24"/>
        </w:rPr>
        <w:t>and assume all liabilities associated with the transferred generation assets, including retired plants and the associated liabilities</w:t>
      </w:r>
      <w:r w:rsidR="00EA4098" w:rsidRPr="00AB42E0">
        <w:rPr>
          <w:sz w:val="24"/>
          <w:szCs w:val="24"/>
        </w:rPr>
        <w:t>.</w:t>
      </w:r>
      <w:r w:rsidR="00EA4098">
        <w:rPr>
          <w:sz w:val="24"/>
          <w:szCs w:val="24"/>
        </w:rPr>
        <w:t>”</w:t>
      </w:r>
      <w:r w:rsidR="00EA4098">
        <w:rPr>
          <w:rStyle w:val="FootnoteReference"/>
          <w:sz w:val="24"/>
          <w:szCs w:val="24"/>
        </w:rPr>
        <w:footnoteReference w:id="27"/>
      </w:r>
      <w:r w:rsidR="00B11761">
        <w:rPr>
          <w:sz w:val="24"/>
          <w:szCs w:val="24"/>
        </w:rPr>
        <w:t xml:space="preserve">  </w:t>
      </w:r>
      <w:r w:rsidR="00540463">
        <w:rPr>
          <w:sz w:val="24"/>
          <w:szCs w:val="24"/>
        </w:rPr>
        <w:t>The Commission did not have to make an explicit finding as to AEP-Ohio’s request because on its face the transfer of all liabilities to the new owner is patently reasonable.</w:t>
      </w:r>
    </w:p>
    <w:p w:rsidR="008903CF" w:rsidRPr="008903CF" w:rsidRDefault="00540463" w:rsidP="00DE75EB">
      <w:pPr>
        <w:spacing w:line="480" w:lineRule="auto"/>
        <w:ind w:firstLine="720"/>
        <w:jc w:val="both"/>
        <w:rPr>
          <w:sz w:val="24"/>
          <w:szCs w:val="24"/>
        </w:rPr>
      </w:pPr>
      <w:r>
        <w:rPr>
          <w:sz w:val="24"/>
          <w:szCs w:val="24"/>
        </w:rPr>
        <w:t>On a related issue, however, the Commission rejected AEP-Ohio’s attempt to saddle customers with liability for pollution control revenue bonds</w:t>
      </w:r>
      <w:r w:rsidR="007842B0">
        <w:rPr>
          <w:sz w:val="24"/>
          <w:szCs w:val="24"/>
        </w:rPr>
        <w:t xml:space="preserve"> (“PCRBs”)</w:t>
      </w:r>
      <w:r>
        <w:rPr>
          <w:sz w:val="24"/>
          <w:szCs w:val="24"/>
        </w:rPr>
        <w:t xml:space="preserve"> that AEP-Ohio indicated would be difficult to transfer to the new owner. </w:t>
      </w:r>
      <w:r w:rsidR="008903CF" w:rsidRPr="008903CF">
        <w:rPr>
          <w:sz w:val="24"/>
          <w:szCs w:val="24"/>
        </w:rPr>
        <w:t xml:space="preserve"> </w:t>
      </w:r>
      <w:r>
        <w:rPr>
          <w:sz w:val="24"/>
          <w:szCs w:val="24"/>
        </w:rPr>
        <w:t xml:space="preserve">With regard to the PCRBs, </w:t>
      </w:r>
      <w:r w:rsidR="008903CF" w:rsidRPr="008903CF">
        <w:rPr>
          <w:sz w:val="24"/>
          <w:szCs w:val="24"/>
        </w:rPr>
        <w:t xml:space="preserve">AEP-Ohio sought authority to retain </w:t>
      </w:r>
      <w:r>
        <w:rPr>
          <w:sz w:val="24"/>
          <w:szCs w:val="24"/>
        </w:rPr>
        <w:t>the</w:t>
      </w:r>
      <w:r w:rsidR="008903CF" w:rsidRPr="008903CF">
        <w:rPr>
          <w:sz w:val="24"/>
          <w:szCs w:val="24"/>
        </w:rPr>
        <w:t xml:space="preserve"> bonds, thus exposing customers to the costs of those bonds.  The Commission granted approval of </w:t>
      </w:r>
      <w:r w:rsidR="00DE75EB">
        <w:rPr>
          <w:sz w:val="24"/>
          <w:szCs w:val="24"/>
        </w:rPr>
        <w:t>the</w:t>
      </w:r>
      <w:r w:rsidR="008903CF" w:rsidRPr="008903CF">
        <w:rPr>
          <w:sz w:val="24"/>
          <w:szCs w:val="24"/>
        </w:rPr>
        <w:t xml:space="preserve"> request to transfer the generation assets “contingent upon a filing with the Commission demonstrating that AEP-Ohio ratepayers have not and will not incur any costs associated with the cost of servicing the associated debt.”</w:t>
      </w:r>
      <w:r w:rsidR="008903CF" w:rsidRPr="008903CF">
        <w:rPr>
          <w:sz w:val="24"/>
          <w:szCs w:val="24"/>
          <w:vertAlign w:val="superscript"/>
        </w:rPr>
        <w:footnoteReference w:id="28"/>
      </w:r>
      <w:r w:rsidR="008903CF" w:rsidRPr="008903CF">
        <w:rPr>
          <w:sz w:val="24"/>
          <w:szCs w:val="24"/>
        </w:rPr>
        <w:t xml:space="preserve">  While it did not order the EDU to transfer the bonds to the affiliate, the Commission required AEP-Ohio to hold ratepayers harmless for the </w:t>
      </w:r>
      <w:r w:rsidR="008903CF" w:rsidRPr="008903CF">
        <w:rPr>
          <w:sz w:val="24"/>
          <w:szCs w:val="24"/>
        </w:rPr>
        <w:lastRenderedPageBreak/>
        <w:t>costs of the pollution control revenue bonds.</w:t>
      </w:r>
      <w:r w:rsidR="008903CF" w:rsidRPr="008903CF">
        <w:rPr>
          <w:sz w:val="24"/>
          <w:szCs w:val="24"/>
          <w:vertAlign w:val="superscript"/>
        </w:rPr>
        <w:footnoteReference w:id="29"/>
      </w:r>
      <w:r w:rsidR="008903CF" w:rsidRPr="008903CF">
        <w:rPr>
          <w:sz w:val="24"/>
          <w:szCs w:val="24"/>
        </w:rPr>
        <w:t xml:space="preserve">  Later, the Commission reaffirmed that AEP-Ohio’s ratepayers would not be responsible for costs of defeasance of the pollution control revenue bonds when it approved AEP-Ohio’s corporate separation plan.</w:t>
      </w:r>
      <w:r w:rsidR="008903CF" w:rsidRPr="008903CF">
        <w:rPr>
          <w:sz w:val="24"/>
          <w:szCs w:val="24"/>
          <w:vertAlign w:val="superscript"/>
        </w:rPr>
        <w:footnoteReference w:id="30"/>
      </w:r>
      <w:r w:rsidR="008903CF" w:rsidRPr="008903CF">
        <w:rPr>
          <w:sz w:val="24"/>
          <w:szCs w:val="24"/>
        </w:rPr>
        <w:t xml:space="preserve">  As these opinions demonstrate,</w:t>
      </w:r>
      <w:r>
        <w:rPr>
          <w:sz w:val="24"/>
          <w:szCs w:val="24"/>
        </w:rPr>
        <w:t xml:space="preserve"> it is just and reasonable that the</w:t>
      </w:r>
      <w:r w:rsidR="008903CF" w:rsidRPr="008903CF">
        <w:rPr>
          <w:sz w:val="24"/>
          <w:szCs w:val="24"/>
        </w:rPr>
        <w:t xml:space="preserve"> environmental costs associated with generation </w:t>
      </w:r>
      <w:r w:rsidR="009B7CFA">
        <w:rPr>
          <w:sz w:val="24"/>
          <w:szCs w:val="24"/>
        </w:rPr>
        <w:t>assets</w:t>
      </w:r>
      <w:r w:rsidR="008903CF" w:rsidRPr="008903CF">
        <w:rPr>
          <w:sz w:val="24"/>
          <w:szCs w:val="24"/>
        </w:rPr>
        <w:t xml:space="preserve"> that </w:t>
      </w:r>
      <w:r w:rsidR="008C3EB7">
        <w:rPr>
          <w:sz w:val="24"/>
          <w:szCs w:val="24"/>
        </w:rPr>
        <w:t>are</w:t>
      </w:r>
      <w:r w:rsidR="008903CF" w:rsidRPr="008903CF">
        <w:rPr>
          <w:sz w:val="24"/>
          <w:szCs w:val="24"/>
        </w:rPr>
        <w:t xml:space="preserve"> transferred should not be the responsibility of </w:t>
      </w:r>
      <w:r>
        <w:rPr>
          <w:sz w:val="24"/>
          <w:szCs w:val="24"/>
        </w:rPr>
        <w:t xml:space="preserve">future </w:t>
      </w:r>
      <w:r w:rsidR="008903CF" w:rsidRPr="008903CF">
        <w:rPr>
          <w:sz w:val="24"/>
          <w:szCs w:val="24"/>
        </w:rPr>
        <w:t>ratepayers.</w:t>
      </w:r>
    </w:p>
    <w:p w:rsidR="008903CF" w:rsidRPr="002C127A" w:rsidRDefault="008903CF" w:rsidP="002A6727">
      <w:pPr>
        <w:pStyle w:val="S2Heading4"/>
        <w:spacing w:after="0" w:line="480" w:lineRule="auto"/>
        <w:rPr>
          <w:sz w:val="24"/>
          <w:szCs w:val="24"/>
        </w:rPr>
      </w:pPr>
      <w:bookmarkStart w:id="28" w:name="_Toc383506930"/>
      <w:bookmarkStart w:id="29" w:name="_Toc383517963"/>
      <w:bookmarkStart w:id="30" w:name="_Toc383524584"/>
      <w:r w:rsidRPr="002C127A">
        <w:rPr>
          <w:sz w:val="24"/>
          <w:szCs w:val="24"/>
        </w:rPr>
        <w:t>Accounting authority</w:t>
      </w:r>
      <w:bookmarkEnd w:id="28"/>
      <w:bookmarkEnd w:id="29"/>
      <w:bookmarkEnd w:id="30"/>
    </w:p>
    <w:p w:rsidR="008903CF" w:rsidRPr="008903CF" w:rsidRDefault="008903CF" w:rsidP="008903CF">
      <w:pPr>
        <w:spacing w:line="480" w:lineRule="auto"/>
        <w:ind w:firstLine="720"/>
        <w:jc w:val="both"/>
        <w:rPr>
          <w:sz w:val="24"/>
          <w:szCs w:val="24"/>
        </w:rPr>
      </w:pPr>
      <w:r w:rsidRPr="008903CF">
        <w:rPr>
          <w:sz w:val="24"/>
          <w:szCs w:val="24"/>
        </w:rPr>
        <w:t xml:space="preserve">The Commission should also reject DP&amp;L’s request for accounting authority to defer the anticipated environmental clean-up costs with interest at its cost of debt because the modification DP&amp;L seeks is unlawful and unreasonable.  </w:t>
      </w:r>
    </w:p>
    <w:p w:rsidR="008903CF" w:rsidRPr="008903CF" w:rsidRDefault="008903CF" w:rsidP="008903CF">
      <w:pPr>
        <w:spacing w:line="480" w:lineRule="auto"/>
        <w:ind w:firstLine="720"/>
        <w:jc w:val="both"/>
        <w:rPr>
          <w:sz w:val="24"/>
          <w:szCs w:val="24"/>
        </w:rPr>
      </w:pPr>
      <w:r w:rsidRPr="008903CF">
        <w:rPr>
          <w:sz w:val="24"/>
          <w:szCs w:val="24"/>
        </w:rPr>
        <w:t xml:space="preserve">DP&amp;L has asked the Commission to invoke its authority under R.C. 4905.13 to permit accounting modifications.  DP&amp;L’s request, however, assumes that the Commission </w:t>
      </w:r>
      <w:r w:rsidR="00C62433">
        <w:rPr>
          <w:sz w:val="24"/>
          <w:szCs w:val="24"/>
        </w:rPr>
        <w:t>may authorize accounting changes permitting</w:t>
      </w:r>
      <w:r w:rsidRPr="008903CF">
        <w:rPr>
          <w:sz w:val="24"/>
          <w:szCs w:val="24"/>
        </w:rPr>
        <w:t xml:space="preserve"> DP&amp;L to defer environmental clean-up costs associated with generation assets.  The Commission’s authority to authorize accounting modifications related to generation-related assets, however, is limited.  Pursuant to R.C. 4928.03, retail electric generation </w:t>
      </w:r>
      <w:r w:rsidR="009B7CFA">
        <w:rPr>
          <w:sz w:val="24"/>
          <w:szCs w:val="24"/>
        </w:rPr>
        <w:t xml:space="preserve">service </w:t>
      </w:r>
      <w:r w:rsidRPr="008903CF">
        <w:rPr>
          <w:sz w:val="24"/>
          <w:szCs w:val="24"/>
        </w:rPr>
        <w:t xml:space="preserve">is declared a competitive retail electric service.  Because retail electric generation service is declared competitive, the Commission does not have authority to regulate that service except as provided by R.C. 4928.05.  Under R.C. 4928.05, a competitive retail electric service supplied by an EDU is not subject to the Commission’s </w:t>
      </w:r>
      <w:r w:rsidR="00DE75EB">
        <w:rPr>
          <w:sz w:val="24"/>
          <w:szCs w:val="24"/>
        </w:rPr>
        <w:t xml:space="preserve">accounting </w:t>
      </w:r>
      <w:r w:rsidRPr="008903CF">
        <w:rPr>
          <w:sz w:val="24"/>
          <w:szCs w:val="24"/>
        </w:rPr>
        <w:t xml:space="preserve">supervision under R.C. 4905.13.  R.C. 4928.05 does recognize that the Commission may exercise authority over an EDU’s competitive retail generation service as provided by </w:t>
      </w:r>
      <w:r w:rsidR="00CC1AB7">
        <w:rPr>
          <w:sz w:val="24"/>
          <w:szCs w:val="24"/>
        </w:rPr>
        <w:t xml:space="preserve">R.C. </w:t>
      </w:r>
      <w:r w:rsidRPr="008903CF">
        <w:rPr>
          <w:sz w:val="24"/>
          <w:szCs w:val="24"/>
        </w:rPr>
        <w:lastRenderedPageBreak/>
        <w:t xml:space="preserve">Chapter 4928, but R.C. 4928.144 limits the Commission’s authority over the EDU’s accounting of deferrals to </w:t>
      </w:r>
      <w:r w:rsidR="00C62433">
        <w:rPr>
          <w:sz w:val="24"/>
          <w:szCs w:val="24"/>
        </w:rPr>
        <w:t>a phase-in</w:t>
      </w:r>
      <w:r w:rsidRPr="008903CF">
        <w:rPr>
          <w:sz w:val="24"/>
          <w:szCs w:val="24"/>
        </w:rPr>
        <w:t xml:space="preserve"> of a rate or price established </w:t>
      </w:r>
      <w:r w:rsidR="003D5F90">
        <w:rPr>
          <w:sz w:val="24"/>
          <w:szCs w:val="24"/>
        </w:rPr>
        <w:t xml:space="preserve">as a provision of an SSO </w:t>
      </w:r>
      <w:r w:rsidRPr="008903CF">
        <w:rPr>
          <w:sz w:val="24"/>
          <w:szCs w:val="24"/>
        </w:rPr>
        <w:t>under R.C. 4928.141 to R.C. 4928.143</w:t>
      </w:r>
      <w:r w:rsidR="006C5E76">
        <w:rPr>
          <w:sz w:val="24"/>
          <w:szCs w:val="24"/>
        </w:rPr>
        <w:t>.</w:t>
      </w:r>
      <w:r w:rsidRPr="008903CF">
        <w:rPr>
          <w:sz w:val="24"/>
          <w:szCs w:val="24"/>
        </w:rPr>
        <w:t xml:space="preserve"> </w:t>
      </w:r>
    </w:p>
    <w:p w:rsidR="008903CF" w:rsidRPr="008903CF" w:rsidRDefault="008903CF" w:rsidP="008903CF">
      <w:pPr>
        <w:spacing w:line="480" w:lineRule="auto"/>
        <w:ind w:firstLine="720"/>
        <w:jc w:val="both"/>
        <w:rPr>
          <w:sz w:val="24"/>
          <w:szCs w:val="24"/>
        </w:rPr>
      </w:pPr>
      <w:r w:rsidRPr="008903CF">
        <w:rPr>
          <w:sz w:val="24"/>
          <w:szCs w:val="24"/>
        </w:rPr>
        <w:t xml:space="preserve">The Commission’s limited authority does </w:t>
      </w:r>
      <w:r w:rsidR="00904B59">
        <w:rPr>
          <w:sz w:val="24"/>
          <w:szCs w:val="24"/>
        </w:rPr>
        <w:t>not</w:t>
      </w:r>
      <w:r w:rsidRPr="008903CF">
        <w:rPr>
          <w:sz w:val="24"/>
          <w:szCs w:val="24"/>
        </w:rPr>
        <w:t xml:space="preserve"> provide a basis for the Commission to approve the accounting relief sought by DP&amp;L for two reasons.  First, this </w:t>
      </w:r>
      <w:r w:rsidR="00CC1AB7">
        <w:rPr>
          <w:sz w:val="24"/>
          <w:szCs w:val="24"/>
        </w:rPr>
        <w:t>A</w:t>
      </w:r>
      <w:r w:rsidR="00CC1AB7" w:rsidRPr="008903CF">
        <w:rPr>
          <w:sz w:val="24"/>
          <w:szCs w:val="24"/>
        </w:rPr>
        <w:t xml:space="preserve">pplication </w:t>
      </w:r>
      <w:r w:rsidRPr="008903CF">
        <w:rPr>
          <w:sz w:val="24"/>
          <w:szCs w:val="24"/>
        </w:rPr>
        <w:t xml:space="preserve">is not seeking authority to phase-in </w:t>
      </w:r>
      <w:r w:rsidR="003D5F90">
        <w:rPr>
          <w:sz w:val="24"/>
          <w:szCs w:val="24"/>
        </w:rPr>
        <w:t>a rate or price established as a provision of an SSO</w:t>
      </w:r>
      <w:r w:rsidRPr="008903CF">
        <w:rPr>
          <w:sz w:val="24"/>
          <w:szCs w:val="24"/>
        </w:rPr>
        <w:t>.  Second, even if this proceeding were somehow related to a rate or price of a</w:t>
      </w:r>
      <w:r w:rsidR="00CC1AB7">
        <w:rPr>
          <w:sz w:val="24"/>
          <w:szCs w:val="24"/>
        </w:rPr>
        <w:t>n</w:t>
      </w:r>
      <w:r w:rsidRPr="008903CF">
        <w:rPr>
          <w:sz w:val="24"/>
          <w:szCs w:val="24"/>
        </w:rPr>
        <w:t xml:space="preserve"> </w:t>
      </w:r>
      <w:r w:rsidR="00CC1AB7">
        <w:rPr>
          <w:sz w:val="24"/>
          <w:szCs w:val="24"/>
        </w:rPr>
        <w:t xml:space="preserve">SSO </w:t>
      </w:r>
      <w:r w:rsidRPr="008903CF">
        <w:rPr>
          <w:sz w:val="24"/>
          <w:szCs w:val="24"/>
        </w:rPr>
        <w:t xml:space="preserve">(and it clearly is not), the cost recovery that DP&amp;L seeks could not be approved as a term of an MRO or ESP.  As demonstrated above, the costs that DP&amp;L is seeking to defer could not be recovered in </w:t>
      </w:r>
      <w:r w:rsidR="00C62433">
        <w:rPr>
          <w:sz w:val="24"/>
          <w:szCs w:val="24"/>
        </w:rPr>
        <w:t xml:space="preserve">prices, rates, or </w:t>
      </w:r>
      <w:r w:rsidRPr="008903CF">
        <w:rPr>
          <w:sz w:val="24"/>
          <w:szCs w:val="24"/>
        </w:rPr>
        <w:t xml:space="preserve">charges that may be authorized under either R.C 4928.142 or R.C. 4928.143.  Because the </w:t>
      </w:r>
      <w:r w:rsidR="00CC1AB7">
        <w:rPr>
          <w:sz w:val="24"/>
          <w:szCs w:val="24"/>
        </w:rPr>
        <w:t>A</w:t>
      </w:r>
      <w:r w:rsidR="00CC1AB7" w:rsidRPr="008903CF">
        <w:rPr>
          <w:sz w:val="24"/>
          <w:szCs w:val="24"/>
        </w:rPr>
        <w:t xml:space="preserve">pplication </w:t>
      </w:r>
      <w:r w:rsidRPr="008903CF">
        <w:rPr>
          <w:sz w:val="24"/>
          <w:szCs w:val="24"/>
        </w:rPr>
        <w:t xml:space="preserve">seeks </w:t>
      </w:r>
      <w:r w:rsidR="00DE75EB">
        <w:rPr>
          <w:sz w:val="24"/>
          <w:szCs w:val="24"/>
        </w:rPr>
        <w:t xml:space="preserve">authorization of </w:t>
      </w:r>
      <w:r w:rsidRPr="008903CF">
        <w:rPr>
          <w:sz w:val="24"/>
          <w:szCs w:val="24"/>
        </w:rPr>
        <w:t xml:space="preserve">accounting modifications outside the authority of the Commission, </w:t>
      </w:r>
      <w:r w:rsidR="003D5F90">
        <w:rPr>
          <w:sz w:val="24"/>
          <w:szCs w:val="24"/>
        </w:rPr>
        <w:t>it cannot lawfully authorize the requested relief</w:t>
      </w:r>
      <w:r w:rsidRPr="008903CF">
        <w:rPr>
          <w:sz w:val="24"/>
          <w:szCs w:val="24"/>
        </w:rPr>
        <w:t>.</w:t>
      </w:r>
    </w:p>
    <w:p w:rsidR="008903CF" w:rsidRPr="008903CF" w:rsidRDefault="008903CF" w:rsidP="008903CF">
      <w:pPr>
        <w:spacing w:line="480" w:lineRule="auto"/>
        <w:ind w:firstLine="720"/>
        <w:jc w:val="both"/>
        <w:rPr>
          <w:sz w:val="24"/>
          <w:szCs w:val="24"/>
        </w:rPr>
      </w:pPr>
      <w:r w:rsidRPr="008903CF">
        <w:rPr>
          <w:sz w:val="24"/>
          <w:szCs w:val="24"/>
        </w:rPr>
        <w:t xml:space="preserve">Further, the Commission should also find that the request to modify accounting authority is unreasonable for the same reason discussed above regarding the retention of responsibility for environmental clean-up costs.  As DP&amp;L makes clear, the accounting modifications it is seeking are the first step of a process by which DP&amp;L will seek to recover environmental clean-up costs from its customers.  As the Commission previously determined in </w:t>
      </w:r>
      <w:r w:rsidR="00CC1AB7">
        <w:rPr>
          <w:sz w:val="24"/>
          <w:szCs w:val="24"/>
        </w:rPr>
        <w:t xml:space="preserve">the </w:t>
      </w:r>
      <w:r w:rsidRPr="008903CF">
        <w:rPr>
          <w:sz w:val="24"/>
          <w:szCs w:val="24"/>
        </w:rPr>
        <w:t xml:space="preserve">AEP-Ohio cases discussed above, customers should be held harmless from </w:t>
      </w:r>
      <w:r w:rsidR="00C62433">
        <w:rPr>
          <w:sz w:val="24"/>
          <w:szCs w:val="24"/>
        </w:rPr>
        <w:t>all liabil</w:t>
      </w:r>
      <w:r w:rsidR="007842B0">
        <w:rPr>
          <w:sz w:val="24"/>
          <w:szCs w:val="24"/>
        </w:rPr>
        <w:t>i</w:t>
      </w:r>
      <w:r w:rsidR="00C62433">
        <w:rPr>
          <w:sz w:val="24"/>
          <w:szCs w:val="24"/>
        </w:rPr>
        <w:t xml:space="preserve">ties and in particular </w:t>
      </w:r>
      <w:r w:rsidRPr="008903CF">
        <w:rPr>
          <w:sz w:val="24"/>
          <w:szCs w:val="24"/>
        </w:rPr>
        <w:t xml:space="preserve">costs of pollution control revenue bonds related to generation assets that will be transferred to the unregulated competitive affiliate.  As in the AEP-Ohio cases, the Commission should shut the door on DP&amp;L’s claim that customers should pay for environmental clean-up costs that DP&amp;L </w:t>
      </w:r>
      <w:r w:rsidRPr="008903CF">
        <w:rPr>
          <w:sz w:val="24"/>
          <w:szCs w:val="24"/>
        </w:rPr>
        <w:lastRenderedPageBreak/>
        <w:t xml:space="preserve">may incur later.  There is no reason to allow DP&amp;L to cross that threshold by approving accounting modifications when it is unreasonable for future customers to incur the costs associated with generation </w:t>
      </w:r>
      <w:r w:rsidR="009B7CFA">
        <w:rPr>
          <w:sz w:val="24"/>
          <w:szCs w:val="24"/>
        </w:rPr>
        <w:t>assets</w:t>
      </w:r>
      <w:r w:rsidRPr="008903CF">
        <w:rPr>
          <w:sz w:val="24"/>
          <w:szCs w:val="24"/>
        </w:rPr>
        <w:t xml:space="preserve"> that will be transferred to either an unregulated affiliate or an independent third party.</w:t>
      </w:r>
    </w:p>
    <w:p w:rsidR="008903CF" w:rsidRPr="00F5278A" w:rsidRDefault="008903CF" w:rsidP="00F5278A">
      <w:pPr>
        <w:spacing w:line="480" w:lineRule="auto"/>
        <w:ind w:firstLine="720"/>
        <w:jc w:val="both"/>
        <w:rPr>
          <w:sz w:val="24"/>
          <w:szCs w:val="24"/>
        </w:rPr>
      </w:pPr>
      <w:r w:rsidRPr="008903CF">
        <w:rPr>
          <w:sz w:val="24"/>
          <w:szCs w:val="24"/>
        </w:rPr>
        <w:t xml:space="preserve">In summary, the Commission should reject both of DP&amp;L’s requests regarding environmental clean-up costs.  There is no lawful or reasonable basis for the Commission to authorize DP&amp;L to seek recovery of these costs since they could not be recovered in either </w:t>
      </w:r>
      <w:r w:rsidR="003D5F90">
        <w:rPr>
          <w:sz w:val="24"/>
          <w:szCs w:val="24"/>
        </w:rPr>
        <w:t>a lawful</w:t>
      </w:r>
      <w:r w:rsidRPr="008903CF">
        <w:rPr>
          <w:sz w:val="24"/>
          <w:szCs w:val="24"/>
        </w:rPr>
        <w:t xml:space="preserve"> SSO or </w:t>
      </w:r>
      <w:r w:rsidR="007026EC">
        <w:rPr>
          <w:sz w:val="24"/>
          <w:szCs w:val="24"/>
        </w:rPr>
        <w:t>a</w:t>
      </w:r>
      <w:r w:rsidR="007026EC" w:rsidRPr="008903CF">
        <w:rPr>
          <w:sz w:val="24"/>
          <w:szCs w:val="24"/>
        </w:rPr>
        <w:t xml:space="preserve"> </w:t>
      </w:r>
      <w:r w:rsidRPr="008903CF">
        <w:rPr>
          <w:sz w:val="24"/>
          <w:szCs w:val="24"/>
        </w:rPr>
        <w:t xml:space="preserve">distribution rate, and the Commission has already determined that customers should be held-harmless even when the EDU has retained “ownership” of the indebtedness associated with transferred generation </w:t>
      </w:r>
      <w:r w:rsidR="009B7CFA">
        <w:rPr>
          <w:sz w:val="24"/>
          <w:szCs w:val="24"/>
        </w:rPr>
        <w:t>assets</w:t>
      </w:r>
      <w:r w:rsidRPr="008903CF">
        <w:rPr>
          <w:sz w:val="24"/>
          <w:szCs w:val="24"/>
        </w:rPr>
        <w:t>.  Further, the Commission lacks the authority to authorize the accounting modification</w:t>
      </w:r>
      <w:r w:rsidR="006C5E76">
        <w:rPr>
          <w:sz w:val="24"/>
          <w:szCs w:val="24"/>
        </w:rPr>
        <w:t>s</w:t>
      </w:r>
      <w:r w:rsidRPr="008903CF">
        <w:rPr>
          <w:sz w:val="24"/>
          <w:szCs w:val="24"/>
        </w:rPr>
        <w:t xml:space="preserve"> that DP&amp;L is seeking, and </w:t>
      </w:r>
      <w:r w:rsidR="003D5F90">
        <w:rPr>
          <w:sz w:val="24"/>
          <w:szCs w:val="24"/>
        </w:rPr>
        <w:t>the requested modifications would be</w:t>
      </w:r>
      <w:r w:rsidR="00C2491B">
        <w:rPr>
          <w:sz w:val="24"/>
          <w:szCs w:val="24"/>
        </w:rPr>
        <w:t xml:space="preserve"> </w:t>
      </w:r>
      <w:r w:rsidR="00F5278A">
        <w:rPr>
          <w:sz w:val="24"/>
          <w:szCs w:val="24"/>
        </w:rPr>
        <w:t>unreasonable.</w:t>
      </w:r>
    </w:p>
    <w:p w:rsidR="00540DEB" w:rsidRPr="002C127A" w:rsidRDefault="007D2771" w:rsidP="002C127A">
      <w:pPr>
        <w:pStyle w:val="S2Heading3"/>
        <w:rPr>
          <w:sz w:val="24"/>
          <w:szCs w:val="24"/>
        </w:rPr>
      </w:pPr>
      <w:bookmarkStart w:id="31" w:name="_Toc383506931"/>
      <w:bookmarkStart w:id="32" w:name="_Toc383517964"/>
      <w:bookmarkStart w:id="33" w:name="_Toc383524585"/>
      <w:r w:rsidRPr="002C127A">
        <w:rPr>
          <w:sz w:val="24"/>
          <w:szCs w:val="24"/>
        </w:rPr>
        <w:t>DP&amp;L’s request to defer OVEC costs</w:t>
      </w:r>
      <w:r w:rsidR="00540DEB" w:rsidRPr="002C127A">
        <w:rPr>
          <w:sz w:val="24"/>
          <w:szCs w:val="24"/>
        </w:rPr>
        <w:t xml:space="preserve"> is unlawful and unreasonable</w:t>
      </w:r>
      <w:bookmarkEnd w:id="31"/>
      <w:bookmarkEnd w:id="32"/>
      <w:bookmarkEnd w:id="33"/>
    </w:p>
    <w:p w:rsidR="005D1FD4" w:rsidRDefault="001C2649" w:rsidP="005D1FD4">
      <w:pPr>
        <w:spacing w:line="480" w:lineRule="auto"/>
        <w:ind w:firstLine="720"/>
        <w:jc w:val="both"/>
        <w:rPr>
          <w:rFonts w:cs="Arial"/>
          <w:sz w:val="24"/>
          <w:szCs w:val="24"/>
        </w:rPr>
      </w:pPr>
      <w:r>
        <w:rPr>
          <w:rFonts w:cs="Arial"/>
          <w:sz w:val="24"/>
          <w:szCs w:val="24"/>
        </w:rPr>
        <w:t xml:space="preserve">Relying on </w:t>
      </w:r>
      <w:r w:rsidR="002030F8">
        <w:rPr>
          <w:rFonts w:cs="Arial"/>
          <w:sz w:val="24"/>
          <w:szCs w:val="24"/>
        </w:rPr>
        <w:t>AEP-Ohio</w:t>
      </w:r>
      <w:r w:rsidR="007026EC">
        <w:rPr>
          <w:rFonts w:cs="Arial"/>
          <w:sz w:val="24"/>
          <w:szCs w:val="24"/>
        </w:rPr>
        <w:t xml:space="preserve">‘s </w:t>
      </w:r>
      <w:r>
        <w:rPr>
          <w:rFonts w:cs="Arial"/>
          <w:sz w:val="24"/>
          <w:szCs w:val="24"/>
        </w:rPr>
        <w:t>representation that it could not secure approval from other OVEC members to transfer its interest in its entitlement to OVEC generation on favorable terms</w:t>
      </w:r>
      <w:r w:rsidR="002030F8">
        <w:rPr>
          <w:rFonts w:cs="Arial"/>
          <w:sz w:val="24"/>
          <w:szCs w:val="24"/>
        </w:rPr>
        <w:t xml:space="preserve">, </w:t>
      </w:r>
      <w:r>
        <w:rPr>
          <w:rFonts w:cs="Arial"/>
          <w:sz w:val="24"/>
          <w:szCs w:val="24"/>
        </w:rPr>
        <w:t>DP&amp;L claim</w:t>
      </w:r>
      <w:r w:rsidR="006A2F08">
        <w:rPr>
          <w:rFonts w:cs="Arial"/>
          <w:sz w:val="24"/>
          <w:szCs w:val="24"/>
        </w:rPr>
        <w:t>s it</w:t>
      </w:r>
      <w:r>
        <w:rPr>
          <w:rFonts w:cs="Arial"/>
          <w:sz w:val="24"/>
          <w:szCs w:val="24"/>
        </w:rPr>
        <w:t xml:space="preserve"> </w:t>
      </w:r>
      <w:r w:rsidR="002030F8">
        <w:rPr>
          <w:rFonts w:cs="Arial"/>
          <w:sz w:val="24"/>
          <w:szCs w:val="24"/>
        </w:rPr>
        <w:t xml:space="preserve">has no expectation that the other </w:t>
      </w:r>
      <w:r w:rsidR="00AB42E0">
        <w:rPr>
          <w:rFonts w:cs="Arial"/>
          <w:sz w:val="24"/>
          <w:szCs w:val="24"/>
        </w:rPr>
        <w:t xml:space="preserve">OVEC </w:t>
      </w:r>
      <w:r w:rsidR="003D5F90">
        <w:rPr>
          <w:rFonts w:cs="Arial"/>
          <w:sz w:val="24"/>
          <w:szCs w:val="24"/>
        </w:rPr>
        <w:t>members</w:t>
      </w:r>
      <w:r w:rsidR="002030F8">
        <w:rPr>
          <w:rFonts w:cs="Arial"/>
          <w:sz w:val="24"/>
          <w:szCs w:val="24"/>
        </w:rPr>
        <w:t xml:space="preserve"> will </w:t>
      </w:r>
      <w:r w:rsidR="005D1FD4">
        <w:rPr>
          <w:rFonts w:cs="Arial"/>
          <w:sz w:val="24"/>
          <w:szCs w:val="24"/>
        </w:rPr>
        <w:t>consent to DP&amp;L</w:t>
      </w:r>
      <w:r w:rsidR="006C5E76">
        <w:rPr>
          <w:rFonts w:cs="Arial"/>
          <w:sz w:val="24"/>
          <w:szCs w:val="24"/>
        </w:rPr>
        <w:t>’s</w:t>
      </w:r>
      <w:r w:rsidR="005D1FD4">
        <w:rPr>
          <w:rFonts w:cs="Arial"/>
          <w:sz w:val="24"/>
          <w:szCs w:val="24"/>
        </w:rPr>
        <w:t xml:space="preserve"> </w:t>
      </w:r>
      <w:r w:rsidR="001D76F5">
        <w:rPr>
          <w:rFonts w:cs="Arial"/>
          <w:sz w:val="24"/>
          <w:szCs w:val="24"/>
        </w:rPr>
        <w:t xml:space="preserve">transfer of </w:t>
      </w:r>
      <w:r w:rsidR="005D1FD4">
        <w:rPr>
          <w:rFonts w:cs="Arial"/>
          <w:sz w:val="24"/>
          <w:szCs w:val="24"/>
        </w:rPr>
        <w:t xml:space="preserve">its interest in OVEC to </w:t>
      </w:r>
      <w:r w:rsidR="007026EC">
        <w:rPr>
          <w:rFonts w:cs="Arial"/>
          <w:sz w:val="24"/>
          <w:szCs w:val="24"/>
        </w:rPr>
        <w:t xml:space="preserve">an </w:t>
      </w:r>
      <w:r w:rsidR="005D1FD4">
        <w:rPr>
          <w:rFonts w:cs="Arial"/>
          <w:sz w:val="24"/>
          <w:szCs w:val="24"/>
        </w:rPr>
        <w:t xml:space="preserve">affiliate or third party.  Thus, DP&amp;L requests that it be permitted to retain its interest in OVEC.  DP&amp;L further requests “accounting authority pursuant to Ohio Rev. Code 4905.13, to permit DP&amp;L to defer the costs associated with </w:t>
      </w:r>
      <w:r w:rsidR="007026EC">
        <w:rPr>
          <w:rFonts w:cs="Arial"/>
          <w:sz w:val="24"/>
          <w:szCs w:val="24"/>
        </w:rPr>
        <w:t>OVEC</w:t>
      </w:r>
      <w:r w:rsidR="00AC720A">
        <w:rPr>
          <w:rFonts w:cs="Arial"/>
          <w:sz w:val="24"/>
          <w:szCs w:val="24"/>
        </w:rPr>
        <w:t>,</w:t>
      </w:r>
      <w:r w:rsidR="007026EC">
        <w:rPr>
          <w:rFonts w:cs="Arial"/>
          <w:sz w:val="24"/>
          <w:szCs w:val="24"/>
        </w:rPr>
        <w:t xml:space="preserve"> which</w:t>
      </w:r>
      <w:r w:rsidR="005D1FD4">
        <w:rPr>
          <w:rFonts w:cs="Arial"/>
          <w:sz w:val="24"/>
          <w:szCs w:val="24"/>
        </w:rPr>
        <w:t xml:space="preserve"> are not currently being recovered through DP&amp;L’s fuel rider.”</w:t>
      </w:r>
      <w:r w:rsidR="00904B59">
        <w:rPr>
          <w:rStyle w:val="FootnoteReference"/>
          <w:rFonts w:cs="Arial"/>
          <w:sz w:val="24"/>
          <w:szCs w:val="24"/>
        </w:rPr>
        <w:footnoteReference w:id="31"/>
      </w:r>
      <w:r w:rsidR="005D1FD4">
        <w:rPr>
          <w:rFonts w:cs="Arial"/>
          <w:sz w:val="24"/>
          <w:szCs w:val="24"/>
        </w:rPr>
        <w:t xml:space="preserve">  DP&amp;L proposes to accrue carrying costs on these expenses and to collect </w:t>
      </w:r>
      <w:r w:rsidR="005D1FD4">
        <w:rPr>
          <w:rFonts w:cs="Arial"/>
          <w:sz w:val="24"/>
          <w:szCs w:val="24"/>
        </w:rPr>
        <w:lastRenderedPageBreak/>
        <w:t xml:space="preserve">them from </w:t>
      </w:r>
      <w:r w:rsidR="005D1FD4" w:rsidRPr="007842B0">
        <w:rPr>
          <w:rFonts w:cs="Arial"/>
          <w:sz w:val="24"/>
          <w:szCs w:val="24"/>
        </w:rPr>
        <w:t>all customers</w:t>
      </w:r>
      <w:r w:rsidR="005D1FD4">
        <w:rPr>
          <w:rFonts w:cs="Arial"/>
          <w:sz w:val="24"/>
          <w:szCs w:val="24"/>
        </w:rPr>
        <w:t xml:space="preserve"> at a date to be determined in another Commission proceeding.</w:t>
      </w:r>
      <w:r w:rsidR="00904B59">
        <w:rPr>
          <w:rStyle w:val="FootnoteReference"/>
          <w:rFonts w:cs="Arial"/>
          <w:sz w:val="24"/>
          <w:szCs w:val="24"/>
        </w:rPr>
        <w:footnoteReference w:id="32"/>
      </w:r>
      <w:r w:rsidR="005D1FD4">
        <w:rPr>
          <w:rFonts w:cs="Arial"/>
          <w:sz w:val="24"/>
          <w:szCs w:val="24"/>
        </w:rPr>
        <w:t xml:space="preserve">  DP&amp;L’s request is unlawful and unreasonable for several reasons.</w:t>
      </w:r>
    </w:p>
    <w:p w:rsidR="001C2649" w:rsidRDefault="005D1FD4" w:rsidP="005D1FD4">
      <w:pPr>
        <w:spacing w:line="480" w:lineRule="auto"/>
        <w:ind w:firstLine="720"/>
        <w:jc w:val="both"/>
        <w:rPr>
          <w:rFonts w:cs="Arial"/>
          <w:sz w:val="24"/>
          <w:szCs w:val="24"/>
        </w:rPr>
      </w:pPr>
      <w:r>
        <w:rPr>
          <w:rFonts w:cs="Arial"/>
          <w:sz w:val="24"/>
          <w:szCs w:val="24"/>
        </w:rPr>
        <w:t>Initially, DP&amp;L does not provide details regardin</w:t>
      </w:r>
      <w:r w:rsidR="00904B59">
        <w:rPr>
          <w:rFonts w:cs="Arial"/>
          <w:sz w:val="24"/>
          <w:szCs w:val="24"/>
        </w:rPr>
        <w:t>g the magnitude of costs that</w:t>
      </w:r>
      <w:r w:rsidR="001D712F">
        <w:rPr>
          <w:rFonts w:cs="Arial"/>
          <w:sz w:val="24"/>
          <w:szCs w:val="24"/>
        </w:rPr>
        <w:t xml:space="preserve"> it is seeking to defer for future collection</w:t>
      </w:r>
      <w:r>
        <w:rPr>
          <w:rFonts w:cs="Arial"/>
          <w:sz w:val="24"/>
          <w:szCs w:val="24"/>
        </w:rPr>
        <w:t>.</w:t>
      </w:r>
      <w:r w:rsidR="009509DF">
        <w:rPr>
          <w:rFonts w:cs="Arial"/>
          <w:sz w:val="24"/>
          <w:szCs w:val="24"/>
        </w:rPr>
        <w:t xml:space="preserve">  DP&amp;L also fails to identify whether it would apply</w:t>
      </w:r>
      <w:r w:rsidR="00904B59">
        <w:rPr>
          <w:rFonts w:cs="Arial"/>
          <w:sz w:val="24"/>
          <w:szCs w:val="24"/>
        </w:rPr>
        <w:t xml:space="preserve"> OVEC</w:t>
      </w:r>
      <w:r w:rsidR="009509DF">
        <w:rPr>
          <w:rFonts w:cs="Arial"/>
          <w:sz w:val="24"/>
          <w:szCs w:val="24"/>
        </w:rPr>
        <w:t xml:space="preserve"> off</w:t>
      </w:r>
      <w:r w:rsidR="001C2649">
        <w:rPr>
          <w:rFonts w:cs="Arial"/>
          <w:sz w:val="24"/>
          <w:szCs w:val="24"/>
        </w:rPr>
        <w:t>-</w:t>
      </w:r>
      <w:r w:rsidR="00904B59">
        <w:rPr>
          <w:rFonts w:cs="Arial"/>
          <w:sz w:val="24"/>
          <w:szCs w:val="24"/>
        </w:rPr>
        <w:t xml:space="preserve">system sales margins </w:t>
      </w:r>
      <w:r w:rsidR="009509DF">
        <w:rPr>
          <w:rFonts w:cs="Arial"/>
          <w:sz w:val="24"/>
          <w:szCs w:val="24"/>
        </w:rPr>
        <w:t>against the costs it is requesting authority to defer.</w:t>
      </w:r>
      <w:r>
        <w:rPr>
          <w:rFonts w:cs="Arial"/>
          <w:sz w:val="24"/>
          <w:szCs w:val="24"/>
        </w:rPr>
        <w:t xml:space="preserve">  </w:t>
      </w:r>
      <w:r w:rsidR="003D5F90">
        <w:rPr>
          <w:rFonts w:cs="Arial"/>
          <w:sz w:val="24"/>
          <w:szCs w:val="24"/>
        </w:rPr>
        <w:t xml:space="preserve">DP&amp;L has failed to comply with the disclosure </w:t>
      </w:r>
      <w:r w:rsidR="00DF18F6">
        <w:rPr>
          <w:rFonts w:cs="Arial"/>
          <w:sz w:val="24"/>
          <w:szCs w:val="24"/>
        </w:rPr>
        <w:t>requirements of Commission rules</w:t>
      </w:r>
      <w:r w:rsidR="003D5F90">
        <w:rPr>
          <w:rFonts w:cs="Arial"/>
          <w:sz w:val="24"/>
          <w:szCs w:val="24"/>
        </w:rPr>
        <w:t xml:space="preserve">, as noted </w:t>
      </w:r>
      <w:r w:rsidR="00DF18F6">
        <w:rPr>
          <w:rFonts w:cs="Arial"/>
          <w:sz w:val="24"/>
          <w:szCs w:val="24"/>
        </w:rPr>
        <w:t>above.</w:t>
      </w:r>
    </w:p>
    <w:p w:rsidR="0035164C" w:rsidRDefault="001C2649" w:rsidP="007842B0">
      <w:pPr>
        <w:spacing w:line="480" w:lineRule="auto"/>
        <w:ind w:firstLine="720"/>
        <w:jc w:val="both"/>
        <w:rPr>
          <w:rFonts w:eastAsia="Calibri"/>
          <w:sz w:val="24"/>
          <w:szCs w:val="24"/>
        </w:rPr>
      </w:pPr>
      <w:r>
        <w:rPr>
          <w:rFonts w:cs="Arial"/>
          <w:sz w:val="24"/>
          <w:szCs w:val="24"/>
        </w:rPr>
        <w:t xml:space="preserve">Additionally, </w:t>
      </w:r>
      <w:r w:rsidR="005D1FD4">
        <w:rPr>
          <w:rFonts w:cs="Arial"/>
          <w:sz w:val="24"/>
          <w:szCs w:val="24"/>
        </w:rPr>
        <w:t xml:space="preserve">it would be unlawful to authorize DP&amp;L to </w:t>
      </w:r>
      <w:r w:rsidR="009509DF">
        <w:rPr>
          <w:rFonts w:cs="Arial"/>
          <w:sz w:val="24"/>
          <w:szCs w:val="24"/>
        </w:rPr>
        <w:t>defer and collect</w:t>
      </w:r>
      <w:r w:rsidR="0035164C">
        <w:rPr>
          <w:rFonts w:cs="Arial"/>
          <w:sz w:val="24"/>
          <w:szCs w:val="24"/>
        </w:rPr>
        <w:t xml:space="preserve"> generation-related costs through a nonbypassble charge.</w:t>
      </w:r>
      <w:r>
        <w:rPr>
          <w:rFonts w:eastAsia="Calibri" w:cs="Arial"/>
          <w:sz w:val="24"/>
          <w:szCs w:val="24"/>
        </w:rPr>
        <w:t xml:space="preserve">  </w:t>
      </w:r>
      <w:r w:rsidR="0035164C" w:rsidRPr="0035164C">
        <w:rPr>
          <w:rFonts w:eastAsia="Calibri" w:cs="Arial"/>
          <w:sz w:val="24"/>
          <w:szCs w:val="24"/>
        </w:rPr>
        <w:t xml:space="preserve">R.C. 4928.02(H) prohibits anticompetitive subsidies.  </w:t>
      </w:r>
      <w:r w:rsidR="00F76F2C">
        <w:rPr>
          <w:rFonts w:eastAsia="Calibri" w:cs="Arial"/>
          <w:sz w:val="24"/>
          <w:szCs w:val="24"/>
        </w:rPr>
        <w:t xml:space="preserve">As </w:t>
      </w:r>
      <w:r>
        <w:rPr>
          <w:rFonts w:eastAsia="Calibri" w:cs="Arial"/>
          <w:sz w:val="24"/>
          <w:szCs w:val="24"/>
        </w:rPr>
        <w:t>the Court has stated</w:t>
      </w:r>
      <w:r w:rsidR="00F76F2C">
        <w:rPr>
          <w:rFonts w:eastAsia="Calibri" w:cs="Arial"/>
          <w:sz w:val="24"/>
          <w:szCs w:val="24"/>
        </w:rPr>
        <w:t>,</w:t>
      </w:r>
      <w:r>
        <w:rPr>
          <w:rFonts w:eastAsia="Calibri" w:cs="Arial"/>
          <w:sz w:val="24"/>
          <w:szCs w:val="24"/>
        </w:rPr>
        <w:t xml:space="preserve"> </w:t>
      </w:r>
      <w:r w:rsidR="0035164C" w:rsidRPr="0035164C">
        <w:rPr>
          <w:rFonts w:eastAsia="Calibri" w:cs="Arial"/>
          <w:sz w:val="24"/>
          <w:szCs w:val="24"/>
        </w:rPr>
        <w:t>“each service component [is] required to stand on its own.”</w:t>
      </w:r>
      <w:r w:rsidR="0035164C" w:rsidRPr="0035164C">
        <w:rPr>
          <w:rFonts w:eastAsia="Calibri" w:cs="Times New Roman"/>
          <w:sz w:val="24"/>
          <w:szCs w:val="24"/>
          <w:vertAlign w:val="superscript"/>
        </w:rPr>
        <w:footnoteReference w:id="33"/>
      </w:r>
      <w:r w:rsidR="0035164C" w:rsidRPr="0035164C">
        <w:rPr>
          <w:rFonts w:eastAsia="Calibri" w:cs="Arial"/>
          <w:i/>
          <w:sz w:val="24"/>
          <w:szCs w:val="24"/>
        </w:rPr>
        <w:t xml:space="preserve">  </w:t>
      </w:r>
      <w:r w:rsidR="00AB42E0">
        <w:rPr>
          <w:rFonts w:eastAsia="Calibri" w:cs="Arial"/>
          <w:sz w:val="24"/>
          <w:szCs w:val="24"/>
        </w:rPr>
        <w:t xml:space="preserve">Based on </w:t>
      </w:r>
      <w:r>
        <w:rPr>
          <w:rFonts w:eastAsia="Calibri" w:cs="Arial"/>
          <w:sz w:val="24"/>
          <w:szCs w:val="24"/>
        </w:rPr>
        <w:t>R.C. 4928.02(H)</w:t>
      </w:r>
      <w:r w:rsidR="0035164C" w:rsidRPr="0035164C">
        <w:rPr>
          <w:rFonts w:eastAsia="Calibri" w:cs="Arial"/>
          <w:sz w:val="24"/>
          <w:szCs w:val="24"/>
        </w:rPr>
        <w:t xml:space="preserve">, the Commission has </w:t>
      </w:r>
      <w:r>
        <w:rPr>
          <w:rFonts w:eastAsia="Calibri" w:cs="Arial"/>
          <w:sz w:val="24"/>
          <w:szCs w:val="24"/>
        </w:rPr>
        <w:t>rejected requests for charges that would</w:t>
      </w:r>
      <w:r w:rsidR="0035164C" w:rsidRPr="0035164C">
        <w:rPr>
          <w:rFonts w:eastAsia="Calibri" w:cs="Arial"/>
          <w:sz w:val="24"/>
          <w:szCs w:val="24"/>
        </w:rPr>
        <w:t xml:space="preserve"> cross-subsidize an EDU’s generation business segment because the charge would be anticompetitive.  </w:t>
      </w:r>
      <w:r w:rsidR="00AB42E0">
        <w:rPr>
          <w:rFonts w:eastAsia="Calibri" w:cs="Arial"/>
          <w:sz w:val="24"/>
          <w:szCs w:val="24"/>
        </w:rPr>
        <w:t>In response to AEP-Ohio’s request for authority to recover closure costs</w:t>
      </w:r>
      <w:r w:rsidR="00DF18F6">
        <w:rPr>
          <w:rFonts w:eastAsia="Calibri" w:cs="Arial"/>
          <w:sz w:val="24"/>
          <w:szCs w:val="24"/>
        </w:rPr>
        <w:t xml:space="preserve"> (including environmental clean-up costs)</w:t>
      </w:r>
      <w:r w:rsidR="00AB42E0">
        <w:rPr>
          <w:rFonts w:eastAsia="Calibri" w:cs="Arial"/>
          <w:sz w:val="24"/>
          <w:szCs w:val="24"/>
        </w:rPr>
        <w:t xml:space="preserve"> for Unit 5 of the Sporn Generating Station, t</w:t>
      </w:r>
      <w:r w:rsidR="00E12280" w:rsidRPr="0035164C">
        <w:rPr>
          <w:rFonts w:eastAsia="Calibri" w:cs="Arial"/>
          <w:sz w:val="24"/>
          <w:szCs w:val="24"/>
        </w:rPr>
        <w:t>he Commission held that AEP-Ohio was not e</w:t>
      </w:r>
      <w:r w:rsidR="00E12280">
        <w:rPr>
          <w:rFonts w:eastAsia="Calibri" w:cs="Arial"/>
          <w:sz w:val="24"/>
          <w:szCs w:val="24"/>
        </w:rPr>
        <w:t>ntitled to a nonbypassable rider</w:t>
      </w:r>
      <w:r w:rsidR="00DF18F6">
        <w:rPr>
          <w:sz w:val="24"/>
          <w:szCs w:val="24"/>
        </w:rPr>
        <w:t xml:space="preserve"> because </w:t>
      </w:r>
      <w:r w:rsidR="0035164C" w:rsidRPr="0035164C">
        <w:rPr>
          <w:rFonts w:eastAsia="Calibri" w:cs="Arial"/>
          <w:sz w:val="24"/>
          <w:szCs w:val="24"/>
        </w:rPr>
        <w:t xml:space="preserve">such a rider would subsidize AEP-Ohio’s generation business </w:t>
      </w:r>
      <w:r w:rsidR="005E48E6">
        <w:rPr>
          <w:rFonts w:eastAsia="Calibri" w:cs="Arial"/>
          <w:sz w:val="24"/>
          <w:szCs w:val="24"/>
        </w:rPr>
        <w:t>in violation of R.C. 4928.02(H).</w:t>
      </w:r>
      <w:r w:rsidR="00DF18F6" w:rsidRPr="0035164C">
        <w:rPr>
          <w:rFonts w:eastAsia="Calibri" w:cs="Arial"/>
          <w:sz w:val="24"/>
          <w:szCs w:val="24"/>
          <w:vertAlign w:val="superscript"/>
        </w:rPr>
        <w:footnoteReference w:id="34"/>
      </w:r>
      <w:r w:rsidR="0035164C" w:rsidRPr="0035164C">
        <w:rPr>
          <w:rFonts w:eastAsia="Calibri" w:cs="Arial"/>
          <w:sz w:val="24"/>
          <w:szCs w:val="24"/>
        </w:rPr>
        <w:t xml:space="preserve">  Likewise, in </w:t>
      </w:r>
      <w:r w:rsidR="007026EC">
        <w:rPr>
          <w:rFonts w:eastAsia="Calibri" w:cs="Arial"/>
          <w:sz w:val="24"/>
          <w:szCs w:val="24"/>
        </w:rPr>
        <w:t>Duke</w:t>
      </w:r>
      <w:r w:rsidR="002E38EC">
        <w:rPr>
          <w:rFonts w:eastAsia="Calibri" w:cs="Arial"/>
          <w:sz w:val="24"/>
          <w:szCs w:val="24"/>
        </w:rPr>
        <w:t>’s</w:t>
      </w:r>
      <w:r w:rsidR="002E38EC" w:rsidRPr="0035164C">
        <w:rPr>
          <w:rFonts w:eastAsia="Calibri" w:cs="Arial"/>
          <w:sz w:val="24"/>
          <w:szCs w:val="24"/>
        </w:rPr>
        <w:t xml:space="preserve"> </w:t>
      </w:r>
      <w:r w:rsidR="0035164C" w:rsidRPr="0035164C">
        <w:rPr>
          <w:rFonts w:eastAsia="Calibri" w:cs="Arial"/>
          <w:sz w:val="24"/>
          <w:szCs w:val="24"/>
        </w:rPr>
        <w:t>MRO case, the Commission rejected a nonbypassable “circuit breaker” provision</w:t>
      </w:r>
      <w:r w:rsidR="0035164C">
        <w:rPr>
          <w:rFonts w:eastAsia="Calibri" w:cs="Arial"/>
          <w:sz w:val="24"/>
          <w:szCs w:val="24"/>
        </w:rPr>
        <w:t xml:space="preserve"> in</w:t>
      </w:r>
      <w:r w:rsidR="0035164C" w:rsidRPr="0035164C">
        <w:rPr>
          <w:rFonts w:eastAsia="Calibri" w:cs="Arial"/>
          <w:sz w:val="24"/>
          <w:szCs w:val="24"/>
        </w:rPr>
        <w:t xml:space="preserve"> </w:t>
      </w:r>
      <w:r w:rsidR="0035164C">
        <w:rPr>
          <w:rFonts w:eastAsia="Calibri" w:cs="Arial"/>
          <w:sz w:val="24"/>
          <w:szCs w:val="24"/>
        </w:rPr>
        <w:t>reliance on R.C. 4928.02(H</w:t>
      </w:r>
      <w:r w:rsidR="0035164C" w:rsidRPr="0035164C">
        <w:rPr>
          <w:rFonts w:eastAsia="Calibri" w:cs="Arial"/>
          <w:sz w:val="24"/>
          <w:szCs w:val="24"/>
        </w:rPr>
        <w:t>).</w:t>
      </w:r>
      <w:r w:rsidR="0035164C" w:rsidRPr="0035164C">
        <w:rPr>
          <w:rFonts w:eastAsia="Calibri" w:cs="Arial"/>
          <w:sz w:val="24"/>
          <w:szCs w:val="24"/>
          <w:vertAlign w:val="superscript"/>
        </w:rPr>
        <w:footnoteReference w:id="35"/>
      </w:r>
      <w:r w:rsidR="0035164C" w:rsidRPr="0035164C">
        <w:rPr>
          <w:rFonts w:eastAsia="Calibri" w:cs="Arial"/>
          <w:sz w:val="24"/>
          <w:szCs w:val="24"/>
        </w:rPr>
        <w:t xml:space="preserve">  </w:t>
      </w:r>
      <w:r w:rsidR="00904B59">
        <w:rPr>
          <w:rFonts w:eastAsia="Calibri" w:cs="Arial"/>
          <w:sz w:val="24"/>
          <w:szCs w:val="24"/>
        </w:rPr>
        <w:t xml:space="preserve">Consistent with these decisions, the Commission should reject DP&amp;L’s </w:t>
      </w:r>
      <w:r w:rsidR="00904B59">
        <w:rPr>
          <w:rFonts w:eastAsia="Calibri" w:cs="Arial"/>
          <w:sz w:val="24"/>
          <w:szCs w:val="24"/>
        </w:rPr>
        <w:lastRenderedPageBreak/>
        <w:t xml:space="preserve">proposal </w:t>
      </w:r>
      <w:r w:rsidR="0035164C">
        <w:rPr>
          <w:rFonts w:eastAsia="Calibri" w:cs="Arial"/>
          <w:sz w:val="24"/>
          <w:szCs w:val="24"/>
        </w:rPr>
        <w:t>to defer</w:t>
      </w:r>
      <w:r w:rsidR="0035164C" w:rsidRPr="0035164C">
        <w:rPr>
          <w:rFonts w:eastAsia="Calibri"/>
          <w:sz w:val="24"/>
          <w:szCs w:val="24"/>
        </w:rPr>
        <w:t xml:space="preserve"> the shortfall in gene</w:t>
      </w:r>
      <w:r w:rsidR="0035164C">
        <w:rPr>
          <w:rFonts w:eastAsia="Calibri"/>
          <w:sz w:val="24"/>
          <w:szCs w:val="24"/>
        </w:rPr>
        <w:t xml:space="preserve">ration-related revenue </w:t>
      </w:r>
      <w:r>
        <w:rPr>
          <w:rFonts w:eastAsia="Calibri"/>
          <w:sz w:val="24"/>
          <w:szCs w:val="24"/>
        </w:rPr>
        <w:t>for later recovery</w:t>
      </w:r>
      <w:r w:rsidR="0035164C" w:rsidRPr="0035164C">
        <w:rPr>
          <w:rFonts w:eastAsia="Calibri"/>
          <w:sz w:val="24"/>
          <w:szCs w:val="24"/>
        </w:rPr>
        <w:t xml:space="preserve"> through a nonbypassable charge</w:t>
      </w:r>
      <w:r w:rsidR="0035164C">
        <w:rPr>
          <w:rFonts w:eastAsia="Calibri"/>
          <w:sz w:val="24"/>
          <w:szCs w:val="24"/>
        </w:rPr>
        <w:t>.</w:t>
      </w:r>
    </w:p>
    <w:p w:rsidR="004B12EF" w:rsidRDefault="0035164C" w:rsidP="00A73FED">
      <w:pPr>
        <w:autoSpaceDE w:val="0"/>
        <w:autoSpaceDN w:val="0"/>
        <w:adjustRightInd w:val="0"/>
        <w:spacing w:line="480" w:lineRule="auto"/>
        <w:ind w:firstLine="720"/>
        <w:jc w:val="both"/>
        <w:rPr>
          <w:rFonts w:eastAsia="Calibri"/>
          <w:sz w:val="24"/>
          <w:szCs w:val="24"/>
        </w:rPr>
      </w:pPr>
      <w:r>
        <w:rPr>
          <w:rFonts w:eastAsia="Calibri"/>
          <w:sz w:val="24"/>
          <w:szCs w:val="24"/>
        </w:rPr>
        <w:t>Moreover,</w:t>
      </w:r>
      <w:r w:rsidR="00F5278A">
        <w:rPr>
          <w:rFonts w:eastAsia="Calibri"/>
          <w:sz w:val="24"/>
          <w:szCs w:val="24"/>
        </w:rPr>
        <w:t xml:space="preserve"> as stated above,</w:t>
      </w:r>
      <w:r>
        <w:rPr>
          <w:rFonts w:eastAsia="Calibri"/>
          <w:sz w:val="24"/>
          <w:szCs w:val="24"/>
        </w:rPr>
        <w:t xml:space="preserve"> R.C. 4905.13 does not provide the Commission with authority to authorize DP&amp;L </w:t>
      </w:r>
      <w:r w:rsidR="00F76F2C">
        <w:rPr>
          <w:rFonts w:eastAsia="Calibri"/>
          <w:sz w:val="24"/>
          <w:szCs w:val="24"/>
        </w:rPr>
        <w:t xml:space="preserve">to make accounting modifications </w:t>
      </w:r>
      <w:r>
        <w:rPr>
          <w:rFonts w:eastAsia="Calibri"/>
          <w:sz w:val="24"/>
          <w:szCs w:val="24"/>
        </w:rPr>
        <w:t>to defer</w:t>
      </w:r>
      <w:r w:rsidR="00F5278A">
        <w:rPr>
          <w:rFonts w:eastAsia="Calibri"/>
          <w:sz w:val="24"/>
          <w:szCs w:val="24"/>
        </w:rPr>
        <w:t xml:space="preserve"> expenses related to competitive services such as generation</w:t>
      </w:r>
      <w:r w:rsidR="00A73FED">
        <w:rPr>
          <w:rFonts w:eastAsia="Calibri"/>
          <w:sz w:val="24"/>
          <w:szCs w:val="24"/>
        </w:rPr>
        <w:t>.</w:t>
      </w:r>
    </w:p>
    <w:p w:rsidR="00327470" w:rsidRDefault="001C2649" w:rsidP="00A73FED">
      <w:pPr>
        <w:autoSpaceDE w:val="0"/>
        <w:autoSpaceDN w:val="0"/>
        <w:adjustRightInd w:val="0"/>
        <w:spacing w:line="480" w:lineRule="auto"/>
        <w:ind w:firstLine="720"/>
        <w:jc w:val="both"/>
        <w:rPr>
          <w:rFonts w:eastAsia="Calibri"/>
          <w:sz w:val="24"/>
          <w:szCs w:val="24"/>
        </w:rPr>
      </w:pPr>
      <w:r>
        <w:rPr>
          <w:rFonts w:eastAsia="Calibri"/>
          <w:sz w:val="24"/>
          <w:szCs w:val="24"/>
        </w:rPr>
        <w:t>Even if</w:t>
      </w:r>
      <w:r w:rsidR="006E1ADB">
        <w:rPr>
          <w:rFonts w:eastAsia="Calibri"/>
          <w:sz w:val="24"/>
          <w:szCs w:val="24"/>
        </w:rPr>
        <w:t xml:space="preserve"> the Commission has authority to authorize DP&amp;L to </w:t>
      </w:r>
      <w:r w:rsidR="00F76F2C">
        <w:rPr>
          <w:rFonts w:eastAsia="Calibri"/>
          <w:sz w:val="24"/>
          <w:szCs w:val="24"/>
        </w:rPr>
        <w:t xml:space="preserve">adopt such accounting modifications </w:t>
      </w:r>
      <w:r w:rsidR="00327470">
        <w:rPr>
          <w:rFonts w:eastAsia="Calibri"/>
          <w:sz w:val="24"/>
          <w:szCs w:val="24"/>
        </w:rPr>
        <w:t>(which it does not)</w:t>
      </w:r>
      <w:r w:rsidR="006E1ADB">
        <w:rPr>
          <w:rFonts w:eastAsia="Calibri"/>
          <w:sz w:val="24"/>
          <w:szCs w:val="24"/>
        </w:rPr>
        <w:t xml:space="preserve">, the Commission </w:t>
      </w:r>
      <w:r w:rsidR="00327470">
        <w:rPr>
          <w:rFonts w:eastAsia="Calibri"/>
          <w:sz w:val="24"/>
          <w:szCs w:val="24"/>
        </w:rPr>
        <w:t xml:space="preserve">should not exercise that authority because DP&amp;L has failed to demonstrate that it cannot transfer its ownership interest </w:t>
      </w:r>
      <w:r w:rsidR="00DF18F6">
        <w:rPr>
          <w:rFonts w:eastAsia="Calibri"/>
          <w:sz w:val="24"/>
          <w:szCs w:val="24"/>
        </w:rPr>
        <w:t xml:space="preserve">in </w:t>
      </w:r>
      <w:r w:rsidR="00327470">
        <w:rPr>
          <w:rFonts w:eastAsia="Calibri"/>
          <w:sz w:val="24"/>
          <w:szCs w:val="24"/>
        </w:rPr>
        <w:t xml:space="preserve">OVEC.  First, DP&amp;L </w:t>
      </w:r>
      <w:r w:rsidR="00DF18F6">
        <w:rPr>
          <w:rFonts w:eastAsia="Calibri"/>
          <w:sz w:val="24"/>
          <w:szCs w:val="24"/>
        </w:rPr>
        <w:t>implies</w:t>
      </w:r>
      <w:r w:rsidR="00327470">
        <w:rPr>
          <w:rFonts w:eastAsia="Calibri"/>
          <w:sz w:val="24"/>
          <w:szCs w:val="24"/>
        </w:rPr>
        <w:t xml:space="preserve"> it has </w:t>
      </w:r>
      <w:r w:rsidR="00DF18F6">
        <w:rPr>
          <w:rFonts w:eastAsia="Calibri"/>
          <w:sz w:val="24"/>
          <w:szCs w:val="24"/>
        </w:rPr>
        <w:t xml:space="preserve">not </w:t>
      </w:r>
      <w:r w:rsidR="00327470">
        <w:rPr>
          <w:rFonts w:eastAsia="Calibri"/>
          <w:sz w:val="24"/>
          <w:szCs w:val="24"/>
        </w:rPr>
        <w:t>attempted to transfer its ownership interest in OVEC</w:t>
      </w:r>
      <w:r w:rsidR="00DF18F6">
        <w:rPr>
          <w:rFonts w:eastAsia="Calibri"/>
          <w:sz w:val="24"/>
          <w:szCs w:val="24"/>
        </w:rPr>
        <w:t>; thus, it asks the Commission to assume something that may not be true, i.e., that other OVEC members will not agree with DP&amp;L’s request to transfer its interest to a third party</w:t>
      </w:r>
      <w:r w:rsidR="00327470">
        <w:rPr>
          <w:rFonts w:eastAsia="Calibri"/>
          <w:sz w:val="24"/>
          <w:szCs w:val="24"/>
        </w:rPr>
        <w:t xml:space="preserve">.  Second, a review of the terms of the Amended and Restated Intercompany Power Agreement (“ICPA”) demonstrates that DP&amp;L could transfer its interest to its affiliate, Dayton Power and Light Energy Resources (“DPLER”), or a third party. </w:t>
      </w:r>
    </w:p>
    <w:p w:rsidR="00327470" w:rsidRDefault="00327470" w:rsidP="00327470">
      <w:pPr>
        <w:autoSpaceDE w:val="0"/>
        <w:autoSpaceDN w:val="0"/>
        <w:adjustRightInd w:val="0"/>
        <w:spacing w:line="480" w:lineRule="auto"/>
        <w:ind w:firstLine="720"/>
        <w:jc w:val="both"/>
        <w:rPr>
          <w:rFonts w:eastAsia="Calibri"/>
          <w:sz w:val="24"/>
          <w:szCs w:val="24"/>
        </w:rPr>
      </w:pPr>
      <w:r>
        <w:rPr>
          <w:rFonts w:eastAsia="Calibri"/>
          <w:sz w:val="24"/>
          <w:szCs w:val="24"/>
        </w:rPr>
        <w:t xml:space="preserve">The ICPA, a Federal Energy Regulatory Commission (“FERC”) approved contract, states that a sponsoring company may assign its ownership interest </w:t>
      </w:r>
      <w:r w:rsidR="00540DEB">
        <w:rPr>
          <w:rFonts w:eastAsia="Calibri"/>
          <w:sz w:val="24"/>
          <w:szCs w:val="24"/>
        </w:rPr>
        <w:t xml:space="preserve">to a Permitted Assignee upon </w:t>
      </w:r>
      <w:r w:rsidR="007026EC">
        <w:rPr>
          <w:rFonts w:eastAsia="Calibri"/>
          <w:sz w:val="24"/>
          <w:szCs w:val="24"/>
        </w:rPr>
        <w:t>thirty</w:t>
      </w:r>
      <w:r w:rsidR="00E12280">
        <w:rPr>
          <w:rFonts w:eastAsia="Calibri"/>
          <w:sz w:val="24"/>
          <w:szCs w:val="24"/>
        </w:rPr>
        <w:t>-</w:t>
      </w:r>
      <w:r w:rsidR="005E48E6">
        <w:rPr>
          <w:rFonts w:eastAsia="Calibri"/>
          <w:sz w:val="24"/>
          <w:szCs w:val="24"/>
        </w:rPr>
        <w:t>days’ notice</w:t>
      </w:r>
      <w:r>
        <w:rPr>
          <w:rFonts w:eastAsia="Calibri"/>
          <w:sz w:val="24"/>
          <w:szCs w:val="24"/>
        </w:rPr>
        <w:t>:</w:t>
      </w:r>
    </w:p>
    <w:p w:rsidR="00327470" w:rsidRDefault="002927EC" w:rsidP="00F5278A">
      <w:pPr>
        <w:autoSpaceDE w:val="0"/>
        <w:autoSpaceDN w:val="0"/>
        <w:adjustRightInd w:val="0"/>
        <w:ind w:left="720" w:right="720"/>
        <w:jc w:val="both"/>
        <w:rPr>
          <w:rFonts w:eastAsia="Calibri"/>
          <w:sz w:val="24"/>
          <w:szCs w:val="24"/>
        </w:rPr>
      </w:pPr>
      <w:r>
        <w:rPr>
          <w:rFonts w:eastAsia="Calibri"/>
          <w:sz w:val="24"/>
          <w:szCs w:val="24"/>
        </w:rPr>
        <w:t>[A]</w:t>
      </w:r>
      <w:r w:rsidR="00327470">
        <w:rPr>
          <w:rFonts w:eastAsia="Calibri"/>
          <w:sz w:val="24"/>
          <w:szCs w:val="24"/>
        </w:rPr>
        <w:t>ny Sponsoring Company shall be permitted to, upon thirty (30) days</w:t>
      </w:r>
      <w:r w:rsidR="00327470" w:rsidRPr="00327470">
        <w:rPr>
          <w:rFonts w:eastAsia="Calibri"/>
          <w:sz w:val="24"/>
          <w:szCs w:val="24"/>
        </w:rPr>
        <w:t xml:space="preserve"> not</w:t>
      </w:r>
      <w:r w:rsidR="00327470">
        <w:rPr>
          <w:rFonts w:eastAsia="Calibri"/>
          <w:sz w:val="24"/>
          <w:szCs w:val="24"/>
        </w:rPr>
        <w:t xml:space="preserve">ice to the Corporation and each </w:t>
      </w:r>
      <w:r w:rsidR="00327470" w:rsidRPr="00327470">
        <w:rPr>
          <w:rFonts w:eastAsia="Calibri"/>
          <w:sz w:val="24"/>
          <w:szCs w:val="24"/>
        </w:rPr>
        <w:t>other Sponsoring Company, without any further action by the Corporation or the other</w:t>
      </w:r>
      <w:r w:rsidR="00327470">
        <w:rPr>
          <w:rFonts w:eastAsia="Calibri"/>
          <w:sz w:val="24"/>
          <w:szCs w:val="24"/>
        </w:rPr>
        <w:t xml:space="preserve"> </w:t>
      </w:r>
      <w:r w:rsidR="00327470" w:rsidRPr="00327470">
        <w:rPr>
          <w:rFonts w:eastAsia="Calibri"/>
          <w:sz w:val="24"/>
          <w:szCs w:val="24"/>
        </w:rPr>
        <w:t xml:space="preserve">Sponsoring Companies, </w:t>
      </w:r>
      <w:r w:rsidR="00327470" w:rsidRPr="00327470">
        <w:rPr>
          <w:rFonts w:eastAsia="Calibri"/>
          <w:b/>
          <w:i/>
          <w:sz w:val="24"/>
          <w:szCs w:val="24"/>
        </w:rPr>
        <w:t>assign all or part of its rights, title and interests in, and obligations under this Agreement to a Permitted Assignee</w:t>
      </w:r>
      <w:r w:rsidR="00327470" w:rsidRPr="00327470">
        <w:rPr>
          <w:rFonts w:eastAsia="Calibri"/>
          <w:sz w:val="24"/>
          <w:szCs w:val="24"/>
        </w:rPr>
        <w:t>, provided that, the assignee and</w:t>
      </w:r>
      <w:r w:rsidR="00327470">
        <w:rPr>
          <w:rFonts w:eastAsia="Calibri"/>
          <w:sz w:val="24"/>
          <w:szCs w:val="24"/>
        </w:rPr>
        <w:t xml:space="preserve"> </w:t>
      </w:r>
      <w:r w:rsidR="00327470" w:rsidRPr="00327470">
        <w:rPr>
          <w:rFonts w:eastAsia="Calibri"/>
          <w:sz w:val="24"/>
          <w:szCs w:val="24"/>
        </w:rPr>
        <w:t xml:space="preserve">assignor of the rights, title and interests in, and obligations </w:t>
      </w:r>
      <w:r w:rsidR="00327470" w:rsidRPr="00327470">
        <w:rPr>
          <w:rFonts w:eastAsia="Calibri"/>
          <w:sz w:val="24"/>
          <w:szCs w:val="24"/>
        </w:rPr>
        <w:lastRenderedPageBreak/>
        <w:t>under, this Agreement have</w:t>
      </w:r>
      <w:r w:rsidR="00327470">
        <w:rPr>
          <w:rFonts w:eastAsia="Calibri"/>
          <w:sz w:val="24"/>
          <w:szCs w:val="24"/>
        </w:rPr>
        <w:t xml:space="preserve"> </w:t>
      </w:r>
      <w:r w:rsidR="00327470" w:rsidRPr="00327470">
        <w:rPr>
          <w:rFonts w:eastAsia="Calibri"/>
          <w:sz w:val="24"/>
          <w:szCs w:val="24"/>
        </w:rPr>
        <w:t>executed an assignment agreement in form and substance acceptable to the Corporation</w:t>
      </w:r>
      <w:r w:rsidR="00327470" w:rsidRPr="00327470">
        <w:t xml:space="preserve"> </w:t>
      </w:r>
      <w:r w:rsidR="00327470" w:rsidRPr="00327470">
        <w:rPr>
          <w:rFonts w:eastAsia="Calibri"/>
          <w:sz w:val="24"/>
          <w:szCs w:val="24"/>
        </w:rPr>
        <w:t>in its reasonable discretion (including, without l</w:t>
      </w:r>
      <w:r w:rsidR="00327470">
        <w:rPr>
          <w:rFonts w:eastAsia="Calibri"/>
          <w:sz w:val="24"/>
          <w:szCs w:val="24"/>
        </w:rPr>
        <w:t xml:space="preserve">imitation; the agreement by the </w:t>
      </w:r>
      <w:r w:rsidR="00327470" w:rsidRPr="00327470">
        <w:rPr>
          <w:rFonts w:eastAsia="Calibri"/>
          <w:sz w:val="24"/>
          <w:szCs w:val="24"/>
        </w:rPr>
        <w:t>Sponsoring Company assigning such rights, title and interests in, and obligations under,</w:t>
      </w:r>
      <w:r w:rsidR="00327470">
        <w:rPr>
          <w:rFonts w:eastAsia="Calibri"/>
          <w:sz w:val="24"/>
          <w:szCs w:val="24"/>
        </w:rPr>
        <w:t xml:space="preserve"> </w:t>
      </w:r>
      <w:r w:rsidR="00327470" w:rsidRPr="00327470">
        <w:rPr>
          <w:rFonts w:eastAsia="Calibri"/>
          <w:sz w:val="24"/>
          <w:szCs w:val="24"/>
        </w:rPr>
        <w:t>this Agreement to reimburse the Corporation and the other Sponsoring Companies for</w:t>
      </w:r>
      <w:r w:rsidR="00327470">
        <w:rPr>
          <w:rFonts w:eastAsia="Calibri"/>
          <w:sz w:val="24"/>
          <w:szCs w:val="24"/>
        </w:rPr>
        <w:t xml:space="preserve"> </w:t>
      </w:r>
      <w:r w:rsidR="00327470" w:rsidRPr="00327470">
        <w:rPr>
          <w:rFonts w:eastAsia="Calibri"/>
          <w:sz w:val="24"/>
          <w:szCs w:val="24"/>
        </w:rPr>
        <w:t>any fees or expenses required under any security issued, or agreement entered into, by the</w:t>
      </w:r>
      <w:r w:rsidR="00327470">
        <w:rPr>
          <w:rFonts w:eastAsia="Calibri"/>
          <w:sz w:val="24"/>
          <w:szCs w:val="24"/>
        </w:rPr>
        <w:t xml:space="preserve"> </w:t>
      </w:r>
      <w:r w:rsidR="00327470" w:rsidRPr="00327470">
        <w:rPr>
          <w:rFonts w:eastAsia="Calibri"/>
          <w:sz w:val="24"/>
          <w:szCs w:val="24"/>
        </w:rPr>
        <w:t>Corporation as a result of such assignment, including without limitation any consent fee</w:t>
      </w:r>
      <w:r w:rsidR="00327470">
        <w:rPr>
          <w:rFonts w:eastAsia="Calibri"/>
          <w:sz w:val="24"/>
          <w:szCs w:val="24"/>
        </w:rPr>
        <w:t xml:space="preserve"> </w:t>
      </w:r>
      <w:r w:rsidR="00327470" w:rsidRPr="00327470">
        <w:rPr>
          <w:rFonts w:eastAsia="Calibri"/>
          <w:sz w:val="24"/>
          <w:szCs w:val="24"/>
        </w:rPr>
        <w:t>or additional financing costs to the Corporation under the Corporation's then-existing</w:t>
      </w:r>
      <w:r w:rsidR="00327470">
        <w:rPr>
          <w:rFonts w:eastAsia="Calibri"/>
          <w:sz w:val="24"/>
          <w:szCs w:val="24"/>
        </w:rPr>
        <w:t xml:space="preserve"> </w:t>
      </w:r>
      <w:r w:rsidR="00327470" w:rsidRPr="00327470">
        <w:rPr>
          <w:rFonts w:eastAsia="Calibri"/>
          <w:sz w:val="24"/>
          <w:szCs w:val="24"/>
        </w:rPr>
        <w:t>securities or agreements resulting from such assignment).</w:t>
      </w:r>
      <w:r w:rsidR="00327470">
        <w:rPr>
          <w:rStyle w:val="FootnoteReference"/>
          <w:rFonts w:eastAsia="Calibri"/>
          <w:sz w:val="24"/>
          <w:szCs w:val="24"/>
        </w:rPr>
        <w:footnoteReference w:id="36"/>
      </w:r>
    </w:p>
    <w:p w:rsidR="00F5278A" w:rsidRDefault="00F5278A" w:rsidP="00F5278A">
      <w:pPr>
        <w:autoSpaceDE w:val="0"/>
        <w:autoSpaceDN w:val="0"/>
        <w:adjustRightInd w:val="0"/>
        <w:ind w:left="720" w:right="720"/>
        <w:jc w:val="both"/>
        <w:rPr>
          <w:rFonts w:eastAsia="Calibri"/>
          <w:sz w:val="24"/>
          <w:szCs w:val="24"/>
        </w:rPr>
      </w:pPr>
    </w:p>
    <w:p w:rsidR="00C61C24" w:rsidRDefault="00327470" w:rsidP="002A6727">
      <w:pPr>
        <w:autoSpaceDE w:val="0"/>
        <w:autoSpaceDN w:val="0"/>
        <w:adjustRightInd w:val="0"/>
        <w:spacing w:line="480" w:lineRule="auto"/>
        <w:ind w:firstLine="720"/>
        <w:jc w:val="both"/>
        <w:rPr>
          <w:rFonts w:eastAsia="Calibri"/>
          <w:sz w:val="24"/>
          <w:szCs w:val="24"/>
        </w:rPr>
      </w:pPr>
      <w:r>
        <w:rPr>
          <w:rFonts w:eastAsia="Calibri"/>
          <w:sz w:val="24"/>
          <w:szCs w:val="24"/>
        </w:rPr>
        <w:t>The ICPA</w:t>
      </w:r>
      <w:r w:rsidR="00904B59">
        <w:rPr>
          <w:rFonts w:eastAsia="Calibri"/>
          <w:sz w:val="24"/>
          <w:szCs w:val="24"/>
        </w:rPr>
        <w:t xml:space="preserve"> defines a Permitted Assignee a</w:t>
      </w:r>
      <w:r w:rsidR="00BA2DD6">
        <w:rPr>
          <w:rFonts w:eastAsia="Calibri"/>
          <w:sz w:val="24"/>
          <w:szCs w:val="24"/>
        </w:rPr>
        <w:t xml:space="preserve">s either an affiliate with a credit rating of BBB (Standard &amp; Poor’s) or Baa3 (Moody’s) or </w:t>
      </w:r>
      <w:r w:rsidR="007026EC">
        <w:rPr>
          <w:rFonts w:eastAsia="Calibri"/>
          <w:sz w:val="24"/>
          <w:szCs w:val="24"/>
        </w:rPr>
        <w:t xml:space="preserve">an </w:t>
      </w:r>
      <w:r w:rsidR="00BA2DD6">
        <w:rPr>
          <w:rFonts w:eastAsia="Calibri"/>
          <w:sz w:val="24"/>
          <w:szCs w:val="24"/>
        </w:rPr>
        <w:t>affiliate with a lesser credit rating that agrees in writing to satisfy all of the obligations to OVEC</w:t>
      </w:r>
      <w:r w:rsidR="002927EC">
        <w:rPr>
          <w:rFonts w:eastAsia="Calibri"/>
          <w:sz w:val="24"/>
          <w:szCs w:val="24"/>
        </w:rPr>
        <w:t>.</w:t>
      </w:r>
      <w:r w:rsidR="00BA2DD6">
        <w:rPr>
          <w:rStyle w:val="FootnoteReference"/>
          <w:rFonts w:eastAsia="Calibri"/>
          <w:sz w:val="24"/>
          <w:szCs w:val="24"/>
        </w:rPr>
        <w:footnoteReference w:id="37"/>
      </w:r>
    </w:p>
    <w:p w:rsidR="00BA2DD6" w:rsidRDefault="00BA2DD6" w:rsidP="00E12280">
      <w:pPr>
        <w:autoSpaceDE w:val="0"/>
        <w:autoSpaceDN w:val="0"/>
        <w:adjustRightInd w:val="0"/>
        <w:spacing w:line="480" w:lineRule="auto"/>
        <w:ind w:firstLine="720"/>
        <w:jc w:val="both"/>
        <w:rPr>
          <w:rFonts w:eastAsia="Calibri"/>
          <w:sz w:val="24"/>
          <w:szCs w:val="24"/>
        </w:rPr>
      </w:pPr>
      <w:r>
        <w:rPr>
          <w:rFonts w:eastAsia="Calibri"/>
          <w:sz w:val="24"/>
          <w:szCs w:val="24"/>
        </w:rPr>
        <w:t>Additionally, the ICPA permits DP&amp;L to transfer its ownership interest to a third party upon notice to the sponsoring companies</w:t>
      </w:r>
      <w:r w:rsidR="00904B59">
        <w:rPr>
          <w:rFonts w:eastAsia="Calibri"/>
          <w:sz w:val="24"/>
          <w:szCs w:val="24"/>
        </w:rPr>
        <w:t>, which triggers a thirty-day right</w:t>
      </w:r>
      <w:r>
        <w:rPr>
          <w:rFonts w:eastAsia="Calibri"/>
          <w:sz w:val="24"/>
          <w:szCs w:val="24"/>
        </w:rPr>
        <w:t xml:space="preserve"> of first refusal</w:t>
      </w:r>
      <w:r w:rsidR="00C61C24">
        <w:rPr>
          <w:rFonts w:eastAsia="Calibri"/>
          <w:sz w:val="24"/>
          <w:szCs w:val="24"/>
        </w:rPr>
        <w:t>.</w:t>
      </w:r>
      <w:r w:rsidR="00C61C24">
        <w:rPr>
          <w:rStyle w:val="FootnoteReference"/>
          <w:rFonts w:eastAsia="Calibri"/>
          <w:sz w:val="24"/>
          <w:szCs w:val="24"/>
        </w:rPr>
        <w:footnoteReference w:id="38"/>
      </w:r>
      <w:r w:rsidR="00C61C24">
        <w:rPr>
          <w:rFonts w:eastAsia="Calibri"/>
          <w:sz w:val="24"/>
          <w:szCs w:val="24"/>
        </w:rPr>
        <w:t xml:space="preserve">  </w:t>
      </w:r>
    </w:p>
    <w:p w:rsidR="00BB5433" w:rsidRDefault="00C61C24" w:rsidP="00327470">
      <w:pPr>
        <w:autoSpaceDE w:val="0"/>
        <w:autoSpaceDN w:val="0"/>
        <w:adjustRightInd w:val="0"/>
        <w:spacing w:line="480" w:lineRule="auto"/>
        <w:jc w:val="both"/>
        <w:rPr>
          <w:rFonts w:eastAsia="Calibri"/>
          <w:sz w:val="24"/>
          <w:szCs w:val="24"/>
        </w:rPr>
      </w:pPr>
      <w:r>
        <w:rPr>
          <w:rFonts w:eastAsia="Calibri"/>
          <w:sz w:val="24"/>
          <w:szCs w:val="24"/>
        </w:rPr>
        <w:lastRenderedPageBreak/>
        <w:tab/>
      </w:r>
      <w:r w:rsidR="00DF18F6">
        <w:rPr>
          <w:rFonts w:eastAsia="Calibri"/>
          <w:sz w:val="24"/>
          <w:szCs w:val="24"/>
        </w:rPr>
        <w:t>Despite the fact that the ICPA provides DP&amp;L with the means to transfer its interest in OVEC</w:t>
      </w:r>
      <w:r>
        <w:rPr>
          <w:rFonts w:eastAsia="Calibri"/>
          <w:sz w:val="24"/>
          <w:szCs w:val="24"/>
        </w:rPr>
        <w:t>, DP&amp;L has proposed that it</w:t>
      </w:r>
      <w:r w:rsidR="002927EC">
        <w:rPr>
          <w:rFonts w:eastAsia="Calibri"/>
          <w:sz w:val="24"/>
          <w:szCs w:val="24"/>
        </w:rPr>
        <w:t>s</w:t>
      </w:r>
      <w:r>
        <w:rPr>
          <w:rFonts w:eastAsia="Calibri"/>
          <w:sz w:val="24"/>
          <w:szCs w:val="24"/>
        </w:rPr>
        <w:t xml:space="preserve"> customers bear the cost of its refusal to act.  </w:t>
      </w:r>
      <w:r w:rsidR="00702435">
        <w:rPr>
          <w:rFonts w:eastAsia="Calibri"/>
          <w:sz w:val="24"/>
          <w:szCs w:val="24"/>
        </w:rPr>
        <w:t>The Commission should not indulge DP&amp;L’s request</w:t>
      </w:r>
      <w:r w:rsidR="004071F8">
        <w:rPr>
          <w:rFonts w:eastAsia="Calibri"/>
          <w:sz w:val="24"/>
          <w:szCs w:val="24"/>
        </w:rPr>
        <w:t xml:space="preserve"> for customers to bear additional </w:t>
      </w:r>
      <w:r w:rsidR="001D76F5">
        <w:rPr>
          <w:rFonts w:eastAsia="Calibri"/>
          <w:sz w:val="24"/>
          <w:szCs w:val="24"/>
        </w:rPr>
        <w:t xml:space="preserve">unlawful </w:t>
      </w:r>
      <w:r w:rsidR="004071F8">
        <w:rPr>
          <w:rFonts w:eastAsia="Calibri"/>
          <w:sz w:val="24"/>
          <w:szCs w:val="24"/>
        </w:rPr>
        <w:t>nonbypassable charges</w:t>
      </w:r>
      <w:r w:rsidR="00BB5433">
        <w:rPr>
          <w:rFonts w:eastAsia="Calibri"/>
          <w:sz w:val="24"/>
          <w:szCs w:val="24"/>
        </w:rPr>
        <w:t xml:space="preserve">—especially when they are </w:t>
      </w:r>
      <w:r w:rsidR="00904B59">
        <w:rPr>
          <w:rFonts w:eastAsia="Calibri"/>
          <w:sz w:val="24"/>
          <w:szCs w:val="24"/>
        </w:rPr>
        <w:t>related to costs that could be</w:t>
      </w:r>
      <w:r w:rsidR="00BB5433">
        <w:rPr>
          <w:rFonts w:eastAsia="Calibri"/>
          <w:sz w:val="24"/>
          <w:szCs w:val="24"/>
        </w:rPr>
        <w:t xml:space="preserve"> avoided through prudent action</w:t>
      </w:r>
      <w:r w:rsidR="00702435">
        <w:rPr>
          <w:rFonts w:eastAsia="Calibri"/>
          <w:sz w:val="24"/>
          <w:szCs w:val="24"/>
        </w:rPr>
        <w:t>.</w:t>
      </w:r>
      <w:r w:rsidR="00BB5433">
        <w:rPr>
          <w:rFonts w:eastAsia="Calibri"/>
          <w:sz w:val="24"/>
          <w:szCs w:val="24"/>
        </w:rPr>
        <w:tab/>
      </w:r>
    </w:p>
    <w:p w:rsidR="002927EC" w:rsidRPr="002C127A" w:rsidRDefault="00BB5433">
      <w:pPr>
        <w:pStyle w:val="S2Heading3"/>
        <w:rPr>
          <w:sz w:val="24"/>
          <w:szCs w:val="24"/>
        </w:rPr>
      </w:pPr>
      <w:bookmarkStart w:id="34" w:name="_Toc383506932"/>
      <w:bookmarkStart w:id="35" w:name="_Toc383517965"/>
      <w:bookmarkStart w:id="36" w:name="_Toc383524586"/>
      <w:r w:rsidRPr="002C127A">
        <w:rPr>
          <w:sz w:val="24"/>
          <w:szCs w:val="24"/>
        </w:rPr>
        <w:t xml:space="preserve">DP&amp;L </w:t>
      </w:r>
      <w:r w:rsidR="002927EC" w:rsidRPr="002C127A">
        <w:rPr>
          <w:sz w:val="24"/>
          <w:szCs w:val="24"/>
        </w:rPr>
        <w:t xml:space="preserve">is seeking to retain debt that </w:t>
      </w:r>
      <w:r w:rsidR="001D76F5">
        <w:rPr>
          <w:sz w:val="24"/>
          <w:szCs w:val="24"/>
        </w:rPr>
        <w:t xml:space="preserve">may </w:t>
      </w:r>
      <w:r w:rsidR="002927EC" w:rsidRPr="002C127A">
        <w:rPr>
          <w:sz w:val="24"/>
          <w:szCs w:val="24"/>
        </w:rPr>
        <w:t>expose customers to unreasonable leverage</w:t>
      </w:r>
      <w:bookmarkEnd w:id="34"/>
      <w:bookmarkEnd w:id="35"/>
      <w:bookmarkEnd w:id="36"/>
      <w:r w:rsidRPr="002C127A">
        <w:rPr>
          <w:sz w:val="24"/>
          <w:szCs w:val="24"/>
        </w:rPr>
        <w:t xml:space="preserve"> </w:t>
      </w:r>
    </w:p>
    <w:p w:rsidR="00F76F2C" w:rsidRDefault="001433AD" w:rsidP="007A6D48">
      <w:pPr>
        <w:spacing w:line="480" w:lineRule="auto"/>
        <w:jc w:val="both"/>
        <w:rPr>
          <w:rFonts w:cs="Arial"/>
          <w:sz w:val="24"/>
          <w:szCs w:val="24"/>
        </w:rPr>
      </w:pPr>
      <w:r>
        <w:rPr>
          <w:rFonts w:cs="Arial"/>
          <w:sz w:val="24"/>
          <w:szCs w:val="24"/>
        </w:rPr>
        <w:tab/>
      </w:r>
      <w:r w:rsidR="00BB5433">
        <w:rPr>
          <w:rFonts w:cs="Arial"/>
          <w:sz w:val="24"/>
          <w:szCs w:val="24"/>
        </w:rPr>
        <w:t xml:space="preserve">DP&amp;L requests that it be permitted to temporarily maintain total </w:t>
      </w:r>
      <w:r w:rsidR="00F76F2C">
        <w:rPr>
          <w:rFonts w:cs="Arial"/>
          <w:sz w:val="24"/>
          <w:szCs w:val="24"/>
        </w:rPr>
        <w:t>long-term</w:t>
      </w:r>
      <w:r w:rsidR="00BB5433">
        <w:rPr>
          <w:rFonts w:cs="Arial"/>
          <w:sz w:val="24"/>
          <w:szCs w:val="24"/>
        </w:rPr>
        <w:t xml:space="preserve"> debt of $750 million or total debt equal to 75% of rate base, whichever is greater</w:t>
      </w:r>
      <w:r w:rsidR="002927EC">
        <w:rPr>
          <w:rFonts w:cs="Arial"/>
          <w:sz w:val="24"/>
          <w:szCs w:val="24"/>
        </w:rPr>
        <w:t>,</w:t>
      </w:r>
      <w:r w:rsidR="002927EC" w:rsidRPr="002927EC">
        <w:rPr>
          <w:rFonts w:cs="Arial"/>
          <w:sz w:val="24"/>
          <w:szCs w:val="24"/>
        </w:rPr>
        <w:t xml:space="preserve"> </w:t>
      </w:r>
      <w:r w:rsidR="002927EC">
        <w:rPr>
          <w:rFonts w:cs="Arial"/>
          <w:sz w:val="24"/>
          <w:szCs w:val="24"/>
        </w:rPr>
        <w:t>after the transfer of its generation assets</w:t>
      </w:r>
      <w:r w:rsidR="00BB5433">
        <w:rPr>
          <w:rFonts w:cs="Arial"/>
          <w:sz w:val="24"/>
          <w:szCs w:val="24"/>
        </w:rPr>
        <w:t xml:space="preserve">.  </w:t>
      </w:r>
      <w:r w:rsidR="00C17DE4">
        <w:rPr>
          <w:rFonts w:cs="Arial"/>
          <w:sz w:val="24"/>
          <w:szCs w:val="24"/>
        </w:rPr>
        <w:t xml:space="preserve">The Application </w:t>
      </w:r>
      <w:r w:rsidR="00BB5433">
        <w:rPr>
          <w:rFonts w:cs="Arial"/>
          <w:sz w:val="24"/>
          <w:szCs w:val="24"/>
        </w:rPr>
        <w:t>further indicates that it is likely that DP&amp;L’s equity ratio will fall below the 50% level in the course of the debt restructuring necessary to achieve separation</w:t>
      </w:r>
      <w:r w:rsidR="002927EC" w:rsidRPr="002927EC">
        <w:rPr>
          <w:rFonts w:cs="Arial"/>
          <w:sz w:val="24"/>
          <w:szCs w:val="24"/>
        </w:rPr>
        <w:t xml:space="preserve"> </w:t>
      </w:r>
      <w:r w:rsidR="002927EC">
        <w:rPr>
          <w:rFonts w:cs="Arial"/>
          <w:sz w:val="24"/>
          <w:szCs w:val="24"/>
        </w:rPr>
        <w:t xml:space="preserve">in order to effectuate full legal separation of its </w:t>
      </w:r>
      <w:r w:rsidR="00FB04E5">
        <w:rPr>
          <w:rFonts w:cs="Arial"/>
          <w:sz w:val="24"/>
          <w:szCs w:val="24"/>
        </w:rPr>
        <w:t>generation</w:t>
      </w:r>
      <w:r w:rsidR="002927EC">
        <w:rPr>
          <w:rFonts w:cs="Arial"/>
          <w:sz w:val="24"/>
          <w:szCs w:val="24"/>
        </w:rPr>
        <w:t xml:space="preserve"> assets</w:t>
      </w:r>
      <w:r w:rsidR="00BB5433">
        <w:rPr>
          <w:rFonts w:cs="Arial"/>
          <w:sz w:val="24"/>
          <w:szCs w:val="24"/>
        </w:rPr>
        <w:t>.</w:t>
      </w:r>
      <w:r w:rsidR="008F5DA1" w:rsidRPr="008F5DA1">
        <w:rPr>
          <w:rStyle w:val="FootnoteReference"/>
          <w:rFonts w:cs="Arial"/>
          <w:sz w:val="24"/>
          <w:szCs w:val="24"/>
        </w:rPr>
        <w:t xml:space="preserve"> </w:t>
      </w:r>
      <w:r w:rsidR="008F5DA1">
        <w:rPr>
          <w:rStyle w:val="FootnoteReference"/>
          <w:rFonts w:cs="Arial"/>
          <w:sz w:val="24"/>
          <w:szCs w:val="24"/>
        </w:rPr>
        <w:footnoteReference w:id="39"/>
      </w:r>
      <w:r w:rsidR="00BB5433">
        <w:rPr>
          <w:rFonts w:cs="Arial"/>
          <w:sz w:val="24"/>
          <w:szCs w:val="24"/>
        </w:rPr>
        <w:t xml:space="preserve">  Therefore, </w:t>
      </w:r>
      <w:r w:rsidR="00C17DE4">
        <w:rPr>
          <w:rFonts w:cs="Arial"/>
          <w:sz w:val="24"/>
          <w:szCs w:val="24"/>
        </w:rPr>
        <w:t>DP&amp;L requests</w:t>
      </w:r>
      <w:r w:rsidR="00BB5433">
        <w:rPr>
          <w:rFonts w:cs="Arial"/>
          <w:sz w:val="24"/>
          <w:szCs w:val="24"/>
        </w:rPr>
        <w:t xml:space="preserve"> temporary relief from </w:t>
      </w:r>
      <w:r w:rsidR="00F76F2C">
        <w:rPr>
          <w:rFonts w:cs="Arial"/>
          <w:sz w:val="24"/>
          <w:szCs w:val="24"/>
        </w:rPr>
        <w:t xml:space="preserve">its </w:t>
      </w:r>
      <w:r w:rsidR="00BB5433">
        <w:rPr>
          <w:rFonts w:cs="Arial"/>
          <w:sz w:val="24"/>
          <w:szCs w:val="24"/>
        </w:rPr>
        <w:t xml:space="preserve">commitment in the Stipulation in Case No. 11-3002-EL-UNC </w:t>
      </w:r>
      <w:r w:rsidR="00F76F2C">
        <w:rPr>
          <w:rFonts w:cs="Arial"/>
          <w:sz w:val="24"/>
          <w:szCs w:val="24"/>
        </w:rPr>
        <w:t>to</w:t>
      </w:r>
      <w:r w:rsidR="00BB5433">
        <w:rPr>
          <w:rFonts w:cs="Arial"/>
          <w:sz w:val="24"/>
          <w:szCs w:val="24"/>
        </w:rPr>
        <w:t xml:space="preserve"> maintain a</w:t>
      </w:r>
      <w:r w:rsidR="00631F61">
        <w:rPr>
          <w:rFonts w:cs="Arial"/>
          <w:sz w:val="24"/>
          <w:szCs w:val="24"/>
        </w:rPr>
        <w:t xml:space="preserve">n </w:t>
      </w:r>
      <w:r w:rsidR="00BB5433">
        <w:rPr>
          <w:rFonts w:cs="Arial"/>
          <w:sz w:val="24"/>
          <w:szCs w:val="24"/>
        </w:rPr>
        <w:t>equity ratio of at least 50%</w:t>
      </w:r>
      <w:r w:rsidR="00F76F2C">
        <w:rPr>
          <w:rFonts w:cs="Arial"/>
          <w:sz w:val="24"/>
          <w:szCs w:val="24"/>
        </w:rPr>
        <w:t>.</w:t>
      </w:r>
      <w:r w:rsidR="00881881">
        <w:rPr>
          <w:rStyle w:val="FootnoteReference"/>
          <w:rFonts w:cs="Arial"/>
          <w:sz w:val="24"/>
          <w:szCs w:val="24"/>
        </w:rPr>
        <w:footnoteReference w:id="40"/>
      </w:r>
      <w:r w:rsidR="00BB5433">
        <w:rPr>
          <w:rFonts w:cs="Arial"/>
          <w:sz w:val="24"/>
          <w:szCs w:val="24"/>
        </w:rPr>
        <w:t xml:space="preserve"> </w:t>
      </w:r>
      <w:r w:rsidR="00DF18F6">
        <w:rPr>
          <w:rFonts w:cs="Arial"/>
          <w:sz w:val="24"/>
          <w:szCs w:val="24"/>
        </w:rPr>
        <w:t xml:space="preserve"> </w:t>
      </w:r>
      <w:r w:rsidR="00F76F2C">
        <w:rPr>
          <w:rFonts w:cs="Arial"/>
          <w:sz w:val="24"/>
          <w:szCs w:val="24"/>
        </w:rPr>
        <w:t>It also requests that</w:t>
      </w:r>
      <w:r w:rsidR="00BB5433">
        <w:rPr>
          <w:rFonts w:cs="Arial"/>
          <w:sz w:val="24"/>
          <w:szCs w:val="24"/>
        </w:rPr>
        <w:t xml:space="preserve"> it be permitted to maintain </w:t>
      </w:r>
      <w:r w:rsidR="00F76F2C">
        <w:rPr>
          <w:rFonts w:cs="Arial"/>
          <w:sz w:val="24"/>
          <w:szCs w:val="24"/>
        </w:rPr>
        <w:t xml:space="preserve">the resulting </w:t>
      </w:r>
      <w:r w:rsidR="00BB5433">
        <w:rPr>
          <w:rFonts w:cs="Arial"/>
          <w:sz w:val="24"/>
          <w:szCs w:val="24"/>
        </w:rPr>
        <w:t>debt level and implied capital structure through “at least 2018</w:t>
      </w:r>
      <w:r w:rsidR="002927EC">
        <w:rPr>
          <w:rFonts w:cs="Arial"/>
          <w:sz w:val="24"/>
          <w:szCs w:val="24"/>
        </w:rPr>
        <w:t>,</w:t>
      </w:r>
      <w:r w:rsidR="00BB5433">
        <w:rPr>
          <w:rFonts w:cs="Arial"/>
          <w:sz w:val="24"/>
          <w:szCs w:val="24"/>
        </w:rPr>
        <w:t>” after which further debt reductions will be conditioned on market recovery and an ability to reallocate debt to its non-regulated affiliate.</w:t>
      </w:r>
      <w:r w:rsidR="00904B59">
        <w:rPr>
          <w:rStyle w:val="FootnoteReference"/>
          <w:rFonts w:cs="Arial"/>
          <w:sz w:val="24"/>
          <w:szCs w:val="24"/>
        </w:rPr>
        <w:footnoteReference w:id="41"/>
      </w:r>
      <w:r w:rsidR="00BB5433">
        <w:rPr>
          <w:rFonts w:cs="Arial"/>
          <w:sz w:val="24"/>
          <w:szCs w:val="24"/>
        </w:rPr>
        <w:t xml:space="preserve"> </w:t>
      </w:r>
      <w:r w:rsidR="00F76F2C">
        <w:rPr>
          <w:rFonts w:cs="Arial"/>
          <w:sz w:val="24"/>
          <w:szCs w:val="24"/>
        </w:rPr>
        <w:t xml:space="preserve"> </w:t>
      </w:r>
      <w:r w:rsidR="005E48E6">
        <w:rPr>
          <w:rFonts w:cs="Arial"/>
          <w:sz w:val="24"/>
          <w:szCs w:val="24"/>
        </w:rPr>
        <w:t>N</w:t>
      </w:r>
      <w:r w:rsidR="00F76F2C">
        <w:rPr>
          <w:rFonts w:cs="Arial"/>
          <w:sz w:val="24"/>
          <w:szCs w:val="24"/>
        </w:rPr>
        <w:t xml:space="preserve">ot only is DP&amp;L requesting relief from the </w:t>
      </w:r>
      <w:r w:rsidR="0040474F">
        <w:rPr>
          <w:rFonts w:cs="Arial"/>
          <w:sz w:val="24"/>
          <w:szCs w:val="24"/>
        </w:rPr>
        <w:t>Stipulation</w:t>
      </w:r>
      <w:r w:rsidR="00F76F2C">
        <w:rPr>
          <w:rFonts w:cs="Arial"/>
          <w:sz w:val="24"/>
          <w:szCs w:val="24"/>
        </w:rPr>
        <w:t>, it wants that relief to be indefinite in duration.</w:t>
      </w:r>
      <w:r w:rsidR="00C17DE4">
        <w:rPr>
          <w:rFonts w:cs="Arial"/>
          <w:sz w:val="24"/>
          <w:szCs w:val="24"/>
        </w:rPr>
        <w:t xml:space="preserve">  </w:t>
      </w:r>
    </w:p>
    <w:p w:rsidR="00F76F2C" w:rsidRDefault="00F76F2C" w:rsidP="00F76F2C">
      <w:pPr>
        <w:spacing w:line="480" w:lineRule="auto"/>
        <w:ind w:firstLine="720"/>
        <w:jc w:val="both"/>
        <w:rPr>
          <w:rFonts w:cs="Arial"/>
          <w:sz w:val="24"/>
          <w:szCs w:val="24"/>
        </w:rPr>
      </w:pPr>
      <w:r>
        <w:rPr>
          <w:rFonts w:cs="Arial"/>
          <w:sz w:val="24"/>
          <w:szCs w:val="24"/>
        </w:rPr>
        <w:lastRenderedPageBreak/>
        <w:t xml:space="preserve">It is unlawful to permit </w:t>
      </w:r>
      <w:r w:rsidR="00C17DE4">
        <w:rPr>
          <w:rFonts w:cs="Arial"/>
          <w:sz w:val="24"/>
          <w:szCs w:val="24"/>
        </w:rPr>
        <w:t xml:space="preserve">DP&amp;L to transfer its </w:t>
      </w:r>
      <w:r w:rsidR="00FB04E5">
        <w:rPr>
          <w:rFonts w:cs="Arial"/>
          <w:sz w:val="24"/>
          <w:szCs w:val="24"/>
        </w:rPr>
        <w:t>generation</w:t>
      </w:r>
      <w:r w:rsidR="00C17DE4">
        <w:rPr>
          <w:rFonts w:cs="Arial"/>
          <w:sz w:val="24"/>
          <w:szCs w:val="24"/>
        </w:rPr>
        <w:t xml:space="preserve"> assets while leaving DP&amp;L responsible for servicing the associated debt </w:t>
      </w:r>
      <w:r>
        <w:rPr>
          <w:rFonts w:cs="Arial"/>
          <w:sz w:val="24"/>
          <w:szCs w:val="24"/>
        </w:rPr>
        <w:t xml:space="preserve">because it </w:t>
      </w:r>
      <w:r w:rsidR="00C17DE4">
        <w:rPr>
          <w:rFonts w:cs="Arial"/>
          <w:sz w:val="24"/>
          <w:szCs w:val="24"/>
        </w:rPr>
        <w:t>would provide</w:t>
      </w:r>
      <w:r w:rsidR="00BB5433">
        <w:rPr>
          <w:rFonts w:cs="Arial"/>
          <w:sz w:val="24"/>
          <w:szCs w:val="24"/>
        </w:rPr>
        <w:t xml:space="preserve"> an unlawful subsidy to DP&amp;L’s unregulated affiliate</w:t>
      </w:r>
      <w:r w:rsidR="00C17DE4">
        <w:rPr>
          <w:rFonts w:cs="Arial"/>
          <w:sz w:val="24"/>
          <w:szCs w:val="24"/>
        </w:rPr>
        <w:t xml:space="preserve"> or a third party</w:t>
      </w:r>
      <w:r w:rsidR="00BB5433">
        <w:rPr>
          <w:rFonts w:cs="Arial"/>
          <w:sz w:val="24"/>
          <w:szCs w:val="24"/>
        </w:rPr>
        <w:t>.</w:t>
      </w:r>
      <w:r w:rsidR="00540DEB">
        <w:rPr>
          <w:rFonts w:cs="Arial"/>
          <w:sz w:val="24"/>
          <w:szCs w:val="24"/>
        </w:rPr>
        <w:t xml:space="preserve">  </w:t>
      </w:r>
      <w:r>
        <w:rPr>
          <w:rFonts w:cs="Arial"/>
          <w:sz w:val="24"/>
          <w:szCs w:val="24"/>
        </w:rPr>
        <w:t xml:space="preserve">That subsidy </w:t>
      </w:r>
      <w:r w:rsidR="00DF18F6">
        <w:rPr>
          <w:rFonts w:cs="Arial"/>
          <w:sz w:val="24"/>
          <w:szCs w:val="24"/>
        </w:rPr>
        <w:t xml:space="preserve">is </w:t>
      </w:r>
      <w:r>
        <w:rPr>
          <w:rFonts w:cs="Arial"/>
          <w:sz w:val="24"/>
          <w:szCs w:val="24"/>
        </w:rPr>
        <w:t xml:space="preserve">prohibited, as discussed above.  </w:t>
      </w:r>
    </w:p>
    <w:p w:rsidR="00CE3A4C" w:rsidRDefault="00F76F2C" w:rsidP="00F76F2C">
      <w:pPr>
        <w:spacing w:line="480" w:lineRule="auto"/>
        <w:ind w:firstLine="720"/>
        <w:jc w:val="both"/>
        <w:rPr>
          <w:rFonts w:cs="Arial"/>
          <w:sz w:val="24"/>
          <w:szCs w:val="24"/>
        </w:rPr>
      </w:pPr>
      <w:r>
        <w:rPr>
          <w:rFonts w:cs="Arial"/>
          <w:sz w:val="24"/>
          <w:szCs w:val="24"/>
        </w:rPr>
        <w:t>Further</w:t>
      </w:r>
      <w:r w:rsidR="0040474F">
        <w:rPr>
          <w:rFonts w:cs="Arial"/>
          <w:sz w:val="24"/>
          <w:szCs w:val="24"/>
        </w:rPr>
        <w:t>,</w:t>
      </w:r>
      <w:r>
        <w:rPr>
          <w:rFonts w:cs="Arial"/>
          <w:sz w:val="24"/>
          <w:szCs w:val="24"/>
        </w:rPr>
        <w:t xml:space="preserve"> the result is plainly unreasonable.  </w:t>
      </w:r>
      <w:r w:rsidR="00904B59">
        <w:rPr>
          <w:rFonts w:cs="Arial"/>
          <w:sz w:val="24"/>
          <w:szCs w:val="24"/>
        </w:rPr>
        <w:t>T</w:t>
      </w:r>
      <w:r w:rsidR="00540DEB">
        <w:rPr>
          <w:rFonts w:cs="Arial"/>
          <w:sz w:val="24"/>
          <w:szCs w:val="24"/>
        </w:rPr>
        <w:t xml:space="preserve">he Commission </w:t>
      </w:r>
      <w:r>
        <w:rPr>
          <w:rFonts w:cs="Arial"/>
          <w:sz w:val="24"/>
          <w:szCs w:val="24"/>
        </w:rPr>
        <w:t xml:space="preserve">already has </w:t>
      </w:r>
      <w:r w:rsidR="00540DEB">
        <w:rPr>
          <w:rFonts w:cs="Arial"/>
          <w:sz w:val="24"/>
          <w:szCs w:val="24"/>
        </w:rPr>
        <w:t xml:space="preserve">rejected a similar AEP-Ohio request to saddle the </w:t>
      </w:r>
      <w:r w:rsidR="00CE3A4C">
        <w:rPr>
          <w:rFonts w:cs="Arial"/>
          <w:sz w:val="24"/>
          <w:szCs w:val="24"/>
        </w:rPr>
        <w:t xml:space="preserve">EDU with generation-related debt without recourse to its affiliate.  </w:t>
      </w:r>
      <w:r w:rsidR="00904B59">
        <w:rPr>
          <w:rFonts w:cs="Arial"/>
          <w:sz w:val="24"/>
          <w:szCs w:val="24"/>
        </w:rPr>
        <w:t>As discussed previously</w:t>
      </w:r>
      <w:r w:rsidR="00CE3A4C">
        <w:rPr>
          <w:rFonts w:cs="Arial"/>
          <w:sz w:val="24"/>
          <w:szCs w:val="24"/>
        </w:rPr>
        <w:t xml:space="preserve">, AEP-Ohio was required to hold customers harmless from pollution control revenue bonds that it </w:t>
      </w:r>
      <w:r w:rsidR="00DF18F6">
        <w:rPr>
          <w:rFonts w:cs="Arial"/>
          <w:sz w:val="24"/>
          <w:szCs w:val="24"/>
        </w:rPr>
        <w:t xml:space="preserve">stated it </w:t>
      </w:r>
      <w:r w:rsidR="00CE3A4C">
        <w:rPr>
          <w:rFonts w:cs="Arial"/>
          <w:sz w:val="24"/>
          <w:szCs w:val="24"/>
        </w:rPr>
        <w:t>could not transfer until after corporate separation</w:t>
      </w:r>
      <w:r w:rsidR="00CE3A4C" w:rsidRPr="00CE3A4C">
        <w:rPr>
          <w:rFonts w:cs="Arial"/>
          <w:sz w:val="24"/>
          <w:szCs w:val="24"/>
        </w:rPr>
        <w:t>.</w:t>
      </w:r>
      <w:r w:rsidR="00CE3A4C">
        <w:rPr>
          <w:rStyle w:val="FootnoteReference"/>
          <w:rFonts w:cs="Arial"/>
          <w:sz w:val="24"/>
          <w:szCs w:val="24"/>
        </w:rPr>
        <w:footnoteReference w:id="42"/>
      </w:r>
      <w:r w:rsidR="00904B59">
        <w:rPr>
          <w:rFonts w:cs="Arial"/>
          <w:sz w:val="24"/>
          <w:szCs w:val="24"/>
        </w:rPr>
        <w:t xml:space="preserve"> </w:t>
      </w:r>
      <w:r>
        <w:rPr>
          <w:rFonts w:cs="Arial"/>
          <w:sz w:val="24"/>
          <w:szCs w:val="24"/>
        </w:rPr>
        <w:t xml:space="preserve"> Because it is unreasonable to saddle DP&amp;L’s customers with debt related to assets held by a third party, the Commission should also reject DP&amp;L’s proposal to leave the debt with the EDU.</w:t>
      </w:r>
    </w:p>
    <w:p w:rsidR="00110CBA" w:rsidRDefault="00AD4BC9" w:rsidP="00C17DE4">
      <w:pPr>
        <w:spacing w:line="480" w:lineRule="auto"/>
        <w:ind w:firstLine="720"/>
        <w:jc w:val="both"/>
        <w:rPr>
          <w:rFonts w:cs="Arial"/>
          <w:sz w:val="24"/>
          <w:szCs w:val="24"/>
        </w:rPr>
      </w:pPr>
      <w:r>
        <w:rPr>
          <w:rFonts w:cs="Arial"/>
          <w:sz w:val="24"/>
          <w:szCs w:val="24"/>
        </w:rPr>
        <w:t>Moreover, DP&amp;L</w:t>
      </w:r>
      <w:r w:rsidR="00BB5433">
        <w:rPr>
          <w:rFonts w:cs="Arial"/>
          <w:sz w:val="24"/>
          <w:szCs w:val="24"/>
        </w:rPr>
        <w:t>’s request to obtain relief from its previous commitment that it maintain a capital structure that includes a</w:t>
      </w:r>
      <w:r w:rsidR="00631F61">
        <w:rPr>
          <w:rFonts w:cs="Arial"/>
          <w:sz w:val="24"/>
          <w:szCs w:val="24"/>
        </w:rPr>
        <w:t xml:space="preserve">n </w:t>
      </w:r>
      <w:r w:rsidR="00BB5433">
        <w:rPr>
          <w:rFonts w:cs="Arial"/>
          <w:sz w:val="24"/>
          <w:szCs w:val="24"/>
        </w:rPr>
        <w:t xml:space="preserve">equity ratio of at least 50% is not appropriate </w:t>
      </w:r>
      <w:r w:rsidR="005E48E6">
        <w:rPr>
          <w:rFonts w:cs="Arial"/>
          <w:sz w:val="24"/>
          <w:szCs w:val="24"/>
        </w:rPr>
        <w:t>because</w:t>
      </w:r>
      <w:r w:rsidR="00BB5433">
        <w:rPr>
          <w:rFonts w:cs="Arial"/>
          <w:sz w:val="24"/>
          <w:szCs w:val="24"/>
        </w:rPr>
        <w:t xml:space="preserve"> it violates the </w:t>
      </w:r>
      <w:r w:rsidR="00881881">
        <w:rPr>
          <w:rFonts w:cs="Arial"/>
          <w:sz w:val="24"/>
          <w:szCs w:val="24"/>
        </w:rPr>
        <w:t>S</w:t>
      </w:r>
      <w:r w:rsidR="00BB5433">
        <w:rPr>
          <w:rFonts w:cs="Arial"/>
          <w:sz w:val="24"/>
          <w:szCs w:val="24"/>
        </w:rPr>
        <w:t xml:space="preserve">tipulation and could potentially endanger the investment grade credit rating that </w:t>
      </w:r>
      <w:r w:rsidR="00F76F2C">
        <w:rPr>
          <w:rFonts w:cs="Arial"/>
          <w:sz w:val="24"/>
          <w:szCs w:val="24"/>
        </w:rPr>
        <w:t>DP&amp;L</w:t>
      </w:r>
      <w:r w:rsidR="00BB5433">
        <w:rPr>
          <w:rFonts w:cs="Arial"/>
          <w:sz w:val="24"/>
          <w:szCs w:val="24"/>
        </w:rPr>
        <w:t xml:space="preserve"> committed to maintain.</w:t>
      </w:r>
      <w:r w:rsidR="009E406F">
        <w:rPr>
          <w:rStyle w:val="FootnoteReference"/>
          <w:rFonts w:cs="Arial"/>
          <w:sz w:val="24"/>
          <w:szCs w:val="24"/>
        </w:rPr>
        <w:footnoteReference w:id="43"/>
      </w:r>
      <w:r w:rsidR="00BB5433">
        <w:rPr>
          <w:rFonts w:cs="Arial"/>
          <w:sz w:val="24"/>
          <w:szCs w:val="24"/>
        </w:rPr>
        <w:t>  The provision of the Stipulation requiring an equity ratio of at least 50% helps to safeguard against the merger with AES potentially having a detrimental effect o</w:t>
      </w:r>
      <w:r w:rsidR="00CE3A4C">
        <w:rPr>
          <w:rFonts w:cs="Arial"/>
          <w:sz w:val="24"/>
          <w:szCs w:val="24"/>
        </w:rPr>
        <w:t>n DP&amp;L’s financial condition.  </w:t>
      </w:r>
      <w:r w:rsidR="00F0028C">
        <w:rPr>
          <w:rFonts w:cs="Arial"/>
          <w:sz w:val="24"/>
          <w:szCs w:val="24"/>
        </w:rPr>
        <w:t>By endangering DP&amp;L’s credit rating, the proposed changes expose DP&amp;L to increased debt costs it may try to pass on to its customers.</w:t>
      </w:r>
      <w:r w:rsidR="00F0028C">
        <w:rPr>
          <w:rStyle w:val="FootnoteReference"/>
          <w:rFonts w:cs="Arial"/>
          <w:sz w:val="24"/>
          <w:szCs w:val="24"/>
        </w:rPr>
        <w:footnoteReference w:id="44"/>
      </w:r>
    </w:p>
    <w:p w:rsidR="00EA15F2" w:rsidRPr="00540DEB" w:rsidRDefault="00881881" w:rsidP="00540DEB">
      <w:pPr>
        <w:spacing w:line="480" w:lineRule="auto"/>
        <w:ind w:firstLine="720"/>
        <w:jc w:val="both"/>
        <w:rPr>
          <w:rFonts w:cs="Arial"/>
          <w:sz w:val="24"/>
          <w:szCs w:val="24"/>
        </w:rPr>
      </w:pPr>
      <w:r>
        <w:rPr>
          <w:rFonts w:cs="Arial"/>
          <w:sz w:val="24"/>
          <w:szCs w:val="24"/>
        </w:rPr>
        <w:lastRenderedPageBreak/>
        <w:t xml:space="preserve">The approval of the merger was predicated on certain customer protections regarding the retention of a reasonable equity ratio.  DP&amp;L now seeks to renege on that commitment.  </w:t>
      </w:r>
      <w:r w:rsidR="00A507BB">
        <w:rPr>
          <w:rFonts w:cs="Arial"/>
          <w:sz w:val="24"/>
          <w:szCs w:val="24"/>
        </w:rPr>
        <w:t>The Commission should not authorize</w:t>
      </w:r>
      <w:r>
        <w:rPr>
          <w:rFonts w:cs="Arial"/>
          <w:sz w:val="24"/>
          <w:szCs w:val="24"/>
        </w:rPr>
        <w:t xml:space="preserve"> the highly leveraged pos</w:t>
      </w:r>
      <w:r w:rsidR="00A507BB">
        <w:rPr>
          <w:rFonts w:cs="Arial"/>
          <w:sz w:val="24"/>
          <w:szCs w:val="24"/>
        </w:rPr>
        <w:t>ition that could result from DP&amp;L’s</w:t>
      </w:r>
      <w:r>
        <w:rPr>
          <w:rFonts w:cs="Arial"/>
          <w:sz w:val="24"/>
          <w:szCs w:val="24"/>
        </w:rPr>
        <w:t xml:space="preserve"> proposal.</w:t>
      </w:r>
    </w:p>
    <w:p w:rsidR="00EA15F2" w:rsidRPr="003F170D" w:rsidRDefault="00540DEB" w:rsidP="00EA15F2">
      <w:pPr>
        <w:pStyle w:val="S2Heading3"/>
        <w:rPr>
          <w:sz w:val="24"/>
          <w:szCs w:val="24"/>
        </w:rPr>
      </w:pPr>
      <w:bookmarkStart w:id="37" w:name="_Toc383506933"/>
      <w:bookmarkStart w:id="38" w:name="_Toc383517966"/>
      <w:bookmarkStart w:id="39" w:name="_Toc383524587"/>
      <w:r w:rsidRPr="002C127A">
        <w:rPr>
          <w:sz w:val="24"/>
          <w:szCs w:val="24"/>
        </w:rPr>
        <w:t>The Comm</w:t>
      </w:r>
      <w:r w:rsidR="00110CBA" w:rsidRPr="002C127A">
        <w:rPr>
          <w:sz w:val="24"/>
          <w:szCs w:val="24"/>
        </w:rPr>
        <w:t>i</w:t>
      </w:r>
      <w:r w:rsidRPr="002C127A">
        <w:rPr>
          <w:sz w:val="24"/>
          <w:szCs w:val="24"/>
        </w:rPr>
        <w:t xml:space="preserve">ssion should deny DP&amp;L’s request to waive a </w:t>
      </w:r>
      <w:r w:rsidR="007026EC" w:rsidRPr="002C127A">
        <w:rPr>
          <w:sz w:val="24"/>
          <w:szCs w:val="24"/>
        </w:rPr>
        <w:t>hearing</w:t>
      </w:r>
      <w:bookmarkEnd w:id="37"/>
      <w:bookmarkEnd w:id="38"/>
      <w:bookmarkEnd w:id="39"/>
    </w:p>
    <w:p w:rsidR="00EA15F2" w:rsidRDefault="0011394B" w:rsidP="007D5ED1">
      <w:pPr>
        <w:spacing w:line="480" w:lineRule="auto"/>
        <w:ind w:firstLine="720"/>
        <w:jc w:val="both"/>
        <w:rPr>
          <w:sz w:val="24"/>
          <w:szCs w:val="24"/>
        </w:rPr>
      </w:pPr>
      <w:r>
        <w:rPr>
          <w:sz w:val="24"/>
          <w:szCs w:val="24"/>
        </w:rPr>
        <w:t xml:space="preserve">Rule </w:t>
      </w:r>
      <w:r w:rsidR="007D5ED1" w:rsidRPr="00EA15F2">
        <w:rPr>
          <w:sz w:val="24"/>
          <w:szCs w:val="24"/>
        </w:rPr>
        <w:t>4901:1-37-09(D)</w:t>
      </w:r>
      <w:r>
        <w:rPr>
          <w:sz w:val="24"/>
          <w:szCs w:val="24"/>
        </w:rPr>
        <w:t>, OAC,</w:t>
      </w:r>
      <w:r w:rsidR="007D5ED1" w:rsidRPr="00EA15F2">
        <w:rPr>
          <w:sz w:val="24"/>
          <w:szCs w:val="24"/>
        </w:rPr>
        <w:t xml:space="preserve"> states that when the Commission receives an application seeking approval for the transfer of generation assets, </w:t>
      </w:r>
      <w:r w:rsidR="007D5ED1" w:rsidRPr="0011394B">
        <w:rPr>
          <w:sz w:val="24"/>
          <w:szCs w:val="24"/>
        </w:rPr>
        <w:t>“[</w:t>
      </w:r>
      <w:r w:rsidR="007D5ED1" w:rsidRPr="00A507BB">
        <w:rPr>
          <w:rFonts w:cs="Arial"/>
          <w:color w:val="000000"/>
          <w:sz w:val="24"/>
          <w:szCs w:val="24"/>
          <w:shd w:val="clear" w:color="auto" w:fill="FFFFFF"/>
        </w:rPr>
        <w:t>t]he commission shall fix a time and place for a hearing with respect to any application that proposes to alter the jurisdiction of the commission over a generation asset</w:t>
      </w:r>
      <w:r w:rsidR="007D5ED1" w:rsidRPr="0011394B">
        <w:rPr>
          <w:rFonts w:cs="Arial"/>
          <w:color w:val="000000"/>
          <w:sz w:val="24"/>
          <w:szCs w:val="24"/>
          <w:shd w:val="clear" w:color="auto" w:fill="FFFFFF"/>
        </w:rPr>
        <w:t>”</w:t>
      </w:r>
      <w:r w:rsidR="007D5ED1" w:rsidRPr="00EA15F2">
        <w:rPr>
          <w:sz w:val="24"/>
          <w:szCs w:val="24"/>
        </w:rPr>
        <w:t xml:space="preserve"> </w:t>
      </w:r>
      <w:r w:rsidR="00DF18F6">
        <w:rPr>
          <w:sz w:val="24"/>
          <w:szCs w:val="24"/>
        </w:rPr>
        <w:t xml:space="preserve">and may set a hearing if it determines that the application appears unjust, unreasonable, or not in the public interest. </w:t>
      </w:r>
      <w:r>
        <w:rPr>
          <w:sz w:val="24"/>
          <w:szCs w:val="24"/>
        </w:rPr>
        <w:t xml:space="preserve"> </w:t>
      </w:r>
      <w:r w:rsidR="003D3119">
        <w:rPr>
          <w:sz w:val="24"/>
          <w:szCs w:val="24"/>
        </w:rPr>
        <w:t xml:space="preserve">DP&amp;L requests that the Commission waive </w:t>
      </w:r>
      <w:r>
        <w:rPr>
          <w:sz w:val="24"/>
          <w:szCs w:val="24"/>
        </w:rPr>
        <w:t>the hearing requirement</w:t>
      </w:r>
      <w:r w:rsidR="00EA15F2" w:rsidRPr="00EA15F2">
        <w:rPr>
          <w:sz w:val="24"/>
          <w:szCs w:val="24"/>
        </w:rPr>
        <w:t xml:space="preserve">. </w:t>
      </w:r>
      <w:r w:rsidR="003D3119">
        <w:rPr>
          <w:sz w:val="24"/>
          <w:szCs w:val="24"/>
        </w:rPr>
        <w:t xml:space="preserve"> </w:t>
      </w:r>
      <w:r>
        <w:rPr>
          <w:sz w:val="24"/>
          <w:szCs w:val="24"/>
        </w:rPr>
        <w:t xml:space="preserve">It bases that request on </w:t>
      </w:r>
      <w:r w:rsidR="00EA15F2" w:rsidRPr="00EA15F2">
        <w:rPr>
          <w:sz w:val="24"/>
          <w:szCs w:val="24"/>
        </w:rPr>
        <w:t xml:space="preserve">the Commission’s decision </w:t>
      </w:r>
      <w:r w:rsidR="00185E21">
        <w:rPr>
          <w:sz w:val="24"/>
          <w:szCs w:val="24"/>
        </w:rPr>
        <w:t>not to</w:t>
      </w:r>
      <w:r w:rsidR="00EA15F2" w:rsidRPr="00EA15F2">
        <w:rPr>
          <w:sz w:val="24"/>
          <w:szCs w:val="24"/>
        </w:rPr>
        <w:t xml:space="preserve"> conduct an evidentiary hearing when it considered recent generation asset transfers by AEP-Ohio and Duke.</w:t>
      </w:r>
      <w:r w:rsidR="00EA15F2" w:rsidRPr="00EA15F2">
        <w:rPr>
          <w:sz w:val="24"/>
          <w:szCs w:val="24"/>
          <w:vertAlign w:val="superscript"/>
        </w:rPr>
        <w:footnoteReference w:id="45"/>
      </w:r>
      <w:r w:rsidR="00EA15F2" w:rsidRPr="00EA15F2">
        <w:rPr>
          <w:sz w:val="24"/>
          <w:szCs w:val="24"/>
        </w:rPr>
        <w:t xml:space="preserve">  DP&amp;L’s arguments that no evidentiary hearing is necessary fail on factual and legal grounds.</w:t>
      </w:r>
    </w:p>
    <w:p w:rsidR="00EA15F2" w:rsidRPr="00EA15F2" w:rsidRDefault="003D3119" w:rsidP="003D3119">
      <w:pPr>
        <w:spacing w:line="480" w:lineRule="auto"/>
        <w:ind w:firstLine="720"/>
        <w:jc w:val="both"/>
        <w:rPr>
          <w:sz w:val="24"/>
          <w:szCs w:val="24"/>
        </w:rPr>
      </w:pPr>
      <w:r>
        <w:rPr>
          <w:rFonts w:cs="Arial"/>
          <w:sz w:val="24"/>
          <w:szCs w:val="24"/>
        </w:rPr>
        <w:t>The Commission</w:t>
      </w:r>
      <w:r w:rsidRPr="00C120A6">
        <w:rPr>
          <w:rFonts w:eastAsia="Times New Roman" w:cs="Arial"/>
          <w:sz w:val="24"/>
          <w:szCs w:val="24"/>
        </w:rPr>
        <w:t xml:space="preserve"> </w:t>
      </w:r>
      <w:r>
        <w:rPr>
          <w:rFonts w:eastAsia="Times New Roman" w:cs="Arial"/>
          <w:sz w:val="24"/>
          <w:szCs w:val="24"/>
        </w:rPr>
        <w:t xml:space="preserve">has </w:t>
      </w:r>
      <w:r w:rsidRPr="00C120A6">
        <w:rPr>
          <w:rFonts w:eastAsia="Times New Roman" w:cs="Arial"/>
          <w:sz w:val="24"/>
          <w:szCs w:val="24"/>
        </w:rPr>
        <w:t xml:space="preserve">evaluated </w:t>
      </w:r>
      <w:r>
        <w:rPr>
          <w:rFonts w:eastAsia="Times New Roman" w:cs="Arial"/>
          <w:sz w:val="24"/>
          <w:szCs w:val="24"/>
        </w:rPr>
        <w:t xml:space="preserve">waiver requests </w:t>
      </w:r>
      <w:r w:rsidRPr="00C120A6">
        <w:rPr>
          <w:rFonts w:eastAsia="Times New Roman" w:cs="Arial"/>
          <w:sz w:val="24"/>
          <w:szCs w:val="24"/>
        </w:rPr>
        <w:t>on a case-by-case basis.</w:t>
      </w:r>
      <w:r>
        <w:rPr>
          <w:rStyle w:val="FootnoteReference"/>
          <w:rFonts w:cs="Arial"/>
          <w:sz w:val="24"/>
          <w:szCs w:val="24"/>
        </w:rPr>
        <w:footnoteReference w:id="46"/>
      </w:r>
      <w:r>
        <w:rPr>
          <w:rFonts w:eastAsia="Times New Roman" w:cs="Arial"/>
          <w:sz w:val="24"/>
          <w:szCs w:val="24"/>
        </w:rPr>
        <w:t xml:space="preserve">  Thus, a determination of good cause turns upon the facts of each case.</w:t>
      </w:r>
      <w:r>
        <w:rPr>
          <w:sz w:val="24"/>
          <w:szCs w:val="24"/>
        </w:rPr>
        <w:t xml:space="preserve">  </w:t>
      </w:r>
      <w:r w:rsidR="0011394B" w:rsidRPr="00F70A10">
        <w:rPr>
          <w:sz w:val="24"/>
          <w:szCs w:val="24"/>
        </w:rPr>
        <w:t xml:space="preserve">As </w:t>
      </w:r>
      <w:r w:rsidR="0011394B">
        <w:rPr>
          <w:sz w:val="24"/>
          <w:szCs w:val="24"/>
        </w:rPr>
        <w:t>demonstrated in these comments,</w:t>
      </w:r>
      <w:r w:rsidR="0011394B" w:rsidRPr="00F70A10">
        <w:rPr>
          <w:sz w:val="24"/>
          <w:szCs w:val="24"/>
        </w:rPr>
        <w:t xml:space="preserve"> DP&amp;L’s Application</w:t>
      </w:r>
      <w:r w:rsidR="00DF18F6">
        <w:rPr>
          <w:sz w:val="24"/>
          <w:szCs w:val="24"/>
        </w:rPr>
        <w:t xml:space="preserve"> is incomplete and</w:t>
      </w:r>
      <w:r w:rsidR="0011394B" w:rsidRPr="00F70A10">
        <w:rPr>
          <w:sz w:val="24"/>
          <w:szCs w:val="24"/>
        </w:rPr>
        <w:t xml:space="preserve">, if approved as </w:t>
      </w:r>
      <w:r w:rsidR="0011394B" w:rsidRPr="00F70A10">
        <w:rPr>
          <w:sz w:val="24"/>
          <w:szCs w:val="24"/>
        </w:rPr>
        <w:lastRenderedPageBreak/>
        <w:t xml:space="preserve">proposed, would likely cripple the financial health of the </w:t>
      </w:r>
      <w:r w:rsidR="0011394B">
        <w:rPr>
          <w:sz w:val="24"/>
          <w:szCs w:val="24"/>
        </w:rPr>
        <w:t>EDU</w:t>
      </w:r>
      <w:r w:rsidR="0011394B" w:rsidRPr="00F70A10">
        <w:rPr>
          <w:sz w:val="24"/>
          <w:szCs w:val="24"/>
        </w:rPr>
        <w:t xml:space="preserve"> by saddling it with legacy generation</w:t>
      </w:r>
      <w:r w:rsidR="00A507BB">
        <w:rPr>
          <w:sz w:val="24"/>
          <w:szCs w:val="24"/>
        </w:rPr>
        <w:t>-</w:t>
      </w:r>
      <w:r w:rsidR="0011394B" w:rsidRPr="00F70A10">
        <w:rPr>
          <w:sz w:val="24"/>
          <w:szCs w:val="24"/>
        </w:rPr>
        <w:t>related debt and environmental liabilities</w:t>
      </w:r>
      <w:r w:rsidR="00A507BB">
        <w:rPr>
          <w:sz w:val="24"/>
          <w:szCs w:val="24"/>
        </w:rPr>
        <w:t xml:space="preserve">.  </w:t>
      </w:r>
      <w:r w:rsidR="00DF18F6">
        <w:rPr>
          <w:sz w:val="24"/>
          <w:szCs w:val="24"/>
        </w:rPr>
        <w:t>Thus, the Commission should req</w:t>
      </w:r>
      <w:r w:rsidR="0011394B">
        <w:rPr>
          <w:sz w:val="24"/>
          <w:szCs w:val="24"/>
        </w:rPr>
        <w:t xml:space="preserve">uire </w:t>
      </w:r>
      <w:r w:rsidR="00EA15F2" w:rsidRPr="00EA15F2">
        <w:rPr>
          <w:sz w:val="24"/>
          <w:szCs w:val="24"/>
        </w:rPr>
        <w:t xml:space="preserve">an evidentiary hearing </w:t>
      </w:r>
      <w:r w:rsidR="0011394B" w:rsidRPr="00671C33">
        <w:rPr>
          <w:rFonts w:cs="Arial"/>
          <w:sz w:val="24"/>
          <w:szCs w:val="24"/>
        </w:rPr>
        <w:t>beca</w:t>
      </w:r>
      <w:r w:rsidR="00A507BB">
        <w:rPr>
          <w:rFonts w:cs="Arial"/>
          <w:sz w:val="24"/>
          <w:szCs w:val="24"/>
        </w:rPr>
        <w:t>u</w:t>
      </w:r>
      <w:r w:rsidR="0011394B" w:rsidRPr="00A507BB">
        <w:rPr>
          <w:rFonts w:cs="Arial"/>
          <w:sz w:val="24"/>
          <w:szCs w:val="24"/>
        </w:rPr>
        <w:t>se</w:t>
      </w:r>
      <w:r w:rsidR="0011394B" w:rsidRPr="0011394B">
        <w:rPr>
          <w:rFonts w:cs="Arial"/>
          <w:sz w:val="24"/>
          <w:szCs w:val="24"/>
        </w:rPr>
        <w:t xml:space="preserve"> the </w:t>
      </w:r>
      <w:r w:rsidR="0011394B">
        <w:rPr>
          <w:rFonts w:cs="Arial"/>
          <w:sz w:val="24"/>
          <w:szCs w:val="24"/>
        </w:rPr>
        <w:t>A</w:t>
      </w:r>
      <w:r w:rsidR="0011394B" w:rsidRPr="00A507BB">
        <w:rPr>
          <w:rFonts w:cs="Arial"/>
          <w:sz w:val="24"/>
          <w:szCs w:val="24"/>
        </w:rPr>
        <w:t xml:space="preserve">pplication appears to be unjust, unreasonable, </w:t>
      </w:r>
      <w:r w:rsidR="0011394B">
        <w:rPr>
          <w:rFonts w:cs="Arial"/>
          <w:sz w:val="24"/>
          <w:szCs w:val="24"/>
        </w:rPr>
        <w:t>and</w:t>
      </w:r>
      <w:r w:rsidR="0011394B" w:rsidRPr="00A507BB">
        <w:rPr>
          <w:rFonts w:cs="Arial"/>
          <w:sz w:val="24"/>
          <w:szCs w:val="24"/>
        </w:rPr>
        <w:t xml:space="preserve"> not in the public interest</w:t>
      </w:r>
      <w:r w:rsidR="00EA15F2" w:rsidRPr="00EA15F2">
        <w:rPr>
          <w:sz w:val="24"/>
          <w:szCs w:val="24"/>
        </w:rPr>
        <w:t>.</w:t>
      </w:r>
    </w:p>
    <w:p w:rsidR="00EA15F2" w:rsidRPr="00EA15F2" w:rsidRDefault="0011394B" w:rsidP="00EA15F2">
      <w:pPr>
        <w:spacing w:line="480" w:lineRule="auto"/>
        <w:ind w:firstLine="720"/>
        <w:jc w:val="both"/>
        <w:rPr>
          <w:sz w:val="24"/>
          <w:szCs w:val="24"/>
        </w:rPr>
      </w:pPr>
      <w:r>
        <w:rPr>
          <w:sz w:val="24"/>
          <w:szCs w:val="24"/>
        </w:rPr>
        <w:t>Furthe</w:t>
      </w:r>
      <w:r w:rsidR="00A507BB">
        <w:rPr>
          <w:sz w:val="24"/>
          <w:szCs w:val="24"/>
        </w:rPr>
        <w:t>r</w:t>
      </w:r>
      <w:r>
        <w:rPr>
          <w:sz w:val="24"/>
          <w:szCs w:val="24"/>
        </w:rPr>
        <w:t xml:space="preserve">, the Duke and AEP-Ohio decisions </w:t>
      </w:r>
      <w:r w:rsidR="00023404">
        <w:rPr>
          <w:sz w:val="24"/>
          <w:szCs w:val="24"/>
        </w:rPr>
        <w:t>do not provide a ground for waiving a hearing</w:t>
      </w:r>
      <w:r>
        <w:rPr>
          <w:sz w:val="24"/>
          <w:szCs w:val="24"/>
        </w:rPr>
        <w:t xml:space="preserve">.  </w:t>
      </w:r>
      <w:r w:rsidR="00EA15F2" w:rsidRPr="00EA15F2">
        <w:rPr>
          <w:sz w:val="24"/>
          <w:szCs w:val="24"/>
        </w:rPr>
        <w:t>In the Duke case</w:t>
      </w:r>
      <w:r>
        <w:rPr>
          <w:sz w:val="24"/>
          <w:szCs w:val="24"/>
        </w:rPr>
        <w:t>,</w:t>
      </w:r>
      <w:r w:rsidR="009E406F">
        <w:rPr>
          <w:rStyle w:val="FootnoteReference"/>
          <w:sz w:val="24"/>
          <w:szCs w:val="24"/>
        </w:rPr>
        <w:footnoteReference w:id="47"/>
      </w:r>
      <w:r w:rsidR="00EA15F2" w:rsidRPr="00EA15F2">
        <w:rPr>
          <w:sz w:val="24"/>
          <w:szCs w:val="24"/>
        </w:rPr>
        <w:t xml:space="preserve"> </w:t>
      </w:r>
      <w:r w:rsidR="00A507BB">
        <w:rPr>
          <w:sz w:val="24"/>
          <w:szCs w:val="24"/>
        </w:rPr>
        <w:t>Duke received</w:t>
      </w:r>
      <w:r>
        <w:rPr>
          <w:sz w:val="24"/>
          <w:szCs w:val="24"/>
        </w:rPr>
        <w:t xml:space="preserve"> </w:t>
      </w:r>
      <w:r w:rsidR="00EA15F2" w:rsidRPr="00EA15F2">
        <w:rPr>
          <w:sz w:val="24"/>
          <w:szCs w:val="24"/>
        </w:rPr>
        <w:t>approval of the generation asset transfer as part of a comprehensive stipulation and recommendation to resolve Duke</w:t>
      </w:r>
      <w:r w:rsidR="007026EC">
        <w:rPr>
          <w:sz w:val="24"/>
          <w:szCs w:val="24"/>
        </w:rPr>
        <w:t>’s</w:t>
      </w:r>
      <w:r w:rsidR="00EA15F2" w:rsidRPr="00EA15F2">
        <w:rPr>
          <w:sz w:val="24"/>
          <w:szCs w:val="24"/>
        </w:rPr>
        <w:t xml:space="preserve"> proposed </w:t>
      </w:r>
      <w:r w:rsidR="007026EC">
        <w:rPr>
          <w:sz w:val="24"/>
          <w:szCs w:val="24"/>
        </w:rPr>
        <w:t>ESP</w:t>
      </w:r>
      <w:r w:rsidR="00EA15F2" w:rsidRPr="00EA15F2">
        <w:rPr>
          <w:sz w:val="24"/>
          <w:szCs w:val="24"/>
        </w:rPr>
        <w:t xml:space="preserve"> application.  That stipulation contained a number of conditions associated with approval of the generation asset transfer</w:t>
      </w:r>
      <w:r w:rsidR="009E406F">
        <w:rPr>
          <w:sz w:val="24"/>
          <w:szCs w:val="24"/>
        </w:rPr>
        <w:t xml:space="preserve"> that are not present in DP&amp;L’s Application</w:t>
      </w:r>
      <w:r>
        <w:rPr>
          <w:sz w:val="24"/>
          <w:szCs w:val="24"/>
        </w:rPr>
        <w:t>.  For example, one section provided:</w:t>
      </w:r>
    </w:p>
    <w:p w:rsidR="00EA15F2" w:rsidRPr="00EA15F2" w:rsidRDefault="00EA15F2" w:rsidP="00EA15F2">
      <w:pPr>
        <w:spacing w:line="480" w:lineRule="auto"/>
        <w:ind w:left="720" w:right="720"/>
        <w:jc w:val="both"/>
        <w:rPr>
          <w:sz w:val="24"/>
          <w:szCs w:val="24"/>
        </w:rPr>
      </w:pPr>
      <w:r w:rsidRPr="00EA15F2">
        <w:rPr>
          <w:sz w:val="24"/>
          <w:szCs w:val="24"/>
        </w:rPr>
        <w:t xml:space="preserve">(8) Generating Assets </w:t>
      </w:r>
    </w:p>
    <w:p w:rsidR="00EA15F2" w:rsidRPr="00EA15F2" w:rsidRDefault="00EA15F2" w:rsidP="00FE58D4">
      <w:pPr>
        <w:ind w:left="1440" w:right="720"/>
        <w:jc w:val="both"/>
        <w:rPr>
          <w:sz w:val="24"/>
          <w:szCs w:val="24"/>
        </w:rPr>
      </w:pPr>
      <w:r w:rsidRPr="00EA15F2">
        <w:rPr>
          <w:sz w:val="24"/>
          <w:szCs w:val="24"/>
        </w:rPr>
        <w:t xml:space="preserve">(a) Duke will transfer title, at net book value, to all of its generation assets out of Duke. Such transfer shall occur on or before December 31, 2014, and Duke commits to using its best commercial efforts to complete the transfer as soon as practicable upon its acceptance of a Commission order approving the stipulation and upon receipt of necessary regulatory approvals. Staff, or an independent auditor, at the Commission's discretion and with costs thereof to be recovered through Rider SCR, shall audit the terms and conditions of the transfer of the generation assets to ensure compliance with the stipulation and shall also audit Duke's compliance with Section 4928.17, Revised Code, and Rule 4901:1-37, </w:t>
      </w:r>
      <w:r w:rsidR="008C4B96">
        <w:rPr>
          <w:sz w:val="24"/>
          <w:szCs w:val="24"/>
        </w:rPr>
        <w:t>O</w:t>
      </w:r>
      <w:r w:rsidRPr="00EA15F2">
        <w:rPr>
          <w:sz w:val="24"/>
          <w:szCs w:val="24"/>
        </w:rPr>
        <w:t>.A.C., to ensure that no subsidiary or affiliate of Duke that owns competitive generation assets has any competitive advantage due to its affiliation with Duke. The parties support Duke's request for a waiver of the Commission's rule requirements, as set forth in Rule 4901:l-37-09(B) through (D), O.A.C</w:t>
      </w:r>
      <w:r w:rsidR="008C4B96">
        <w:rPr>
          <w:sz w:val="24"/>
          <w:szCs w:val="24"/>
        </w:rPr>
        <w:t>.</w:t>
      </w:r>
      <w:r w:rsidRPr="00EA15F2">
        <w:rPr>
          <w:sz w:val="24"/>
          <w:szCs w:val="24"/>
        </w:rPr>
        <w:t xml:space="preserve">, relating to the sale or transfer of generating assets. </w:t>
      </w:r>
      <w:r w:rsidRPr="00EA15F2">
        <w:rPr>
          <w:b/>
          <w:sz w:val="24"/>
          <w:szCs w:val="24"/>
        </w:rPr>
        <w:t>Approval of the stipulation shall constitute the Commission's consent required by paragraphs (A) and (E) of that rule, and that no hearing is required under paragraphs (D) and (E) of that rule.</w:t>
      </w:r>
      <w:r w:rsidRPr="00EA15F2">
        <w:rPr>
          <w:sz w:val="24"/>
          <w:szCs w:val="24"/>
        </w:rPr>
        <w:t xml:space="preserve"> Staff shall be </w:t>
      </w:r>
      <w:r w:rsidRPr="00EA15F2">
        <w:rPr>
          <w:sz w:val="24"/>
          <w:szCs w:val="24"/>
        </w:rPr>
        <w:lastRenderedPageBreak/>
        <w:t xml:space="preserve">provided with access to books and records in compliance with paragraph (F) of that rule. </w:t>
      </w:r>
    </w:p>
    <w:p w:rsidR="00EA15F2" w:rsidRPr="00EA15F2" w:rsidRDefault="00EA15F2" w:rsidP="00EA15F2">
      <w:pPr>
        <w:ind w:left="1440" w:right="720"/>
        <w:jc w:val="both"/>
        <w:rPr>
          <w:sz w:val="24"/>
          <w:szCs w:val="24"/>
        </w:rPr>
      </w:pPr>
      <w:r w:rsidRPr="00EA15F2">
        <w:rPr>
          <w:sz w:val="24"/>
          <w:szCs w:val="24"/>
        </w:rPr>
        <w:t xml:space="preserve">(b) Approval of this stipulation will serve as the Commission's approval of full legal corporate separation, as contemplated by Section 4928.17(A), Revised Code, such that the transmission and distribution assets of Duke will continue to be held by the distribution utility and all of Duke's generation assets shall be transferred to an affiliate. Full legal corporate separation will be implemented as soon as reasonably possible after necessary regulatory approvals are obtained. </w:t>
      </w:r>
      <w:r w:rsidRPr="00EA15F2">
        <w:rPr>
          <w:b/>
          <w:sz w:val="24"/>
          <w:szCs w:val="24"/>
        </w:rPr>
        <w:t>Following the transfer of the generation assets, Duke shall not, without prior Commission approval, provide or loan funds to, provide any parental guarantee or other security for any financing for, and/or assume any liability or responsibility for any obligation of subsidiaries or affiliates that own generating assets</w:t>
      </w:r>
      <w:r w:rsidRPr="00EA15F2">
        <w:rPr>
          <w:sz w:val="24"/>
          <w:szCs w:val="24"/>
        </w:rPr>
        <w:t xml:space="preserve">; provided, however, that contractual obligations arising before the signing of the stipulation shall be permitted, but only to the extent that assuming or transferring such obligations is prohibited by the terms of the contract or it is commercially infeasible for Duke to transfer such obligation to its subsidiary or affiliate, </w:t>
      </w:r>
      <w:r w:rsidRPr="00EA15F2">
        <w:rPr>
          <w:b/>
          <w:sz w:val="24"/>
          <w:szCs w:val="24"/>
        </w:rPr>
        <w:t xml:space="preserve">and provided further that, on and after the signing of this stipulation, Duke shall ensure that all new contractual obligations have a successor-in-interest clause that transfers all Duke responsibilities and obligations under such contracts and relieves Duke from any performance or liability under the contracts upon the transfer of the generation assets to its subsidiaries. </w:t>
      </w:r>
      <w:r w:rsidRPr="00EA15F2">
        <w:rPr>
          <w:sz w:val="24"/>
          <w:szCs w:val="24"/>
        </w:rPr>
        <w:t xml:space="preserve">This does not restrict Duke's ability to receive and pass through to the subsidiary(ies) that own the generation assets equity contributions from its parent that are in support of the generation assets, nor does it restrict Duke's ability to receive dividends from the subsidiary(ies) that own the generation assets and pass through such dividend(s) to its parent. </w:t>
      </w:r>
      <w:r w:rsidRPr="00EA15F2">
        <w:rPr>
          <w:b/>
          <w:sz w:val="24"/>
          <w:szCs w:val="24"/>
        </w:rPr>
        <w:t xml:space="preserve">Generation-related costs associated with implementing corporate separation shall not be recoverable from customers. </w:t>
      </w:r>
      <w:r w:rsidRPr="00EA15F2">
        <w:rPr>
          <w:sz w:val="24"/>
          <w:szCs w:val="24"/>
        </w:rPr>
        <w:t>Any subsidiary of Duke to which generation assets are transferred shall not use or rely upon the rating(s) from credit rating agency(ies) for Duke if such subsidiary currently does not maintain separate rating(s) from the credit rating agency(ies), then upon transfer of any of the generation assets, it shall either seek to establish such rating(s) or shall tie its credit rating to DEC as soon as practicable, but no later than six months following such transfer.</w:t>
      </w:r>
      <w:r w:rsidR="009E406F">
        <w:rPr>
          <w:rStyle w:val="FootnoteReference"/>
          <w:sz w:val="24"/>
          <w:szCs w:val="24"/>
        </w:rPr>
        <w:footnoteReference w:id="48"/>
      </w:r>
      <w:r w:rsidRPr="00EA15F2">
        <w:rPr>
          <w:sz w:val="24"/>
          <w:szCs w:val="24"/>
        </w:rPr>
        <w:t xml:space="preserve"> </w:t>
      </w:r>
      <w:r w:rsidRPr="00EA15F2">
        <w:rPr>
          <w:sz w:val="24"/>
          <w:szCs w:val="24"/>
        </w:rPr>
        <w:cr/>
      </w:r>
    </w:p>
    <w:p w:rsidR="00EA15F2" w:rsidRPr="00EA15F2" w:rsidRDefault="00EA15F2" w:rsidP="008C3EB7">
      <w:pPr>
        <w:spacing w:line="480" w:lineRule="auto"/>
        <w:jc w:val="both"/>
        <w:rPr>
          <w:sz w:val="24"/>
          <w:szCs w:val="24"/>
        </w:rPr>
      </w:pPr>
      <w:r w:rsidRPr="00EA15F2">
        <w:rPr>
          <w:sz w:val="24"/>
          <w:szCs w:val="24"/>
        </w:rPr>
        <w:lastRenderedPageBreak/>
        <w:t>Thus, unlike the p</w:t>
      </w:r>
      <w:r w:rsidR="009E406F">
        <w:rPr>
          <w:sz w:val="24"/>
          <w:szCs w:val="24"/>
        </w:rPr>
        <w:t xml:space="preserve">resent case, the </w:t>
      </w:r>
      <w:r w:rsidR="009E406F">
        <w:rPr>
          <w:i/>
          <w:sz w:val="24"/>
          <w:szCs w:val="24"/>
        </w:rPr>
        <w:t>Duke ESP Case</w:t>
      </w:r>
      <w:r w:rsidRPr="00EA15F2">
        <w:rPr>
          <w:sz w:val="24"/>
          <w:szCs w:val="24"/>
        </w:rPr>
        <w:t xml:space="preserve"> addressed not just the </w:t>
      </w:r>
      <w:r w:rsidR="009E406F">
        <w:rPr>
          <w:sz w:val="24"/>
          <w:szCs w:val="24"/>
        </w:rPr>
        <w:t xml:space="preserve">SSO </w:t>
      </w:r>
      <w:r w:rsidRPr="00EA15F2">
        <w:rPr>
          <w:sz w:val="24"/>
          <w:szCs w:val="24"/>
        </w:rPr>
        <w:t xml:space="preserve">but included (as part of a comprehensive stipulation and recommendation) the resolution of issues regarding </w:t>
      </w:r>
      <w:r w:rsidR="008C3EB7">
        <w:rPr>
          <w:sz w:val="24"/>
          <w:szCs w:val="24"/>
        </w:rPr>
        <w:t xml:space="preserve">the transfer of </w:t>
      </w:r>
      <w:r w:rsidRPr="00EA15F2">
        <w:rPr>
          <w:sz w:val="24"/>
          <w:szCs w:val="24"/>
        </w:rPr>
        <w:t>generation asset</w:t>
      </w:r>
      <w:r w:rsidR="008C3EB7">
        <w:rPr>
          <w:sz w:val="24"/>
          <w:szCs w:val="24"/>
        </w:rPr>
        <w:t>s</w:t>
      </w:r>
      <w:r w:rsidRPr="00EA15F2">
        <w:rPr>
          <w:sz w:val="24"/>
          <w:szCs w:val="24"/>
        </w:rPr>
        <w:t xml:space="preserve">. </w:t>
      </w:r>
      <w:r w:rsidR="009E406F">
        <w:rPr>
          <w:sz w:val="24"/>
          <w:szCs w:val="24"/>
        </w:rPr>
        <w:t xml:space="preserve"> </w:t>
      </w:r>
      <w:r w:rsidRPr="00EA15F2">
        <w:rPr>
          <w:sz w:val="24"/>
          <w:szCs w:val="24"/>
        </w:rPr>
        <w:t>The Commission approval of the asset transfer (by accepting the stipulation and recommendation) specifically constituted a finding that the public interes</w:t>
      </w:r>
      <w:r w:rsidR="009E406F">
        <w:rPr>
          <w:sz w:val="24"/>
          <w:szCs w:val="24"/>
        </w:rPr>
        <w:t xml:space="preserve">t demonstration required by Rule </w:t>
      </w:r>
      <w:r w:rsidRPr="00EA15F2">
        <w:rPr>
          <w:sz w:val="24"/>
          <w:szCs w:val="24"/>
        </w:rPr>
        <w:t>4901:1</w:t>
      </w:r>
      <w:r w:rsidR="009E406F">
        <w:rPr>
          <w:sz w:val="24"/>
          <w:szCs w:val="24"/>
        </w:rPr>
        <w:t>-37-09(E), O</w:t>
      </w:r>
      <w:r w:rsidR="008C4B96">
        <w:rPr>
          <w:sz w:val="24"/>
          <w:szCs w:val="24"/>
        </w:rPr>
        <w:t>.</w:t>
      </w:r>
      <w:r w:rsidR="009E406F">
        <w:rPr>
          <w:sz w:val="24"/>
          <w:szCs w:val="24"/>
        </w:rPr>
        <w:t>A</w:t>
      </w:r>
      <w:r w:rsidR="008C4B96">
        <w:rPr>
          <w:sz w:val="24"/>
          <w:szCs w:val="24"/>
        </w:rPr>
        <w:t>.</w:t>
      </w:r>
      <w:r w:rsidR="009E406F">
        <w:rPr>
          <w:sz w:val="24"/>
          <w:szCs w:val="24"/>
        </w:rPr>
        <w:t>C</w:t>
      </w:r>
      <w:r w:rsidR="008C4B96">
        <w:rPr>
          <w:sz w:val="24"/>
          <w:szCs w:val="24"/>
        </w:rPr>
        <w:t>.</w:t>
      </w:r>
      <w:r w:rsidR="001D76F5">
        <w:rPr>
          <w:sz w:val="24"/>
          <w:szCs w:val="24"/>
        </w:rPr>
        <w:t>,</w:t>
      </w:r>
      <w:r w:rsidR="009E406F">
        <w:rPr>
          <w:sz w:val="24"/>
          <w:szCs w:val="24"/>
        </w:rPr>
        <w:t xml:space="preserve"> had been met,</w:t>
      </w:r>
      <w:r w:rsidRPr="00EA15F2">
        <w:rPr>
          <w:sz w:val="24"/>
          <w:szCs w:val="24"/>
        </w:rPr>
        <w:t xml:space="preserve"> and that no hearing was necessary.</w:t>
      </w:r>
      <w:r w:rsidRPr="00EA15F2">
        <w:rPr>
          <w:sz w:val="24"/>
          <w:szCs w:val="24"/>
          <w:vertAlign w:val="superscript"/>
        </w:rPr>
        <w:footnoteReference w:id="49"/>
      </w:r>
      <w:r w:rsidRPr="00EA15F2">
        <w:rPr>
          <w:sz w:val="24"/>
          <w:szCs w:val="24"/>
        </w:rPr>
        <w:t xml:space="preserve">  Duke also agreed (unlike DP&amp;L</w:t>
      </w:r>
      <w:r w:rsidR="005E48E6">
        <w:rPr>
          <w:sz w:val="24"/>
          <w:szCs w:val="24"/>
        </w:rPr>
        <w:t>’</w:t>
      </w:r>
      <w:r w:rsidRPr="00EA15F2">
        <w:rPr>
          <w:sz w:val="24"/>
          <w:szCs w:val="24"/>
        </w:rPr>
        <w:t xml:space="preserve">s </w:t>
      </w:r>
      <w:r w:rsidR="007026EC">
        <w:rPr>
          <w:sz w:val="24"/>
          <w:szCs w:val="24"/>
        </w:rPr>
        <w:t>A</w:t>
      </w:r>
      <w:r w:rsidR="007026EC" w:rsidRPr="00EA15F2">
        <w:rPr>
          <w:sz w:val="24"/>
          <w:szCs w:val="24"/>
        </w:rPr>
        <w:t xml:space="preserve">pplication </w:t>
      </w:r>
      <w:r w:rsidRPr="00EA15F2">
        <w:rPr>
          <w:sz w:val="24"/>
          <w:szCs w:val="24"/>
        </w:rPr>
        <w:t xml:space="preserve">in this proceeding) that any </w:t>
      </w:r>
      <w:r w:rsidR="009F49B1" w:rsidRPr="00EA15F2">
        <w:rPr>
          <w:sz w:val="24"/>
          <w:szCs w:val="24"/>
        </w:rPr>
        <w:t>generation</w:t>
      </w:r>
      <w:r w:rsidR="009F49B1">
        <w:rPr>
          <w:sz w:val="24"/>
          <w:szCs w:val="24"/>
        </w:rPr>
        <w:t>-</w:t>
      </w:r>
      <w:r w:rsidRPr="00EA15F2">
        <w:rPr>
          <w:sz w:val="24"/>
          <w:szCs w:val="24"/>
        </w:rPr>
        <w:t xml:space="preserve">related implementation costs associated with the asset transfer would not be recovered from its </w:t>
      </w:r>
      <w:r w:rsidR="007026EC">
        <w:rPr>
          <w:sz w:val="24"/>
          <w:szCs w:val="24"/>
        </w:rPr>
        <w:t>EDU</w:t>
      </w:r>
      <w:r w:rsidRPr="00EA15F2">
        <w:rPr>
          <w:sz w:val="24"/>
          <w:szCs w:val="24"/>
        </w:rPr>
        <w:t xml:space="preserve"> customers.</w:t>
      </w:r>
    </w:p>
    <w:p w:rsidR="00EA15F2" w:rsidRPr="00EA15F2" w:rsidRDefault="00EA15F2" w:rsidP="00EA15F2">
      <w:pPr>
        <w:spacing w:line="480" w:lineRule="auto"/>
        <w:ind w:firstLine="720"/>
        <w:jc w:val="both"/>
        <w:rPr>
          <w:sz w:val="24"/>
          <w:szCs w:val="24"/>
        </w:rPr>
      </w:pPr>
      <w:r w:rsidRPr="00EA15F2">
        <w:rPr>
          <w:sz w:val="24"/>
          <w:szCs w:val="24"/>
        </w:rPr>
        <w:t xml:space="preserve">Additionally, the stipulation and recommendation adopted by the Commission in </w:t>
      </w:r>
      <w:r w:rsidR="004214AC">
        <w:rPr>
          <w:sz w:val="24"/>
          <w:szCs w:val="24"/>
        </w:rPr>
        <w:t xml:space="preserve">the </w:t>
      </w:r>
      <w:r w:rsidR="004214AC">
        <w:rPr>
          <w:i/>
          <w:sz w:val="24"/>
          <w:szCs w:val="24"/>
        </w:rPr>
        <w:t xml:space="preserve">Duke ESP Case </w:t>
      </w:r>
      <w:r w:rsidRPr="00EA15F2">
        <w:rPr>
          <w:sz w:val="24"/>
          <w:szCs w:val="24"/>
        </w:rPr>
        <w:t>specifically provided that:</w:t>
      </w:r>
    </w:p>
    <w:p w:rsidR="00EA15F2" w:rsidRPr="00EA15F2" w:rsidRDefault="00EA15F2" w:rsidP="00EA15F2">
      <w:pPr>
        <w:ind w:left="720" w:right="720"/>
        <w:jc w:val="both"/>
        <w:rPr>
          <w:sz w:val="24"/>
          <w:szCs w:val="24"/>
        </w:rPr>
      </w:pPr>
      <w:r w:rsidRPr="00EA15F2">
        <w:rPr>
          <w:sz w:val="24"/>
          <w:szCs w:val="24"/>
        </w:rPr>
        <w:t>This Stipulation is submitted for purposes of these proceedings only and neither this Stipulation nor any Commission order considering this Stipulation shall be deemed binding in any other proceeding nor shall this Stipulation or any such Order be offered or relied upon by any Party in any proceedings except as  necessary to enforce the terms of this Stipulation.</w:t>
      </w:r>
      <w:r w:rsidR="004214AC">
        <w:rPr>
          <w:rStyle w:val="FootnoteReference"/>
          <w:sz w:val="24"/>
          <w:szCs w:val="24"/>
        </w:rPr>
        <w:footnoteReference w:id="50"/>
      </w:r>
    </w:p>
    <w:p w:rsidR="00EA15F2" w:rsidRPr="00EA15F2" w:rsidRDefault="00EA15F2" w:rsidP="00EA15F2">
      <w:pPr>
        <w:ind w:left="720" w:right="720"/>
        <w:jc w:val="both"/>
        <w:rPr>
          <w:sz w:val="24"/>
          <w:szCs w:val="24"/>
        </w:rPr>
      </w:pPr>
    </w:p>
    <w:p w:rsidR="00EA15F2" w:rsidRPr="00EA15F2" w:rsidRDefault="00EA15F2" w:rsidP="00EA15F2">
      <w:pPr>
        <w:spacing w:line="480" w:lineRule="auto"/>
        <w:jc w:val="both"/>
        <w:rPr>
          <w:sz w:val="24"/>
          <w:szCs w:val="24"/>
        </w:rPr>
      </w:pPr>
      <w:r w:rsidRPr="00EA15F2">
        <w:rPr>
          <w:sz w:val="24"/>
          <w:szCs w:val="24"/>
        </w:rPr>
        <w:t xml:space="preserve">Thus, DP&amp;L’s reliance upon </w:t>
      </w:r>
      <w:r w:rsidR="004214AC">
        <w:rPr>
          <w:sz w:val="24"/>
          <w:szCs w:val="24"/>
        </w:rPr>
        <w:t xml:space="preserve">the </w:t>
      </w:r>
      <w:r w:rsidR="004214AC">
        <w:rPr>
          <w:i/>
          <w:sz w:val="24"/>
          <w:szCs w:val="24"/>
        </w:rPr>
        <w:t xml:space="preserve">Duke ESP Case </w:t>
      </w:r>
      <w:r w:rsidRPr="00EA15F2">
        <w:rPr>
          <w:sz w:val="24"/>
          <w:szCs w:val="24"/>
        </w:rPr>
        <w:t>to support its request for a waiver of the hearing requirement should carry n</w:t>
      </w:r>
      <w:r w:rsidR="004214AC">
        <w:rPr>
          <w:sz w:val="24"/>
          <w:szCs w:val="24"/>
        </w:rPr>
        <w:t>o weight</w:t>
      </w:r>
      <w:r w:rsidRPr="00EA15F2">
        <w:rPr>
          <w:sz w:val="24"/>
          <w:szCs w:val="24"/>
        </w:rPr>
        <w:t>.</w:t>
      </w:r>
    </w:p>
    <w:p w:rsidR="00EA15F2" w:rsidRPr="00AF03B2" w:rsidRDefault="00EA15F2" w:rsidP="002A6727">
      <w:pPr>
        <w:spacing w:after="240" w:line="480" w:lineRule="auto"/>
        <w:jc w:val="both"/>
        <w:rPr>
          <w:sz w:val="24"/>
          <w:szCs w:val="24"/>
        </w:rPr>
      </w:pPr>
      <w:r w:rsidRPr="00EA15F2">
        <w:rPr>
          <w:sz w:val="24"/>
          <w:szCs w:val="24"/>
        </w:rPr>
        <w:tab/>
        <w:t xml:space="preserve">DP&amp;L fares no better when it relies upon </w:t>
      </w:r>
      <w:r w:rsidR="003D3119">
        <w:rPr>
          <w:i/>
          <w:sz w:val="24"/>
          <w:szCs w:val="24"/>
        </w:rPr>
        <w:t>AEP-Ohio’s Corporate Separation Case</w:t>
      </w:r>
      <w:r w:rsidRPr="00EA15F2">
        <w:rPr>
          <w:sz w:val="24"/>
          <w:szCs w:val="24"/>
        </w:rPr>
        <w:t xml:space="preserve"> to support its request for a waiver.  Although DP&amp;L is correct that the Commission did not hold a hearing </w:t>
      </w:r>
      <w:r w:rsidR="004214AC">
        <w:rPr>
          <w:sz w:val="24"/>
          <w:szCs w:val="24"/>
        </w:rPr>
        <w:t xml:space="preserve">in the </w:t>
      </w:r>
      <w:r w:rsidR="004214AC">
        <w:rPr>
          <w:i/>
          <w:sz w:val="24"/>
          <w:szCs w:val="24"/>
        </w:rPr>
        <w:t>AEP-Ohio Corporate Separation Case</w:t>
      </w:r>
      <w:r w:rsidR="004214AC">
        <w:rPr>
          <w:sz w:val="24"/>
          <w:szCs w:val="24"/>
        </w:rPr>
        <w:t>,</w:t>
      </w:r>
      <w:r w:rsidR="004214AC">
        <w:rPr>
          <w:i/>
          <w:sz w:val="24"/>
          <w:szCs w:val="24"/>
        </w:rPr>
        <w:t xml:space="preserve"> </w:t>
      </w:r>
      <w:r w:rsidRPr="00EA15F2">
        <w:rPr>
          <w:sz w:val="24"/>
          <w:szCs w:val="24"/>
        </w:rPr>
        <w:t xml:space="preserve">it did so only after finding the terms and conditions associated with Ohio Power’s generation asset divestiture had been thoroughly considered in the evidentiary hearing associated with </w:t>
      </w:r>
      <w:r w:rsidRPr="00EA15F2">
        <w:rPr>
          <w:sz w:val="24"/>
          <w:szCs w:val="24"/>
        </w:rPr>
        <w:lastRenderedPageBreak/>
        <w:t>AEP-Ohio’s</w:t>
      </w:r>
      <w:r w:rsidR="004214AC">
        <w:rPr>
          <w:sz w:val="24"/>
          <w:szCs w:val="24"/>
        </w:rPr>
        <w:t xml:space="preserve"> second </w:t>
      </w:r>
      <w:r w:rsidR="007026EC">
        <w:rPr>
          <w:sz w:val="24"/>
          <w:szCs w:val="24"/>
        </w:rPr>
        <w:t>ESP</w:t>
      </w:r>
      <w:r w:rsidR="004214AC">
        <w:rPr>
          <w:sz w:val="24"/>
          <w:szCs w:val="24"/>
        </w:rPr>
        <w:t>.</w:t>
      </w:r>
      <w:r w:rsidRPr="00EA15F2">
        <w:rPr>
          <w:sz w:val="24"/>
          <w:szCs w:val="24"/>
          <w:vertAlign w:val="superscript"/>
        </w:rPr>
        <w:footnoteReference w:id="51"/>
      </w:r>
      <w:r w:rsidR="003D3119">
        <w:rPr>
          <w:sz w:val="24"/>
          <w:szCs w:val="24"/>
        </w:rPr>
        <w:t xml:space="preserve">  In contrast, DP&amp;L had not even filed its Application at the time of its ESP proceeding; thus, the Application could not have been considered in the evidentiary hearing</w:t>
      </w:r>
      <w:r w:rsidRPr="00EA15F2">
        <w:rPr>
          <w:sz w:val="24"/>
          <w:szCs w:val="24"/>
        </w:rPr>
        <w:t>.</w:t>
      </w:r>
      <w:r w:rsidRPr="00EA15F2">
        <w:rPr>
          <w:sz w:val="24"/>
          <w:szCs w:val="24"/>
          <w:vertAlign w:val="superscript"/>
        </w:rPr>
        <w:footnoteReference w:id="52"/>
      </w:r>
      <w:r w:rsidRPr="00EA15F2">
        <w:rPr>
          <w:sz w:val="24"/>
          <w:szCs w:val="24"/>
        </w:rPr>
        <w:t xml:space="preserve"> </w:t>
      </w:r>
      <w:r w:rsidR="003D3119">
        <w:rPr>
          <w:sz w:val="24"/>
          <w:szCs w:val="24"/>
        </w:rPr>
        <w:t xml:space="preserve"> </w:t>
      </w:r>
      <w:r w:rsidRPr="00EA15F2">
        <w:rPr>
          <w:sz w:val="24"/>
          <w:szCs w:val="24"/>
        </w:rPr>
        <w:t>Further, AEP-Ohio’s generation asset transfer was conditioned upon the transfer occurring at net book value,</w:t>
      </w:r>
      <w:r w:rsidRPr="00EA15F2">
        <w:rPr>
          <w:sz w:val="24"/>
          <w:szCs w:val="24"/>
          <w:vertAlign w:val="superscript"/>
        </w:rPr>
        <w:footnoteReference w:id="53"/>
      </w:r>
      <w:r w:rsidRPr="00EA15F2">
        <w:rPr>
          <w:sz w:val="24"/>
          <w:szCs w:val="24"/>
        </w:rPr>
        <w:t xml:space="preserve"> and Ohio Power agreed t</w:t>
      </w:r>
      <w:r w:rsidR="003D3119">
        <w:rPr>
          <w:sz w:val="24"/>
          <w:szCs w:val="24"/>
        </w:rPr>
        <w:t xml:space="preserve">hat with limited exceptions </w:t>
      </w:r>
      <w:r w:rsidRPr="00EA15F2">
        <w:rPr>
          <w:sz w:val="24"/>
          <w:szCs w:val="24"/>
        </w:rPr>
        <w:t xml:space="preserve">all generation assets and </w:t>
      </w:r>
      <w:r w:rsidRPr="007A6D48">
        <w:rPr>
          <w:sz w:val="24"/>
          <w:szCs w:val="24"/>
        </w:rPr>
        <w:t>liabilities</w:t>
      </w:r>
      <w:r w:rsidRPr="00023404">
        <w:rPr>
          <w:sz w:val="24"/>
          <w:szCs w:val="24"/>
        </w:rPr>
        <w:t xml:space="preserve"> </w:t>
      </w:r>
      <w:r w:rsidRPr="00EA15F2">
        <w:rPr>
          <w:sz w:val="24"/>
          <w:szCs w:val="24"/>
        </w:rPr>
        <w:t>would b</w:t>
      </w:r>
      <w:r w:rsidR="003D3119">
        <w:rPr>
          <w:sz w:val="24"/>
          <w:szCs w:val="24"/>
        </w:rPr>
        <w:t>e transferred from AEP-Oh</w:t>
      </w:r>
      <w:r w:rsidR="00C2491B">
        <w:rPr>
          <w:sz w:val="24"/>
          <w:szCs w:val="24"/>
        </w:rPr>
        <w:t>i</w:t>
      </w:r>
      <w:r w:rsidR="003D3119">
        <w:rPr>
          <w:sz w:val="24"/>
          <w:szCs w:val="24"/>
        </w:rPr>
        <w:t>o to its affiliate</w:t>
      </w:r>
      <w:r w:rsidRPr="00EA15F2">
        <w:rPr>
          <w:sz w:val="24"/>
          <w:szCs w:val="24"/>
        </w:rPr>
        <w:t>,</w:t>
      </w:r>
      <w:r w:rsidRPr="00EA15F2">
        <w:rPr>
          <w:sz w:val="24"/>
          <w:szCs w:val="24"/>
          <w:vertAlign w:val="superscript"/>
        </w:rPr>
        <w:footnoteReference w:id="54"/>
      </w:r>
      <w:r w:rsidRPr="00EA15F2">
        <w:rPr>
          <w:sz w:val="24"/>
          <w:szCs w:val="24"/>
        </w:rPr>
        <w:t xml:space="preserve"> facts and circumstances that do not exist in the present proceeding. </w:t>
      </w:r>
      <w:r w:rsidR="003D3119">
        <w:rPr>
          <w:sz w:val="24"/>
          <w:szCs w:val="24"/>
        </w:rPr>
        <w:t xml:space="preserve"> Thus, </w:t>
      </w:r>
      <w:r w:rsidRPr="00EA15F2">
        <w:rPr>
          <w:sz w:val="24"/>
          <w:szCs w:val="24"/>
        </w:rPr>
        <w:t>there is</w:t>
      </w:r>
      <w:r w:rsidR="003D3119">
        <w:rPr>
          <w:sz w:val="24"/>
          <w:szCs w:val="24"/>
        </w:rPr>
        <w:t xml:space="preserve"> nothing substantive </w:t>
      </w:r>
      <w:r w:rsidR="007026EC">
        <w:rPr>
          <w:sz w:val="24"/>
          <w:szCs w:val="24"/>
        </w:rPr>
        <w:t xml:space="preserve">in </w:t>
      </w:r>
      <w:r w:rsidR="003D3119">
        <w:rPr>
          <w:sz w:val="24"/>
          <w:szCs w:val="24"/>
        </w:rPr>
        <w:t xml:space="preserve">the </w:t>
      </w:r>
      <w:r w:rsidR="003D3119">
        <w:rPr>
          <w:i/>
          <w:sz w:val="24"/>
          <w:szCs w:val="24"/>
        </w:rPr>
        <w:t>AEP-Ohio Corporate Separation Case</w:t>
      </w:r>
      <w:r w:rsidR="003D3119">
        <w:rPr>
          <w:sz w:val="24"/>
          <w:szCs w:val="24"/>
        </w:rPr>
        <w:t xml:space="preserve"> that</w:t>
      </w:r>
      <w:r w:rsidRPr="00EA15F2">
        <w:rPr>
          <w:sz w:val="24"/>
          <w:szCs w:val="24"/>
        </w:rPr>
        <w:t xml:space="preserve"> support</w:t>
      </w:r>
      <w:r w:rsidR="003D3119">
        <w:rPr>
          <w:sz w:val="24"/>
          <w:szCs w:val="24"/>
        </w:rPr>
        <w:t>s DP&amp;L’s</w:t>
      </w:r>
      <w:r w:rsidRPr="00EA15F2">
        <w:rPr>
          <w:sz w:val="24"/>
          <w:szCs w:val="24"/>
        </w:rPr>
        <w:t xml:space="preserve"> waiver request. </w:t>
      </w:r>
      <w:r w:rsidR="003D3119">
        <w:rPr>
          <w:sz w:val="24"/>
          <w:szCs w:val="24"/>
        </w:rPr>
        <w:t xml:space="preserve"> </w:t>
      </w:r>
      <w:r w:rsidRPr="00EA15F2">
        <w:rPr>
          <w:sz w:val="24"/>
          <w:szCs w:val="24"/>
        </w:rPr>
        <w:t>DP&amp;L has fallen far short of good cause</w:t>
      </w:r>
      <w:r w:rsidR="001D76F5">
        <w:rPr>
          <w:sz w:val="24"/>
          <w:szCs w:val="24"/>
        </w:rPr>
        <w:t xml:space="preserve"> to grant a waiver of the hearing requirement</w:t>
      </w:r>
      <w:r w:rsidRPr="00EA15F2">
        <w:rPr>
          <w:sz w:val="24"/>
          <w:szCs w:val="24"/>
        </w:rPr>
        <w:t xml:space="preserve">. </w:t>
      </w:r>
      <w:r w:rsidR="00A507BB">
        <w:rPr>
          <w:sz w:val="24"/>
          <w:szCs w:val="24"/>
        </w:rPr>
        <w:t xml:space="preserve"> </w:t>
      </w:r>
      <w:r w:rsidR="00023404">
        <w:rPr>
          <w:sz w:val="24"/>
          <w:szCs w:val="24"/>
        </w:rPr>
        <w:t>Its</w:t>
      </w:r>
      <w:r w:rsidRPr="00EA15F2">
        <w:rPr>
          <w:sz w:val="24"/>
          <w:szCs w:val="24"/>
        </w:rPr>
        <w:t xml:space="preserve"> </w:t>
      </w:r>
      <w:r w:rsidR="00AF03B2">
        <w:rPr>
          <w:sz w:val="24"/>
          <w:szCs w:val="24"/>
        </w:rPr>
        <w:t xml:space="preserve">waiver request must be denied. </w:t>
      </w:r>
    </w:p>
    <w:p w:rsidR="00A66034" w:rsidRPr="002C127A" w:rsidRDefault="00A66034" w:rsidP="002C127A">
      <w:pPr>
        <w:pStyle w:val="S2Heading1"/>
        <w:rPr>
          <w:sz w:val="24"/>
          <w:szCs w:val="24"/>
        </w:rPr>
      </w:pPr>
      <w:bookmarkStart w:id="40" w:name="_Toc383506934"/>
      <w:bookmarkStart w:id="41" w:name="_Toc383517967"/>
      <w:bookmarkStart w:id="42" w:name="_Toc383524588"/>
      <w:r w:rsidRPr="002C127A">
        <w:rPr>
          <w:sz w:val="24"/>
          <w:szCs w:val="24"/>
        </w:rPr>
        <w:t>CONCLUSION</w:t>
      </w:r>
      <w:bookmarkEnd w:id="40"/>
      <w:bookmarkEnd w:id="41"/>
      <w:bookmarkEnd w:id="42"/>
    </w:p>
    <w:p w:rsidR="00A66034" w:rsidRDefault="00A66034" w:rsidP="002A6727">
      <w:pPr>
        <w:tabs>
          <w:tab w:val="left" w:pos="720"/>
          <w:tab w:val="right" w:pos="8640"/>
        </w:tabs>
        <w:spacing w:after="240" w:line="480" w:lineRule="auto"/>
        <w:jc w:val="both"/>
        <w:rPr>
          <w:rFonts w:cs="Arial"/>
          <w:sz w:val="24"/>
          <w:szCs w:val="24"/>
        </w:rPr>
      </w:pPr>
      <w:r>
        <w:rPr>
          <w:rFonts w:cs="Arial"/>
          <w:sz w:val="24"/>
          <w:szCs w:val="24"/>
        </w:rPr>
        <w:tab/>
        <w:t>For the reasons stated herein, IEU-Ohio urges the</w:t>
      </w:r>
      <w:r w:rsidR="00AF03B2">
        <w:rPr>
          <w:rFonts w:cs="Arial"/>
          <w:sz w:val="24"/>
          <w:szCs w:val="24"/>
        </w:rPr>
        <w:t xml:space="preserve"> Commission to </w:t>
      </w:r>
      <w:r w:rsidR="00F142BE">
        <w:rPr>
          <w:rFonts w:cs="Arial"/>
          <w:sz w:val="24"/>
          <w:szCs w:val="24"/>
        </w:rPr>
        <w:t>reject this Application and direct DP&amp;L to file a complete application when it can provide the information required by the Commission’s rules.  To the extent that the Commission does address the authorizations that DP&amp;L has sought</w:t>
      </w:r>
      <w:r w:rsidR="00320B85">
        <w:rPr>
          <w:rFonts w:cs="Arial"/>
          <w:sz w:val="24"/>
          <w:szCs w:val="24"/>
        </w:rPr>
        <w:t>,</w:t>
      </w:r>
      <w:r w:rsidR="00F142BE">
        <w:rPr>
          <w:rFonts w:cs="Arial"/>
          <w:sz w:val="24"/>
          <w:szCs w:val="24"/>
        </w:rPr>
        <w:t xml:space="preserve"> it should </w:t>
      </w:r>
      <w:r w:rsidR="00AF03B2">
        <w:rPr>
          <w:rFonts w:cs="Arial"/>
          <w:sz w:val="24"/>
          <w:szCs w:val="24"/>
        </w:rPr>
        <w:t>reject DP&amp;L’s request</w:t>
      </w:r>
      <w:r w:rsidR="00812732">
        <w:rPr>
          <w:rFonts w:cs="Arial"/>
          <w:sz w:val="24"/>
          <w:szCs w:val="24"/>
        </w:rPr>
        <w:t>s</w:t>
      </w:r>
      <w:r w:rsidR="00AF03B2">
        <w:rPr>
          <w:rFonts w:cs="Arial"/>
          <w:sz w:val="24"/>
          <w:szCs w:val="24"/>
        </w:rPr>
        <w:t xml:space="preserve"> for authority </w:t>
      </w:r>
      <w:r w:rsidR="00812732">
        <w:rPr>
          <w:rFonts w:cs="Arial"/>
          <w:sz w:val="24"/>
          <w:szCs w:val="24"/>
        </w:rPr>
        <w:t>to extend</w:t>
      </w:r>
      <w:r w:rsidR="00320B85">
        <w:rPr>
          <w:rFonts w:cs="Arial"/>
          <w:sz w:val="24"/>
          <w:szCs w:val="24"/>
        </w:rPr>
        <w:t xml:space="preserve"> </w:t>
      </w:r>
      <w:r w:rsidR="00812732">
        <w:rPr>
          <w:rFonts w:cs="Arial"/>
          <w:sz w:val="24"/>
          <w:szCs w:val="24"/>
        </w:rPr>
        <w:t>and introduce</w:t>
      </w:r>
      <w:r w:rsidR="00320B85">
        <w:rPr>
          <w:rFonts w:cs="Arial"/>
          <w:sz w:val="24"/>
          <w:szCs w:val="24"/>
        </w:rPr>
        <w:t xml:space="preserve"> </w:t>
      </w:r>
      <w:r w:rsidR="00AF03B2">
        <w:rPr>
          <w:rFonts w:cs="Arial"/>
          <w:sz w:val="24"/>
          <w:szCs w:val="24"/>
        </w:rPr>
        <w:t>anticompetitive generation-related nonbypassable charges</w:t>
      </w:r>
      <w:r w:rsidR="00F142BE">
        <w:rPr>
          <w:rFonts w:cs="Arial"/>
          <w:sz w:val="24"/>
          <w:szCs w:val="24"/>
        </w:rPr>
        <w:t xml:space="preserve">, </w:t>
      </w:r>
      <w:r w:rsidR="00812732">
        <w:rPr>
          <w:rFonts w:cs="Arial"/>
          <w:sz w:val="24"/>
          <w:szCs w:val="24"/>
        </w:rPr>
        <w:t>for authority to retain</w:t>
      </w:r>
      <w:r w:rsidR="00F142BE">
        <w:rPr>
          <w:rFonts w:cs="Arial"/>
          <w:sz w:val="24"/>
          <w:szCs w:val="24"/>
        </w:rPr>
        <w:t xml:space="preserve"> environmental liability for plants it will not own,</w:t>
      </w:r>
      <w:r w:rsidR="00AF03B2">
        <w:rPr>
          <w:rFonts w:cs="Arial"/>
          <w:sz w:val="24"/>
          <w:szCs w:val="24"/>
        </w:rPr>
        <w:t xml:space="preserve"> and </w:t>
      </w:r>
      <w:r w:rsidR="00812732">
        <w:rPr>
          <w:rFonts w:cs="Arial"/>
          <w:sz w:val="24"/>
          <w:szCs w:val="24"/>
        </w:rPr>
        <w:t xml:space="preserve">for authority to renege on the commitments it made when seeking approval of the merger with AES.  </w:t>
      </w:r>
      <w:r w:rsidR="001D76F5">
        <w:rPr>
          <w:rFonts w:cs="Arial"/>
          <w:sz w:val="24"/>
          <w:szCs w:val="24"/>
        </w:rPr>
        <w:t>Further, it</w:t>
      </w:r>
      <w:r w:rsidR="0027431B">
        <w:rPr>
          <w:rFonts w:cs="Arial"/>
          <w:sz w:val="24"/>
          <w:szCs w:val="24"/>
        </w:rPr>
        <w:t xml:space="preserve"> should suspend the authorization of the SSR if it authorizes DP&amp;L </w:t>
      </w:r>
      <w:r w:rsidR="0027431B">
        <w:rPr>
          <w:rFonts w:cs="Arial"/>
          <w:sz w:val="24"/>
          <w:szCs w:val="24"/>
        </w:rPr>
        <w:lastRenderedPageBreak/>
        <w:t xml:space="preserve">to transfer the assets to a third party.  </w:t>
      </w:r>
      <w:r w:rsidR="00F142BE">
        <w:rPr>
          <w:rFonts w:cs="Arial"/>
          <w:sz w:val="24"/>
          <w:szCs w:val="24"/>
        </w:rPr>
        <w:t>I</w:t>
      </w:r>
      <w:r w:rsidR="006D0351">
        <w:rPr>
          <w:rFonts w:cs="Arial"/>
          <w:sz w:val="24"/>
          <w:szCs w:val="24"/>
        </w:rPr>
        <w:t>f the Commission does not reject DP&amp;L’s Application outright, the Commission should set this matter for hearing</w:t>
      </w:r>
      <w:r w:rsidR="00F142BE">
        <w:rPr>
          <w:rFonts w:cs="Arial"/>
          <w:sz w:val="24"/>
          <w:szCs w:val="24"/>
        </w:rPr>
        <w:t xml:space="preserve"> as required by its rules because the Application seeks to transfer generation assets under terms that are unjust, unreasonable, and not in the public interest</w:t>
      </w:r>
      <w:r w:rsidR="0027431B">
        <w:rPr>
          <w:rFonts w:cs="Arial"/>
          <w:sz w:val="24"/>
          <w:szCs w:val="24"/>
        </w:rPr>
        <w:t>.</w:t>
      </w:r>
    </w:p>
    <w:p w:rsidR="00FE58D4" w:rsidRDefault="00FE58D4" w:rsidP="00FE58D4">
      <w:pPr>
        <w:tabs>
          <w:tab w:val="left" w:pos="720"/>
          <w:tab w:val="left" w:pos="4320"/>
          <w:tab w:val="right" w:pos="8640"/>
        </w:tabs>
        <w:spacing w:after="240" w:line="480" w:lineRule="auto"/>
        <w:jc w:val="both"/>
        <w:rPr>
          <w:rFonts w:cs="Arial"/>
          <w:sz w:val="24"/>
          <w:szCs w:val="24"/>
        </w:rPr>
      </w:pPr>
      <w:r>
        <w:rPr>
          <w:rFonts w:cs="Arial"/>
          <w:sz w:val="24"/>
          <w:szCs w:val="24"/>
        </w:rPr>
        <w:tab/>
      </w:r>
      <w:r>
        <w:rPr>
          <w:rFonts w:cs="Arial"/>
          <w:sz w:val="24"/>
          <w:szCs w:val="24"/>
        </w:rPr>
        <w:tab/>
        <w:t>Respectfully submitted,</w:t>
      </w:r>
    </w:p>
    <w:p w:rsidR="00FE58D4" w:rsidRPr="00FE58D4" w:rsidRDefault="00FE58D4" w:rsidP="00FE58D4">
      <w:pPr>
        <w:tabs>
          <w:tab w:val="left" w:pos="720"/>
          <w:tab w:val="left" w:pos="4320"/>
          <w:tab w:val="right" w:pos="8640"/>
        </w:tabs>
        <w:jc w:val="both"/>
        <w:rPr>
          <w:rFonts w:cs="Arial"/>
          <w:sz w:val="24"/>
          <w:szCs w:val="24"/>
          <w:u w:val="single"/>
        </w:rPr>
      </w:pPr>
      <w:r>
        <w:rPr>
          <w:rFonts w:cs="Arial"/>
          <w:sz w:val="24"/>
          <w:szCs w:val="24"/>
        </w:rPr>
        <w:tab/>
      </w:r>
      <w:r>
        <w:rPr>
          <w:rFonts w:cs="Arial"/>
          <w:sz w:val="24"/>
          <w:szCs w:val="24"/>
        </w:rPr>
        <w:tab/>
      </w:r>
      <w:r w:rsidRPr="00FE58D4">
        <w:rPr>
          <w:rFonts w:cs="Arial"/>
          <w:sz w:val="24"/>
          <w:szCs w:val="24"/>
          <w:u w:val="single"/>
        </w:rPr>
        <w:t>/s/ Frank P. Darr</w:t>
      </w:r>
      <w:r>
        <w:rPr>
          <w:rFonts w:cs="Arial"/>
          <w:sz w:val="24"/>
          <w:szCs w:val="24"/>
          <w:u w:val="single"/>
        </w:rPr>
        <w:tab/>
      </w:r>
      <w:r>
        <w:rPr>
          <w:rFonts w:cs="Arial"/>
          <w:sz w:val="24"/>
          <w:szCs w:val="24"/>
          <w:u w:val="single"/>
        </w:rPr>
        <w:tab/>
      </w:r>
    </w:p>
    <w:p w:rsidR="00FE58D4" w:rsidRDefault="00FE58D4" w:rsidP="00FE58D4">
      <w:pPr>
        <w:tabs>
          <w:tab w:val="left" w:pos="720"/>
          <w:tab w:val="left" w:pos="4320"/>
          <w:tab w:val="right" w:pos="8640"/>
        </w:tabs>
        <w:jc w:val="both"/>
        <w:rPr>
          <w:rFonts w:cs="Arial"/>
          <w:sz w:val="24"/>
          <w:szCs w:val="24"/>
        </w:rPr>
      </w:pPr>
      <w:r>
        <w:rPr>
          <w:rFonts w:cs="Arial"/>
          <w:sz w:val="24"/>
          <w:szCs w:val="24"/>
        </w:rPr>
        <w:tab/>
      </w:r>
      <w:r>
        <w:rPr>
          <w:rFonts w:cs="Arial"/>
          <w:sz w:val="24"/>
          <w:szCs w:val="24"/>
        </w:rPr>
        <w:tab/>
        <w:t>Samuel C. Randazzo (Counsel of Record)</w:t>
      </w:r>
    </w:p>
    <w:p w:rsidR="00BE7C20" w:rsidRPr="00FA702C" w:rsidRDefault="00BE7C20" w:rsidP="00BE7C20">
      <w:pPr>
        <w:pStyle w:val="BodyText3"/>
        <w:widowControl w:val="0"/>
        <w:tabs>
          <w:tab w:val="left" w:pos="4320"/>
        </w:tabs>
        <w:spacing w:after="0"/>
        <w:ind w:left="4320"/>
        <w:jc w:val="both"/>
        <w:rPr>
          <w:rFonts w:cs="Arial"/>
          <w:bCs/>
          <w:sz w:val="24"/>
          <w:szCs w:val="24"/>
        </w:rPr>
      </w:pPr>
      <w:r w:rsidRPr="00FA702C">
        <w:rPr>
          <w:rFonts w:cs="Arial"/>
          <w:bCs/>
          <w:sz w:val="24"/>
          <w:szCs w:val="24"/>
        </w:rPr>
        <w:t>Frank P. Darr</w:t>
      </w:r>
    </w:p>
    <w:p w:rsidR="00BE7C20" w:rsidRPr="00FA702C" w:rsidRDefault="00BE7C20" w:rsidP="00BE7C20">
      <w:pPr>
        <w:pStyle w:val="BodyText3"/>
        <w:widowControl w:val="0"/>
        <w:tabs>
          <w:tab w:val="left" w:pos="4320"/>
        </w:tabs>
        <w:spacing w:after="0"/>
        <w:ind w:left="4320"/>
        <w:jc w:val="both"/>
        <w:rPr>
          <w:rFonts w:cs="Arial"/>
          <w:b/>
          <w:bCs/>
          <w:sz w:val="24"/>
          <w:szCs w:val="24"/>
        </w:rPr>
      </w:pPr>
      <w:r w:rsidRPr="00FA702C">
        <w:rPr>
          <w:rFonts w:cs="Arial"/>
          <w:bCs/>
          <w:sz w:val="24"/>
          <w:szCs w:val="24"/>
        </w:rPr>
        <w:t>Matthew R. Pritchard</w:t>
      </w:r>
    </w:p>
    <w:p w:rsidR="00BE7C20" w:rsidRPr="00FA702C" w:rsidRDefault="00BE7C20" w:rsidP="00BE7C20">
      <w:pPr>
        <w:pStyle w:val="BodyText3"/>
        <w:widowControl w:val="0"/>
        <w:tabs>
          <w:tab w:val="left" w:pos="4320"/>
        </w:tabs>
        <w:spacing w:after="0"/>
        <w:ind w:left="4320"/>
        <w:jc w:val="both"/>
        <w:rPr>
          <w:rFonts w:cs="Arial"/>
          <w:b/>
          <w:bCs/>
          <w:smallCaps/>
          <w:sz w:val="24"/>
          <w:szCs w:val="24"/>
        </w:rPr>
      </w:pPr>
      <w:r w:rsidRPr="00FA702C">
        <w:rPr>
          <w:rFonts w:cs="Arial"/>
          <w:bCs/>
          <w:smallCaps/>
          <w:sz w:val="24"/>
          <w:szCs w:val="24"/>
        </w:rPr>
        <w:t>McNees Wallace &amp; Nurick LLC</w:t>
      </w:r>
    </w:p>
    <w:p w:rsidR="00BE7C20" w:rsidRPr="00FA702C" w:rsidRDefault="00BE7C20" w:rsidP="00BE7C20">
      <w:pPr>
        <w:pStyle w:val="BodyText3"/>
        <w:widowControl w:val="0"/>
        <w:tabs>
          <w:tab w:val="left" w:pos="4320"/>
        </w:tabs>
        <w:spacing w:after="0"/>
        <w:ind w:left="4320"/>
        <w:jc w:val="both"/>
        <w:rPr>
          <w:rFonts w:cs="Arial"/>
          <w:b/>
          <w:bCs/>
          <w:sz w:val="24"/>
          <w:szCs w:val="24"/>
        </w:rPr>
      </w:pPr>
      <w:r w:rsidRPr="00FA702C">
        <w:rPr>
          <w:rFonts w:cs="Arial"/>
          <w:bCs/>
          <w:sz w:val="24"/>
          <w:szCs w:val="24"/>
        </w:rPr>
        <w:t>21 East State Street, 17</w:t>
      </w:r>
      <w:r w:rsidRPr="00FA702C">
        <w:rPr>
          <w:rFonts w:cs="Arial"/>
          <w:bCs/>
          <w:sz w:val="24"/>
          <w:szCs w:val="24"/>
          <w:vertAlign w:val="superscript"/>
        </w:rPr>
        <w:t>TH</w:t>
      </w:r>
      <w:r w:rsidRPr="00FA702C">
        <w:rPr>
          <w:rFonts w:cs="Arial"/>
          <w:bCs/>
          <w:sz w:val="24"/>
          <w:szCs w:val="24"/>
        </w:rPr>
        <w:t xml:space="preserve"> Floor</w:t>
      </w:r>
    </w:p>
    <w:p w:rsidR="00BE7C20" w:rsidRPr="00FA702C" w:rsidRDefault="00BE7C20" w:rsidP="00BE7C20">
      <w:pPr>
        <w:pStyle w:val="BodyText"/>
        <w:tabs>
          <w:tab w:val="left" w:pos="4320"/>
        </w:tabs>
        <w:ind w:left="4320"/>
        <w:rPr>
          <w:b w:val="0"/>
          <w:smallCaps w:val="0"/>
          <w:sz w:val="24"/>
          <w:szCs w:val="24"/>
        </w:rPr>
      </w:pPr>
      <w:r w:rsidRPr="00FA702C">
        <w:rPr>
          <w:b w:val="0"/>
          <w:smallCaps w:val="0"/>
          <w:sz w:val="24"/>
          <w:szCs w:val="24"/>
        </w:rPr>
        <w:t>Columbus, OH  43215</w:t>
      </w:r>
    </w:p>
    <w:p w:rsidR="00BE7C20" w:rsidRPr="00FA702C" w:rsidRDefault="00BE7C20" w:rsidP="00BE7C20">
      <w:pPr>
        <w:pStyle w:val="BodyText"/>
        <w:tabs>
          <w:tab w:val="left" w:pos="4320"/>
        </w:tabs>
        <w:ind w:left="4320"/>
        <w:rPr>
          <w:b w:val="0"/>
          <w:smallCaps w:val="0"/>
          <w:sz w:val="24"/>
          <w:szCs w:val="24"/>
        </w:rPr>
      </w:pPr>
      <w:r w:rsidRPr="00FA702C">
        <w:rPr>
          <w:b w:val="0"/>
          <w:smallCaps w:val="0"/>
          <w:sz w:val="24"/>
          <w:szCs w:val="24"/>
        </w:rPr>
        <w:t>Telephone:  (614) 469-8000</w:t>
      </w:r>
    </w:p>
    <w:p w:rsidR="00BE7C20" w:rsidRPr="00FA702C" w:rsidRDefault="00BE7C20" w:rsidP="00BE7C20">
      <w:pPr>
        <w:pStyle w:val="BodyText"/>
        <w:tabs>
          <w:tab w:val="left" w:pos="4320"/>
        </w:tabs>
        <w:ind w:left="4320"/>
        <w:rPr>
          <w:b w:val="0"/>
          <w:smallCaps w:val="0"/>
          <w:sz w:val="24"/>
          <w:szCs w:val="24"/>
        </w:rPr>
      </w:pPr>
      <w:r w:rsidRPr="00FA702C">
        <w:rPr>
          <w:b w:val="0"/>
          <w:smallCaps w:val="0"/>
          <w:sz w:val="24"/>
          <w:szCs w:val="24"/>
        </w:rPr>
        <w:t>Telecopier:  (614) 469-4653</w:t>
      </w:r>
    </w:p>
    <w:p w:rsidR="00BE7C20" w:rsidRPr="00FA702C" w:rsidRDefault="00BE7C20" w:rsidP="00BE7C20">
      <w:pPr>
        <w:pStyle w:val="BodyText"/>
        <w:ind w:left="4320"/>
        <w:rPr>
          <w:b w:val="0"/>
          <w:smallCaps w:val="0"/>
          <w:sz w:val="24"/>
          <w:szCs w:val="24"/>
        </w:rPr>
      </w:pPr>
      <w:r w:rsidRPr="00FA702C">
        <w:rPr>
          <w:b w:val="0"/>
          <w:smallCaps w:val="0"/>
          <w:sz w:val="24"/>
          <w:szCs w:val="24"/>
        </w:rPr>
        <w:t>sam@mwncmh.com</w:t>
      </w:r>
    </w:p>
    <w:p w:rsidR="00BE7C20" w:rsidRPr="00FA702C" w:rsidRDefault="00BE7C20" w:rsidP="00BE7C20">
      <w:pPr>
        <w:pStyle w:val="BodyText"/>
        <w:ind w:left="4320"/>
        <w:rPr>
          <w:b w:val="0"/>
          <w:smallCaps w:val="0"/>
          <w:sz w:val="24"/>
          <w:szCs w:val="24"/>
        </w:rPr>
      </w:pPr>
      <w:r w:rsidRPr="00FA702C">
        <w:rPr>
          <w:b w:val="0"/>
          <w:smallCaps w:val="0"/>
          <w:sz w:val="24"/>
          <w:szCs w:val="24"/>
        </w:rPr>
        <w:t>fdarr@mwncmh.com</w:t>
      </w:r>
    </w:p>
    <w:p w:rsidR="00BE7C20" w:rsidRPr="00FA702C" w:rsidRDefault="00BE7C20" w:rsidP="00BE7C20">
      <w:pPr>
        <w:pStyle w:val="BodyText"/>
        <w:ind w:left="4320"/>
        <w:rPr>
          <w:rFonts w:cs="Arial"/>
          <w:b w:val="0"/>
          <w:sz w:val="24"/>
          <w:szCs w:val="24"/>
        </w:rPr>
      </w:pPr>
      <w:r w:rsidRPr="00FA702C">
        <w:rPr>
          <w:rFonts w:cs="Arial"/>
          <w:b w:val="0"/>
          <w:smallCaps w:val="0"/>
          <w:sz w:val="24"/>
          <w:szCs w:val="24"/>
        </w:rPr>
        <w:t>mpritchard@mwncmh.com</w:t>
      </w:r>
    </w:p>
    <w:p w:rsidR="00BE7C20" w:rsidRPr="00FA702C" w:rsidRDefault="00BE7C20" w:rsidP="00BE7C20">
      <w:pPr>
        <w:pStyle w:val="BodyText"/>
        <w:ind w:left="4320"/>
        <w:rPr>
          <w:rFonts w:cs="Arial"/>
          <w:sz w:val="24"/>
          <w:szCs w:val="24"/>
        </w:rPr>
      </w:pPr>
    </w:p>
    <w:p w:rsidR="00BE7C20" w:rsidRDefault="00BE7C20" w:rsidP="00BE7C20">
      <w:pPr>
        <w:ind w:left="4320"/>
        <w:jc w:val="both"/>
        <w:rPr>
          <w:rFonts w:cs="Arial"/>
          <w:b/>
          <w:sz w:val="24"/>
          <w:szCs w:val="24"/>
        </w:rPr>
      </w:pPr>
      <w:r w:rsidRPr="00FA702C">
        <w:rPr>
          <w:rFonts w:cs="Arial"/>
          <w:b/>
          <w:sz w:val="24"/>
          <w:szCs w:val="24"/>
        </w:rPr>
        <w:t>Attorneys for Industrial Energy Users-Ohio</w:t>
      </w:r>
    </w:p>
    <w:p w:rsidR="00FF1EED" w:rsidRDefault="00FF1EED">
      <w:pPr>
        <w:sectPr w:rsidR="00FF1EED" w:rsidSect="00FE4714">
          <w:pgSz w:w="12240" w:h="15840" w:code="1"/>
          <w:pgMar w:top="1440" w:right="1440" w:bottom="1440" w:left="1440" w:header="720" w:footer="720" w:gutter="0"/>
          <w:pgNumType w:start="1"/>
          <w:cols w:space="720"/>
          <w:titlePg/>
          <w:docGrid w:linePitch="360"/>
        </w:sectPr>
      </w:pPr>
    </w:p>
    <w:p w:rsidR="00FF1EED" w:rsidRDefault="00FF1EED" w:rsidP="00FF1EED">
      <w:pPr>
        <w:jc w:val="center"/>
        <w:rPr>
          <w:rFonts w:cs="Arial"/>
          <w:b/>
          <w:sz w:val="24"/>
          <w:szCs w:val="24"/>
          <w:u w:val="single"/>
        </w:rPr>
      </w:pPr>
      <w:bookmarkStart w:id="43" w:name="_Toc385406742"/>
      <w:bookmarkStart w:id="44" w:name="_Toc381606702"/>
      <w:r>
        <w:rPr>
          <w:rFonts w:cs="Arial"/>
          <w:b/>
          <w:sz w:val="24"/>
          <w:szCs w:val="24"/>
          <w:u w:val="single"/>
        </w:rPr>
        <w:lastRenderedPageBreak/>
        <w:t>CERTIFICATE OF SERVICE</w:t>
      </w:r>
    </w:p>
    <w:bookmarkEnd w:id="43"/>
    <w:bookmarkEnd w:id="44"/>
    <w:p w:rsidR="00FF1EED" w:rsidRPr="00713A8E" w:rsidRDefault="00FF1EED" w:rsidP="00FF1EED">
      <w:pPr>
        <w:pStyle w:val="BodyText"/>
        <w:spacing w:line="480" w:lineRule="auto"/>
        <w:ind w:firstLine="720"/>
        <w:rPr>
          <w:smallCaps w:val="0"/>
        </w:rPr>
      </w:pPr>
    </w:p>
    <w:p w:rsidR="00FF1EED" w:rsidRPr="00713A8E" w:rsidRDefault="00FF1EED" w:rsidP="00FF1EED">
      <w:pPr>
        <w:pStyle w:val="BodyText"/>
        <w:spacing w:line="480" w:lineRule="auto"/>
        <w:ind w:firstLine="720"/>
        <w:rPr>
          <w:b w:val="0"/>
          <w:smallCaps w:val="0"/>
        </w:rPr>
      </w:pPr>
      <w:r w:rsidRPr="00713A8E">
        <w:rPr>
          <w:b w:val="0"/>
          <w:smallCaps w:val="0"/>
          <w:sz w:val="24"/>
          <w:szCs w:val="24"/>
        </w:rPr>
        <w:t xml:space="preserve">I hereby certify that a copy of the foregoing </w:t>
      </w:r>
      <w:r w:rsidR="00F24B82">
        <w:rPr>
          <w:b w:val="0"/>
          <w:i/>
          <w:smallCaps w:val="0"/>
          <w:sz w:val="24"/>
          <w:szCs w:val="24"/>
        </w:rPr>
        <w:t>Comments</w:t>
      </w:r>
      <w:r w:rsidR="007941BB" w:rsidRPr="007941BB">
        <w:rPr>
          <w:b w:val="0"/>
          <w:i/>
          <w:smallCaps w:val="0"/>
          <w:sz w:val="24"/>
          <w:szCs w:val="24"/>
        </w:rPr>
        <w:t xml:space="preserve"> of Industrial Energy Users-Ohio</w:t>
      </w:r>
      <w:r>
        <w:rPr>
          <w:b w:val="0"/>
          <w:smallCaps w:val="0"/>
          <w:sz w:val="24"/>
          <w:szCs w:val="24"/>
        </w:rPr>
        <w:t xml:space="preserve"> </w:t>
      </w:r>
      <w:r w:rsidRPr="00713A8E">
        <w:rPr>
          <w:b w:val="0"/>
          <w:smallCaps w:val="0"/>
          <w:sz w:val="24"/>
          <w:szCs w:val="24"/>
        </w:rPr>
        <w:t xml:space="preserve">was served upon the following parties of record this </w:t>
      </w:r>
      <w:r w:rsidR="007C232D">
        <w:rPr>
          <w:b w:val="0"/>
          <w:smallCaps w:val="0"/>
          <w:sz w:val="24"/>
          <w:szCs w:val="24"/>
        </w:rPr>
        <w:t>25th</w:t>
      </w:r>
      <w:r w:rsidR="007C232D" w:rsidRPr="00713A8E">
        <w:rPr>
          <w:b w:val="0"/>
          <w:smallCaps w:val="0"/>
          <w:sz w:val="24"/>
          <w:szCs w:val="24"/>
        </w:rPr>
        <w:t xml:space="preserve"> </w:t>
      </w:r>
      <w:r w:rsidRPr="00713A8E">
        <w:rPr>
          <w:b w:val="0"/>
          <w:smallCaps w:val="0"/>
          <w:sz w:val="24"/>
          <w:szCs w:val="24"/>
        </w:rPr>
        <w:t xml:space="preserve">day of </w:t>
      </w:r>
      <w:r w:rsidR="007C232D">
        <w:rPr>
          <w:b w:val="0"/>
          <w:smallCaps w:val="0"/>
          <w:sz w:val="24"/>
          <w:szCs w:val="24"/>
        </w:rPr>
        <w:t>March</w:t>
      </w:r>
      <w:r w:rsidR="007C232D" w:rsidRPr="00713A8E">
        <w:rPr>
          <w:b w:val="0"/>
          <w:smallCaps w:val="0"/>
          <w:sz w:val="24"/>
          <w:szCs w:val="24"/>
        </w:rPr>
        <w:t xml:space="preserve"> </w:t>
      </w:r>
      <w:r w:rsidRPr="00713A8E">
        <w:rPr>
          <w:b w:val="0"/>
          <w:smallCaps w:val="0"/>
          <w:sz w:val="24"/>
          <w:szCs w:val="24"/>
        </w:rPr>
        <w:t xml:space="preserve">2014, </w:t>
      </w:r>
      <w:r w:rsidRPr="00713A8E">
        <w:rPr>
          <w:b w:val="0"/>
          <w:i/>
          <w:smallCaps w:val="0"/>
          <w:sz w:val="24"/>
          <w:szCs w:val="24"/>
        </w:rPr>
        <w:t>via</w:t>
      </w:r>
      <w:r w:rsidRPr="00713A8E">
        <w:rPr>
          <w:b w:val="0"/>
          <w:smallCaps w:val="0"/>
          <w:sz w:val="24"/>
          <w:szCs w:val="24"/>
        </w:rPr>
        <w:t xml:space="preserve"> electronic transmission, hand-delivery or first class U.S. mail, postage prepaid.</w:t>
      </w:r>
    </w:p>
    <w:p w:rsidR="00FF1EED" w:rsidRPr="007A6D48" w:rsidRDefault="007C232D" w:rsidP="00FF1EED">
      <w:pPr>
        <w:tabs>
          <w:tab w:val="left" w:pos="-1440"/>
          <w:tab w:val="left" w:pos="-720"/>
          <w:tab w:val="left" w:pos="5040"/>
          <w:tab w:val="center" w:pos="7200"/>
          <w:tab w:val="right" w:pos="9360"/>
        </w:tabs>
        <w:ind w:firstLine="5040"/>
        <w:jc w:val="both"/>
        <w:rPr>
          <w:rFonts w:cs="Arial"/>
          <w:sz w:val="24"/>
          <w:szCs w:val="24"/>
        </w:rPr>
      </w:pPr>
      <w:r w:rsidRPr="007A6D48">
        <w:rPr>
          <w:rFonts w:cs="Arial"/>
          <w:sz w:val="24"/>
          <w:szCs w:val="24"/>
          <w:u w:val="single"/>
        </w:rPr>
        <w:t>/s/ Frank P. Darr</w:t>
      </w:r>
      <w:r w:rsidR="00FF1EED" w:rsidRPr="007A6D48">
        <w:rPr>
          <w:rFonts w:cs="Arial"/>
          <w:sz w:val="24"/>
          <w:szCs w:val="24"/>
          <w:u w:val="single"/>
        </w:rPr>
        <w:tab/>
      </w:r>
      <w:r w:rsidR="00FF1EED" w:rsidRPr="007A6D48">
        <w:rPr>
          <w:rFonts w:cs="Arial"/>
          <w:sz w:val="24"/>
          <w:szCs w:val="24"/>
          <w:u w:val="single"/>
        </w:rPr>
        <w:tab/>
      </w:r>
    </w:p>
    <w:p w:rsidR="00535DC4" w:rsidRDefault="00FF1EED" w:rsidP="00535DC4">
      <w:pPr>
        <w:tabs>
          <w:tab w:val="left" w:pos="2160"/>
          <w:tab w:val="left" w:pos="2280"/>
        </w:tabs>
        <w:jc w:val="both"/>
        <w:rPr>
          <w:rFonts w:cs="Arial"/>
          <w:sz w:val="24"/>
          <w:szCs w:val="24"/>
        </w:rPr>
      </w:pPr>
      <w:r w:rsidRPr="007A6D48">
        <w:rPr>
          <w:rFonts w:cs="Arial"/>
          <w:sz w:val="24"/>
          <w:szCs w:val="24"/>
        </w:rPr>
        <w:tab/>
      </w:r>
      <w:r w:rsidRPr="007A6D48">
        <w:rPr>
          <w:rFonts w:cs="Arial"/>
          <w:sz w:val="24"/>
          <w:szCs w:val="24"/>
        </w:rPr>
        <w:tab/>
      </w:r>
      <w:r w:rsidRPr="007A6D48">
        <w:rPr>
          <w:rFonts w:cs="Arial"/>
          <w:sz w:val="24"/>
          <w:szCs w:val="24"/>
        </w:rPr>
        <w:tab/>
      </w:r>
      <w:r w:rsidRPr="007A6D48">
        <w:rPr>
          <w:rFonts w:cs="Arial"/>
          <w:sz w:val="24"/>
          <w:szCs w:val="24"/>
        </w:rPr>
        <w:tab/>
      </w:r>
      <w:r w:rsidRPr="007A6D48">
        <w:rPr>
          <w:rFonts w:cs="Arial"/>
          <w:sz w:val="24"/>
          <w:szCs w:val="24"/>
        </w:rPr>
        <w:tab/>
      </w:r>
      <w:r w:rsidRPr="007A6D48">
        <w:rPr>
          <w:rFonts w:cs="Arial"/>
          <w:sz w:val="24"/>
          <w:szCs w:val="24"/>
        </w:rPr>
        <w:tab/>
      </w:r>
      <w:r w:rsidR="007C232D" w:rsidRPr="007A6D48">
        <w:rPr>
          <w:rFonts w:cs="Arial"/>
          <w:sz w:val="24"/>
          <w:szCs w:val="24"/>
        </w:rPr>
        <w:tab/>
      </w:r>
      <w:r w:rsidR="007C232D" w:rsidRPr="007A6D48">
        <w:rPr>
          <w:rFonts w:cs="Arial"/>
          <w:sz w:val="24"/>
          <w:szCs w:val="24"/>
        </w:rPr>
        <w:tab/>
        <w:t>Frank P. Darr</w:t>
      </w:r>
    </w:p>
    <w:p w:rsidR="00E627B8" w:rsidRDefault="00E627B8" w:rsidP="00535DC4">
      <w:pPr>
        <w:tabs>
          <w:tab w:val="left" w:pos="2160"/>
          <w:tab w:val="left" w:pos="2280"/>
        </w:tabs>
        <w:jc w:val="both"/>
        <w:rPr>
          <w:rFonts w:cs="Arial"/>
          <w:sz w:val="24"/>
          <w:szCs w:val="24"/>
        </w:rPr>
        <w:sectPr w:rsidR="00E627B8" w:rsidSect="00C0405A">
          <w:headerReference w:type="even" r:id="rId19"/>
          <w:headerReference w:type="default" r:id="rId20"/>
          <w:footerReference w:type="even" r:id="rId21"/>
          <w:footerReference w:type="default" r:id="rId22"/>
          <w:headerReference w:type="first" r:id="rId23"/>
          <w:footerReference w:type="first" r:id="rId24"/>
          <w:pgSz w:w="12240" w:h="15840" w:code="1"/>
          <w:pgMar w:top="1440" w:right="1440" w:bottom="1440" w:left="1440" w:header="720" w:footer="720" w:gutter="0"/>
          <w:cols w:space="720"/>
          <w:titlePg/>
          <w:docGrid w:linePitch="360"/>
        </w:sectPr>
      </w:pPr>
    </w:p>
    <w:p w:rsidR="00E627B8" w:rsidRDefault="00E627B8" w:rsidP="00E627B8">
      <w:pPr>
        <w:tabs>
          <w:tab w:val="left" w:pos="-4500"/>
        </w:tabs>
        <w:jc w:val="both"/>
        <w:rPr>
          <w:rFonts w:cs="Arial"/>
          <w:sz w:val="24"/>
          <w:szCs w:val="24"/>
        </w:rPr>
      </w:pPr>
    </w:p>
    <w:p w:rsidR="00535DC4" w:rsidRPr="00E627B8" w:rsidRDefault="00E627B8" w:rsidP="00535DC4">
      <w:pPr>
        <w:tabs>
          <w:tab w:val="left" w:pos="2160"/>
          <w:tab w:val="left" w:pos="2280"/>
        </w:tabs>
        <w:jc w:val="both"/>
        <w:rPr>
          <w:rFonts w:cs="Arial"/>
          <w:sz w:val="24"/>
          <w:szCs w:val="24"/>
        </w:rPr>
      </w:pPr>
      <w:r w:rsidRPr="00E627B8">
        <w:rPr>
          <w:rFonts w:cs="Arial"/>
          <w:sz w:val="24"/>
          <w:szCs w:val="24"/>
        </w:rPr>
        <w:t>Judi L. Sobecki</w:t>
      </w:r>
    </w:p>
    <w:p w:rsidR="00E627B8" w:rsidRDefault="00E627B8" w:rsidP="00E627B8">
      <w:pPr>
        <w:kinsoku w:val="0"/>
        <w:overflowPunct w:val="0"/>
        <w:spacing w:line="272" w:lineRule="exact"/>
        <w:textAlignment w:val="baseline"/>
        <w:rPr>
          <w:rFonts w:cs="Arial"/>
          <w:sz w:val="24"/>
          <w:szCs w:val="24"/>
        </w:rPr>
      </w:pPr>
      <w:r>
        <w:rPr>
          <w:rFonts w:cs="Arial"/>
          <w:sz w:val="24"/>
          <w:szCs w:val="24"/>
        </w:rPr>
        <w:t>The Dayton Power &amp; Light Company</w:t>
      </w:r>
    </w:p>
    <w:p w:rsidR="00E627B8" w:rsidRDefault="00E627B8" w:rsidP="00E627B8">
      <w:pPr>
        <w:kinsoku w:val="0"/>
        <w:overflowPunct w:val="0"/>
        <w:spacing w:line="272" w:lineRule="exact"/>
        <w:ind w:right="1584"/>
        <w:textAlignment w:val="baseline"/>
        <w:rPr>
          <w:rFonts w:cs="Arial"/>
          <w:sz w:val="24"/>
          <w:szCs w:val="24"/>
        </w:rPr>
      </w:pPr>
      <w:r w:rsidRPr="00E627B8">
        <w:rPr>
          <w:rFonts w:cs="Arial"/>
          <w:sz w:val="24"/>
          <w:szCs w:val="24"/>
        </w:rPr>
        <w:t xml:space="preserve">1065 Woodman Drive </w:t>
      </w:r>
    </w:p>
    <w:p w:rsidR="00E627B8" w:rsidRPr="00E627B8" w:rsidRDefault="00E627B8" w:rsidP="00E627B8">
      <w:pPr>
        <w:kinsoku w:val="0"/>
        <w:overflowPunct w:val="0"/>
        <w:spacing w:line="272" w:lineRule="exact"/>
        <w:ind w:right="1584"/>
        <w:textAlignment w:val="baseline"/>
        <w:rPr>
          <w:rFonts w:cs="Arial"/>
          <w:sz w:val="24"/>
          <w:szCs w:val="24"/>
        </w:rPr>
      </w:pPr>
      <w:r w:rsidRPr="00E627B8">
        <w:rPr>
          <w:rFonts w:cs="Arial"/>
          <w:sz w:val="24"/>
          <w:szCs w:val="24"/>
        </w:rPr>
        <w:t>Dayton, Ohio 45432</w:t>
      </w:r>
    </w:p>
    <w:p w:rsidR="00E627B8" w:rsidRPr="00E627B8" w:rsidRDefault="00E627B8" w:rsidP="00E627B8">
      <w:pPr>
        <w:kinsoku w:val="0"/>
        <w:overflowPunct w:val="0"/>
        <w:spacing w:line="272" w:lineRule="exact"/>
        <w:ind w:right="1584"/>
        <w:textAlignment w:val="baseline"/>
        <w:rPr>
          <w:rFonts w:cs="Arial"/>
          <w:sz w:val="24"/>
          <w:szCs w:val="24"/>
        </w:rPr>
      </w:pPr>
      <w:r w:rsidRPr="008C65B7">
        <w:rPr>
          <w:rFonts w:cs="Arial"/>
          <w:sz w:val="24"/>
          <w:szCs w:val="24"/>
        </w:rPr>
        <w:t>judi.sobecki@dplinc.com</w:t>
      </w:r>
    </w:p>
    <w:p w:rsidR="00E627B8" w:rsidRPr="00E627B8" w:rsidRDefault="00E627B8" w:rsidP="00E627B8">
      <w:pPr>
        <w:kinsoku w:val="0"/>
        <w:overflowPunct w:val="0"/>
        <w:spacing w:line="272" w:lineRule="exact"/>
        <w:ind w:right="1584"/>
        <w:textAlignment w:val="baseline"/>
        <w:rPr>
          <w:rFonts w:cs="Arial"/>
          <w:sz w:val="24"/>
          <w:szCs w:val="24"/>
        </w:rPr>
      </w:pPr>
    </w:p>
    <w:p w:rsidR="00E627B8" w:rsidRPr="00E627B8" w:rsidRDefault="00E627B8" w:rsidP="00E627B8">
      <w:pPr>
        <w:kinsoku w:val="0"/>
        <w:overflowPunct w:val="0"/>
        <w:spacing w:line="272" w:lineRule="exact"/>
        <w:textAlignment w:val="baseline"/>
        <w:rPr>
          <w:rFonts w:cs="Arial"/>
          <w:sz w:val="24"/>
          <w:szCs w:val="24"/>
        </w:rPr>
      </w:pPr>
      <w:r w:rsidRPr="00E627B8">
        <w:rPr>
          <w:rFonts w:cs="Arial"/>
          <w:sz w:val="24"/>
          <w:szCs w:val="24"/>
        </w:rPr>
        <w:t>Charles J. Faruki</w:t>
      </w:r>
    </w:p>
    <w:p w:rsidR="00E627B8" w:rsidRPr="00E627B8" w:rsidRDefault="00E627B8" w:rsidP="00E627B8">
      <w:pPr>
        <w:kinsoku w:val="0"/>
        <w:overflowPunct w:val="0"/>
        <w:spacing w:line="272" w:lineRule="exact"/>
        <w:textAlignment w:val="baseline"/>
        <w:rPr>
          <w:rFonts w:cs="Arial"/>
          <w:sz w:val="24"/>
          <w:szCs w:val="24"/>
        </w:rPr>
      </w:pPr>
      <w:r w:rsidRPr="00E627B8">
        <w:rPr>
          <w:rFonts w:cs="Arial"/>
          <w:sz w:val="24"/>
          <w:szCs w:val="24"/>
        </w:rPr>
        <w:t>Jeffrey S. Sharkey</w:t>
      </w:r>
    </w:p>
    <w:p w:rsidR="00E627B8" w:rsidRDefault="00E627B8" w:rsidP="00E627B8">
      <w:pPr>
        <w:kinsoku w:val="0"/>
        <w:overflowPunct w:val="0"/>
        <w:spacing w:line="272" w:lineRule="exact"/>
        <w:textAlignment w:val="baseline"/>
        <w:rPr>
          <w:rFonts w:cs="Arial"/>
          <w:sz w:val="24"/>
          <w:szCs w:val="24"/>
        </w:rPr>
      </w:pPr>
      <w:r w:rsidRPr="00E627B8">
        <w:rPr>
          <w:rFonts w:cs="Arial"/>
          <w:sz w:val="24"/>
          <w:szCs w:val="24"/>
        </w:rPr>
        <w:t xml:space="preserve">Faruki Ireland &amp; Cox P.L.L. </w:t>
      </w:r>
    </w:p>
    <w:p w:rsidR="00E627B8" w:rsidRDefault="00E627B8" w:rsidP="00E627B8">
      <w:pPr>
        <w:kinsoku w:val="0"/>
        <w:overflowPunct w:val="0"/>
        <w:spacing w:line="272" w:lineRule="exact"/>
        <w:textAlignment w:val="baseline"/>
        <w:rPr>
          <w:rFonts w:cs="Arial"/>
          <w:sz w:val="24"/>
          <w:szCs w:val="24"/>
        </w:rPr>
      </w:pPr>
      <w:r w:rsidRPr="00E627B8">
        <w:rPr>
          <w:rFonts w:cs="Arial"/>
          <w:sz w:val="24"/>
          <w:szCs w:val="24"/>
        </w:rPr>
        <w:t>500 Courthouse Plaza, S.W.</w:t>
      </w:r>
    </w:p>
    <w:p w:rsidR="00E627B8" w:rsidRPr="00E627B8" w:rsidRDefault="00E627B8" w:rsidP="00E627B8">
      <w:pPr>
        <w:kinsoku w:val="0"/>
        <w:overflowPunct w:val="0"/>
        <w:spacing w:line="272" w:lineRule="exact"/>
        <w:textAlignment w:val="baseline"/>
        <w:rPr>
          <w:rFonts w:cs="Arial"/>
          <w:sz w:val="24"/>
          <w:szCs w:val="24"/>
        </w:rPr>
      </w:pPr>
      <w:r w:rsidRPr="00E627B8">
        <w:rPr>
          <w:rFonts w:cs="Arial"/>
          <w:sz w:val="24"/>
          <w:szCs w:val="24"/>
        </w:rPr>
        <w:t>10 North Ludlow Street</w:t>
      </w:r>
    </w:p>
    <w:p w:rsidR="00E627B8" w:rsidRPr="00E627B8" w:rsidRDefault="00E627B8" w:rsidP="00E627B8">
      <w:pPr>
        <w:kinsoku w:val="0"/>
        <w:overflowPunct w:val="0"/>
        <w:spacing w:line="272" w:lineRule="exact"/>
        <w:textAlignment w:val="baseline"/>
        <w:rPr>
          <w:rFonts w:cs="Arial"/>
          <w:sz w:val="24"/>
          <w:szCs w:val="24"/>
        </w:rPr>
      </w:pPr>
      <w:r w:rsidRPr="00E627B8">
        <w:rPr>
          <w:rFonts w:cs="Arial"/>
          <w:sz w:val="24"/>
          <w:szCs w:val="24"/>
        </w:rPr>
        <w:t>Dayton, Ohio 45402</w:t>
      </w:r>
    </w:p>
    <w:p w:rsidR="00E627B8" w:rsidRPr="00E627B8" w:rsidRDefault="00E627B8" w:rsidP="00E627B8">
      <w:pPr>
        <w:kinsoku w:val="0"/>
        <w:overflowPunct w:val="0"/>
        <w:spacing w:line="272" w:lineRule="exact"/>
        <w:textAlignment w:val="baseline"/>
        <w:rPr>
          <w:rFonts w:cs="Arial"/>
          <w:sz w:val="24"/>
          <w:szCs w:val="24"/>
        </w:rPr>
      </w:pPr>
      <w:r w:rsidRPr="008C65B7">
        <w:rPr>
          <w:rFonts w:cs="Arial"/>
          <w:sz w:val="24"/>
          <w:szCs w:val="24"/>
        </w:rPr>
        <w:t>cfaruki@ficlaw.com</w:t>
      </w:r>
    </w:p>
    <w:p w:rsidR="00E627B8" w:rsidRPr="00E627B8" w:rsidRDefault="00E627B8" w:rsidP="00E627B8">
      <w:pPr>
        <w:kinsoku w:val="0"/>
        <w:overflowPunct w:val="0"/>
        <w:spacing w:line="272" w:lineRule="exact"/>
        <w:ind w:right="1584"/>
        <w:textAlignment w:val="baseline"/>
        <w:rPr>
          <w:rFonts w:cs="Arial"/>
          <w:sz w:val="24"/>
          <w:szCs w:val="24"/>
        </w:rPr>
      </w:pPr>
      <w:r w:rsidRPr="00E627B8">
        <w:rPr>
          <w:rFonts w:cs="Arial"/>
          <w:sz w:val="24"/>
          <w:szCs w:val="24"/>
        </w:rPr>
        <w:t>jsharkey@ficlaw.com</w:t>
      </w:r>
    </w:p>
    <w:p w:rsidR="00E627B8" w:rsidRDefault="00E627B8" w:rsidP="00E627B8">
      <w:pPr>
        <w:kinsoku w:val="0"/>
        <w:overflowPunct w:val="0"/>
        <w:spacing w:line="272" w:lineRule="exact"/>
        <w:textAlignment w:val="baseline"/>
        <w:rPr>
          <w:rFonts w:cs="Arial"/>
          <w:b/>
          <w:smallCaps/>
          <w:sz w:val="24"/>
          <w:szCs w:val="24"/>
        </w:rPr>
      </w:pPr>
    </w:p>
    <w:p w:rsidR="00E627B8" w:rsidRPr="00E627B8" w:rsidRDefault="00E627B8" w:rsidP="00E627B8">
      <w:pPr>
        <w:kinsoku w:val="0"/>
        <w:overflowPunct w:val="0"/>
        <w:spacing w:line="272" w:lineRule="exact"/>
        <w:textAlignment w:val="baseline"/>
        <w:rPr>
          <w:rFonts w:cs="Arial"/>
          <w:b/>
          <w:smallCaps/>
          <w:sz w:val="24"/>
          <w:szCs w:val="24"/>
        </w:rPr>
      </w:pPr>
      <w:r w:rsidRPr="00E627B8">
        <w:rPr>
          <w:rFonts w:cs="Arial"/>
          <w:b/>
          <w:smallCaps/>
          <w:sz w:val="24"/>
          <w:szCs w:val="24"/>
        </w:rPr>
        <w:t>On Behalf of The Dayton Power and Light Company</w:t>
      </w:r>
    </w:p>
    <w:p w:rsidR="00E627B8" w:rsidRPr="00E627B8" w:rsidRDefault="00E627B8" w:rsidP="00E627B8">
      <w:pPr>
        <w:tabs>
          <w:tab w:val="left" w:pos="2160"/>
          <w:tab w:val="left" w:pos="2280"/>
        </w:tabs>
        <w:rPr>
          <w:rFonts w:cs="Arial"/>
          <w:b/>
          <w:sz w:val="24"/>
          <w:szCs w:val="24"/>
        </w:rPr>
      </w:pPr>
    </w:p>
    <w:p w:rsidR="00E627B8" w:rsidRPr="00E627B8" w:rsidRDefault="00E627B8" w:rsidP="00E627B8">
      <w:pPr>
        <w:tabs>
          <w:tab w:val="left" w:pos="2160"/>
          <w:tab w:val="left" w:pos="2280"/>
        </w:tabs>
        <w:rPr>
          <w:rFonts w:cs="Arial"/>
          <w:sz w:val="24"/>
          <w:szCs w:val="24"/>
        </w:rPr>
      </w:pPr>
      <w:r w:rsidRPr="00E627B8">
        <w:rPr>
          <w:rFonts w:cs="Arial"/>
          <w:sz w:val="24"/>
          <w:szCs w:val="24"/>
        </w:rPr>
        <w:t>Bruce J. Weston</w:t>
      </w:r>
    </w:p>
    <w:p w:rsidR="00E627B8" w:rsidRPr="00E627B8" w:rsidRDefault="00E627B8" w:rsidP="00E627B8">
      <w:pPr>
        <w:tabs>
          <w:tab w:val="left" w:pos="2160"/>
          <w:tab w:val="left" w:pos="2280"/>
        </w:tabs>
        <w:rPr>
          <w:rFonts w:cs="Arial"/>
          <w:sz w:val="24"/>
          <w:szCs w:val="24"/>
        </w:rPr>
      </w:pPr>
      <w:r>
        <w:rPr>
          <w:rFonts w:cs="Arial"/>
          <w:sz w:val="24"/>
          <w:szCs w:val="24"/>
        </w:rPr>
        <w:t xml:space="preserve">Edmund </w:t>
      </w:r>
      <w:r w:rsidRPr="00E627B8">
        <w:rPr>
          <w:rFonts w:cs="Arial"/>
          <w:sz w:val="24"/>
          <w:szCs w:val="24"/>
        </w:rPr>
        <w:t>Berger</w:t>
      </w:r>
    </w:p>
    <w:p w:rsidR="00E627B8" w:rsidRPr="00E627B8" w:rsidRDefault="00E627B8" w:rsidP="00E627B8">
      <w:pPr>
        <w:tabs>
          <w:tab w:val="left" w:pos="2160"/>
          <w:tab w:val="left" w:pos="2280"/>
        </w:tabs>
        <w:rPr>
          <w:rFonts w:cs="Arial"/>
          <w:sz w:val="24"/>
          <w:szCs w:val="24"/>
        </w:rPr>
      </w:pPr>
      <w:r w:rsidRPr="00E627B8">
        <w:rPr>
          <w:rFonts w:cs="Arial"/>
          <w:sz w:val="24"/>
          <w:szCs w:val="24"/>
        </w:rPr>
        <w:t>Maureen R. Grady</w:t>
      </w:r>
    </w:p>
    <w:p w:rsidR="00E627B8" w:rsidRPr="00E627B8" w:rsidRDefault="00E627B8" w:rsidP="00E627B8">
      <w:pPr>
        <w:tabs>
          <w:tab w:val="left" w:pos="2160"/>
          <w:tab w:val="left" w:pos="2280"/>
        </w:tabs>
        <w:rPr>
          <w:rFonts w:cs="Arial"/>
          <w:sz w:val="24"/>
          <w:szCs w:val="24"/>
        </w:rPr>
      </w:pPr>
      <w:r w:rsidRPr="00E627B8">
        <w:rPr>
          <w:rFonts w:cs="Arial"/>
          <w:sz w:val="24"/>
          <w:szCs w:val="24"/>
        </w:rPr>
        <w:t>Assistant Consumers’ Counsel</w:t>
      </w:r>
    </w:p>
    <w:p w:rsidR="00E627B8" w:rsidRPr="00E627B8" w:rsidRDefault="00E627B8" w:rsidP="00E627B8">
      <w:pPr>
        <w:rPr>
          <w:rFonts w:cs="Arial"/>
          <w:sz w:val="24"/>
          <w:szCs w:val="24"/>
        </w:rPr>
      </w:pPr>
      <w:r w:rsidRPr="00E627B8">
        <w:rPr>
          <w:rFonts w:cs="Arial"/>
          <w:sz w:val="24"/>
          <w:szCs w:val="24"/>
        </w:rPr>
        <w:t>Office of the Ohio Consumers’ Counsel</w:t>
      </w:r>
    </w:p>
    <w:p w:rsidR="00E627B8" w:rsidRPr="00E627B8" w:rsidRDefault="00E627B8" w:rsidP="00E627B8">
      <w:pPr>
        <w:tabs>
          <w:tab w:val="left" w:pos="2160"/>
          <w:tab w:val="left" w:pos="2280"/>
        </w:tabs>
        <w:rPr>
          <w:rFonts w:cs="Arial"/>
          <w:sz w:val="24"/>
          <w:szCs w:val="24"/>
        </w:rPr>
      </w:pPr>
      <w:r w:rsidRPr="00E627B8">
        <w:rPr>
          <w:rFonts w:cs="Arial"/>
          <w:sz w:val="24"/>
          <w:szCs w:val="24"/>
        </w:rPr>
        <w:t>10 West Broad Street, Suite 1800</w:t>
      </w:r>
    </w:p>
    <w:p w:rsidR="00E627B8" w:rsidRPr="00E627B8" w:rsidRDefault="00E627B8" w:rsidP="00E627B8">
      <w:pPr>
        <w:tabs>
          <w:tab w:val="left" w:pos="2160"/>
          <w:tab w:val="left" w:pos="2280"/>
        </w:tabs>
        <w:rPr>
          <w:rFonts w:cs="Arial"/>
          <w:sz w:val="24"/>
          <w:szCs w:val="24"/>
        </w:rPr>
      </w:pPr>
      <w:r w:rsidRPr="00E627B8">
        <w:rPr>
          <w:rFonts w:cs="Arial"/>
          <w:sz w:val="24"/>
          <w:szCs w:val="24"/>
        </w:rPr>
        <w:t>Columbus, Ohio  43215-3485</w:t>
      </w:r>
    </w:p>
    <w:p w:rsidR="00E627B8" w:rsidRPr="00E627B8" w:rsidRDefault="00E627B8" w:rsidP="00E627B8">
      <w:pPr>
        <w:tabs>
          <w:tab w:val="left" w:pos="2160"/>
          <w:tab w:val="left" w:pos="2280"/>
        </w:tabs>
        <w:rPr>
          <w:rFonts w:cs="Arial"/>
          <w:sz w:val="24"/>
          <w:szCs w:val="24"/>
        </w:rPr>
      </w:pPr>
      <w:r w:rsidRPr="008C65B7">
        <w:rPr>
          <w:rFonts w:cs="Arial"/>
          <w:sz w:val="24"/>
          <w:szCs w:val="24"/>
        </w:rPr>
        <w:t>edmund.berger@occ.ohio.gov</w:t>
      </w:r>
    </w:p>
    <w:p w:rsidR="00E627B8" w:rsidRPr="00E627B8" w:rsidRDefault="00E627B8" w:rsidP="00E627B8">
      <w:pPr>
        <w:tabs>
          <w:tab w:val="left" w:pos="2160"/>
          <w:tab w:val="left" w:pos="2280"/>
        </w:tabs>
        <w:rPr>
          <w:rFonts w:cs="Arial"/>
          <w:sz w:val="24"/>
          <w:szCs w:val="24"/>
        </w:rPr>
      </w:pPr>
      <w:r w:rsidRPr="008C65B7">
        <w:rPr>
          <w:rFonts w:cs="Arial"/>
          <w:sz w:val="24"/>
          <w:szCs w:val="24"/>
        </w:rPr>
        <w:t>maureen.grady@occ.ohio.gov</w:t>
      </w:r>
    </w:p>
    <w:p w:rsidR="00E627B8" w:rsidRPr="00E627B8" w:rsidRDefault="00E627B8" w:rsidP="00E627B8">
      <w:pPr>
        <w:tabs>
          <w:tab w:val="left" w:pos="2160"/>
          <w:tab w:val="left" w:pos="2280"/>
        </w:tabs>
        <w:rPr>
          <w:rFonts w:cs="Arial"/>
          <w:sz w:val="24"/>
          <w:szCs w:val="24"/>
        </w:rPr>
      </w:pPr>
    </w:p>
    <w:p w:rsidR="00E627B8" w:rsidRPr="00E627B8" w:rsidRDefault="00E627B8" w:rsidP="00E627B8">
      <w:pPr>
        <w:tabs>
          <w:tab w:val="left" w:pos="2160"/>
          <w:tab w:val="left" w:pos="2280"/>
        </w:tabs>
        <w:rPr>
          <w:rFonts w:cs="Arial"/>
          <w:b/>
          <w:smallCaps/>
          <w:sz w:val="24"/>
          <w:szCs w:val="24"/>
        </w:rPr>
      </w:pPr>
      <w:r w:rsidRPr="00E627B8">
        <w:rPr>
          <w:rFonts w:cs="Arial"/>
          <w:b/>
          <w:smallCaps/>
          <w:sz w:val="24"/>
          <w:szCs w:val="24"/>
        </w:rPr>
        <w:t>On Behalf of the Office of the Ohio Consumers’ Counsel</w:t>
      </w:r>
    </w:p>
    <w:p w:rsidR="00E627B8" w:rsidRDefault="00E627B8" w:rsidP="00E627B8">
      <w:pPr>
        <w:tabs>
          <w:tab w:val="left" w:pos="2160"/>
          <w:tab w:val="left" w:pos="2280"/>
        </w:tabs>
        <w:rPr>
          <w:rFonts w:cs="Arial"/>
          <w:sz w:val="24"/>
          <w:szCs w:val="24"/>
        </w:rPr>
      </w:pPr>
      <w:r w:rsidRPr="00E627B8">
        <w:rPr>
          <w:rFonts w:cs="Arial"/>
          <w:sz w:val="24"/>
          <w:szCs w:val="24"/>
        </w:rPr>
        <w:br w:type="column"/>
      </w:r>
    </w:p>
    <w:p w:rsidR="00E627B8" w:rsidRPr="00E627B8" w:rsidRDefault="00E627B8" w:rsidP="00E627B8">
      <w:pPr>
        <w:tabs>
          <w:tab w:val="left" w:pos="2160"/>
          <w:tab w:val="left" w:pos="2280"/>
        </w:tabs>
        <w:rPr>
          <w:rFonts w:cs="Arial"/>
          <w:sz w:val="24"/>
          <w:szCs w:val="24"/>
        </w:rPr>
      </w:pPr>
      <w:r w:rsidRPr="00E627B8">
        <w:rPr>
          <w:rFonts w:cs="Arial"/>
          <w:sz w:val="24"/>
          <w:szCs w:val="24"/>
        </w:rPr>
        <w:t>Kimberly W. Bojko</w:t>
      </w:r>
    </w:p>
    <w:p w:rsidR="00E627B8" w:rsidRPr="00E627B8" w:rsidRDefault="00E627B8" w:rsidP="00E627B8">
      <w:pPr>
        <w:tabs>
          <w:tab w:val="left" w:pos="2160"/>
          <w:tab w:val="left" w:pos="2280"/>
        </w:tabs>
        <w:rPr>
          <w:rFonts w:cs="Arial"/>
          <w:sz w:val="24"/>
          <w:szCs w:val="24"/>
        </w:rPr>
      </w:pPr>
      <w:r w:rsidRPr="00E627B8">
        <w:rPr>
          <w:rFonts w:cs="Arial"/>
          <w:sz w:val="24"/>
          <w:szCs w:val="24"/>
        </w:rPr>
        <w:t>Mallory M. Mohler</w:t>
      </w:r>
    </w:p>
    <w:p w:rsidR="00E627B8" w:rsidRPr="00E627B8" w:rsidRDefault="00E627B8" w:rsidP="00E627B8">
      <w:pPr>
        <w:tabs>
          <w:tab w:val="left" w:pos="2160"/>
          <w:tab w:val="left" w:pos="2280"/>
        </w:tabs>
        <w:rPr>
          <w:rFonts w:cs="Arial"/>
          <w:sz w:val="24"/>
          <w:szCs w:val="24"/>
        </w:rPr>
      </w:pPr>
      <w:r w:rsidRPr="00E627B8">
        <w:rPr>
          <w:rFonts w:cs="Arial"/>
          <w:sz w:val="24"/>
          <w:szCs w:val="24"/>
        </w:rPr>
        <w:t>Carpenter Lipps &amp; Leland LLP</w:t>
      </w:r>
    </w:p>
    <w:p w:rsidR="00E627B8" w:rsidRPr="00E627B8" w:rsidRDefault="00E627B8" w:rsidP="00E627B8">
      <w:pPr>
        <w:tabs>
          <w:tab w:val="left" w:pos="2160"/>
          <w:tab w:val="left" w:pos="2280"/>
        </w:tabs>
        <w:rPr>
          <w:rFonts w:cs="Arial"/>
          <w:sz w:val="24"/>
          <w:szCs w:val="24"/>
        </w:rPr>
      </w:pPr>
      <w:r w:rsidRPr="00E627B8">
        <w:rPr>
          <w:rFonts w:cs="Arial"/>
          <w:sz w:val="24"/>
          <w:szCs w:val="24"/>
        </w:rPr>
        <w:t>280 Plaza, Suite 1300</w:t>
      </w:r>
    </w:p>
    <w:p w:rsidR="00E627B8" w:rsidRPr="00E627B8" w:rsidRDefault="00E627B8" w:rsidP="00E627B8">
      <w:pPr>
        <w:tabs>
          <w:tab w:val="left" w:pos="2160"/>
          <w:tab w:val="left" w:pos="2280"/>
        </w:tabs>
        <w:rPr>
          <w:rFonts w:cs="Arial"/>
          <w:sz w:val="24"/>
          <w:szCs w:val="24"/>
        </w:rPr>
      </w:pPr>
      <w:r w:rsidRPr="00E627B8">
        <w:rPr>
          <w:rFonts w:cs="Arial"/>
          <w:sz w:val="24"/>
          <w:szCs w:val="24"/>
        </w:rPr>
        <w:t>280 North High Street</w:t>
      </w:r>
    </w:p>
    <w:p w:rsidR="00E627B8" w:rsidRPr="00E627B8" w:rsidRDefault="00E627B8" w:rsidP="00E627B8">
      <w:pPr>
        <w:tabs>
          <w:tab w:val="left" w:pos="2160"/>
          <w:tab w:val="left" w:pos="2280"/>
        </w:tabs>
        <w:rPr>
          <w:rFonts w:cs="Arial"/>
          <w:sz w:val="24"/>
          <w:szCs w:val="24"/>
        </w:rPr>
      </w:pPr>
      <w:r w:rsidRPr="00E627B8">
        <w:rPr>
          <w:rFonts w:cs="Arial"/>
          <w:sz w:val="24"/>
          <w:szCs w:val="24"/>
        </w:rPr>
        <w:t>Columbus, Ohio  43215</w:t>
      </w:r>
    </w:p>
    <w:p w:rsidR="00E627B8" w:rsidRPr="00E627B8" w:rsidRDefault="00E627B8" w:rsidP="00E627B8">
      <w:pPr>
        <w:tabs>
          <w:tab w:val="left" w:pos="2160"/>
          <w:tab w:val="left" w:pos="2280"/>
        </w:tabs>
        <w:rPr>
          <w:rFonts w:cs="Arial"/>
          <w:sz w:val="24"/>
          <w:szCs w:val="24"/>
        </w:rPr>
      </w:pPr>
      <w:r w:rsidRPr="008C65B7">
        <w:rPr>
          <w:rFonts w:cs="Arial"/>
          <w:sz w:val="24"/>
          <w:szCs w:val="24"/>
        </w:rPr>
        <w:t>Bojko@carpenterlipps.com</w:t>
      </w:r>
    </w:p>
    <w:p w:rsidR="00E627B8" w:rsidRPr="00E627B8" w:rsidRDefault="00E627B8" w:rsidP="00E627B8">
      <w:pPr>
        <w:tabs>
          <w:tab w:val="left" w:pos="2160"/>
          <w:tab w:val="left" w:pos="2280"/>
        </w:tabs>
        <w:rPr>
          <w:rFonts w:cs="Arial"/>
          <w:sz w:val="24"/>
          <w:szCs w:val="24"/>
        </w:rPr>
      </w:pPr>
      <w:r w:rsidRPr="008C65B7">
        <w:rPr>
          <w:rFonts w:cs="Arial"/>
          <w:sz w:val="24"/>
          <w:szCs w:val="24"/>
        </w:rPr>
        <w:t>Mohler@carpenterlipps.com</w:t>
      </w:r>
    </w:p>
    <w:p w:rsidR="00E627B8" w:rsidRPr="00E627B8" w:rsidRDefault="00E627B8" w:rsidP="00E627B8">
      <w:pPr>
        <w:tabs>
          <w:tab w:val="left" w:pos="2160"/>
          <w:tab w:val="left" w:pos="2280"/>
        </w:tabs>
        <w:rPr>
          <w:rFonts w:cs="Arial"/>
          <w:sz w:val="24"/>
          <w:szCs w:val="24"/>
        </w:rPr>
      </w:pPr>
    </w:p>
    <w:p w:rsidR="00E627B8" w:rsidRPr="00E627B8" w:rsidRDefault="00E627B8" w:rsidP="00E627B8">
      <w:pPr>
        <w:tabs>
          <w:tab w:val="left" w:pos="2160"/>
          <w:tab w:val="left" w:pos="2280"/>
        </w:tabs>
        <w:rPr>
          <w:rFonts w:cs="Arial"/>
          <w:b/>
          <w:smallCaps/>
          <w:sz w:val="24"/>
          <w:szCs w:val="24"/>
        </w:rPr>
      </w:pPr>
      <w:r w:rsidRPr="00E627B8">
        <w:rPr>
          <w:rFonts w:cs="Arial"/>
          <w:b/>
          <w:smallCaps/>
          <w:sz w:val="24"/>
          <w:szCs w:val="24"/>
        </w:rPr>
        <w:t>Oh Behalf of Ohio Manufacturers’ Association Energy Group</w:t>
      </w:r>
    </w:p>
    <w:p w:rsidR="00E627B8" w:rsidRPr="00E627B8" w:rsidRDefault="00E627B8" w:rsidP="00E627B8">
      <w:pPr>
        <w:tabs>
          <w:tab w:val="left" w:pos="2160"/>
          <w:tab w:val="left" w:pos="2280"/>
        </w:tabs>
        <w:rPr>
          <w:rFonts w:cs="Arial"/>
          <w:sz w:val="24"/>
          <w:szCs w:val="24"/>
        </w:rPr>
      </w:pPr>
    </w:p>
    <w:p w:rsidR="00E627B8" w:rsidRPr="00E627B8" w:rsidRDefault="00E627B8" w:rsidP="00E627B8">
      <w:pPr>
        <w:tabs>
          <w:tab w:val="left" w:pos="2160"/>
          <w:tab w:val="left" w:pos="2280"/>
        </w:tabs>
        <w:rPr>
          <w:rFonts w:cs="Arial"/>
          <w:sz w:val="24"/>
          <w:szCs w:val="24"/>
        </w:rPr>
      </w:pPr>
      <w:r w:rsidRPr="00E627B8">
        <w:rPr>
          <w:rFonts w:cs="Arial"/>
          <w:sz w:val="24"/>
          <w:szCs w:val="24"/>
        </w:rPr>
        <w:t xml:space="preserve">Rocco D'Ascenzo </w:t>
      </w:r>
    </w:p>
    <w:p w:rsidR="00E627B8" w:rsidRPr="00E627B8" w:rsidRDefault="00E627B8" w:rsidP="00E627B8">
      <w:pPr>
        <w:tabs>
          <w:tab w:val="left" w:pos="2160"/>
          <w:tab w:val="left" w:pos="2280"/>
        </w:tabs>
        <w:rPr>
          <w:rFonts w:cs="Arial"/>
          <w:sz w:val="24"/>
          <w:szCs w:val="24"/>
        </w:rPr>
      </w:pPr>
      <w:r w:rsidRPr="00E627B8">
        <w:rPr>
          <w:rFonts w:cs="Arial"/>
          <w:sz w:val="24"/>
          <w:szCs w:val="24"/>
        </w:rPr>
        <w:t>Duke Energy Ohio, Inc.</w:t>
      </w:r>
    </w:p>
    <w:p w:rsidR="00E627B8" w:rsidRPr="00E627B8" w:rsidRDefault="00E627B8" w:rsidP="00E627B8">
      <w:pPr>
        <w:tabs>
          <w:tab w:val="left" w:pos="2160"/>
          <w:tab w:val="left" w:pos="2280"/>
        </w:tabs>
        <w:rPr>
          <w:rFonts w:cs="Arial"/>
          <w:sz w:val="24"/>
          <w:szCs w:val="24"/>
        </w:rPr>
      </w:pPr>
      <w:r w:rsidRPr="00E627B8">
        <w:rPr>
          <w:rFonts w:cs="Arial"/>
          <w:sz w:val="24"/>
          <w:szCs w:val="24"/>
        </w:rPr>
        <w:t>139 East Fourth Street – 1303 Main</w:t>
      </w:r>
    </w:p>
    <w:p w:rsidR="00E627B8" w:rsidRPr="00E627B8" w:rsidRDefault="00E627B8" w:rsidP="00E627B8">
      <w:pPr>
        <w:tabs>
          <w:tab w:val="left" w:pos="2160"/>
          <w:tab w:val="left" w:pos="2280"/>
        </w:tabs>
        <w:rPr>
          <w:rFonts w:cs="Arial"/>
          <w:sz w:val="24"/>
          <w:szCs w:val="24"/>
        </w:rPr>
      </w:pPr>
      <w:r w:rsidRPr="00E627B8">
        <w:rPr>
          <w:rFonts w:cs="Arial"/>
          <w:sz w:val="24"/>
          <w:szCs w:val="24"/>
        </w:rPr>
        <w:t>Cincinnati, Ohio  45202</w:t>
      </w:r>
    </w:p>
    <w:p w:rsidR="00E627B8" w:rsidRPr="00E627B8" w:rsidRDefault="00E627B8" w:rsidP="00E627B8">
      <w:pPr>
        <w:tabs>
          <w:tab w:val="left" w:pos="2160"/>
          <w:tab w:val="left" w:pos="2280"/>
        </w:tabs>
        <w:rPr>
          <w:rFonts w:cs="Arial"/>
          <w:sz w:val="24"/>
          <w:szCs w:val="24"/>
        </w:rPr>
      </w:pPr>
      <w:r w:rsidRPr="00E627B8">
        <w:rPr>
          <w:rFonts w:cs="Arial"/>
          <w:sz w:val="24"/>
          <w:szCs w:val="24"/>
        </w:rPr>
        <w:t>Rocco.d'ascenzo@duke-energy.com</w:t>
      </w:r>
    </w:p>
    <w:p w:rsidR="00E627B8" w:rsidRPr="00E627B8" w:rsidRDefault="00E627B8" w:rsidP="00E627B8">
      <w:pPr>
        <w:tabs>
          <w:tab w:val="left" w:pos="2160"/>
          <w:tab w:val="left" w:pos="2280"/>
        </w:tabs>
        <w:rPr>
          <w:rFonts w:cs="Arial"/>
          <w:sz w:val="24"/>
          <w:szCs w:val="24"/>
        </w:rPr>
      </w:pPr>
    </w:p>
    <w:p w:rsidR="00E627B8" w:rsidRPr="00E627B8" w:rsidRDefault="00E627B8" w:rsidP="00E627B8">
      <w:pPr>
        <w:tabs>
          <w:tab w:val="left" w:pos="2160"/>
          <w:tab w:val="left" w:pos="2280"/>
        </w:tabs>
        <w:rPr>
          <w:rFonts w:cs="Arial"/>
          <w:sz w:val="24"/>
          <w:szCs w:val="24"/>
        </w:rPr>
      </w:pPr>
      <w:r w:rsidRPr="00E627B8">
        <w:rPr>
          <w:rFonts w:cs="Arial"/>
          <w:b/>
          <w:smallCaps/>
          <w:sz w:val="24"/>
          <w:szCs w:val="24"/>
        </w:rPr>
        <w:t>On Behalf of Duke Energy Ohio, Inc</w:t>
      </w:r>
    </w:p>
    <w:p w:rsidR="00E627B8" w:rsidRPr="00E627B8" w:rsidRDefault="00E627B8" w:rsidP="00E627B8">
      <w:pPr>
        <w:autoSpaceDE w:val="0"/>
        <w:autoSpaceDN w:val="0"/>
        <w:adjustRightInd w:val="0"/>
        <w:snapToGrid w:val="0"/>
        <w:rPr>
          <w:rFonts w:cs="Arial"/>
          <w:sz w:val="24"/>
          <w:szCs w:val="24"/>
        </w:rPr>
      </w:pPr>
    </w:p>
    <w:p w:rsidR="00E627B8" w:rsidRPr="00E627B8" w:rsidRDefault="00E627B8" w:rsidP="00E627B8">
      <w:pPr>
        <w:autoSpaceDE w:val="0"/>
        <w:autoSpaceDN w:val="0"/>
        <w:adjustRightInd w:val="0"/>
        <w:snapToGrid w:val="0"/>
        <w:rPr>
          <w:rFonts w:cs="Arial"/>
          <w:sz w:val="24"/>
          <w:szCs w:val="24"/>
        </w:rPr>
      </w:pPr>
      <w:r w:rsidRPr="00E627B8">
        <w:rPr>
          <w:rFonts w:cs="Arial"/>
          <w:sz w:val="24"/>
          <w:szCs w:val="24"/>
        </w:rPr>
        <w:t>David F. Boehm</w:t>
      </w:r>
    </w:p>
    <w:p w:rsidR="00E627B8" w:rsidRPr="00E627B8" w:rsidRDefault="00E627B8" w:rsidP="00E627B8">
      <w:pPr>
        <w:autoSpaceDE w:val="0"/>
        <w:autoSpaceDN w:val="0"/>
        <w:adjustRightInd w:val="0"/>
        <w:snapToGrid w:val="0"/>
        <w:rPr>
          <w:rFonts w:cs="Arial"/>
          <w:sz w:val="24"/>
          <w:szCs w:val="24"/>
        </w:rPr>
      </w:pPr>
      <w:r w:rsidRPr="00E627B8">
        <w:rPr>
          <w:rFonts w:cs="Arial"/>
          <w:sz w:val="24"/>
          <w:szCs w:val="24"/>
        </w:rPr>
        <w:t>Michael L. Kurtz</w:t>
      </w:r>
    </w:p>
    <w:p w:rsidR="00E627B8" w:rsidRPr="00E627B8" w:rsidRDefault="00E627B8" w:rsidP="00E627B8">
      <w:pPr>
        <w:autoSpaceDE w:val="0"/>
        <w:autoSpaceDN w:val="0"/>
        <w:adjustRightInd w:val="0"/>
        <w:snapToGrid w:val="0"/>
        <w:rPr>
          <w:rFonts w:cs="Arial"/>
          <w:sz w:val="24"/>
          <w:szCs w:val="24"/>
        </w:rPr>
      </w:pPr>
      <w:r w:rsidRPr="00E627B8">
        <w:rPr>
          <w:rFonts w:cs="Arial"/>
          <w:sz w:val="24"/>
          <w:szCs w:val="24"/>
        </w:rPr>
        <w:t>Jody Kyler Cohn</w:t>
      </w:r>
    </w:p>
    <w:p w:rsidR="00E627B8" w:rsidRPr="00E627B8" w:rsidRDefault="00E627B8" w:rsidP="00E627B8">
      <w:pPr>
        <w:autoSpaceDE w:val="0"/>
        <w:autoSpaceDN w:val="0"/>
        <w:adjustRightInd w:val="0"/>
        <w:snapToGrid w:val="0"/>
        <w:rPr>
          <w:rFonts w:cs="Arial"/>
          <w:sz w:val="24"/>
          <w:szCs w:val="24"/>
        </w:rPr>
      </w:pPr>
      <w:r w:rsidRPr="00E627B8">
        <w:rPr>
          <w:rFonts w:cs="Arial"/>
          <w:sz w:val="24"/>
          <w:szCs w:val="24"/>
        </w:rPr>
        <w:t>Boehm, Kurtz &amp; Lowry</w:t>
      </w:r>
    </w:p>
    <w:p w:rsidR="00E627B8" w:rsidRPr="00E627B8" w:rsidRDefault="00E627B8" w:rsidP="00E627B8">
      <w:pPr>
        <w:autoSpaceDE w:val="0"/>
        <w:autoSpaceDN w:val="0"/>
        <w:adjustRightInd w:val="0"/>
        <w:snapToGrid w:val="0"/>
        <w:rPr>
          <w:rFonts w:cs="Arial"/>
          <w:sz w:val="24"/>
          <w:szCs w:val="24"/>
        </w:rPr>
      </w:pPr>
      <w:r w:rsidRPr="00E627B8">
        <w:rPr>
          <w:rFonts w:cs="Arial"/>
          <w:sz w:val="24"/>
          <w:szCs w:val="24"/>
        </w:rPr>
        <w:t>36 East Seventh Street, Suite 1510</w:t>
      </w:r>
    </w:p>
    <w:p w:rsidR="00E627B8" w:rsidRPr="00E627B8" w:rsidRDefault="00E627B8" w:rsidP="00E627B8">
      <w:pPr>
        <w:autoSpaceDE w:val="0"/>
        <w:autoSpaceDN w:val="0"/>
        <w:adjustRightInd w:val="0"/>
        <w:snapToGrid w:val="0"/>
        <w:rPr>
          <w:rFonts w:cs="Arial"/>
          <w:sz w:val="24"/>
          <w:szCs w:val="24"/>
        </w:rPr>
      </w:pPr>
      <w:r w:rsidRPr="00E627B8">
        <w:rPr>
          <w:rFonts w:cs="Arial"/>
          <w:sz w:val="24"/>
          <w:szCs w:val="24"/>
        </w:rPr>
        <w:t>Cincinnati, Ohio  45202</w:t>
      </w:r>
    </w:p>
    <w:p w:rsidR="00E627B8" w:rsidRPr="00E627B8" w:rsidRDefault="00E627B8" w:rsidP="00E627B8">
      <w:pPr>
        <w:autoSpaceDE w:val="0"/>
        <w:autoSpaceDN w:val="0"/>
        <w:adjustRightInd w:val="0"/>
        <w:snapToGrid w:val="0"/>
        <w:rPr>
          <w:rFonts w:cs="Arial"/>
          <w:sz w:val="24"/>
          <w:szCs w:val="24"/>
        </w:rPr>
      </w:pPr>
      <w:r w:rsidRPr="00E627B8">
        <w:rPr>
          <w:rFonts w:cs="Arial"/>
          <w:sz w:val="24"/>
          <w:szCs w:val="24"/>
        </w:rPr>
        <w:t>dboehm@bkllawfirm.com</w:t>
      </w:r>
    </w:p>
    <w:p w:rsidR="00E627B8" w:rsidRPr="00E627B8" w:rsidRDefault="00E627B8" w:rsidP="00E627B8">
      <w:pPr>
        <w:autoSpaceDE w:val="0"/>
        <w:autoSpaceDN w:val="0"/>
        <w:adjustRightInd w:val="0"/>
        <w:snapToGrid w:val="0"/>
        <w:rPr>
          <w:rFonts w:cs="Arial"/>
          <w:sz w:val="24"/>
          <w:szCs w:val="24"/>
        </w:rPr>
      </w:pPr>
      <w:r w:rsidRPr="00E627B8">
        <w:rPr>
          <w:rFonts w:cs="Arial"/>
          <w:sz w:val="24"/>
          <w:szCs w:val="24"/>
        </w:rPr>
        <w:t>mkurtz@bkllawfirm.com</w:t>
      </w:r>
    </w:p>
    <w:p w:rsidR="00E627B8" w:rsidRPr="00E627B8" w:rsidRDefault="00E627B8" w:rsidP="00E627B8">
      <w:pPr>
        <w:autoSpaceDE w:val="0"/>
        <w:autoSpaceDN w:val="0"/>
        <w:adjustRightInd w:val="0"/>
        <w:snapToGrid w:val="0"/>
        <w:rPr>
          <w:rFonts w:cs="Arial"/>
          <w:sz w:val="24"/>
          <w:szCs w:val="24"/>
        </w:rPr>
      </w:pPr>
      <w:r w:rsidRPr="00E627B8">
        <w:rPr>
          <w:rFonts w:cs="Arial"/>
          <w:sz w:val="24"/>
          <w:szCs w:val="24"/>
        </w:rPr>
        <w:t>jkylercohn@bkllawfirm.com</w:t>
      </w:r>
    </w:p>
    <w:p w:rsidR="00E627B8" w:rsidRPr="00E627B8" w:rsidRDefault="00E627B8" w:rsidP="00E627B8">
      <w:pPr>
        <w:autoSpaceDE w:val="0"/>
        <w:autoSpaceDN w:val="0"/>
        <w:adjustRightInd w:val="0"/>
        <w:snapToGrid w:val="0"/>
        <w:rPr>
          <w:rFonts w:cs="Arial"/>
          <w:sz w:val="24"/>
          <w:szCs w:val="24"/>
        </w:rPr>
      </w:pPr>
    </w:p>
    <w:p w:rsidR="00E627B8" w:rsidRPr="00E627B8" w:rsidRDefault="00E627B8" w:rsidP="00E627B8">
      <w:pPr>
        <w:autoSpaceDE w:val="0"/>
        <w:autoSpaceDN w:val="0"/>
        <w:adjustRightInd w:val="0"/>
        <w:snapToGrid w:val="0"/>
        <w:rPr>
          <w:rFonts w:cs="Arial"/>
          <w:sz w:val="24"/>
          <w:szCs w:val="24"/>
        </w:rPr>
      </w:pPr>
      <w:r w:rsidRPr="00E627B8">
        <w:rPr>
          <w:rFonts w:cs="Arial"/>
          <w:b/>
          <w:smallCaps/>
          <w:sz w:val="24"/>
          <w:szCs w:val="24"/>
        </w:rPr>
        <w:t>On Behalf of Ohio Energy Group</w:t>
      </w:r>
    </w:p>
    <w:p w:rsidR="00E627B8" w:rsidRPr="00E627B8" w:rsidRDefault="00E627B8" w:rsidP="00E627B8">
      <w:pPr>
        <w:spacing w:after="200" w:line="276" w:lineRule="auto"/>
        <w:rPr>
          <w:rFonts w:cs="Arial"/>
          <w:sz w:val="24"/>
          <w:szCs w:val="24"/>
        </w:rPr>
      </w:pPr>
      <w:r w:rsidRPr="00E627B8">
        <w:rPr>
          <w:rFonts w:cs="Arial"/>
          <w:sz w:val="24"/>
          <w:szCs w:val="24"/>
        </w:rPr>
        <w:br w:type="page"/>
      </w:r>
    </w:p>
    <w:p w:rsidR="00E627B8" w:rsidRPr="00E627B8" w:rsidRDefault="00E627B8" w:rsidP="00E627B8">
      <w:pPr>
        <w:tabs>
          <w:tab w:val="left" w:pos="2160"/>
          <w:tab w:val="left" w:pos="2280"/>
        </w:tabs>
        <w:rPr>
          <w:rFonts w:cs="Arial"/>
          <w:sz w:val="24"/>
          <w:szCs w:val="24"/>
        </w:rPr>
      </w:pPr>
      <w:r w:rsidRPr="00E627B8">
        <w:rPr>
          <w:rFonts w:cs="Arial"/>
          <w:sz w:val="24"/>
          <w:szCs w:val="24"/>
        </w:rPr>
        <w:lastRenderedPageBreak/>
        <w:t>Mark A. Whitt</w:t>
      </w:r>
    </w:p>
    <w:p w:rsidR="00E627B8" w:rsidRPr="00E627B8" w:rsidRDefault="00E627B8" w:rsidP="00E627B8">
      <w:pPr>
        <w:tabs>
          <w:tab w:val="left" w:pos="2160"/>
          <w:tab w:val="left" w:pos="2280"/>
        </w:tabs>
        <w:rPr>
          <w:rFonts w:cs="Arial"/>
          <w:sz w:val="24"/>
          <w:szCs w:val="24"/>
        </w:rPr>
      </w:pPr>
      <w:r w:rsidRPr="00E627B8">
        <w:rPr>
          <w:rFonts w:cs="Arial"/>
          <w:sz w:val="24"/>
          <w:szCs w:val="24"/>
        </w:rPr>
        <w:t>Andrew J. Campbell</w:t>
      </w:r>
    </w:p>
    <w:p w:rsidR="00E627B8" w:rsidRPr="00E627B8" w:rsidRDefault="00E627B8" w:rsidP="00E627B8">
      <w:pPr>
        <w:tabs>
          <w:tab w:val="left" w:pos="2160"/>
          <w:tab w:val="left" w:pos="2280"/>
        </w:tabs>
        <w:rPr>
          <w:rFonts w:cs="Arial"/>
          <w:sz w:val="24"/>
          <w:szCs w:val="24"/>
        </w:rPr>
      </w:pPr>
      <w:r w:rsidRPr="00E627B8">
        <w:rPr>
          <w:rFonts w:cs="Arial"/>
          <w:sz w:val="24"/>
          <w:szCs w:val="24"/>
        </w:rPr>
        <w:t>Gregory L. Williams</w:t>
      </w:r>
    </w:p>
    <w:p w:rsidR="00E627B8" w:rsidRPr="00E627B8" w:rsidRDefault="00E627B8" w:rsidP="00E627B8">
      <w:pPr>
        <w:tabs>
          <w:tab w:val="left" w:pos="2160"/>
          <w:tab w:val="left" w:pos="2280"/>
        </w:tabs>
        <w:rPr>
          <w:rFonts w:cs="Arial"/>
          <w:sz w:val="24"/>
          <w:szCs w:val="24"/>
        </w:rPr>
      </w:pPr>
      <w:r w:rsidRPr="00E627B8">
        <w:rPr>
          <w:rFonts w:cs="Arial"/>
          <w:sz w:val="24"/>
          <w:szCs w:val="24"/>
        </w:rPr>
        <w:t>Whitt Sturtevant LLP</w:t>
      </w:r>
    </w:p>
    <w:p w:rsidR="00E627B8" w:rsidRPr="00E627B8" w:rsidRDefault="00E627B8" w:rsidP="00E627B8">
      <w:pPr>
        <w:tabs>
          <w:tab w:val="left" w:pos="2160"/>
          <w:tab w:val="left" w:pos="2280"/>
        </w:tabs>
        <w:rPr>
          <w:rFonts w:cs="Arial"/>
          <w:sz w:val="24"/>
          <w:szCs w:val="24"/>
        </w:rPr>
      </w:pPr>
      <w:r w:rsidRPr="00E627B8">
        <w:rPr>
          <w:rFonts w:cs="Arial"/>
          <w:sz w:val="24"/>
          <w:szCs w:val="24"/>
        </w:rPr>
        <w:t>The KeyBank Building, Suite 1590</w:t>
      </w:r>
    </w:p>
    <w:p w:rsidR="00E627B8" w:rsidRPr="00E627B8" w:rsidRDefault="00E627B8" w:rsidP="00E627B8">
      <w:pPr>
        <w:tabs>
          <w:tab w:val="left" w:pos="2160"/>
          <w:tab w:val="left" w:pos="2280"/>
        </w:tabs>
        <w:rPr>
          <w:rFonts w:cs="Arial"/>
          <w:sz w:val="24"/>
          <w:szCs w:val="24"/>
        </w:rPr>
      </w:pPr>
      <w:r w:rsidRPr="00E627B8">
        <w:rPr>
          <w:rFonts w:cs="Arial"/>
          <w:sz w:val="24"/>
          <w:szCs w:val="24"/>
        </w:rPr>
        <w:t>88 East Broad Street</w:t>
      </w:r>
    </w:p>
    <w:p w:rsidR="00E627B8" w:rsidRPr="00E627B8" w:rsidRDefault="00E627B8" w:rsidP="00E627B8">
      <w:pPr>
        <w:tabs>
          <w:tab w:val="left" w:pos="2160"/>
          <w:tab w:val="left" w:pos="2280"/>
        </w:tabs>
        <w:rPr>
          <w:rFonts w:cs="Arial"/>
          <w:sz w:val="24"/>
          <w:szCs w:val="24"/>
        </w:rPr>
      </w:pPr>
      <w:r w:rsidRPr="00E627B8">
        <w:rPr>
          <w:rFonts w:cs="Arial"/>
          <w:sz w:val="24"/>
          <w:szCs w:val="24"/>
        </w:rPr>
        <w:t>Columbus, Ohio  43215</w:t>
      </w:r>
    </w:p>
    <w:p w:rsidR="00E627B8" w:rsidRPr="00E627B8" w:rsidRDefault="00E627B8" w:rsidP="00E627B8">
      <w:pPr>
        <w:tabs>
          <w:tab w:val="left" w:pos="2160"/>
          <w:tab w:val="left" w:pos="2280"/>
        </w:tabs>
        <w:rPr>
          <w:rFonts w:cs="Arial"/>
          <w:sz w:val="24"/>
          <w:szCs w:val="24"/>
        </w:rPr>
      </w:pPr>
      <w:r w:rsidRPr="008C65B7">
        <w:rPr>
          <w:rFonts w:cs="Arial"/>
          <w:sz w:val="24"/>
          <w:szCs w:val="24"/>
        </w:rPr>
        <w:t>whit@whitt-sturtevant.com</w:t>
      </w:r>
    </w:p>
    <w:p w:rsidR="00E627B8" w:rsidRPr="00E627B8" w:rsidRDefault="00E627B8" w:rsidP="00E627B8">
      <w:pPr>
        <w:tabs>
          <w:tab w:val="left" w:pos="2160"/>
          <w:tab w:val="left" w:pos="2280"/>
        </w:tabs>
        <w:rPr>
          <w:rFonts w:cs="Arial"/>
          <w:sz w:val="24"/>
          <w:szCs w:val="24"/>
        </w:rPr>
      </w:pPr>
      <w:r w:rsidRPr="008C65B7">
        <w:rPr>
          <w:rFonts w:cs="Arial"/>
          <w:sz w:val="24"/>
          <w:szCs w:val="24"/>
        </w:rPr>
        <w:t>Campbell@whitt-sturtevant.com</w:t>
      </w:r>
    </w:p>
    <w:p w:rsidR="00E627B8" w:rsidRPr="00E627B8" w:rsidRDefault="00E627B8" w:rsidP="00E627B8">
      <w:pPr>
        <w:tabs>
          <w:tab w:val="left" w:pos="2160"/>
          <w:tab w:val="left" w:pos="2280"/>
        </w:tabs>
        <w:rPr>
          <w:rFonts w:cs="Arial"/>
          <w:sz w:val="24"/>
          <w:szCs w:val="24"/>
        </w:rPr>
      </w:pPr>
      <w:r w:rsidRPr="008C65B7">
        <w:rPr>
          <w:rFonts w:cs="Arial"/>
          <w:sz w:val="24"/>
          <w:szCs w:val="24"/>
        </w:rPr>
        <w:t>Williams@whitt-sturtevant.com</w:t>
      </w:r>
    </w:p>
    <w:p w:rsidR="00E627B8" w:rsidRPr="00E627B8" w:rsidRDefault="00E627B8" w:rsidP="00E627B8">
      <w:pPr>
        <w:tabs>
          <w:tab w:val="left" w:pos="2160"/>
          <w:tab w:val="left" w:pos="2280"/>
        </w:tabs>
        <w:rPr>
          <w:rFonts w:cs="Arial"/>
          <w:sz w:val="24"/>
          <w:szCs w:val="24"/>
        </w:rPr>
      </w:pPr>
    </w:p>
    <w:p w:rsidR="00E627B8" w:rsidRPr="00E627B8" w:rsidRDefault="00E627B8" w:rsidP="00E627B8">
      <w:pPr>
        <w:tabs>
          <w:tab w:val="left" w:pos="2160"/>
          <w:tab w:val="left" w:pos="2280"/>
        </w:tabs>
        <w:rPr>
          <w:rFonts w:cs="Arial"/>
          <w:sz w:val="24"/>
          <w:szCs w:val="24"/>
        </w:rPr>
      </w:pPr>
      <w:r w:rsidRPr="00E627B8">
        <w:rPr>
          <w:rFonts w:cs="Arial"/>
          <w:sz w:val="24"/>
          <w:szCs w:val="24"/>
        </w:rPr>
        <w:t>Vincent Parisi</w:t>
      </w:r>
    </w:p>
    <w:p w:rsidR="00E627B8" w:rsidRPr="00E627B8" w:rsidRDefault="00E627B8" w:rsidP="00E627B8">
      <w:pPr>
        <w:tabs>
          <w:tab w:val="left" w:pos="2160"/>
          <w:tab w:val="left" w:pos="2280"/>
        </w:tabs>
        <w:rPr>
          <w:rFonts w:cs="Arial"/>
          <w:sz w:val="24"/>
          <w:szCs w:val="24"/>
        </w:rPr>
      </w:pPr>
      <w:r w:rsidRPr="00E627B8">
        <w:rPr>
          <w:rFonts w:cs="Arial"/>
          <w:sz w:val="24"/>
          <w:szCs w:val="24"/>
        </w:rPr>
        <w:t>Lawrence Friedeman</w:t>
      </w:r>
    </w:p>
    <w:p w:rsidR="00E627B8" w:rsidRPr="00E627B8" w:rsidRDefault="00E627B8" w:rsidP="00E627B8">
      <w:pPr>
        <w:tabs>
          <w:tab w:val="left" w:pos="2160"/>
          <w:tab w:val="left" w:pos="2280"/>
        </w:tabs>
        <w:rPr>
          <w:rFonts w:cs="Arial"/>
          <w:sz w:val="24"/>
          <w:szCs w:val="24"/>
        </w:rPr>
      </w:pPr>
      <w:r w:rsidRPr="00E627B8">
        <w:rPr>
          <w:rFonts w:cs="Arial"/>
          <w:sz w:val="24"/>
          <w:szCs w:val="24"/>
        </w:rPr>
        <w:t>Matthew White</w:t>
      </w:r>
    </w:p>
    <w:p w:rsidR="00E627B8" w:rsidRPr="00E627B8" w:rsidRDefault="00E627B8" w:rsidP="00E627B8">
      <w:pPr>
        <w:tabs>
          <w:tab w:val="left" w:pos="2160"/>
          <w:tab w:val="left" w:pos="2280"/>
        </w:tabs>
        <w:rPr>
          <w:rFonts w:cs="Arial"/>
          <w:sz w:val="24"/>
          <w:szCs w:val="24"/>
        </w:rPr>
      </w:pPr>
      <w:r w:rsidRPr="00E627B8">
        <w:rPr>
          <w:rFonts w:cs="Arial"/>
          <w:sz w:val="24"/>
          <w:szCs w:val="24"/>
        </w:rPr>
        <w:t>Interstate Gas Supply, Inc.</w:t>
      </w:r>
    </w:p>
    <w:p w:rsidR="00E627B8" w:rsidRPr="00E627B8" w:rsidRDefault="00E627B8" w:rsidP="00E627B8">
      <w:pPr>
        <w:tabs>
          <w:tab w:val="left" w:pos="2160"/>
          <w:tab w:val="left" w:pos="2280"/>
        </w:tabs>
        <w:rPr>
          <w:rFonts w:cs="Arial"/>
          <w:sz w:val="24"/>
          <w:szCs w:val="24"/>
        </w:rPr>
      </w:pPr>
      <w:r w:rsidRPr="00E627B8">
        <w:rPr>
          <w:rFonts w:cs="Arial"/>
          <w:sz w:val="24"/>
          <w:szCs w:val="24"/>
        </w:rPr>
        <w:t>6100 Emerald Parkway</w:t>
      </w:r>
    </w:p>
    <w:p w:rsidR="00E627B8" w:rsidRPr="00E627B8" w:rsidRDefault="00E627B8" w:rsidP="00E627B8">
      <w:pPr>
        <w:tabs>
          <w:tab w:val="left" w:pos="2160"/>
          <w:tab w:val="left" w:pos="2280"/>
        </w:tabs>
        <w:rPr>
          <w:rFonts w:cs="Arial"/>
          <w:sz w:val="24"/>
          <w:szCs w:val="24"/>
        </w:rPr>
      </w:pPr>
      <w:r w:rsidRPr="00E627B8">
        <w:rPr>
          <w:rFonts w:cs="Arial"/>
          <w:sz w:val="24"/>
          <w:szCs w:val="24"/>
        </w:rPr>
        <w:t>Dublin, Ohio  43016</w:t>
      </w:r>
    </w:p>
    <w:p w:rsidR="00E627B8" w:rsidRPr="00E627B8" w:rsidRDefault="00E627B8" w:rsidP="00E627B8">
      <w:pPr>
        <w:tabs>
          <w:tab w:val="left" w:pos="2160"/>
          <w:tab w:val="left" w:pos="2280"/>
        </w:tabs>
        <w:rPr>
          <w:rFonts w:cs="Arial"/>
          <w:sz w:val="24"/>
          <w:szCs w:val="24"/>
        </w:rPr>
      </w:pPr>
      <w:r w:rsidRPr="00E627B8">
        <w:rPr>
          <w:rFonts w:cs="Arial"/>
          <w:sz w:val="24"/>
          <w:szCs w:val="24"/>
        </w:rPr>
        <w:t>vparisi@igsenergy.com</w:t>
      </w:r>
    </w:p>
    <w:p w:rsidR="00E627B8" w:rsidRPr="00E627B8" w:rsidRDefault="00E627B8" w:rsidP="00E627B8">
      <w:pPr>
        <w:tabs>
          <w:tab w:val="left" w:pos="2160"/>
          <w:tab w:val="left" w:pos="2280"/>
        </w:tabs>
        <w:rPr>
          <w:rFonts w:cs="Arial"/>
          <w:sz w:val="24"/>
          <w:szCs w:val="24"/>
        </w:rPr>
      </w:pPr>
      <w:r w:rsidRPr="008C65B7">
        <w:rPr>
          <w:rFonts w:cs="Arial"/>
          <w:sz w:val="24"/>
          <w:szCs w:val="24"/>
        </w:rPr>
        <w:t>lfriedeman@igsenergy.com</w:t>
      </w:r>
    </w:p>
    <w:p w:rsidR="00E627B8" w:rsidRPr="00E627B8" w:rsidRDefault="00E627B8" w:rsidP="00E627B8">
      <w:pPr>
        <w:tabs>
          <w:tab w:val="left" w:pos="2160"/>
          <w:tab w:val="left" w:pos="2280"/>
        </w:tabs>
        <w:rPr>
          <w:rFonts w:cs="Arial"/>
          <w:sz w:val="24"/>
          <w:szCs w:val="24"/>
        </w:rPr>
      </w:pPr>
      <w:r w:rsidRPr="008C65B7">
        <w:rPr>
          <w:rFonts w:cs="Arial"/>
          <w:sz w:val="24"/>
          <w:szCs w:val="24"/>
        </w:rPr>
        <w:t>mswhite@igsenergy.com</w:t>
      </w:r>
    </w:p>
    <w:p w:rsidR="00E627B8" w:rsidRPr="00E627B8" w:rsidRDefault="00E627B8" w:rsidP="00E627B8">
      <w:pPr>
        <w:tabs>
          <w:tab w:val="left" w:pos="2160"/>
          <w:tab w:val="left" w:pos="2280"/>
        </w:tabs>
        <w:rPr>
          <w:rFonts w:cs="Arial"/>
          <w:sz w:val="24"/>
          <w:szCs w:val="24"/>
        </w:rPr>
      </w:pPr>
    </w:p>
    <w:p w:rsidR="00E627B8" w:rsidRPr="00E627B8" w:rsidRDefault="00E627B8" w:rsidP="00E627B8">
      <w:pPr>
        <w:tabs>
          <w:tab w:val="left" w:pos="2160"/>
          <w:tab w:val="left" w:pos="2280"/>
        </w:tabs>
        <w:rPr>
          <w:rFonts w:ascii="Arial Bold" w:hAnsi="Arial Bold" w:cs="Arial"/>
          <w:b/>
          <w:smallCaps/>
          <w:sz w:val="24"/>
          <w:szCs w:val="24"/>
        </w:rPr>
      </w:pPr>
      <w:r w:rsidRPr="00E627B8">
        <w:rPr>
          <w:rFonts w:ascii="Arial Bold" w:hAnsi="Arial Bold" w:cs="Arial"/>
          <w:b/>
          <w:smallCaps/>
          <w:sz w:val="24"/>
          <w:szCs w:val="24"/>
        </w:rPr>
        <w:t>On Behalf of Interstate Gas Supply, Inc.</w:t>
      </w:r>
    </w:p>
    <w:p w:rsidR="00E627B8" w:rsidRPr="00E627B8" w:rsidRDefault="00E627B8" w:rsidP="00E627B8">
      <w:pPr>
        <w:tabs>
          <w:tab w:val="left" w:pos="2160"/>
          <w:tab w:val="left" w:pos="2280"/>
        </w:tabs>
        <w:rPr>
          <w:rFonts w:cs="Arial"/>
          <w:b/>
          <w:smallCaps/>
          <w:sz w:val="24"/>
          <w:szCs w:val="24"/>
        </w:rPr>
      </w:pPr>
    </w:p>
    <w:p w:rsidR="00E627B8" w:rsidRPr="00E627B8" w:rsidRDefault="00E627B8" w:rsidP="00E627B8">
      <w:pPr>
        <w:rPr>
          <w:rFonts w:cs="Arial"/>
          <w:sz w:val="24"/>
          <w:szCs w:val="24"/>
        </w:rPr>
      </w:pPr>
      <w:r w:rsidRPr="00E627B8">
        <w:rPr>
          <w:rFonts w:cs="Arial"/>
          <w:sz w:val="24"/>
          <w:szCs w:val="24"/>
        </w:rPr>
        <w:t>Mark A. Hayden</w:t>
      </w:r>
    </w:p>
    <w:p w:rsidR="00E627B8" w:rsidRPr="00E627B8" w:rsidRDefault="00E627B8" w:rsidP="00E627B8">
      <w:pPr>
        <w:rPr>
          <w:rFonts w:cs="Arial"/>
          <w:sz w:val="24"/>
          <w:szCs w:val="24"/>
        </w:rPr>
      </w:pPr>
      <w:r w:rsidRPr="00E627B8">
        <w:rPr>
          <w:rFonts w:cs="Arial"/>
          <w:sz w:val="24"/>
          <w:szCs w:val="24"/>
        </w:rPr>
        <w:t>FirstEnergy Service Company</w:t>
      </w:r>
    </w:p>
    <w:p w:rsidR="00E627B8" w:rsidRPr="00E627B8" w:rsidRDefault="00E627B8" w:rsidP="00E627B8">
      <w:pPr>
        <w:rPr>
          <w:rFonts w:cs="Arial"/>
          <w:sz w:val="24"/>
          <w:szCs w:val="24"/>
        </w:rPr>
      </w:pPr>
      <w:r w:rsidRPr="00E627B8">
        <w:rPr>
          <w:rFonts w:cs="Arial"/>
          <w:sz w:val="24"/>
          <w:szCs w:val="24"/>
        </w:rPr>
        <w:t>76 South Main Street</w:t>
      </w:r>
    </w:p>
    <w:p w:rsidR="00E627B8" w:rsidRPr="00E627B8" w:rsidRDefault="00E627B8" w:rsidP="00E627B8">
      <w:pPr>
        <w:rPr>
          <w:rFonts w:cs="Arial"/>
          <w:sz w:val="24"/>
          <w:szCs w:val="24"/>
        </w:rPr>
      </w:pPr>
      <w:r w:rsidRPr="00E627B8">
        <w:rPr>
          <w:rFonts w:cs="Arial"/>
          <w:sz w:val="24"/>
          <w:szCs w:val="24"/>
        </w:rPr>
        <w:t>Akron, Ohio  44308</w:t>
      </w:r>
    </w:p>
    <w:p w:rsidR="00E627B8" w:rsidRPr="00E627B8" w:rsidRDefault="00E627B8" w:rsidP="00E627B8">
      <w:pPr>
        <w:rPr>
          <w:rFonts w:cs="Arial"/>
          <w:sz w:val="24"/>
          <w:szCs w:val="24"/>
        </w:rPr>
      </w:pPr>
      <w:r w:rsidRPr="00E627B8">
        <w:rPr>
          <w:rFonts w:cs="Arial"/>
          <w:sz w:val="24"/>
          <w:szCs w:val="24"/>
        </w:rPr>
        <w:t>haydenm@firstenergycorp.com</w:t>
      </w:r>
    </w:p>
    <w:p w:rsidR="00E627B8" w:rsidRPr="00E627B8" w:rsidRDefault="00E627B8" w:rsidP="00E627B8">
      <w:pPr>
        <w:rPr>
          <w:rFonts w:cs="Arial"/>
          <w:sz w:val="24"/>
          <w:szCs w:val="24"/>
        </w:rPr>
      </w:pPr>
    </w:p>
    <w:p w:rsidR="00E627B8" w:rsidRPr="00E627B8" w:rsidRDefault="00E627B8" w:rsidP="00E627B8">
      <w:pPr>
        <w:rPr>
          <w:rFonts w:cs="Arial"/>
          <w:sz w:val="24"/>
          <w:szCs w:val="24"/>
        </w:rPr>
      </w:pPr>
      <w:r w:rsidRPr="00E627B8">
        <w:rPr>
          <w:rFonts w:cs="Arial"/>
          <w:sz w:val="24"/>
          <w:szCs w:val="24"/>
        </w:rPr>
        <w:t>James F. Lang</w:t>
      </w:r>
    </w:p>
    <w:p w:rsidR="00E627B8" w:rsidRPr="00E627B8" w:rsidRDefault="00E627B8" w:rsidP="00E627B8">
      <w:pPr>
        <w:rPr>
          <w:rFonts w:cs="Arial"/>
          <w:sz w:val="24"/>
          <w:szCs w:val="24"/>
        </w:rPr>
      </w:pPr>
      <w:r w:rsidRPr="00E627B8">
        <w:rPr>
          <w:rFonts w:cs="Arial"/>
          <w:sz w:val="24"/>
          <w:szCs w:val="24"/>
        </w:rPr>
        <w:t>N. Trevor Alexander</w:t>
      </w:r>
    </w:p>
    <w:p w:rsidR="00E627B8" w:rsidRPr="00E627B8" w:rsidRDefault="00E627B8" w:rsidP="00E627B8">
      <w:pPr>
        <w:rPr>
          <w:rFonts w:cs="Arial"/>
          <w:sz w:val="24"/>
          <w:szCs w:val="24"/>
        </w:rPr>
      </w:pPr>
      <w:r w:rsidRPr="00E627B8">
        <w:rPr>
          <w:rFonts w:cs="Arial"/>
          <w:sz w:val="24"/>
          <w:szCs w:val="24"/>
        </w:rPr>
        <w:t>Calfee, Halter &amp; Griswold LLP</w:t>
      </w:r>
    </w:p>
    <w:p w:rsidR="00E627B8" w:rsidRPr="00E627B8" w:rsidRDefault="00E627B8" w:rsidP="00E627B8">
      <w:pPr>
        <w:rPr>
          <w:rFonts w:cs="Arial"/>
          <w:sz w:val="24"/>
          <w:szCs w:val="24"/>
        </w:rPr>
      </w:pPr>
      <w:r w:rsidRPr="00E627B8">
        <w:rPr>
          <w:rFonts w:cs="Arial"/>
          <w:sz w:val="24"/>
          <w:szCs w:val="24"/>
        </w:rPr>
        <w:t>The Calfee Building</w:t>
      </w:r>
    </w:p>
    <w:p w:rsidR="00E627B8" w:rsidRPr="00E627B8" w:rsidRDefault="00E627B8" w:rsidP="00E627B8">
      <w:pPr>
        <w:rPr>
          <w:rFonts w:cs="Arial"/>
          <w:sz w:val="24"/>
          <w:szCs w:val="24"/>
        </w:rPr>
      </w:pPr>
      <w:r w:rsidRPr="00E627B8">
        <w:rPr>
          <w:rFonts w:cs="Arial"/>
          <w:sz w:val="24"/>
          <w:szCs w:val="24"/>
        </w:rPr>
        <w:t>1405 East Sixth Street</w:t>
      </w:r>
    </w:p>
    <w:p w:rsidR="00E627B8" w:rsidRPr="00E627B8" w:rsidRDefault="00E627B8" w:rsidP="00E627B8">
      <w:pPr>
        <w:rPr>
          <w:rFonts w:cs="Arial"/>
          <w:sz w:val="24"/>
          <w:szCs w:val="24"/>
        </w:rPr>
      </w:pPr>
      <w:r w:rsidRPr="00E627B8">
        <w:rPr>
          <w:rFonts w:cs="Arial"/>
          <w:sz w:val="24"/>
          <w:szCs w:val="24"/>
        </w:rPr>
        <w:t>Cleveland, Ohio  44114</w:t>
      </w:r>
    </w:p>
    <w:p w:rsidR="00E627B8" w:rsidRPr="00E627B8" w:rsidRDefault="00E627B8" w:rsidP="00E627B8">
      <w:pPr>
        <w:rPr>
          <w:rFonts w:cs="Arial"/>
          <w:sz w:val="24"/>
          <w:szCs w:val="24"/>
        </w:rPr>
      </w:pPr>
      <w:r w:rsidRPr="00E627B8">
        <w:rPr>
          <w:rFonts w:cs="Arial"/>
          <w:sz w:val="24"/>
          <w:szCs w:val="24"/>
        </w:rPr>
        <w:t>jlang@calfee.com</w:t>
      </w:r>
    </w:p>
    <w:p w:rsidR="00E627B8" w:rsidRPr="00E627B8" w:rsidRDefault="00E627B8" w:rsidP="00E627B8">
      <w:pPr>
        <w:rPr>
          <w:rFonts w:cs="Arial"/>
          <w:sz w:val="24"/>
          <w:szCs w:val="24"/>
        </w:rPr>
      </w:pPr>
      <w:r w:rsidRPr="00E627B8">
        <w:rPr>
          <w:rFonts w:cs="Arial"/>
          <w:sz w:val="24"/>
          <w:szCs w:val="24"/>
        </w:rPr>
        <w:t>talexander@calfee.com</w:t>
      </w:r>
    </w:p>
    <w:p w:rsidR="00E627B8" w:rsidRPr="00E627B8" w:rsidRDefault="00E627B8" w:rsidP="00E627B8">
      <w:pPr>
        <w:rPr>
          <w:rFonts w:cs="Arial"/>
          <w:sz w:val="24"/>
          <w:szCs w:val="24"/>
        </w:rPr>
      </w:pPr>
    </w:p>
    <w:p w:rsidR="00E627B8" w:rsidRPr="00E627B8" w:rsidRDefault="00E627B8" w:rsidP="00E627B8">
      <w:pPr>
        <w:rPr>
          <w:rFonts w:cs="Arial"/>
          <w:sz w:val="24"/>
          <w:szCs w:val="24"/>
        </w:rPr>
      </w:pPr>
      <w:r w:rsidRPr="00E627B8">
        <w:rPr>
          <w:rFonts w:cs="Arial"/>
          <w:b/>
          <w:smallCaps/>
          <w:sz w:val="24"/>
          <w:szCs w:val="24"/>
        </w:rPr>
        <w:t>On Behalf of FirstEnergy Solutions Corp.</w:t>
      </w:r>
    </w:p>
    <w:p w:rsidR="00E627B8" w:rsidRDefault="00E627B8" w:rsidP="00E627B8">
      <w:pPr>
        <w:rPr>
          <w:rFonts w:cs="Arial"/>
          <w:sz w:val="24"/>
          <w:szCs w:val="24"/>
        </w:rPr>
      </w:pPr>
    </w:p>
    <w:p w:rsidR="00E627B8" w:rsidRDefault="00E627B8" w:rsidP="00E627B8">
      <w:pPr>
        <w:rPr>
          <w:rFonts w:cs="Arial"/>
          <w:sz w:val="24"/>
          <w:szCs w:val="24"/>
        </w:rPr>
      </w:pPr>
    </w:p>
    <w:p w:rsidR="00E627B8" w:rsidRDefault="00E627B8" w:rsidP="00E627B8">
      <w:pPr>
        <w:rPr>
          <w:rFonts w:cs="Arial"/>
          <w:sz w:val="24"/>
          <w:szCs w:val="24"/>
        </w:rPr>
      </w:pPr>
    </w:p>
    <w:p w:rsidR="00E627B8" w:rsidRDefault="00E627B8" w:rsidP="00E627B8">
      <w:pPr>
        <w:rPr>
          <w:rFonts w:cs="Arial"/>
          <w:sz w:val="24"/>
          <w:szCs w:val="24"/>
        </w:rPr>
      </w:pPr>
    </w:p>
    <w:p w:rsidR="00E627B8" w:rsidRPr="00E627B8" w:rsidRDefault="00E627B8" w:rsidP="00E627B8">
      <w:pPr>
        <w:rPr>
          <w:rFonts w:cs="Arial"/>
          <w:sz w:val="24"/>
          <w:szCs w:val="24"/>
        </w:rPr>
      </w:pPr>
    </w:p>
    <w:p w:rsidR="00E627B8" w:rsidRPr="00E627B8" w:rsidRDefault="00E627B8" w:rsidP="00E627B8">
      <w:pPr>
        <w:rPr>
          <w:rFonts w:cs="Arial"/>
          <w:sz w:val="24"/>
          <w:szCs w:val="24"/>
        </w:rPr>
      </w:pPr>
      <w:r w:rsidRPr="00E627B8">
        <w:rPr>
          <w:rFonts w:cs="Arial"/>
          <w:sz w:val="24"/>
          <w:szCs w:val="24"/>
        </w:rPr>
        <w:lastRenderedPageBreak/>
        <w:t>Bryce A. McKenney</w:t>
      </w:r>
    </w:p>
    <w:p w:rsidR="00E627B8" w:rsidRPr="00E627B8" w:rsidRDefault="00E627B8" w:rsidP="00E627B8">
      <w:pPr>
        <w:rPr>
          <w:rFonts w:cs="Arial"/>
          <w:sz w:val="24"/>
          <w:szCs w:val="24"/>
        </w:rPr>
      </w:pPr>
      <w:r w:rsidRPr="00E627B8">
        <w:rPr>
          <w:rFonts w:cs="Arial"/>
          <w:sz w:val="24"/>
          <w:szCs w:val="24"/>
        </w:rPr>
        <w:t>Attorney Examiner</w:t>
      </w:r>
    </w:p>
    <w:p w:rsidR="00E627B8" w:rsidRPr="00E627B8" w:rsidRDefault="00E627B8" w:rsidP="00E627B8">
      <w:pPr>
        <w:rPr>
          <w:rFonts w:cs="Arial"/>
          <w:sz w:val="24"/>
          <w:szCs w:val="24"/>
        </w:rPr>
      </w:pPr>
      <w:r w:rsidRPr="00E627B8">
        <w:rPr>
          <w:rFonts w:cs="Arial"/>
          <w:sz w:val="24"/>
          <w:szCs w:val="24"/>
        </w:rPr>
        <w:t>Public Utilities Commission of Ohio</w:t>
      </w:r>
    </w:p>
    <w:p w:rsidR="00E627B8" w:rsidRPr="00E627B8" w:rsidRDefault="00E627B8" w:rsidP="00E627B8">
      <w:pPr>
        <w:rPr>
          <w:rFonts w:cs="Arial"/>
          <w:sz w:val="24"/>
          <w:szCs w:val="24"/>
        </w:rPr>
      </w:pPr>
      <w:r w:rsidRPr="00E627B8">
        <w:rPr>
          <w:rFonts w:cs="Arial"/>
          <w:sz w:val="24"/>
          <w:szCs w:val="24"/>
        </w:rPr>
        <w:t>180 East Broad Street</w:t>
      </w:r>
    </w:p>
    <w:p w:rsidR="00E627B8" w:rsidRPr="00E627B8" w:rsidRDefault="00E627B8" w:rsidP="00E627B8">
      <w:pPr>
        <w:rPr>
          <w:rFonts w:cs="Arial"/>
          <w:sz w:val="24"/>
          <w:szCs w:val="24"/>
        </w:rPr>
      </w:pPr>
      <w:r w:rsidRPr="00E627B8">
        <w:rPr>
          <w:rFonts w:cs="Arial"/>
          <w:sz w:val="24"/>
          <w:szCs w:val="24"/>
        </w:rPr>
        <w:t>Columbus, Ohio  43215</w:t>
      </w:r>
    </w:p>
    <w:p w:rsidR="00E627B8" w:rsidRPr="00E627B8" w:rsidRDefault="00E627B8" w:rsidP="00E627B8">
      <w:pPr>
        <w:tabs>
          <w:tab w:val="left" w:pos="2160"/>
          <w:tab w:val="left" w:pos="2280"/>
        </w:tabs>
        <w:rPr>
          <w:rFonts w:cs="Arial"/>
          <w:sz w:val="24"/>
          <w:szCs w:val="24"/>
        </w:rPr>
      </w:pPr>
    </w:p>
    <w:p w:rsidR="00E627B8" w:rsidRPr="00E627B8" w:rsidRDefault="00E627B8" w:rsidP="00E627B8">
      <w:pPr>
        <w:rPr>
          <w:rFonts w:ascii="Arial Bold" w:hAnsi="Arial Bold" w:cs="Arial"/>
          <w:b/>
          <w:smallCaps/>
          <w:sz w:val="24"/>
          <w:szCs w:val="24"/>
        </w:rPr>
      </w:pPr>
      <w:r w:rsidRPr="00E627B8">
        <w:rPr>
          <w:rFonts w:ascii="Arial Bold" w:hAnsi="Arial Bold" w:cs="Arial"/>
          <w:b/>
          <w:smallCaps/>
          <w:sz w:val="24"/>
          <w:szCs w:val="24"/>
        </w:rPr>
        <w:t>Attorney Examiner</w:t>
      </w:r>
    </w:p>
    <w:p w:rsidR="008E3BF4" w:rsidRPr="00E627B8" w:rsidRDefault="008E3BF4" w:rsidP="00535DC4">
      <w:pPr>
        <w:tabs>
          <w:tab w:val="left" w:pos="2160"/>
          <w:tab w:val="left" w:pos="2280"/>
        </w:tabs>
        <w:rPr>
          <w:sz w:val="24"/>
          <w:szCs w:val="24"/>
        </w:rPr>
      </w:pPr>
    </w:p>
    <w:sectPr w:rsidR="008E3BF4" w:rsidRPr="00E627B8" w:rsidSect="00E627B8">
      <w:headerReference w:type="default" r:id="rId25"/>
      <w:footerReference w:type="default" r:id="rId26"/>
      <w:headerReference w:type="first" r:id="rId27"/>
      <w:footerReference w:type="first" r:id="rId28"/>
      <w:type w:val="continuous"/>
      <w:pgSz w:w="12240" w:h="15840" w:code="1"/>
      <w:pgMar w:top="1440" w:right="1440" w:bottom="1440" w:left="1440" w:header="720" w:footer="720" w:gutter="0"/>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F90" w:rsidRDefault="003D5F90" w:rsidP="00BE7C20">
      <w:r>
        <w:separator/>
      </w:r>
    </w:p>
  </w:endnote>
  <w:endnote w:type="continuationSeparator" w:id="0">
    <w:p w:rsidR="003D5F90" w:rsidRDefault="003D5F90" w:rsidP="00BE7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8E6" w:rsidRDefault="005E48E6">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F90" w:rsidRPr="00D10388" w:rsidRDefault="0043434F">
    <w:pPr>
      <w:pStyle w:val="Footer"/>
    </w:pPr>
    <w:r w:rsidRPr="0043434F">
      <w:rPr>
        <w:noProof/>
        <w:sz w:val="16"/>
      </w:rPr>
      <w:t>{C43148:2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F90" w:rsidRPr="00FD0302" w:rsidRDefault="0043434F" w:rsidP="00683BF1">
    <w:pPr>
      <w:pStyle w:val="Footer"/>
    </w:pPr>
    <w:r w:rsidRPr="0043434F">
      <w:rPr>
        <w:noProof/>
        <w:sz w:val="16"/>
      </w:rPr>
      <w:t>{C43148:2 }</w:t>
    </w:r>
    <w:sdt>
      <w:sdtPr>
        <w:id w:val="1617405602"/>
        <w:docPartObj>
          <w:docPartGallery w:val="Page Numbers (Bottom of Page)"/>
          <w:docPartUnique/>
        </w:docPartObj>
      </w:sdtPr>
      <w:sdtEndPr>
        <w:rPr>
          <w:noProof/>
        </w:rPr>
      </w:sdtEndPr>
      <w:sdtContent>
        <w:r w:rsidR="003D5F90">
          <w:tab/>
        </w:r>
        <w:r w:rsidR="003D5F90" w:rsidRPr="00FD0302">
          <w:fldChar w:fldCharType="begin"/>
        </w:r>
        <w:r w:rsidR="003D5F90" w:rsidRPr="00FD0302">
          <w:instrText xml:space="preserve"> PAGE   \* MERGEFORMAT </w:instrText>
        </w:r>
        <w:r w:rsidR="003D5F90" w:rsidRPr="00FD0302">
          <w:fldChar w:fldCharType="separate"/>
        </w:r>
        <w:r w:rsidR="003D5F90">
          <w:rPr>
            <w:noProof/>
          </w:rPr>
          <w:t>1</w:t>
        </w:r>
        <w:r w:rsidR="003D5F90" w:rsidRPr="00FD0302">
          <w:rPr>
            <w:noProof/>
          </w:rPr>
          <w:fldChar w:fldCharType="end"/>
        </w:r>
      </w:sdtContent>
    </w:sdt>
  </w:p>
  <w:p w:rsidR="003D5F90" w:rsidRPr="00FD0302" w:rsidRDefault="003D5F9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F90" w:rsidRPr="00CA32B6" w:rsidRDefault="0043434F" w:rsidP="00327470">
    <w:pPr>
      <w:pStyle w:val="Footer"/>
    </w:pPr>
    <w:r w:rsidRPr="0043434F">
      <w:rPr>
        <w:noProof/>
        <w:sz w:val="16"/>
      </w:rPr>
      <w:t>{C43148:2 }</w:t>
    </w:r>
  </w:p>
  <w:p w:rsidR="003D5F90" w:rsidRPr="00CA32B6" w:rsidRDefault="003D5F9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F90" w:rsidRPr="00F66F53" w:rsidRDefault="0043434F" w:rsidP="00F66F53">
    <w:pPr>
      <w:pStyle w:val="Footer"/>
      <w:rPr>
        <w:sz w:val="24"/>
        <w:szCs w:val="24"/>
      </w:rPr>
    </w:pPr>
    <w:r w:rsidRPr="0043434F">
      <w:rPr>
        <w:noProof/>
        <w:sz w:val="16"/>
        <w:szCs w:val="16"/>
      </w:rPr>
      <w:t>{C43148:2 }</w:t>
    </w:r>
    <w:sdt>
      <w:sdtPr>
        <w:rPr>
          <w:sz w:val="24"/>
          <w:szCs w:val="24"/>
        </w:rPr>
        <w:id w:val="-1183509811"/>
        <w:docPartObj>
          <w:docPartGallery w:val="Page Numbers (Bottom of Page)"/>
          <w:docPartUnique/>
        </w:docPartObj>
      </w:sdtPr>
      <w:sdtEndPr>
        <w:rPr>
          <w:noProof/>
        </w:rPr>
      </w:sdtEndPr>
      <w:sdtContent>
        <w:r w:rsidR="003D5F90" w:rsidRPr="00176430">
          <w:rPr>
            <w:sz w:val="24"/>
            <w:szCs w:val="24"/>
          </w:rPr>
          <w:tab/>
        </w:r>
        <w:r w:rsidR="003D5F90" w:rsidRPr="00176430">
          <w:rPr>
            <w:sz w:val="24"/>
            <w:szCs w:val="24"/>
          </w:rPr>
          <w:fldChar w:fldCharType="begin"/>
        </w:r>
        <w:r w:rsidR="003D5F90" w:rsidRPr="00176430">
          <w:rPr>
            <w:sz w:val="24"/>
            <w:szCs w:val="24"/>
          </w:rPr>
          <w:instrText xml:space="preserve"> PAGE   \* MERGEFORMAT </w:instrText>
        </w:r>
        <w:r w:rsidR="003D5F90" w:rsidRPr="00176430">
          <w:rPr>
            <w:sz w:val="24"/>
            <w:szCs w:val="24"/>
          </w:rPr>
          <w:fldChar w:fldCharType="separate"/>
        </w:r>
        <w:r>
          <w:rPr>
            <w:noProof/>
            <w:sz w:val="24"/>
            <w:szCs w:val="24"/>
          </w:rPr>
          <w:t>i</w:t>
        </w:r>
        <w:r w:rsidR="003D5F90" w:rsidRPr="00176430">
          <w:rPr>
            <w:noProof/>
            <w:sz w:val="24"/>
            <w:szCs w:val="24"/>
          </w:rPr>
          <w:fldChar w:fldCharType="end"/>
        </w:r>
      </w:sdtContent>
    </w:sdt>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F90" w:rsidRDefault="003D5F90">
    <w:pPr>
      <w:pStyle w:val="Footer"/>
      <w:jc w:val="center"/>
    </w:pPr>
  </w:p>
  <w:p w:rsidR="003D5F90" w:rsidRPr="00FE4714" w:rsidRDefault="003D5F9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F90" w:rsidRDefault="003D5F90">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F90" w:rsidRPr="00D10388" w:rsidRDefault="0043434F">
    <w:pPr>
      <w:pStyle w:val="Footer"/>
    </w:pPr>
    <w:r w:rsidRPr="0043434F">
      <w:rPr>
        <w:noProof/>
        <w:sz w:val="16"/>
      </w:rPr>
      <w:t>{C43148:2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F90" w:rsidRPr="00D10388" w:rsidRDefault="0043434F">
    <w:pPr>
      <w:pStyle w:val="Footer"/>
    </w:pPr>
    <w:r w:rsidRPr="0043434F">
      <w:rPr>
        <w:noProof/>
        <w:sz w:val="16"/>
      </w:rPr>
      <w:t>{C43148:2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F90" w:rsidRPr="00D10388" w:rsidRDefault="0043434F">
    <w:pPr>
      <w:pStyle w:val="Footer"/>
    </w:pPr>
    <w:r w:rsidRPr="0043434F">
      <w:rPr>
        <w:noProof/>
        <w:sz w:val="16"/>
      </w:rPr>
      <w:t>{C43148:2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F90" w:rsidRDefault="003D5F90" w:rsidP="00BE7C20">
      <w:pPr>
        <w:rPr>
          <w:noProof/>
        </w:rPr>
      </w:pPr>
      <w:r>
        <w:rPr>
          <w:noProof/>
        </w:rPr>
        <w:separator/>
      </w:r>
    </w:p>
  </w:footnote>
  <w:footnote w:type="continuationSeparator" w:id="0">
    <w:p w:rsidR="003D5F90" w:rsidRDefault="003D5F90" w:rsidP="00BE7C20">
      <w:r>
        <w:continuationSeparator/>
      </w:r>
    </w:p>
  </w:footnote>
  <w:footnote w:id="1">
    <w:p w:rsidR="003D5F90" w:rsidRDefault="003D5F90">
      <w:pPr>
        <w:pStyle w:val="FootnoteText"/>
      </w:pPr>
      <w:r>
        <w:rPr>
          <w:rStyle w:val="FootnoteReference"/>
        </w:rPr>
        <w:footnoteRef/>
      </w:r>
      <w:r>
        <w:t xml:space="preserve"> </w:t>
      </w:r>
      <w:r w:rsidRPr="003D5F90">
        <w:rPr>
          <w:i/>
        </w:rPr>
        <w:t>In the Matter of the Application of The Dayton Power and Light Company for Approval of its Electric Security Plan,</w:t>
      </w:r>
      <w:r w:rsidRPr="003D5F90">
        <w:t xml:space="preserve"> Case No. 12-426-EL-SSO </w:t>
      </w:r>
      <w:r w:rsidRPr="003D5F90">
        <w:rPr>
          <w:i/>
        </w:rPr>
        <w:t>et al</w:t>
      </w:r>
      <w:r w:rsidRPr="003D5F90">
        <w:t>.,</w:t>
      </w:r>
      <w:r>
        <w:t xml:space="preserve"> Opinion and Order at </w:t>
      </w:r>
      <w:r w:rsidR="00DF18F6">
        <w:t xml:space="preserve">15-16 </w:t>
      </w:r>
      <w:r>
        <w:t>(Sept. 4, 2013) (“</w:t>
      </w:r>
      <w:r w:rsidRPr="002B6910">
        <w:rPr>
          <w:i/>
        </w:rPr>
        <w:t>DP&amp;L ESP C</w:t>
      </w:r>
      <w:r>
        <w:t>ase”).</w:t>
      </w:r>
    </w:p>
  </w:footnote>
  <w:footnote w:id="2">
    <w:p w:rsidR="003D5F90" w:rsidRDefault="003D5F90" w:rsidP="00E12280">
      <w:pPr>
        <w:pStyle w:val="FootnoteText"/>
        <w:spacing w:after="120"/>
        <w:jc w:val="both"/>
      </w:pPr>
      <w:r>
        <w:rPr>
          <w:rStyle w:val="FootnoteReference"/>
        </w:rPr>
        <w:footnoteRef/>
      </w:r>
      <w:r>
        <w:t xml:space="preserve"> Rule </w:t>
      </w:r>
      <w:r w:rsidRPr="007D5ED1">
        <w:t>4901:1-37-09(D)</w:t>
      </w:r>
      <w:r>
        <w:t>, Ohio Administrative Code (“OAC”).</w:t>
      </w:r>
    </w:p>
  </w:footnote>
  <w:footnote w:id="3">
    <w:p w:rsidR="003D5F90" w:rsidRDefault="003D5F90" w:rsidP="00DF736B">
      <w:pPr>
        <w:pStyle w:val="FootnoteText"/>
        <w:spacing w:after="120"/>
        <w:jc w:val="both"/>
      </w:pPr>
      <w:r>
        <w:rPr>
          <w:rStyle w:val="FootnoteReference"/>
        </w:rPr>
        <w:footnoteRef/>
      </w:r>
      <w:r>
        <w:t xml:space="preserve"> </w:t>
      </w:r>
      <w:r w:rsidRPr="00B562D4">
        <w:rPr>
          <w:i/>
        </w:rPr>
        <w:t>Id</w:t>
      </w:r>
      <w:r>
        <w:t>.</w:t>
      </w:r>
    </w:p>
  </w:footnote>
  <w:footnote w:id="4">
    <w:p w:rsidR="003D5F90" w:rsidRDefault="003D5F90" w:rsidP="000C0690">
      <w:pPr>
        <w:pStyle w:val="FootnoteText"/>
        <w:spacing w:after="120"/>
        <w:jc w:val="both"/>
      </w:pPr>
      <w:r>
        <w:rPr>
          <w:rStyle w:val="FootnoteReference"/>
        </w:rPr>
        <w:footnoteRef/>
      </w:r>
      <w:r>
        <w:t xml:space="preserve"> R.C. 4928.17(E).</w:t>
      </w:r>
    </w:p>
  </w:footnote>
  <w:footnote w:id="5">
    <w:p w:rsidR="003D5F90" w:rsidRDefault="003D5F90">
      <w:pPr>
        <w:pStyle w:val="FootnoteText"/>
        <w:spacing w:after="120"/>
        <w:jc w:val="both"/>
      </w:pPr>
      <w:r>
        <w:rPr>
          <w:rStyle w:val="FootnoteReference"/>
        </w:rPr>
        <w:footnoteRef/>
      </w:r>
      <w:r>
        <w:t xml:space="preserve"> Rule 4901:1-37-09(E), OAC.</w:t>
      </w:r>
    </w:p>
  </w:footnote>
  <w:footnote w:id="6">
    <w:p w:rsidR="003D5F90" w:rsidRDefault="003D5F90">
      <w:pPr>
        <w:pStyle w:val="FootnoteText"/>
        <w:spacing w:after="120"/>
        <w:jc w:val="both"/>
      </w:pPr>
      <w:r>
        <w:rPr>
          <w:rStyle w:val="FootnoteReference"/>
        </w:rPr>
        <w:footnoteRef/>
      </w:r>
      <w:r>
        <w:t xml:space="preserve"> Rule 4901:1-37-02, OAC.</w:t>
      </w:r>
    </w:p>
  </w:footnote>
  <w:footnote w:id="7">
    <w:p w:rsidR="003D5F90" w:rsidRDefault="003D5F90">
      <w:pPr>
        <w:pStyle w:val="FootnoteText"/>
        <w:spacing w:after="120"/>
        <w:jc w:val="both"/>
      </w:pPr>
      <w:r>
        <w:rPr>
          <w:rStyle w:val="FootnoteReference"/>
        </w:rPr>
        <w:footnoteRef/>
      </w:r>
      <w:r>
        <w:t xml:space="preserve"> Rule 4901:1-37-09(C), OAC.</w:t>
      </w:r>
    </w:p>
  </w:footnote>
  <w:footnote w:id="8">
    <w:p w:rsidR="003D5F90" w:rsidRDefault="003D5F90">
      <w:pPr>
        <w:pStyle w:val="FootnoteText"/>
        <w:spacing w:after="120"/>
        <w:jc w:val="both"/>
      </w:pPr>
      <w:r>
        <w:rPr>
          <w:rStyle w:val="FootnoteReference"/>
        </w:rPr>
        <w:footnoteRef/>
      </w:r>
      <w:r>
        <w:t xml:space="preserve"> Rule 4901:1-37-02(C), OAC.</w:t>
      </w:r>
    </w:p>
  </w:footnote>
  <w:footnote w:id="9">
    <w:p w:rsidR="003D5F90" w:rsidRDefault="003D5F90">
      <w:pPr>
        <w:pStyle w:val="FootnoteText"/>
        <w:spacing w:after="120"/>
        <w:jc w:val="both"/>
      </w:pPr>
      <w:r>
        <w:rPr>
          <w:rStyle w:val="FootnoteReference"/>
        </w:rPr>
        <w:footnoteRef/>
      </w:r>
      <w:r>
        <w:t xml:space="preserve"> Rule 4901:1-37-09(C)(1), OAC.</w:t>
      </w:r>
    </w:p>
  </w:footnote>
  <w:footnote w:id="10">
    <w:p w:rsidR="003D5F90" w:rsidRDefault="003D5F90" w:rsidP="00E12280">
      <w:pPr>
        <w:pStyle w:val="FootnoteText"/>
        <w:spacing w:after="120"/>
        <w:jc w:val="both"/>
      </w:pPr>
      <w:r>
        <w:rPr>
          <w:rStyle w:val="FootnoteReference"/>
        </w:rPr>
        <w:footnoteRef/>
      </w:r>
      <w:r>
        <w:t xml:space="preserve"> </w:t>
      </w:r>
      <w:r w:rsidRPr="00403C03">
        <w:rPr>
          <w:rFonts w:cs="Arial"/>
        </w:rPr>
        <w:t>Application at 2</w:t>
      </w:r>
      <w:r>
        <w:rPr>
          <w:rFonts w:cs="Arial"/>
        </w:rPr>
        <w:t>.</w:t>
      </w:r>
    </w:p>
  </w:footnote>
  <w:footnote w:id="11">
    <w:p w:rsidR="003D5F90" w:rsidRDefault="003D5F90" w:rsidP="00E12280">
      <w:pPr>
        <w:pStyle w:val="FootnoteText"/>
        <w:spacing w:after="120"/>
        <w:jc w:val="both"/>
      </w:pPr>
      <w:r>
        <w:rPr>
          <w:rStyle w:val="FootnoteReference"/>
        </w:rPr>
        <w:footnoteRef/>
      </w:r>
      <w:r>
        <w:t xml:space="preserve"> </w:t>
      </w:r>
      <w:r w:rsidRPr="00E12280">
        <w:rPr>
          <w:rFonts w:cs="Arial"/>
          <w:i/>
        </w:rPr>
        <w:t>Id</w:t>
      </w:r>
      <w:r>
        <w:rPr>
          <w:rFonts w:cs="Arial"/>
        </w:rPr>
        <w:t>.</w:t>
      </w:r>
    </w:p>
  </w:footnote>
  <w:footnote w:id="12">
    <w:p w:rsidR="003D5F90" w:rsidRDefault="003D5F90" w:rsidP="00E12280">
      <w:pPr>
        <w:pStyle w:val="FootnoteText"/>
        <w:spacing w:after="120"/>
        <w:jc w:val="both"/>
      </w:pPr>
      <w:r>
        <w:rPr>
          <w:rStyle w:val="FootnoteReference"/>
        </w:rPr>
        <w:footnoteRef/>
      </w:r>
      <w:r>
        <w:t xml:space="preserve"> </w:t>
      </w:r>
      <w:r w:rsidRPr="00E12280">
        <w:rPr>
          <w:i/>
        </w:rPr>
        <w:t>Id</w:t>
      </w:r>
      <w:r>
        <w:t xml:space="preserve">.  </w:t>
      </w:r>
      <w:r w:rsidRPr="00270829">
        <w:t>If the assets are transferred to a third party, the “FMV shall be the sale price of the assets.”</w:t>
      </w:r>
      <w:r>
        <w:t xml:space="preserve">  </w:t>
      </w:r>
      <w:r w:rsidRPr="007A6D48">
        <w:rPr>
          <w:i/>
        </w:rPr>
        <w:t>Id</w:t>
      </w:r>
      <w:r>
        <w:t>.</w:t>
      </w:r>
    </w:p>
  </w:footnote>
  <w:footnote w:id="13">
    <w:p w:rsidR="003D5F90" w:rsidRDefault="003D5F90" w:rsidP="00E12280">
      <w:pPr>
        <w:pStyle w:val="FootnoteText"/>
        <w:spacing w:after="120"/>
        <w:jc w:val="both"/>
      </w:pPr>
      <w:r>
        <w:rPr>
          <w:rStyle w:val="FootnoteReference"/>
        </w:rPr>
        <w:footnoteRef/>
      </w:r>
      <w:r>
        <w:t xml:space="preserve"> </w:t>
      </w:r>
      <w:r w:rsidR="007E0600" w:rsidRPr="007E0600">
        <w:rPr>
          <w:i/>
        </w:rPr>
        <w:t>Id</w:t>
      </w:r>
      <w:r w:rsidR="007E0600">
        <w:t>.</w:t>
      </w:r>
      <w:r>
        <w:t xml:space="preserve"> at 7.</w:t>
      </w:r>
    </w:p>
  </w:footnote>
  <w:footnote w:id="14">
    <w:p w:rsidR="003D5F90" w:rsidRPr="00DB6D81" w:rsidRDefault="003D5F90" w:rsidP="00E12280">
      <w:pPr>
        <w:pStyle w:val="FootnoteText"/>
        <w:spacing w:after="120"/>
        <w:jc w:val="both"/>
      </w:pPr>
      <w:r>
        <w:rPr>
          <w:rStyle w:val="FootnoteReference"/>
        </w:rPr>
        <w:footnoteRef/>
      </w:r>
      <w:r>
        <w:t xml:space="preserve"> </w:t>
      </w:r>
      <w:r w:rsidR="007E0600">
        <w:rPr>
          <w:i/>
        </w:rPr>
        <w:t>Id.</w:t>
      </w:r>
      <w:r>
        <w:rPr>
          <w:i/>
        </w:rPr>
        <w:t xml:space="preserve"> </w:t>
      </w:r>
      <w:r>
        <w:t>at 5-7.</w:t>
      </w:r>
    </w:p>
  </w:footnote>
  <w:footnote w:id="15">
    <w:p w:rsidR="003D5F90" w:rsidRDefault="003D5F90" w:rsidP="000C0690">
      <w:pPr>
        <w:pStyle w:val="FootnoteText"/>
        <w:spacing w:after="120"/>
        <w:jc w:val="both"/>
      </w:pPr>
      <w:r>
        <w:rPr>
          <w:rStyle w:val="FootnoteReference"/>
        </w:rPr>
        <w:footnoteRef/>
      </w:r>
      <w:r>
        <w:t xml:space="preserve"> Rule 4901:1-37-09(C)(2), OAC.</w:t>
      </w:r>
    </w:p>
  </w:footnote>
  <w:footnote w:id="16">
    <w:p w:rsidR="003D5F90" w:rsidRDefault="003D5F90">
      <w:pPr>
        <w:pStyle w:val="FootnoteText"/>
        <w:spacing w:after="120"/>
        <w:jc w:val="both"/>
      </w:pPr>
      <w:r>
        <w:rPr>
          <w:rStyle w:val="FootnoteReference"/>
        </w:rPr>
        <w:footnoteRef/>
      </w:r>
      <w:r>
        <w:t xml:space="preserve"> Rule 4901:1-37-09(C)(3), OAC.</w:t>
      </w:r>
    </w:p>
  </w:footnote>
  <w:footnote w:id="17">
    <w:p w:rsidR="003D5F90" w:rsidRPr="001433AD" w:rsidRDefault="003D5F90">
      <w:pPr>
        <w:pStyle w:val="FootnoteText"/>
        <w:spacing w:after="120"/>
        <w:jc w:val="both"/>
      </w:pPr>
      <w:r w:rsidRPr="001433AD">
        <w:rPr>
          <w:rStyle w:val="FootnoteReference"/>
        </w:rPr>
        <w:footnoteRef/>
      </w:r>
      <w:r w:rsidRPr="001433AD">
        <w:t xml:space="preserve"> </w:t>
      </w:r>
      <w:r w:rsidRPr="001433AD">
        <w:rPr>
          <w:rFonts w:cs="Arial"/>
        </w:rPr>
        <w:t xml:space="preserve">Application at 7.  </w:t>
      </w:r>
    </w:p>
  </w:footnote>
  <w:footnote w:id="18">
    <w:p w:rsidR="003D5F90" w:rsidRDefault="003D5F90">
      <w:pPr>
        <w:pStyle w:val="FootnoteText"/>
        <w:spacing w:after="120"/>
        <w:jc w:val="both"/>
      </w:pPr>
      <w:r>
        <w:rPr>
          <w:rStyle w:val="FootnoteReference"/>
        </w:rPr>
        <w:footnoteRef/>
      </w:r>
      <w:r>
        <w:t xml:space="preserve"> </w:t>
      </w:r>
      <w:r w:rsidR="007E0600" w:rsidRPr="007E0600">
        <w:rPr>
          <w:i/>
        </w:rPr>
        <w:t>Id</w:t>
      </w:r>
      <w:r w:rsidR="007E0600">
        <w:t>.</w:t>
      </w:r>
      <w:r>
        <w:t xml:space="preserve"> at 8.</w:t>
      </w:r>
    </w:p>
  </w:footnote>
  <w:footnote w:id="19">
    <w:p w:rsidR="003D5F90" w:rsidRDefault="003D5F90" w:rsidP="00E12280">
      <w:pPr>
        <w:pStyle w:val="FootnoteText"/>
        <w:spacing w:after="120"/>
        <w:jc w:val="both"/>
      </w:pPr>
      <w:r>
        <w:rPr>
          <w:rStyle w:val="FootnoteReference"/>
        </w:rPr>
        <w:footnoteRef/>
      </w:r>
      <w:r>
        <w:t xml:space="preserve"> Application at 2.</w:t>
      </w:r>
    </w:p>
  </w:footnote>
  <w:footnote w:id="20">
    <w:p w:rsidR="003D5F90" w:rsidRDefault="003D5F90" w:rsidP="00E12280">
      <w:pPr>
        <w:pStyle w:val="FootnoteText"/>
        <w:spacing w:after="120"/>
        <w:jc w:val="both"/>
      </w:pPr>
      <w:r>
        <w:rPr>
          <w:rStyle w:val="FootnoteReference"/>
        </w:rPr>
        <w:footnoteRef/>
      </w:r>
      <w:r>
        <w:t xml:space="preserve"> </w:t>
      </w:r>
      <w:r w:rsidRPr="00E12280">
        <w:rPr>
          <w:i/>
        </w:rPr>
        <w:t>Id</w:t>
      </w:r>
      <w:r>
        <w:t>. at 3.</w:t>
      </w:r>
    </w:p>
  </w:footnote>
  <w:footnote w:id="21">
    <w:p w:rsidR="003D5F90" w:rsidRPr="005E0EEB" w:rsidRDefault="003D5F90" w:rsidP="00E12280">
      <w:pPr>
        <w:pStyle w:val="FootnoteText"/>
        <w:spacing w:after="120"/>
        <w:jc w:val="both"/>
      </w:pPr>
      <w:r>
        <w:rPr>
          <w:rStyle w:val="FootnoteReference"/>
        </w:rPr>
        <w:footnoteRef/>
      </w:r>
      <w:r>
        <w:t xml:space="preserve"> </w:t>
      </w:r>
      <w:r>
        <w:rPr>
          <w:i/>
        </w:rPr>
        <w:t xml:space="preserve">Id. </w:t>
      </w:r>
    </w:p>
  </w:footnote>
  <w:footnote w:id="22">
    <w:p w:rsidR="003D5F90" w:rsidRPr="00DB6D81" w:rsidRDefault="003D5F90" w:rsidP="00E12280">
      <w:pPr>
        <w:pStyle w:val="FootnoteText"/>
        <w:spacing w:after="120"/>
        <w:jc w:val="both"/>
      </w:pPr>
      <w:r>
        <w:rPr>
          <w:rStyle w:val="FootnoteReference"/>
        </w:rPr>
        <w:footnoteRef/>
      </w:r>
      <w:r>
        <w:t xml:space="preserve"> </w:t>
      </w:r>
      <w:r w:rsidR="007E0600" w:rsidRPr="007E0600">
        <w:rPr>
          <w:i/>
        </w:rPr>
        <w:t>DP&amp;L ESP Case</w:t>
      </w:r>
      <w:r w:rsidR="007E0600">
        <w:t xml:space="preserve">, </w:t>
      </w:r>
      <w:r>
        <w:t>Application for Rehearing of Industrial Energy Users-Ohio at 26-57 (Oct. 4, 2013).</w:t>
      </w:r>
    </w:p>
  </w:footnote>
  <w:footnote w:id="23">
    <w:p w:rsidR="003D5F90" w:rsidRPr="004F4FD6" w:rsidRDefault="003D5F90" w:rsidP="00E12280">
      <w:pPr>
        <w:pStyle w:val="FootnoteText"/>
        <w:spacing w:after="120"/>
        <w:jc w:val="both"/>
      </w:pPr>
      <w:r>
        <w:rPr>
          <w:rStyle w:val="FootnoteReference"/>
        </w:rPr>
        <w:footnoteRef/>
      </w:r>
      <w:r>
        <w:t xml:space="preserve"> </w:t>
      </w:r>
      <w:r w:rsidRPr="005E0EEB">
        <w:rPr>
          <w:rFonts w:cs="Arial"/>
        </w:rPr>
        <w:t xml:space="preserve">As DP&amp;L’s Chief Financial Officer testified, “[t]he revenues from the ESP, including the SSR revenues, are needed to ensure the financial integrity of DP&amp;L, and are required to meet DP&amp;L's own obligations and enable the Company to legally separate at December 31, 2017.”  </w:t>
      </w:r>
      <w:r w:rsidRPr="002A6727">
        <w:rPr>
          <w:i/>
        </w:rPr>
        <w:t>DP&amp;L ESP Case</w:t>
      </w:r>
      <w:r>
        <w:rPr>
          <w:i/>
        </w:rPr>
        <w:t>,</w:t>
      </w:r>
      <w:r>
        <w:t xml:space="preserve"> Rebuttal Testimony of Craig L. Jackson at 5 (Mar. 28, 2013).</w:t>
      </w:r>
    </w:p>
  </w:footnote>
  <w:footnote w:id="24">
    <w:p w:rsidR="003D5F90" w:rsidRDefault="003D5F90" w:rsidP="00E12280">
      <w:pPr>
        <w:pStyle w:val="FootnoteText"/>
        <w:spacing w:after="120"/>
        <w:jc w:val="both"/>
      </w:pPr>
      <w:r>
        <w:rPr>
          <w:rStyle w:val="FootnoteReference"/>
        </w:rPr>
        <w:footnoteRef/>
      </w:r>
      <w:r>
        <w:t xml:space="preserve"> Application at 3-5.</w:t>
      </w:r>
    </w:p>
  </w:footnote>
  <w:footnote w:id="25">
    <w:p w:rsidR="003D5F90" w:rsidRDefault="003D5F90" w:rsidP="00E12280">
      <w:pPr>
        <w:pStyle w:val="FootnoteText"/>
        <w:spacing w:after="120"/>
        <w:jc w:val="both"/>
      </w:pPr>
      <w:r>
        <w:rPr>
          <w:rStyle w:val="FootnoteReference"/>
        </w:rPr>
        <w:footnoteRef/>
      </w:r>
      <w:r>
        <w:t xml:space="preserve"> The Commission may not include a provision in an ESP that is not authorized by R.C. 4928.143(B)(2)(b</w:t>
      </w:r>
      <w:r w:rsidRPr="00E12280">
        <w:rPr>
          <w:i/>
        </w:rPr>
        <w:t>).  In re Columbus Southern Power Co</w:t>
      </w:r>
      <w:r>
        <w:t>., 128 Ohio St.3d 512 (2011).</w:t>
      </w:r>
    </w:p>
  </w:footnote>
  <w:footnote w:id="26">
    <w:p w:rsidR="003D5F90" w:rsidRDefault="003D5F90" w:rsidP="00E12280">
      <w:pPr>
        <w:pStyle w:val="FootnoteText"/>
        <w:spacing w:after="120"/>
        <w:jc w:val="both"/>
      </w:pPr>
      <w:r>
        <w:rPr>
          <w:rStyle w:val="FootnoteReference"/>
        </w:rPr>
        <w:footnoteRef/>
      </w:r>
      <w:r>
        <w:t xml:space="preserve"> R.C. 4909.15(A)(4).  </w:t>
      </w:r>
      <w:r w:rsidRPr="00B11761">
        <w:rPr>
          <w:i/>
        </w:rPr>
        <w:t>See</w:t>
      </w:r>
      <w:r>
        <w:t xml:space="preserve"> </w:t>
      </w:r>
      <w:r w:rsidRPr="00E12280">
        <w:rPr>
          <w:i/>
        </w:rPr>
        <w:t>In the Matter of the Application of Ohio Edison Company, The Cleveland Electric Illuminating Company, and The Toledo Edison Company for Authority to Increase Rates for Distribution Service, Modify Certain Accounting Practices, and for Tariff Approvals</w:t>
      </w:r>
      <w:r>
        <w:t xml:space="preserve">, Case No. 07-551-EL-AIR, </w:t>
      </w:r>
      <w:r w:rsidRPr="002A6727">
        <w:rPr>
          <w:i/>
        </w:rPr>
        <w:t>et al.,</w:t>
      </w:r>
      <w:r>
        <w:t xml:space="preserve"> Opinion and Order at 14 (Jan. 21, 2009).  The Commission’s recent decision affording Duke Energy Ohio, Inc. (“Duke”) recovery of some remediation costs is inapplicable to the facts presented by DP&amp;L.  To the extent that the Commission’s decision is lawful (and it has been appealed to the Supreme Court by three parties), Duke sought remediation costs for property it currently owns and it was not permitted to include carrying charges.  </w:t>
      </w:r>
      <w:r w:rsidRPr="00F24413">
        <w:rPr>
          <w:i/>
        </w:rPr>
        <w:t>See</w:t>
      </w:r>
      <w:r w:rsidRPr="007026EC">
        <w:rPr>
          <w:i/>
        </w:rPr>
        <w:t xml:space="preserve"> </w:t>
      </w:r>
      <w:r w:rsidRPr="00E12280">
        <w:rPr>
          <w:i/>
        </w:rPr>
        <w:t>In the Matter of the Application of Duke Energy Ohio, Inc., for an Increase in its Natural Gas Distribution Rates</w:t>
      </w:r>
      <w:r>
        <w:t>, Case No. 12-1685-</w:t>
      </w:r>
      <w:r w:rsidR="007E0600">
        <w:t>GA</w:t>
      </w:r>
      <w:r>
        <w:t xml:space="preserve">-AIR, </w:t>
      </w:r>
      <w:r w:rsidRPr="002A6727">
        <w:rPr>
          <w:i/>
        </w:rPr>
        <w:t>et al</w:t>
      </w:r>
      <w:r>
        <w:t xml:space="preserve">., Opinion and Order at 36-46 &amp; 59-60 (Nov. 13, 2013).  In contrast, DP&amp;L is seeking to transfer the assets and to defer future environmental clean-up costs with interest for the property it will have transferred.  </w:t>
      </w:r>
    </w:p>
  </w:footnote>
  <w:footnote w:id="27">
    <w:p w:rsidR="003D5F90" w:rsidRDefault="003D5F90" w:rsidP="00E12280">
      <w:pPr>
        <w:pStyle w:val="FootnoteText"/>
        <w:spacing w:after="120"/>
        <w:jc w:val="both"/>
      </w:pPr>
      <w:r>
        <w:rPr>
          <w:rStyle w:val="FootnoteReference"/>
        </w:rPr>
        <w:footnoteRef/>
      </w:r>
      <w:r>
        <w:t xml:space="preserve"> </w:t>
      </w:r>
      <w:r w:rsidRPr="00EA4098">
        <w:rPr>
          <w:i/>
        </w:rPr>
        <w:t>In the Matter of the Application of Ohio Power Company for Approval of an Amendment to its Corporate Separation Plan</w:t>
      </w:r>
      <w:r>
        <w:t>, Case No. 12-1126-EL-UNC, Finding and Order at 7 (Oct. 17, 2012) (hereinafter “</w:t>
      </w:r>
      <w:r>
        <w:rPr>
          <w:i/>
        </w:rPr>
        <w:t>AEP-Ohio Corporate Separation Case</w:t>
      </w:r>
      <w:r>
        <w:t>”).</w:t>
      </w:r>
    </w:p>
  </w:footnote>
  <w:footnote w:id="28">
    <w:p w:rsidR="003D5F90" w:rsidRDefault="003D5F90" w:rsidP="00E12280">
      <w:pPr>
        <w:pStyle w:val="FootnoteText"/>
        <w:spacing w:after="120"/>
        <w:jc w:val="both"/>
      </w:pPr>
      <w:r>
        <w:rPr>
          <w:rStyle w:val="FootnoteReference"/>
        </w:rPr>
        <w:footnoteRef/>
      </w:r>
      <w:r>
        <w:t xml:space="preserve"> </w:t>
      </w:r>
      <w:r w:rsidRPr="00E12280">
        <w:rPr>
          <w:i/>
        </w:rPr>
        <w:t>In the Matter of the Application of Columbus Southern Power Company and Ohio Power Company for Authority to Establish a Standard Service Offer Pursuant to Section 4928.143, Revised Code, in the Form of an Electric Security Plan,</w:t>
      </w:r>
      <w:r>
        <w:t xml:space="preserve"> Case No. 11-346-EL-SSO, </w:t>
      </w:r>
      <w:r w:rsidRPr="00E12280">
        <w:rPr>
          <w:i/>
        </w:rPr>
        <w:t>et al.</w:t>
      </w:r>
      <w:r>
        <w:t>, Opinion and Order at 59 (Aug. 8, 2012) (hereinafter “</w:t>
      </w:r>
      <w:r w:rsidRPr="002A6727">
        <w:rPr>
          <w:i/>
        </w:rPr>
        <w:t>AEP-Ohio ESP Case</w:t>
      </w:r>
      <w:r>
        <w:t>”).</w:t>
      </w:r>
    </w:p>
  </w:footnote>
  <w:footnote w:id="29">
    <w:p w:rsidR="003D5F90" w:rsidRDefault="003D5F90" w:rsidP="00E12280">
      <w:pPr>
        <w:pStyle w:val="FootnoteText"/>
        <w:spacing w:after="120"/>
        <w:jc w:val="both"/>
      </w:pPr>
      <w:r>
        <w:rPr>
          <w:rStyle w:val="FootnoteReference"/>
        </w:rPr>
        <w:footnoteRef/>
      </w:r>
      <w:r>
        <w:t xml:space="preserve"> </w:t>
      </w:r>
      <w:r w:rsidRPr="00E12280">
        <w:rPr>
          <w:i/>
        </w:rPr>
        <w:t>Id</w:t>
      </w:r>
      <w:r>
        <w:t>.</w:t>
      </w:r>
    </w:p>
  </w:footnote>
  <w:footnote w:id="30">
    <w:p w:rsidR="003D5F90" w:rsidRDefault="003D5F90" w:rsidP="00E12280">
      <w:pPr>
        <w:pStyle w:val="FootnoteText"/>
        <w:spacing w:after="120"/>
        <w:jc w:val="both"/>
      </w:pPr>
      <w:r>
        <w:rPr>
          <w:rStyle w:val="FootnoteReference"/>
        </w:rPr>
        <w:footnoteRef/>
      </w:r>
      <w:r>
        <w:t xml:space="preserve"> </w:t>
      </w:r>
      <w:r>
        <w:rPr>
          <w:i/>
        </w:rPr>
        <w:t>AEP-Ohio Corporate Separation Case</w:t>
      </w:r>
      <w:r>
        <w:t>, Finding and Order at 17-</w:t>
      </w:r>
      <w:r w:rsidR="007E0600">
        <w:t>18</w:t>
      </w:r>
      <w:r>
        <w:t>.</w:t>
      </w:r>
    </w:p>
  </w:footnote>
  <w:footnote w:id="31">
    <w:p w:rsidR="003D5F90" w:rsidRDefault="003D5F90" w:rsidP="00E12280">
      <w:pPr>
        <w:pStyle w:val="FootnoteText"/>
        <w:spacing w:after="120"/>
        <w:jc w:val="both"/>
      </w:pPr>
      <w:r>
        <w:rPr>
          <w:rStyle w:val="FootnoteReference"/>
        </w:rPr>
        <w:footnoteRef/>
      </w:r>
      <w:r>
        <w:t xml:space="preserve"> Application at 6-7.</w:t>
      </w:r>
    </w:p>
  </w:footnote>
  <w:footnote w:id="32">
    <w:p w:rsidR="003D5F90" w:rsidRPr="00904B59" w:rsidRDefault="003D5F90" w:rsidP="00E12280">
      <w:pPr>
        <w:pStyle w:val="FootnoteText"/>
        <w:spacing w:after="120"/>
        <w:jc w:val="both"/>
        <w:rPr>
          <w:i/>
        </w:rPr>
      </w:pPr>
      <w:r>
        <w:rPr>
          <w:rStyle w:val="FootnoteReference"/>
        </w:rPr>
        <w:footnoteRef/>
      </w:r>
      <w:r>
        <w:t xml:space="preserve"> </w:t>
      </w:r>
      <w:r>
        <w:rPr>
          <w:i/>
        </w:rPr>
        <w:t>Id.</w:t>
      </w:r>
    </w:p>
  </w:footnote>
  <w:footnote w:id="33">
    <w:p w:rsidR="003D5F90" w:rsidRDefault="003D5F90" w:rsidP="000C0690">
      <w:pPr>
        <w:pStyle w:val="FootnoteText"/>
        <w:spacing w:after="120"/>
        <w:jc w:val="both"/>
      </w:pPr>
      <w:r>
        <w:rPr>
          <w:rStyle w:val="FootnoteReference"/>
        </w:rPr>
        <w:footnoteRef/>
      </w:r>
      <w:r>
        <w:t xml:space="preserve"> </w:t>
      </w:r>
      <w:r w:rsidRPr="00F540C8">
        <w:rPr>
          <w:i/>
        </w:rPr>
        <w:t>Migden-Ostrander v. Pub. Util. Comm’n</w:t>
      </w:r>
      <w:r w:rsidR="005E48E6">
        <w:rPr>
          <w:i/>
        </w:rPr>
        <w:t xml:space="preserve"> of Ohio</w:t>
      </w:r>
      <w:r w:rsidRPr="00F540C8">
        <w:t xml:space="preserve">, </w:t>
      </w:r>
      <w:r>
        <w:rPr>
          <w:bCs/>
        </w:rPr>
        <w:t>102 Ohio St.3d 451, 453</w:t>
      </w:r>
      <w:r w:rsidRPr="00F540C8">
        <w:rPr>
          <w:bCs/>
        </w:rPr>
        <w:t xml:space="preserve"> (2004)</w:t>
      </w:r>
      <w:r>
        <w:rPr>
          <w:bCs/>
        </w:rPr>
        <w:t>.</w:t>
      </w:r>
    </w:p>
  </w:footnote>
  <w:footnote w:id="34">
    <w:p w:rsidR="00DF18F6" w:rsidRPr="002C4051" w:rsidRDefault="00DF18F6" w:rsidP="00DF18F6">
      <w:pPr>
        <w:pStyle w:val="FootnoteText"/>
        <w:spacing w:after="120"/>
        <w:jc w:val="both"/>
      </w:pPr>
      <w:r w:rsidRPr="002C4051">
        <w:rPr>
          <w:rStyle w:val="FootnoteReference"/>
          <w:rFonts w:eastAsia="Calibri"/>
        </w:rPr>
        <w:footnoteRef/>
      </w:r>
      <w:r w:rsidRPr="002C4051">
        <w:t xml:space="preserve"> </w:t>
      </w:r>
      <w:r w:rsidRPr="004370ED">
        <w:rPr>
          <w:i/>
        </w:rPr>
        <w:t>In the Matter of the Application of Ohio Power Company for Approval of the Shutdown of Unit 5 of the Philip Sporn Generating Station and to Establish a Plant Shutdown Rider</w:t>
      </w:r>
      <w:r>
        <w:t>, Case No. 10-1454-EL-RDR,</w:t>
      </w:r>
      <w:r w:rsidRPr="002C4051">
        <w:t xml:space="preserve"> </w:t>
      </w:r>
      <w:r>
        <w:t>Finding</w:t>
      </w:r>
      <w:r w:rsidRPr="002C4051">
        <w:t xml:space="preserve"> and Order at 19 </w:t>
      </w:r>
      <w:r>
        <w:t>(Jan. 11, 2012) (hereinafter “</w:t>
      </w:r>
      <w:r>
        <w:rPr>
          <w:i/>
        </w:rPr>
        <w:t>Sporn Decision</w:t>
      </w:r>
      <w:r>
        <w:t>”).</w:t>
      </w:r>
    </w:p>
  </w:footnote>
  <w:footnote w:id="35">
    <w:p w:rsidR="003D5F90" w:rsidRPr="002C4051" w:rsidRDefault="003D5F90">
      <w:pPr>
        <w:pStyle w:val="FootnoteText"/>
        <w:spacing w:after="120"/>
        <w:jc w:val="both"/>
      </w:pPr>
      <w:r w:rsidRPr="002C4051">
        <w:rPr>
          <w:rStyle w:val="FootnoteReference"/>
          <w:rFonts w:eastAsia="Calibri"/>
        </w:rPr>
        <w:footnoteRef/>
      </w:r>
      <w:r w:rsidRPr="002C4051">
        <w:t xml:space="preserve"> </w:t>
      </w:r>
      <w:r>
        <w:t>“[</w:t>
      </w:r>
      <w:r w:rsidRPr="0035164C">
        <w:t>I]t is the policy of the state to avoid anticompetitive subsidies flowing from a noncompetitive retail electric service to a competitive retail electric service and vice versa.  If Duke were permitted to recover the costs included in Rider SCR from shopping customers, under any circumstances, we believe that it would create an anticompetitive subsidy.</w:t>
      </w:r>
      <w:r>
        <w:t xml:space="preserve">”  </w:t>
      </w:r>
      <w:r w:rsidRPr="002C4051">
        <w:rPr>
          <w:i/>
        </w:rPr>
        <w:t>In the Matter of Application of Duke Energy Ohio, Inc. for Approval of a Market Rate Offer to Conduct a</w:t>
      </w:r>
      <w:r>
        <w:rPr>
          <w:i/>
        </w:rPr>
        <w:t xml:space="preserve"> </w:t>
      </w:r>
      <w:r w:rsidRPr="002C4051">
        <w:rPr>
          <w:i/>
        </w:rPr>
        <w:t>Competitive Bidding Process for a Standard Service Offer Electric Generation Supply, Accounting Modifications, and Tariffs for Generation Service</w:t>
      </w:r>
      <w:r w:rsidRPr="002C4051">
        <w:t>, Case No. 10-258</w:t>
      </w:r>
      <w:r>
        <w:t>6</w:t>
      </w:r>
      <w:r w:rsidRPr="002C4051">
        <w:t>-EL-SSO, Opinion an</w:t>
      </w:r>
      <w:r>
        <w:t>d Order at 63 (Feb. 23, 2011) (hereinafter “</w:t>
      </w:r>
      <w:r w:rsidRPr="00BF306C">
        <w:t>Duke MRO Order”).</w:t>
      </w:r>
      <w:r>
        <w:t xml:space="preserve"> </w:t>
      </w:r>
    </w:p>
  </w:footnote>
  <w:footnote w:id="36">
    <w:p w:rsidR="003D5F90" w:rsidRDefault="003D5F90" w:rsidP="00E12280">
      <w:pPr>
        <w:pStyle w:val="FootnoteText"/>
        <w:spacing w:after="120"/>
        <w:jc w:val="both"/>
      </w:pPr>
      <w:r>
        <w:rPr>
          <w:rStyle w:val="FootnoteReference"/>
        </w:rPr>
        <w:footnoteRef/>
      </w:r>
      <w:r>
        <w:t xml:space="preserve"> ICPA at 20-21 (Sections 9.18 to 9.182).  For ease of reference, excerpted pages of the ICPA are attached to these Comments as “Attachment 1.”</w:t>
      </w:r>
    </w:p>
  </w:footnote>
  <w:footnote w:id="37">
    <w:p w:rsidR="003D5F90" w:rsidRDefault="003D5F90" w:rsidP="00E12280">
      <w:pPr>
        <w:pStyle w:val="FootnoteText"/>
        <w:spacing w:after="120"/>
        <w:jc w:val="both"/>
      </w:pPr>
      <w:r>
        <w:rPr>
          <w:rStyle w:val="FootnoteReference"/>
        </w:rPr>
        <w:footnoteRef/>
      </w:r>
      <w:r>
        <w:t xml:space="preserve"> The ICPA at 4 (Section 1.0115) provides:</w:t>
      </w:r>
    </w:p>
    <w:p w:rsidR="003D5F90" w:rsidRDefault="003D5F90" w:rsidP="00E12280">
      <w:pPr>
        <w:pStyle w:val="FootnoteText"/>
        <w:spacing w:after="120"/>
        <w:ind w:left="720" w:right="720"/>
        <w:jc w:val="both"/>
      </w:pPr>
      <w:r w:rsidRPr="002927EC">
        <w:rPr>
          <w:b/>
          <w:i/>
        </w:rPr>
        <w:t>"Permitted Assignee" means a person that is (a) a Sponsoring Company or its Affiliate whose long-term unsecured non-credit enhanced indebtedness, as of the date of such assignment, has a Standard &amp; Poor's credit rating of at least BBB and a Moody's Investors Service, Inc. credit rating of at least Baa</w:t>
      </w:r>
      <w:r w:rsidRPr="002927EC">
        <w:rPr>
          <w:b/>
        </w:rPr>
        <w:t>3</w:t>
      </w:r>
      <w:r w:rsidRPr="002927EC">
        <w:t xml:space="preserve"> (provided that, if the proposed assignee's long-te</w:t>
      </w:r>
      <w:r>
        <w:t>rm</w:t>
      </w:r>
      <w:r w:rsidRPr="002927EC">
        <w:t xml:space="preserve"> unsecured non-credit enhanced indebtedness is not currently rated by one of Standard &amp; Poor's or Moody, such assignee's long-term unsecured non-credit enhanced indebtedness, as of the date of such assignment, must have either a Standard &amp; Poor's credit rating of at least BBB- or a Moody's Investors Service, Inc. credit rating of at least Baa3); or </w:t>
      </w:r>
      <w:r w:rsidRPr="002927EC">
        <w:rPr>
          <w:b/>
          <w:i/>
        </w:rPr>
        <w:t>(b) a Sponsoring Company or its Affiliate that does not meet the criteria in subsection (a) above, if the Sponsoring Company or its Affiliate that is assigning its rights, title and interests in, and obligations under, this Agreement agrees in writing (in form and substance satisfactory to Corporation) to remain obligated to satisfy all of the obligations related to the assigned rights, title and interests to the extent such obligations are not satisfied by the assignee of such rights, title and interests</w:t>
      </w:r>
      <w:r w:rsidRPr="002927EC">
        <w:t>; provided that, in no event shall a person be deemed a "Permitted Assignee" if counsel for the Corporation reasonably determines that the assignment of the rights, title or interests in, or obligations under, this Agreement to such person could cause a termination, default, loss or payment obligation under any security issued, or agreement entered into, by the Corporation prior to such transfer.</w:t>
      </w:r>
      <w:r>
        <w:t xml:space="preserve"> (Emphasis added).</w:t>
      </w:r>
    </w:p>
  </w:footnote>
  <w:footnote w:id="38">
    <w:p w:rsidR="003D5F90" w:rsidRPr="00C61C24" w:rsidRDefault="003D5F90" w:rsidP="00E12280">
      <w:pPr>
        <w:pStyle w:val="FootnoteText"/>
        <w:spacing w:after="120"/>
        <w:jc w:val="both"/>
      </w:pPr>
      <w:r>
        <w:rPr>
          <w:rStyle w:val="FootnoteReference"/>
        </w:rPr>
        <w:footnoteRef/>
      </w:r>
      <w:r>
        <w:t xml:space="preserve"> </w:t>
      </w:r>
      <w:r>
        <w:rPr>
          <w:i/>
        </w:rPr>
        <w:t xml:space="preserve">See </w:t>
      </w:r>
      <w:r>
        <w:t>ICPA at 21-23 (Section 9.183(a) through (e)).</w:t>
      </w:r>
    </w:p>
  </w:footnote>
  <w:footnote w:id="39">
    <w:p w:rsidR="003D5F90" w:rsidRDefault="003D5F90" w:rsidP="008F5DA1">
      <w:pPr>
        <w:pStyle w:val="FootnoteText"/>
        <w:spacing w:after="120"/>
        <w:jc w:val="both"/>
      </w:pPr>
      <w:r>
        <w:rPr>
          <w:rStyle w:val="FootnoteReference"/>
        </w:rPr>
        <w:footnoteRef/>
      </w:r>
      <w:r>
        <w:t xml:space="preserve"> Application at 7-8.</w:t>
      </w:r>
    </w:p>
  </w:footnote>
  <w:footnote w:id="40">
    <w:p w:rsidR="003D5F90" w:rsidRDefault="003D5F90" w:rsidP="00E12280">
      <w:pPr>
        <w:pStyle w:val="FootnoteText"/>
        <w:spacing w:after="120"/>
        <w:jc w:val="both"/>
      </w:pPr>
      <w:r>
        <w:rPr>
          <w:rStyle w:val="FootnoteReference"/>
        </w:rPr>
        <w:footnoteRef/>
      </w:r>
      <w:r>
        <w:t xml:space="preserve"> </w:t>
      </w:r>
      <w:r w:rsidRPr="009E406F">
        <w:rPr>
          <w:i/>
        </w:rPr>
        <w:t>In the Matter of the Application of The AES  Corporation, Dolphin Sub, Inc., DPL Inc. and The Dayton Power and Light Company for Consent and Approval for a Change of Control of The Dayton Power and Light Company</w:t>
      </w:r>
      <w:r>
        <w:t>, Case No. 11-3002-EL-MER, Stipulation and Recommendation at 4 (Oct. 26, 20</w:t>
      </w:r>
      <w:r w:rsidRPr="009E406F">
        <w:t>11</w:t>
      </w:r>
      <w:r>
        <w:t>) (“</w:t>
      </w:r>
      <w:r>
        <w:rPr>
          <w:i/>
        </w:rPr>
        <w:t>Merger Case</w:t>
      </w:r>
      <w:r>
        <w:t xml:space="preserve">”).  </w:t>
      </w:r>
      <w:r w:rsidR="007E0600">
        <w:rPr>
          <w:i/>
        </w:rPr>
        <w:t>Id.</w:t>
      </w:r>
      <w:r>
        <w:t>, Finding and Order at 9</w:t>
      </w:r>
      <w:r w:rsidRPr="00631F61">
        <w:t xml:space="preserve"> </w:t>
      </w:r>
      <w:r>
        <w:t>(Nov. 22, 20</w:t>
      </w:r>
      <w:r w:rsidRPr="009E406F">
        <w:t>11</w:t>
      </w:r>
      <w:r>
        <w:t>).</w:t>
      </w:r>
    </w:p>
  </w:footnote>
  <w:footnote w:id="41">
    <w:p w:rsidR="003D5F90" w:rsidRPr="00904B59" w:rsidRDefault="003D5F90" w:rsidP="00E12280">
      <w:pPr>
        <w:pStyle w:val="FootnoteText"/>
        <w:spacing w:after="120"/>
        <w:jc w:val="both"/>
        <w:rPr>
          <w:i/>
        </w:rPr>
      </w:pPr>
      <w:r>
        <w:rPr>
          <w:rStyle w:val="FootnoteReference"/>
        </w:rPr>
        <w:footnoteRef/>
      </w:r>
      <w:r>
        <w:t xml:space="preserve"> Application at 8.</w:t>
      </w:r>
    </w:p>
  </w:footnote>
  <w:footnote w:id="42">
    <w:p w:rsidR="003D5F90" w:rsidRPr="00CE3A4C" w:rsidRDefault="003D5F90" w:rsidP="00E12280">
      <w:pPr>
        <w:pStyle w:val="FootnoteText"/>
        <w:spacing w:after="120"/>
        <w:jc w:val="both"/>
      </w:pPr>
      <w:r>
        <w:rPr>
          <w:rStyle w:val="FootnoteReference"/>
        </w:rPr>
        <w:footnoteRef/>
      </w:r>
      <w:r>
        <w:t xml:space="preserve"> </w:t>
      </w:r>
      <w:r>
        <w:rPr>
          <w:i/>
        </w:rPr>
        <w:t>AEP-Ohio ESP Case</w:t>
      </w:r>
      <w:r>
        <w:t>, Opinion and Order at 59 (Aug. 8, 2012).</w:t>
      </w:r>
    </w:p>
  </w:footnote>
  <w:footnote w:id="43">
    <w:p w:rsidR="003D5F90" w:rsidRDefault="003D5F90" w:rsidP="00E12280">
      <w:pPr>
        <w:pStyle w:val="FootnoteText"/>
        <w:spacing w:after="120"/>
        <w:jc w:val="both"/>
      </w:pPr>
      <w:r>
        <w:rPr>
          <w:rStyle w:val="FootnoteReference"/>
        </w:rPr>
        <w:footnoteRef/>
      </w:r>
      <w:r>
        <w:t xml:space="preserve"> </w:t>
      </w:r>
      <w:r>
        <w:rPr>
          <w:i/>
        </w:rPr>
        <w:t>Merger Case</w:t>
      </w:r>
      <w:r>
        <w:t>, Finding and Order at 6 (Nov. 22, 20</w:t>
      </w:r>
      <w:r w:rsidRPr="009E406F">
        <w:t>11</w:t>
      </w:r>
      <w:r>
        <w:t>).</w:t>
      </w:r>
    </w:p>
  </w:footnote>
  <w:footnote w:id="44">
    <w:p w:rsidR="003D5F90" w:rsidRDefault="003D5F90" w:rsidP="008C4B96">
      <w:pPr>
        <w:pStyle w:val="FootnoteText"/>
        <w:spacing w:after="120"/>
        <w:jc w:val="both"/>
      </w:pPr>
      <w:r>
        <w:rPr>
          <w:rStyle w:val="FootnoteReference"/>
        </w:rPr>
        <w:footnoteRef/>
      </w:r>
      <w:r>
        <w:t xml:space="preserve"> Although this Application does not present an issue regarding the continuing operation of DP&amp;L, the Commission has previously indicated that it will not endorse an unsustainable business model.  </w:t>
      </w:r>
      <w:r w:rsidRPr="00B51A1C">
        <w:rPr>
          <w:i/>
        </w:rPr>
        <w:t>In the Matter of the Application of Akron Thermal, Limited Partnership for an Emergency Increase in its Rates and charges for Steam and Hot Water Service</w:t>
      </w:r>
      <w:r>
        <w:t>, Case No. 09-453-HT-AEM, Opinion and Order at 25-26 (Sept. 2, 2009).</w:t>
      </w:r>
    </w:p>
  </w:footnote>
  <w:footnote w:id="45">
    <w:p w:rsidR="003D5F90" w:rsidRDefault="003D5F90" w:rsidP="00E12280">
      <w:pPr>
        <w:pStyle w:val="FootnoteText"/>
        <w:spacing w:after="120"/>
        <w:jc w:val="both"/>
      </w:pPr>
      <w:r>
        <w:rPr>
          <w:rStyle w:val="FootnoteReference"/>
        </w:rPr>
        <w:footnoteRef/>
      </w:r>
      <w:r>
        <w:t xml:space="preserve"> Application at 11.</w:t>
      </w:r>
    </w:p>
  </w:footnote>
  <w:footnote w:id="46">
    <w:p w:rsidR="003D5F90" w:rsidRDefault="003D5F90" w:rsidP="000C0690">
      <w:pPr>
        <w:autoSpaceDE w:val="0"/>
        <w:autoSpaceDN w:val="0"/>
        <w:adjustRightInd w:val="0"/>
        <w:spacing w:after="120"/>
        <w:jc w:val="both"/>
      </w:pPr>
      <w:r>
        <w:rPr>
          <w:rStyle w:val="FootnoteReference"/>
        </w:rPr>
        <w:footnoteRef/>
      </w:r>
      <w:r>
        <w:t xml:space="preserve"> </w:t>
      </w:r>
      <w:r w:rsidRPr="007C67B0">
        <w:rPr>
          <w:rFonts w:eastAsia="Times New Roman" w:cs="Arial"/>
          <w:i/>
        </w:rPr>
        <w:t>See In the Matter of the Application of Aqua Ohio, Inc. for Authority to Increase its Rates and Charges in its Lake Erie Division</w:t>
      </w:r>
      <w:r w:rsidRPr="007C67B0">
        <w:rPr>
          <w:rFonts w:eastAsia="Times New Roman" w:cs="Arial"/>
        </w:rPr>
        <w:t>, Case No. 09-1044-WW-AIR, Entry at 2 (Jan. 20, 2010) (holding that waiver requests must be evaluated on a case-by-case basis);</w:t>
      </w:r>
      <w:r w:rsidRPr="007C67B0">
        <w:rPr>
          <w:rFonts w:eastAsia="Times New Roman" w:cs="Arial"/>
          <w:i/>
        </w:rPr>
        <w:t xml:space="preserve"> </w:t>
      </w:r>
      <w:r>
        <w:rPr>
          <w:rFonts w:eastAsia="Times New Roman" w:cs="Arial"/>
          <w:i/>
        </w:rPr>
        <w:t>AEP-Ohio ESP Case</w:t>
      </w:r>
      <w:r w:rsidRPr="007C67B0">
        <w:rPr>
          <w:rFonts w:eastAsia="Times New Roman" w:cs="Arial"/>
        </w:rPr>
        <w:t xml:space="preserve">, Entry at 3 (Apr. 25, 2012) (holding that “inclusion of projected Turning Point solar project costs were an important consideration in the statutory test under Section 4928.143, Revised Code” and that it is “not only necessary for our consideration of the modified application, but is also in the public interest.”); </w:t>
      </w:r>
      <w:r w:rsidRPr="007C67B0">
        <w:rPr>
          <w:rFonts w:eastAsia="Times New Roman" w:cs="Arial"/>
          <w:i/>
        </w:rPr>
        <w:t>see also In the Matter of Ohio Edison Company, The Cleveland Electric Illuminating Company, and The Toledo Edison Company for Authority to Provide for a Standard Service Offer Pursuant to Section 4928.143, Revised Code, in the Form of an Electric Security Plan</w:t>
      </w:r>
      <w:r w:rsidRPr="007C67B0">
        <w:rPr>
          <w:rFonts w:eastAsia="Times New Roman" w:cs="Arial"/>
        </w:rPr>
        <w:t>, Case No.</w:t>
      </w:r>
      <w:r w:rsidR="005E48E6">
        <w:rPr>
          <w:rFonts w:eastAsia="Times New Roman" w:cs="Arial"/>
        </w:rPr>
        <w:t xml:space="preserve"> </w:t>
      </w:r>
      <w:r w:rsidRPr="007C67B0">
        <w:rPr>
          <w:rFonts w:eastAsia="Times New Roman" w:cs="Arial"/>
        </w:rPr>
        <w:t>12-1230-EL-SSO, Entry at 6 (Apr. 25, 2012) (holding that the waiver request should be</w:t>
      </w:r>
      <w:r w:rsidRPr="007C67B0">
        <w:rPr>
          <w:rFonts w:ascii="Times New Roman" w:eastAsia="Times New Roman" w:hAnsi="Times New Roman" w:cs="Times New Roman"/>
          <w:sz w:val="24"/>
          <w:szCs w:val="24"/>
        </w:rPr>
        <w:t xml:space="preserve"> </w:t>
      </w:r>
      <w:r w:rsidRPr="007C67B0">
        <w:rPr>
          <w:rFonts w:eastAsia="Times New Roman" w:cs="Arial"/>
        </w:rPr>
        <w:t>denied because the information is necessary for consideration of the type of application before the Commission).</w:t>
      </w:r>
    </w:p>
  </w:footnote>
  <w:footnote w:id="47">
    <w:p w:rsidR="003D5F90" w:rsidRDefault="003D5F90" w:rsidP="00E12280">
      <w:pPr>
        <w:pStyle w:val="FootnoteText"/>
        <w:spacing w:after="120"/>
        <w:jc w:val="both"/>
      </w:pPr>
      <w:r>
        <w:rPr>
          <w:rStyle w:val="FootnoteReference"/>
        </w:rPr>
        <w:footnoteRef/>
      </w:r>
      <w:r>
        <w:t xml:space="preserve"> </w:t>
      </w:r>
      <w:r w:rsidRPr="009E406F">
        <w:rPr>
          <w:i/>
        </w:rPr>
        <w:t>In the Matter of Application of Duke Energy Ohio, Inc. for Authority to Establish a Standard Service Offer Pursuant to Section 4928.143, Revised Code, in the Form of an Electric Security Plan, Accounting Modifications, and Tariffs for Generation Service</w:t>
      </w:r>
      <w:r w:rsidRPr="009E406F">
        <w:t xml:space="preserve">, Case </w:t>
      </w:r>
      <w:r>
        <w:t xml:space="preserve">No. 11-3549-EL-SSO </w:t>
      </w:r>
      <w:r w:rsidRPr="002A6727">
        <w:rPr>
          <w:i/>
        </w:rPr>
        <w:t>et al</w:t>
      </w:r>
      <w:r>
        <w:t>., Opinion and Order (Nov. 22, 2011)</w:t>
      </w:r>
      <w:r w:rsidRPr="009E406F">
        <w:t xml:space="preserve"> </w:t>
      </w:r>
      <w:r>
        <w:t>(hereinafter “</w:t>
      </w:r>
      <w:r>
        <w:rPr>
          <w:i/>
        </w:rPr>
        <w:t>Duke ESP Case</w:t>
      </w:r>
      <w:r>
        <w:t>”)</w:t>
      </w:r>
      <w:r w:rsidRPr="009E406F">
        <w:t xml:space="preserve">.  </w:t>
      </w:r>
    </w:p>
  </w:footnote>
  <w:footnote w:id="48">
    <w:p w:rsidR="003D5F90" w:rsidRDefault="003D5F90" w:rsidP="00E12280">
      <w:pPr>
        <w:pStyle w:val="FootnoteText"/>
        <w:spacing w:after="120"/>
        <w:jc w:val="both"/>
      </w:pPr>
      <w:r>
        <w:rPr>
          <w:rStyle w:val="FootnoteReference"/>
        </w:rPr>
        <w:footnoteRef/>
      </w:r>
      <w:r>
        <w:t xml:space="preserve"> </w:t>
      </w:r>
      <w:r>
        <w:rPr>
          <w:i/>
        </w:rPr>
        <w:t>Duke ESP Case</w:t>
      </w:r>
      <w:r>
        <w:t>,</w:t>
      </w:r>
      <w:r>
        <w:rPr>
          <w:i/>
        </w:rPr>
        <w:t xml:space="preserve"> </w:t>
      </w:r>
      <w:r w:rsidRPr="009E406F">
        <w:t>Opin</w:t>
      </w:r>
      <w:r w:rsidR="007E0600">
        <w:t>ion and Order at 29-31</w:t>
      </w:r>
      <w:r w:rsidRPr="009E406F">
        <w:t xml:space="preserve"> (emphasis added).  </w:t>
      </w:r>
    </w:p>
  </w:footnote>
  <w:footnote w:id="49">
    <w:p w:rsidR="003D5F90" w:rsidRPr="002A6727" w:rsidRDefault="003D5F90" w:rsidP="00E12280">
      <w:pPr>
        <w:pStyle w:val="FootnoteText"/>
        <w:spacing w:after="120"/>
        <w:jc w:val="both"/>
        <w:rPr>
          <w:color w:val="FF0000"/>
        </w:rPr>
      </w:pPr>
      <w:r>
        <w:rPr>
          <w:rStyle w:val="FootnoteReference"/>
        </w:rPr>
        <w:footnoteRef/>
      </w:r>
      <w:r>
        <w:t xml:space="preserve"> Issues regarding the generation asset transfer were considered simultaneously during the evidentiary hearing on Duke’s proposed ESP.  </w:t>
      </w:r>
      <w:r w:rsidRPr="008E394E">
        <w:rPr>
          <w:i/>
        </w:rPr>
        <w:t>Id</w:t>
      </w:r>
      <w:r>
        <w:rPr>
          <w:i/>
        </w:rPr>
        <w:t>.</w:t>
      </w:r>
      <w:r>
        <w:t xml:space="preserve"> at 31-32.  </w:t>
      </w:r>
    </w:p>
  </w:footnote>
  <w:footnote w:id="50">
    <w:p w:rsidR="003D5F90" w:rsidRDefault="003D5F90" w:rsidP="00E12280">
      <w:pPr>
        <w:pStyle w:val="FootnoteText"/>
        <w:spacing w:after="120"/>
        <w:jc w:val="both"/>
      </w:pPr>
      <w:r>
        <w:rPr>
          <w:rStyle w:val="FootnoteReference"/>
        </w:rPr>
        <w:footnoteRef/>
      </w:r>
      <w:r>
        <w:t xml:space="preserve"> </w:t>
      </w:r>
      <w:r>
        <w:rPr>
          <w:i/>
        </w:rPr>
        <w:t>Duke ESP Case</w:t>
      </w:r>
      <w:r>
        <w:t>,</w:t>
      </w:r>
      <w:r>
        <w:rPr>
          <w:i/>
        </w:rPr>
        <w:t xml:space="preserve"> </w:t>
      </w:r>
      <w:r>
        <w:t>S</w:t>
      </w:r>
      <w:r w:rsidRPr="004214AC">
        <w:t xml:space="preserve">tipulation and </w:t>
      </w:r>
      <w:r>
        <w:t>Recommendation at 41-42 (Oct.</w:t>
      </w:r>
      <w:r w:rsidRPr="004214AC">
        <w:t xml:space="preserve"> 24, 2012).</w:t>
      </w:r>
    </w:p>
  </w:footnote>
  <w:footnote w:id="51">
    <w:p w:rsidR="003D5F90" w:rsidRDefault="003D5F90" w:rsidP="00E12280">
      <w:pPr>
        <w:spacing w:after="120"/>
        <w:jc w:val="both"/>
      </w:pPr>
      <w:r>
        <w:rPr>
          <w:rStyle w:val="FootnoteReference"/>
        </w:rPr>
        <w:footnoteRef/>
      </w:r>
      <w:r>
        <w:t xml:space="preserve"> </w:t>
      </w:r>
      <w:r w:rsidR="008C3EB7" w:rsidRPr="008C3EB7">
        <w:rPr>
          <w:i/>
        </w:rPr>
        <w:t>AEP-Ohio Corporate Separation Case</w:t>
      </w:r>
      <w:r w:rsidR="008C3EB7">
        <w:t xml:space="preserve">, Finding and Order at 11.  </w:t>
      </w:r>
      <w:r>
        <w:t xml:space="preserve">As demonstrated by its appeal of the Commission’s failure to properly review the terms and conditions of the AEP-Ohio transfer of generation assets, IEU-Ohio, however, does not concede that the Commission lawfully relied upon the ESP hearing to waive a hearing in the </w:t>
      </w:r>
      <w:r>
        <w:rPr>
          <w:i/>
        </w:rPr>
        <w:t>AEP-Ohio Corporate Separation Case</w:t>
      </w:r>
      <w:r>
        <w:t>.</w:t>
      </w:r>
    </w:p>
  </w:footnote>
  <w:footnote w:id="52">
    <w:p w:rsidR="003D5F90" w:rsidRDefault="003D5F90" w:rsidP="00E12280">
      <w:pPr>
        <w:pStyle w:val="FootnoteText"/>
        <w:spacing w:after="120"/>
        <w:jc w:val="both"/>
      </w:pPr>
      <w:r>
        <w:rPr>
          <w:rStyle w:val="FootnoteReference"/>
        </w:rPr>
        <w:footnoteRef/>
      </w:r>
      <w:r>
        <w:t xml:space="preserve"> </w:t>
      </w:r>
      <w:r>
        <w:rPr>
          <w:i/>
        </w:rPr>
        <w:t>DP&amp;L ESP Case</w:t>
      </w:r>
      <w:r>
        <w:t>, Opinion and Order at 16.</w:t>
      </w:r>
      <w:r>
        <w:rPr>
          <w:i/>
        </w:rPr>
        <w:t xml:space="preserve"> </w:t>
      </w:r>
      <w:r>
        <w:t xml:space="preserve"> “[T]he ESP term will end on December 31, 2016, and the Commission expects DP&amp;L to file a generation divestment plan that divests all of its generation assets by that date.” </w:t>
      </w:r>
    </w:p>
  </w:footnote>
  <w:footnote w:id="53">
    <w:p w:rsidR="003D5F90" w:rsidRDefault="003D5F90" w:rsidP="00E12280">
      <w:pPr>
        <w:pStyle w:val="FootnoteText"/>
        <w:spacing w:after="120"/>
        <w:jc w:val="both"/>
      </w:pPr>
      <w:r>
        <w:rPr>
          <w:rStyle w:val="FootnoteReference"/>
        </w:rPr>
        <w:footnoteRef/>
      </w:r>
      <w:r>
        <w:t xml:space="preserve"> </w:t>
      </w:r>
      <w:r w:rsidRPr="007E0600">
        <w:rPr>
          <w:i/>
        </w:rPr>
        <w:t>AEP-Ohio Corporate Separation</w:t>
      </w:r>
      <w:r w:rsidR="007E0600">
        <w:rPr>
          <w:i/>
        </w:rPr>
        <w:t xml:space="preserve"> Case,</w:t>
      </w:r>
      <w:r w:rsidRPr="007E0600">
        <w:rPr>
          <w:i/>
        </w:rPr>
        <w:t xml:space="preserve"> </w:t>
      </w:r>
      <w:r w:rsidR="007E0600" w:rsidRPr="007E0600">
        <w:t xml:space="preserve">Finding and </w:t>
      </w:r>
      <w:r w:rsidRPr="007E0600">
        <w:t>Order</w:t>
      </w:r>
      <w:r>
        <w:t xml:space="preserve"> at 4.</w:t>
      </w:r>
    </w:p>
  </w:footnote>
  <w:footnote w:id="54">
    <w:p w:rsidR="003D5F90" w:rsidRDefault="003D5F90" w:rsidP="00E12280">
      <w:pPr>
        <w:pStyle w:val="FootnoteText"/>
        <w:spacing w:after="120"/>
        <w:jc w:val="both"/>
      </w:pPr>
      <w:r>
        <w:rPr>
          <w:rStyle w:val="FootnoteReference"/>
        </w:rPr>
        <w:footnoteRef/>
      </w:r>
      <w:r>
        <w:t xml:space="preserve"> </w:t>
      </w:r>
      <w:r w:rsidRPr="006F2475">
        <w:rPr>
          <w:i/>
        </w:rPr>
        <w:t>Id</w:t>
      </w:r>
      <w:r w:rsidR="007E0600">
        <w:rPr>
          <w:i/>
        </w:rPr>
        <w:t>.</w:t>
      </w:r>
      <w:r>
        <w:t xml:space="preserve"> at 5, 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8E6" w:rsidRDefault="005E48E6">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F90" w:rsidRDefault="003D5F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8E6" w:rsidRDefault="005E48E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8E6" w:rsidRDefault="005E48E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F90" w:rsidRDefault="003D5F9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F90" w:rsidRDefault="003D5F9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F90" w:rsidRDefault="003D5F90">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F90" w:rsidRDefault="003D5F90">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F90" w:rsidRDefault="003D5F90">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F90" w:rsidRDefault="003D5F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63BFD"/>
    <w:multiLevelType w:val="multilevel"/>
    <w:tmpl w:val="193EA500"/>
    <w:name w:val="IEU-default"/>
    <w:lvl w:ilvl="0">
      <w:start w:val="1"/>
      <w:numFmt w:val="upperRoman"/>
      <w:pStyle w:val="S2Heading1"/>
      <w:lvlText w:val="%1."/>
      <w:lvlJc w:val="left"/>
      <w:pPr>
        <w:tabs>
          <w:tab w:val="num" w:pos="720"/>
        </w:tabs>
        <w:ind w:left="720" w:hanging="720"/>
      </w:pPr>
      <w:rPr>
        <w:b/>
        <w:caps w:val="0"/>
        <w:vanish w:val="0"/>
        <w:color w:val="010000"/>
        <w:u w:val="none"/>
      </w:rPr>
    </w:lvl>
    <w:lvl w:ilvl="1">
      <w:start w:val="1"/>
      <w:numFmt w:val="upperLetter"/>
      <w:pStyle w:val="S2Heading2"/>
      <w:lvlText w:val="%2."/>
      <w:lvlJc w:val="left"/>
      <w:pPr>
        <w:tabs>
          <w:tab w:val="num" w:pos="1440"/>
        </w:tabs>
        <w:ind w:left="1440" w:hanging="720"/>
      </w:pPr>
      <w:rPr>
        <w:b/>
        <w:caps w:val="0"/>
        <w:vanish w:val="0"/>
        <w:color w:val="010000"/>
        <w:u w:val="none"/>
      </w:rPr>
    </w:lvl>
    <w:lvl w:ilvl="2">
      <w:start w:val="1"/>
      <w:numFmt w:val="decimal"/>
      <w:pStyle w:val="S2Heading3"/>
      <w:lvlText w:val="%3."/>
      <w:lvlJc w:val="left"/>
      <w:pPr>
        <w:tabs>
          <w:tab w:val="num" w:pos="2160"/>
        </w:tabs>
        <w:ind w:left="2160" w:hanging="720"/>
      </w:pPr>
      <w:rPr>
        <w:b/>
        <w:i w:val="0"/>
        <w:caps w:val="0"/>
        <w:vanish w:val="0"/>
        <w:color w:val="010000"/>
        <w:u w:val="none"/>
      </w:rPr>
    </w:lvl>
    <w:lvl w:ilvl="3">
      <w:start w:val="1"/>
      <w:numFmt w:val="lowerLetter"/>
      <w:pStyle w:val="S2Heading4"/>
      <w:lvlText w:val="%4."/>
      <w:lvlJc w:val="left"/>
      <w:pPr>
        <w:tabs>
          <w:tab w:val="num" w:pos="2880"/>
        </w:tabs>
        <w:ind w:left="2880" w:hanging="720"/>
      </w:pPr>
      <w:rPr>
        <w:b/>
        <w:i/>
        <w:caps w:val="0"/>
        <w:vanish w:val="0"/>
        <w:color w:val="010000"/>
        <w:u w:val="none"/>
      </w:rPr>
    </w:lvl>
    <w:lvl w:ilvl="4">
      <w:start w:val="1"/>
      <w:numFmt w:val="lowerRoman"/>
      <w:pStyle w:val="S2Heading5"/>
      <w:lvlText w:val="%5."/>
      <w:lvlJc w:val="left"/>
      <w:pPr>
        <w:tabs>
          <w:tab w:val="num" w:pos="3600"/>
        </w:tabs>
        <w:ind w:left="3600" w:hanging="720"/>
      </w:pPr>
      <w:rPr>
        <w:caps w:val="0"/>
        <w:vanish w:val="0"/>
        <w:color w:val="010000"/>
        <w:u w:val="none"/>
      </w:rPr>
    </w:lvl>
    <w:lvl w:ilvl="5">
      <w:start w:val="1"/>
      <w:numFmt w:val="lowerLetter"/>
      <w:pStyle w:val="S2Heading6"/>
      <w:lvlText w:val="(%6)"/>
      <w:lvlJc w:val="left"/>
      <w:pPr>
        <w:tabs>
          <w:tab w:val="num" w:pos="4320"/>
        </w:tabs>
        <w:ind w:left="4320" w:hanging="720"/>
      </w:pPr>
      <w:rPr>
        <w:caps w:val="0"/>
        <w:vanish w:val="0"/>
        <w:color w:val="010000"/>
        <w:u w:val="none"/>
      </w:rPr>
    </w:lvl>
    <w:lvl w:ilvl="6">
      <w:start w:val="1"/>
      <w:numFmt w:val="decimal"/>
      <w:pStyle w:val="S2Heading7"/>
      <w:lvlText w:val="(%7)"/>
      <w:lvlJc w:val="left"/>
      <w:pPr>
        <w:tabs>
          <w:tab w:val="num" w:pos="5040"/>
        </w:tabs>
        <w:ind w:left="5040" w:hanging="720"/>
      </w:pPr>
      <w:rPr>
        <w:caps w:val="0"/>
        <w:vanish w:val="0"/>
        <w:color w:val="010000"/>
        <w:u w:val="none"/>
      </w:rPr>
    </w:lvl>
    <w:lvl w:ilvl="7">
      <w:start w:val="1"/>
      <w:numFmt w:val="lowerRoman"/>
      <w:pStyle w:val="S2Heading8"/>
      <w:lvlText w:val="%8)"/>
      <w:lvlJc w:val="left"/>
      <w:pPr>
        <w:tabs>
          <w:tab w:val="num" w:pos="5760"/>
        </w:tabs>
        <w:ind w:left="5760" w:hanging="720"/>
      </w:pPr>
      <w:rPr>
        <w:caps w:val="0"/>
        <w:vanish w:val="0"/>
        <w:color w:val="010000"/>
        <w:u w:val="none"/>
      </w:rPr>
    </w:lvl>
    <w:lvl w:ilvl="8">
      <w:start w:val="1"/>
      <w:numFmt w:val="lowerLetter"/>
      <w:pStyle w:val="S2Heading9"/>
      <w:lvlText w:val="%9)"/>
      <w:lvlJc w:val="left"/>
      <w:pPr>
        <w:tabs>
          <w:tab w:val="num" w:pos="6480"/>
        </w:tabs>
        <w:ind w:left="6480" w:hanging="720"/>
      </w:pPr>
      <w:rPr>
        <w:caps w:val="0"/>
        <w:vanish w:val="0"/>
        <w:color w:val="010000"/>
        <w:u w:val="none"/>
      </w:rPr>
    </w:lvl>
  </w:abstractNum>
  <w:abstractNum w:abstractNumId="1">
    <w:nsid w:val="07ED4259"/>
    <w:multiLevelType w:val="hybridMultilevel"/>
    <w:tmpl w:val="8BF26D82"/>
    <w:lvl w:ilvl="0" w:tplc="56D6C6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FEE52B1"/>
    <w:multiLevelType w:val="hybridMultilevel"/>
    <w:tmpl w:val="64161480"/>
    <w:lvl w:ilvl="0" w:tplc="2716C9BA">
      <w:start w:val="3"/>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1BB938E1"/>
    <w:multiLevelType w:val="hybridMultilevel"/>
    <w:tmpl w:val="EC1C6D1A"/>
    <w:lvl w:ilvl="0" w:tplc="9EF0057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25600DA8"/>
    <w:multiLevelType w:val="hybridMultilevel"/>
    <w:tmpl w:val="8F6222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2AD01627"/>
    <w:multiLevelType w:val="hybridMultilevel"/>
    <w:tmpl w:val="EC2AB538"/>
    <w:lvl w:ilvl="0" w:tplc="04090001">
      <w:start w:val="1"/>
      <w:numFmt w:val="bullet"/>
      <w:lvlText w:val=""/>
      <w:lvlJc w:val="left"/>
      <w:pPr>
        <w:ind w:left="788" w:hanging="360"/>
      </w:pPr>
      <w:rPr>
        <w:rFonts w:ascii="Symbol" w:hAnsi="Symbol" w:hint="default"/>
      </w:rPr>
    </w:lvl>
    <w:lvl w:ilvl="1" w:tplc="04090003">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6">
    <w:nsid w:val="35E55CB6"/>
    <w:multiLevelType w:val="hybridMultilevel"/>
    <w:tmpl w:val="C1C079DE"/>
    <w:lvl w:ilvl="0" w:tplc="D06C49C6">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636747D"/>
    <w:multiLevelType w:val="hybridMultilevel"/>
    <w:tmpl w:val="C730361E"/>
    <w:name w:val="(Unnamed Numbering Scheme)"/>
    <w:lvl w:ilvl="0" w:tplc="525886A6">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283A8D"/>
    <w:multiLevelType w:val="hybridMultilevel"/>
    <w:tmpl w:val="85E42650"/>
    <w:lvl w:ilvl="0" w:tplc="B42697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57040E4"/>
    <w:multiLevelType w:val="hybridMultilevel"/>
    <w:tmpl w:val="2FEA8F9A"/>
    <w:lvl w:ilvl="0" w:tplc="6EB0DC7C">
      <w:start w:val="3"/>
      <w:numFmt w:val="upperLetter"/>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9675CF5"/>
    <w:multiLevelType w:val="hybridMultilevel"/>
    <w:tmpl w:val="79D08E16"/>
    <w:lvl w:ilvl="0" w:tplc="D6A4020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26321FF"/>
    <w:multiLevelType w:val="hybridMultilevel"/>
    <w:tmpl w:val="284EADF6"/>
    <w:lvl w:ilvl="0" w:tplc="3AAA0D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1"/>
  </w:num>
  <w:num w:numId="3">
    <w:abstractNumId w:val="8"/>
  </w:num>
  <w:num w:numId="4">
    <w:abstractNumId w:val="10"/>
  </w:num>
  <w:num w:numId="5">
    <w:abstractNumId w:val="4"/>
  </w:num>
  <w:num w:numId="6">
    <w:abstractNumId w:val="5"/>
  </w:num>
  <w:num w:numId="7">
    <w:abstractNumId w:val="1"/>
  </w:num>
  <w:num w:numId="8">
    <w:abstractNumId w:val="6"/>
  </w:num>
  <w:num w:numId="9">
    <w:abstractNumId w:val="3"/>
  </w:num>
  <w:num w:numId="10">
    <w:abstractNumId w:val="2"/>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enterLevel1TOC" w:val="False"/>
    <w:docVar w:name="DefaultNumberOfLevelsInTOCForThisScheme" w:val="3"/>
    <w:docVar w:name="ExcludeDirectFormattingInTOC" w:val="False"/>
    <w:docVar w:name="HyperlinkTOC" w:val="False"/>
    <w:docVar w:name="IncludeTOCAndPageHeadings" w:val="True"/>
    <w:docVar w:name="LastSchemeChoice" w:val="IEU-default"/>
    <w:docVar w:name="LastSchemeUniqueID" w:val="1"/>
    <w:docVar w:name="NoNumberLevel1TOC" w:val="False"/>
    <w:docVar w:name="Option0TrueS2" w:val="False"/>
    <w:docVar w:name="Option1TrueS2" w:val="False"/>
    <w:docVar w:name="Option2TrueS2" w:val="False"/>
    <w:docVar w:name="TOCFormatConst" w:val="0"/>
    <w:docVar w:name="TOCFormatPreference" w:val="Leave TOC styles 'as is' in current document (default)"/>
    <w:docVar w:name="TOCHeadingAllCaps" w:val="False"/>
    <w:docVar w:name="TOCHeadingUnderlined" w:val="False"/>
    <w:docVar w:name="TOCIncludeNonHeadings" w:val="False"/>
    <w:docVar w:name="TOCIncludeSectionBreaks" w:val="False"/>
    <w:docVar w:name="TOCIncludeTCFields" w:val="False"/>
    <w:docVar w:name="TOCPageUnderlined" w:val="False"/>
    <w:docVar w:name="TOCRun" w:val="True"/>
    <w:docVar w:name="TOCSpecialLevels" w:val="False"/>
    <w:docVar w:name="UnderlineTOCLevel1" w:val="False"/>
    <w:docVar w:name="UpperLevelTOC" w:val="4"/>
  </w:docVars>
  <w:rsids>
    <w:rsidRoot w:val="00BE7C20"/>
    <w:rsid w:val="0001550E"/>
    <w:rsid w:val="00023404"/>
    <w:rsid w:val="00024473"/>
    <w:rsid w:val="000318B3"/>
    <w:rsid w:val="00033BD5"/>
    <w:rsid w:val="00057562"/>
    <w:rsid w:val="00084D95"/>
    <w:rsid w:val="000A3F3A"/>
    <w:rsid w:val="000C0690"/>
    <w:rsid w:val="000C2D94"/>
    <w:rsid w:val="000E6263"/>
    <w:rsid w:val="000F51B5"/>
    <w:rsid w:val="001053C5"/>
    <w:rsid w:val="00110CBA"/>
    <w:rsid w:val="00112E4B"/>
    <w:rsid w:val="0011394B"/>
    <w:rsid w:val="001433AD"/>
    <w:rsid w:val="00156F8D"/>
    <w:rsid w:val="001716E1"/>
    <w:rsid w:val="00173714"/>
    <w:rsid w:val="00176430"/>
    <w:rsid w:val="00176D4A"/>
    <w:rsid w:val="001834B6"/>
    <w:rsid w:val="00183F74"/>
    <w:rsid w:val="00184D40"/>
    <w:rsid w:val="00185E21"/>
    <w:rsid w:val="001C2649"/>
    <w:rsid w:val="001C52EF"/>
    <w:rsid w:val="001D712F"/>
    <w:rsid w:val="001D76F5"/>
    <w:rsid w:val="002030F8"/>
    <w:rsid w:val="002152F6"/>
    <w:rsid w:val="002629A5"/>
    <w:rsid w:val="00270829"/>
    <w:rsid w:val="0027431B"/>
    <w:rsid w:val="002927EC"/>
    <w:rsid w:val="002A4F40"/>
    <w:rsid w:val="002A6727"/>
    <w:rsid w:val="002B4833"/>
    <w:rsid w:val="002B6910"/>
    <w:rsid w:val="002C0478"/>
    <w:rsid w:val="002C127A"/>
    <w:rsid w:val="002D5A3C"/>
    <w:rsid w:val="002E1987"/>
    <w:rsid w:val="002E38EC"/>
    <w:rsid w:val="00305225"/>
    <w:rsid w:val="003170B0"/>
    <w:rsid w:val="00320B85"/>
    <w:rsid w:val="00327470"/>
    <w:rsid w:val="0035164C"/>
    <w:rsid w:val="00357A0B"/>
    <w:rsid w:val="003A5330"/>
    <w:rsid w:val="003C2DD2"/>
    <w:rsid w:val="003C53D8"/>
    <w:rsid w:val="003D3119"/>
    <w:rsid w:val="003D5F90"/>
    <w:rsid w:val="003E2B5E"/>
    <w:rsid w:val="003F170D"/>
    <w:rsid w:val="004034D9"/>
    <w:rsid w:val="00403C03"/>
    <w:rsid w:val="0040474F"/>
    <w:rsid w:val="00405D4B"/>
    <w:rsid w:val="004071F8"/>
    <w:rsid w:val="004214AC"/>
    <w:rsid w:val="00427E25"/>
    <w:rsid w:val="0043434F"/>
    <w:rsid w:val="0043527E"/>
    <w:rsid w:val="004439F6"/>
    <w:rsid w:val="00443DD4"/>
    <w:rsid w:val="00450259"/>
    <w:rsid w:val="00453547"/>
    <w:rsid w:val="004B12EF"/>
    <w:rsid w:val="004C121A"/>
    <w:rsid w:val="004E5121"/>
    <w:rsid w:val="004F4FD6"/>
    <w:rsid w:val="005208D2"/>
    <w:rsid w:val="00534C4C"/>
    <w:rsid w:val="00535DC4"/>
    <w:rsid w:val="00540463"/>
    <w:rsid w:val="00540DEB"/>
    <w:rsid w:val="00562419"/>
    <w:rsid w:val="005770C4"/>
    <w:rsid w:val="005805D1"/>
    <w:rsid w:val="00581922"/>
    <w:rsid w:val="005B2246"/>
    <w:rsid w:val="005D1FD4"/>
    <w:rsid w:val="005D7832"/>
    <w:rsid w:val="005E0EEB"/>
    <w:rsid w:val="005E48E6"/>
    <w:rsid w:val="005E7590"/>
    <w:rsid w:val="005F60FA"/>
    <w:rsid w:val="00631F61"/>
    <w:rsid w:val="00650102"/>
    <w:rsid w:val="006657B1"/>
    <w:rsid w:val="00671C33"/>
    <w:rsid w:val="00674A4B"/>
    <w:rsid w:val="00683BF1"/>
    <w:rsid w:val="006867A0"/>
    <w:rsid w:val="006A2F08"/>
    <w:rsid w:val="006C5C74"/>
    <w:rsid w:val="006C5E76"/>
    <w:rsid w:val="006D0351"/>
    <w:rsid w:val="006D3572"/>
    <w:rsid w:val="006E1ADB"/>
    <w:rsid w:val="00701293"/>
    <w:rsid w:val="00702435"/>
    <w:rsid w:val="007026EC"/>
    <w:rsid w:val="007070DE"/>
    <w:rsid w:val="00712126"/>
    <w:rsid w:val="00760EA0"/>
    <w:rsid w:val="0077056F"/>
    <w:rsid w:val="00774987"/>
    <w:rsid w:val="007811FC"/>
    <w:rsid w:val="007842B0"/>
    <w:rsid w:val="007868B1"/>
    <w:rsid w:val="007941BB"/>
    <w:rsid w:val="00795D0C"/>
    <w:rsid w:val="007A6D48"/>
    <w:rsid w:val="007B7B5A"/>
    <w:rsid w:val="007C232D"/>
    <w:rsid w:val="007C67B0"/>
    <w:rsid w:val="007D2771"/>
    <w:rsid w:val="007D5ED1"/>
    <w:rsid w:val="007E0600"/>
    <w:rsid w:val="00812732"/>
    <w:rsid w:val="00825299"/>
    <w:rsid w:val="00832A24"/>
    <w:rsid w:val="00881881"/>
    <w:rsid w:val="008903CF"/>
    <w:rsid w:val="0089276F"/>
    <w:rsid w:val="008A42D3"/>
    <w:rsid w:val="008A444E"/>
    <w:rsid w:val="008C3EB7"/>
    <w:rsid w:val="008C4B96"/>
    <w:rsid w:val="008C65B7"/>
    <w:rsid w:val="008E1665"/>
    <w:rsid w:val="008E3BF4"/>
    <w:rsid w:val="008F5DA1"/>
    <w:rsid w:val="00904B59"/>
    <w:rsid w:val="00936F84"/>
    <w:rsid w:val="009454C4"/>
    <w:rsid w:val="009503E2"/>
    <w:rsid w:val="009509DF"/>
    <w:rsid w:val="009714BF"/>
    <w:rsid w:val="009A3641"/>
    <w:rsid w:val="009B7CFA"/>
    <w:rsid w:val="009E2BD9"/>
    <w:rsid w:val="009E406F"/>
    <w:rsid w:val="009F49B1"/>
    <w:rsid w:val="00A507BB"/>
    <w:rsid w:val="00A570C7"/>
    <w:rsid w:val="00A66034"/>
    <w:rsid w:val="00A73FED"/>
    <w:rsid w:val="00A9421E"/>
    <w:rsid w:val="00AA18F1"/>
    <w:rsid w:val="00AB42E0"/>
    <w:rsid w:val="00AC720A"/>
    <w:rsid w:val="00AD4BC9"/>
    <w:rsid w:val="00AE0E8E"/>
    <w:rsid w:val="00AF03B2"/>
    <w:rsid w:val="00B05AFB"/>
    <w:rsid w:val="00B07C41"/>
    <w:rsid w:val="00B11761"/>
    <w:rsid w:val="00B51A1C"/>
    <w:rsid w:val="00B562D4"/>
    <w:rsid w:val="00B650C3"/>
    <w:rsid w:val="00B6798D"/>
    <w:rsid w:val="00B766F1"/>
    <w:rsid w:val="00B82E96"/>
    <w:rsid w:val="00B844FC"/>
    <w:rsid w:val="00BA2DD6"/>
    <w:rsid w:val="00BB173E"/>
    <w:rsid w:val="00BB263F"/>
    <w:rsid w:val="00BB5433"/>
    <w:rsid w:val="00BD7806"/>
    <w:rsid w:val="00BE7C20"/>
    <w:rsid w:val="00BF1773"/>
    <w:rsid w:val="00C0405A"/>
    <w:rsid w:val="00C120A6"/>
    <w:rsid w:val="00C17DE4"/>
    <w:rsid w:val="00C2491B"/>
    <w:rsid w:val="00C50D01"/>
    <w:rsid w:val="00C56592"/>
    <w:rsid w:val="00C61C24"/>
    <w:rsid w:val="00C62433"/>
    <w:rsid w:val="00C75887"/>
    <w:rsid w:val="00CB7541"/>
    <w:rsid w:val="00CC1AB7"/>
    <w:rsid w:val="00CC4074"/>
    <w:rsid w:val="00CE3A4C"/>
    <w:rsid w:val="00CF2900"/>
    <w:rsid w:val="00CF7159"/>
    <w:rsid w:val="00D118ED"/>
    <w:rsid w:val="00D36846"/>
    <w:rsid w:val="00D964D6"/>
    <w:rsid w:val="00DA3EAE"/>
    <w:rsid w:val="00DB2497"/>
    <w:rsid w:val="00DB4F99"/>
    <w:rsid w:val="00DB6D81"/>
    <w:rsid w:val="00DC1089"/>
    <w:rsid w:val="00DE75EB"/>
    <w:rsid w:val="00DF18F6"/>
    <w:rsid w:val="00DF736B"/>
    <w:rsid w:val="00E11DCB"/>
    <w:rsid w:val="00E12280"/>
    <w:rsid w:val="00E467BE"/>
    <w:rsid w:val="00E5733B"/>
    <w:rsid w:val="00E627B8"/>
    <w:rsid w:val="00E95B92"/>
    <w:rsid w:val="00EA0ED2"/>
    <w:rsid w:val="00EA15F2"/>
    <w:rsid w:val="00EA4098"/>
    <w:rsid w:val="00EB058C"/>
    <w:rsid w:val="00ED1A0B"/>
    <w:rsid w:val="00ED47A5"/>
    <w:rsid w:val="00EE1A7D"/>
    <w:rsid w:val="00EE6E00"/>
    <w:rsid w:val="00EF373A"/>
    <w:rsid w:val="00F0028C"/>
    <w:rsid w:val="00F142BE"/>
    <w:rsid w:val="00F152C8"/>
    <w:rsid w:val="00F24413"/>
    <w:rsid w:val="00F24B82"/>
    <w:rsid w:val="00F24F1C"/>
    <w:rsid w:val="00F30A94"/>
    <w:rsid w:val="00F41DBF"/>
    <w:rsid w:val="00F5278A"/>
    <w:rsid w:val="00F66F53"/>
    <w:rsid w:val="00F76F2C"/>
    <w:rsid w:val="00F927F1"/>
    <w:rsid w:val="00FA1212"/>
    <w:rsid w:val="00FB04E5"/>
    <w:rsid w:val="00FE3D36"/>
    <w:rsid w:val="00FE4714"/>
    <w:rsid w:val="00FE58D4"/>
    <w:rsid w:val="00FF1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C20"/>
    <w:rPr>
      <w:sz w:val="20"/>
      <w:szCs w:val="20"/>
    </w:rPr>
  </w:style>
  <w:style w:type="paragraph" w:styleId="Heading1">
    <w:name w:val="heading 1"/>
    <w:basedOn w:val="Normal"/>
    <w:next w:val="Normal"/>
    <w:link w:val="Heading1Char"/>
    <w:uiPriority w:val="9"/>
    <w:qFormat/>
    <w:rsid w:val="00184D4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C127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A3EA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A3EA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E7C20"/>
    <w:pPr>
      <w:tabs>
        <w:tab w:val="left" w:pos="-1440"/>
        <w:tab w:val="left" w:pos="-720"/>
        <w:tab w:val="left" w:pos="5040"/>
        <w:tab w:val="center" w:pos="7200"/>
      </w:tabs>
      <w:overflowPunct w:val="0"/>
      <w:autoSpaceDE w:val="0"/>
      <w:autoSpaceDN w:val="0"/>
      <w:adjustRightInd w:val="0"/>
      <w:jc w:val="both"/>
    </w:pPr>
    <w:rPr>
      <w:b/>
      <w:smallCaps/>
    </w:rPr>
  </w:style>
  <w:style w:type="character" w:customStyle="1" w:styleId="BodyTextChar">
    <w:name w:val="Body Text Char"/>
    <w:basedOn w:val="DefaultParagraphFont"/>
    <w:link w:val="BodyText"/>
    <w:rsid w:val="00BE7C20"/>
    <w:rPr>
      <w:b/>
      <w:smallCaps/>
      <w:sz w:val="20"/>
      <w:szCs w:val="20"/>
    </w:rPr>
  </w:style>
  <w:style w:type="paragraph" w:styleId="BodyText3">
    <w:name w:val="Body Text 3"/>
    <w:basedOn w:val="Normal"/>
    <w:link w:val="BodyText3Char"/>
    <w:rsid w:val="00BE7C20"/>
    <w:pPr>
      <w:spacing w:after="120"/>
    </w:pPr>
    <w:rPr>
      <w:sz w:val="16"/>
      <w:szCs w:val="16"/>
    </w:rPr>
  </w:style>
  <w:style w:type="character" w:customStyle="1" w:styleId="BodyText3Char">
    <w:name w:val="Body Text 3 Char"/>
    <w:basedOn w:val="DefaultParagraphFont"/>
    <w:link w:val="BodyText3"/>
    <w:rsid w:val="00BE7C20"/>
    <w:rPr>
      <w:sz w:val="16"/>
      <w:szCs w:val="16"/>
    </w:rPr>
  </w:style>
  <w:style w:type="paragraph" w:styleId="Header">
    <w:name w:val="header"/>
    <w:basedOn w:val="Normal"/>
    <w:link w:val="HeaderChar"/>
    <w:uiPriority w:val="99"/>
    <w:unhideWhenUsed/>
    <w:rsid w:val="00BE7C20"/>
    <w:pPr>
      <w:tabs>
        <w:tab w:val="center" w:pos="4680"/>
        <w:tab w:val="right" w:pos="9360"/>
      </w:tabs>
    </w:pPr>
  </w:style>
  <w:style w:type="character" w:customStyle="1" w:styleId="HeaderChar">
    <w:name w:val="Header Char"/>
    <w:basedOn w:val="DefaultParagraphFont"/>
    <w:link w:val="Header"/>
    <w:uiPriority w:val="99"/>
    <w:rsid w:val="00BE7C20"/>
    <w:rPr>
      <w:sz w:val="20"/>
      <w:szCs w:val="20"/>
    </w:rPr>
  </w:style>
  <w:style w:type="paragraph" w:styleId="Footer">
    <w:name w:val="footer"/>
    <w:basedOn w:val="Normal"/>
    <w:link w:val="FooterChar"/>
    <w:uiPriority w:val="99"/>
    <w:unhideWhenUsed/>
    <w:rsid w:val="00BE7C20"/>
    <w:pPr>
      <w:tabs>
        <w:tab w:val="center" w:pos="4680"/>
        <w:tab w:val="right" w:pos="9360"/>
      </w:tabs>
    </w:pPr>
  </w:style>
  <w:style w:type="character" w:customStyle="1" w:styleId="FooterChar">
    <w:name w:val="Footer Char"/>
    <w:basedOn w:val="DefaultParagraphFont"/>
    <w:link w:val="Footer"/>
    <w:uiPriority w:val="99"/>
    <w:rsid w:val="00BE7C20"/>
    <w:rPr>
      <w:sz w:val="20"/>
      <w:szCs w:val="20"/>
    </w:rPr>
  </w:style>
  <w:style w:type="paragraph" w:styleId="FootnoteText">
    <w:name w:val="footnote text"/>
    <w:basedOn w:val="Normal"/>
    <w:link w:val="FootnoteTextChar"/>
    <w:uiPriority w:val="99"/>
    <w:unhideWhenUsed/>
    <w:rsid w:val="002B4833"/>
  </w:style>
  <w:style w:type="character" w:customStyle="1" w:styleId="FootnoteTextChar">
    <w:name w:val="Footnote Text Char"/>
    <w:basedOn w:val="DefaultParagraphFont"/>
    <w:link w:val="FootnoteText"/>
    <w:uiPriority w:val="99"/>
    <w:rsid w:val="002B4833"/>
    <w:rPr>
      <w:sz w:val="20"/>
      <w:szCs w:val="20"/>
    </w:rPr>
  </w:style>
  <w:style w:type="character" w:styleId="FootnoteReference">
    <w:name w:val="footnote reference"/>
    <w:basedOn w:val="DefaultParagraphFont"/>
    <w:uiPriority w:val="99"/>
    <w:semiHidden/>
    <w:unhideWhenUsed/>
    <w:rsid w:val="002B4833"/>
    <w:rPr>
      <w:vertAlign w:val="superscript"/>
    </w:rPr>
  </w:style>
  <w:style w:type="paragraph" w:styleId="ListParagraph">
    <w:name w:val="List Paragraph"/>
    <w:basedOn w:val="Normal"/>
    <w:link w:val="ListParagraphChar"/>
    <w:uiPriority w:val="34"/>
    <w:qFormat/>
    <w:rsid w:val="00112E4B"/>
    <w:pPr>
      <w:ind w:left="720"/>
      <w:contextualSpacing/>
    </w:pPr>
  </w:style>
  <w:style w:type="character" w:customStyle="1" w:styleId="Heading1Char">
    <w:name w:val="Heading 1 Char"/>
    <w:basedOn w:val="DefaultParagraphFont"/>
    <w:link w:val="Heading1"/>
    <w:uiPriority w:val="9"/>
    <w:rsid w:val="00184D40"/>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C120A6"/>
    <w:rPr>
      <w:color w:val="0000FF" w:themeColor="hyperlink"/>
      <w:u w:val="single"/>
    </w:rPr>
  </w:style>
  <w:style w:type="paragraph" w:styleId="BalloonText">
    <w:name w:val="Balloon Text"/>
    <w:basedOn w:val="Normal"/>
    <w:link w:val="BalloonTextChar"/>
    <w:uiPriority w:val="99"/>
    <w:semiHidden/>
    <w:unhideWhenUsed/>
    <w:rsid w:val="00683BF1"/>
    <w:rPr>
      <w:rFonts w:ascii="Tahoma" w:hAnsi="Tahoma" w:cs="Tahoma"/>
      <w:sz w:val="16"/>
      <w:szCs w:val="16"/>
    </w:rPr>
  </w:style>
  <w:style w:type="character" w:customStyle="1" w:styleId="BalloonTextChar">
    <w:name w:val="Balloon Text Char"/>
    <w:basedOn w:val="DefaultParagraphFont"/>
    <w:link w:val="BalloonText"/>
    <w:uiPriority w:val="99"/>
    <w:semiHidden/>
    <w:rsid w:val="00683BF1"/>
    <w:rPr>
      <w:rFonts w:ascii="Tahoma" w:hAnsi="Tahoma" w:cs="Tahoma"/>
      <w:sz w:val="16"/>
      <w:szCs w:val="16"/>
    </w:rPr>
  </w:style>
  <w:style w:type="character" w:styleId="CommentReference">
    <w:name w:val="annotation reference"/>
    <w:basedOn w:val="DefaultParagraphFont"/>
    <w:uiPriority w:val="99"/>
    <w:semiHidden/>
    <w:unhideWhenUsed/>
    <w:rsid w:val="00024473"/>
    <w:rPr>
      <w:sz w:val="16"/>
      <w:szCs w:val="16"/>
    </w:rPr>
  </w:style>
  <w:style w:type="paragraph" w:styleId="CommentText">
    <w:name w:val="annotation text"/>
    <w:basedOn w:val="Normal"/>
    <w:link w:val="CommentTextChar"/>
    <w:uiPriority w:val="99"/>
    <w:semiHidden/>
    <w:unhideWhenUsed/>
    <w:rsid w:val="00024473"/>
  </w:style>
  <w:style w:type="character" w:customStyle="1" w:styleId="CommentTextChar">
    <w:name w:val="Comment Text Char"/>
    <w:basedOn w:val="DefaultParagraphFont"/>
    <w:link w:val="CommentText"/>
    <w:uiPriority w:val="99"/>
    <w:semiHidden/>
    <w:rsid w:val="00024473"/>
    <w:rPr>
      <w:sz w:val="20"/>
      <w:szCs w:val="20"/>
    </w:rPr>
  </w:style>
  <w:style w:type="paragraph" w:styleId="CommentSubject">
    <w:name w:val="annotation subject"/>
    <w:basedOn w:val="CommentText"/>
    <w:next w:val="CommentText"/>
    <w:link w:val="CommentSubjectChar"/>
    <w:uiPriority w:val="99"/>
    <w:semiHidden/>
    <w:unhideWhenUsed/>
    <w:rsid w:val="00024473"/>
    <w:rPr>
      <w:b/>
      <w:bCs/>
    </w:rPr>
  </w:style>
  <w:style w:type="character" w:customStyle="1" w:styleId="CommentSubjectChar">
    <w:name w:val="Comment Subject Char"/>
    <w:basedOn w:val="CommentTextChar"/>
    <w:link w:val="CommentSubject"/>
    <w:uiPriority w:val="99"/>
    <w:semiHidden/>
    <w:rsid w:val="00024473"/>
    <w:rPr>
      <w:b/>
      <w:bCs/>
      <w:sz w:val="20"/>
      <w:szCs w:val="20"/>
    </w:rPr>
  </w:style>
  <w:style w:type="character" w:styleId="FollowedHyperlink">
    <w:name w:val="FollowedHyperlink"/>
    <w:basedOn w:val="DefaultParagraphFont"/>
    <w:uiPriority w:val="99"/>
    <w:semiHidden/>
    <w:unhideWhenUsed/>
    <w:rsid w:val="00305225"/>
    <w:rPr>
      <w:color w:val="800080" w:themeColor="followedHyperlink"/>
      <w:u w:val="single"/>
    </w:rPr>
  </w:style>
  <w:style w:type="character" w:customStyle="1" w:styleId="Heading2Char">
    <w:name w:val="Heading 2 Char"/>
    <w:basedOn w:val="DefaultParagraphFont"/>
    <w:link w:val="Heading2"/>
    <w:uiPriority w:val="9"/>
    <w:semiHidden/>
    <w:rsid w:val="002C127A"/>
    <w:rPr>
      <w:rFonts w:asciiTheme="majorHAnsi" w:eastAsiaTheme="majorEastAsia" w:hAnsiTheme="majorHAnsi" w:cstheme="majorBidi"/>
      <w:b/>
      <w:bCs/>
      <w:color w:val="4F81BD" w:themeColor="accent1"/>
      <w:sz w:val="26"/>
      <w:szCs w:val="26"/>
    </w:rPr>
  </w:style>
  <w:style w:type="paragraph" w:customStyle="1" w:styleId="S2Heading1">
    <w:name w:val="S2.Heading 1"/>
    <w:basedOn w:val="Normal"/>
    <w:next w:val="Normal"/>
    <w:link w:val="S2Heading1Char"/>
    <w:rsid w:val="002C127A"/>
    <w:pPr>
      <w:numPr>
        <w:numId w:val="11"/>
      </w:numPr>
      <w:spacing w:after="240"/>
      <w:jc w:val="both"/>
      <w:outlineLvl w:val="0"/>
    </w:pPr>
    <w:rPr>
      <w:rFonts w:cs="Arial"/>
      <w:b/>
      <w:caps/>
      <w:u w:val="single"/>
    </w:rPr>
  </w:style>
  <w:style w:type="character" w:customStyle="1" w:styleId="ListParagraphChar">
    <w:name w:val="List Paragraph Char"/>
    <w:basedOn w:val="DefaultParagraphFont"/>
    <w:link w:val="ListParagraph"/>
    <w:uiPriority w:val="34"/>
    <w:rsid w:val="002C127A"/>
    <w:rPr>
      <w:sz w:val="20"/>
      <w:szCs w:val="20"/>
    </w:rPr>
  </w:style>
  <w:style w:type="character" w:customStyle="1" w:styleId="S2Heading1Char">
    <w:name w:val="S2.Heading 1 Char"/>
    <w:basedOn w:val="ListParagraphChar"/>
    <w:link w:val="S2Heading1"/>
    <w:rsid w:val="002C127A"/>
    <w:rPr>
      <w:rFonts w:cs="Arial"/>
      <w:b/>
      <w:caps/>
      <w:sz w:val="20"/>
      <w:szCs w:val="20"/>
      <w:u w:val="single"/>
    </w:rPr>
  </w:style>
  <w:style w:type="paragraph" w:customStyle="1" w:styleId="S2Heading2">
    <w:name w:val="S2.Heading 2"/>
    <w:basedOn w:val="Normal"/>
    <w:next w:val="Normal"/>
    <w:link w:val="S2Heading2Char"/>
    <w:rsid w:val="002C127A"/>
    <w:pPr>
      <w:numPr>
        <w:ilvl w:val="1"/>
        <w:numId w:val="11"/>
      </w:numPr>
      <w:spacing w:after="240"/>
      <w:jc w:val="both"/>
      <w:outlineLvl w:val="1"/>
    </w:pPr>
    <w:rPr>
      <w:rFonts w:cs="Arial"/>
      <w:b/>
    </w:rPr>
  </w:style>
  <w:style w:type="character" w:customStyle="1" w:styleId="S2Heading2Char">
    <w:name w:val="S2.Heading 2 Char"/>
    <w:basedOn w:val="ListParagraphChar"/>
    <w:link w:val="S2Heading2"/>
    <w:rsid w:val="002C127A"/>
    <w:rPr>
      <w:rFonts w:cs="Arial"/>
      <w:b/>
      <w:sz w:val="20"/>
      <w:szCs w:val="20"/>
    </w:rPr>
  </w:style>
  <w:style w:type="paragraph" w:customStyle="1" w:styleId="S2Heading3">
    <w:name w:val="S2.Heading 3"/>
    <w:basedOn w:val="Normal"/>
    <w:next w:val="Normal"/>
    <w:link w:val="S2Heading3Char"/>
    <w:rsid w:val="002C127A"/>
    <w:pPr>
      <w:numPr>
        <w:ilvl w:val="2"/>
        <w:numId w:val="11"/>
      </w:numPr>
      <w:spacing w:after="240"/>
      <w:jc w:val="both"/>
      <w:outlineLvl w:val="2"/>
    </w:pPr>
    <w:rPr>
      <w:rFonts w:cs="Arial"/>
      <w:b/>
    </w:rPr>
  </w:style>
  <w:style w:type="character" w:customStyle="1" w:styleId="S2Heading3Char">
    <w:name w:val="S2.Heading 3 Char"/>
    <w:basedOn w:val="ListParagraphChar"/>
    <w:link w:val="S2Heading3"/>
    <w:rsid w:val="002C127A"/>
    <w:rPr>
      <w:rFonts w:cs="Arial"/>
      <w:b/>
      <w:sz w:val="20"/>
      <w:szCs w:val="20"/>
    </w:rPr>
  </w:style>
  <w:style w:type="paragraph" w:customStyle="1" w:styleId="S2Heading4">
    <w:name w:val="S2.Heading 4"/>
    <w:basedOn w:val="Normal"/>
    <w:next w:val="Normal"/>
    <w:link w:val="S2Heading4Char"/>
    <w:rsid w:val="002C127A"/>
    <w:pPr>
      <w:numPr>
        <w:ilvl w:val="3"/>
        <w:numId w:val="11"/>
      </w:numPr>
      <w:spacing w:after="240"/>
      <w:jc w:val="both"/>
      <w:outlineLvl w:val="3"/>
    </w:pPr>
    <w:rPr>
      <w:rFonts w:cs="Arial"/>
      <w:b/>
      <w:i/>
    </w:rPr>
  </w:style>
  <w:style w:type="character" w:customStyle="1" w:styleId="S2Heading4Char">
    <w:name w:val="S2.Heading 4 Char"/>
    <w:basedOn w:val="ListParagraphChar"/>
    <w:link w:val="S2Heading4"/>
    <w:rsid w:val="002C127A"/>
    <w:rPr>
      <w:rFonts w:cs="Arial"/>
      <w:b/>
      <w:i/>
      <w:sz w:val="20"/>
      <w:szCs w:val="20"/>
    </w:rPr>
  </w:style>
  <w:style w:type="paragraph" w:customStyle="1" w:styleId="S2Heading5">
    <w:name w:val="S2.Heading 5"/>
    <w:basedOn w:val="Normal"/>
    <w:next w:val="Normal"/>
    <w:link w:val="S2Heading5Char"/>
    <w:rsid w:val="002C127A"/>
    <w:pPr>
      <w:numPr>
        <w:ilvl w:val="4"/>
        <w:numId w:val="11"/>
      </w:numPr>
      <w:spacing w:after="240"/>
      <w:jc w:val="both"/>
      <w:outlineLvl w:val="4"/>
    </w:pPr>
    <w:rPr>
      <w:rFonts w:asciiTheme="majorHAnsi" w:hAnsiTheme="majorHAnsi" w:cs="Arial"/>
      <w:color w:val="243F60" w:themeColor="accent1" w:themeShade="7F"/>
    </w:rPr>
  </w:style>
  <w:style w:type="character" w:customStyle="1" w:styleId="S2Heading5Char">
    <w:name w:val="S2.Heading 5 Char"/>
    <w:basedOn w:val="ListParagraphChar"/>
    <w:link w:val="S2Heading5"/>
    <w:rsid w:val="002C127A"/>
    <w:rPr>
      <w:rFonts w:asciiTheme="majorHAnsi" w:hAnsiTheme="majorHAnsi" w:cs="Arial"/>
      <w:color w:val="243F60" w:themeColor="accent1" w:themeShade="7F"/>
      <w:sz w:val="20"/>
      <w:szCs w:val="20"/>
    </w:rPr>
  </w:style>
  <w:style w:type="paragraph" w:customStyle="1" w:styleId="S2Heading6">
    <w:name w:val="S2.Heading 6"/>
    <w:basedOn w:val="Normal"/>
    <w:next w:val="Normal"/>
    <w:link w:val="S2Heading6Char"/>
    <w:rsid w:val="002C127A"/>
    <w:pPr>
      <w:numPr>
        <w:ilvl w:val="5"/>
        <w:numId w:val="11"/>
      </w:numPr>
      <w:spacing w:after="240"/>
      <w:jc w:val="both"/>
      <w:outlineLvl w:val="5"/>
    </w:pPr>
    <w:rPr>
      <w:rFonts w:asciiTheme="majorHAnsi" w:hAnsiTheme="majorHAnsi" w:cs="Arial"/>
      <w:color w:val="243F60" w:themeColor="accent1" w:themeShade="7F"/>
    </w:rPr>
  </w:style>
  <w:style w:type="character" w:customStyle="1" w:styleId="S2Heading6Char">
    <w:name w:val="S2.Heading 6 Char"/>
    <w:basedOn w:val="ListParagraphChar"/>
    <w:link w:val="S2Heading6"/>
    <w:rsid w:val="002C127A"/>
    <w:rPr>
      <w:rFonts w:asciiTheme="majorHAnsi" w:hAnsiTheme="majorHAnsi" w:cs="Arial"/>
      <w:color w:val="243F60" w:themeColor="accent1" w:themeShade="7F"/>
      <w:sz w:val="20"/>
      <w:szCs w:val="20"/>
    </w:rPr>
  </w:style>
  <w:style w:type="paragraph" w:customStyle="1" w:styleId="S2Heading7">
    <w:name w:val="S2.Heading 7"/>
    <w:basedOn w:val="Normal"/>
    <w:next w:val="Normal"/>
    <w:link w:val="S2Heading7Char"/>
    <w:rsid w:val="002C127A"/>
    <w:pPr>
      <w:numPr>
        <w:ilvl w:val="6"/>
        <w:numId w:val="11"/>
      </w:numPr>
      <w:spacing w:after="240"/>
      <w:jc w:val="both"/>
      <w:outlineLvl w:val="6"/>
    </w:pPr>
    <w:rPr>
      <w:rFonts w:asciiTheme="majorHAnsi" w:hAnsiTheme="majorHAnsi" w:cs="Arial"/>
      <w:color w:val="404040" w:themeColor="text1" w:themeTint="BF"/>
    </w:rPr>
  </w:style>
  <w:style w:type="character" w:customStyle="1" w:styleId="S2Heading7Char">
    <w:name w:val="S2.Heading 7 Char"/>
    <w:basedOn w:val="ListParagraphChar"/>
    <w:link w:val="S2Heading7"/>
    <w:rsid w:val="002C127A"/>
    <w:rPr>
      <w:rFonts w:asciiTheme="majorHAnsi" w:hAnsiTheme="majorHAnsi" w:cs="Arial"/>
      <w:color w:val="404040" w:themeColor="text1" w:themeTint="BF"/>
      <w:sz w:val="20"/>
      <w:szCs w:val="20"/>
    </w:rPr>
  </w:style>
  <w:style w:type="paragraph" w:customStyle="1" w:styleId="S2Heading8">
    <w:name w:val="S2.Heading 8"/>
    <w:basedOn w:val="Normal"/>
    <w:next w:val="Normal"/>
    <w:link w:val="S2Heading8Char"/>
    <w:rsid w:val="002C127A"/>
    <w:pPr>
      <w:numPr>
        <w:ilvl w:val="7"/>
        <w:numId w:val="11"/>
      </w:numPr>
      <w:spacing w:after="240"/>
      <w:jc w:val="both"/>
      <w:outlineLvl w:val="7"/>
    </w:pPr>
    <w:rPr>
      <w:rFonts w:asciiTheme="majorHAnsi" w:hAnsiTheme="majorHAnsi" w:cs="Arial"/>
      <w:color w:val="404040" w:themeColor="text1" w:themeTint="BF"/>
    </w:rPr>
  </w:style>
  <w:style w:type="character" w:customStyle="1" w:styleId="S2Heading8Char">
    <w:name w:val="S2.Heading 8 Char"/>
    <w:basedOn w:val="ListParagraphChar"/>
    <w:link w:val="S2Heading8"/>
    <w:rsid w:val="002C127A"/>
    <w:rPr>
      <w:rFonts w:asciiTheme="majorHAnsi" w:hAnsiTheme="majorHAnsi" w:cs="Arial"/>
      <w:color w:val="404040" w:themeColor="text1" w:themeTint="BF"/>
      <w:sz w:val="20"/>
      <w:szCs w:val="20"/>
    </w:rPr>
  </w:style>
  <w:style w:type="paragraph" w:customStyle="1" w:styleId="S2Heading9">
    <w:name w:val="S2.Heading 9"/>
    <w:basedOn w:val="Normal"/>
    <w:next w:val="Normal"/>
    <w:link w:val="S2Heading9Char"/>
    <w:rsid w:val="002C127A"/>
    <w:pPr>
      <w:numPr>
        <w:ilvl w:val="8"/>
        <w:numId w:val="11"/>
      </w:numPr>
      <w:spacing w:after="240"/>
      <w:jc w:val="both"/>
      <w:outlineLvl w:val="8"/>
    </w:pPr>
    <w:rPr>
      <w:rFonts w:asciiTheme="majorHAnsi" w:hAnsiTheme="majorHAnsi" w:cs="Arial"/>
      <w:color w:val="404040" w:themeColor="text1" w:themeTint="BF"/>
    </w:rPr>
  </w:style>
  <w:style w:type="character" w:customStyle="1" w:styleId="S2Heading9Char">
    <w:name w:val="S2.Heading 9 Char"/>
    <w:basedOn w:val="ListParagraphChar"/>
    <w:link w:val="S2Heading9"/>
    <w:rsid w:val="002C127A"/>
    <w:rPr>
      <w:rFonts w:asciiTheme="majorHAnsi" w:hAnsiTheme="majorHAnsi" w:cs="Arial"/>
      <w:color w:val="404040" w:themeColor="text1" w:themeTint="BF"/>
      <w:sz w:val="20"/>
      <w:szCs w:val="20"/>
    </w:rPr>
  </w:style>
  <w:style w:type="paragraph" w:styleId="TOCHeading">
    <w:name w:val="TOC Heading"/>
    <w:basedOn w:val="Normal"/>
    <w:next w:val="TOC1"/>
    <w:uiPriority w:val="39"/>
    <w:unhideWhenUsed/>
    <w:qFormat/>
    <w:rsid w:val="00DA3EAE"/>
    <w:pPr>
      <w:spacing w:after="240"/>
      <w:jc w:val="center"/>
    </w:pPr>
    <w:rPr>
      <w:b/>
    </w:rPr>
  </w:style>
  <w:style w:type="paragraph" w:styleId="TOC1">
    <w:name w:val="toc 1"/>
    <w:basedOn w:val="Normal"/>
    <w:next w:val="Normal"/>
    <w:autoRedefine/>
    <w:uiPriority w:val="39"/>
    <w:unhideWhenUsed/>
    <w:rsid w:val="00DA3EAE"/>
    <w:pPr>
      <w:tabs>
        <w:tab w:val="left" w:pos="720"/>
        <w:tab w:val="right" w:leader="dot" w:pos="9360"/>
      </w:tabs>
      <w:spacing w:after="240"/>
      <w:ind w:right="720"/>
    </w:pPr>
  </w:style>
  <w:style w:type="paragraph" w:styleId="TOC2">
    <w:name w:val="toc 2"/>
    <w:basedOn w:val="Normal"/>
    <w:next w:val="Normal"/>
    <w:autoRedefine/>
    <w:uiPriority w:val="39"/>
    <w:unhideWhenUsed/>
    <w:rsid w:val="0043434F"/>
    <w:pPr>
      <w:tabs>
        <w:tab w:val="left" w:pos="1440"/>
        <w:tab w:val="right" w:leader="dot" w:pos="9360"/>
      </w:tabs>
      <w:spacing w:after="240"/>
      <w:ind w:left="1440" w:right="720" w:hanging="720"/>
    </w:pPr>
  </w:style>
  <w:style w:type="paragraph" w:styleId="TOC3">
    <w:name w:val="toc 3"/>
    <w:basedOn w:val="Normal"/>
    <w:next w:val="Normal"/>
    <w:autoRedefine/>
    <w:uiPriority w:val="39"/>
    <w:unhideWhenUsed/>
    <w:rsid w:val="0043434F"/>
    <w:pPr>
      <w:tabs>
        <w:tab w:val="left" w:pos="2160"/>
        <w:tab w:val="right" w:leader="dot" w:pos="9360"/>
      </w:tabs>
      <w:spacing w:after="240"/>
      <w:ind w:left="2160" w:right="720" w:hanging="720"/>
    </w:pPr>
  </w:style>
  <w:style w:type="paragraph" w:styleId="TOC4">
    <w:name w:val="toc 4"/>
    <w:basedOn w:val="Normal"/>
    <w:next w:val="Normal"/>
    <w:autoRedefine/>
    <w:uiPriority w:val="39"/>
    <w:unhideWhenUsed/>
    <w:rsid w:val="0043434F"/>
    <w:pPr>
      <w:tabs>
        <w:tab w:val="left" w:pos="1000"/>
        <w:tab w:val="left" w:pos="2880"/>
        <w:tab w:val="right" w:leader="dot" w:pos="9360"/>
      </w:tabs>
      <w:spacing w:after="240"/>
      <w:ind w:left="2880" w:right="720" w:hanging="720"/>
    </w:pPr>
  </w:style>
  <w:style w:type="paragraph" w:styleId="TOC5">
    <w:name w:val="toc 5"/>
    <w:basedOn w:val="Normal"/>
    <w:next w:val="Normal"/>
    <w:autoRedefine/>
    <w:uiPriority w:val="39"/>
    <w:semiHidden/>
    <w:unhideWhenUsed/>
    <w:rsid w:val="00DA3EAE"/>
    <w:pPr>
      <w:spacing w:after="100"/>
      <w:ind w:left="800"/>
    </w:pPr>
  </w:style>
  <w:style w:type="paragraph" w:styleId="TOC6">
    <w:name w:val="toc 6"/>
    <w:basedOn w:val="Normal"/>
    <w:next w:val="Normal"/>
    <w:autoRedefine/>
    <w:uiPriority w:val="39"/>
    <w:semiHidden/>
    <w:unhideWhenUsed/>
    <w:rsid w:val="00DA3EAE"/>
    <w:pPr>
      <w:spacing w:after="100"/>
      <w:ind w:left="1000"/>
    </w:pPr>
  </w:style>
  <w:style w:type="paragraph" w:styleId="TOC7">
    <w:name w:val="toc 7"/>
    <w:basedOn w:val="Normal"/>
    <w:next w:val="Normal"/>
    <w:autoRedefine/>
    <w:uiPriority w:val="39"/>
    <w:semiHidden/>
    <w:unhideWhenUsed/>
    <w:rsid w:val="00DA3EAE"/>
    <w:pPr>
      <w:spacing w:after="100"/>
      <w:ind w:left="1200"/>
    </w:pPr>
  </w:style>
  <w:style w:type="paragraph" w:styleId="TOC8">
    <w:name w:val="toc 8"/>
    <w:basedOn w:val="Normal"/>
    <w:next w:val="Normal"/>
    <w:autoRedefine/>
    <w:uiPriority w:val="39"/>
    <w:semiHidden/>
    <w:unhideWhenUsed/>
    <w:rsid w:val="00DA3EAE"/>
    <w:pPr>
      <w:spacing w:after="100"/>
      <w:ind w:left="1400"/>
    </w:pPr>
  </w:style>
  <w:style w:type="paragraph" w:styleId="TOC9">
    <w:name w:val="toc 9"/>
    <w:basedOn w:val="Normal"/>
    <w:next w:val="Normal"/>
    <w:autoRedefine/>
    <w:uiPriority w:val="39"/>
    <w:semiHidden/>
    <w:unhideWhenUsed/>
    <w:rsid w:val="00DA3EAE"/>
    <w:pPr>
      <w:spacing w:after="100"/>
      <w:ind w:left="1600"/>
    </w:pPr>
  </w:style>
  <w:style w:type="paragraph" w:customStyle="1" w:styleId="TOCPage">
    <w:name w:val="TOC Page"/>
    <w:basedOn w:val="Normal"/>
    <w:next w:val="Normal"/>
    <w:link w:val="TOCPageChar"/>
    <w:rsid w:val="00DA3EAE"/>
    <w:pPr>
      <w:spacing w:after="240"/>
      <w:jc w:val="right"/>
    </w:pPr>
    <w:rPr>
      <w:rFonts w:cs="Arial"/>
      <w:b/>
      <w:smallCaps/>
    </w:rPr>
  </w:style>
  <w:style w:type="character" w:customStyle="1" w:styleId="TOCPageChar">
    <w:name w:val="TOC Page Char"/>
    <w:basedOn w:val="DefaultParagraphFont"/>
    <w:link w:val="TOCPage"/>
    <w:rsid w:val="00DA3EAE"/>
    <w:rPr>
      <w:rFonts w:cs="Arial"/>
      <w:b/>
      <w:smallCaps/>
      <w:sz w:val="20"/>
      <w:szCs w:val="20"/>
    </w:rPr>
  </w:style>
  <w:style w:type="character" w:customStyle="1" w:styleId="Heading3Char">
    <w:name w:val="Heading 3 Char"/>
    <w:basedOn w:val="DefaultParagraphFont"/>
    <w:link w:val="Heading3"/>
    <w:uiPriority w:val="9"/>
    <w:semiHidden/>
    <w:rsid w:val="00DA3EAE"/>
    <w:rPr>
      <w:rFonts w:asciiTheme="majorHAnsi" w:eastAsiaTheme="majorEastAsia" w:hAnsiTheme="majorHAnsi" w:cstheme="majorBidi"/>
      <w:b/>
      <w:bCs/>
      <w:color w:val="4F81BD" w:themeColor="accent1"/>
      <w:sz w:val="20"/>
      <w:szCs w:val="20"/>
    </w:rPr>
  </w:style>
  <w:style w:type="character" w:customStyle="1" w:styleId="Heading4Char">
    <w:name w:val="Heading 4 Char"/>
    <w:basedOn w:val="DefaultParagraphFont"/>
    <w:link w:val="Heading4"/>
    <w:uiPriority w:val="9"/>
    <w:semiHidden/>
    <w:rsid w:val="00DA3EAE"/>
    <w:rPr>
      <w:rFonts w:asciiTheme="majorHAnsi" w:eastAsiaTheme="majorEastAsia" w:hAnsiTheme="majorHAnsi" w:cstheme="majorBidi"/>
      <w:b/>
      <w:bCs/>
      <w:i/>
      <w:iCs/>
      <w:color w:val="4F81BD" w:themeColor="accent1"/>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C20"/>
    <w:rPr>
      <w:sz w:val="20"/>
      <w:szCs w:val="20"/>
    </w:rPr>
  </w:style>
  <w:style w:type="paragraph" w:styleId="Heading1">
    <w:name w:val="heading 1"/>
    <w:basedOn w:val="Normal"/>
    <w:next w:val="Normal"/>
    <w:link w:val="Heading1Char"/>
    <w:uiPriority w:val="9"/>
    <w:qFormat/>
    <w:rsid w:val="00184D4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C127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A3EA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A3EA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E7C20"/>
    <w:pPr>
      <w:tabs>
        <w:tab w:val="left" w:pos="-1440"/>
        <w:tab w:val="left" w:pos="-720"/>
        <w:tab w:val="left" w:pos="5040"/>
        <w:tab w:val="center" w:pos="7200"/>
      </w:tabs>
      <w:overflowPunct w:val="0"/>
      <w:autoSpaceDE w:val="0"/>
      <w:autoSpaceDN w:val="0"/>
      <w:adjustRightInd w:val="0"/>
      <w:jc w:val="both"/>
    </w:pPr>
    <w:rPr>
      <w:b/>
      <w:smallCaps/>
    </w:rPr>
  </w:style>
  <w:style w:type="character" w:customStyle="1" w:styleId="BodyTextChar">
    <w:name w:val="Body Text Char"/>
    <w:basedOn w:val="DefaultParagraphFont"/>
    <w:link w:val="BodyText"/>
    <w:rsid w:val="00BE7C20"/>
    <w:rPr>
      <w:b/>
      <w:smallCaps/>
      <w:sz w:val="20"/>
      <w:szCs w:val="20"/>
    </w:rPr>
  </w:style>
  <w:style w:type="paragraph" w:styleId="BodyText3">
    <w:name w:val="Body Text 3"/>
    <w:basedOn w:val="Normal"/>
    <w:link w:val="BodyText3Char"/>
    <w:rsid w:val="00BE7C20"/>
    <w:pPr>
      <w:spacing w:after="120"/>
    </w:pPr>
    <w:rPr>
      <w:sz w:val="16"/>
      <w:szCs w:val="16"/>
    </w:rPr>
  </w:style>
  <w:style w:type="character" w:customStyle="1" w:styleId="BodyText3Char">
    <w:name w:val="Body Text 3 Char"/>
    <w:basedOn w:val="DefaultParagraphFont"/>
    <w:link w:val="BodyText3"/>
    <w:rsid w:val="00BE7C20"/>
    <w:rPr>
      <w:sz w:val="16"/>
      <w:szCs w:val="16"/>
    </w:rPr>
  </w:style>
  <w:style w:type="paragraph" w:styleId="Header">
    <w:name w:val="header"/>
    <w:basedOn w:val="Normal"/>
    <w:link w:val="HeaderChar"/>
    <w:uiPriority w:val="99"/>
    <w:unhideWhenUsed/>
    <w:rsid w:val="00BE7C20"/>
    <w:pPr>
      <w:tabs>
        <w:tab w:val="center" w:pos="4680"/>
        <w:tab w:val="right" w:pos="9360"/>
      </w:tabs>
    </w:pPr>
  </w:style>
  <w:style w:type="character" w:customStyle="1" w:styleId="HeaderChar">
    <w:name w:val="Header Char"/>
    <w:basedOn w:val="DefaultParagraphFont"/>
    <w:link w:val="Header"/>
    <w:uiPriority w:val="99"/>
    <w:rsid w:val="00BE7C20"/>
    <w:rPr>
      <w:sz w:val="20"/>
      <w:szCs w:val="20"/>
    </w:rPr>
  </w:style>
  <w:style w:type="paragraph" w:styleId="Footer">
    <w:name w:val="footer"/>
    <w:basedOn w:val="Normal"/>
    <w:link w:val="FooterChar"/>
    <w:uiPriority w:val="99"/>
    <w:unhideWhenUsed/>
    <w:rsid w:val="00BE7C20"/>
    <w:pPr>
      <w:tabs>
        <w:tab w:val="center" w:pos="4680"/>
        <w:tab w:val="right" w:pos="9360"/>
      </w:tabs>
    </w:pPr>
  </w:style>
  <w:style w:type="character" w:customStyle="1" w:styleId="FooterChar">
    <w:name w:val="Footer Char"/>
    <w:basedOn w:val="DefaultParagraphFont"/>
    <w:link w:val="Footer"/>
    <w:uiPriority w:val="99"/>
    <w:rsid w:val="00BE7C20"/>
    <w:rPr>
      <w:sz w:val="20"/>
      <w:szCs w:val="20"/>
    </w:rPr>
  </w:style>
  <w:style w:type="paragraph" w:styleId="FootnoteText">
    <w:name w:val="footnote text"/>
    <w:basedOn w:val="Normal"/>
    <w:link w:val="FootnoteTextChar"/>
    <w:uiPriority w:val="99"/>
    <w:unhideWhenUsed/>
    <w:rsid w:val="002B4833"/>
  </w:style>
  <w:style w:type="character" w:customStyle="1" w:styleId="FootnoteTextChar">
    <w:name w:val="Footnote Text Char"/>
    <w:basedOn w:val="DefaultParagraphFont"/>
    <w:link w:val="FootnoteText"/>
    <w:uiPriority w:val="99"/>
    <w:rsid w:val="002B4833"/>
    <w:rPr>
      <w:sz w:val="20"/>
      <w:szCs w:val="20"/>
    </w:rPr>
  </w:style>
  <w:style w:type="character" w:styleId="FootnoteReference">
    <w:name w:val="footnote reference"/>
    <w:basedOn w:val="DefaultParagraphFont"/>
    <w:uiPriority w:val="99"/>
    <w:semiHidden/>
    <w:unhideWhenUsed/>
    <w:rsid w:val="002B4833"/>
    <w:rPr>
      <w:vertAlign w:val="superscript"/>
    </w:rPr>
  </w:style>
  <w:style w:type="paragraph" w:styleId="ListParagraph">
    <w:name w:val="List Paragraph"/>
    <w:basedOn w:val="Normal"/>
    <w:link w:val="ListParagraphChar"/>
    <w:uiPriority w:val="34"/>
    <w:qFormat/>
    <w:rsid w:val="00112E4B"/>
    <w:pPr>
      <w:ind w:left="720"/>
      <w:contextualSpacing/>
    </w:pPr>
  </w:style>
  <w:style w:type="character" w:customStyle="1" w:styleId="Heading1Char">
    <w:name w:val="Heading 1 Char"/>
    <w:basedOn w:val="DefaultParagraphFont"/>
    <w:link w:val="Heading1"/>
    <w:uiPriority w:val="9"/>
    <w:rsid w:val="00184D40"/>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C120A6"/>
    <w:rPr>
      <w:color w:val="0000FF" w:themeColor="hyperlink"/>
      <w:u w:val="single"/>
    </w:rPr>
  </w:style>
  <w:style w:type="paragraph" w:styleId="BalloonText">
    <w:name w:val="Balloon Text"/>
    <w:basedOn w:val="Normal"/>
    <w:link w:val="BalloonTextChar"/>
    <w:uiPriority w:val="99"/>
    <w:semiHidden/>
    <w:unhideWhenUsed/>
    <w:rsid w:val="00683BF1"/>
    <w:rPr>
      <w:rFonts w:ascii="Tahoma" w:hAnsi="Tahoma" w:cs="Tahoma"/>
      <w:sz w:val="16"/>
      <w:szCs w:val="16"/>
    </w:rPr>
  </w:style>
  <w:style w:type="character" w:customStyle="1" w:styleId="BalloonTextChar">
    <w:name w:val="Balloon Text Char"/>
    <w:basedOn w:val="DefaultParagraphFont"/>
    <w:link w:val="BalloonText"/>
    <w:uiPriority w:val="99"/>
    <w:semiHidden/>
    <w:rsid w:val="00683BF1"/>
    <w:rPr>
      <w:rFonts w:ascii="Tahoma" w:hAnsi="Tahoma" w:cs="Tahoma"/>
      <w:sz w:val="16"/>
      <w:szCs w:val="16"/>
    </w:rPr>
  </w:style>
  <w:style w:type="character" w:styleId="CommentReference">
    <w:name w:val="annotation reference"/>
    <w:basedOn w:val="DefaultParagraphFont"/>
    <w:uiPriority w:val="99"/>
    <w:semiHidden/>
    <w:unhideWhenUsed/>
    <w:rsid w:val="00024473"/>
    <w:rPr>
      <w:sz w:val="16"/>
      <w:szCs w:val="16"/>
    </w:rPr>
  </w:style>
  <w:style w:type="paragraph" w:styleId="CommentText">
    <w:name w:val="annotation text"/>
    <w:basedOn w:val="Normal"/>
    <w:link w:val="CommentTextChar"/>
    <w:uiPriority w:val="99"/>
    <w:semiHidden/>
    <w:unhideWhenUsed/>
    <w:rsid w:val="00024473"/>
  </w:style>
  <w:style w:type="character" w:customStyle="1" w:styleId="CommentTextChar">
    <w:name w:val="Comment Text Char"/>
    <w:basedOn w:val="DefaultParagraphFont"/>
    <w:link w:val="CommentText"/>
    <w:uiPriority w:val="99"/>
    <w:semiHidden/>
    <w:rsid w:val="00024473"/>
    <w:rPr>
      <w:sz w:val="20"/>
      <w:szCs w:val="20"/>
    </w:rPr>
  </w:style>
  <w:style w:type="paragraph" w:styleId="CommentSubject">
    <w:name w:val="annotation subject"/>
    <w:basedOn w:val="CommentText"/>
    <w:next w:val="CommentText"/>
    <w:link w:val="CommentSubjectChar"/>
    <w:uiPriority w:val="99"/>
    <w:semiHidden/>
    <w:unhideWhenUsed/>
    <w:rsid w:val="00024473"/>
    <w:rPr>
      <w:b/>
      <w:bCs/>
    </w:rPr>
  </w:style>
  <w:style w:type="character" w:customStyle="1" w:styleId="CommentSubjectChar">
    <w:name w:val="Comment Subject Char"/>
    <w:basedOn w:val="CommentTextChar"/>
    <w:link w:val="CommentSubject"/>
    <w:uiPriority w:val="99"/>
    <w:semiHidden/>
    <w:rsid w:val="00024473"/>
    <w:rPr>
      <w:b/>
      <w:bCs/>
      <w:sz w:val="20"/>
      <w:szCs w:val="20"/>
    </w:rPr>
  </w:style>
  <w:style w:type="character" w:styleId="FollowedHyperlink">
    <w:name w:val="FollowedHyperlink"/>
    <w:basedOn w:val="DefaultParagraphFont"/>
    <w:uiPriority w:val="99"/>
    <w:semiHidden/>
    <w:unhideWhenUsed/>
    <w:rsid w:val="00305225"/>
    <w:rPr>
      <w:color w:val="800080" w:themeColor="followedHyperlink"/>
      <w:u w:val="single"/>
    </w:rPr>
  </w:style>
  <w:style w:type="character" w:customStyle="1" w:styleId="Heading2Char">
    <w:name w:val="Heading 2 Char"/>
    <w:basedOn w:val="DefaultParagraphFont"/>
    <w:link w:val="Heading2"/>
    <w:uiPriority w:val="9"/>
    <w:semiHidden/>
    <w:rsid w:val="002C127A"/>
    <w:rPr>
      <w:rFonts w:asciiTheme="majorHAnsi" w:eastAsiaTheme="majorEastAsia" w:hAnsiTheme="majorHAnsi" w:cstheme="majorBidi"/>
      <w:b/>
      <w:bCs/>
      <w:color w:val="4F81BD" w:themeColor="accent1"/>
      <w:sz w:val="26"/>
      <w:szCs w:val="26"/>
    </w:rPr>
  </w:style>
  <w:style w:type="paragraph" w:customStyle="1" w:styleId="S2Heading1">
    <w:name w:val="S2.Heading 1"/>
    <w:basedOn w:val="Normal"/>
    <w:next w:val="Normal"/>
    <w:link w:val="S2Heading1Char"/>
    <w:rsid w:val="002C127A"/>
    <w:pPr>
      <w:numPr>
        <w:numId w:val="11"/>
      </w:numPr>
      <w:spacing w:after="240"/>
      <w:jc w:val="both"/>
      <w:outlineLvl w:val="0"/>
    </w:pPr>
    <w:rPr>
      <w:rFonts w:cs="Arial"/>
      <w:b/>
      <w:caps/>
      <w:u w:val="single"/>
    </w:rPr>
  </w:style>
  <w:style w:type="character" w:customStyle="1" w:styleId="ListParagraphChar">
    <w:name w:val="List Paragraph Char"/>
    <w:basedOn w:val="DefaultParagraphFont"/>
    <w:link w:val="ListParagraph"/>
    <w:uiPriority w:val="34"/>
    <w:rsid w:val="002C127A"/>
    <w:rPr>
      <w:sz w:val="20"/>
      <w:szCs w:val="20"/>
    </w:rPr>
  </w:style>
  <w:style w:type="character" w:customStyle="1" w:styleId="S2Heading1Char">
    <w:name w:val="S2.Heading 1 Char"/>
    <w:basedOn w:val="ListParagraphChar"/>
    <w:link w:val="S2Heading1"/>
    <w:rsid w:val="002C127A"/>
    <w:rPr>
      <w:rFonts w:cs="Arial"/>
      <w:b/>
      <w:caps/>
      <w:sz w:val="20"/>
      <w:szCs w:val="20"/>
      <w:u w:val="single"/>
    </w:rPr>
  </w:style>
  <w:style w:type="paragraph" w:customStyle="1" w:styleId="S2Heading2">
    <w:name w:val="S2.Heading 2"/>
    <w:basedOn w:val="Normal"/>
    <w:next w:val="Normal"/>
    <w:link w:val="S2Heading2Char"/>
    <w:rsid w:val="002C127A"/>
    <w:pPr>
      <w:numPr>
        <w:ilvl w:val="1"/>
        <w:numId w:val="11"/>
      </w:numPr>
      <w:spacing w:after="240"/>
      <w:jc w:val="both"/>
      <w:outlineLvl w:val="1"/>
    </w:pPr>
    <w:rPr>
      <w:rFonts w:cs="Arial"/>
      <w:b/>
    </w:rPr>
  </w:style>
  <w:style w:type="character" w:customStyle="1" w:styleId="S2Heading2Char">
    <w:name w:val="S2.Heading 2 Char"/>
    <w:basedOn w:val="ListParagraphChar"/>
    <w:link w:val="S2Heading2"/>
    <w:rsid w:val="002C127A"/>
    <w:rPr>
      <w:rFonts w:cs="Arial"/>
      <w:b/>
      <w:sz w:val="20"/>
      <w:szCs w:val="20"/>
    </w:rPr>
  </w:style>
  <w:style w:type="paragraph" w:customStyle="1" w:styleId="S2Heading3">
    <w:name w:val="S2.Heading 3"/>
    <w:basedOn w:val="Normal"/>
    <w:next w:val="Normal"/>
    <w:link w:val="S2Heading3Char"/>
    <w:rsid w:val="002C127A"/>
    <w:pPr>
      <w:numPr>
        <w:ilvl w:val="2"/>
        <w:numId w:val="11"/>
      </w:numPr>
      <w:spacing w:after="240"/>
      <w:jc w:val="both"/>
      <w:outlineLvl w:val="2"/>
    </w:pPr>
    <w:rPr>
      <w:rFonts w:cs="Arial"/>
      <w:b/>
    </w:rPr>
  </w:style>
  <w:style w:type="character" w:customStyle="1" w:styleId="S2Heading3Char">
    <w:name w:val="S2.Heading 3 Char"/>
    <w:basedOn w:val="ListParagraphChar"/>
    <w:link w:val="S2Heading3"/>
    <w:rsid w:val="002C127A"/>
    <w:rPr>
      <w:rFonts w:cs="Arial"/>
      <w:b/>
      <w:sz w:val="20"/>
      <w:szCs w:val="20"/>
    </w:rPr>
  </w:style>
  <w:style w:type="paragraph" w:customStyle="1" w:styleId="S2Heading4">
    <w:name w:val="S2.Heading 4"/>
    <w:basedOn w:val="Normal"/>
    <w:next w:val="Normal"/>
    <w:link w:val="S2Heading4Char"/>
    <w:rsid w:val="002C127A"/>
    <w:pPr>
      <w:numPr>
        <w:ilvl w:val="3"/>
        <w:numId w:val="11"/>
      </w:numPr>
      <w:spacing w:after="240"/>
      <w:jc w:val="both"/>
      <w:outlineLvl w:val="3"/>
    </w:pPr>
    <w:rPr>
      <w:rFonts w:cs="Arial"/>
      <w:b/>
      <w:i/>
    </w:rPr>
  </w:style>
  <w:style w:type="character" w:customStyle="1" w:styleId="S2Heading4Char">
    <w:name w:val="S2.Heading 4 Char"/>
    <w:basedOn w:val="ListParagraphChar"/>
    <w:link w:val="S2Heading4"/>
    <w:rsid w:val="002C127A"/>
    <w:rPr>
      <w:rFonts w:cs="Arial"/>
      <w:b/>
      <w:i/>
      <w:sz w:val="20"/>
      <w:szCs w:val="20"/>
    </w:rPr>
  </w:style>
  <w:style w:type="paragraph" w:customStyle="1" w:styleId="S2Heading5">
    <w:name w:val="S2.Heading 5"/>
    <w:basedOn w:val="Normal"/>
    <w:next w:val="Normal"/>
    <w:link w:val="S2Heading5Char"/>
    <w:rsid w:val="002C127A"/>
    <w:pPr>
      <w:numPr>
        <w:ilvl w:val="4"/>
        <w:numId w:val="11"/>
      </w:numPr>
      <w:spacing w:after="240"/>
      <w:jc w:val="both"/>
      <w:outlineLvl w:val="4"/>
    </w:pPr>
    <w:rPr>
      <w:rFonts w:asciiTheme="majorHAnsi" w:hAnsiTheme="majorHAnsi" w:cs="Arial"/>
      <w:color w:val="243F60" w:themeColor="accent1" w:themeShade="7F"/>
    </w:rPr>
  </w:style>
  <w:style w:type="character" w:customStyle="1" w:styleId="S2Heading5Char">
    <w:name w:val="S2.Heading 5 Char"/>
    <w:basedOn w:val="ListParagraphChar"/>
    <w:link w:val="S2Heading5"/>
    <w:rsid w:val="002C127A"/>
    <w:rPr>
      <w:rFonts w:asciiTheme="majorHAnsi" w:hAnsiTheme="majorHAnsi" w:cs="Arial"/>
      <w:color w:val="243F60" w:themeColor="accent1" w:themeShade="7F"/>
      <w:sz w:val="20"/>
      <w:szCs w:val="20"/>
    </w:rPr>
  </w:style>
  <w:style w:type="paragraph" w:customStyle="1" w:styleId="S2Heading6">
    <w:name w:val="S2.Heading 6"/>
    <w:basedOn w:val="Normal"/>
    <w:next w:val="Normal"/>
    <w:link w:val="S2Heading6Char"/>
    <w:rsid w:val="002C127A"/>
    <w:pPr>
      <w:numPr>
        <w:ilvl w:val="5"/>
        <w:numId w:val="11"/>
      </w:numPr>
      <w:spacing w:after="240"/>
      <w:jc w:val="both"/>
      <w:outlineLvl w:val="5"/>
    </w:pPr>
    <w:rPr>
      <w:rFonts w:asciiTheme="majorHAnsi" w:hAnsiTheme="majorHAnsi" w:cs="Arial"/>
      <w:color w:val="243F60" w:themeColor="accent1" w:themeShade="7F"/>
    </w:rPr>
  </w:style>
  <w:style w:type="character" w:customStyle="1" w:styleId="S2Heading6Char">
    <w:name w:val="S2.Heading 6 Char"/>
    <w:basedOn w:val="ListParagraphChar"/>
    <w:link w:val="S2Heading6"/>
    <w:rsid w:val="002C127A"/>
    <w:rPr>
      <w:rFonts w:asciiTheme="majorHAnsi" w:hAnsiTheme="majorHAnsi" w:cs="Arial"/>
      <w:color w:val="243F60" w:themeColor="accent1" w:themeShade="7F"/>
      <w:sz w:val="20"/>
      <w:szCs w:val="20"/>
    </w:rPr>
  </w:style>
  <w:style w:type="paragraph" w:customStyle="1" w:styleId="S2Heading7">
    <w:name w:val="S2.Heading 7"/>
    <w:basedOn w:val="Normal"/>
    <w:next w:val="Normal"/>
    <w:link w:val="S2Heading7Char"/>
    <w:rsid w:val="002C127A"/>
    <w:pPr>
      <w:numPr>
        <w:ilvl w:val="6"/>
        <w:numId w:val="11"/>
      </w:numPr>
      <w:spacing w:after="240"/>
      <w:jc w:val="both"/>
      <w:outlineLvl w:val="6"/>
    </w:pPr>
    <w:rPr>
      <w:rFonts w:asciiTheme="majorHAnsi" w:hAnsiTheme="majorHAnsi" w:cs="Arial"/>
      <w:color w:val="404040" w:themeColor="text1" w:themeTint="BF"/>
    </w:rPr>
  </w:style>
  <w:style w:type="character" w:customStyle="1" w:styleId="S2Heading7Char">
    <w:name w:val="S2.Heading 7 Char"/>
    <w:basedOn w:val="ListParagraphChar"/>
    <w:link w:val="S2Heading7"/>
    <w:rsid w:val="002C127A"/>
    <w:rPr>
      <w:rFonts w:asciiTheme="majorHAnsi" w:hAnsiTheme="majorHAnsi" w:cs="Arial"/>
      <w:color w:val="404040" w:themeColor="text1" w:themeTint="BF"/>
      <w:sz w:val="20"/>
      <w:szCs w:val="20"/>
    </w:rPr>
  </w:style>
  <w:style w:type="paragraph" w:customStyle="1" w:styleId="S2Heading8">
    <w:name w:val="S2.Heading 8"/>
    <w:basedOn w:val="Normal"/>
    <w:next w:val="Normal"/>
    <w:link w:val="S2Heading8Char"/>
    <w:rsid w:val="002C127A"/>
    <w:pPr>
      <w:numPr>
        <w:ilvl w:val="7"/>
        <w:numId w:val="11"/>
      </w:numPr>
      <w:spacing w:after="240"/>
      <w:jc w:val="both"/>
      <w:outlineLvl w:val="7"/>
    </w:pPr>
    <w:rPr>
      <w:rFonts w:asciiTheme="majorHAnsi" w:hAnsiTheme="majorHAnsi" w:cs="Arial"/>
      <w:color w:val="404040" w:themeColor="text1" w:themeTint="BF"/>
    </w:rPr>
  </w:style>
  <w:style w:type="character" w:customStyle="1" w:styleId="S2Heading8Char">
    <w:name w:val="S2.Heading 8 Char"/>
    <w:basedOn w:val="ListParagraphChar"/>
    <w:link w:val="S2Heading8"/>
    <w:rsid w:val="002C127A"/>
    <w:rPr>
      <w:rFonts w:asciiTheme="majorHAnsi" w:hAnsiTheme="majorHAnsi" w:cs="Arial"/>
      <w:color w:val="404040" w:themeColor="text1" w:themeTint="BF"/>
      <w:sz w:val="20"/>
      <w:szCs w:val="20"/>
    </w:rPr>
  </w:style>
  <w:style w:type="paragraph" w:customStyle="1" w:styleId="S2Heading9">
    <w:name w:val="S2.Heading 9"/>
    <w:basedOn w:val="Normal"/>
    <w:next w:val="Normal"/>
    <w:link w:val="S2Heading9Char"/>
    <w:rsid w:val="002C127A"/>
    <w:pPr>
      <w:numPr>
        <w:ilvl w:val="8"/>
        <w:numId w:val="11"/>
      </w:numPr>
      <w:spacing w:after="240"/>
      <w:jc w:val="both"/>
      <w:outlineLvl w:val="8"/>
    </w:pPr>
    <w:rPr>
      <w:rFonts w:asciiTheme="majorHAnsi" w:hAnsiTheme="majorHAnsi" w:cs="Arial"/>
      <w:color w:val="404040" w:themeColor="text1" w:themeTint="BF"/>
    </w:rPr>
  </w:style>
  <w:style w:type="character" w:customStyle="1" w:styleId="S2Heading9Char">
    <w:name w:val="S2.Heading 9 Char"/>
    <w:basedOn w:val="ListParagraphChar"/>
    <w:link w:val="S2Heading9"/>
    <w:rsid w:val="002C127A"/>
    <w:rPr>
      <w:rFonts w:asciiTheme="majorHAnsi" w:hAnsiTheme="majorHAnsi" w:cs="Arial"/>
      <w:color w:val="404040" w:themeColor="text1" w:themeTint="BF"/>
      <w:sz w:val="20"/>
      <w:szCs w:val="20"/>
    </w:rPr>
  </w:style>
  <w:style w:type="paragraph" w:styleId="TOCHeading">
    <w:name w:val="TOC Heading"/>
    <w:basedOn w:val="Normal"/>
    <w:next w:val="TOC1"/>
    <w:uiPriority w:val="39"/>
    <w:unhideWhenUsed/>
    <w:qFormat/>
    <w:rsid w:val="00DA3EAE"/>
    <w:pPr>
      <w:spacing w:after="240"/>
      <w:jc w:val="center"/>
    </w:pPr>
    <w:rPr>
      <w:b/>
    </w:rPr>
  </w:style>
  <w:style w:type="paragraph" w:styleId="TOC1">
    <w:name w:val="toc 1"/>
    <w:basedOn w:val="Normal"/>
    <w:next w:val="Normal"/>
    <w:autoRedefine/>
    <w:uiPriority w:val="39"/>
    <w:unhideWhenUsed/>
    <w:rsid w:val="00DA3EAE"/>
    <w:pPr>
      <w:tabs>
        <w:tab w:val="left" w:pos="720"/>
        <w:tab w:val="right" w:leader="dot" w:pos="9360"/>
      </w:tabs>
      <w:spacing w:after="240"/>
      <w:ind w:right="720"/>
    </w:pPr>
  </w:style>
  <w:style w:type="paragraph" w:styleId="TOC2">
    <w:name w:val="toc 2"/>
    <w:basedOn w:val="Normal"/>
    <w:next w:val="Normal"/>
    <w:autoRedefine/>
    <w:uiPriority w:val="39"/>
    <w:unhideWhenUsed/>
    <w:rsid w:val="0043434F"/>
    <w:pPr>
      <w:tabs>
        <w:tab w:val="left" w:pos="1440"/>
        <w:tab w:val="right" w:leader="dot" w:pos="9360"/>
      </w:tabs>
      <w:spacing w:after="240"/>
      <w:ind w:left="1440" w:right="720" w:hanging="720"/>
    </w:pPr>
  </w:style>
  <w:style w:type="paragraph" w:styleId="TOC3">
    <w:name w:val="toc 3"/>
    <w:basedOn w:val="Normal"/>
    <w:next w:val="Normal"/>
    <w:autoRedefine/>
    <w:uiPriority w:val="39"/>
    <w:unhideWhenUsed/>
    <w:rsid w:val="0043434F"/>
    <w:pPr>
      <w:tabs>
        <w:tab w:val="left" w:pos="2160"/>
        <w:tab w:val="right" w:leader="dot" w:pos="9360"/>
      </w:tabs>
      <w:spacing w:after="240"/>
      <w:ind w:left="2160" w:right="720" w:hanging="720"/>
    </w:pPr>
  </w:style>
  <w:style w:type="paragraph" w:styleId="TOC4">
    <w:name w:val="toc 4"/>
    <w:basedOn w:val="Normal"/>
    <w:next w:val="Normal"/>
    <w:autoRedefine/>
    <w:uiPriority w:val="39"/>
    <w:unhideWhenUsed/>
    <w:rsid w:val="0043434F"/>
    <w:pPr>
      <w:tabs>
        <w:tab w:val="left" w:pos="1000"/>
        <w:tab w:val="left" w:pos="2880"/>
        <w:tab w:val="right" w:leader="dot" w:pos="9360"/>
      </w:tabs>
      <w:spacing w:after="240"/>
      <w:ind w:left="2880" w:right="720" w:hanging="720"/>
    </w:pPr>
  </w:style>
  <w:style w:type="paragraph" w:styleId="TOC5">
    <w:name w:val="toc 5"/>
    <w:basedOn w:val="Normal"/>
    <w:next w:val="Normal"/>
    <w:autoRedefine/>
    <w:uiPriority w:val="39"/>
    <w:semiHidden/>
    <w:unhideWhenUsed/>
    <w:rsid w:val="00DA3EAE"/>
    <w:pPr>
      <w:spacing w:after="100"/>
      <w:ind w:left="800"/>
    </w:pPr>
  </w:style>
  <w:style w:type="paragraph" w:styleId="TOC6">
    <w:name w:val="toc 6"/>
    <w:basedOn w:val="Normal"/>
    <w:next w:val="Normal"/>
    <w:autoRedefine/>
    <w:uiPriority w:val="39"/>
    <w:semiHidden/>
    <w:unhideWhenUsed/>
    <w:rsid w:val="00DA3EAE"/>
    <w:pPr>
      <w:spacing w:after="100"/>
      <w:ind w:left="1000"/>
    </w:pPr>
  </w:style>
  <w:style w:type="paragraph" w:styleId="TOC7">
    <w:name w:val="toc 7"/>
    <w:basedOn w:val="Normal"/>
    <w:next w:val="Normal"/>
    <w:autoRedefine/>
    <w:uiPriority w:val="39"/>
    <w:semiHidden/>
    <w:unhideWhenUsed/>
    <w:rsid w:val="00DA3EAE"/>
    <w:pPr>
      <w:spacing w:after="100"/>
      <w:ind w:left="1200"/>
    </w:pPr>
  </w:style>
  <w:style w:type="paragraph" w:styleId="TOC8">
    <w:name w:val="toc 8"/>
    <w:basedOn w:val="Normal"/>
    <w:next w:val="Normal"/>
    <w:autoRedefine/>
    <w:uiPriority w:val="39"/>
    <w:semiHidden/>
    <w:unhideWhenUsed/>
    <w:rsid w:val="00DA3EAE"/>
    <w:pPr>
      <w:spacing w:after="100"/>
      <w:ind w:left="1400"/>
    </w:pPr>
  </w:style>
  <w:style w:type="paragraph" w:styleId="TOC9">
    <w:name w:val="toc 9"/>
    <w:basedOn w:val="Normal"/>
    <w:next w:val="Normal"/>
    <w:autoRedefine/>
    <w:uiPriority w:val="39"/>
    <w:semiHidden/>
    <w:unhideWhenUsed/>
    <w:rsid w:val="00DA3EAE"/>
    <w:pPr>
      <w:spacing w:after="100"/>
      <w:ind w:left="1600"/>
    </w:pPr>
  </w:style>
  <w:style w:type="paragraph" w:customStyle="1" w:styleId="TOCPage">
    <w:name w:val="TOC Page"/>
    <w:basedOn w:val="Normal"/>
    <w:next w:val="Normal"/>
    <w:link w:val="TOCPageChar"/>
    <w:rsid w:val="00DA3EAE"/>
    <w:pPr>
      <w:spacing w:after="240"/>
      <w:jc w:val="right"/>
    </w:pPr>
    <w:rPr>
      <w:rFonts w:cs="Arial"/>
      <w:b/>
      <w:smallCaps/>
    </w:rPr>
  </w:style>
  <w:style w:type="character" w:customStyle="1" w:styleId="TOCPageChar">
    <w:name w:val="TOC Page Char"/>
    <w:basedOn w:val="DefaultParagraphFont"/>
    <w:link w:val="TOCPage"/>
    <w:rsid w:val="00DA3EAE"/>
    <w:rPr>
      <w:rFonts w:cs="Arial"/>
      <w:b/>
      <w:smallCaps/>
      <w:sz w:val="20"/>
      <w:szCs w:val="20"/>
    </w:rPr>
  </w:style>
  <w:style w:type="character" w:customStyle="1" w:styleId="Heading3Char">
    <w:name w:val="Heading 3 Char"/>
    <w:basedOn w:val="DefaultParagraphFont"/>
    <w:link w:val="Heading3"/>
    <w:uiPriority w:val="9"/>
    <w:semiHidden/>
    <w:rsid w:val="00DA3EAE"/>
    <w:rPr>
      <w:rFonts w:asciiTheme="majorHAnsi" w:eastAsiaTheme="majorEastAsia" w:hAnsiTheme="majorHAnsi" w:cstheme="majorBidi"/>
      <w:b/>
      <w:bCs/>
      <w:color w:val="4F81BD" w:themeColor="accent1"/>
      <w:sz w:val="20"/>
      <w:szCs w:val="20"/>
    </w:rPr>
  </w:style>
  <w:style w:type="character" w:customStyle="1" w:styleId="Heading4Char">
    <w:name w:val="Heading 4 Char"/>
    <w:basedOn w:val="DefaultParagraphFont"/>
    <w:link w:val="Heading4"/>
    <w:uiPriority w:val="9"/>
    <w:semiHidden/>
    <w:rsid w:val="00DA3EAE"/>
    <w:rPr>
      <w:rFonts w:asciiTheme="majorHAnsi" w:eastAsiaTheme="majorEastAsia" w:hAnsiTheme="majorHAnsi" w:cstheme="majorBidi"/>
      <w:b/>
      <w:bCs/>
      <w:i/>
      <w:iCs/>
      <w:color w:val="4F81BD" w:themeColor="accen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441438">
      <w:bodyDiv w:val="1"/>
      <w:marLeft w:val="0"/>
      <w:marRight w:val="0"/>
      <w:marTop w:val="0"/>
      <w:marBottom w:val="0"/>
      <w:divBdr>
        <w:top w:val="none" w:sz="0" w:space="0" w:color="auto"/>
        <w:left w:val="none" w:sz="0" w:space="0" w:color="auto"/>
        <w:bottom w:val="none" w:sz="0" w:space="0" w:color="auto"/>
        <w:right w:val="none" w:sz="0" w:space="0" w:color="auto"/>
      </w:divBdr>
    </w:div>
    <w:div w:id="890966724">
      <w:bodyDiv w:val="1"/>
      <w:marLeft w:val="0"/>
      <w:marRight w:val="0"/>
      <w:marTop w:val="0"/>
      <w:marBottom w:val="0"/>
      <w:divBdr>
        <w:top w:val="none" w:sz="0" w:space="0" w:color="auto"/>
        <w:left w:val="none" w:sz="0" w:space="0" w:color="auto"/>
        <w:bottom w:val="none" w:sz="0" w:space="0" w:color="auto"/>
        <w:right w:val="none" w:sz="0" w:space="0" w:color="auto"/>
      </w:divBdr>
    </w:div>
    <w:div w:id="163744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10.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69319-10E7-415D-B54B-0D859A261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6727</Words>
  <Characters>37160</Characters>
  <Application>Microsoft Office Word</Application>
  <DocSecurity>0</DocSecurity>
  <PresentationFormat/>
  <Lines>759</Lines>
  <Paragraphs>229</Paragraphs>
  <ScaleCrop>false</ScaleCrop>
  <HeadingPairs>
    <vt:vector size="2" baseType="variant">
      <vt:variant>
        <vt:lpstr>Title</vt:lpstr>
      </vt:variant>
      <vt:variant>
        <vt:i4>1</vt:i4>
      </vt:variant>
    </vt:vector>
  </HeadingPairs>
  <TitlesOfParts>
    <vt:vector size="1" baseType="lpstr">
      <vt:lpstr>Comments DP&amp;L Supplemental Application -- 13-2420-EL-UNC (C43148-2).DOCX</vt:lpstr>
    </vt:vector>
  </TitlesOfParts>
  <Manager/>
  <Company/>
  <LinksUpToDate>false</LinksUpToDate>
  <CharactersWithSpaces>43880</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Comments DP&amp;L Supplemental Application -- 13-2420-EL-UNC (C43148-2).DOCX</dc:title>
  <dc:subject>C43148:2 /font=8</dc:subject>
  <dc:creator/>
  <cp:keywords> </cp:keywords>
  <dc:description> </dc:description>
  <cp:lastModifiedBy/>
  <cp:revision>1</cp:revision>
  <cp:lastPrinted>2014-02-04T18:03:00Z</cp:lastPrinted>
  <dcterms:created xsi:type="dcterms:W3CDTF">2014-03-17T15:33:00Z</dcterms:created>
  <dcterms:modified xsi:type="dcterms:W3CDTF">2014-03-25T19:30:00Z</dcterms:modified>
  <cp:category> </cp:category>
  <cp:contentStatus> </cp:contentStatus>
</cp:coreProperties>
</file>