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14" w:rsidRPr="00A7466C" w:rsidRDefault="004D1114" w:rsidP="004D1114">
      <w:pPr>
        <w:spacing w:after="0"/>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UNITED STATES OF AMERICA</w:t>
      </w:r>
    </w:p>
    <w:p w:rsidR="004D1114" w:rsidRPr="00A7466C" w:rsidRDefault="004D1114" w:rsidP="004D1114">
      <w:pPr>
        <w:spacing w:after="0"/>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4D1114" w:rsidRDefault="004D1114" w:rsidP="004D1114">
      <w:pPr>
        <w:spacing w:after="0"/>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4D1114" w:rsidRDefault="004D1114" w:rsidP="004D1114">
      <w:pPr>
        <w:spacing w:after="0"/>
        <w:jc w:val="center"/>
        <w:rPr>
          <w:rFonts w:ascii="Times New Roman" w:eastAsia="Times New Roman" w:hAnsi="Times New Roman" w:cs="Times New Roman"/>
          <w:b/>
          <w:sz w:val="26"/>
          <w:szCs w:val="26"/>
          <w:lang w:bidi="en-US"/>
        </w:rPr>
      </w:pPr>
    </w:p>
    <w:p w:rsidR="00EE4F49" w:rsidRDefault="00EE4F49" w:rsidP="004D1114">
      <w:pPr>
        <w:spacing w:after="0"/>
        <w:jc w:val="center"/>
        <w:rPr>
          <w:rFonts w:ascii="Times New Roman" w:eastAsia="Times New Roman" w:hAnsi="Times New Roman" w:cs="Times New Roman"/>
          <w:b/>
          <w:sz w:val="26"/>
          <w:szCs w:val="26"/>
          <w:lang w:bidi="en-US"/>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5"/>
        <w:gridCol w:w="3870"/>
      </w:tblGrid>
      <w:tr w:rsidR="00EE4F49" w:rsidTr="00EE4F49">
        <w:tc>
          <w:tcPr>
            <w:tcW w:w="4585" w:type="dxa"/>
          </w:tcPr>
          <w:p w:rsidR="00EE4F49" w:rsidRDefault="00EE4F49" w:rsidP="00EE4F49">
            <w:pPr>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Calpine Corporation, Dynegy, Inc. Eastern Generation, LLC, Homer City Generation, L.P.,  NRG Power Marketing LLC, Carroll County Energy LLC, C.P. Crane LLC, Essential Power, LLC, Essential Power OPP, LLC, Essential Power Rock Springs, LLC, Lakewood Cogeneration, L.P., GDF SUEZ Energy Marketing NA, Inc., Oregon Clean Energy, LLC and Panda Power Generation Infrastructure Fund, LLC,</w:t>
            </w:r>
          </w:p>
          <w:p w:rsidR="00EE4F49" w:rsidRDefault="00EE4F49" w:rsidP="00EE4F49">
            <w:pPr>
              <w:jc w:val="both"/>
              <w:rPr>
                <w:rFonts w:ascii="Times New Roman" w:eastAsia="Times New Roman" w:hAnsi="Times New Roman" w:cs="Times New Roman"/>
                <w:sz w:val="26"/>
                <w:szCs w:val="26"/>
                <w:lang w:bidi="en-US"/>
              </w:rPr>
            </w:pPr>
          </w:p>
          <w:p w:rsidR="00EE4F49" w:rsidRDefault="00EE4F49" w:rsidP="00EE4F49">
            <w:pPr>
              <w:rPr>
                <w:rFonts w:ascii="Times New Roman" w:eastAsia="Times New Roman" w:hAnsi="Times New Roman" w:cs="Times New Roman"/>
                <w:b/>
                <w:sz w:val="26"/>
                <w:szCs w:val="26"/>
                <w:lang w:bidi="en-US"/>
              </w:rPr>
            </w:pPr>
            <w:r>
              <w:rPr>
                <w:rFonts w:ascii="Times New Roman" w:eastAsia="Times New Roman" w:hAnsi="Times New Roman" w:cs="Times New Roman"/>
                <w:sz w:val="26"/>
                <w:szCs w:val="26"/>
                <w:lang w:bidi="en-US"/>
              </w:rPr>
              <w:tab/>
              <w:t>Complainants,</w:t>
            </w:r>
          </w:p>
          <w:p w:rsidR="00EE4F49" w:rsidRDefault="00EE4F49" w:rsidP="004D1114">
            <w:pPr>
              <w:jc w:val="center"/>
              <w:rPr>
                <w:rFonts w:ascii="Times New Roman" w:eastAsia="Times New Roman" w:hAnsi="Times New Roman" w:cs="Times New Roman"/>
                <w:b/>
                <w:sz w:val="26"/>
                <w:szCs w:val="26"/>
                <w:lang w:bidi="en-US"/>
              </w:rPr>
            </w:pPr>
          </w:p>
          <w:p w:rsidR="00EE4F49" w:rsidRDefault="00EE4F49" w:rsidP="004D1114">
            <w:pPr>
              <w:jc w:val="center"/>
              <w:rPr>
                <w:rFonts w:ascii="Times New Roman" w:eastAsia="Times New Roman" w:hAnsi="Times New Roman" w:cs="Times New Roman"/>
                <w:b/>
                <w:sz w:val="26"/>
                <w:szCs w:val="26"/>
                <w:lang w:bidi="en-US"/>
              </w:rPr>
            </w:pPr>
          </w:p>
          <w:p w:rsidR="00EE4F49" w:rsidRDefault="00EE4F49" w:rsidP="00EE4F49">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p w:rsidR="00EE4F49" w:rsidRDefault="00EE4F49" w:rsidP="00EE4F49">
            <w:pPr>
              <w:rPr>
                <w:rFonts w:ascii="Times New Roman" w:eastAsia="Times New Roman" w:hAnsi="Times New Roman" w:cs="Times New Roman"/>
                <w:sz w:val="26"/>
                <w:szCs w:val="26"/>
                <w:lang w:bidi="en-US"/>
              </w:rPr>
            </w:pPr>
          </w:p>
          <w:p w:rsidR="00EE4F49" w:rsidRDefault="00EE4F49" w:rsidP="00EE4F49">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t>Respondent.</w:t>
            </w:r>
          </w:p>
          <w:p w:rsidR="00EE4F49" w:rsidRDefault="00EE4F49" w:rsidP="00EE4F49">
            <w:pPr>
              <w:rPr>
                <w:rFonts w:ascii="Times New Roman" w:eastAsia="Times New Roman" w:hAnsi="Times New Roman" w:cs="Times New Roman"/>
                <w:b/>
                <w:sz w:val="26"/>
                <w:szCs w:val="26"/>
                <w:lang w:bidi="en-US"/>
              </w:rPr>
            </w:pPr>
          </w:p>
        </w:tc>
        <w:tc>
          <w:tcPr>
            <w:tcW w:w="455" w:type="dxa"/>
          </w:tcPr>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Pr="00EE4F49" w:rsidRDefault="00EE4F49" w:rsidP="004D1114">
            <w:pPr>
              <w:jc w:val="center"/>
              <w:rPr>
                <w:rFonts w:ascii="Times New Roman" w:eastAsia="Times New Roman" w:hAnsi="Times New Roman" w:cs="Times New Roman"/>
                <w:sz w:val="26"/>
                <w:szCs w:val="26"/>
                <w:lang w:bidi="en-US"/>
              </w:rPr>
            </w:pPr>
            <w:r w:rsidRPr="00EE4F49">
              <w:rPr>
                <w:rFonts w:ascii="Times New Roman" w:eastAsia="Times New Roman" w:hAnsi="Times New Roman" w:cs="Times New Roman"/>
                <w:sz w:val="26"/>
                <w:szCs w:val="26"/>
                <w:lang w:bidi="en-US"/>
              </w:rPr>
              <w:t>:</w:t>
            </w:r>
          </w:p>
          <w:p w:rsidR="00EE4F49" w:rsidRDefault="00EE4F49" w:rsidP="004D1114">
            <w:pPr>
              <w:jc w:val="center"/>
              <w:rPr>
                <w:rFonts w:ascii="Times New Roman" w:eastAsia="Times New Roman" w:hAnsi="Times New Roman" w:cs="Times New Roman"/>
                <w:b/>
                <w:sz w:val="26"/>
                <w:szCs w:val="26"/>
                <w:lang w:bidi="en-US"/>
              </w:rPr>
            </w:pPr>
            <w:r w:rsidRPr="00EE4F49">
              <w:rPr>
                <w:rFonts w:ascii="Times New Roman" w:eastAsia="Times New Roman" w:hAnsi="Times New Roman" w:cs="Times New Roman"/>
                <w:sz w:val="26"/>
                <w:szCs w:val="26"/>
                <w:lang w:bidi="en-US"/>
              </w:rPr>
              <w:t>:</w:t>
            </w:r>
          </w:p>
        </w:tc>
        <w:tc>
          <w:tcPr>
            <w:tcW w:w="3870" w:type="dxa"/>
          </w:tcPr>
          <w:p w:rsidR="00EE4F49" w:rsidRDefault="00EE4F49" w:rsidP="00EE4F49">
            <w:pPr>
              <w:rPr>
                <w:rFonts w:ascii="Times New Roman" w:eastAsia="Times New Roman" w:hAnsi="Times New Roman" w:cs="Times New Roman"/>
                <w:b/>
                <w:sz w:val="26"/>
                <w:szCs w:val="26"/>
                <w:lang w:bidi="en-US"/>
              </w:rPr>
            </w:pPr>
          </w:p>
          <w:p w:rsidR="00EE4F49" w:rsidRDefault="00EE4F49" w:rsidP="00EE4F49">
            <w:pPr>
              <w:rPr>
                <w:rFonts w:ascii="Times New Roman" w:eastAsia="Times New Roman" w:hAnsi="Times New Roman" w:cs="Times New Roman"/>
                <w:b/>
                <w:sz w:val="26"/>
                <w:szCs w:val="26"/>
                <w:lang w:bidi="en-US"/>
              </w:rPr>
            </w:pPr>
          </w:p>
          <w:p w:rsidR="00EE4F49" w:rsidRDefault="00EE4F49" w:rsidP="00EE4F49">
            <w:pPr>
              <w:rPr>
                <w:rFonts w:ascii="Times New Roman" w:eastAsia="Times New Roman" w:hAnsi="Times New Roman" w:cs="Times New Roman"/>
                <w:b/>
                <w:sz w:val="26"/>
                <w:szCs w:val="26"/>
                <w:lang w:bidi="en-US"/>
              </w:rPr>
            </w:pPr>
            <w:r>
              <w:rPr>
                <w:rFonts w:ascii="Times New Roman" w:eastAsia="Times New Roman" w:hAnsi="Times New Roman" w:cs="Times New Roman"/>
                <w:sz w:val="26"/>
                <w:szCs w:val="26"/>
                <w:lang w:bidi="en-US"/>
              </w:rPr>
              <w:t>Docke</w:t>
            </w:r>
            <w:bookmarkStart w:id="0" w:name="_GoBack"/>
            <w:r>
              <w:rPr>
                <w:rFonts w:ascii="Times New Roman" w:eastAsia="Times New Roman" w:hAnsi="Times New Roman" w:cs="Times New Roman"/>
                <w:sz w:val="26"/>
                <w:szCs w:val="26"/>
                <w:lang w:bidi="en-US"/>
              </w:rPr>
              <w:t>t</w:t>
            </w:r>
            <w:bookmarkEnd w:id="0"/>
            <w:r>
              <w:rPr>
                <w:rFonts w:ascii="Times New Roman" w:eastAsia="Times New Roman" w:hAnsi="Times New Roman" w:cs="Times New Roman"/>
                <w:sz w:val="26"/>
                <w:szCs w:val="26"/>
                <w:lang w:bidi="en-US"/>
              </w:rPr>
              <w:t xml:space="preserve"> No. EL16-49-000</w:t>
            </w:r>
          </w:p>
        </w:tc>
      </w:tr>
    </w:tbl>
    <w:p w:rsidR="00EE4F49" w:rsidRDefault="00EE4F49" w:rsidP="004D1114">
      <w:pPr>
        <w:spacing w:after="0"/>
        <w:jc w:val="center"/>
        <w:rPr>
          <w:rFonts w:ascii="Times New Roman" w:eastAsia="Times New Roman" w:hAnsi="Times New Roman" w:cs="Times New Roman"/>
          <w:b/>
          <w:sz w:val="26"/>
          <w:szCs w:val="26"/>
          <w:lang w:bidi="en-US"/>
        </w:rPr>
      </w:pPr>
    </w:p>
    <w:p w:rsidR="004D1114" w:rsidRPr="00EE4F49" w:rsidRDefault="004D1114" w:rsidP="004D1114">
      <w:pPr>
        <w:spacing w:after="0"/>
        <w:jc w:val="both"/>
        <w:rPr>
          <w:rFonts w:ascii="Times New Roman" w:eastAsia="Times New Roman" w:hAnsi="Times New Roman" w:cs="Times New Roman"/>
          <w:b/>
          <w:sz w:val="26"/>
          <w:szCs w:val="26"/>
          <w:lang w:bidi="en-US"/>
        </w:rPr>
      </w:pPr>
    </w:p>
    <w:p w:rsidR="004D1114" w:rsidRPr="00EE4F49" w:rsidRDefault="00334580" w:rsidP="004D1114">
      <w:pPr>
        <w:tabs>
          <w:tab w:val="left" w:pos="720"/>
          <w:tab w:val="left" w:pos="1440"/>
          <w:tab w:val="left" w:pos="2880"/>
          <w:tab w:val="left" w:pos="4320"/>
          <w:tab w:val="left" w:pos="5040"/>
          <w:tab w:val="left" w:pos="5760"/>
          <w:tab w:val="left" w:pos="6480"/>
          <w:tab w:val="left" w:pos="7200"/>
        </w:tabs>
        <w:jc w:val="both"/>
        <w:rPr>
          <w:rFonts w:ascii="Times New Roman" w:eastAsia="Times New Roman" w:hAnsi="Times New Roman" w:cs="Times New Roman"/>
          <w:b/>
          <w:sz w:val="26"/>
          <w:szCs w:val="26"/>
          <w:lang w:bidi="en-US"/>
        </w:rPr>
      </w:pPr>
      <w:r>
        <w:rPr>
          <w:rFonts w:ascii="Times New Roman" w:eastAsia="Times New Roman" w:hAnsi="Times New Roman" w:cs="Times New Roman"/>
          <w:sz w:val="26"/>
          <w:szCs w:val="26"/>
          <w:lang w:bidi="en-US"/>
        </w:rPr>
        <w:pict w14:anchorId="3A4A4E9B">
          <v:rect id="_x0000_i1025" style="width:468pt;height:1.5pt" o:hrstd="t" o:hrnoshade="t" o:hr="t" fillcolor="black" stroked="f"/>
        </w:pict>
      </w:r>
    </w:p>
    <w:p w:rsidR="004D1114" w:rsidRPr="00EE4F49" w:rsidRDefault="008B099B" w:rsidP="004D1114">
      <w:pPr>
        <w:tabs>
          <w:tab w:val="left" w:pos="720"/>
          <w:tab w:val="left" w:pos="1440"/>
          <w:tab w:val="left" w:pos="2880"/>
          <w:tab w:val="left" w:pos="4320"/>
          <w:tab w:val="left" w:pos="5040"/>
          <w:tab w:val="left" w:pos="5760"/>
          <w:tab w:val="left" w:pos="6480"/>
          <w:tab w:val="left" w:pos="7200"/>
        </w:tabs>
        <w:spacing w:after="0"/>
        <w:jc w:val="center"/>
        <w:rPr>
          <w:rFonts w:ascii="Times New Roman" w:eastAsia="Times New Roman" w:hAnsi="Times New Roman" w:cs="Times New Roman"/>
          <w:b/>
          <w:sz w:val="36"/>
          <w:szCs w:val="36"/>
          <w:lang w:bidi="en-US"/>
        </w:rPr>
      </w:pPr>
      <w:r w:rsidRPr="00EE4F49">
        <w:rPr>
          <w:rFonts w:ascii="Times New Roman" w:eastAsia="Times New Roman" w:hAnsi="Times New Roman" w:cs="Times New Roman"/>
          <w:b/>
          <w:sz w:val="36"/>
          <w:szCs w:val="36"/>
          <w:lang w:bidi="en-US"/>
        </w:rPr>
        <w:t>C</w:t>
      </w:r>
      <w:r w:rsidR="00D0339F" w:rsidRPr="00EE4F49">
        <w:rPr>
          <w:rFonts w:ascii="Times New Roman" w:eastAsia="Times New Roman" w:hAnsi="Times New Roman" w:cs="Times New Roman"/>
          <w:b/>
          <w:sz w:val="36"/>
          <w:szCs w:val="36"/>
          <w:lang w:bidi="en-US"/>
        </w:rPr>
        <w:t>OMMENTS</w:t>
      </w:r>
    </w:p>
    <w:p w:rsidR="004D1114" w:rsidRPr="00EE4F49" w:rsidRDefault="004D1114" w:rsidP="004D1114">
      <w:pPr>
        <w:tabs>
          <w:tab w:val="left" w:pos="720"/>
          <w:tab w:val="left" w:pos="1440"/>
          <w:tab w:val="left" w:pos="2880"/>
          <w:tab w:val="left" w:pos="4320"/>
          <w:tab w:val="left" w:pos="5040"/>
          <w:tab w:val="left" w:pos="5760"/>
          <w:tab w:val="left" w:pos="6480"/>
          <w:tab w:val="left" w:pos="7200"/>
        </w:tabs>
        <w:spacing w:after="0"/>
        <w:jc w:val="center"/>
        <w:rPr>
          <w:rFonts w:ascii="Times New Roman" w:eastAsia="Times New Roman" w:hAnsi="Times New Roman" w:cs="Times New Roman"/>
          <w:b/>
          <w:sz w:val="26"/>
          <w:szCs w:val="26"/>
          <w:lang w:bidi="en-US"/>
        </w:rPr>
      </w:pPr>
      <w:r w:rsidRPr="00EE4F49">
        <w:rPr>
          <w:rFonts w:ascii="Times New Roman" w:eastAsia="Times New Roman" w:hAnsi="Times New Roman" w:cs="Times New Roman"/>
          <w:b/>
          <w:sz w:val="26"/>
          <w:szCs w:val="26"/>
          <w:lang w:bidi="en-US"/>
        </w:rPr>
        <w:t>SUBMITTED ON BEHALF OF</w:t>
      </w:r>
    </w:p>
    <w:p w:rsidR="004D1114" w:rsidRPr="00EE4F49" w:rsidRDefault="004D1114" w:rsidP="004D1114">
      <w:pPr>
        <w:tabs>
          <w:tab w:val="left" w:pos="720"/>
          <w:tab w:val="left" w:pos="1440"/>
          <w:tab w:val="left" w:pos="2880"/>
          <w:tab w:val="left" w:pos="4320"/>
          <w:tab w:val="left" w:pos="5040"/>
          <w:tab w:val="left" w:pos="5760"/>
          <w:tab w:val="left" w:pos="6480"/>
          <w:tab w:val="left" w:pos="7200"/>
        </w:tabs>
        <w:spacing w:after="0"/>
        <w:jc w:val="center"/>
        <w:rPr>
          <w:rFonts w:ascii="Times New Roman" w:eastAsia="Times New Roman" w:hAnsi="Times New Roman" w:cs="Times New Roman"/>
          <w:b/>
          <w:sz w:val="26"/>
          <w:szCs w:val="26"/>
          <w:lang w:bidi="en-US"/>
        </w:rPr>
      </w:pPr>
      <w:r w:rsidRPr="00EE4F49">
        <w:rPr>
          <w:rFonts w:ascii="Times New Roman" w:eastAsia="Times New Roman" w:hAnsi="Times New Roman" w:cs="Times New Roman"/>
          <w:b/>
          <w:sz w:val="26"/>
          <w:szCs w:val="26"/>
          <w:lang w:bidi="en-US"/>
        </w:rPr>
        <w:t xml:space="preserve">THE PUBLIC UTILITIES COMMISSION OF OHIO </w:t>
      </w:r>
    </w:p>
    <w:p w:rsidR="00D84D35" w:rsidRPr="00A7466C" w:rsidRDefault="00334580" w:rsidP="00D84D35">
      <w:pPr>
        <w:tabs>
          <w:tab w:val="left" w:pos="720"/>
          <w:tab w:val="left" w:pos="1440"/>
          <w:tab w:val="left" w:pos="2880"/>
          <w:tab w:val="left" w:pos="4320"/>
          <w:tab w:val="left" w:pos="5040"/>
          <w:tab w:val="left" w:pos="5760"/>
          <w:tab w:val="left" w:pos="6480"/>
          <w:tab w:val="left" w:pos="7200"/>
        </w:tabs>
        <w:jc w:val="both"/>
        <w:rPr>
          <w:rFonts w:ascii="Times New Roman" w:eastAsia="Times New Roman" w:hAnsi="Times New Roman" w:cs="Times New Roman"/>
          <w:sz w:val="26"/>
          <w:szCs w:val="26"/>
          <w:lang w:bidi="en-US"/>
        </w:rPr>
      </w:pPr>
      <w:r>
        <w:rPr>
          <w:rFonts w:ascii="Times New Roman" w:eastAsia="Times New Roman" w:hAnsi="Times New Roman" w:cs="Times New Roman"/>
          <w:b/>
          <w:sz w:val="26"/>
          <w:szCs w:val="26"/>
          <w:lang w:bidi="en-US"/>
        </w:rPr>
        <w:lastRenderedPageBreak/>
        <w:pict w14:anchorId="4FB652EB">
          <v:rect id="_x0000_i1026" style="width:468pt;height:1.5pt" o:hrstd="t" o:hrnoshade="t" o:hr="t" fillcolor="black" stroked="f"/>
        </w:pict>
      </w:r>
    </w:p>
    <w:p w:rsidR="004D1114" w:rsidRPr="002B702B" w:rsidRDefault="004D1114" w:rsidP="004D1114">
      <w:pPr>
        <w:tabs>
          <w:tab w:val="left" w:pos="720"/>
          <w:tab w:val="left" w:pos="1440"/>
          <w:tab w:val="left" w:pos="2880"/>
          <w:tab w:val="left" w:pos="4320"/>
          <w:tab w:val="left" w:pos="5040"/>
          <w:tab w:val="left" w:pos="5760"/>
          <w:tab w:val="left" w:pos="6480"/>
          <w:tab w:val="left" w:pos="7200"/>
        </w:tabs>
        <w:spacing w:after="0"/>
        <w:jc w:val="center"/>
        <w:rPr>
          <w:rFonts w:ascii="Times New Roman" w:eastAsia="Times New Roman" w:hAnsi="Times New Roman" w:cs="Times New Roman"/>
          <w:color w:val="FF0000"/>
          <w:sz w:val="26"/>
          <w:szCs w:val="26"/>
          <w:lang w:bidi="en-US"/>
        </w:rPr>
      </w:pPr>
    </w:p>
    <w:p w:rsidR="00EF22ED" w:rsidRDefault="004D4566" w:rsidP="001C0597">
      <w:pPr>
        <w:autoSpaceDE w:val="0"/>
        <w:autoSpaceDN w:val="0"/>
        <w:adjustRightInd w:val="0"/>
        <w:spacing w:after="0" w:line="480" w:lineRule="auto"/>
        <w:ind w:firstLine="720"/>
        <w:rPr>
          <w:rFonts w:ascii="Times New Roman" w:hAnsi="Times New Roman" w:cs="Times New Roman"/>
          <w:color w:val="000000"/>
          <w:sz w:val="26"/>
          <w:szCs w:val="26"/>
        </w:rPr>
      </w:pPr>
      <w:r w:rsidRPr="005A01B6">
        <w:rPr>
          <w:rFonts w:ascii="Times New Roman" w:hAnsi="Times New Roman" w:cs="Times New Roman"/>
          <w:color w:val="000000"/>
          <w:sz w:val="26"/>
          <w:szCs w:val="26"/>
        </w:rPr>
        <w:t>The</w:t>
      </w:r>
      <w:r w:rsidR="004D1114" w:rsidRPr="005A01B6">
        <w:rPr>
          <w:rFonts w:ascii="Times New Roman" w:hAnsi="Times New Roman" w:cs="Times New Roman"/>
          <w:color w:val="000000"/>
          <w:sz w:val="26"/>
          <w:szCs w:val="26"/>
        </w:rPr>
        <w:t xml:space="preserve"> Public Utilities Commission of Ohio (</w:t>
      </w:r>
      <w:r w:rsidR="007A6081" w:rsidRPr="005A01B6">
        <w:rPr>
          <w:rFonts w:ascii="Times New Roman" w:hAnsi="Times New Roman" w:cs="Times New Roman"/>
          <w:color w:val="000000"/>
          <w:sz w:val="26"/>
          <w:szCs w:val="26"/>
        </w:rPr>
        <w:t>PUCO</w:t>
      </w:r>
      <w:r w:rsidR="004D1114" w:rsidRPr="005A01B6">
        <w:rPr>
          <w:rFonts w:ascii="Times New Roman" w:hAnsi="Times New Roman" w:cs="Times New Roman"/>
          <w:color w:val="000000"/>
          <w:sz w:val="26"/>
          <w:szCs w:val="26"/>
        </w:rPr>
        <w:t>)</w:t>
      </w:r>
      <w:r w:rsidR="007A6081" w:rsidRPr="005A01B6">
        <w:rPr>
          <w:rFonts w:ascii="Times New Roman" w:hAnsi="Times New Roman" w:cs="Times New Roman"/>
          <w:color w:val="000000"/>
          <w:sz w:val="26"/>
          <w:szCs w:val="26"/>
        </w:rPr>
        <w:t>, pursuant to Section 20</w:t>
      </w:r>
      <w:r w:rsidR="009E4576">
        <w:rPr>
          <w:rFonts w:ascii="Times New Roman" w:hAnsi="Times New Roman" w:cs="Times New Roman"/>
          <w:color w:val="000000"/>
          <w:sz w:val="26"/>
          <w:szCs w:val="26"/>
        </w:rPr>
        <w:t>6</w:t>
      </w:r>
      <w:r w:rsidR="007A6081" w:rsidRPr="005A01B6">
        <w:rPr>
          <w:rFonts w:ascii="Times New Roman" w:hAnsi="Times New Roman" w:cs="Times New Roman"/>
          <w:color w:val="000000"/>
          <w:sz w:val="26"/>
          <w:szCs w:val="26"/>
        </w:rPr>
        <w:t xml:space="preserve"> of the Federal Power Act</w:t>
      </w:r>
      <w:r w:rsidR="009E4576">
        <w:rPr>
          <w:rFonts w:ascii="Times New Roman" w:hAnsi="Times New Roman" w:cs="Times New Roman"/>
          <w:color w:val="000000"/>
          <w:sz w:val="26"/>
          <w:szCs w:val="26"/>
        </w:rPr>
        <w:t xml:space="preserve"> and in accordance with Rules 2</w:t>
      </w:r>
      <w:r w:rsidR="0028211B">
        <w:rPr>
          <w:rFonts w:ascii="Times New Roman" w:hAnsi="Times New Roman" w:cs="Times New Roman"/>
          <w:color w:val="000000"/>
          <w:sz w:val="26"/>
          <w:szCs w:val="26"/>
        </w:rPr>
        <w:t>06 and 214 (18 CFR 385.206 (f)</w:t>
      </w:r>
      <w:r w:rsidR="009E4576">
        <w:rPr>
          <w:rFonts w:ascii="Times New Roman" w:hAnsi="Times New Roman" w:cs="Times New Roman"/>
          <w:color w:val="000000"/>
          <w:sz w:val="26"/>
          <w:szCs w:val="26"/>
        </w:rPr>
        <w:t xml:space="preserve"> and 385.214)</w:t>
      </w:r>
      <w:r w:rsidR="007A6081" w:rsidRPr="005A01B6">
        <w:rPr>
          <w:rFonts w:ascii="Times New Roman" w:hAnsi="Times New Roman" w:cs="Times New Roman"/>
          <w:color w:val="000000"/>
          <w:sz w:val="26"/>
          <w:szCs w:val="26"/>
        </w:rPr>
        <w:t>,</w:t>
      </w:r>
      <w:r w:rsidR="004D1114" w:rsidRPr="005A01B6">
        <w:rPr>
          <w:rFonts w:ascii="Times New Roman" w:hAnsi="Times New Roman" w:cs="Times New Roman"/>
          <w:color w:val="000000"/>
          <w:sz w:val="26"/>
          <w:szCs w:val="26"/>
        </w:rPr>
        <w:t xml:space="preserve"> respectfully </w:t>
      </w:r>
      <w:r w:rsidR="00FA65FA" w:rsidRPr="005A01B6">
        <w:rPr>
          <w:rFonts w:ascii="Times New Roman" w:hAnsi="Times New Roman" w:cs="Times New Roman"/>
          <w:color w:val="000000"/>
          <w:sz w:val="26"/>
          <w:szCs w:val="26"/>
        </w:rPr>
        <w:t xml:space="preserve">submits </w:t>
      </w:r>
      <w:r w:rsidR="004D1114" w:rsidRPr="005A01B6">
        <w:rPr>
          <w:rFonts w:ascii="Times New Roman" w:hAnsi="Times New Roman" w:cs="Times New Roman"/>
          <w:color w:val="000000"/>
          <w:sz w:val="26"/>
          <w:szCs w:val="26"/>
        </w:rPr>
        <w:t>the</w:t>
      </w:r>
      <w:r w:rsidR="00434421" w:rsidRPr="005A01B6">
        <w:rPr>
          <w:rFonts w:ascii="Times New Roman" w:hAnsi="Times New Roman" w:cs="Times New Roman"/>
          <w:color w:val="000000"/>
          <w:sz w:val="26"/>
          <w:szCs w:val="26"/>
        </w:rPr>
        <w:t xml:space="preserve"> following</w:t>
      </w:r>
      <w:r w:rsidR="004D1114" w:rsidRPr="005A01B6">
        <w:rPr>
          <w:rFonts w:ascii="Times New Roman" w:hAnsi="Times New Roman" w:cs="Times New Roman"/>
          <w:color w:val="000000"/>
          <w:sz w:val="26"/>
          <w:szCs w:val="26"/>
        </w:rPr>
        <w:t xml:space="preserve"> Comments</w:t>
      </w:r>
      <w:r w:rsidR="008B099B">
        <w:rPr>
          <w:rFonts w:ascii="Times New Roman" w:hAnsi="Times New Roman" w:cs="Times New Roman"/>
          <w:color w:val="000000"/>
          <w:sz w:val="26"/>
          <w:szCs w:val="26"/>
        </w:rPr>
        <w:t xml:space="preserve"> </w:t>
      </w:r>
      <w:r w:rsidR="007A6081" w:rsidRPr="005A01B6">
        <w:rPr>
          <w:rFonts w:ascii="Times New Roman" w:hAnsi="Times New Roman" w:cs="Times New Roman"/>
          <w:color w:val="000000"/>
          <w:sz w:val="26"/>
          <w:szCs w:val="26"/>
        </w:rPr>
        <w:t>to the Federal Energy Regulatory Commission (Commission)</w:t>
      </w:r>
      <w:r w:rsidR="0066011E">
        <w:rPr>
          <w:rFonts w:ascii="Times New Roman" w:hAnsi="Times New Roman" w:cs="Times New Roman"/>
          <w:color w:val="000000"/>
          <w:sz w:val="26"/>
          <w:szCs w:val="26"/>
        </w:rPr>
        <w:t xml:space="preserve"> with regard to </w:t>
      </w:r>
      <w:r w:rsidR="008B099B">
        <w:rPr>
          <w:rFonts w:ascii="Times New Roman" w:hAnsi="Times New Roman" w:cs="Times New Roman"/>
          <w:color w:val="000000"/>
          <w:sz w:val="26"/>
          <w:szCs w:val="26"/>
        </w:rPr>
        <w:t>a Complaint Requesting Fast Track Processing</w:t>
      </w:r>
      <w:r w:rsidR="008C4B6F">
        <w:rPr>
          <w:rFonts w:ascii="Times New Roman" w:hAnsi="Times New Roman" w:cs="Times New Roman"/>
          <w:color w:val="000000"/>
          <w:sz w:val="26"/>
          <w:szCs w:val="26"/>
        </w:rPr>
        <w:t xml:space="preserve"> (Complaint).  </w:t>
      </w:r>
    </w:p>
    <w:p w:rsidR="00EF22ED" w:rsidRDefault="008C4B6F" w:rsidP="001C0597">
      <w:pPr>
        <w:autoSpaceDE w:val="0"/>
        <w:autoSpaceDN w:val="0"/>
        <w:adjustRightInd w:val="0"/>
        <w:spacing w:after="0" w:line="48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The C</w:t>
      </w:r>
      <w:r w:rsidR="008B099B">
        <w:rPr>
          <w:rFonts w:ascii="Times New Roman" w:hAnsi="Times New Roman" w:cs="Times New Roman"/>
          <w:color w:val="000000"/>
          <w:sz w:val="26"/>
          <w:szCs w:val="26"/>
        </w:rPr>
        <w:t>omplaint</w:t>
      </w:r>
      <w:r w:rsidR="0028211B">
        <w:rPr>
          <w:rFonts w:ascii="Times New Roman" w:hAnsi="Times New Roman" w:cs="Times New Roman"/>
          <w:color w:val="000000"/>
          <w:sz w:val="26"/>
          <w:szCs w:val="26"/>
        </w:rPr>
        <w:t xml:space="preserve"> seek</w:t>
      </w:r>
      <w:r w:rsidR="008B099B">
        <w:rPr>
          <w:rFonts w:ascii="Times New Roman" w:hAnsi="Times New Roman" w:cs="Times New Roman"/>
          <w:color w:val="000000"/>
          <w:sz w:val="26"/>
          <w:szCs w:val="26"/>
        </w:rPr>
        <w:t>s</w:t>
      </w:r>
      <w:r w:rsidR="0066011E">
        <w:rPr>
          <w:rFonts w:ascii="Times New Roman" w:hAnsi="Times New Roman" w:cs="Times New Roman"/>
          <w:color w:val="000000"/>
          <w:sz w:val="26"/>
          <w:szCs w:val="26"/>
        </w:rPr>
        <w:t xml:space="preserve"> </w:t>
      </w:r>
      <w:r w:rsidR="008B099B">
        <w:rPr>
          <w:rFonts w:ascii="Times New Roman" w:hAnsi="Times New Roman" w:cs="Times New Roman"/>
          <w:color w:val="000000"/>
          <w:sz w:val="26"/>
          <w:szCs w:val="26"/>
        </w:rPr>
        <w:t>expansion</w:t>
      </w:r>
      <w:r w:rsidR="00DA44CE">
        <w:rPr>
          <w:rFonts w:ascii="Times New Roman" w:hAnsi="Times New Roman" w:cs="Times New Roman"/>
          <w:color w:val="000000"/>
          <w:sz w:val="26"/>
          <w:szCs w:val="26"/>
        </w:rPr>
        <w:t xml:space="preserve"> of</w:t>
      </w:r>
      <w:r>
        <w:rPr>
          <w:rFonts w:ascii="Times New Roman" w:hAnsi="Times New Roman" w:cs="Times New Roman"/>
          <w:color w:val="000000"/>
          <w:sz w:val="26"/>
          <w:szCs w:val="26"/>
        </w:rPr>
        <w:t xml:space="preserve"> the Minimum Offer Price Rule (MOPR) in PJM’s Tariff to include</w:t>
      </w:r>
      <w:r w:rsidR="00EF22ED">
        <w:rPr>
          <w:rFonts w:ascii="Times New Roman" w:hAnsi="Times New Roman" w:cs="Times New Roman"/>
          <w:color w:val="000000"/>
          <w:sz w:val="26"/>
          <w:szCs w:val="26"/>
        </w:rPr>
        <w:t xml:space="preserve">, initially, </w:t>
      </w:r>
      <w:r>
        <w:rPr>
          <w:rFonts w:ascii="Times New Roman" w:hAnsi="Times New Roman" w:cs="Times New Roman"/>
          <w:color w:val="000000"/>
          <w:sz w:val="26"/>
          <w:szCs w:val="26"/>
        </w:rPr>
        <w:t>existing resources</w:t>
      </w:r>
      <w:r w:rsidR="00686388">
        <w:rPr>
          <w:rFonts w:ascii="Times New Roman" w:hAnsi="Times New Roman" w:cs="Times New Roman"/>
          <w:color w:val="000000"/>
          <w:sz w:val="26"/>
          <w:szCs w:val="26"/>
        </w:rPr>
        <w:t xml:space="preserve"> </w:t>
      </w:r>
      <w:r w:rsidR="00EF22ED">
        <w:rPr>
          <w:rFonts w:ascii="Times New Roman" w:hAnsi="Times New Roman" w:cs="Times New Roman"/>
          <w:color w:val="000000"/>
          <w:sz w:val="26"/>
          <w:szCs w:val="26"/>
        </w:rPr>
        <w:t xml:space="preserve">in Ohio that are owned by </w:t>
      </w:r>
      <w:r>
        <w:rPr>
          <w:rFonts w:ascii="Times New Roman" w:hAnsi="Times New Roman" w:cs="Times New Roman"/>
          <w:color w:val="000000"/>
          <w:sz w:val="26"/>
          <w:szCs w:val="26"/>
        </w:rPr>
        <w:t>subsidiaries of American Electric Power Company (AEP) and FirstE</w:t>
      </w:r>
      <w:r w:rsidR="00CB4F17">
        <w:rPr>
          <w:rFonts w:ascii="Times New Roman" w:hAnsi="Times New Roman" w:cs="Times New Roman"/>
          <w:color w:val="000000"/>
          <w:sz w:val="26"/>
          <w:szCs w:val="26"/>
        </w:rPr>
        <w:t xml:space="preserve">nergy </w:t>
      </w:r>
      <w:r w:rsidR="00CB4F17">
        <w:rPr>
          <w:rFonts w:ascii="Times New Roman" w:hAnsi="Times New Roman" w:cs="Times New Roman"/>
          <w:color w:val="000000"/>
          <w:sz w:val="26"/>
          <w:szCs w:val="26"/>
        </w:rPr>
        <w:lastRenderedPageBreak/>
        <w:t>Corporation</w:t>
      </w:r>
      <w:r w:rsidR="00EF22ED">
        <w:rPr>
          <w:rFonts w:ascii="Times New Roman" w:hAnsi="Times New Roman" w:cs="Times New Roman"/>
          <w:color w:val="000000"/>
          <w:sz w:val="26"/>
          <w:szCs w:val="26"/>
        </w:rPr>
        <w:t xml:space="preserve"> (FirstEnergy)</w:t>
      </w:r>
      <w:r w:rsidR="00CB4F17">
        <w:rPr>
          <w:rFonts w:ascii="Times New Roman" w:hAnsi="Times New Roman" w:cs="Times New Roman"/>
          <w:color w:val="000000"/>
          <w:sz w:val="26"/>
          <w:szCs w:val="26"/>
        </w:rPr>
        <w:t xml:space="preserve">. </w:t>
      </w:r>
      <w:r w:rsidR="00EF22ED">
        <w:rPr>
          <w:rFonts w:ascii="Times New Roman" w:hAnsi="Times New Roman" w:cs="Times New Roman"/>
          <w:color w:val="000000"/>
          <w:sz w:val="26"/>
          <w:szCs w:val="26"/>
        </w:rPr>
        <w:t xml:space="preserve"> </w:t>
      </w:r>
      <w:r w:rsidR="00CB4F17">
        <w:rPr>
          <w:rFonts w:ascii="Times New Roman" w:hAnsi="Times New Roman" w:cs="Times New Roman"/>
          <w:color w:val="000000"/>
          <w:sz w:val="26"/>
          <w:szCs w:val="26"/>
        </w:rPr>
        <w:t>The Complainants</w:t>
      </w:r>
      <w:r>
        <w:rPr>
          <w:rFonts w:ascii="Times New Roman" w:hAnsi="Times New Roman" w:cs="Times New Roman"/>
          <w:color w:val="000000"/>
          <w:sz w:val="26"/>
          <w:szCs w:val="26"/>
        </w:rPr>
        <w:t xml:space="preserve"> seek Commission action prior to the Base Residual Auction for the 2019/2020 Delivery Year to be held in May 2016.</w:t>
      </w:r>
      <w:r w:rsidR="00CB4F17">
        <w:rPr>
          <w:rFonts w:ascii="Times New Roman" w:hAnsi="Times New Roman" w:cs="Times New Roman"/>
          <w:color w:val="000000"/>
          <w:sz w:val="26"/>
          <w:szCs w:val="26"/>
        </w:rPr>
        <w:t xml:space="preserve"> </w:t>
      </w:r>
    </w:p>
    <w:p w:rsidR="00EE2C00" w:rsidRDefault="00CB4F17" w:rsidP="001C0597">
      <w:pPr>
        <w:autoSpaceDE w:val="0"/>
        <w:autoSpaceDN w:val="0"/>
        <w:adjustRightInd w:val="0"/>
        <w:spacing w:after="0" w:line="48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The Complainants </w:t>
      </w:r>
      <w:r w:rsidR="00F17C4D">
        <w:rPr>
          <w:rFonts w:ascii="Times New Roman" w:hAnsi="Times New Roman" w:cs="Times New Roman"/>
          <w:color w:val="000000"/>
          <w:sz w:val="26"/>
          <w:szCs w:val="26"/>
        </w:rPr>
        <w:t xml:space="preserve">also </w:t>
      </w:r>
      <w:r>
        <w:rPr>
          <w:rFonts w:ascii="Times New Roman" w:hAnsi="Times New Roman" w:cs="Times New Roman"/>
          <w:color w:val="000000"/>
          <w:sz w:val="26"/>
          <w:szCs w:val="26"/>
        </w:rPr>
        <w:t>urge the Commission to act upon the affiliate transaction complaints</w:t>
      </w:r>
      <w:r w:rsidR="00730281">
        <w:rPr>
          <w:rFonts w:ascii="Times New Roman" w:hAnsi="Times New Roman" w:cs="Times New Roman"/>
          <w:color w:val="000000"/>
          <w:sz w:val="26"/>
          <w:szCs w:val="26"/>
        </w:rPr>
        <w:t xml:space="preserve"> against FirstEnergy</w:t>
      </w:r>
      <w:r>
        <w:rPr>
          <w:rFonts w:ascii="Times New Roman" w:hAnsi="Times New Roman" w:cs="Times New Roman"/>
          <w:color w:val="000000"/>
          <w:sz w:val="26"/>
          <w:szCs w:val="26"/>
        </w:rPr>
        <w:t xml:space="preserve"> and AEP </w:t>
      </w:r>
      <w:r w:rsidR="00F17C4D">
        <w:rPr>
          <w:rFonts w:ascii="Times New Roman" w:hAnsi="Times New Roman" w:cs="Times New Roman"/>
          <w:color w:val="000000"/>
          <w:sz w:val="26"/>
          <w:szCs w:val="26"/>
        </w:rPr>
        <w:t xml:space="preserve">in separate cases </w:t>
      </w:r>
      <w:r>
        <w:rPr>
          <w:rFonts w:ascii="Times New Roman" w:hAnsi="Times New Roman" w:cs="Times New Roman"/>
          <w:color w:val="000000"/>
          <w:sz w:val="26"/>
          <w:szCs w:val="26"/>
        </w:rPr>
        <w:t>currently pending before the Commission</w:t>
      </w:r>
      <w:r w:rsidR="00EF22ED">
        <w:rPr>
          <w:rFonts w:ascii="Times New Roman" w:hAnsi="Times New Roman" w:cs="Times New Roman"/>
          <w:color w:val="000000"/>
          <w:sz w:val="26"/>
          <w:szCs w:val="26"/>
        </w:rPr>
        <w:t xml:space="preserve"> (</w:t>
      </w:r>
      <w:r w:rsidR="000D485F">
        <w:rPr>
          <w:rFonts w:ascii="Times New Roman" w:hAnsi="Times New Roman" w:cs="Times New Roman"/>
          <w:color w:val="000000"/>
          <w:sz w:val="26"/>
          <w:szCs w:val="26"/>
        </w:rPr>
        <w:t xml:space="preserve">Affiliate </w:t>
      </w:r>
      <w:r w:rsidR="00EF22ED">
        <w:rPr>
          <w:rFonts w:ascii="Times New Roman" w:hAnsi="Times New Roman" w:cs="Times New Roman"/>
          <w:color w:val="000000"/>
          <w:sz w:val="26"/>
          <w:szCs w:val="26"/>
        </w:rPr>
        <w:t>Waiver Complaints)</w:t>
      </w:r>
      <w:r>
        <w:rPr>
          <w:rFonts w:ascii="Times New Roman" w:hAnsi="Times New Roman" w:cs="Times New Roman"/>
          <w:color w:val="000000"/>
          <w:sz w:val="26"/>
          <w:szCs w:val="26"/>
        </w:rPr>
        <w:t>.</w:t>
      </w:r>
      <w:r w:rsidR="00F17C4D">
        <w:rPr>
          <w:rStyle w:val="FootnoteReference"/>
          <w:rFonts w:ascii="Times New Roman" w:hAnsi="Times New Roman" w:cs="Times New Roman"/>
          <w:color w:val="000000"/>
          <w:sz w:val="26"/>
          <w:szCs w:val="26"/>
        </w:rPr>
        <w:footnoteReference w:id="1"/>
      </w:r>
      <w:r w:rsidR="008C4B6F">
        <w:rPr>
          <w:rFonts w:ascii="Times New Roman" w:hAnsi="Times New Roman" w:cs="Times New Roman"/>
          <w:color w:val="000000"/>
          <w:sz w:val="26"/>
          <w:szCs w:val="26"/>
        </w:rPr>
        <w:t xml:space="preserve"> </w:t>
      </w:r>
      <w:r w:rsidR="00EF22ED">
        <w:rPr>
          <w:rFonts w:ascii="Times New Roman" w:hAnsi="Times New Roman" w:cs="Times New Roman"/>
          <w:color w:val="000000"/>
          <w:sz w:val="26"/>
          <w:szCs w:val="26"/>
        </w:rPr>
        <w:t xml:space="preserve"> </w:t>
      </w:r>
      <w:r w:rsidR="00217F14">
        <w:rPr>
          <w:rFonts w:ascii="Times New Roman" w:hAnsi="Times New Roman" w:cs="Times New Roman"/>
          <w:color w:val="000000"/>
          <w:sz w:val="26"/>
          <w:szCs w:val="26"/>
        </w:rPr>
        <w:t xml:space="preserve">The Commission issued </w:t>
      </w:r>
      <w:r>
        <w:rPr>
          <w:rFonts w:ascii="Times New Roman" w:hAnsi="Times New Roman" w:cs="Times New Roman"/>
          <w:color w:val="000000"/>
          <w:sz w:val="26"/>
          <w:szCs w:val="26"/>
        </w:rPr>
        <w:t xml:space="preserve">a </w:t>
      </w:r>
      <w:r w:rsidR="001956FC">
        <w:rPr>
          <w:rFonts w:ascii="Times New Roman" w:hAnsi="Times New Roman" w:cs="Times New Roman"/>
          <w:color w:val="000000"/>
          <w:sz w:val="26"/>
          <w:szCs w:val="26"/>
        </w:rPr>
        <w:t>Public Notice</w:t>
      </w:r>
      <w:r w:rsidR="008C4B6F">
        <w:rPr>
          <w:rFonts w:ascii="Times New Roman" w:hAnsi="Times New Roman" w:cs="Times New Roman"/>
          <w:color w:val="000000"/>
          <w:sz w:val="26"/>
          <w:szCs w:val="26"/>
        </w:rPr>
        <w:t xml:space="preserve"> </w:t>
      </w:r>
      <w:r w:rsidR="001956FC">
        <w:rPr>
          <w:rFonts w:ascii="Times New Roman" w:hAnsi="Times New Roman" w:cs="Times New Roman"/>
          <w:color w:val="000000"/>
          <w:sz w:val="26"/>
          <w:szCs w:val="26"/>
        </w:rPr>
        <w:t xml:space="preserve">of Complaint establishing a comment date in these </w:t>
      </w:r>
      <w:r w:rsidR="008C4B6F">
        <w:rPr>
          <w:rFonts w:ascii="Times New Roman" w:hAnsi="Times New Roman" w:cs="Times New Roman"/>
          <w:color w:val="000000"/>
          <w:sz w:val="26"/>
          <w:szCs w:val="26"/>
        </w:rPr>
        <w:t xml:space="preserve">proceedings of April </w:t>
      </w:r>
      <w:r w:rsidR="00DA44CE">
        <w:rPr>
          <w:rFonts w:ascii="Times New Roman" w:hAnsi="Times New Roman" w:cs="Times New Roman"/>
          <w:color w:val="000000"/>
          <w:sz w:val="26"/>
          <w:szCs w:val="26"/>
        </w:rPr>
        <w:t>11,</w:t>
      </w:r>
      <w:r w:rsidR="008C4B6F">
        <w:rPr>
          <w:rFonts w:ascii="Times New Roman" w:hAnsi="Times New Roman" w:cs="Times New Roman"/>
          <w:color w:val="000000"/>
          <w:sz w:val="26"/>
          <w:szCs w:val="26"/>
        </w:rPr>
        <w:t xml:space="preserve"> 2016</w:t>
      </w:r>
      <w:r w:rsidR="001956FC">
        <w:rPr>
          <w:rFonts w:ascii="Times New Roman" w:hAnsi="Times New Roman" w:cs="Times New Roman"/>
          <w:color w:val="000000"/>
          <w:sz w:val="26"/>
          <w:szCs w:val="26"/>
        </w:rPr>
        <w:t>.</w:t>
      </w:r>
      <w:r w:rsidR="008C4B6F">
        <w:rPr>
          <w:rFonts w:ascii="Times New Roman" w:hAnsi="Times New Roman" w:cs="Times New Roman"/>
          <w:color w:val="000000"/>
          <w:sz w:val="26"/>
          <w:szCs w:val="26"/>
        </w:rPr>
        <w:t xml:space="preserve"> </w:t>
      </w:r>
    </w:p>
    <w:p w:rsidR="00B56341" w:rsidRPr="00002E67" w:rsidRDefault="00B56341" w:rsidP="00002E67">
      <w:pPr>
        <w:pStyle w:val="ListParagraph"/>
        <w:numPr>
          <w:ilvl w:val="0"/>
          <w:numId w:val="18"/>
        </w:numPr>
        <w:autoSpaceDE w:val="0"/>
        <w:autoSpaceDN w:val="0"/>
        <w:adjustRightInd w:val="0"/>
        <w:spacing w:after="0" w:line="480" w:lineRule="auto"/>
        <w:rPr>
          <w:rFonts w:ascii="Times New Roman" w:hAnsi="Times New Roman" w:cs="Times New Roman"/>
          <w:b/>
          <w:color w:val="000000"/>
          <w:sz w:val="26"/>
          <w:szCs w:val="26"/>
        </w:rPr>
      </w:pPr>
      <w:r w:rsidRPr="00002E67">
        <w:rPr>
          <w:rFonts w:ascii="Times New Roman" w:hAnsi="Times New Roman" w:cs="Times New Roman"/>
          <w:b/>
          <w:color w:val="000000"/>
          <w:sz w:val="26"/>
          <w:szCs w:val="26"/>
        </w:rPr>
        <w:t>Comments</w:t>
      </w:r>
    </w:p>
    <w:p w:rsidR="00002E67" w:rsidRPr="00283CD6" w:rsidRDefault="00002E67" w:rsidP="00EE4F49">
      <w:pPr>
        <w:pStyle w:val="ListParagraph"/>
        <w:numPr>
          <w:ilvl w:val="0"/>
          <w:numId w:val="17"/>
        </w:numPr>
        <w:spacing w:after="0" w:line="480" w:lineRule="auto"/>
        <w:ind w:left="1440" w:hanging="720"/>
        <w:rPr>
          <w:rFonts w:ascii="Times New Roman" w:hAnsi="Times New Roman" w:cs="Times New Roman"/>
          <w:b/>
          <w:sz w:val="26"/>
          <w:szCs w:val="26"/>
        </w:rPr>
      </w:pPr>
      <w:r w:rsidRPr="00283CD6">
        <w:rPr>
          <w:rFonts w:ascii="Times New Roman" w:hAnsi="Times New Roman" w:cs="Times New Roman"/>
          <w:b/>
          <w:sz w:val="26"/>
          <w:szCs w:val="26"/>
        </w:rPr>
        <w:t xml:space="preserve">Ohio </w:t>
      </w:r>
      <w:r w:rsidR="00A65956">
        <w:rPr>
          <w:rFonts w:ascii="Times New Roman" w:hAnsi="Times New Roman" w:cs="Times New Roman"/>
          <w:b/>
          <w:sz w:val="26"/>
          <w:szCs w:val="26"/>
        </w:rPr>
        <w:t>Opinion and</w:t>
      </w:r>
      <w:r w:rsidRPr="00283CD6">
        <w:rPr>
          <w:rFonts w:ascii="Times New Roman" w:hAnsi="Times New Roman" w:cs="Times New Roman"/>
          <w:b/>
          <w:sz w:val="26"/>
          <w:szCs w:val="26"/>
        </w:rPr>
        <w:t xml:space="preserve"> Orders</w:t>
      </w:r>
    </w:p>
    <w:p w:rsidR="00002E67" w:rsidRDefault="00002E67" w:rsidP="008E77F5">
      <w:pPr>
        <w:spacing w:after="0" w:line="48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On March 31, 2016 the PUCO issued two decisions to allow FirstEnergy and AEP to implement</w:t>
      </w:r>
      <w:r w:rsidR="00A65956">
        <w:rPr>
          <w:rFonts w:ascii="Times New Roman" w:hAnsi="Times New Roman" w:cs="Times New Roman"/>
          <w:sz w:val="26"/>
          <w:szCs w:val="26"/>
        </w:rPr>
        <w:t xml:space="preserve"> Power Purchase Agreement</w:t>
      </w:r>
      <w:r>
        <w:rPr>
          <w:rFonts w:ascii="Times New Roman" w:hAnsi="Times New Roman" w:cs="Times New Roman"/>
          <w:sz w:val="26"/>
          <w:szCs w:val="26"/>
        </w:rPr>
        <w:t xml:space="preserve"> </w:t>
      </w:r>
      <w:r w:rsidR="00A65956">
        <w:rPr>
          <w:rFonts w:ascii="Times New Roman" w:hAnsi="Times New Roman" w:cs="Times New Roman"/>
          <w:sz w:val="26"/>
          <w:szCs w:val="26"/>
        </w:rPr>
        <w:t>(</w:t>
      </w:r>
      <w:r>
        <w:rPr>
          <w:rFonts w:ascii="Times New Roman" w:hAnsi="Times New Roman" w:cs="Times New Roman"/>
          <w:sz w:val="26"/>
          <w:szCs w:val="26"/>
        </w:rPr>
        <w:t>PPA</w:t>
      </w:r>
      <w:r w:rsidR="00A65956">
        <w:rPr>
          <w:rFonts w:ascii="Times New Roman" w:hAnsi="Times New Roman" w:cs="Times New Roman"/>
          <w:sz w:val="26"/>
          <w:szCs w:val="26"/>
        </w:rPr>
        <w:t>)</w:t>
      </w:r>
      <w:r>
        <w:rPr>
          <w:rFonts w:ascii="Times New Roman" w:hAnsi="Times New Roman" w:cs="Times New Roman"/>
          <w:sz w:val="26"/>
          <w:szCs w:val="26"/>
        </w:rPr>
        <w:t xml:space="preserve"> riders </w:t>
      </w:r>
      <w:r w:rsidR="00EF22ED">
        <w:rPr>
          <w:rFonts w:ascii="Times New Roman" w:hAnsi="Times New Roman" w:cs="Times New Roman"/>
          <w:sz w:val="26"/>
          <w:szCs w:val="26"/>
        </w:rPr>
        <w:t>that would cover certain Ohio generation units.  These decisions were made</w:t>
      </w:r>
      <w:r w:rsidR="00A172D8">
        <w:rPr>
          <w:rStyle w:val="FootnoteReference"/>
          <w:rFonts w:ascii="Times New Roman" w:hAnsi="Times New Roman" w:cs="Times New Roman"/>
          <w:sz w:val="26"/>
          <w:szCs w:val="26"/>
        </w:rPr>
        <w:footnoteReference w:id="2"/>
      </w:r>
      <w:r w:rsidR="00EF22ED">
        <w:rPr>
          <w:rFonts w:ascii="Times New Roman" w:hAnsi="Times New Roman" w:cs="Times New Roman"/>
          <w:sz w:val="26"/>
          <w:szCs w:val="26"/>
        </w:rPr>
        <w:t xml:space="preserve"> based entirely upon the PUCO’s retail ratemaking jurisdiction and authority </w:t>
      </w:r>
      <w:r>
        <w:rPr>
          <w:rFonts w:ascii="Times New Roman" w:hAnsi="Times New Roman" w:cs="Times New Roman"/>
          <w:sz w:val="26"/>
          <w:szCs w:val="26"/>
        </w:rPr>
        <w:t>pursuant to Ohio Revised Code 4928.143(B)(2)(d).</w:t>
      </w:r>
      <w:r>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p>
    <w:p w:rsidR="00002E67" w:rsidRDefault="00002E67" w:rsidP="00EF22ED">
      <w:pPr>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 PUCO Opinion and Orders note that robust competition currently exists in Ohio. </w:t>
      </w:r>
      <w:r w:rsidR="00EF22ED">
        <w:rPr>
          <w:rFonts w:ascii="Times New Roman" w:hAnsi="Times New Roman" w:cs="Times New Roman"/>
          <w:sz w:val="26"/>
          <w:szCs w:val="26"/>
        </w:rPr>
        <w:t xml:space="preserve"> Shopping in AEP Ohio’s </w:t>
      </w:r>
      <w:r w:rsidR="00EF22ED">
        <w:rPr>
          <w:rFonts w:ascii="Times New Roman" w:hAnsi="Times New Roman" w:cs="Times New Roman"/>
          <w:sz w:val="26"/>
          <w:szCs w:val="26"/>
        </w:rPr>
        <w:lastRenderedPageBreak/>
        <w:t>service territory has proliferated</w:t>
      </w:r>
      <w:r>
        <w:rPr>
          <w:rFonts w:ascii="Times New Roman" w:hAnsi="Times New Roman" w:cs="Times New Roman"/>
          <w:sz w:val="26"/>
          <w:szCs w:val="26"/>
        </w:rPr>
        <w:t xml:space="preserve"> “with approximately 51 percent and 52 percent of commercial and industrial customers, respectively, receiving electric service from a competitive retail electric service (CRES) provider, while more than 32 percent of residential ratepayers are shopping customers as of June 30, 2015.”</w:t>
      </w:r>
      <w:r>
        <w:rPr>
          <w:rStyle w:val="FootnoteReference"/>
          <w:rFonts w:ascii="Times New Roman" w:hAnsi="Times New Roman" w:cs="Times New Roman"/>
          <w:sz w:val="26"/>
          <w:szCs w:val="26"/>
        </w:rPr>
        <w:footnoteReference w:id="4"/>
      </w:r>
      <w:r>
        <w:rPr>
          <w:rFonts w:ascii="Times New Roman" w:hAnsi="Times New Roman" w:cs="Times New Roman"/>
          <w:sz w:val="26"/>
          <w:szCs w:val="26"/>
        </w:rPr>
        <w:t xml:space="preserve">  In FirstEnergy’s service territory the Order states, “According to the record, 72 percent of customers and 84 percent of customer load is provided by CRES providers in the Companies’ service territory.”</w:t>
      </w:r>
      <w:r>
        <w:rPr>
          <w:rStyle w:val="FootnoteReference"/>
          <w:rFonts w:ascii="Times New Roman" w:hAnsi="Times New Roman" w:cs="Times New Roman"/>
          <w:sz w:val="26"/>
          <w:szCs w:val="26"/>
        </w:rPr>
        <w:footnoteReference w:id="5"/>
      </w:r>
    </w:p>
    <w:p w:rsidR="00002E67" w:rsidRDefault="00002E67" w:rsidP="00A523CA">
      <w:pPr>
        <w:spacing w:after="0" w:line="48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Further, the PUCO concluded in FirstEnergy’s Order</w:t>
      </w:r>
      <w:r w:rsidR="008E77F5">
        <w:rPr>
          <w:rFonts w:ascii="Times New Roman" w:eastAsia="Times New Roman" w:hAnsi="Times New Roman" w:cs="Times New Roman"/>
          <w:sz w:val="26"/>
          <w:szCs w:val="26"/>
        </w:rPr>
        <w:t xml:space="preserve"> that</w:t>
      </w:r>
      <w:r>
        <w:rPr>
          <w:rFonts w:ascii="Times New Roman" w:eastAsia="Times New Roman" w:hAnsi="Times New Roman" w:cs="Times New Roman"/>
          <w:sz w:val="26"/>
          <w:szCs w:val="26"/>
        </w:rPr>
        <w:t xml:space="preserve">, “Customers in the Companies’ service territories have the ability to choose a competitive supplier pursuant to Ohio </w:t>
      </w:r>
      <w:r>
        <w:rPr>
          <w:rFonts w:ascii="Times New Roman" w:eastAsia="Times New Roman" w:hAnsi="Times New Roman" w:cs="Times New Roman"/>
          <w:sz w:val="26"/>
          <w:szCs w:val="26"/>
        </w:rPr>
        <w:lastRenderedPageBreak/>
        <w:t>Revised Code 4928.03 and will continue to benefit from robust choice in competitive suppliers.  In this respect they are not captive customers.”</w:t>
      </w:r>
      <w:r>
        <w:rPr>
          <w:rStyle w:val="FootnoteReference"/>
          <w:rFonts w:ascii="Times New Roman" w:eastAsia="Times New Roman" w:hAnsi="Times New Roman" w:cs="Times New Roman"/>
          <w:sz w:val="26"/>
          <w:szCs w:val="26"/>
        </w:rPr>
        <w:footnoteReference w:id="6"/>
      </w:r>
      <w:r>
        <w:rPr>
          <w:rFonts w:ascii="Times New Roman" w:eastAsia="Times New Roman" w:hAnsi="Times New Roman" w:cs="Times New Roman"/>
          <w:sz w:val="26"/>
          <w:szCs w:val="26"/>
        </w:rPr>
        <w:t xml:space="preserve"> </w:t>
      </w:r>
      <w:r w:rsidR="008E77F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Similarly, the PUCO concluded in the AEP Ohio Order that, “Shopping and SSO customers are not captive customers.  In other words, customers will continue to have the ability to select a CRES provider or return to the SSO.”</w:t>
      </w:r>
      <w:r>
        <w:rPr>
          <w:rStyle w:val="FootnoteReference"/>
          <w:rFonts w:ascii="Times New Roman" w:eastAsia="Times New Roman" w:hAnsi="Times New Roman" w:cs="Times New Roman"/>
          <w:sz w:val="26"/>
          <w:szCs w:val="26"/>
        </w:rPr>
        <w:footnoteReference w:id="7"/>
      </w:r>
      <w:r>
        <w:rPr>
          <w:rFonts w:ascii="Times New Roman" w:eastAsia="Times New Roman" w:hAnsi="Times New Roman" w:cs="Times New Roman"/>
          <w:sz w:val="26"/>
          <w:szCs w:val="26"/>
        </w:rPr>
        <w:t xml:space="preserve"> </w:t>
      </w:r>
    </w:p>
    <w:p w:rsidR="00EE4F49" w:rsidRDefault="00EE4F4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B56341" w:rsidRPr="00283CD6" w:rsidRDefault="00B56341" w:rsidP="00EE4F49">
      <w:pPr>
        <w:pStyle w:val="ListParagraph"/>
        <w:numPr>
          <w:ilvl w:val="0"/>
          <w:numId w:val="17"/>
        </w:numPr>
        <w:spacing w:after="0" w:line="480" w:lineRule="auto"/>
        <w:ind w:left="1440" w:hanging="720"/>
        <w:rPr>
          <w:rFonts w:ascii="Times New Roman" w:hAnsi="Times New Roman" w:cs="Times New Roman"/>
          <w:b/>
          <w:color w:val="000000"/>
          <w:sz w:val="26"/>
          <w:szCs w:val="26"/>
        </w:rPr>
      </w:pPr>
      <w:r w:rsidRPr="00EE4F49">
        <w:rPr>
          <w:rFonts w:ascii="Times New Roman" w:hAnsi="Times New Roman" w:cs="Times New Roman"/>
          <w:b/>
          <w:sz w:val="26"/>
          <w:szCs w:val="26"/>
        </w:rPr>
        <w:lastRenderedPageBreak/>
        <w:t>MOPR</w:t>
      </w:r>
    </w:p>
    <w:p w:rsidR="00A172D8" w:rsidRDefault="0030514C" w:rsidP="00201B29">
      <w:pPr>
        <w:spacing w:line="480" w:lineRule="auto"/>
        <w:rPr>
          <w:rFonts w:ascii="Times New Roman" w:hAnsi="Times New Roman" w:cs="Times New Roman"/>
          <w:sz w:val="26"/>
          <w:szCs w:val="26"/>
        </w:rPr>
      </w:pPr>
      <w:r>
        <w:rPr>
          <w:rFonts w:ascii="Times New Roman" w:eastAsia="Times New Roman" w:hAnsi="Times New Roman" w:cs="Times New Roman"/>
          <w:bCs/>
          <w:kern w:val="32"/>
          <w:sz w:val="26"/>
          <w:szCs w:val="26"/>
          <w:lang w:eastAsia="x-none"/>
        </w:rPr>
        <w:tab/>
      </w:r>
      <w:r w:rsidR="00686388" w:rsidRPr="00201B29">
        <w:rPr>
          <w:rFonts w:ascii="Times New Roman" w:hAnsi="Times New Roman" w:cs="Times New Roman"/>
          <w:sz w:val="26"/>
          <w:szCs w:val="26"/>
        </w:rPr>
        <w:t xml:space="preserve">The </w:t>
      </w:r>
      <w:r w:rsidR="008E77F5">
        <w:rPr>
          <w:rFonts w:ascii="Times New Roman" w:hAnsi="Times New Roman" w:cs="Times New Roman"/>
          <w:sz w:val="26"/>
          <w:szCs w:val="26"/>
        </w:rPr>
        <w:t xml:space="preserve">MOPR </w:t>
      </w:r>
      <w:r w:rsidR="00D0339F">
        <w:rPr>
          <w:rFonts w:ascii="Times New Roman" w:hAnsi="Times New Roman" w:cs="Times New Roman"/>
          <w:sz w:val="26"/>
          <w:szCs w:val="26"/>
        </w:rPr>
        <w:t>Complaint</w:t>
      </w:r>
      <w:r w:rsidR="008E77F5">
        <w:rPr>
          <w:rFonts w:ascii="Times New Roman" w:hAnsi="Times New Roman" w:cs="Times New Roman"/>
          <w:sz w:val="26"/>
          <w:szCs w:val="26"/>
        </w:rPr>
        <w:t xml:space="preserve"> </w:t>
      </w:r>
      <w:r w:rsidR="00686388" w:rsidRPr="00201B29">
        <w:rPr>
          <w:rFonts w:ascii="Times New Roman" w:hAnsi="Times New Roman" w:cs="Times New Roman"/>
          <w:sz w:val="26"/>
          <w:szCs w:val="26"/>
        </w:rPr>
        <w:t xml:space="preserve">would single out certain Ohio-based units for </w:t>
      </w:r>
      <w:r w:rsidR="00A172D8">
        <w:rPr>
          <w:rFonts w:ascii="Times New Roman" w:hAnsi="Times New Roman" w:cs="Times New Roman"/>
          <w:sz w:val="26"/>
          <w:szCs w:val="26"/>
        </w:rPr>
        <w:t>discriminatory</w:t>
      </w:r>
      <w:r w:rsidR="00686388" w:rsidRPr="00201B29">
        <w:rPr>
          <w:rFonts w:ascii="Times New Roman" w:hAnsi="Times New Roman" w:cs="Times New Roman"/>
          <w:sz w:val="26"/>
          <w:szCs w:val="26"/>
        </w:rPr>
        <w:t xml:space="preserve"> treatment.  </w:t>
      </w:r>
      <w:r w:rsidR="008E77F5">
        <w:rPr>
          <w:rFonts w:ascii="Times New Roman" w:hAnsi="Times New Roman" w:cs="Times New Roman"/>
          <w:sz w:val="26"/>
          <w:szCs w:val="26"/>
        </w:rPr>
        <w:t>This is wholly unreasonable</w:t>
      </w:r>
      <w:r w:rsidR="00686388" w:rsidRPr="00201B29">
        <w:rPr>
          <w:rFonts w:ascii="Times New Roman" w:hAnsi="Times New Roman" w:cs="Times New Roman"/>
          <w:sz w:val="26"/>
          <w:szCs w:val="26"/>
        </w:rPr>
        <w:t xml:space="preserve">. </w:t>
      </w:r>
      <w:r w:rsidR="008E77F5">
        <w:rPr>
          <w:rFonts w:ascii="Times New Roman" w:hAnsi="Times New Roman" w:cs="Times New Roman"/>
          <w:sz w:val="26"/>
          <w:szCs w:val="26"/>
        </w:rPr>
        <w:t xml:space="preserve"> </w:t>
      </w:r>
      <w:r w:rsidR="00A172D8">
        <w:rPr>
          <w:rFonts w:ascii="Times New Roman" w:hAnsi="Times New Roman" w:cs="Times New Roman"/>
          <w:sz w:val="26"/>
          <w:szCs w:val="26"/>
        </w:rPr>
        <w:t>As the PUCO noted in its order:</w:t>
      </w:r>
    </w:p>
    <w:p w:rsidR="00A172D8" w:rsidRDefault="00A172D8" w:rsidP="00EE4F49">
      <w:pPr>
        <w:spacing w:line="240" w:lineRule="auto"/>
        <w:ind w:left="1440" w:right="1530"/>
        <w:rPr>
          <w:rFonts w:ascii="Times New Roman" w:hAnsi="Times New Roman" w:cs="Times New Roman"/>
          <w:sz w:val="26"/>
          <w:szCs w:val="26"/>
        </w:rPr>
      </w:pPr>
      <w:r>
        <w:rPr>
          <w:rFonts w:ascii="Times New Roman" w:hAnsi="Times New Roman" w:cs="Times New Roman"/>
          <w:sz w:val="26"/>
          <w:szCs w:val="26"/>
        </w:rPr>
        <w:t>The Commission notes that PJM could impose the very same bidding standards on all bidders, or on all similarly-situated bidders, in PJM auctions rather than only on the plants at issue in these proceedings.  We are not persuaded that the PPA plants should be held to different standards than other generation plants, particularly those in states that already provide for full cost recovery of generation plants.</w:t>
      </w:r>
    </w:p>
    <w:p w:rsidR="00686388" w:rsidRPr="00201B29" w:rsidRDefault="00A172D8" w:rsidP="00A172D8">
      <w:pPr>
        <w:spacing w:line="480" w:lineRule="auto"/>
        <w:rPr>
          <w:rFonts w:ascii="Times New Roman" w:hAnsi="Times New Roman" w:cs="Times New Roman"/>
          <w:sz w:val="26"/>
          <w:szCs w:val="26"/>
        </w:rPr>
      </w:pPr>
      <w:r w:rsidRPr="00A172D8">
        <w:rPr>
          <w:rFonts w:ascii="Times New Roman" w:hAnsi="Times New Roman" w:cs="Times New Roman"/>
          <w:sz w:val="26"/>
          <w:szCs w:val="26"/>
        </w:rPr>
        <w:t xml:space="preserve">We note that fully regulated units </w:t>
      </w:r>
      <w:r w:rsidR="007A416C">
        <w:rPr>
          <w:rFonts w:ascii="Times New Roman" w:hAnsi="Times New Roman" w:cs="Times New Roman"/>
          <w:sz w:val="26"/>
          <w:szCs w:val="26"/>
        </w:rPr>
        <w:t>participate</w:t>
      </w:r>
      <w:r w:rsidRPr="00A172D8">
        <w:rPr>
          <w:rFonts w:ascii="Times New Roman" w:hAnsi="Times New Roman" w:cs="Times New Roman"/>
          <w:sz w:val="26"/>
          <w:szCs w:val="26"/>
        </w:rPr>
        <w:t xml:space="preserve"> in the PJM </w:t>
      </w:r>
      <w:r w:rsidR="007A416C">
        <w:rPr>
          <w:rFonts w:ascii="Times New Roman" w:hAnsi="Times New Roman" w:cs="Times New Roman"/>
          <w:sz w:val="26"/>
          <w:szCs w:val="26"/>
        </w:rPr>
        <w:t>markets</w:t>
      </w:r>
      <w:r w:rsidRPr="00A172D8">
        <w:rPr>
          <w:rFonts w:ascii="Times New Roman" w:hAnsi="Times New Roman" w:cs="Times New Roman"/>
          <w:sz w:val="26"/>
          <w:szCs w:val="26"/>
        </w:rPr>
        <w:t xml:space="preserve">.  </w:t>
      </w:r>
    </w:p>
    <w:p w:rsidR="001C0597" w:rsidRPr="00283CD6" w:rsidRDefault="001C0597" w:rsidP="00EE4F49">
      <w:pPr>
        <w:spacing w:after="0" w:line="480" w:lineRule="auto"/>
        <w:ind w:left="720" w:hanging="720"/>
        <w:rPr>
          <w:rFonts w:ascii="Times New Roman" w:eastAsia="Times New Roman" w:hAnsi="Times New Roman" w:cs="Times New Roman"/>
          <w:b/>
          <w:sz w:val="26"/>
          <w:szCs w:val="26"/>
        </w:rPr>
      </w:pPr>
      <w:r w:rsidRPr="00283CD6">
        <w:rPr>
          <w:rFonts w:ascii="Times New Roman" w:eastAsia="Times New Roman" w:hAnsi="Times New Roman" w:cs="Times New Roman"/>
          <w:b/>
          <w:sz w:val="26"/>
          <w:szCs w:val="26"/>
        </w:rPr>
        <w:lastRenderedPageBreak/>
        <w:t>II.</w:t>
      </w:r>
      <w:r w:rsidR="00EE4F49">
        <w:rPr>
          <w:rFonts w:ascii="Times New Roman" w:eastAsia="Times New Roman" w:hAnsi="Times New Roman" w:cs="Times New Roman"/>
          <w:b/>
          <w:sz w:val="26"/>
          <w:szCs w:val="26"/>
        </w:rPr>
        <w:tab/>
      </w:r>
      <w:r w:rsidRPr="00283CD6">
        <w:rPr>
          <w:rFonts w:ascii="Times New Roman" w:eastAsia="Times New Roman" w:hAnsi="Times New Roman" w:cs="Times New Roman"/>
          <w:b/>
          <w:sz w:val="26"/>
          <w:szCs w:val="26"/>
        </w:rPr>
        <w:t>Conclusion</w:t>
      </w:r>
    </w:p>
    <w:p w:rsidR="001C0597" w:rsidRDefault="001C0597" w:rsidP="00A523CA">
      <w:pPr>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Therefore, the PUCO recomme</w:t>
      </w:r>
      <w:r w:rsidR="00A172D8">
        <w:rPr>
          <w:rFonts w:ascii="Times New Roman" w:hAnsi="Times New Roman" w:cs="Times New Roman"/>
          <w:sz w:val="26"/>
          <w:szCs w:val="26"/>
        </w:rPr>
        <w:t>nds that FERC reject the Complai</w:t>
      </w:r>
      <w:r>
        <w:rPr>
          <w:rFonts w:ascii="Times New Roman" w:hAnsi="Times New Roman" w:cs="Times New Roman"/>
          <w:sz w:val="26"/>
          <w:szCs w:val="26"/>
        </w:rPr>
        <w:t xml:space="preserve">nt and direct PJM to comprehensively examine the non-discriminatory </w:t>
      </w:r>
      <w:r w:rsidR="00A172D8">
        <w:rPr>
          <w:rFonts w:ascii="Times New Roman" w:hAnsi="Times New Roman" w:cs="Times New Roman"/>
          <w:sz w:val="26"/>
          <w:szCs w:val="26"/>
        </w:rPr>
        <w:t>application</w:t>
      </w:r>
      <w:r>
        <w:rPr>
          <w:rFonts w:ascii="Times New Roman" w:hAnsi="Times New Roman" w:cs="Times New Roman"/>
          <w:sz w:val="26"/>
          <w:szCs w:val="26"/>
        </w:rPr>
        <w:t xml:space="preserve"> of MOPR through its stakeholder process.</w:t>
      </w:r>
    </w:p>
    <w:p w:rsidR="00566026" w:rsidRPr="008E5FCD" w:rsidRDefault="00566026" w:rsidP="00566026">
      <w:pPr>
        <w:widowControl w:val="0"/>
        <w:spacing w:after="0"/>
        <w:ind w:left="4320"/>
        <w:jc w:val="both"/>
        <w:rPr>
          <w:rFonts w:ascii="Times New Roman" w:eastAsia="Times New Roman" w:hAnsi="Times New Roman" w:cs="Times New Roman"/>
          <w:sz w:val="26"/>
          <w:szCs w:val="26"/>
        </w:rPr>
      </w:pPr>
      <w:r w:rsidRPr="008E5FCD">
        <w:rPr>
          <w:rFonts w:ascii="Times New Roman" w:eastAsia="Times New Roman" w:hAnsi="Times New Roman" w:cs="Times New Roman"/>
          <w:sz w:val="26"/>
          <w:szCs w:val="26"/>
        </w:rPr>
        <w:t>Respectfully submitted,</w:t>
      </w:r>
    </w:p>
    <w:p w:rsidR="00566026" w:rsidRDefault="00566026" w:rsidP="00566026">
      <w:pPr>
        <w:widowControl w:val="0"/>
        <w:spacing w:after="0"/>
        <w:ind w:left="4320"/>
        <w:jc w:val="both"/>
        <w:rPr>
          <w:rFonts w:ascii="Times New Roman" w:eastAsia="Times New Roman" w:hAnsi="Times New Roman" w:cs="Times New Roman"/>
          <w:sz w:val="26"/>
          <w:szCs w:val="26"/>
        </w:rPr>
      </w:pPr>
    </w:p>
    <w:p w:rsidR="00E500A9" w:rsidRDefault="00E500A9" w:rsidP="00566026">
      <w:pPr>
        <w:widowControl w:val="0"/>
        <w:spacing w:after="0"/>
        <w:ind w:left="4320"/>
        <w:jc w:val="both"/>
        <w:rPr>
          <w:rFonts w:ascii="Times New Roman" w:eastAsia="Times New Roman" w:hAnsi="Times New Roman" w:cs="Times New Roman"/>
          <w:sz w:val="26"/>
          <w:szCs w:val="26"/>
        </w:rPr>
      </w:pPr>
    </w:p>
    <w:p w:rsidR="00566026" w:rsidRPr="00EE4F49" w:rsidRDefault="00EE4F49" w:rsidP="00566026">
      <w:pPr>
        <w:widowControl w:val="0"/>
        <w:spacing w:after="0"/>
        <w:ind w:left="4320"/>
        <w:jc w:val="both"/>
        <w:rPr>
          <w:rFonts w:ascii="Times New Roman" w:eastAsia="Times New Roman" w:hAnsi="Times New Roman" w:cs="Times New Roman"/>
          <w:i/>
          <w:sz w:val="26"/>
          <w:szCs w:val="26"/>
          <w:u w:val="single"/>
        </w:rPr>
      </w:pPr>
      <w:r>
        <w:rPr>
          <w:rFonts w:ascii="Times New Roman" w:eastAsia="Times New Roman" w:hAnsi="Times New Roman" w:cs="Times New Roman"/>
          <w:i/>
          <w:sz w:val="26"/>
          <w:szCs w:val="26"/>
          <w:u w:val="single"/>
        </w:rPr>
        <w:t>/s/Thomas W. McNamee</w:t>
      </w:r>
      <w:r>
        <w:rPr>
          <w:rFonts w:ascii="Times New Roman" w:eastAsia="Times New Roman" w:hAnsi="Times New Roman" w:cs="Times New Roman"/>
          <w:i/>
          <w:sz w:val="26"/>
          <w:szCs w:val="26"/>
          <w:u w:val="single"/>
        </w:rPr>
        <w:tab/>
      </w:r>
      <w:r>
        <w:rPr>
          <w:rFonts w:ascii="Times New Roman" w:eastAsia="Times New Roman" w:hAnsi="Times New Roman" w:cs="Times New Roman"/>
          <w:i/>
          <w:sz w:val="26"/>
          <w:szCs w:val="26"/>
          <w:u w:val="single"/>
        </w:rPr>
        <w:tab/>
      </w:r>
    </w:p>
    <w:p w:rsidR="00566026" w:rsidRPr="008E5FCD" w:rsidRDefault="00566026" w:rsidP="00566026">
      <w:pPr>
        <w:widowControl w:val="0"/>
        <w:tabs>
          <w:tab w:val="left" w:pos="4760"/>
        </w:tabs>
        <w:spacing w:after="0"/>
        <w:ind w:left="4320"/>
        <w:rPr>
          <w:rFonts w:ascii="Times New Roman" w:eastAsia="Times New Roman" w:hAnsi="Times New Roman" w:cs="Times New Roman"/>
          <w:b/>
          <w:sz w:val="26"/>
          <w:szCs w:val="26"/>
        </w:rPr>
      </w:pPr>
      <w:r w:rsidRPr="008E5FCD">
        <w:rPr>
          <w:rFonts w:ascii="Times New Roman" w:eastAsia="Times New Roman" w:hAnsi="Times New Roman" w:cs="Times New Roman"/>
          <w:b/>
          <w:sz w:val="26"/>
          <w:szCs w:val="26"/>
        </w:rPr>
        <w:t>Thomas W. McNamee</w:t>
      </w:r>
    </w:p>
    <w:p w:rsidR="00566026" w:rsidRPr="008E5FCD" w:rsidRDefault="00566026" w:rsidP="00566026">
      <w:pPr>
        <w:widowControl w:val="0"/>
        <w:tabs>
          <w:tab w:val="left" w:pos="4760"/>
        </w:tabs>
        <w:spacing w:after="0"/>
        <w:ind w:left="4320"/>
        <w:rPr>
          <w:rFonts w:ascii="Times New Roman" w:eastAsia="Times New Roman" w:hAnsi="Times New Roman" w:cs="Times New Roman"/>
          <w:sz w:val="26"/>
          <w:szCs w:val="26"/>
        </w:rPr>
      </w:pPr>
      <w:r w:rsidRPr="008E5FCD">
        <w:rPr>
          <w:rFonts w:ascii="Times New Roman" w:eastAsia="Times New Roman" w:hAnsi="Times New Roman" w:cs="Times New Roman"/>
          <w:sz w:val="26"/>
          <w:szCs w:val="26"/>
        </w:rPr>
        <w:t>180 East Broad Street</w:t>
      </w:r>
    </w:p>
    <w:p w:rsidR="00566026" w:rsidRPr="008E5FCD" w:rsidRDefault="00566026" w:rsidP="00566026">
      <w:pPr>
        <w:widowControl w:val="0"/>
        <w:tabs>
          <w:tab w:val="left" w:pos="4760"/>
        </w:tabs>
        <w:spacing w:after="0"/>
        <w:ind w:left="4320"/>
        <w:rPr>
          <w:rFonts w:ascii="Times New Roman" w:eastAsia="Times New Roman" w:hAnsi="Times New Roman" w:cs="Times New Roman"/>
          <w:sz w:val="26"/>
          <w:szCs w:val="26"/>
        </w:rPr>
      </w:pPr>
      <w:r w:rsidRPr="008E5FCD">
        <w:rPr>
          <w:rFonts w:ascii="Times New Roman" w:eastAsia="Times New Roman" w:hAnsi="Times New Roman" w:cs="Times New Roman"/>
          <w:sz w:val="26"/>
          <w:szCs w:val="26"/>
        </w:rPr>
        <w:t>Columbus, OH  43215-3793</w:t>
      </w:r>
    </w:p>
    <w:p w:rsidR="00566026" w:rsidRPr="008E5FCD" w:rsidRDefault="00566026" w:rsidP="00566026">
      <w:pPr>
        <w:widowControl w:val="0"/>
        <w:tabs>
          <w:tab w:val="left" w:pos="4760"/>
        </w:tabs>
        <w:spacing w:after="0"/>
        <w:ind w:left="4320"/>
        <w:rPr>
          <w:rFonts w:ascii="Times New Roman" w:eastAsia="Times New Roman" w:hAnsi="Times New Roman" w:cs="Times New Roman"/>
          <w:sz w:val="26"/>
          <w:szCs w:val="26"/>
        </w:rPr>
      </w:pPr>
      <w:r w:rsidRPr="008E5FCD">
        <w:rPr>
          <w:rFonts w:ascii="Times New Roman" w:eastAsia="Times New Roman" w:hAnsi="Times New Roman" w:cs="Times New Roman"/>
          <w:sz w:val="26"/>
          <w:szCs w:val="26"/>
        </w:rPr>
        <w:t>614.466.4397 (telephone)</w:t>
      </w:r>
    </w:p>
    <w:p w:rsidR="00566026" w:rsidRPr="008E5FCD" w:rsidRDefault="00566026" w:rsidP="00566026">
      <w:pPr>
        <w:widowControl w:val="0"/>
        <w:tabs>
          <w:tab w:val="left" w:pos="4760"/>
        </w:tabs>
        <w:spacing w:after="0"/>
        <w:ind w:left="4320"/>
        <w:rPr>
          <w:rFonts w:ascii="Times New Roman" w:eastAsia="Times New Roman" w:hAnsi="Times New Roman" w:cs="Times New Roman"/>
          <w:sz w:val="26"/>
          <w:szCs w:val="26"/>
        </w:rPr>
      </w:pPr>
      <w:r w:rsidRPr="008E5FCD">
        <w:rPr>
          <w:rFonts w:ascii="Times New Roman" w:eastAsia="Times New Roman" w:hAnsi="Times New Roman" w:cs="Times New Roman"/>
          <w:sz w:val="26"/>
          <w:szCs w:val="26"/>
        </w:rPr>
        <w:t>614.644.8764 (fax)</w:t>
      </w:r>
    </w:p>
    <w:p w:rsidR="00566026" w:rsidRPr="008E5FCD" w:rsidRDefault="00334580" w:rsidP="00566026">
      <w:pPr>
        <w:widowControl w:val="0"/>
        <w:tabs>
          <w:tab w:val="left" w:pos="4760"/>
        </w:tabs>
        <w:spacing w:after="0"/>
        <w:ind w:left="4320"/>
        <w:rPr>
          <w:rFonts w:ascii="Times New Roman" w:eastAsia="Times New Roman" w:hAnsi="Times New Roman" w:cs="Times New Roman"/>
          <w:sz w:val="26"/>
          <w:szCs w:val="26"/>
        </w:rPr>
      </w:pPr>
      <w:hyperlink r:id="rId8" w:history="1">
        <w:r w:rsidR="00566026" w:rsidRPr="008E5FCD">
          <w:rPr>
            <w:rFonts w:ascii="Times New Roman" w:eastAsia="Times New Roman" w:hAnsi="Times New Roman" w:cs="Times New Roman"/>
            <w:color w:val="0000FF"/>
            <w:sz w:val="26"/>
            <w:szCs w:val="26"/>
            <w:u w:val="single"/>
          </w:rPr>
          <w:t>thomas.mcnamee@puc.state.oh.us</w:t>
        </w:r>
      </w:hyperlink>
    </w:p>
    <w:p w:rsidR="00566026" w:rsidRPr="008E5FCD" w:rsidRDefault="00566026" w:rsidP="00566026">
      <w:pPr>
        <w:widowControl w:val="0"/>
        <w:tabs>
          <w:tab w:val="left" w:pos="4760"/>
        </w:tabs>
        <w:spacing w:after="0"/>
        <w:ind w:left="4320"/>
        <w:rPr>
          <w:rFonts w:ascii="Times New Roman" w:eastAsia="Times New Roman" w:hAnsi="Times New Roman" w:cs="Times New Roman"/>
          <w:sz w:val="26"/>
          <w:szCs w:val="26"/>
        </w:rPr>
      </w:pPr>
    </w:p>
    <w:p w:rsidR="00566026" w:rsidRPr="008E5FCD" w:rsidRDefault="00566026" w:rsidP="00566026">
      <w:pPr>
        <w:widowControl w:val="0"/>
        <w:tabs>
          <w:tab w:val="left" w:pos="4760"/>
        </w:tabs>
        <w:spacing w:after="0"/>
        <w:ind w:left="4320"/>
        <w:rPr>
          <w:rFonts w:ascii="Times New Roman" w:eastAsia="Times New Roman" w:hAnsi="Times New Roman" w:cs="Times New Roman"/>
          <w:b/>
          <w:sz w:val="26"/>
          <w:szCs w:val="26"/>
        </w:rPr>
      </w:pPr>
      <w:r w:rsidRPr="008E5FCD">
        <w:rPr>
          <w:rFonts w:ascii="Times New Roman" w:eastAsia="Times New Roman" w:hAnsi="Times New Roman" w:cs="Times New Roman"/>
          <w:b/>
          <w:sz w:val="26"/>
          <w:szCs w:val="26"/>
        </w:rPr>
        <w:t xml:space="preserve">Attorney for the </w:t>
      </w:r>
    </w:p>
    <w:p w:rsidR="00DA44CE" w:rsidRDefault="00566026" w:rsidP="00A523CA">
      <w:pPr>
        <w:widowControl w:val="0"/>
        <w:tabs>
          <w:tab w:val="left" w:pos="4760"/>
        </w:tabs>
        <w:spacing w:after="0"/>
        <w:ind w:left="4320"/>
        <w:rPr>
          <w:rFonts w:ascii="Times New Roman" w:eastAsia="Times New Roman" w:hAnsi="Times New Roman" w:cs="Times New Roman"/>
          <w:sz w:val="26"/>
          <w:szCs w:val="26"/>
          <w:lang w:eastAsia="x-none"/>
        </w:rPr>
      </w:pPr>
      <w:r w:rsidRPr="008E5FCD">
        <w:rPr>
          <w:rFonts w:ascii="Times New Roman" w:eastAsia="Times New Roman" w:hAnsi="Times New Roman" w:cs="Times New Roman"/>
          <w:b/>
          <w:sz w:val="26"/>
          <w:szCs w:val="26"/>
        </w:rPr>
        <w:t>Public Utilities Commission of Ohio</w:t>
      </w:r>
    </w:p>
    <w:p w:rsidR="00DA44CE" w:rsidRDefault="00DA44CE" w:rsidP="00D873BC">
      <w:pPr>
        <w:spacing w:after="0" w:line="240" w:lineRule="auto"/>
        <w:ind w:left="4320"/>
        <w:jc w:val="both"/>
        <w:rPr>
          <w:rFonts w:ascii="Times New Roman" w:eastAsia="Times New Roman" w:hAnsi="Times New Roman" w:cs="Times New Roman"/>
          <w:sz w:val="26"/>
          <w:szCs w:val="26"/>
          <w:lang w:eastAsia="x-none"/>
        </w:rPr>
      </w:pPr>
    </w:p>
    <w:p w:rsidR="000D485F" w:rsidRDefault="000D485F" w:rsidP="00A523CA">
      <w:pPr>
        <w:widowControl w:val="0"/>
        <w:spacing w:after="0" w:line="480" w:lineRule="auto"/>
        <w:jc w:val="center"/>
        <w:rPr>
          <w:rFonts w:ascii="Times New Roman" w:eastAsia="Times New Roman" w:hAnsi="Times New Roman" w:cs="Times New Roman"/>
          <w:b/>
          <w:bCs/>
          <w:kern w:val="32"/>
          <w:sz w:val="28"/>
          <w:szCs w:val="32"/>
        </w:rPr>
      </w:pPr>
    </w:p>
    <w:p w:rsidR="00566026" w:rsidRDefault="00566026" w:rsidP="00A523CA">
      <w:pPr>
        <w:widowControl w:val="0"/>
        <w:spacing w:after="0" w:line="480" w:lineRule="auto"/>
        <w:jc w:val="center"/>
        <w:rPr>
          <w:rFonts w:ascii="Times New Roman" w:eastAsia="Times New Roman" w:hAnsi="Times New Roman" w:cs="Times New Roman"/>
          <w:snapToGrid w:val="0"/>
          <w:sz w:val="26"/>
          <w:szCs w:val="28"/>
        </w:rPr>
      </w:pPr>
      <w:r w:rsidRPr="008E5FCD">
        <w:rPr>
          <w:rFonts w:ascii="Times New Roman" w:eastAsia="Times New Roman" w:hAnsi="Times New Roman" w:cs="Times New Roman"/>
          <w:b/>
          <w:bCs/>
          <w:kern w:val="32"/>
          <w:sz w:val="28"/>
          <w:szCs w:val="32"/>
        </w:rPr>
        <w:lastRenderedPageBreak/>
        <w:t>CERTIFICATE OF SERVICE</w:t>
      </w:r>
    </w:p>
    <w:p w:rsidR="00566026" w:rsidRDefault="00566026" w:rsidP="00566026">
      <w:pPr>
        <w:widowControl w:val="0"/>
        <w:spacing w:after="0" w:line="480" w:lineRule="auto"/>
        <w:rPr>
          <w:rFonts w:ascii="Times New Roman" w:eastAsia="Times New Roman" w:hAnsi="Times New Roman" w:cs="Times New Roman"/>
          <w:snapToGrid w:val="0"/>
          <w:sz w:val="26"/>
          <w:szCs w:val="28"/>
        </w:rPr>
      </w:pPr>
    </w:p>
    <w:p w:rsidR="00566026" w:rsidRPr="008E5FCD" w:rsidRDefault="00566026" w:rsidP="00EE4F49">
      <w:pPr>
        <w:widowControl w:val="0"/>
        <w:spacing w:after="0" w:line="480" w:lineRule="auto"/>
        <w:ind w:firstLine="720"/>
        <w:rPr>
          <w:rFonts w:ascii="Times New Roman" w:eastAsia="Times New Roman" w:hAnsi="Times New Roman" w:cs="Times New Roman"/>
          <w:snapToGrid w:val="0"/>
          <w:sz w:val="26"/>
          <w:szCs w:val="28"/>
        </w:rPr>
      </w:pPr>
      <w:r w:rsidRPr="008E5FCD">
        <w:rPr>
          <w:rFonts w:ascii="Times New Roman" w:eastAsia="Times New Roman" w:hAnsi="Times New Roman" w:cs="Times New Roman"/>
          <w:snapToGrid w:val="0"/>
          <w:sz w:val="26"/>
          <w:szCs w:val="28"/>
        </w:rPr>
        <w:t>I hereby certify that the foregoing has been served in accordance with 18 C.F.R. Section 385.2010 upon each person designated on the official service list compiled by the Secretary in this proceeding.</w:t>
      </w:r>
    </w:p>
    <w:p w:rsidR="00566026" w:rsidRPr="008E5FCD" w:rsidRDefault="00EE4F49" w:rsidP="00566026">
      <w:pPr>
        <w:widowControl w:val="0"/>
        <w:tabs>
          <w:tab w:val="left" w:pos="9360"/>
        </w:tabs>
        <w:spacing w:after="0"/>
        <w:ind w:left="4320"/>
        <w:rPr>
          <w:rFonts w:ascii="Times New Roman" w:eastAsia="Times New Roman" w:hAnsi="Times New Roman" w:cs="Times New Roman"/>
          <w:i/>
          <w:sz w:val="26"/>
          <w:szCs w:val="26"/>
          <w:u w:val="single"/>
        </w:rPr>
      </w:pPr>
      <w:r>
        <w:rPr>
          <w:rFonts w:ascii="Times New Roman" w:eastAsia="Times New Roman" w:hAnsi="Times New Roman" w:cs="Times New Roman"/>
          <w:i/>
          <w:sz w:val="26"/>
          <w:szCs w:val="26"/>
          <w:u w:val="single"/>
        </w:rPr>
        <w:t>/s/Thomas W. McNamee</w:t>
      </w:r>
      <w:r>
        <w:rPr>
          <w:rFonts w:ascii="Times New Roman" w:eastAsia="Times New Roman" w:hAnsi="Times New Roman" w:cs="Times New Roman"/>
          <w:i/>
          <w:sz w:val="26"/>
          <w:szCs w:val="26"/>
          <w:u w:val="single"/>
        </w:rPr>
        <w:tab/>
      </w:r>
    </w:p>
    <w:p w:rsidR="00566026" w:rsidRPr="008E5FCD" w:rsidRDefault="00566026" w:rsidP="00566026">
      <w:pPr>
        <w:widowControl w:val="0"/>
        <w:tabs>
          <w:tab w:val="left" w:pos="9360"/>
        </w:tabs>
        <w:spacing w:after="0"/>
        <w:ind w:left="4320"/>
        <w:rPr>
          <w:rFonts w:ascii="Times New Roman" w:eastAsia="Times New Roman" w:hAnsi="Times New Roman" w:cs="Times New Roman"/>
          <w:b/>
          <w:sz w:val="26"/>
          <w:szCs w:val="26"/>
        </w:rPr>
      </w:pPr>
      <w:r w:rsidRPr="008E5FCD">
        <w:rPr>
          <w:rFonts w:ascii="Times New Roman" w:eastAsia="Times New Roman" w:hAnsi="Times New Roman" w:cs="Times New Roman"/>
          <w:b/>
          <w:sz w:val="26"/>
          <w:szCs w:val="26"/>
        </w:rPr>
        <w:t>Thomas W. McNamee</w:t>
      </w:r>
    </w:p>
    <w:p w:rsidR="001635ED" w:rsidRDefault="001635ED" w:rsidP="00490529">
      <w:pPr>
        <w:widowControl w:val="0"/>
        <w:spacing w:after="0" w:line="480" w:lineRule="auto"/>
        <w:rPr>
          <w:rFonts w:ascii="Times New Roman" w:eastAsia="Times New Roman" w:hAnsi="Times New Roman" w:cs="Times New Roman"/>
          <w:snapToGrid w:val="0"/>
          <w:sz w:val="26"/>
          <w:szCs w:val="28"/>
        </w:rPr>
      </w:pPr>
    </w:p>
    <w:p w:rsidR="00E4780A" w:rsidRPr="00D217D9" w:rsidRDefault="00566026" w:rsidP="001635ED">
      <w:pPr>
        <w:widowControl w:val="0"/>
        <w:spacing w:after="0" w:line="480" w:lineRule="auto"/>
        <w:rPr>
          <w:rFonts w:ascii="Times New Roman" w:hAnsi="Times New Roman" w:cs="Times New Roman"/>
          <w:sz w:val="26"/>
          <w:szCs w:val="26"/>
        </w:rPr>
      </w:pPr>
      <w:r w:rsidRPr="008E5FCD">
        <w:rPr>
          <w:rFonts w:ascii="Times New Roman" w:eastAsia="Times New Roman" w:hAnsi="Times New Roman" w:cs="Times New Roman"/>
          <w:snapToGrid w:val="0"/>
          <w:sz w:val="26"/>
          <w:szCs w:val="28"/>
        </w:rPr>
        <w:t>Dated at Columbus, Ohio this</w:t>
      </w:r>
      <w:r w:rsidR="00434C7B">
        <w:rPr>
          <w:rFonts w:ascii="Times New Roman" w:eastAsia="Times New Roman" w:hAnsi="Times New Roman" w:cs="Times New Roman"/>
          <w:snapToGrid w:val="0"/>
          <w:sz w:val="26"/>
          <w:szCs w:val="28"/>
        </w:rPr>
        <w:t xml:space="preserve"> </w:t>
      </w:r>
      <w:r w:rsidR="00D0339F">
        <w:rPr>
          <w:rFonts w:ascii="Times New Roman" w:eastAsia="Times New Roman" w:hAnsi="Times New Roman" w:cs="Times New Roman"/>
          <w:snapToGrid w:val="0"/>
          <w:sz w:val="26"/>
          <w:szCs w:val="28"/>
        </w:rPr>
        <w:t>April 11</w:t>
      </w:r>
      <w:r w:rsidR="001635ED">
        <w:rPr>
          <w:rFonts w:ascii="Times New Roman" w:eastAsia="Times New Roman" w:hAnsi="Times New Roman" w:cs="Times New Roman"/>
          <w:snapToGrid w:val="0"/>
          <w:sz w:val="26"/>
          <w:szCs w:val="28"/>
        </w:rPr>
        <w:t>, 2016</w:t>
      </w:r>
      <w:r w:rsidRPr="008E5FCD">
        <w:rPr>
          <w:rFonts w:ascii="Times New Roman" w:eastAsia="Times New Roman" w:hAnsi="Times New Roman" w:cs="Times New Roman"/>
          <w:snapToGrid w:val="0"/>
          <w:sz w:val="26"/>
          <w:szCs w:val="28"/>
        </w:rPr>
        <w:t>.</w:t>
      </w:r>
    </w:p>
    <w:sectPr w:rsidR="00E4780A" w:rsidRPr="00D217D9">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D9" w:rsidRDefault="00A149D9">
      <w:pPr>
        <w:spacing w:after="0" w:line="240" w:lineRule="auto"/>
      </w:pPr>
      <w:r>
        <w:separator/>
      </w:r>
    </w:p>
  </w:endnote>
  <w:endnote w:type="continuationSeparator" w:id="0">
    <w:p w:rsidR="00A149D9" w:rsidRDefault="00A1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384479"/>
      <w:docPartObj>
        <w:docPartGallery w:val="Page Numbers (Bottom of Page)"/>
        <w:docPartUnique/>
      </w:docPartObj>
    </w:sdtPr>
    <w:sdtEndPr>
      <w:rPr>
        <w:noProof/>
      </w:rPr>
    </w:sdtEndPr>
    <w:sdtContent>
      <w:p w:rsidR="00B520EC" w:rsidRDefault="00D217D9">
        <w:pPr>
          <w:pStyle w:val="Footer"/>
        </w:pPr>
        <w:r>
          <w:fldChar w:fldCharType="begin"/>
        </w:r>
        <w:r>
          <w:instrText xml:space="preserve"> PAGE   \* MERGEFORMAT </w:instrText>
        </w:r>
        <w:r>
          <w:fldChar w:fldCharType="separate"/>
        </w:r>
        <w:r w:rsidR="00334580">
          <w:rPr>
            <w:noProof/>
          </w:rPr>
          <w:t>2</w:t>
        </w:r>
        <w:r>
          <w:rPr>
            <w:noProof/>
          </w:rPr>
          <w:fldChar w:fldCharType="end"/>
        </w:r>
      </w:p>
    </w:sdtContent>
  </w:sdt>
  <w:p w:rsidR="00B520EC" w:rsidRDefault="00334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EC" w:rsidRDefault="00BC7818" w:rsidP="007F11F2">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Pr>
        <w:rFonts w:ascii="Times New Roman" w:eastAsia="Times New Roman" w:hAnsi="Times New Roman" w:cs="Times New Roman"/>
        <w:b/>
        <w:sz w:val="26"/>
        <w:szCs w:val="26"/>
        <w:lang w:bidi="en-US"/>
      </w:rPr>
      <w:t xml:space="preserve">October </w:t>
    </w:r>
    <w:r w:rsidR="001F658E">
      <w:rPr>
        <w:rFonts w:ascii="Times New Roman" w:eastAsia="Times New Roman" w:hAnsi="Times New Roman" w:cs="Times New Roman"/>
        <w:b/>
        <w:sz w:val="26"/>
        <w:szCs w:val="26"/>
        <w:lang w:bidi="en-US"/>
      </w:rPr>
      <w:t>16</w:t>
    </w:r>
    <w:r>
      <w:rPr>
        <w:rFonts w:ascii="Times New Roman" w:eastAsia="Times New Roman" w:hAnsi="Times New Roman" w:cs="Times New Roman"/>
        <w:b/>
        <w:sz w:val="26"/>
        <w:szCs w:val="26"/>
        <w:lang w:bidi="en-US"/>
      </w:rPr>
      <w:t>, 2014</w:t>
    </w:r>
  </w:p>
  <w:p w:rsidR="00010A33" w:rsidRPr="007F11F2" w:rsidRDefault="00334580" w:rsidP="007F11F2">
    <w:pPr>
      <w:autoSpaceDE w:val="0"/>
      <w:autoSpaceDN w:val="0"/>
      <w:adjustRightInd w:val="0"/>
      <w:spacing w:after="0" w:line="240" w:lineRule="auto"/>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D9" w:rsidRDefault="00A149D9">
      <w:pPr>
        <w:spacing w:after="0" w:line="240" w:lineRule="auto"/>
      </w:pPr>
      <w:r>
        <w:separator/>
      </w:r>
    </w:p>
  </w:footnote>
  <w:footnote w:type="continuationSeparator" w:id="0">
    <w:p w:rsidR="00A149D9" w:rsidRDefault="00A149D9">
      <w:pPr>
        <w:spacing w:after="0" w:line="240" w:lineRule="auto"/>
      </w:pPr>
      <w:r>
        <w:continuationSeparator/>
      </w:r>
    </w:p>
  </w:footnote>
  <w:footnote w:id="1">
    <w:p w:rsidR="00F17C4D" w:rsidRPr="00EE4F49" w:rsidRDefault="00F17C4D">
      <w:pPr>
        <w:pStyle w:val="FootnoteText"/>
        <w:rPr>
          <w:rFonts w:ascii="Times New Roman" w:hAnsi="Times New Roman" w:cs="Times New Roman"/>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00EE4F49">
        <w:rPr>
          <w:rFonts w:ascii="Times New Roman" w:hAnsi="Times New Roman" w:cs="Times New Roman"/>
          <w:sz w:val="24"/>
          <w:szCs w:val="24"/>
        </w:rPr>
        <w:tab/>
      </w:r>
      <w:r w:rsidR="00786B6E" w:rsidRPr="00EE4F49">
        <w:rPr>
          <w:rFonts w:ascii="Times New Roman" w:hAnsi="Times New Roman" w:cs="Times New Roman"/>
          <w:sz w:val="24"/>
          <w:szCs w:val="24"/>
        </w:rPr>
        <w:t>Complaint Requesting Fast Track Processing</w:t>
      </w:r>
      <w:r w:rsidR="000D485F" w:rsidRPr="00EE4F49">
        <w:rPr>
          <w:rFonts w:ascii="Times New Roman" w:hAnsi="Times New Roman" w:cs="Times New Roman"/>
          <w:sz w:val="24"/>
          <w:szCs w:val="24"/>
        </w:rPr>
        <w:t xml:space="preserve">, </w:t>
      </w:r>
      <w:r w:rsidR="00786B6E" w:rsidRPr="00EE4F49">
        <w:rPr>
          <w:rFonts w:ascii="Times New Roman" w:hAnsi="Times New Roman" w:cs="Times New Roman"/>
          <w:sz w:val="24"/>
          <w:szCs w:val="24"/>
        </w:rPr>
        <w:t>FERC Docket Nos. EL16-33-000 and EL16-34-000</w:t>
      </w:r>
      <w:r w:rsidR="000D485F" w:rsidRPr="00EE4F49">
        <w:rPr>
          <w:rFonts w:ascii="Times New Roman" w:hAnsi="Times New Roman" w:cs="Times New Roman"/>
          <w:sz w:val="24"/>
          <w:szCs w:val="24"/>
        </w:rPr>
        <w:t>, January 27, 2016.</w:t>
      </w:r>
    </w:p>
  </w:footnote>
  <w:footnote w:id="2">
    <w:p w:rsidR="00A172D8" w:rsidRPr="00EE4F49" w:rsidRDefault="00A172D8">
      <w:pPr>
        <w:pStyle w:val="FootnoteText"/>
        <w:rPr>
          <w:rFonts w:ascii="Times New Roman" w:hAnsi="Times New Roman" w:cs="Times New Roman"/>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00EE4F49">
        <w:rPr>
          <w:rFonts w:ascii="Times New Roman" w:hAnsi="Times New Roman" w:cs="Times New Roman"/>
          <w:sz w:val="24"/>
          <w:szCs w:val="24"/>
        </w:rPr>
        <w:tab/>
      </w:r>
      <w:r w:rsidRPr="00EE4F49">
        <w:rPr>
          <w:rFonts w:ascii="Times New Roman" w:hAnsi="Times New Roman" w:cs="Times New Roman"/>
          <w:sz w:val="24"/>
          <w:szCs w:val="24"/>
        </w:rPr>
        <w:t>Pursuant to statute, Ohio Revised Code Section 4903.10, parties to these decisions may still seek rehearing.</w:t>
      </w:r>
    </w:p>
  </w:footnote>
  <w:footnote w:id="3">
    <w:p w:rsidR="00002E67" w:rsidRPr="00EE4F49" w:rsidRDefault="00002E67" w:rsidP="00786B6E">
      <w:pPr>
        <w:rPr>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00EE4F49">
        <w:rPr>
          <w:rFonts w:ascii="Times New Roman" w:hAnsi="Times New Roman" w:cs="Times New Roman"/>
          <w:sz w:val="24"/>
          <w:szCs w:val="24"/>
        </w:rPr>
        <w:tab/>
      </w:r>
      <w:r w:rsidR="00786B6E" w:rsidRPr="00EE4F49">
        <w:rPr>
          <w:rFonts w:ascii="Times New Roman" w:hAnsi="Times New Roman" w:cs="Times New Roman"/>
          <w:i/>
          <w:iCs/>
          <w:sz w:val="24"/>
          <w:szCs w:val="24"/>
        </w:rPr>
        <w:t>In the Matter of the Application Seeking Approval of Ohio Power Company’s Proposal to Enter into an Affiliate Power Purchase Agreement for Inclusion in the Power Purchase Agreement Rider</w:t>
      </w:r>
      <w:r w:rsidR="00786B6E" w:rsidRPr="00EE4F49">
        <w:rPr>
          <w:rFonts w:ascii="Times New Roman" w:hAnsi="Times New Roman" w:cs="Times New Roman"/>
          <w:sz w:val="24"/>
          <w:szCs w:val="24"/>
        </w:rPr>
        <w:t>, PUCO Case No. 14-1693-EL-RDR (AEP Ohio Order)</w:t>
      </w:r>
      <w:r w:rsidR="00786B6E" w:rsidRPr="00EE4F49">
        <w:rPr>
          <w:rFonts w:ascii="Times New Roman" w:hAnsi="Times New Roman" w:cs="Times New Roman"/>
          <w:i/>
          <w:iCs/>
          <w:sz w:val="24"/>
          <w:szCs w:val="24"/>
        </w:rPr>
        <w:t xml:space="preserve">, </w:t>
      </w:r>
      <w:r w:rsidR="00786B6E" w:rsidRPr="00EE4F49">
        <w:rPr>
          <w:rFonts w:ascii="Times New Roman" w:hAnsi="Times New Roman" w:cs="Times New Roman"/>
          <w:sz w:val="24"/>
          <w:szCs w:val="24"/>
        </w:rPr>
        <w:t xml:space="preserve">and </w:t>
      </w:r>
      <w:r w:rsidR="00786B6E" w:rsidRPr="00EE4F49">
        <w:rPr>
          <w:rFonts w:ascii="Times New Roman" w:hAnsi="Times New Roman" w:cs="Times New Roman"/>
          <w:i/>
          <w:iCs/>
          <w:sz w:val="24"/>
          <w:szCs w:val="24"/>
        </w:rPr>
        <w:t>In the Matter of the Application of Ohio Edison Company, The Cleveland Electric Illuminating Company, and The Toledo Edison Company for Authority to Provide for a Standard Service Offer Pursuant to R.C. 4928.143 in the Form of an Electric Security Plan</w:t>
      </w:r>
      <w:r w:rsidR="00786B6E" w:rsidRPr="00EE4F49">
        <w:rPr>
          <w:rFonts w:ascii="Times New Roman" w:hAnsi="Times New Roman" w:cs="Times New Roman"/>
          <w:sz w:val="24"/>
          <w:szCs w:val="24"/>
        </w:rPr>
        <w:t>, PUCO Case No. 14-1297-EL-SSO (FirstEnergy Order).</w:t>
      </w:r>
    </w:p>
  </w:footnote>
  <w:footnote w:id="4">
    <w:p w:rsidR="00002E67" w:rsidRPr="00EE4F49" w:rsidRDefault="00002E67" w:rsidP="00002E67">
      <w:pPr>
        <w:pStyle w:val="FootnoteText"/>
        <w:rPr>
          <w:rFonts w:ascii="Times New Roman" w:hAnsi="Times New Roman" w:cs="Times New Roman"/>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Pr="00EE4F49">
        <w:rPr>
          <w:rFonts w:ascii="Times New Roman" w:hAnsi="Times New Roman" w:cs="Times New Roman"/>
          <w:i/>
          <w:sz w:val="24"/>
          <w:szCs w:val="24"/>
        </w:rPr>
        <w:t>AEP Ohio Order</w:t>
      </w:r>
      <w:r w:rsidRPr="00EE4F49">
        <w:rPr>
          <w:rFonts w:ascii="Times New Roman" w:hAnsi="Times New Roman" w:cs="Times New Roman"/>
          <w:sz w:val="24"/>
          <w:szCs w:val="24"/>
        </w:rPr>
        <w:t xml:space="preserve"> at 95.</w:t>
      </w:r>
    </w:p>
  </w:footnote>
  <w:footnote w:id="5">
    <w:p w:rsidR="00002E67" w:rsidRPr="00EE4F49" w:rsidRDefault="00002E67" w:rsidP="00002E67">
      <w:pPr>
        <w:autoSpaceDE w:val="0"/>
        <w:autoSpaceDN w:val="0"/>
        <w:adjustRightInd w:val="0"/>
        <w:spacing w:after="0" w:line="240" w:lineRule="auto"/>
        <w:rPr>
          <w:rFonts w:ascii="Times New Roman" w:hAnsi="Times New Roman" w:cs="Times New Roman"/>
          <w:i/>
          <w:iCs/>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Pr="00EE4F49">
        <w:rPr>
          <w:rFonts w:ascii="Times New Roman" w:hAnsi="Times New Roman" w:cs="Times New Roman"/>
          <w:i/>
          <w:iCs/>
          <w:sz w:val="24"/>
          <w:szCs w:val="24"/>
        </w:rPr>
        <w:t>FirstEnergy Order</w:t>
      </w:r>
      <w:r w:rsidRPr="00EE4F49">
        <w:rPr>
          <w:rFonts w:ascii="Times New Roman" w:hAnsi="Times New Roman" w:cs="Times New Roman"/>
          <w:sz w:val="24"/>
          <w:szCs w:val="24"/>
        </w:rPr>
        <w:t xml:space="preserve"> at 79</w:t>
      </w:r>
      <w:r w:rsidRPr="00EE4F49">
        <w:rPr>
          <w:rFonts w:ascii="Times New Roman" w:hAnsi="Times New Roman" w:cs="Times New Roman"/>
          <w:i/>
          <w:iCs/>
          <w:sz w:val="24"/>
          <w:szCs w:val="24"/>
        </w:rPr>
        <w:t>.</w:t>
      </w:r>
    </w:p>
  </w:footnote>
  <w:footnote w:id="6">
    <w:p w:rsidR="00002E67" w:rsidRPr="00EE4F49" w:rsidRDefault="00002E67" w:rsidP="00002E67">
      <w:pPr>
        <w:pStyle w:val="FootnoteText"/>
        <w:rPr>
          <w:rFonts w:ascii="Times New Roman" w:hAnsi="Times New Roman" w:cs="Times New Roman"/>
          <w:sz w:val="24"/>
          <w:szCs w:val="24"/>
        </w:rPr>
      </w:pPr>
      <w:r w:rsidRPr="00EE4F49">
        <w:rPr>
          <w:rStyle w:val="FootnoteReference"/>
          <w:rFonts w:ascii="Times New Roman" w:hAnsi="Times New Roman" w:cs="Times New Roman"/>
          <w:i/>
          <w:sz w:val="24"/>
          <w:szCs w:val="24"/>
        </w:rPr>
        <w:footnoteRef/>
      </w:r>
      <w:r w:rsidRPr="00EE4F49">
        <w:rPr>
          <w:rFonts w:ascii="Times New Roman" w:hAnsi="Times New Roman" w:cs="Times New Roman"/>
          <w:i/>
          <w:sz w:val="24"/>
          <w:szCs w:val="24"/>
        </w:rPr>
        <w:t xml:space="preserve"> FirstEnergy Order</w:t>
      </w:r>
      <w:r w:rsidRPr="00EE4F49">
        <w:rPr>
          <w:rFonts w:ascii="Times New Roman" w:hAnsi="Times New Roman" w:cs="Times New Roman"/>
          <w:sz w:val="24"/>
          <w:szCs w:val="24"/>
        </w:rPr>
        <w:t xml:space="preserve"> at 109.</w:t>
      </w:r>
    </w:p>
  </w:footnote>
  <w:footnote w:id="7">
    <w:p w:rsidR="00002E67" w:rsidRPr="00EE4F49" w:rsidRDefault="00002E67" w:rsidP="00002E67">
      <w:pPr>
        <w:pStyle w:val="FootnoteText"/>
        <w:rPr>
          <w:sz w:val="24"/>
          <w:szCs w:val="24"/>
        </w:rPr>
      </w:pPr>
      <w:r w:rsidRPr="00EE4F49">
        <w:rPr>
          <w:rStyle w:val="FootnoteReference"/>
          <w:rFonts w:ascii="Times New Roman" w:hAnsi="Times New Roman" w:cs="Times New Roman"/>
          <w:sz w:val="24"/>
          <w:szCs w:val="24"/>
        </w:rPr>
        <w:footnoteRef/>
      </w:r>
      <w:r w:rsidRPr="00EE4F49">
        <w:rPr>
          <w:rFonts w:ascii="Times New Roman" w:hAnsi="Times New Roman" w:cs="Times New Roman"/>
          <w:sz w:val="24"/>
          <w:szCs w:val="24"/>
        </w:rPr>
        <w:t xml:space="preserve"> </w:t>
      </w:r>
      <w:r w:rsidRPr="00EE4F49">
        <w:rPr>
          <w:rFonts w:ascii="Times New Roman" w:hAnsi="Times New Roman" w:cs="Times New Roman"/>
          <w:i/>
          <w:sz w:val="24"/>
          <w:szCs w:val="24"/>
        </w:rPr>
        <w:t>AEP Ohio Order</w:t>
      </w:r>
      <w:r w:rsidRPr="00EE4F49">
        <w:rPr>
          <w:rFonts w:ascii="Times New Roman" w:hAnsi="Times New Roman" w:cs="Times New Roman"/>
          <w:sz w:val="24"/>
          <w:szCs w:val="24"/>
        </w:rPr>
        <w:t xml:space="preserve"> at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EC" w:rsidRPr="007F11F2" w:rsidRDefault="00334580" w:rsidP="007F11F2">
    <w:pPr>
      <w:pStyle w:val="Header"/>
      <w:jc w:val="center"/>
      <w:rPr>
        <w:rFonts w:ascii="Arial" w:hAnsi="Arial" w:cs="Arial"/>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D7B"/>
    <w:multiLevelType w:val="hybridMultilevel"/>
    <w:tmpl w:val="B046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723"/>
    <w:multiLevelType w:val="hybridMultilevel"/>
    <w:tmpl w:val="7EE6AD5C"/>
    <w:lvl w:ilvl="0" w:tplc="49B64398">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62A97"/>
    <w:multiLevelType w:val="hybridMultilevel"/>
    <w:tmpl w:val="DBF6EFC8"/>
    <w:lvl w:ilvl="0" w:tplc="4AFE58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F183F"/>
    <w:multiLevelType w:val="hybridMultilevel"/>
    <w:tmpl w:val="7F902052"/>
    <w:lvl w:ilvl="0" w:tplc="2D8C9D5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3586D"/>
    <w:multiLevelType w:val="hybridMultilevel"/>
    <w:tmpl w:val="F0048F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86F5E"/>
    <w:multiLevelType w:val="hybridMultilevel"/>
    <w:tmpl w:val="CC4E61F6"/>
    <w:lvl w:ilvl="0" w:tplc="7EAAC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2B7"/>
    <w:multiLevelType w:val="hybridMultilevel"/>
    <w:tmpl w:val="37D20662"/>
    <w:lvl w:ilvl="0" w:tplc="BBBA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D740C"/>
    <w:multiLevelType w:val="hybridMultilevel"/>
    <w:tmpl w:val="F52C4C44"/>
    <w:lvl w:ilvl="0" w:tplc="61CE782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03FC"/>
    <w:multiLevelType w:val="hybridMultilevel"/>
    <w:tmpl w:val="226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921F6"/>
    <w:multiLevelType w:val="hybridMultilevel"/>
    <w:tmpl w:val="DA08FC4A"/>
    <w:lvl w:ilvl="0" w:tplc="727ED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648EB"/>
    <w:multiLevelType w:val="hybridMultilevel"/>
    <w:tmpl w:val="DA28BDC6"/>
    <w:lvl w:ilvl="0" w:tplc="DA767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5C1942"/>
    <w:multiLevelType w:val="hybridMultilevel"/>
    <w:tmpl w:val="52BA1B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E72F0"/>
    <w:multiLevelType w:val="hybridMultilevel"/>
    <w:tmpl w:val="6CF4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F5215"/>
    <w:multiLevelType w:val="hybridMultilevel"/>
    <w:tmpl w:val="641A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D6369"/>
    <w:multiLevelType w:val="hybridMultilevel"/>
    <w:tmpl w:val="2F3C69BC"/>
    <w:lvl w:ilvl="0" w:tplc="0EDA2C7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2DE5036"/>
    <w:multiLevelType w:val="hybridMultilevel"/>
    <w:tmpl w:val="8E827288"/>
    <w:lvl w:ilvl="0" w:tplc="661A7406">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24927"/>
    <w:multiLevelType w:val="hybridMultilevel"/>
    <w:tmpl w:val="49CEBA66"/>
    <w:lvl w:ilvl="0" w:tplc="83D059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D86751"/>
    <w:multiLevelType w:val="hybridMultilevel"/>
    <w:tmpl w:val="E9E83178"/>
    <w:lvl w:ilvl="0" w:tplc="28605DB2">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7"/>
  </w:num>
  <w:num w:numId="5">
    <w:abstractNumId w:val="17"/>
  </w:num>
  <w:num w:numId="6">
    <w:abstractNumId w:val="1"/>
  </w:num>
  <w:num w:numId="7">
    <w:abstractNumId w:val="10"/>
  </w:num>
  <w:num w:numId="8">
    <w:abstractNumId w:val="13"/>
  </w:num>
  <w:num w:numId="9">
    <w:abstractNumId w:val="3"/>
  </w:num>
  <w:num w:numId="10">
    <w:abstractNumId w:val="8"/>
  </w:num>
  <w:num w:numId="11">
    <w:abstractNumId w:val="11"/>
  </w:num>
  <w:num w:numId="12">
    <w:abstractNumId w:val="4"/>
  </w:num>
  <w:num w:numId="13">
    <w:abstractNumId w:val="12"/>
  </w:num>
  <w:num w:numId="14">
    <w:abstractNumId w:val="9"/>
  </w:num>
  <w:num w:numId="15">
    <w:abstractNumId w:val="6"/>
  </w:num>
  <w:num w:numId="16">
    <w:abstractNumId w:val="1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DA"/>
    <w:rsid w:val="00002E67"/>
    <w:rsid w:val="00003CE6"/>
    <w:rsid w:val="00017B93"/>
    <w:rsid w:val="00025B84"/>
    <w:rsid w:val="00026170"/>
    <w:rsid w:val="000355FA"/>
    <w:rsid w:val="00035AEA"/>
    <w:rsid w:val="00066802"/>
    <w:rsid w:val="00071FBE"/>
    <w:rsid w:val="00073192"/>
    <w:rsid w:val="00094CD7"/>
    <w:rsid w:val="000A4292"/>
    <w:rsid w:val="000B1E80"/>
    <w:rsid w:val="000B5B3A"/>
    <w:rsid w:val="000C474B"/>
    <w:rsid w:val="000D485F"/>
    <w:rsid w:val="000E094F"/>
    <w:rsid w:val="000E6AE4"/>
    <w:rsid w:val="000F1D39"/>
    <w:rsid w:val="000F4C9F"/>
    <w:rsid w:val="000F6CE6"/>
    <w:rsid w:val="001010A0"/>
    <w:rsid w:val="001112E7"/>
    <w:rsid w:val="00117DBF"/>
    <w:rsid w:val="0012217B"/>
    <w:rsid w:val="00123195"/>
    <w:rsid w:val="00131687"/>
    <w:rsid w:val="001345BF"/>
    <w:rsid w:val="00135B8B"/>
    <w:rsid w:val="0014746F"/>
    <w:rsid w:val="0015698E"/>
    <w:rsid w:val="0016238A"/>
    <w:rsid w:val="001635ED"/>
    <w:rsid w:val="001638E5"/>
    <w:rsid w:val="00163AA2"/>
    <w:rsid w:val="001777A0"/>
    <w:rsid w:val="00180768"/>
    <w:rsid w:val="00181C2A"/>
    <w:rsid w:val="00181E9A"/>
    <w:rsid w:val="001825AD"/>
    <w:rsid w:val="00183164"/>
    <w:rsid w:val="0018345F"/>
    <w:rsid w:val="0018564F"/>
    <w:rsid w:val="00187915"/>
    <w:rsid w:val="001905A1"/>
    <w:rsid w:val="00190AF2"/>
    <w:rsid w:val="00192889"/>
    <w:rsid w:val="00193634"/>
    <w:rsid w:val="0019379C"/>
    <w:rsid w:val="001956FC"/>
    <w:rsid w:val="001A1064"/>
    <w:rsid w:val="001A2688"/>
    <w:rsid w:val="001A2797"/>
    <w:rsid w:val="001C0597"/>
    <w:rsid w:val="001D0FFC"/>
    <w:rsid w:val="001D148F"/>
    <w:rsid w:val="001E5D77"/>
    <w:rsid w:val="001F2339"/>
    <w:rsid w:val="001F658E"/>
    <w:rsid w:val="00201B29"/>
    <w:rsid w:val="00205172"/>
    <w:rsid w:val="0021553D"/>
    <w:rsid w:val="00216A96"/>
    <w:rsid w:val="00217BA6"/>
    <w:rsid w:val="00217F14"/>
    <w:rsid w:val="00254B90"/>
    <w:rsid w:val="00260979"/>
    <w:rsid w:val="00264C2C"/>
    <w:rsid w:val="00270992"/>
    <w:rsid w:val="00275281"/>
    <w:rsid w:val="00277AAA"/>
    <w:rsid w:val="0028211B"/>
    <w:rsid w:val="00282C3B"/>
    <w:rsid w:val="00283CD6"/>
    <w:rsid w:val="002A330E"/>
    <w:rsid w:val="002A4868"/>
    <w:rsid w:val="002B61B4"/>
    <w:rsid w:val="002C066F"/>
    <w:rsid w:val="002F0005"/>
    <w:rsid w:val="00302740"/>
    <w:rsid w:val="0030311F"/>
    <w:rsid w:val="00304000"/>
    <w:rsid w:val="00304A19"/>
    <w:rsid w:val="0030514C"/>
    <w:rsid w:val="003057D4"/>
    <w:rsid w:val="00307AAB"/>
    <w:rsid w:val="00330CB3"/>
    <w:rsid w:val="003336FC"/>
    <w:rsid w:val="00334580"/>
    <w:rsid w:val="003419F9"/>
    <w:rsid w:val="00343944"/>
    <w:rsid w:val="003473E6"/>
    <w:rsid w:val="00351054"/>
    <w:rsid w:val="0035121B"/>
    <w:rsid w:val="00351E11"/>
    <w:rsid w:val="003633A5"/>
    <w:rsid w:val="003644B8"/>
    <w:rsid w:val="00365EEC"/>
    <w:rsid w:val="003664F3"/>
    <w:rsid w:val="00366ED1"/>
    <w:rsid w:val="00370F6F"/>
    <w:rsid w:val="0037105C"/>
    <w:rsid w:val="003716DB"/>
    <w:rsid w:val="00381AB3"/>
    <w:rsid w:val="00386AC2"/>
    <w:rsid w:val="00387C79"/>
    <w:rsid w:val="00394BEE"/>
    <w:rsid w:val="003966BC"/>
    <w:rsid w:val="00397C23"/>
    <w:rsid w:val="003A173A"/>
    <w:rsid w:val="003E2516"/>
    <w:rsid w:val="003F3C20"/>
    <w:rsid w:val="003F417C"/>
    <w:rsid w:val="003F71BC"/>
    <w:rsid w:val="003F7E98"/>
    <w:rsid w:val="00406397"/>
    <w:rsid w:val="004100DE"/>
    <w:rsid w:val="00410923"/>
    <w:rsid w:val="00411D5D"/>
    <w:rsid w:val="00423448"/>
    <w:rsid w:val="0043398B"/>
    <w:rsid w:val="00433D23"/>
    <w:rsid w:val="00434421"/>
    <w:rsid w:val="00434C7B"/>
    <w:rsid w:val="0043749B"/>
    <w:rsid w:val="00442473"/>
    <w:rsid w:val="00442958"/>
    <w:rsid w:val="00444298"/>
    <w:rsid w:val="004523CB"/>
    <w:rsid w:val="00457384"/>
    <w:rsid w:val="00460B3F"/>
    <w:rsid w:val="00471316"/>
    <w:rsid w:val="00471B57"/>
    <w:rsid w:val="00471CF9"/>
    <w:rsid w:val="00471F50"/>
    <w:rsid w:val="00475933"/>
    <w:rsid w:val="00477C13"/>
    <w:rsid w:val="00485C87"/>
    <w:rsid w:val="00490529"/>
    <w:rsid w:val="00494389"/>
    <w:rsid w:val="004A3829"/>
    <w:rsid w:val="004A4D51"/>
    <w:rsid w:val="004B0E17"/>
    <w:rsid w:val="004B20D9"/>
    <w:rsid w:val="004C4798"/>
    <w:rsid w:val="004C7C5A"/>
    <w:rsid w:val="004D1114"/>
    <w:rsid w:val="004D4566"/>
    <w:rsid w:val="004D70F9"/>
    <w:rsid w:val="004D713F"/>
    <w:rsid w:val="004E4426"/>
    <w:rsid w:val="004E46AF"/>
    <w:rsid w:val="004F2C7F"/>
    <w:rsid w:val="004F37CA"/>
    <w:rsid w:val="004F57B9"/>
    <w:rsid w:val="004F5B43"/>
    <w:rsid w:val="0050210F"/>
    <w:rsid w:val="00510108"/>
    <w:rsid w:val="0051433B"/>
    <w:rsid w:val="00521C77"/>
    <w:rsid w:val="005221B0"/>
    <w:rsid w:val="00522961"/>
    <w:rsid w:val="005244D4"/>
    <w:rsid w:val="00525FBD"/>
    <w:rsid w:val="005270F6"/>
    <w:rsid w:val="005454F6"/>
    <w:rsid w:val="00557FDA"/>
    <w:rsid w:val="0056241E"/>
    <w:rsid w:val="005630F1"/>
    <w:rsid w:val="00564EBC"/>
    <w:rsid w:val="00566026"/>
    <w:rsid w:val="00567AAF"/>
    <w:rsid w:val="00567EF9"/>
    <w:rsid w:val="00570043"/>
    <w:rsid w:val="00570980"/>
    <w:rsid w:val="00572393"/>
    <w:rsid w:val="0057339B"/>
    <w:rsid w:val="00573C57"/>
    <w:rsid w:val="0057495B"/>
    <w:rsid w:val="00582BA7"/>
    <w:rsid w:val="005918C3"/>
    <w:rsid w:val="005A01B6"/>
    <w:rsid w:val="005A1749"/>
    <w:rsid w:val="005A496A"/>
    <w:rsid w:val="005A772B"/>
    <w:rsid w:val="005A7DB5"/>
    <w:rsid w:val="005B1541"/>
    <w:rsid w:val="005B4915"/>
    <w:rsid w:val="005C4448"/>
    <w:rsid w:val="005D0A5B"/>
    <w:rsid w:val="005D4D8D"/>
    <w:rsid w:val="005D65E5"/>
    <w:rsid w:val="005E1CB2"/>
    <w:rsid w:val="005F1F42"/>
    <w:rsid w:val="005F36FD"/>
    <w:rsid w:val="00606C00"/>
    <w:rsid w:val="006075A7"/>
    <w:rsid w:val="00612A09"/>
    <w:rsid w:val="006161EE"/>
    <w:rsid w:val="006162DD"/>
    <w:rsid w:val="006179E9"/>
    <w:rsid w:val="0062249D"/>
    <w:rsid w:val="0062474B"/>
    <w:rsid w:val="006265E8"/>
    <w:rsid w:val="00633429"/>
    <w:rsid w:val="00644532"/>
    <w:rsid w:val="006460F0"/>
    <w:rsid w:val="00647137"/>
    <w:rsid w:val="00650A3C"/>
    <w:rsid w:val="0066011E"/>
    <w:rsid w:val="006607B8"/>
    <w:rsid w:val="006634FF"/>
    <w:rsid w:val="00664054"/>
    <w:rsid w:val="00672F4E"/>
    <w:rsid w:val="00684D79"/>
    <w:rsid w:val="00686388"/>
    <w:rsid w:val="00693BF9"/>
    <w:rsid w:val="00694BFB"/>
    <w:rsid w:val="006957EF"/>
    <w:rsid w:val="006A0F0C"/>
    <w:rsid w:val="006A2DCA"/>
    <w:rsid w:val="006A4CC6"/>
    <w:rsid w:val="006B43CA"/>
    <w:rsid w:val="006B5E5F"/>
    <w:rsid w:val="006C57D9"/>
    <w:rsid w:val="006D076D"/>
    <w:rsid w:val="006D2D81"/>
    <w:rsid w:val="006E0784"/>
    <w:rsid w:val="006F23BD"/>
    <w:rsid w:val="006F7FEF"/>
    <w:rsid w:val="0070446F"/>
    <w:rsid w:val="00705BDE"/>
    <w:rsid w:val="0071217D"/>
    <w:rsid w:val="007203A7"/>
    <w:rsid w:val="00730281"/>
    <w:rsid w:val="00735E3E"/>
    <w:rsid w:val="00736FBF"/>
    <w:rsid w:val="00745528"/>
    <w:rsid w:val="00754F43"/>
    <w:rsid w:val="007601FE"/>
    <w:rsid w:val="00761DA7"/>
    <w:rsid w:val="00765E23"/>
    <w:rsid w:val="00773CA9"/>
    <w:rsid w:val="00783727"/>
    <w:rsid w:val="00786B6E"/>
    <w:rsid w:val="0079349D"/>
    <w:rsid w:val="007A08C0"/>
    <w:rsid w:val="007A1179"/>
    <w:rsid w:val="007A296E"/>
    <w:rsid w:val="007A416C"/>
    <w:rsid w:val="007A6081"/>
    <w:rsid w:val="007C163A"/>
    <w:rsid w:val="007C3049"/>
    <w:rsid w:val="007C3F42"/>
    <w:rsid w:val="007C4FCF"/>
    <w:rsid w:val="007D7385"/>
    <w:rsid w:val="007E36CC"/>
    <w:rsid w:val="007E5EF9"/>
    <w:rsid w:val="007E6E11"/>
    <w:rsid w:val="007F3645"/>
    <w:rsid w:val="008013B8"/>
    <w:rsid w:val="00806BE4"/>
    <w:rsid w:val="008105AC"/>
    <w:rsid w:val="00823074"/>
    <w:rsid w:val="00824637"/>
    <w:rsid w:val="00835CB2"/>
    <w:rsid w:val="00837135"/>
    <w:rsid w:val="0083779B"/>
    <w:rsid w:val="00837D38"/>
    <w:rsid w:val="0084322F"/>
    <w:rsid w:val="0084348C"/>
    <w:rsid w:val="008439D1"/>
    <w:rsid w:val="008444A1"/>
    <w:rsid w:val="008474BF"/>
    <w:rsid w:val="00852DDA"/>
    <w:rsid w:val="008560E8"/>
    <w:rsid w:val="00875503"/>
    <w:rsid w:val="008759CC"/>
    <w:rsid w:val="00880D65"/>
    <w:rsid w:val="00882951"/>
    <w:rsid w:val="008857D0"/>
    <w:rsid w:val="00892383"/>
    <w:rsid w:val="00894654"/>
    <w:rsid w:val="008955E3"/>
    <w:rsid w:val="008A286A"/>
    <w:rsid w:val="008B099B"/>
    <w:rsid w:val="008B11DB"/>
    <w:rsid w:val="008B65B8"/>
    <w:rsid w:val="008C1EA2"/>
    <w:rsid w:val="008C28D7"/>
    <w:rsid w:val="008C4B6F"/>
    <w:rsid w:val="008C6EE3"/>
    <w:rsid w:val="008D530F"/>
    <w:rsid w:val="008D5832"/>
    <w:rsid w:val="008D59D5"/>
    <w:rsid w:val="008D6961"/>
    <w:rsid w:val="008E036B"/>
    <w:rsid w:val="008E1CAF"/>
    <w:rsid w:val="008E2FDC"/>
    <w:rsid w:val="008E5867"/>
    <w:rsid w:val="008E761F"/>
    <w:rsid w:val="008E77F5"/>
    <w:rsid w:val="0090316F"/>
    <w:rsid w:val="00905062"/>
    <w:rsid w:val="00911268"/>
    <w:rsid w:val="0091602A"/>
    <w:rsid w:val="00920E70"/>
    <w:rsid w:val="00921765"/>
    <w:rsid w:val="009246E3"/>
    <w:rsid w:val="00924ED5"/>
    <w:rsid w:val="00925B91"/>
    <w:rsid w:val="00927804"/>
    <w:rsid w:val="00930A37"/>
    <w:rsid w:val="00931A58"/>
    <w:rsid w:val="00936A6A"/>
    <w:rsid w:val="00940D5D"/>
    <w:rsid w:val="00951FAA"/>
    <w:rsid w:val="009532AD"/>
    <w:rsid w:val="00956983"/>
    <w:rsid w:val="0096029C"/>
    <w:rsid w:val="00964452"/>
    <w:rsid w:val="009645DA"/>
    <w:rsid w:val="00975E6B"/>
    <w:rsid w:val="0098328A"/>
    <w:rsid w:val="00992380"/>
    <w:rsid w:val="009A0117"/>
    <w:rsid w:val="009A6072"/>
    <w:rsid w:val="009A6662"/>
    <w:rsid w:val="009B0AE5"/>
    <w:rsid w:val="009B479D"/>
    <w:rsid w:val="009C0BE4"/>
    <w:rsid w:val="009C4B1F"/>
    <w:rsid w:val="009C7D2E"/>
    <w:rsid w:val="009D3CC5"/>
    <w:rsid w:val="009E4576"/>
    <w:rsid w:val="009F15DD"/>
    <w:rsid w:val="009F3F9F"/>
    <w:rsid w:val="009F7BE4"/>
    <w:rsid w:val="00A0422A"/>
    <w:rsid w:val="00A04AF1"/>
    <w:rsid w:val="00A05415"/>
    <w:rsid w:val="00A074B7"/>
    <w:rsid w:val="00A1009D"/>
    <w:rsid w:val="00A149D9"/>
    <w:rsid w:val="00A172D8"/>
    <w:rsid w:val="00A302A5"/>
    <w:rsid w:val="00A30D85"/>
    <w:rsid w:val="00A36EC8"/>
    <w:rsid w:val="00A36EFA"/>
    <w:rsid w:val="00A4234A"/>
    <w:rsid w:val="00A523CA"/>
    <w:rsid w:val="00A54396"/>
    <w:rsid w:val="00A65956"/>
    <w:rsid w:val="00A82069"/>
    <w:rsid w:val="00A82B4D"/>
    <w:rsid w:val="00A834B9"/>
    <w:rsid w:val="00A83670"/>
    <w:rsid w:val="00A87431"/>
    <w:rsid w:val="00A9030C"/>
    <w:rsid w:val="00A9066D"/>
    <w:rsid w:val="00A9119F"/>
    <w:rsid w:val="00AA0E75"/>
    <w:rsid w:val="00AB43F5"/>
    <w:rsid w:val="00AD3BE3"/>
    <w:rsid w:val="00AF7675"/>
    <w:rsid w:val="00B01B17"/>
    <w:rsid w:val="00B02030"/>
    <w:rsid w:val="00B12C44"/>
    <w:rsid w:val="00B13D0F"/>
    <w:rsid w:val="00B1432B"/>
    <w:rsid w:val="00B25372"/>
    <w:rsid w:val="00B30232"/>
    <w:rsid w:val="00B35349"/>
    <w:rsid w:val="00B41E2F"/>
    <w:rsid w:val="00B42147"/>
    <w:rsid w:val="00B4314C"/>
    <w:rsid w:val="00B50C04"/>
    <w:rsid w:val="00B55588"/>
    <w:rsid w:val="00B56341"/>
    <w:rsid w:val="00B72890"/>
    <w:rsid w:val="00B761B7"/>
    <w:rsid w:val="00B77513"/>
    <w:rsid w:val="00B81092"/>
    <w:rsid w:val="00B860BB"/>
    <w:rsid w:val="00B94CBE"/>
    <w:rsid w:val="00BA0A0A"/>
    <w:rsid w:val="00BA1396"/>
    <w:rsid w:val="00BA18E6"/>
    <w:rsid w:val="00BA45E2"/>
    <w:rsid w:val="00BA6EB6"/>
    <w:rsid w:val="00BA7CA5"/>
    <w:rsid w:val="00BB062C"/>
    <w:rsid w:val="00BC7818"/>
    <w:rsid w:val="00BD06FD"/>
    <w:rsid w:val="00BD19E2"/>
    <w:rsid w:val="00BF24C7"/>
    <w:rsid w:val="00BF3DE9"/>
    <w:rsid w:val="00C01D86"/>
    <w:rsid w:val="00C01FE3"/>
    <w:rsid w:val="00C041E0"/>
    <w:rsid w:val="00C10688"/>
    <w:rsid w:val="00C12466"/>
    <w:rsid w:val="00C20421"/>
    <w:rsid w:val="00C21588"/>
    <w:rsid w:val="00C21EC5"/>
    <w:rsid w:val="00C27FE7"/>
    <w:rsid w:val="00C32196"/>
    <w:rsid w:val="00C33267"/>
    <w:rsid w:val="00C43A3E"/>
    <w:rsid w:val="00C45323"/>
    <w:rsid w:val="00C50142"/>
    <w:rsid w:val="00C57AB4"/>
    <w:rsid w:val="00C61899"/>
    <w:rsid w:val="00C64F89"/>
    <w:rsid w:val="00C67C22"/>
    <w:rsid w:val="00C71A75"/>
    <w:rsid w:val="00C7390B"/>
    <w:rsid w:val="00C75991"/>
    <w:rsid w:val="00CA19B4"/>
    <w:rsid w:val="00CA79F8"/>
    <w:rsid w:val="00CB4F17"/>
    <w:rsid w:val="00CC61AF"/>
    <w:rsid w:val="00CD4334"/>
    <w:rsid w:val="00CD4EA7"/>
    <w:rsid w:val="00CE4C65"/>
    <w:rsid w:val="00CE7D7F"/>
    <w:rsid w:val="00CF26FC"/>
    <w:rsid w:val="00D03074"/>
    <w:rsid w:val="00D0339F"/>
    <w:rsid w:val="00D0358B"/>
    <w:rsid w:val="00D10346"/>
    <w:rsid w:val="00D217D9"/>
    <w:rsid w:val="00D21C06"/>
    <w:rsid w:val="00D330DA"/>
    <w:rsid w:val="00D34690"/>
    <w:rsid w:val="00D43CE3"/>
    <w:rsid w:val="00D44335"/>
    <w:rsid w:val="00D511E5"/>
    <w:rsid w:val="00D51362"/>
    <w:rsid w:val="00D54B33"/>
    <w:rsid w:val="00D57391"/>
    <w:rsid w:val="00D6457C"/>
    <w:rsid w:val="00D65310"/>
    <w:rsid w:val="00D6720A"/>
    <w:rsid w:val="00D72F5B"/>
    <w:rsid w:val="00D80C6E"/>
    <w:rsid w:val="00D84D35"/>
    <w:rsid w:val="00D873BC"/>
    <w:rsid w:val="00D87778"/>
    <w:rsid w:val="00D9184A"/>
    <w:rsid w:val="00D958C6"/>
    <w:rsid w:val="00DA44CE"/>
    <w:rsid w:val="00DA4D27"/>
    <w:rsid w:val="00DA6206"/>
    <w:rsid w:val="00DB0E9D"/>
    <w:rsid w:val="00DC0178"/>
    <w:rsid w:val="00DC03FA"/>
    <w:rsid w:val="00DD19ED"/>
    <w:rsid w:val="00E0003F"/>
    <w:rsid w:val="00E002EE"/>
    <w:rsid w:val="00E02885"/>
    <w:rsid w:val="00E033FB"/>
    <w:rsid w:val="00E11356"/>
    <w:rsid w:val="00E12B13"/>
    <w:rsid w:val="00E146FD"/>
    <w:rsid w:val="00E30AA3"/>
    <w:rsid w:val="00E44386"/>
    <w:rsid w:val="00E4780A"/>
    <w:rsid w:val="00E500A9"/>
    <w:rsid w:val="00E746B8"/>
    <w:rsid w:val="00E75453"/>
    <w:rsid w:val="00E9336B"/>
    <w:rsid w:val="00E94A8E"/>
    <w:rsid w:val="00E95CD4"/>
    <w:rsid w:val="00EA24C6"/>
    <w:rsid w:val="00EA6485"/>
    <w:rsid w:val="00EB0F65"/>
    <w:rsid w:val="00EB6A27"/>
    <w:rsid w:val="00EB73C0"/>
    <w:rsid w:val="00ED05DE"/>
    <w:rsid w:val="00ED24F9"/>
    <w:rsid w:val="00ED42EE"/>
    <w:rsid w:val="00EE2C00"/>
    <w:rsid w:val="00EE46FE"/>
    <w:rsid w:val="00EE4F49"/>
    <w:rsid w:val="00EE5590"/>
    <w:rsid w:val="00EF1986"/>
    <w:rsid w:val="00EF22ED"/>
    <w:rsid w:val="00EF6AE9"/>
    <w:rsid w:val="00F14C40"/>
    <w:rsid w:val="00F158B7"/>
    <w:rsid w:val="00F17C4D"/>
    <w:rsid w:val="00F20F23"/>
    <w:rsid w:val="00F2420A"/>
    <w:rsid w:val="00F246A8"/>
    <w:rsid w:val="00F40131"/>
    <w:rsid w:val="00F50BB8"/>
    <w:rsid w:val="00F5283A"/>
    <w:rsid w:val="00F60E51"/>
    <w:rsid w:val="00F72EC9"/>
    <w:rsid w:val="00F74948"/>
    <w:rsid w:val="00F76683"/>
    <w:rsid w:val="00F94295"/>
    <w:rsid w:val="00FA1C4B"/>
    <w:rsid w:val="00FA65FA"/>
    <w:rsid w:val="00FA7AF8"/>
    <w:rsid w:val="00FB1642"/>
    <w:rsid w:val="00FB6E2C"/>
    <w:rsid w:val="00FD1C7A"/>
    <w:rsid w:val="00FD1DA2"/>
    <w:rsid w:val="00FF04D0"/>
    <w:rsid w:val="00FF115C"/>
    <w:rsid w:val="00FF5771"/>
    <w:rsid w:val="00FF78C0"/>
    <w:rsid w:val="00FF7A3D"/>
    <w:rsid w:val="00FF7D8E"/>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ADDB69-554B-420D-A551-31701AE3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9F"/>
  </w:style>
  <w:style w:type="paragraph" w:styleId="Footer">
    <w:name w:val="footer"/>
    <w:basedOn w:val="Normal"/>
    <w:link w:val="FooterChar"/>
    <w:uiPriority w:val="99"/>
    <w:unhideWhenUsed/>
    <w:rsid w:val="000F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9F"/>
  </w:style>
  <w:style w:type="paragraph" w:styleId="ListParagraph">
    <w:name w:val="List Paragraph"/>
    <w:basedOn w:val="Normal"/>
    <w:uiPriority w:val="34"/>
    <w:qFormat/>
    <w:rsid w:val="00F74948"/>
    <w:pPr>
      <w:ind w:left="720"/>
      <w:contextualSpacing/>
    </w:pPr>
  </w:style>
  <w:style w:type="paragraph" w:styleId="BalloonText">
    <w:name w:val="Balloon Text"/>
    <w:basedOn w:val="Normal"/>
    <w:link w:val="BalloonTextChar"/>
    <w:uiPriority w:val="99"/>
    <w:semiHidden/>
    <w:unhideWhenUsed/>
    <w:rsid w:val="0067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4E"/>
    <w:rPr>
      <w:rFonts w:ascii="Tahoma" w:hAnsi="Tahoma" w:cs="Tahoma"/>
      <w:sz w:val="16"/>
      <w:szCs w:val="16"/>
    </w:rPr>
  </w:style>
  <w:style w:type="paragraph" w:styleId="FootnoteText">
    <w:name w:val="footnote text"/>
    <w:basedOn w:val="Normal"/>
    <w:link w:val="FootnoteTextChar"/>
    <w:uiPriority w:val="99"/>
    <w:semiHidden/>
    <w:unhideWhenUsed/>
    <w:rsid w:val="00510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108"/>
    <w:rPr>
      <w:sz w:val="20"/>
      <w:szCs w:val="20"/>
    </w:rPr>
  </w:style>
  <w:style w:type="character" w:styleId="FootnoteReference">
    <w:name w:val="footnote reference"/>
    <w:basedOn w:val="DefaultParagraphFont"/>
    <w:uiPriority w:val="99"/>
    <w:semiHidden/>
    <w:unhideWhenUsed/>
    <w:rsid w:val="00510108"/>
    <w:rPr>
      <w:vertAlign w:val="superscript"/>
    </w:rPr>
  </w:style>
  <w:style w:type="character" w:styleId="CommentReference">
    <w:name w:val="annotation reference"/>
    <w:basedOn w:val="DefaultParagraphFont"/>
    <w:uiPriority w:val="99"/>
    <w:semiHidden/>
    <w:unhideWhenUsed/>
    <w:rsid w:val="00572393"/>
    <w:rPr>
      <w:sz w:val="16"/>
      <w:szCs w:val="16"/>
    </w:rPr>
  </w:style>
  <w:style w:type="paragraph" w:styleId="CommentText">
    <w:name w:val="annotation text"/>
    <w:basedOn w:val="Normal"/>
    <w:link w:val="CommentTextChar"/>
    <w:uiPriority w:val="99"/>
    <w:semiHidden/>
    <w:unhideWhenUsed/>
    <w:rsid w:val="00572393"/>
    <w:pPr>
      <w:spacing w:line="240" w:lineRule="auto"/>
    </w:pPr>
    <w:rPr>
      <w:sz w:val="20"/>
      <w:szCs w:val="20"/>
    </w:rPr>
  </w:style>
  <w:style w:type="character" w:customStyle="1" w:styleId="CommentTextChar">
    <w:name w:val="Comment Text Char"/>
    <w:basedOn w:val="DefaultParagraphFont"/>
    <w:link w:val="CommentText"/>
    <w:uiPriority w:val="99"/>
    <w:semiHidden/>
    <w:rsid w:val="00572393"/>
    <w:rPr>
      <w:sz w:val="20"/>
      <w:szCs w:val="20"/>
    </w:rPr>
  </w:style>
  <w:style w:type="paragraph" w:styleId="CommentSubject">
    <w:name w:val="annotation subject"/>
    <w:basedOn w:val="CommentText"/>
    <w:next w:val="CommentText"/>
    <w:link w:val="CommentSubjectChar"/>
    <w:uiPriority w:val="99"/>
    <w:semiHidden/>
    <w:unhideWhenUsed/>
    <w:rsid w:val="00572393"/>
    <w:rPr>
      <w:b/>
      <w:bCs/>
    </w:rPr>
  </w:style>
  <w:style w:type="character" w:customStyle="1" w:styleId="CommentSubjectChar">
    <w:name w:val="Comment Subject Char"/>
    <w:basedOn w:val="CommentTextChar"/>
    <w:link w:val="CommentSubject"/>
    <w:uiPriority w:val="99"/>
    <w:semiHidden/>
    <w:rsid w:val="00572393"/>
    <w:rPr>
      <w:b/>
      <w:bCs/>
      <w:sz w:val="20"/>
      <w:szCs w:val="20"/>
    </w:rPr>
  </w:style>
  <w:style w:type="character" w:customStyle="1" w:styleId="st1">
    <w:name w:val="st1"/>
    <w:basedOn w:val="DefaultParagraphFont"/>
    <w:rsid w:val="009B479D"/>
  </w:style>
  <w:style w:type="character" w:styleId="Hyperlink">
    <w:name w:val="Hyperlink"/>
    <w:uiPriority w:val="99"/>
    <w:unhideWhenUsed/>
    <w:rsid w:val="00557FDA"/>
    <w:rPr>
      <w:color w:val="0000FF"/>
      <w:u w:val="single"/>
    </w:rPr>
  </w:style>
  <w:style w:type="table" w:styleId="TableGrid">
    <w:name w:val="Table Grid"/>
    <w:basedOn w:val="TableNormal"/>
    <w:uiPriority w:val="59"/>
    <w:rsid w:val="00EE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0600">
      <w:bodyDiv w:val="1"/>
      <w:marLeft w:val="0"/>
      <w:marRight w:val="0"/>
      <w:marTop w:val="0"/>
      <w:marBottom w:val="0"/>
      <w:divBdr>
        <w:top w:val="none" w:sz="0" w:space="0" w:color="auto"/>
        <w:left w:val="none" w:sz="0" w:space="0" w:color="auto"/>
        <w:bottom w:val="none" w:sz="0" w:space="0" w:color="auto"/>
        <w:right w:val="none" w:sz="0" w:space="0" w:color="auto"/>
      </w:divBdr>
      <w:divsChild>
        <w:div w:id="2103062513">
          <w:marLeft w:val="0"/>
          <w:marRight w:val="0"/>
          <w:marTop w:val="0"/>
          <w:marBottom w:val="0"/>
          <w:divBdr>
            <w:top w:val="none" w:sz="0" w:space="0" w:color="auto"/>
            <w:left w:val="none" w:sz="0" w:space="0" w:color="auto"/>
            <w:bottom w:val="none" w:sz="0" w:space="0" w:color="auto"/>
            <w:right w:val="none" w:sz="0" w:space="0" w:color="auto"/>
          </w:divBdr>
          <w:divsChild>
            <w:div w:id="1480265956">
              <w:marLeft w:val="0"/>
              <w:marRight w:val="0"/>
              <w:marTop w:val="0"/>
              <w:marBottom w:val="0"/>
              <w:divBdr>
                <w:top w:val="none" w:sz="0" w:space="0" w:color="auto"/>
                <w:left w:val="none" w:sz="0" w:space="0" w:color="auto"/>
                <w:bottom w:val="none" w:sz="0" w:space="0" w:color="auto"/>
                <w:right w:val="none" w:sz="0" w:space="0" w:color="auto"/>
              </w:divBdr>
              <w:divsChild>
                <w:div w:id="1113282268">
                  <w:marLeft w:val="0"/>
                  <w:marRight w:val="0"/>
                  <w:marTop w:val="0"/>
                  <w:marBottom w:val="0"/>
                  <w:divBdr>
                    <w:top w:val="none" w:sz="0" w:space="0" w:color="auto"/>
                    <w:left w:val="none" w:sz="0" w:space="0" w:color="auto"/>
                    <w:bottom w:val="none" w:sz="0" w:space="0" w:color="auto"/>
                    <w:right w:val="none" w:sz="0" w:space="0" w:color="auto"/>
                  </w:divBdr>
                  <w:divsChild>
                    <w:div w:id="1698701876">
                      <w:marLeft w:val="0"/>
                      <w:marRight w:val="0"/>
                      <w:marTop w:val="0"/>
                      <w:marBottom w:val="0"/>
                      <w:divBdr>
                        <w:top w:val="none" w:sz="0" w:space="0" w:color="auto"/>
                        <w:left w:val="none" w:sz="0" w:space="0" w:color="auto"/>
                        <w:bottom w:val="none" w:sz="0" w:space="0" w:color="auto"/>
                        <w:right w:val="none" w:sz="0" w:space="0" w:color="auto"/>
                      </w:divBdr>
                      <w:divsChild>
                        <w:div w:id="1028918859">
                          <w:marLeft w:val="0"/>
                          <w:marRight w:val="0"/>
                          <w:marTop w:val="0"/>
                          <w:marBottom w:val="0"/>
                          <w:divBdr>
                            <w:top w:val="none" w:sz="0" w:space="0" w:color="auto"/>
                            <w:left w:val="none" w:sz="0" w:space="0" w:color="auto"/>
                            <w:bottom w:val="none" w:sz="0" w:space="0" w:color="auto"/>
                            <w:right w:val="none" w:sz="0" w:space="0" w:color="auto"/>
                          </w:divBdr>
                          <w:divsChild>
                            <w:div w:id="662466259">
                              <w:marLeft w:val="0"/>
                              <w:marRight w:val="0"/>
                              <w:marTop w:val="0"/>
                              <w:marBottom w:val="0"/>
                              <w:divBdr>
                                <w:top w:val="none" w:sz="0" w:space="0" w:color="auto"/>
                                <w:left w:val="none" w:sz="0" w:space="0" w:color="auto"/>
                                <w:bottom w:val="none" w:sz="0" w:space="0" w:color="auto"/>
                                <w:right w:val="none" w:sz="0" w:space="0" w:color="auto"/>
                              </w:divBdr>
                              <w:divsChild>
                                <w:div w:id="691347382">
                                  <w:marLeft w:val="0"/>
                                  <w:marRight w:val="0"/>
                                  <w:marTop w:val="0"/>
                                  <w:marBottom w:val="0"/>
                                  <w:divBdr>
                                    <w:top w:val="none" w:sz="0" w:space="0" w:color="auto"/>
                                    <w:left w:val="none" w:sz="0" w:space="0" w:color="auto"/>
                                    <w:bottom w:val="none" w:sz="0" w:space="0" w:color="auto"/>
                                    <w:right w:val="none" w:sz="0" w:space="0" w:color="auto"/>
                                  </w:divBdr>
                                  <w:divsChild>
                                    <w:div w:id="1958827629">
                                      <w:marLeft w:val="0"/>
                                      <w:marRight w:val="0"/>
                                      <w:marTop w:val="0"/>
                                      <w:marBottom w:val="0"/>
                                      <w:divBdr>
                                        <w:top w:val="none" w:sz="0" w:space="0" w:color="auto"/>
                                        <w:left w:val="none" w:sz="0" w:space="0" w:color="auto"/>
                                        <w:bottom w:val="none" w:sz="0" w:space="0" w:color="auto"/>
                                        <w:right w:val="none" w:sz="0" w:space="0" w:color="auto"/>
                                      </w:divBdr>
                                      <w:divsChild>
                                        <w:div w:id="336659326">
                                          <w:marLeft w:val="0"/>
                                          <w:marRight w:val="0"/>
                                          <w:marTop w:val="0"/>
                                          <w:marBottom w:val="0"/>
                                          <w:divBdr>
                                            <w:top w:val="none" w:sz="0" w:space="0" w:color="auto"/>
                                            <w:left w:val="none" w:sz="0" w:space="0" w:color="auto"/>
                                            <w:bottom w:val="none" w:sz="0" w:space="0" w:color="auto"/>
                                            <w:right w:val="none" w:sz="0" w:space="0" w:color="auto"/>
                                          </w:divBdr>
                                          <w:divsChild>
                                            <w:div w:id="1230459974">
                                              <w:marLeft w:val="0"/>
                                              <w:marRight w:val="0"/>
                                              <w:marTop w:val="0"/>
                                              <w:marBottom w:val="0"/>
                                              <w:divBdr>
                                                <w:top w:val="none" w:sz="0" w:space="0" w:color="auto"/>
                                                <w:left w:val="none" w:sz="0" w:space="0" w:color="auto"/>
                                                <w:bottom w:val="none" w:sz="0" w:space="0" w:color="auto"/>
                                                <w:right w:val="none" w:sz="0" w:space="0" w:color="auto"/>
                                              </w:divBdr>
                                              <w:divsChild>
                                                <w:div w:id="2064675746">
                                                  <w:marLeft w:val="0"/>
                                                  <w:marRight w:val="0"/>
                                                  <w:marTop w:val="0"/>
                                                  <w:marBottom w:val="0"/>
                                                  <w:divBdr>
                                                    <w:top w:val="none" w:sz="0" w:space="0" w:color="auto"/>
                                                    <w:left w:val="none" w:sz="0" w:space="0" w:color="auto"/>
                                                    <w:bottom w:val="none" w:sz="0" w:space="0" w:color="auto"/>
                                                    <w:right w:val="none" w:sz="0" w:space="0" w:color="auto"/>
                                                  </w:divBdr>
                                                  <w:divsChild>
                                                    <w:div w:id="1741055897">
                                                      <w:marLeft w:val="0"/>
                                                      <w:marRight w:val="0"/>
                                                      <w:marTop w:val="0"/>
                                                      <w:marBottom w:val="0"/>
                                                      <w:divBdr>
                                                        <w:top w:val="none" w:sz="0" w:space="0" w:color="auto"/>
                                                        <w:left w:val="none" w:sz="0" w:space="0" w:color="auto"/>
                                                        <w:bottom w:val="none" w:sz="0" w:space="0" w:color="auto"/>
                                                        <w:right w:val="none" w:sz="0" w:space="0" w:color="auto"/>
                                                      </w:divBdr>
                                                      <w:divsChild>
                                                        <w:div w:id="1733577923">
                                                          <w:marLeft w:val="0"/>
                                                          <w:marRight w:val="0"/>
                                                          <w:marTop w:val="0"/>
                                                          <w:marBottom w:val="0"/>
                                                          <w:divBdr>
                                                            <w:top w:val="none" w:sz="0" w:space="0" w:color="auto"/>
                                                            <w:left w:val="none" w:sz="0" w:space="0" w:color="auto"/>
                                                            <w:bottom w:val="none" w:sz="0" w:space="0" w:color="auto"/>
                                                            <w:right w:val="none" w:sz="0" w:space="0" w:color="auto"/>
                                                          </w:divBdr>
                                                          <w:divsChild>
                                                            <w:div w:id="1084648421">
                                                              <w:marLeft w:val="0"/>
                                                              <w:marRight w:val="0"/>
                                                              <w:marTop w:val="0"/>
                                                              <w:marBottom w:val="0"/>
                                                              <w:divBdr>
                                                                <w:top w:val="none" w:sz="0" w:space="0" w:color="auto"/>
                                                                <w:left w:val="none" w:sz="0" w:space="0" w:color="auto"/>
                                                                <w:bottom w:val="none" w:sz="0" w:space="0" w:color="auto"/>
                                                                <w:right w:val="none" w:sz="0" w:space="0" w:color="auto"/>
                                                              </w:divBdr>
                                                              <w:divsChild>
                                                                <w:div w:id="2126845391">
                                                                  <w:marLeft w:val="0"/>
                                                                  <w:marRight w:val="0"/>
                                                                  <w:marTop w:val="0"/>
                                                                  <w:marBottom w:val="0"/>
                                                                  <w:divBdr>
                                                                    <w:top w:val="none" w:sz="0" w:space="0" w:color="auto"/>
                                                                    <w:left w:val="none" w:sz="0" w:space="0" w:color="auto"/>
                                                                    <w:bottom w:val="none" w:sz="0" w:space="0" w:color="auto"/>
                                                                    <w:right w:val="none" w:sz="0" w:space="0" w:color="auto"/>
                                                                  </w:divBdr>
                                                                  <w:divsChild>
                                                                    <w:div w:id="1916430840">
                                                                      <w:marLeft w:val="0"/>
                                                                      <w:marRight w:val="0"/>
                                                                      <w:marTop w:val="0"/>
                                                                      <w:marBottom w:val="0"/>
                                                                      <w:divBdr>
                                                                        <w:top w:val="none" w:sz="0" w:space="0" w:color="auto"/>
                                                                        <w:left w:val="none" w:sz="0" w:space="0" w:color="auto"/>
                                                                        <w:bottom w:val="none" w:sz="0" w:space="0" w:color="auto"/>
                                                                        <w:right w:val="none" w:sz="0" w:space="0" w:color="auto"/>
                                                                      </w:divBdr>
                                                                      <w:divsChild>
                                                                        <w:div w:id="1743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A0B4-A1E0-4155-804F-3587E20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Gebolys, Debra</dc:creator>
  <cp:lastModifiedBy>Keeton, Kim</cp:lastModifiedBy>
  <cp:revision>2</cp:revision>
  <cp:lastPrinted>2016-04-11T19:05:00Z</cp:lastPrinted>
  <dcterms:created xsi:type="dcterms:W3CDTF">2016-04-12T12:06:00Z</dcterms:created>
  <dcterms:modified xsi:type="dcterms:W3CDTF">2016-04-12T12:06:00Z</dcterms:modified>
</cp:coreProperties>
</file>