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7D316" w14:textId="14D520B5" w:rsidR="00553D9A" w:rsidRPr="00104013" w:rsidRDefault="00553D9A" w:rsidP="00553D9A">
      <w:pPr>
        <w:autoSpaceDE w:val="0"/>
        <w:autoSpaceDN w:val="0"/>
        <w:adjustRightInd w:val="0"/>
        <w:spacing w:after="0" w:line="240" w:lineRule="auto"/>
        <w:jc w:val="center"/>
        <w:rPr>
          <w:b/>
        </w:rPr>
      </w:pPr>
      <w:bookmarkStart w:id="0" w:name="_GoBack"/>
      <w:bookmarkEnd w:id="0"/>
      <w:r>
        <w:rPr>
          <w:b/>
        </w:rPr>
        <w:t>B</w:t>
      </w:r>
      <w:r w:rsidRPr="00104013">
        <w:rPr>
          <w:b/>
        </w:rPr>
        <w:t xml:space="preserve">EFORE </w:t>
      </w:r>
    </w:p>
    <w:p w14:paraId="42B9C69D" w14:textId="77777777" w:rsidR="00553D9A" w:rsidRPr="00104013" w:rsidRDefault="00553D9A" w:rsidP="00553D9A">
      <w:pPr>
        <w:autoSpaceDE w:val="0"/>
        <w:autoSpaceDN w:val="0"/>
        <w:adjustRightInd w:val="0"/>
        <w:spacing w:after="0" w:line="240" w:lineRule="auto"/>
        <w:jc w:val="center"/>
        <w:rPr>
          <w:b/>
        </w:rPr>
      </w:pPr>
      <w:r w:rsidRPr="00104013">
        <w:rPr>
          <w:b/>
        </w:rPr>
        <w:t>THE PUBLIC UTILITIES COMMISSION OF OHIO</w:t>
      </w:r>
    </w:p>
    <w:p w14:paraId="6C0543C8" w14:textId="77777777" w:rsidR="00553D9A" w:rsidRPr="00104013" w:rsidRDefault="00553D9A" w:rsidP="00553D9A">
      <w:pPr>
        <w:autoSpaceDE w:val="0"/>
        <w:autoSpaceDN w:val="0"/>
        <w:adjustRightInd w:val="0"/>
        <w:spacing w:after="0" w:line="240" w:lineRule="auto"/>
        <w:ind w:left="14" w:right="-14"/>
        <w:jc w:val="center"/>
        <w:rPr>
          <w:b/>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282"/>
        <w:gridCol w:w="4230"/>
      </w:tblGrid>
      <w:tr w:rsidR="00553D9A" w:rsidRPr="00104013" w14:paraId="32040D26" w14:textId="77777777" w:rsidTr="00043139">
        <w:trPr>
          <w:trHeight w:val="2493"/>
        </w:trPr>
        <w:tc>
          <w:tcPr>
            <w:tcW w:w="4330" w:type="dxa"/>
          </w:tcPr>
          <w:p w14:paraId="21064C30" w14:textId="77777777" w:rsidR="00553D9A" w:rsidRPr="00104013" w:rsidRDefault="00553D9A" w:rsidP="00043139">
            <w:pPr>
              <w:autoSpaceDE w:val="0"/>
              <w:autoSpaceDN w:val="0"/>
              <w:adjustRightInd w:val="0"/>
            </w:pPr>
            <w:r w:rsidRPr="00104013">
              <w:t xml:space="preserve">The Office of the Ohio Consumers’ Counsel, </w:t>
            </w:r>
            <w:r>
              <w:t>and</w:t>
            </w:r>
          </w:p>
          <w:p w14:paraId="09A5A2EF" w14:textId="77777777" w:rsidR="00553D9A" w:rsidRDefault="00553D9A" w:rsidP="00043139">
            <w:pPr>
              <w:autoSpaceDE w:val="0"/>
              <w:autoSpaceDN w:val="0"/>
              <w:adjustRightInd w:val="0"/>
            </w:pPr>
          </w:p>
          <w:p w14:paraId="326867F8" w14:textId="77777777" w:rsidR="00553D9A" w:rsidRDefault="00553D9A" w:rsidP="00043139">
            <w:pPr>
              <w:autoSpaceDE w:val="0"/>
              <w:autoSpaceDN w:val="0"/>
              <w:adjustRightInd w:val="0"/>
            </w:pPr>
            <w:r>
              <w:t>Communities United for Action</w:t>
            </w:r>
          </w:p>
          <w:p w14:paraId="6A6950F6" w14:textId="77777777" w:rsidR="00553D9A" w:rsidRPr="00104013" w:rsidRDefault="00553D9A" w:rsidP="00043139">
            <w:pPr>
              <w:autoSpaceDE w:val="0"/>
              <w:autoSpaceDN w:val="0"/>
              <w:adjustRightInd w:val="0"/>
            </w:pPr>
          </w:p>
          <w:p w14:paraId="6553CC39" w14:textId="77777777" w:rsidR="00553D9A" w:rsidRPr="00104013" w:rsidRDefault="00553D9A" w:rsidP="00043139">
            <w:pPr>
              <w:autoSpaceDE w:val="0"/>
              <w:autoSpaceDN w:val="0"/>
              <w:adjustRightInd w:val="0"/>
              <w:ind w:firstLine="706"/>
            </w:pPr>
            <w:r w:rsidRPr="00104013">
              <w:t>Complainant</w:t>
            </w:r>
            <w:r>
              <w:t>s</w:t>
            </w:r>
            <w:r w:rsidRPr="00104013">
              <w:t>,</w:t>
            </w:r>
          </w:p>
          <w:p w14:paraId="5ACEA542" w14:textId="77777777" w:rsidR="00553D9A" w:rsidRPr="00104013" w:rsidRDefault="00553D9A" w:rsidP="00043139">
            <w:pPr>
              <w:autoSpaceDE w:val="0"/>
              <w:autoSpaceDN w:val="0"/>
              <w:adjustRightInd w:val="0"/>
            </w:pPr>
          </w:p>
          <w:p w14:paraId="44A6CD29" w14:textId="77777777" w:rsidR="00553D9A" w:rsidRPr="00104013" w:rsidRDefault="00553D9A" w:rsidP="00043139">
            <w:pPr>
              <w:autoSpaceDE w:val="0"/>
              <w:autoSpaceDN w:val="0"/>
              <w:adjustRightInd w:val="0"/>
            </w:pPr>
            <w:r w:rsidRPr="00104013">
              <w:t xml:space="preserve">v. </w:t>
            </w:r>
          </w:p>
          <w:p w14:paraId="4E198538" w14:textId="77777777" w:rsidR="00553D9A" w:rsidRPr="00104013" w:rsidRDefault="00553D9A" w:rsidP="00043139">
            <w:pPr>
              <w:autoSpaceDE w:val="0"/>
              <w:autoSpaceDN w:val="0"/>
              <w:adjustRightInd w:val="0"/>
            </w:pPr>
          </w:p>
          <w:p w14:paraId="4418A1B1" w14:textId="77777777" w:rsidR="00553D9A" w:rsidRPr="00104013" w:rsidRDefault="00553D9A" w:rsidP="00043139">
            <w:pPr>
              <w:autoSpaceDE w:val="0"/>
              <w:autoSpaceDN w:val="0"/>
              <w:adjustRightInd w:val="0"/>
            </w:pPr>
            <w:r w:rsidRPr="00104013">
              <w:t>Duke Energy Ohio, Inc.</w:t>
            </w:r>
          </w:p>
          <w:p w14:paraId="7FFFCFCD" w14:textId="77777777" w:rsidR="00553D9A" w:rsidRPr="00104013" w:rsidRDefault="00553D9A" w:rsidP="00043139">
            <w:pPr>
              <w:autoSpaceDE w:val="0"/>
              <w:autoSpaceDN w:val="0"/>
              <w:adjustRightInd w:val="0"/>
            </w:pPr>
          </w:p>
          <w:p w14:paraId="13D3D6C6" w14:textId="77777777" w:rsidR="00553D9A" w:rsidRPr="00104013" w:rsidRDefault="00553D9A" w:rsidP="00043139">
            <w:pPr>
              <w:autoSpaceDE w:val="0"/>
              <w:autoSpaceDN w:val="0"/>
              <w:adjustRightInd w:val="0"/>
              <w:ind w:firstLine="706"/>
            </w:pPr>
            <w:r w:rsidRPr="00104013">
              <w:t>Respondent.</w:t>
            </w:r>
          </w:p>
        </w:tc>
        <w:tc>
          <w:tcPr>
            <w:tcW w:w="282" w:type="dxa"/>
          </w:tcPr>
          <w:p w14:paraId="40E3219A" w14:textId="77777777" w:rsidR="00553D9A" w:rsidRPr="00104013" w:rsidRDefault="00553D9A" w:rsidP="00043139">
            <w:pPr>
              <w:autoSpaceDE w:val="0"/>
              <w:autoSpaceDN w:val="0"/>
              <w:adjustRightInd w:val="0"/>
              <w:ind w:right="-14"/>
            </w:pPr>
            <w:r w:rsidRPr="00104013">
              <w:t>) ) ) ) )</w:t>
            </w:r>
          </w:p>
          <w:p w14:paraId="648CE935" w14:textId="77777777" w:rsidR="00553D9A" w:rsidRPr="00104013" w:rsidRDefault="00553D9A" w:rsidP="00043139">
            <w:pPr>
              <w:autoSpaceDE w:val="0"/>
              <w:autoSpaceDN w:val="0"/>
              <w:adjustRightInd w:val="0"/>
              <w:ind w:right="-14"/>
            </w:pPr>
            <w:r w:rsidRPr="00104013">
              <w:t>)</w:t>
            </w:r>
          </w:p>
          <w:p w14:paraId="0CDB9569" w14:textId="77777777" w:rsidR="00553D9A" w:rsidRPr="00104013" w:rsidRDefault="00553D9A" w:rsidP="00043139">
            <w:pPr>
              <w:autoSpaceDE w:val="0"/>
              <w:autoSpaceDN w:val="0"/>
              <w:adjustRightInd w:val="0"/>
              <w:ind w:right="-14"/>
            </w:pPr>
            <w:r w:rsidRPr="00104013">
              <w:t>)</w:t>
            </w:r>
          </w:p>
          <w:p w14:paraId="5EFF99FC" w14:textId="77777777" w:rsidR="00553D9A" w:rsidRPr="00104013" w:rsidRDefault="00553D9A" w:rsidP="00043139">
            <w:pPr>
              <w:autoSpaceDE w:val="0"/>
              <w:autoSpaceDN w:val="0"/>
              <w:adjustRightInd w:val="0"/>
              <w:ind w:right="-14"/>
            </w:pPr>
            <w:r w:rsidRPr="00104013">
              <w:t>)</w:t>
            </w:r>
          </w:p>
          <w:p w14:paraId="0EC34545" w14:textId="77777777" w:rsidR="00553D9A" w:rsidRDefault="00553D9A" w:rsidP="00043139">
            <w:pPr>
              <w:autoSpaceDE w:val="0"/>
              <w:autoSpaceDN w:val="0"/>
              <w:adjustRightInd w:val="0"/>
              <w:ind w:right="-14"/>
            </w:pPr>
            <w:r w:rsidRPr="00104013">
              <w:t>)</w:t>
            </w:r>
          </w:p>
          <w:p w14:paraId="7445310B" w14:textId="77777777" w:rsidR="00553D9A" w:rsidRDefault="00553D9A" w:rsidP="00043139">
            <w:pPr>
              <w:autoSpaceDE w:val="0"/>
              <w:autoSpaceDN w:val="0"/>
              <w:adjustRightInd w:val="0"/>
              <w:ind w:right="-14"/>
            </w:pPr>
            <w:r>
              <w:t>)</w:t>
            </w:r>
          </w:p>
          <w:p w14:paraId="1D77700E" w14:textId="77777777" w:rsidR="00553D9A" w:rsidRDefault="00553D9A" w:rsidP="00043139">
            <w:pPr>
              <w:autoSpaceDE w:val="0"/>
              <w:autoSpaceDN w:val="0"/>
              <w:adjustRightInd w:val="0"/>
              <w:ind w:right="-14"/>
            </w:pPr>
            <w:r>
              <w:t>)</w:t>
            </w:r>
          </w:p>
          <w:p w14:paraId="0A1282B6" w14:textId="77777777" w:rsidR="00553D9A" w:rsidRPr="00104013" w:rsidRDefault="00553D9A" w:rsidP="00043139">
            <w:pPr>
              <w:autoSpaceDE w:val="0"/>
              <w:autoSpaceDN w:val="0"/>
              <w:adjustRightInd w:val="0"/>
              <w:ind w:right="-14"/>
            </w:pPr>
            <w:r>
              <w:t>)</w:t>
            </w:r>
          </w:p>
          <w:p w14:paraId="032D2762" w14:textId="77777777" w:rsidR="00553D9A" w:rsidRPr="00104013" w:rsidRDefault="00553D9A" w:rsidP="00043139">
            <w:pPr>
              <w:autoSpaceDE w:val="0"/>
              <w:autoSpaceDN w:val="0"/>
              <w:adjustRightInd w:val="0"/>
              <w:ind w:right="-14"/>
            </w:pPr>
            <w:r w:rsidRPr="00104013">
              <w:t xml:space="preserve"> </w:t>
            </w:r>
          </w:p>
        </w:tc>
        <w:tc>
          <w:tcPr>
            <w:tcW w:w="4230" w:type="dxa"/>
          </w:tcPr>
          <w:p w14:paraId="764C94F8" w14:textId="77777777" w:rsidR="00553D9A" w:rsidRPr="00104013" w:rsidRDefault="00553D9A" w:rsidP="00043139">
            <w:pPr>
              <w:autoSpaceDE w:val="0"/>
              <w:autoSpaceDN w:val="0"/>
              <w:adjustRightInd w:val="0"/>
              <w:ind w:right="-14"/>
            </w:pPr>
          </w:p>
          <w:p w14:paraId="72FBDB0A" w14:textId="77777777" w:rsidR="00553D9A" w:rsidRPr="00104013" w:rsidRDefault="00553D9A" w:rsidP="00043139">
            <w:pPr>
              <w:autoSpaceDE w:val="0"/>
              <w:autoSpaceDN w:val="0"/>
              <w:adjustRightInd w:val="0"/>
              <w:ind w:right="-14"/>
            </w:pPr>
          </w:p>
          <w:p w14:paraId="430F0372" w14:textId="77777777" w:rsidR="00553D9A" w:rsidRPr="00104013" w:rsidRDefault="00553D9A" w:rsidP="00043139">
            <w:pPr>
              <w:autoSpaceDE w:val="0"/>
              <w:autoSpaceDN w:val="0"/>
              <w:adjustRightInd w:val="0"/>
              <w:ind w:right="-14"/>
            </w:pPr>
            <w:r w:rsidRPr="00104013">
              <w:t>Case No. 15-</w:t>
            </w:r>
            <w:r>
              <w:t>1588</w:t>
            </w:r>
            <w:r w:rsidRPr="00104013">
              <w:t>-GE-CSS</w:t>
            </w:r>
          </w:p>
        </w:tc>
      </w:tr>
    </w:tbl>
    <w:p w14:paraId="60793163" w14:textId="77777777" w:rsidR="00553D9A" w:rsidRPr="00104013" w:rsidRDefault="00553D9A" w:rsidP="00553D9A">
      <w:pPr>
        <w:autoSpaceDE w:val="0"/>
        <w:autoSpaceDN w:val="0"/>
        <w:adjustRightInd w:val="0"/>
        <w:spacing w:after="0" w:line="480" w:lineRule="auto"/>
        <w:ind w:left="14" w:right="-14"/>
      </w:pPr>
      <w:r w:rsidRPr="00104013">
        <w:t>________________________________________________________________________</w:t>
      </w:r>
    </w:p>
    <w:p w14:paraId="246880DA" w14:textId="77777777" w:rsidR="00553D9A" w:rsidRDefault="00553D9A" w:rsidP="00553D9A">
      <w:pPr>
        <w:autoSpaceDE w:val="0"/>
        <w:autoSpaceDN w:val="0"/>
        <w:adjustRightInd w:val="0"/>
        <w:spacing w:after="0" w:line="240" w:lineRule="auto"/>
        <w:jc w:val="center"/>
        <w:rPr>
          <w:b/>
        </w:rPr>
      </w:pPr>
      <w:r>
        <w:rPr>
          <w:b/>
        </w:rPr>
        <w:t>MEMORANDUM CONTRA DUKE’S MOTION TO DISMISS THE CONSUMER PARTIES’ COMPLAINT ABOUT DISCONNECTIONS OF CONSUMERS</w:t>
      </w:r>
    </w:p>
    <w:p w14:paraId="5823F586" w14:textId="77777777" w:rsidR="00553D9A" w:rsidRDefault="00553D9A" w:rsidP="00553D9A">
      <w:pPr>
        <w:autoSpaceDE w:val="0"/>
        <w:autoSpaceDN w:val="0"/>
        <w:adjustRightInd w:val="0"/>
        <w:spacing w:after="0" w:line="240" w:lineRule="auto"/>
        <w:jc w:val="center"/>
        <w:rPr>
          <w:b/>
        </w:rPr>
      </w:pPr>
      <w:r>
        <w:rPr>
          <w:b/>
        </w:rPr>
        <w:t>BY</w:t>
      </w:r>
    </w:p>
    <w:p w14:paraId="768EF6B5" w14:textId="77777777" w:rsidR="00553D9A" w:rsidRDefault="00553D9A" w:rsidP="00553D9A">
      <w:pPr>
        <w:autoSpaceDE w:val="0"/>
        <w:autoSpaceDN w:val="0"/>
        <w:adjustRightInd w:val="0"/>
        <w:spacing w:after="0" w:line="240" w:lineRule="auto"/>
        <w:jc w:val="center"/>
        <w:rPr>
          <w:b/>
        </w:rPr>
      </w:pPr>
      <w:r>
        <w:rPr>
          <w:b/>
        </w:rPr>
        <w:t>THE OFFICE OF THE OHIO CONSUMERS’ COUNSEL</w:t>
      </w:r>
    </w:p>
    <w:p w14:paraId="659B8692" w14:textId="77777777" w:rsidR="00553D9A" w:rsidRPr="00104013" w:rsidRDefault="00553D9A" w:rsidP="00553D9A">
      <w:pPr>
        <w:autoSpaceDE w:val="0"/>
        <w:autoSpaceDN w:val="0"/>
        <w:adjustRightInd w:val="0"/>
        <w:spacing w:after="0" w:line="240" w:lineRule="auto"/>
        <w:jc w:val="center"/>
        <w:rPr>
          <w:b/>
        </w:rPr>
      </w:pPr>
      <w:r>
        <w:rPr>
          <w:b/>
        </w:rPr>
        <w:t>AND COMMUNITIES UNITED FOR ACTION</w:t>
      </w:r>
    </w:p>
    <w:p w14:paraId="1A8682CE" w14:textId="77777777" w:rsidR="00553D9A" w:rsidRPr="00104013" w:rsidRDefault="00553D9A" w:rsidP="00553D9A">
      <w:pPr>
        <w:autoSpaceDE w:val="0"/>
        <w:autoSpaceDN w:val="0"/>
        <w:adjustRightInd w:val="0"/>
        <w:spacing w:after="0" w:line="240" w:lineRule="auto"/>
        <w:ind w:left="14" w:right="-14"/>
        <w:jc w:val="both"/>
      </w:pPr>
      <w:r w:rsidRPr="00104013">
        <w:t>________________________________________________________________________</w:t>
      </w:r>
    </w:p>
    <w:p w14:paraId="3554E4AA" w14:textId="77777777" w:rsidR="00553D9A" w:rsidRPr="00104013" w:rsidRDefault="00553D9A" w:rsidP="00553D9A">
      <w:pPr>
        <w:spacing w:after="0" w:line="240" w:lineRule="auto"/>
        <w:ind w:firstLine="720"/>
      </w:pPr>
    </w:p>
    <w:p w14:paraId="07A328DD" w14:textId="77777777" w:rsidR="00E852AF" w:rsidRPr="00104013" w:rsidRDefault="00E852AF" w:rsidP="00E852AF">
      <w:pPr>
        <w:pStyle w:val="Footer"/>
        <w:tabs>
          <w:tab w:val="left" w:pos="4320"/>
        </w:tabs>
        <w:ind w:left="4320"/>
      </w:pPr>
      <w:r w:rsidRPr="00104013">
        <w:t>BRUCE WESTON (0016973)</w:t>
      </w:r>
    </w:p>
    <w:p w14:paraId="5D7DA0DB" w14:textId="14C1F0A4" w:rsidR="00553D9A" w:rsidRDefault="00E852AF" w:rsidP="00553D9A">
      <w:pPr>
        <w:tabs>
          <w:tab w:val="left" w:pos="4320"/>
        </w:tabs>
        <w:spacing w:after="0"/>
        <w:ind w:left="4320"/>
      </w:pPr>
      <w:r w:rsidRPr="00104013">
        <w:t>OHIO CONSUMERS’ COUNSEL</w:t>
      </w:r>
    </w:p>
    <w:p w14:paraId="7CF294C1" w14:textId="77777777" w:rsidR="00553D9A" w:rsidRPr="00104013" w:rsidRDefault="00553D9A" w:rsidP="00E852AF">
      <w:pPr>
        <w:tabs>
          <w:tab w:val="left" w:pos="4320"/>
        </w:tabs>
        <w:spacing w:after="0" w:line="240" w:lineRule="auto"/>
        <w:ind w:left="4320"/>
      </w:pPr>
      <w:r w:rsidRPr="00104013">
        <w:t xml:space="preserve">Terry </w:t>
      </w:r>
      <w:r>
        <w:t xml:space="preserve">L. </w:t>
      </w:r>
      <w:r w:rsidRPr="00104013">
        <w:t>Etter</w:t>
      </w:r>
      <w:r>
        <w:t xml:space="preserve"> </w:t>
      </w:r>
      <w:r w:rsidRPr="00104013">
        <w:t>(00</w:t>
      </w:r>
      <w:r>
        <w:t>67445</w:t>
      </w:r>
      <w:r w:rsidRPr="00104013">
        <w:t xml:space="preserve">), Counsel of Record </w:t>
      </w:r>
    </w:p>
    <w:p w14:paraId="014199D7" w14:textId="77777777" w:rsidR="00553D9A" w:rsidRPr="00104013" w:rsidRDefault="00553D9A" w:rsidP="00E852AF">
      <w:pPr>
        <w:tabs>
          <w:tab w:val="left" w:pos="4320"/>
        </w:tabs>
        <w:spacing w:after="0" w:line="240" w:lineRule="auto"/>
        <w:ind w:left="4320"/>
      </w:pPr>
      <w:r w:rsidRPr="00104013">
        <w:t>Assistant Consumers’ Counsel</w:t>
      </w:r>
    </w:p>
    <w:p w14:paraId="4CB78BF8" w14:textId="77777777" w:rsidR="00553D9A" w:rsidRPr="00553D9A" w:rsidRDefault="00553D9A" w:rsidP="00E852AF">
      <w:pPr>
        <w:spacing w:after="0" w:line="240" w:lineRule="auto"/>
        <w:ind w:left="4320"/>
        <w:rPr>
          <w:b/>
        </w:rPr>
      </w:pPr>
      <w:r w:rsidRPr="00553D9A">
        <w:rPr>
          <w:b/>
        </w:rPr>
        <w:t>Office of the Ohio Consumers’ Counsel</w:t>
      </w:r>
    </w:p>
    <w:p w14:paraId="38819225" w14:textId="77777777" w:rsidR="00553D9A" w:rsidRPr="00104013" w:rsidRDefault="00553D9A" w:rsidP="00553D9A">
      <w:pPr>
        <w:spacing w:after="0"/>
        <w:ind w:left="4320"/>
        <w:rPr>
          <w:b/>
        </w:rPr>
      </w:pPr>
      <w:r w:rsidRPr="00104013">
        <w:t>10 West Broad Street, Suite 1800</w:t>
      </w:r>
    </w:p>
    <w:p w14:paraId="5DD06DB5" w14:textId="77777777" w:rsidR="00553D9A" w:rsidRPr="00104013" w:rsidRDefault="00553D9A" w:rsidP="00553D9A">
      <w:pPr>
        <w:spacing w:after="0"/>
        <w:ind w:left="4320"/>
        <w:rPr>
          <w:b/>
        </w:rPr>
      </w:pPr>
      <w:r w:rsidRPr="00104013">
        <w:t>Columbus, Ohio 43215-3485</w:t>
      </w:r>
    </w:p>
    <w:p w14:paraId="200D918C" w14:textId="77777777" w:rsidR="00553D9A" w:rsidRPr="00104013" w:rsidRDefault="00553D9A" w:rsidP="00553D9A">
      <w:pPr>
        <w:autoSpaceDE w:val="0"/>
        <w:autoSpaceDN w:val="0"/>
        <w:adjustRightInd w:val="0"/>
        <w:spacing w:after="0" w:line="240" w:lineRule="auto"/>
        <w:ind w:left="4320"/>
      </w:pPr>
      <w:r w:rsidRPr="00104013">
        <w:t>Telephone: (614) 466-7964 (Etter direct)</w:t>
      </w:r>
    </w:p>
    <w:p w14:paraId="439564B4" w14:textId="77777777" w:rsidR="00553D9A" w:rsidRPr="00104013" w:rsidRDefault="00553D9A" w:rsidP="00553D9A">
      <w:pPr>
        <w:tabs>
          <w:tab w:val="center" w:pos="4680"/>
          <w:tab w:val="right" w:pos="9360"/>
        </w:tabs>
        <w:spacing w:after="0" w:line="240" w:lineRule="auto"/>
        <w:ind w:firstLine="4320"/>
      </w:pPr>
      <w:r w:rsidRPr="00104013">
        <w:rPr>
          <w:rStyle w:val="Hyperlink"/>
        </w:rPr>
        <w:t>Terry.etter@occ.ohio.gov</w:t>
      </w:r>
    </w:p>
    <w:p w14:paraId="561375BB" w14:textId="77777777" w:rsidR="00553D9A" w:rsidRPr="00104013" w:rsidRDefault="00553D9A" w:rsidP="00553D9A">
      <w:pPr>
        <w:tabs>
          <w:tab w:val="center" w:pos="4680"/>
          <w:tab w:val="right" w:pos="9360"/>
        </w:tabs>
        <w:spacing w:after="0" w:line="240" w:lineRule="auto"/>
        <w:ind w:firstLine="4320"/>
        <w:rPr>
          <w:i/>
        </w:rPr>
      </w:pPr>
    </w:p>
    <w:p w14:paraId="3790CC86" w14:textId="77777777" w:rsidR="00553D9A" w:rsidRDefault="00553D9A" w:rsidP="00553D9A">
      <w:pPr>
        <w:widowControl w:val="0"/>
        <w:tabs>
          <w:tab w:val="center" w:pos="4680"/>
          <w:tab w:val="right" w:pos="9360"/>
        </w:tabs>
        <w:spacing w:after="0" w:line="240" w:lineRule="auto"/>
        <w:ind w:firstLine="4320"/>
      </w:pPr>
    </w:p>
    <w:p w14:paraId="43985DA0" w14:textId="77777777" w:rsidR="00553D9A" w:rsidRPr="00104013" w:rsidRDefault="00553D9A" w:rsidP="00553D9A">
      <w:pPr>
        <w:widowControl w:val="0"/>
        <w:tabs>
          <w:tab w:val="center" w:pos="4680"/>
          <w:tab w:val="right" w:pos="9360"/>
        </w:tabs>
        <w:spacing w:after="0" w:line="240" w:lineRule="auto"/>
        <w:ind w:firstLine="4320"/>
      </w:pPr>
      <w:r w:rsidRPr="00104013">
        <w:t>Kimberly W. Bojko (0069402)</w:t>
      </w:r>
    </w:p>
    <w:p w14:paraId="474CA308" w14:textId="77777777" w:rsidR="00553D9A" w:rsidRPr="00104013" w:rsidRDefault="00553D9A" w:rsidP="00553D9A">
      <w:pPr>
        <w:widowControl w:val="0"/>
        <w:tabs>
          <w:tab w:val="center" w:pos="4680"/>
          <w:tab w:val="right" w:pos="9360"/>
        </w:tabs>
        <w:spacing w:after="0" w:line="240" w:lineRule="auto"/>
        <w:ind w:firstLine="4320"/>
      </w:pPr>
      <w:r w:rsidRPr="00104013">
        <w:t>Carpenter Lipps &amp; Leland LLP</w:t>
      </w:r>
    </w:p>
    <w:p w14:paraId="621756ED" w14:textId="77777777" w:rsidR="00553D9A" w:rsidRPr="00104013" w:rsidRDefault="00553D9A" w:rsidP="00553D9A">
      <w:pPr>
        <w:widowControl w:val="0"/>
        <w:tabs>
          <w:tab w:val="center" w:pos="4680"/>
          <w:tab w:val="right" w:pos="9360"/>
        </w:tabs>
        <w:spacing w:after="0" w:line="240" w:lineRule="auto"/>
        <w:ind w:firstLine="4320"/>
      </w:pPr>
      <w:r w:rsidRPr="00104013">
        <w:t>280 North High Street, Suite 1300</w:t>
      </w:r>
    </w:p>
    <w:p w14:paraId="346EA6F4" w14:textId="77777777" w:rsidR="00553D9A" w:rsidRPr="00104013" w:rsidRDefault="00553D9A" w:rsidP="00553D9A">
      <w:pPr>
        <w:widowControl w:val="0"/>
        <w:tabs>
          <w:tab w:val="center" w:pos="4680"/>
          <w:tab w:val="right" w:pos="9360"/>
        </w:tabs>
        <w:spacing w:after="0" w:line="240" w:lineRule="auto"/>
        <w:ind w:firstLine="4320"/>
      </w:pPr>
      <w:r w:rsidRPr="00104013">
        <w:t>Columbus, Ohio 43215</w:t>
      </w:r>
    </w:p>
    <w:p w14:paraId="1407A4DA" w14:textId="77777777" w:rsidR="00553D9A" w:rsidRPr="00104013" w:rsidRDefault="00553D9A" w:rsidP="00553D9A">
      <w:pPr>
        <w:widowControl w:val="0"/>
        <w:tabs>
          <w:tab w:val="center" w:pos="4680"/>
          <w:tab w:val="right" w:pos="9360"/>
        </w:tabs>
        <w:spacing w:after="0" w:line="240" w:lineRule="auto"/>
        <w:ind w:firstLine="4320"/>
      </w:pPr>
      <w:r>
        <w:t>Telep</w:t>
      </w:r>
      <w:r w:rsidRPr="00104013">
        <w:t>hone: (614) 365-4100</w:t>
      </w:r>
    </w:p>
    <w:p w14:paraId="044BFA3E" w14:textId="47EC9C73" w:rsidR="00553D9A" w:rsidRPr="00104013" w:rsidRDefault="009B0D40" w:rsidP="00553D9A">
      <w:pPr>
        <w:widowControl w:val="0"/>
        <w:tabs>
          <w:tab w:val="center" w:pos="4680"/>
          <w:tab w:val="right" w:pos="9360"/>
        </w:tabs>
        <w:spacing w:after="0" w:line="240" w:lineRule="auto"/>
        <w:ind w:firstLine="4320"/>
      </w:pPr>
      <w:hyperlink r:id="rId8" w:history="1">
        <w:r w:rsidR="00553D9A" w:rsidRPr="00104013">
          <w:rPr>
            <w:rStyle w:val="Hyperlink"/>
          </w:rPr>
          <w:t>bojko@carpenterlipps.com</w:t>
        </w:r>
      </w:hyperlink>
    </w:p>
    <w:p w14:paraId="33BAD8E1" w14:textId="77777777" w:rsidR="00553D9A" w:rsidRPr="00104013" w:rsidRDefault="00553D9A" w:rsidP="00553D9A">
      <w:pPr>
        <w:widowControl w:val="0"/>
        <w:tabs>
          <w:tab w:val="center" w:pos="4680"/>
          <w:tab w:val="right" w:pos="9360"/>
        </w:tabs>
        <w:spacing w:after="0" w:line="240" w:lineRule="auto"/>
        <w:ind w:firstLine="4320"/>
      </w:pPr>
    </w:p>
    <w:p w14:paraId="221EFD71" w14:textId="77777777" w:rsidR="00553D9A" w:rsidRPr="00104013" w:rsidRDefault="00553D9A" w:rsidP="00553D9A">
      <w:pPr>
        <w:widowControl w:val="0"/>
        <w:tabs>
          <w:tab w:val="center" w:pos="4680"/>
          <w:tab w:val="right" w:pos="9360"/>
        </w:tabs>
        <w:spacing w:after="0" w:line="240" w:lineRule="auto"/>
        <w:ind w:firstLine="4320"/>
        <w:rPr>
          <w:i/>
        </w:rPr>
      </w:pPr>
      <w:r w:rsidRPr="00104013">
        <w:rPr>
          <w:i/>
        </w:rPr>
        <w:t>Outside Counsel for the</w:t>
      </w:r>
    </w:p>
    <w:p w14:paraId="19ED9964" w14:textId="77777777" w:rsidR="00553D9A" w:rsidRDefault="00553D9A" w:rsidP="00553D9A">
      <w:pPr>
        <w:widowControl w:val="0"/>
        <w:tabs>
          <w:tab w:val="center" w:pos="4680"/>
          <w:tab w:val="right" w:pos="9360"/>
        </w:tabs>
        <w:spacing w:after="0" w:line="240" w:lineRule="auto"/>
        <w:ind w:firstLine="4320"/>
        <w:rPr>
          <w:i/>
        </w:rPr>
      </w:pPr>
      <w:r w:rsidRPr="00104013">
        <w:rPr>
          <w:i/>
        </w:rPr>
        <w:t>Office of the Ohio Consumers’ Counsel</w:t>
      </w:r>
    </w:p>
    <w:p w14:paraId="4B2253CA" w14:textId="77777777" w:rsidR="00553D9A" w:rsidRDefault="00553D9A" w:rsidP="00553D9A">
      <w:pPr>
        <w:widowControl w:val="0"/>
        <w:tabs>
          <w:tab w:val="center" w:pos="4680"/>
          <w:tab w:val="right" w:pos="9360"/>
        </w:tabs>
        <w:spacing w:after="0" w:line="240" w:lineRule="auto"/>
        <w:ind w:firstLine="4320"/>
        <w:rPr>
          <w:i/>
        </w:rPr>
      </w:pPr>
    </w:p>
    <w:p w14:paraId="7EF54AA4" w14:textId="77777777" w:rsidR="00553D9A" w:rsidRPr="00DB701F" w:rsidRDefault="00553D9A" w:rsidP="00553D9A">
      <w:pPr>
        <w:widowControl w:val="0"/>
        <w:tabs>
          <w:tab w:val="center" w:pos="4680"/>
          <w:tab w:val="right" w:pos="9360"/>
        </w:tabs>
        <w:spacing w:after="0" w:line="240" w:lineRule="auto"/>
        <w:ind w:firstLine="4320"/>
        <w:rPr>
          <w:rFonts w:ascii="Georgia" w:hAnsi="Georgia" w:cs="Arial"/>
          <w:u w:val="single"/>
        </w:rPr>
      </w:pPr>
      <w:r>
        <w:lastRenderedPageBreak/>
        <w:tab/>
      </w:r>
      <w:r>
        <w:tab/>
      </w:r>
      <w:r>
        <w:tab/>
      </w:r>
      <w:r>
        <w:tab/>
      </w:r>
      <w:r>
        <w:tab/>
      </w:r>
      <w:r>
        <w:tab/>
      </w:r>
    </w:p>
    <w:p w14:paraId="05022C41" w14:textId="11E8C253" w:rsidR="00553D9A" w:rsidRPr="00162B06" w:rsidRDefault="00553D9A" w:rsidP="00E852AF">
      <w:pPr>
        <w:spacing w:after="0" w:line="240" w:lineRule="auto"/>
      </w:pPr>
      <w:r>
        <w:rPr>
          <w:i/>
        </w:rPr>
        <w:tab/>
      </w:r>
      <w:r>
        <w:rPr>
          <w:i/>
        </w:rPr>
        <w:tab/>
      </w:r>
      <w:r>
        <w:rPr>
          <w:i/>
        </w:rPr>
        <w:tab/>
      </w:r>
      <w:r>
        <w:rPr>
          <w:i/>
        </w:rPr>
        <w:tab/>
      </w:r>
      <w:r>
        <w:rPr>
          <w:i/>
        </w:rPr>
        <w:tab/>
      </w:r>
      <w:r>
        <w:rPr>
          <w:i/>
        </w:rPr>
        <w:tab/>
      </w:r>
      <w:r w:rsidRPr="00162B06">
        <w:t>Noel M. Morgan (0066904)</w:t>
      </w:r>
    </w:p>
    <w:p w14:paraId="3F687E8C" w14:textId="77777777" w:rsidR="00553D9A" w:rsidRPr="00162B06" w:rsidRDefault="00553D9A" w:rsidP="00553D9A">
      <w:pPr>
        <w:spacing w:after="0" w:line="240" w:lineRule="auto"/>
        <w:ind w:left="4320"/>
      </w:pPr>
      <w:r w:rsidRPr="00162B06">
        <w:t>Attorney for CUFA</w:t>
      </w:r>
    </w:p>
    <w:p w14:paraId="26CB9EE5" w14:textId="77777777" w:rsidR="00553D9A" w:rsidRPr="00162B06" w:rsidRDefault="00553D9A" w:rsidP="00553D9A">
      <w:pPr>
        <w:spacing w:after="0" w:line="240" w:lineRule="auto"/>
        <w:ind w:left="4320"/>
      </w:pPr>
      <w:r w:rsidRPr="00162B06">
        <w:t>Legal Aid Society of Southwest Ohio, LLC</w:t>
      </w:r>
    </w:p>
    <w:p w14:paraId="6C9B8F74" w14:textId="77777777" w:rsidR="00553D9A" w:rsidRPr="00162B06" w:rsidRDefault="00553D9A" w:rsidP="00553D9A">
      <w:pPr>
        <w:spacing w:after="0" w:line="240" w:lineRule="auto"/>
        <w:ind w:left="4320"/>
      </w:pPr>
      <w:r w:rsidRPr="00162B06">
        <w:t>215 East Ninth Street, Suite 500</w:t>
      </w:r>
    </w:p>
    <w:p w14:paraId="47117BD3" w14:textId="77777777" w:rsidR="00C27725" w:rsidRDefault="00553D9A" w:rsidP="00553D9A">
      <w:pPr>
        <w:spacing w:after="0" w:line="240" w:lineRule="auto"/>
        <w:ind w:left="4320"/>
      </w:pPr>
      <w:r w:rsidRPr="00162B06">
        <w:t>Cincinnati, Ohio  45202</w:t>
      </w:r>
    </w:p>
    <w:p w14:paraId="473DA487" w14:textId="04C82EB0" w:rsidR="00553D9A" w:rsidRDefault="00553D9A" w:rsidP="00553D9A">
      <w:pPr>
        <w:spacing w:after="0" w:line="240" w:lineRule="auto"/>
        <w:ind w:left="4320"/>
      </w:pPr>
      <w:r>
        <w:t xml:space="preserve">Telephone: </w:t>
      </w:r>
      <w:r w:rsidRPr="00162B06">
        <w:t>(513) 362-2837</w:t>
      </w:r>
    </w:p>
    <w:p w14:paraId="223B90FD" w14:textId="619A4DD0" w:rsidR="00C27725" w:rsidRPr="00162B06" w:rsidRDefault="00C27725" w:rsidP="00C27725">
      <w:pPr>
        <w:spacing w:after="0" w:line="240" w:lineRule="auto"/>
        <w:ind w:left="4320"/>
      </w:pPr>
      <w:r w:rsidRPr="00162B06">
        <w:t xml:space="preserve">Email:  </w:t>
      </w:r>
      <w:hyperlink r:id="rId9" w:history="1">
        <w:r w:rsidRPr="00162B06">
          <w:rPr>
            <w:rStyle w:val="Hyperlink"/>
          </w:rPr>
          <w:t>nmorgan@lascinti.org</w:t>
        </w:r>
      </w:hyperlink>
    </w:p>
    <w:p w14:paraId="623609DB" w14:textId="45650F35" w:rsidR="00C27725" w:rsidRPr="00104013" w:rsidRDefault="00C27725" w:rsidP="00C27725">
      <w:pPr>
        <w:tabs>
          <w:tab w:val="right" w:pos="9360"/>
        </w:tabs>
        <w:spacing w:after="0" w:line="240" w:lineRule="auto"/>
      </w:pPr>
      <w:r>
        <w:t xml:space="preserve">October 23, 2015                                            </w:t>
      </w:r>
      <w:r w:rsidRPr="00104013">
        <w:t>(willing to accept service by e-mail)</w:t>
      </w:r>
    </w:p>
    <w:p w14:paraId="55726FE5" w14:textId="77777777" w:rsidR="00C27725" w:rsidRDefault="00C27725" w:rsidP="00553D9A">
      <w:pPr>
        <w:spacing w:after="0" w:line="240" w:lineRule="auto"/>
        <w:ind w:left="4320"/>
      </w:pPr>
    </w:p>
    <w:p w14:paraId="17B80743" w14:textId="77777777" w:rsidR="00E852AF" w:rsidRDefault="00E852AF" w:rsidP="00E852AF">
      <w:pPr>
        <w:spacing w:after="0" w:line="240" w:lineRule="auto"/>
      </w:pPr>
    </w:p>
    <w:p w14:paraId="44501963" w14:textId="757A5CD8" w:rsidR="00E852AF" w:rsidRPr="00162B06" w:rsidRDefault="00E852AF" w:rsidP="00E852AF">
      <w:pPr>
        <w:spacing w:after="0" w:line="240" w:lineRule="auto"/>
      </w:pPr>
    </w:p>
    <w:p w14:paraId="5929A45B" w14:textId="77777777" w:rsidR="00553D9A" w:rsidRDefault="00553D9A" w:rsidP="00076F41">
      <w:pPr>
        <w:autoSpaceDE w:val="0"/>
        <w:autoSpaceDN w:val="0"/>
        <w:adjustRightInd w:val="0"/>
        <w:spacing w:after="0" w:line="240" w:lineRule="auto"/>
        <w:jc w:val="center"/>
        <w:rPr>
          <w:b/>
        </w:rPr>
      </w:pPr>
    </w:p>
    <w:p w14:paraId="7129BB12" w14:textId="77777777" w:rsidR="00553D9A" w:rsidRDefault="00553D9A" w:rsidP="00076F41">
      <w:pPr>
        <w:autoSpaceDE w:val="0"/>
        <w:autoSpaceDN w:val="0"/>
        <w:adjustRightInd w:val="0"/>
        <w:spacing w:after="0" w:line="240" w:lineRule="auto"/>
        <w:jc w:val="center"/>
        <w:rPr>
          <w:b/>
        </w:rPr>
      </w:pPr>
    </w:p>
    <w:p w14:paraId="217B747B" w14:textId="77777777" w:rsidR="00553D9A" w:rsidRDefault="00553D9A" w:rsidP="00076F41">
      <w:pPr>
        <w:autoSpaceDE w:val="0"/>
        <w:autoSpaceDN w:val="0"/>
        <w:adjustRightInd w:val="0"/>
        <w:spacing w:after="0" w:line="240" w:lineRule="auto"/>
        <w:jc w:val="center"/>
        <w:rPr>
          <w:b/>
        </w:rPr>
        <w:sectPr w:rsidR="00553D9A" w:rsidSect="007B27BA">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noEndnote/>
          <w:titlePg/>
          <w:docGrid w:linePitch="326"/>
        </w:sectPr>
      </w:pPr>
    </w:p>
    <w:p w14:paraId="68FA8EDB" w14:textId="0FBE1C09" w:rsidR="00553D9A" w:rsidRDefault="00553D9A" w:rsidP="00553D9A">
      <w:pPr>
        <w:autoSpaceDE w:val="0"/>
        <w:autoSpaceDN w:val="0"/>
        <w:adjustRightInd w:val="0"/>
        <w:spacing w:after="0" w:line="240" w:lineRule="auto"/>
        <w:jc w:val="center"/>
        <w:rPr>
          <w:b/>
        </w:rPr>
      </w:pPr>
      <w:r>
        <w:rPr>
          <w:b/>
        </w:rPr>
        <w:lastRenderedPageBreak/>
        <w:t>TABLE OF CONTENTS</w:t>
      </w:r>
    </w:p>
    <w:p w14:paraId="18304B1B" w14:textId="77777777" w:rsidR="00553D9A" w:rsidRDefault="00553D9A" w:rsidP="00553D9A">
      <w:pPr>
        <w:autoSpaceDE w:val="0"/>
        <w:autoSpaceDN w:val="0"/>
        <w:adjustRightInd w:val="0"/>
        <w:spacing w:after="0" w:line="240" w:lineRule="auto"/>
        <w:rPr>
          <w:b/>
        </w:rPr>
      </w:pPr>
    </w:p>
    <w:p w14:paraId="0B4634DA" w14:textId="77777777" w:rsidR="00553D9A" w:rsidRDefault="00553D9A" w:rsidP="00553D9A">
      <w:pPr>
        <w:autoSpaceDE w:val="0"/>
        <w:autoSpaceDN w:val="0"/>
        <w:adjustRightInd w:val="0"/>
        <w:spacing w:after="0" w:line="240" w:lineRule="auto"/>
        <w:rPr>
          <w:b/>
        </w:rPr>
      </w:pPr>
    </w:p>
    <w:p w14:paraId="1F664FC9" w14:textId="1E1DA457" w:rsidR="00553D9A" w:rsidRDefault="00553D9A" w:rsidP="00553D9A">
      <w:pPr>
        <w:autoSpaceDE w:val="0"/>
        <w:autoSpaceDN w:val="0"/>
        <w:adjustRightInd w:val="0"/>
        <w:spacing w:after="0" w:line="240"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14:paraId="72366E13" w14:textId="77777777" w:rsidR="00553D9A" w:rsidRDefault="00553D9A" w:rsidP="00553D9A">
      <w:pPr>
        <w:autoSpaceDE w:val="0"/>
        <w:autoSpaceDN w:val="0"/>
        <w:adjustRightInd w:val="0"/>
        <w:spacing w:after="0" w:line="240" w:lineRule="auto"/>
        <w:rPr>
          <w:b/>
        </w:rPr>
      </w:pPr>
    </w:p>
    <w:p w14:paraId="2D29D241" w14:textId="77777777" w:rsidR="00553D9A" w:rsidRDefault="00553D9A" w:rsidP="00553D9A">
      <w:pPr>
        <w:autoSpaceDE w:val="0"/>
        <w:autoSpaceDN w:val="0"/>
        <w:adjustRightInd w:val="0"/>
        <w:spacing w:after="0" w:line="240" w:lineRule="auto"/>
        <w:rPr>
          <w:b/>
        </w:rPr>
      </w:pPr>
    </w:p>
    <w:p w14:paraId="4F0842F6" w14:textId="77777777" w:rsidR="00C27725" w:rsidRDefault="00553D9A">
      <w:pPr>
        <w:pStyle w:val="TOC1"/>
        <w:rPr>
          <w:rFonts w:asciiTheme="minorHAnsi" w:eastAsiaTheme="minorEastAsia" w:hAnsiTheme="minorHAnsi" w:cstheme="minorBidi"/>
          <w:caps w:val="0"/>
          <w:noProof/>
          <w:sz w:val="22"/>
          <w:szCs w:val="22"/>
        </w:rPr>
      </w:pPr>
      <w:r>
        <w:rPr>
          <w:b/>
        </w:rPr>
        <w:fldChar w:fldCharType="begin"/>
      </w:r>
      <w:r>
        <w:rPr>
          <w:b/>
        </w:rPr>
        <w:instrText xml:space="preserve"> TOC \o "1-3" \h \z \u </w:instrText>
      </w:r>
      <w:r>
        <w:rPr>
          <w:b/>
        </w:rPr>
        <w:fldChar w:fldCharType="separate"/>
      </w:r>
      <w:hyperlink w:anchor="_Toc433381374" w:history="1">
        <w:r w:rsidR="00C27725" w:rsidRPr="0007310B">
          <w:rPr>
            <w:rStyle w:val="Hyperlink"/>
            <w:noProof/>
          </w:rPr>
          <w:t>I.</w:t>
        </w:r>
        <w:r w:rsidR="00C27725">
          <w:rPr>
            <w:rFonts w:asciiTheme="minorHAnsi" w:eastAsiaTheme="minorEastAsia" w:hAnsiTheme="minorHAnsi" w:cstheme="minorBidi"/>
            <w:caps w:val="0"/>
            <w:noProof/>
            <w:sz w:val="22"/>
            <w:szCs w:val="22"/>
          </w:rPr>
          <w:tab/>
        </w:r>
        <w:r w:rsidR="00C27725" w:rsidRPr="0007310B">
          <w:rPr>
            <w:rStyle w:val="Hyperlink"/>
            <w:noProof/>
          </w:rPr>
          <w:t>INTRODUCTION</w:t>
        </w:r>
        <w:r w:rsidR="00C27725">
          <w:rPr>
            <w:noProof/>
            <w:webHidden/>
          </w:rPr>
          <w:tab/>
        </w:r>
        <w:r w:rsidR="00C27725">
          <w:rPr>
            <w:noProof/>
            <w:webHidden/>
          </w:rPr>
          <w:fldChar w:fldCharType="begin"/>
        </w:r>
        <w:r w:rsidR="00C27725">
          <w:rPr>
            <w:noProof/>
            <w:webHidden/>
          </w:rPr>
          <w:instrText xml:space="preserve"> PAGEREF _Toc433381374 \h </w:instrText>
        </w:r>
        <w:r w:rsidR="00C27725">
          <w:rPr>
            <w:noProof/>
            <w:webHidden/>
          </w:rPr>
        </w:r>
        <w:r w:rsidR="00C27725">
          <w:rPr>
            <w:noProof/>
            <w:webHidden/>
          </w:rPr>
          <w:fldChar w:fldCharType="separate"/>
        </w:r>
        <w:r w:rsidR="00A11D6D">
          <w:rPr>
            <w:noProof/>
            <w:webHidden/>
          </w:rPr>
          <w:t>1</w:t>
        </w:r>
        <w:r w:rsidR="00C27725">
          <w:rPr>
            <w:noProof/>
            <w:webHidden/>
          </w:rPr>
          <w:fldChar w:fldCharType="end"/>
        </w:r>
      </w:hyperlink>
    </w:p>
    <w:p w14:paraId="0AFDB7F4" w14:textId="77777777" w:rsidR="00C27725" w:rsidRDefault="009B0D40">
      <w:pPr>
        <w:pStyle w:val="TOC1"/>
        <w:rPr>
          <w:rFonts w:asciiTheme="minorHAnsi" w:eastAsiaTheme="minorEastAsia" w:hAnsiTheme="minorHAnsi" w:cstheme="minorBidi"/>
          <w:caps w:val="0"/>
          <w:noProof/>
          <w:sz w:val="22"/>
          <w:szCs w:val="22"/>
        </w:rPr>
      </w:pPr>
      <w:hyperlink w:anchor="_Toc433381375" w:history="1">
        <w:r w:rsidR="00C27725" w:rsidRPr="0007310B">
          <w:rPr>
            <w:rStyle w:val="Hyperlink"/>
            <w:noProof/>
          </w:rPr>
          <w:t>II.</w:t>
        </w:r>
        <w:r w:rsidR="00C27725">
          <w:rPr>
            <w:rFonts w:asciiTheme="minorHAnsi" w:eastAsiaTheme="minorEastAsia" w:hAnsiTheme="minorHAnsi" w:cstheme="minorBidi"/>
            <w:caps w:val="0"/>
            <w:noProof/>
            <w:sz w:val="22"/>
            <w:szCs w:val="22"/>
          </w:rPr>
          <w:tab/>
        </w:r>
        <w:r w:rsidR="00C27725" w:rsidRPr="0007310B">
          <w:rPr>
            <w:rStyle w:val="Hyperlink"/>
            <w:noProof/>
          </w:rPr>
          <w:t>DISCUSSION</w:t>
        </w:r>
        <w:r w:rsidR="00C27725">
          <w:rPr>
            <w:noProof/>
            <w:webHidden/>
          </w:rPr>
          <w:tab/>
        </w:r>
        <w:r w:rsidR="00C27725">
          <w:rPr>
            <w:noProof/>
            <w:webHidden/>
          </w:rPr>
          <w:fldChar w:fldCharType="begin"/>
        </w:r>
        <w:r w:rsidR="00C27725">
          <w:rPr>
            <w:noProof/>
            <w:webHidden/>
          </w:rPr>
          <w:instrText xml:space="preserve"> PAGEREF _Toc433381375 \h </w:instrText>
        </w:r>
        <w:r w:rsidR="00C27725">
          <w:rPr>
            <w:noProof/>
            <w:webHidden/>
          </w:rPr>
        </w:r>
        <w:r w:rsidR="00C27725">
          <w:rPr>
            <w:noProof/>
            <w:webHidden/>
          </w:rPr>
          <w:fldChar w:fldCharType="separate"/>
        </w:r>
        <w:r w:rsidR="00A11D6D">
          <w:rPr>
            <w:noProof/>
            <w:webHidden/>
          </w:rPr>
          <w:t>2</w:t>
        </w:r>
        <w:r w:rsidR="00C27725">
          <w:rPr>
            <w:noProof/>
            <w:webHidden/>
          </w:rPr>
          <w:fldChar w:fldCharType="end"/>
        </w:r>
      </w:hyperlink>
    </w:p>
    <w:p w14:paraId="4286C449" w14:textId="77777777" w:rsidR="00C27725" w:rsidRDefault="009B0D40">
      <w:pPr>
        <w:pStyle w:val="TOC2"/>
        <w:tabs>
          <w:tab w:val="left" w:pos="1440"/>
        </w:tabs>
        <w:rPr>
          <w:rFonts w:asciiTheme="minorHAnsi" w:eastAsiaTheme="minorEastAsia" w:hAnsiTheme="minorHAnsi" w:cstheme="minorBidi"/>
          <w:noProof/>
          <w:sz w:val="22"/>
          <w:szCs w:val="22"/>
        </w:rPr>
      </w:pPr>
      <w:hyperlink w:anchor="_Toc433381376" w:history="1">
        <w:r w:rsidR="00C27725" w:rsidRPr="0007310B">
          <w:rPr>
            <w:rStyle w:val="Hyperlink"/>
            <w:noProof/>
          </w:rPr>
          <w:t>A.</w:t>
        </w:r>
        <w:r w:rsidR="00C27725">
          <w:rPr>
            <w:rFonts w:asciiTheme="minorHAnsi" w:eastAsiaTheme="minorEastAsia" w:hAnsiTheme="minorHAnsi" w:cstheme="minorBidi"/>
            <w:noProof/>
            <w:sz w:val="22"/>
            <w:szCs w:val="22"/>
          </w:rPr>
          <w:tab/>
        </w:r>
        <w:r w:rsidR="00C27725" w:rsidRPr="0007310B">
          <w:rPr>
            <w:rStyle w:val="Hyperlink"/>
            <w:noProof/>
          </w:rPr>
          <w:t>An appropriate review of Duke’s Motion to Dismiss should lead the PUCO to deny the Motion.</w:t>
        </w:r>
        <w:r w:rsidR="00C27725">
          <w:rPr>
            <w:noProof/>
            <w:webHidden/>
          </w:rPr>
          <w:tab/>
        </w:r>
        <w:r w:rsidR="00C27725">
          <w:rPr>
            <w:noProof/>
            <w:webHidden/>
          </w:rPr>
          <w:fldChar w:fldCharType="begin"/>
        </w:r>
        <w:r w:rsidR="00C27725">
          <w:rPr>
            <w:noProof/>
            <w:webHidden/>
          </w:rPr>
          <w:instrText xml:space="preserve"> PAGEREF _Toc433381376 \h </w:instrText>
        </w:r>
        <w:r w:rsidR="00C27725">
          <w:rPr>
            <w:noProof/>
            <w:webHidden/>
          </w:rPr>
        </w:r>
        <w:r w:rsidR="00C27725">
          <w:rPr>
            <w:noProof/>
            <w:webHidden/>
          </w:rPr>
          <w:fldChar w:fldCharType="separate"/>
        </w:r>
        <w:r w:rsidR="00A11D6D">
          <w:rPr>
            <w:noProof/>
            <w:webHidden/>
          </w:rPr>
          <w:t>2</w:t>
        </w:r>
        <w:r w:rsidR="00C27725">
          <w:rPr>
            <w:noProof/>
            <w:webHidden/>
          </w:rPr>
          <w:fldChar w:fldCharType="end"/>
        </w:r>
      </w:hyperlink>
    </w:p>
    <w:p w14:paraId="47250AA6" w14:textId="77777777" w:rsidR="00C27725" w:rsidRDefault="009B0D40">
      <w:pPr>
        <w:pStyle w:val="TOC2"/>
        <w:tabs>
          <w:tab w:val="left" w:pos="1440"/>
        </w:tabs>
        <w:rPr>
          <w:rFonts w:asciiTheme="minorHAnsi" w:eastAsiaTheme="minorEastAsia" w:hAnsiTheme="minorHAnsi" w:cstheme="minorBidi"/>
          <w:noProof/>
          <w:sz w:val="22"/>
          <w:szCs w:val="22"/>
        </w:rPr>
      </w:pPr>
      <w:hyperlink w:anchor="_Toc433381377" w:history="1">
        <w:r w:rsidR="00C27725" w:rsidRPr="0007310B">
          <w:rPr>
            <w:rStyle w:val="Hyperlink"/>
            <w:noProof/>
          </w:rPr>
          <w:t>B.</w:t>
        </w:r>
        <w:r w:rsidR="00C27725">
          <w:rPr>
            <w:rFonts w:asciiTheme="minorHAnsi" w:eastAsiaTheme="minorEastAsia" w:hAnsiTheme="minorHAnsi" w:cstheme="minorBidi"/>
            <w:noProof/>
            <w:sz w:val="22"/>
            <w:szCs w:val="22"/>
          </w:rPr>
          <w:tab/>
        </w:r>
        <w:r w:rsidR="00C27725" w:rsidRPr="0007310B">
          <w:rPr>
            <w:rStyle w:val="Hyperlink"/>
            <w:noProof/>
          </w:rPr>
          <w:t>The Consumer Parties have established reasonable grounds for the Complaint regarding Duke’s misapplication of the winter heating rules.</w:t>
        </w:r>
        <w:r w:rsidR="00C27725">
          <w:rPr>
            <w:noProof/>
            <w:webHidden/>
          </w:rPr>
          <w:tab/>
        </w:r>
        <w:r w:rsidR="00C27725">
          <w:rPr>
            <w:noProof/>
            <w:webHidden/>
          </w:rPr>
          <w:fldChar w:fldCharType="begin"/>
        </w:r>
        <w:r w:rsidR="00C27725">
          <w:rPr>
            <w:noProof/>
            <w:webHidden/>
          </w:rPr>
          <w:instrText xml:space="preserve"> PAGEREF _Toc433381377 \h </w:instrText>
        </w:r>
        <w:r w:rsidR="00C27725">
          <w:rPr>
            <w:noProof/>
            <w:webHidden/>
          </w:rPr>
        </w:r>
        <w:r w:rsidR="00C27725">
          <w:rPr>
            <w:noProof/>
            <w:webHidden/>
          </w:rPr>
          <w:fldChar w:fldCharType="separate"/>
        </w:r>
        <w:r w:rsidR="00A11D6D">
          <w:rPr>
            <w:noProof/>
            <w:webHidden/>
          </w:rPr>
          <w:t>3</w:t>
        </w:r>
        <w:r w:rsidR="00C27725">
          <w:rPr>
            <w:noProof/>
            <w:webHidden/>
          </w:rPr>
          <w:fldChar w:fldCharType="end"/>
        </w:r>
      </w:hyperlink>
    </w:p>
    <w:p w14:paraId="73164BE2" w14:textId="77777777" w:rsidR="00C27725" w:rsidRDefault="009B0D40">
      <w:pPr>
        <w:pStyle w:val="TOC2"/>
        <w:tabs>
          <w:tab w:val="left" w:pos="1440"/>
        </w:tabs>
        <w:rPr>
          <w:rFonts w:asciiTheme="minorHAnsi" w:eastAsiaTheme="minorEastAsia" w:hAnsiTheme="minorHAnsi" w:cstheme="minorBidi"/>
          <w:noProof/>
          <w:sz w:val="22"/>
          <w:szCs w:val="22"/>
        </w:rPr>
      </w:pPr>
      <w:hyperlink w:anchor="_Toc433381378" w:history="1">
        <w:r w:rsidR="00C27725" w:rsidRPr="0007310B">
          <w:rPr>
            <w:rStyle w:val="Hyperlink"/>
            <w:noProof/>
          </w:rPr>
          <w:t>C.</w:t>
        </w:r>
        <w:r w:rsidR="00C27725">
          <w:rPr>
            <w:rFonts w:asciiTheme="minorHAnsi" w:eastAsiaTheme="minorEastAsia" w:hAnsiTheme="minorHAnsi" w:cstheme="minorBidi"/>
            <w:noProof/>
            <w:sz w:val="22"/>
            <w:szCs w:val="22"/>
          </w:rPr>
          <w:tab/>
        </w:r>
        <w:r w:rsidR="00C27725" w:rsidRPr="0007310B">
          <w:rPr>
            <w:rStyle w:val="Hyperlink"/>
            <w:noProof/>
          </w:rPr>
          <w:t xml:space="preserve">The cases cited by Duke to refute the PUCO’s jurisdiction over the Consumer Parties’ Complaint are not analogous to this case because the Consumer Parties </w:t>
        </w:r>
        <w:r w:rsidR="00C27725" w:rsidRPr="0007310B">
          <w:rPr>
            <w:rStyle w:val="Hyperlink"/>
            <w:i/>
            <w:noProof/>
          </w:rPr>
          <w:t>have</w:t>
        </w:r>
        <w:r w:rsidR="00C27725" w:rsidRPr="0007310B">
          <w:rPr>
            <w:rStyle w:val="Hyperlink"/>
            <w:noProof/>
          </w:rPr>
          <w:t xml:space="preserve"> stated reasonable grounds for the Complaint.</w:t>
        </w:r>
        <w:r w:rsidR="00C27725">
          <w:rPr>
            <w:noProof/>
            <w:webHidden/>
          </w:rPr>
          <w:tab/>
        </w:r>
        <w:r w:rsidR="00C27725">
          <w:rPr>
            <w:noProof/>
            <w:webHidden/>
          </w:rPr>
          <w:fldChar w:fldCharType="begin"/>
        </w:r>
        <w:r w:rsidR="00C27725">
          <w:rPr>
            <w:noProof/>
            <w:webHidden/>
          </w:rPr>
          <w:instrText xml:space="preserve"> PAGEREF _Toc433381378 \h </w:instrText>
        </w:r>
        <w:r w:rsidR="00C27725">
          <w:rPr>
            <w:noProof/>
            <w:webHidden/>
          </w:rPr>
        </w:r>
        <w:r w:rsidR="00C27725">
          <w:rPr>
            <w:noProof/>
            <w:webHidden/>
          </w:rPr>
          <w:fldChar w:fldCharType="separate"/>
        </w:r>
        <w:r w:rsidR="00A11D6D">
          <w:rPr>
            <w:noProof/>
            <w:webHidden/>
          </w:rPr>
          <w:t>7</w:t>
        </w:r>
        <w:r w:rsidR="00C27725">
          <w:rPr>
            <w:noProof/>
            <w:webHidden/>
          </w:rPr>
          <w:fldChar w:fldCharType="end"/>
        </w:r>
      </w:hyperlink>
    </w:p>
    <w:p w14:paraId="396A052D" w14:textId="77777777" w:rsidR="00C27725" w:rsidRDefault="009B0D40">
      <w:pPr>
        <w:pStyle w:val="TOC1"/>
        <w:rPr>
          <w:rFonts w:asciiTheme="minorHAnsi" w:eastAsiaTheme="minorEastAsia" w:hAnsiTheme="minorHAnsi" w:cstheme="minorBidi"/>
          <w:caps w:val="0"/>
          <w:noProof/>
          <w:sz w:val="22"/>
          <w:szCs w:val="22"/>
        </w:rPr>
      </w:pPr>
      <w:hyperlink w:anchor="_Toc433381379" w:history="1">
        <w:r w:rsidR="00C27725" w:rsidRPr="0007310B">
          <w:rPr>
            <w:rStyle w:val="Hyperlink"/>
            <w:rFonts w:eastAsia="Calibri"/>
            <w:noProof/>
          </w:rPr>
          <w:t>III.</w:t>
        </w:r>
        <w:r w:rsidR="00C27725">
          <w:rPr>
            <w:rFonts w:asciiTheme="minorHAnsi" w:eastAsiaTheme="minorEastAsia" w:hAnsiTheme="minorHAnsi" w:cstheme="minorBidi"/>
            <w:caps w:val="0"/>
            <w:noProof/>
            <w:sz w:val="22"/>
            <w:szCs w:val="22"/>
          </w:rPr>
          <w:tab/>
        </w:r>
        <w:r w:rsidR="00C27725" w:rsidRPr="0007310B">
          <w:rPr>
            <w:rStyle w:val="Hyperlink"/>
            <w:rFonts w:eastAsia="Calibri"/>
            <w:noProof/>
          </w:rPr>
          <w:t>CONCLUSION</w:t>
        </w:r>
        <w:r w:rsidR="00C27725">
          <w:rPr>
            <w:noProof/>
            <w:webHidden/>
          </w:rPr>
          <w:tab/>
        </w:r>
        <w:r w:rsidR="00C27725">
          <w:rPr>
            <w:noProof/>
            <w:webHidden/>
          </w:rPr>
          <w:fldChar w:fldCharType="begin"/>
        </w:r>
        <w:r w:rsidR="00C27725">
          <w:rPr>
            <w:noProof/>
            <w:webHidden/>
          </w:rPr>
          <w:instrText xml:space="preserve"> PAGEREF _Toc433381379 \h </w:instrText>
        </w:r>
        <w:r w:rsidR="00C27725">
          <w:rPr>
            <w:noProof/>
            <w:webHidden/>
          </w:rPr>
        </w:r>
        <w:r w:rsidR="00C27725">
          <w:rPr>
            <w:noProof/>
            <w:webHidden/>
          </w:rPr>
          <w:fldChar w:fldCharType="separate"/>
        </w:r>
        <w:r w:rsidR="00A11D6D">
          <w:rPr>
            <w:noProof/>
            <w:webHidden/>
          </w:rPr>
          <w:t>11</w:t>
        </w:r>
        <w:r w:rsidR="00C27725">
          <w:rPr>
            <w:noProof/>
            <w:webHidden/>
          </w:rPr>
          <w:fldChar w:fldCharType="end"/>
        </w:r>
      </w:hyperlink>
    </w:p>
    <w:p w14:paraId="24C9C979" w14:textId="77777777" w:rsidR="00BF7201" w:rsidRDefault="00553D9A" w:rsidP="00553D9A">
      <w:pPr>
        <w:autoSpaceDE w:val="0"/>
        <w:autoSpaceDN w:val="0"/>
        <w:adjustRightInd w:val="0"/>
        <w:spacing w:after="0" w:line="240" w:lineRule="auto"/>
        <w:rPr>
          <w:b/>
        </w:rPr>
        <w:sectPr w:rsidR="00BF7201" w:rsidSect="00BF7201">
          <w:headerReference w:type="first" r:id="rId16"/>
          <w:footerReference w:type="first" r:id="rId17"/>
          <w:pgSz w:w="12240" w:h="15840"/>
          <w:pgMar w:top="1440" w:right="1800" w:bottom="1440" w:left="1800" w:header="720" w:footer="720" w:gutter="0"/>
          <w:pgNumType w:fmt="lowerRoman" w:start="1"/>
          <w:cols w:space="720"/>
          <w:noEndnote/>
          <w:titlePg/>
          <w:docGrid w:linePitch="326"/>
        </w:sectPr>
      </w:pPr>
      <w:r>
        <w:rPr>
          <w:b/>
        </w:rPr>
        <w:fldChar w:fldCharType="end"/>
      </w:r>
    </w:p>
    <w:p w14:paraId="03998D9B" w14:textId="7BA3E232" w:rsidR="0042644F" w:rsidRPr="00104013" w:rsidRDefault="00076F41" w:rsidP="00076F41">
      <w:pPr>
        <w:autoSpaceDE w:val="0"/>
        <w:autoSpaceDN w:val="0"/>
        <w:adjustRightInd w:val="0"/>
        <w:spacing w:after="0" w:line="240" w:lineRule="auto"/>
        <w:jc w:val="center"/>
        <w:rPr>
          <w:b/>
        </w:rPr>
      </w:pPr>
      <w:r>
        <w:rPr>
          <w:b/>
        </w:rPr>
        <w:lastRenderedPageBreak/>
        <w:t>B</w:t>
      </w:r>
      <w:r w:rsidR="00CA6B85" w:rsidRPr="00104013">
        <w:rPr>
          <w:b/>
        </w:rPr>
        <w:t xml:space="preserve">EFORE </w:t>
      </w:r>
    </w:p>
    <w:p w14:paraId="34DA219E" w14:textId="77777777" w:rsidR="00CA6B85" w:rsidRPr="00104013" w:rsidRDefault="00CA6B85" w:rsidP="00076F41">
      <w:pPr>
        <w:autoSpaceDE w:val="0"/>
        <w:autoSpaceDN w:val="0"/>
        <w:adjustRightInd w:val="0"/>
        <w:spacing w:after="0" w:line="240" w:lineRule="auto"/>
        <w:jc w:val="center"/>
        <w:rPr>
          <w:b/>
        </w:rPr>
      </w:pPr>
      <w:r w:rsidRPr="00104013">
        <w:rPr>
          <w:b/>
        </w:rPr>
        <w:t>THE PUBLIC UTILITIES COMMISSION OF OHIO</w:t>
      </w:r>
    </w:p>
    <w:p w14:paraId="2F48679E" w14:textId="77777777" w:rsidR="00CA6B85" w:rsidRPr="00104013" w:rsidRDefault="00CA6B85" w:rsidP="00CA6B85">
      <w:pPr>
        <w:autoSpaceDE w:val="0"/>
        <w:autoSpaceDN w:val="0"/>
        <w:adjustRightInd w:val="0"/>
        <w:spacing w:after="0" w:line="240" w:lineRule="auto"/>
        <w:ind w:left="14" w:right="-14"/>
        <w:jc w:val="center"/>
        <w:rPr>
          <w:b/>
        </w:rPr>
      </w:pP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282"/>
        <w:gridCol w:w="4230"/>
      </w:tblGrid>
      <w:tr w:rsidR="00CA6B85" w:rsidRPr="00104013" w14:paraId="5DF3AC32" w14:textId="77777777" w:rsidTr="00E16B4C">
        <w:trPr>
          <w:trHeight w:val="2493"/>
        </w:trPr>
        <w:tc>
          <w:tcPr>
            <w:tcW w:w="4330" w:type="dxa"/>
          </w:tcPr>
          <w:p w14:paraId="07BBDB3D" w14:textId="77777777" w:rsidR="00CA6B85" w:rsidRPr="00104013" w:rsidRDefault="00CA6B85" w:rsidP="00076F41">
            <w:pPr>
              <w:autoSpaceDE w:val="0"/>
              <w:autoSpaceDN w:val="0"/>
              <w:adjustRightInd w:val="0"/>
            </w:pPr>
            <w:r w:rsidRPr="00104013">
              <w:t>The Office of the Ohio Consumers</w:t>
            </w:r>
            <w:r w:rsidR="00B93CB0" w:rsidRPr="00104013">
              <w:t>’</w:t>
            </w:r>
            <w:r w:rsidRPr="00104013">
              <w:t xml:space="preserve"> Counsel</w:t>
            </w:r>
            <w:r w:rsidR="000A5465" w:rsidRPr="00104013">
              <w:t xml:space="preserve">, </w:t>
            </w:r>
            <w:r w:rsidR="00D20091">
              <w:t>and</w:t>
            </w:r>
          </w:p>
          <w:p w14:paraId="4CD66789" w14:textId="77777777" w:rsidR="000A5465" w:rsidRDefault="000A5465" w:rsidP="00076F41">
            <w:pPr>
              <w:autoSpaceDE w:val="0"/>
              <w:autoSpaceDN w:val="0"/>
              <w:adjustRightInd w:val="0"/>
            </w:pPr>
          </w:p>
          <w:p w14:paraId="584ECB55" w14:textId="77777777" w:rsidR="0040106B" w:rsidRDefault="004B3DBD" w:rsidP="00076F41">
            <w:pPr>
              <w:autoSpaceDE w:val="0"/>
              <w:autoSpaceDN w:val="0"/>
              <w:adjustRightInd w:val="0"/>
            </w:pPr>
            <w:r>
              <w:t>Communities United for Action</w:t>
            </w:r>
          </w:p>
          <w:p w14:paraId="20AAB7B4" w14:textId="77777777" w:rsidR="00AA6E79" w:rsidRPr="00104013" w:rsidRDefault="00AA6E79" w:rsidP="00076F41">
            <w:pPr>
              <w:autoSpaceDE w:val="0"/>
              <w:autoSpaceDN w:val="0"/>
              <w:adjustRightInd w:val="0"/>
            </w:pPr>
          </w:p>
          <w:p w14:paraId="61DB708A" w14:textId="77777777" w:rsidR="000A5465" w:rsidRPr="00104013" w:rsidRDefault="000A5465" w:rsidP="00076F41">
            <w:pPr>
              <w:autoSpaceDE w:val="0"/>
              <w:autoSpaceDN w:val="0"/>
              <w:adjustRightInd w:val="0"/>
              <w:ind w:firstLine="706"/>
            </w:pPr>
            <w:r w:rsidRPr="00104013">
              <w:t>Complainant</w:t>
            </w:r>
            <w:r w:rsidR="00EB2FA8">
              <w:t>s</w:t>
            </w:r>
            <w:r w:rsidRPr="00104013">
              <w:t>,</w:t>
            </w:r>
          </w:p>
          <w:p w14:paraId="3A795738" w14:textId="77777777" w:rsidR="00CA6B85" w:rsidRPr="00104013" w:rsidRDefault="00CA6B85" w:rsidP="00076F41">
            <w:pPr>
              <w:autoSpaceDE w:val="0"/>
              <w:autoSpaceDN w:val="0"/>
              <w:adjustRightInd w:val="0"/>
            </w:pPr>
          </w:p>
          <w:p w14:paraId="5C13C733" w14:textId="77777777" w:rsidR="00CA6B85" w:rsidRPr="00104013" w:rsidRDefault="00CA6B85" w:rsidP="00076F41">
            <w:pPr>
              <w:autoSpaceDE w:val="0"/>
              <w:autoSpaceDN w:val="0"/>
              <w:adjustRightInd w:val="0"/>
            </w:pPr>
            <w:r w:rsidRPr="00104013">
              <w:t xml:space="preserve">v. </w:t>
            </w:r>
          </w:p>
          <w:p w14:paraId="7DCDD0C8" w14:textId="77777777" w:rsidR="00CA6B85" w:rsidRPr="00104013" w:rsidRDefault="00CA6B85" w:rsidP="00076F41">
            <w:pPr>
              <w:autoSpaceDE w:val="0"/>
              <w:autoSpaceDN w:val="0"/>
              <w:adjustRightInd w:val="0"/>
            </w:pPr>
          </w:p>
          <w:p w14:paraId="5BCF8004" w14:textId="77777777" w:rsidR="00CA6B85" w:rsidRPr="00104013" w:rsidRDefault="00CA6B85" w:rsidP="00076F41">
            <w:pPr>
              <w:autoSpaceDE w:val="0"/>
              <w:autoSpaceDN w:val="0"/>
              <w:adjustRightInd w:val="0"/>
            </w:pPr>
            <w:r w:rsidRPr="00104013">
              <w:t>Duke Energy Ohio, Inc.</w:t>
            </w:r>
          </w:p>
          <w:p w14:paraId="426F00EE" w14:textId="77777777" w:rsidR="000A5465" w:rsidRPr="00104013" w:rsidRDefault="000A5465" w:rsidP="00076F41">
            <w:pPr>
              <w:autoSpaceDE w:val="0"/>
              <w:autoSpaceDN w:val="0"/>
              <w:adjustRightInd w:val="0"/>
            </w:pPr>
          </w:p>
          <w:p w14:paraId="37837E62" w14:textId="77777777" w:rsidR="000A5465" w:rsidRPr="00104013" w:rsidRDefault="000A5465" w:rsidP="00076F41">
            <w:pPr>
              <w:autoSpaceDE w:val="0"/>
              <w:autoSpaceDN w:val="0"/>
              <w:adjustRightInd w:val="0"/>
              <w:ind w:firstLine="706"/>
            </w:pPr>
            <w:r w:rsidRPr="00104013">
              <w:t>Respondent.</w:t>
            </w:r>
          </w:p>
        </w:tc>
        <w:tc>
          <w:tcPr>
            <w:tcW w:w="282" w:type="dxa"/>
          </w:tcPr>
          <w:p w14:paraId="4A9439DC" w14:textId="77777777" w:rsidR="000A5465" w:rsidRPr="00104013" w:rsidRDefault="00CA6B85" w:rsidP="00CA6B85">
            <w:pPr>
              <w:autoSpaceDE w:val="0"/>
              <w:autoSpaceDN w:val="0"/>
              <w:adjustRightInd w:val="0"/>
              <w:ind w:right="-14"/>
            </w:pPr>
            <w:r w:rsidRPr="00104013">
              <w:t>) ) ) ) )</w:t>
            </w:r>
          </w:p>
          <w:p w14:paraId="337C98F8" w14:textId="77777777" w:rsidR="000A5465" w:rsidRPr="00104013" w:rsidRDefault="000A5465" w:rsidP="00CA6B85">
            <w:pPr>
              <w:autoSpaceDE w:val="0"/>
              <w:autoSpaceDN w:val="0"/>
              <w:adjustRightInd w:val="0"/>
              <w:ind w:right="-14"/>
            </w:pPr>
            <w:r w:rsidRPr="00104013">
              <w:t>)</w:t>
            </w:r>
          </w:p>
          <w:p w14:paraId="4E053916" w14:textId="77777777" w:rsidR="000A5465" w:rsidRPr="00104013" w:rsidRDefault="000A5465" w:rsidP="00CA6B85">
            <w:pPr>
              <w:autoSpaceDE w:val="0"/>
              <w:autoSpaceDN w:val="0"/>
              <w:adjustRightInd w:val="0"/>
              <w:ind w:right="-14"/>
            </w:pPr>
            <w:r w:rsidRPr="00104013">
              <w:t>)</w:t>
            </w:r>
          </w:p>
          <w:p w14:paraId="396BD669" w14:textId="77777777" w:rsidR="000A5465" w:rsidRPr="00104013" w:rsidRDefault="000A5465" w:rsidP="00CA6B85">
            <w:pPr>
              <w:autoSpaceDE w:val="0"/>
              <w:autoSpaceDN w:val="0"/>
              <w:adjustRightInd w:val="0"/>
              <w:ind w:right="-14"/>
            </w:pPr>
            <w:r w:rsidRPr="00104013">
              <w:t>)</w:t>
            </w:r>
          </w:p>
          <w:p w14:paraId="790D56AE" w14:textId="77777777" w:rsidR="005F4FCE" w:rsidRDefault="000A5465" w:rsidP="00CA6B85">
            <w:pPr>
              <w:autoSpaceDE w:val="0"/>
              <w:autoSpaceDN w:val="0"/>
              <w:adjustRightInd w:val="0"/>
              <w:ind w:right="-14"/>
            </w:pPr>
            <w:r w:rsidRPr="00104013">
              <w:t>)</w:t>
            </w:r>
          </w:p>
          <w:p w14:paraId="0FC33791" w14:textId="77777777" w:rsidR="00A52D05" w:rsidRDefault="00A52D05" w:rsidP="00CA6B85">
            <w:pPr>
              <w:autoSpaceDE w:val="0"/>
              <w:autoSpaceDN w:val="0"/>
              <w:adjustRightInd w:val="0"/>
              <w:ind w:right="-14"/>
            </w:pPr>
            <w:r>
              <w:t>)</w:t>
            </w:r>
          </w:p>
          <w:p w14:paraId="4F376DF2" w14:textId="77777777" w:rsidR="001B704D" w:rsidRDefault="001B704D" w:rsidP="00CA6B85">
            <w:pPr>
              <w:autoSpaceDE w:val="0"/>
              <w:autoSpaceDN w:val="0"/>
              <w:adjustRightInd w:val="0"/>
              <w:ind w:right="-14"/>
            </w:pPr>
            <w:r>
              <w:t>)</w:t>
            </w:r>
          </w:p>
          <w:p w14:paraId="505641F1" w14:textId="182C9451" w:rsidR="00AA6E79" w:rsidRPr="00104013" w:rsidRDefault="00AA6E79" w:rsidP="00CA6B85">
            <w:pPr>
              <w:autoSpaceDE w:val="0"/>
              <w:autoSpaceDN w:val="0"/>
              <w:adjustRightInd w:val="0"/>
              <w:ind w:right="-14"/>
            </w:pPr>
            <w:r>
              <w:t>)</w:t>
            </w:r>
          </w:p>
          <w:p w14:paraId="1C81C691" w14:textId="77777777" w:rsidR="00CA6B85" w:rsidRPr="00104013" w:rsidRDefault="00CA6B85" w:rsidP="00CA6B85">
            <w:pPr>
              <w:autoSpaceDE w:val="0"/>
              <w:autoSpaceDN w:val="0"/>
              <w:adjustRightInd w:val="0"/>
              <w:ind w:right="-14"/>
            </w:pPr>
            <w:r w:rsidRPr="00104013">
              <w:t xml:space="preserve"> </w:t>
            </w:r>
          </w:p>
        </w:tc>
        <w:tc>
          <w:tcPr>
            <w:tcW w:w="4230" w:type="dxa"/>
          </w:tcPr>
          <w:p w14:paraId="39AB6080" w14:textId="77777777" w:rsidR="00CA6B85" w:rsidRPr="00104013" w:rsidRDefault="00CA6B85" w:rsidP="00CA6B85">
            <w:pPr>
              <w:autoSpaceDE w:val="0"/>
              <w:autoSpaceDN w:val="0"/>
              <w:adjustRightInd w:val="0"/>
              <w:ind w:right="-14"/>
            </w:pPr>
          </w:p>
          <w:p w14:paraId="7EA1CE56" w14:textId="77777777" w:rsidR="00CA6B85" w:rsidRPr="00104013" w:rsidRDefault="00CA6B85" w:rsidP="00CA6B85">
            <w:pPr>
              <w:autoSpaceDE w:val="0"/>
              <w:autoSpaceDN w:val="0"/>
              <w:adjustRightInd w:val="0"/>
              <w:ind w:right="-14"/>
            </w:pPr>
          </w:p>
          <w:p w14:paraId="2075B028" w14:textId="6587972A" w:rsidR="00CA6B85" w:rsidRPr="00104013" w:rsidRDefault="00CA6B85" w:rsidP="002E5DBD">
            <w:pPr>
              <w:autoSpaceDE w:val="0"/>
              <w:autoSpaceDN w:val="0"/>
              <w:adjustRightInd w:val="0"/>
              <w:ind w:right="-14"/>
            </w:pPr>
            <w:r w:rsidRPr="00104013">
              <w:t>Case No. 15-</w:t>
            </w:r>
            <w:r w:rsidR="002E5DBD">
              <w:t>1588</w:t>
            </w:r>
            <w:r w:rsidRPr="00104013">
              <w:t>-</w:t>
            </w:r>
            <w:r w:rsidR="008B49E9" w:rsidRPr="00104013">
              <w:t>GE</w:t>
            </w:r>
            <w:r w:rsidRPr="00104013">
              <w:t>-CSS</w:t>
            </w:r>
          </w:p>
        </w:tc>
      </w:tr>
    </w:tbl>
    <w:p w14:paraId="6821E6CF" w14:textId="77777777" w:rsidR="0042644F" w:rsidRPr="00104013" w:rsidRDefault="00CA6B85" w:rsidP="001D6531">
      <w:pPr>
        <w:autoSpaceDE w:val="0"/>
        <w:autoSpaceDN w:val="0"/>
        <w:adjustRightInd w:val="0"/>
        <w:spacing w:after="0" w:line="480" w:lineRule="auto"/>
        <w:ind w:left="14" w:right="-14"/>
      </w:pPr>
      <w:r w:rsidRPr="00104013">
        <w:t>________________________________________________________________________</w:t>
      </w:r>
    </w:p>
    <w:p w14:paraId="77A07B92" w14:textId="5F56D5A2" w:rsidR="00CA6B85" w:rsidRDefault="003617A1" w:rsidP="00076F41">
      <w:pPr>
        <w:autoSpaceDE w:val="0"/>
        <w:autoSpaceDN w:val="0"/>
        <w:adjustRightInd w:val="0"/>
        <w:spacing w:after="0" w:line="240" w:lineRule="auto"/>
        <w:jc w:val="center"/>
        <w:rPr>
          <w:b/>
        </w:rPr>
      </w:pPr>
      <w:r>
        <w:rPr>
          <w:b/>
        </w:rPr>
        <w:t>MEMORANDUM CONTRA</w:t>
      </w:r>
      <w:r w:rsidR="001E6FA7">
        <w:rPr>
          <w:b/>
        </w:rPr>
        <w:t xml:space="preserve"> DUKE’S MOTION TO DISMISS</w:t>
      </w:r>
      <w:r w:rsidR="00D85F79">
        <w:rPr>
          <w:b/>
        </w:rPr>
        <w:t xml:space="preserve"> THE CONSUMER PARTIES’ COMPLAINT ABOUT DISCONNECTIONS OF CONSUMERS</w:t>
      </w:r>
    </w:p>
    <w:p w14:paraId="4D67E2F1" w14:textId="708C336F" w:rsidR="003617A1" w:rsidRDefault="003617A1" w:rsidP="00076F41">
      <w:pPr>
        <w:autoSpaceDE w:val="0"/>
        <w:autoSpaceDN w:val="0"/>
        <w:adjustRightInd w:val="0"/>
        <w:spacing w:after="0" w:line="240" w:lineRule="auto"/>
        <w:jc w:val="center"/>
        <w:rPr>
          <w:b/>
        </w:rPr>
      </w:pPr>
      <w:r>
        <w:rPr>
          <w:b/>
        </w:rPr>
        <w:t>BY</w:t>
      </w:r>
    </w:p>
    <w:p w14:paraId="57479782" w14:textId="254AA913" w:rsidR="003617A1" w:rsidRDefault="003617A1" w:rsidP="00076F41">
      <w:pPr>
        <w:autoSpaceDE w:val="0"/>
        <w:autoSpaceDN w:val="0"/>
        <w:adjustRightInd w:val="0"/>
        <w:spacing w:after="0" w:line="240" w:lineRule="auto"/>
        <w:jc w:val="center"/>
        <w:rPr>
          <w:b/>
        </w:rPr>
      </w:pPr>
      <w:r>
        <w:rPr>
          <w:b/>
        </w:rPr>
        <w:t>THE OFFICE OF THE OHIO CONSUMERS’ COUNSEL</w:t>
      </w:r>
    </w:p>
    <w:p w14:paraId="23148F0F" w14:textId="66C0EAA5" w:rsidR="002E5DBD" w:rsidRPr="00104013" w:rsidRDefault="002E5DBD" w:rsidP="00076F41">
      <w:pPr>
        <w:autoSpaceDE w:val="0"/>
        <w:autoSpaceDN w:val="0"/>
        <w:adjustRightInd w:val="0"/>
        <w:spacing w:after="0" w:line="240" w:lineRule="auto"/>
        <w:jc w:val="center"/>
        <w:rPr>
          <w:b/>
        </w:rPr>
      </w:pPr>
      <w:r>
        <w:rPr>
          <w:b/>
        </w:rPr>
        <w:t>AND COMMUNITIES UNITED FOR ACTION</w:t>
      </w:r>
    </w:p>
    <w:p w14:paraId="62B19137" w14:textId="77777777" w:rsidR="00CA6B85" w:rsidRPr="00104013" w:rsidRDefault="00CA6B85" w:rsidP="00CA6B85">
      <w:pPr>
        <w:autoSpaceDE w:val="0"/>
        <w:autoSpaceDN w:val="0"/>
        <w:adjustRightInd w:val="0"/>
        <w:spacing w:after="0" w:line="240" w:lineRule="auto"/>
        <w:ind w:left="14" w:right="-14"/>
        <w:jc w:val="both"/>
      </w:pPr>
      <w:r w:rsidRPr="00104013">
        <w:t>________________________________________________________________________</w:t>
      </w:r>
    </w:p>
    <w:p w14:paraId="511CCA83" w14:textId="77777777" w:rsidR="00175D24" w:rsidRPr="00104013" w:rsidRDefault="00175D24" w:rsidP="005A7ACB">
      <w:pPr>
        <w:spacing w:after="0" w:line="240" w:lineRule="auto"/>
        <w:ind w:firstLine="720"/>
      </w:pPr>
    </w:p>
    <w:p w14:paraId="58FF06C3" w14:textId="2E5A7082" w:rsidR="0013148E" w:rsidRPr="0013148E" w:rsidRDefault="0013148E" w:rsidP="00E852AF">
      <w:pPr>
        <w:pStyle w:val="Heading1"/>
      </w:pPr>
      <w:bookmarkStart w:id="1" w:name="_Toc433381374"/>
      <w:r>
        <w:t>I.</w:t>
      </w:r>
      <w:r>
        <w:tab/>
        <w:t>INTRODUCTION</w:t>
      </w:r>
      <w:bookmarkEnd w:id="1"/>
    </w:p>
    <w:p w14:paraId="6B7BF6A5" w14:textId="0CDCDEA9" w:rsidR="00A3748A" w:rsidRDefault="0088766C" w:rsidP="002945A2">
      <w:pPr>
        <w:spacing w:after="0" w:line="480" w:lineRule="auto"/>
        <w:ind w:firstLine="720"/>
      </w:pPr>
      <w:r>
        <w:t xml:space="preserve">The Office of the Ohio Consumers’ Counsel (“OCC”) and Communities United for Action </w:t>
      </w:r>
      <w:r w:rsidR="00D9686B">
        <w:t xml:space="preserve">(“CUFA”) (collectively, “Consumer Parties”) </w:t>
      </w:r>
      <w:r>
        <w:t xml:space="preserve">filed a complaint to protect residential customers from </w:t>
      </w:r>
      <w:r w:rsidR="00D85F79">
        <w:t xml:space="preserve">the </w:t>
      </w:r>
      <w:r w:rsidRPr="00104013">
        <w:t>unlawful and unreasonable</w:t>
      </w:r>
      <w:r>
        <w:t xml:space="preserve"> disconnection practices</w:t>
      </w:r>
      <w:r w:rsidR="00D85F79">
        <w:t xml:space="preserve"> of </w:t>
      </w:r>
      <w:r w:rsidR="00D85F79" w:rsidRPr="00104013">
        <w:t>Duke Energy Ohio, Inc.</w:t>
      </w:r>
      <w:r w:rsidR="00D85F79">
        <w:t>’s</w:t>
      </w:r>
      <w:r w:rsidR="00D85F79" w:rsidRPr="00104013">
        <w:t xml:space="preserve"> (“</w:t>
      </w:r>
      <w:r w:rsidR="00D85F79">
        <w:t>Duke”)</w:t>
      </w:r>
      <w:r>
        <w:t xml:space="preserve">.  Concurrently with the Complaint, </w:t>
      </w:r>
      <w:r w:rsidR="00D9686B">
        <w:t>we</w:t>
      </w:r>
      <w:r>
        <w:t xml:space="preserve"> filed a Motion asking t</w:t>
      </w:r>
      <w:r w:rsidR="00684425" w:rsidRPr="00104013">
        <w:t xml:space="preserve">he </w:t>
      </w:r>
      <w:r w:rsidR="008C3E9F" w:rsidRPr="00104013">
        <w:t>Public Utilities Commission of Ohio (“</w:t>
      </w:r>
      <w:r w:rsidR="00684425" w:rsidRPr="00104013">
        <w:t>PUCO</w:t>
      </w:r>
      <w:r w:rsidR="008C3E9F">
        <w:t>”)</w:t>
      </w:r>
      <w:r w:rsidR="00684425">
        <w:t xml:space="preserve"> </w:t>
      </w:r>
      <w:r>
        <w:t>to protect consumers against Duke’s disconnection practices during the upcoming winter heating season</w:t>
      </w:r>
      <w:r w:rsidR="00D85F79">
        <w:t xml:space="preserve">, while our </w:t>
      </w:r>
      <w:r w:rsidR="00391693">
        <w:t>C</w:t>
      </w:r>
      <w:r w:rsidR="00D85F79">
        <w:t>omplaint is pending a resolution by the PUCO</w:t>
      </w:r>
      <w:r w:rsidR="00684425">
        <w:t>.</w:t>
      </w:r>
      <w:r w:rsidR="00080637" w:rsidRPr="00104013">
        <w:t xml:space="preserve"> </w:t>
      </w:r>
      <w:r w:rsidR="00684425">
        <w:t xml:space="preserve"> </w:t>
      </w:r>
      <w:r w:rsidR="00A3748A">
        <w:t xml:space="preserve">  </w:t>
      </w:r>
    </w:p>
    <w:p w14:paraId="5891F422" w14:textId="08D6EE1C" w:rsidR="00124FAB" w:rsidRDefault="0013148E" w:rsidP="002945A2">
      <w:pPr>
        <w:spacing w:after="0" w:line="480" w:lineRule="auto"/>
        <w:ind w:firstLine="720"/>
      </w:pPr>
      <w:r>
        <w:t>The</w:t>
      </w:r>
      <w:r w:rsidR="00A3748A">
        <w:t xml:space="preserve"> </w:t>
      </w:r>
      <w:r w:rsidR="003E7527">
        <w:t xml:space="preserve">Consumer Parties’ </w:t>
      </w:r>
      <w:r w:rsidR="00531E27">
        <w:t xml:space="preserve">Complaint and </w:t>
      </w:r>
      <w:r w:rsidR="00A3748A">
        <w:t xml:space="preserve">Motion </w:t>
      </w:r>
      <w:r w:rsidR="00531E27">
        <w:t xml:space="preserve">were </w:t>
      </w:r>
      <w:r w:rsidR="00A3748A">
        <w:t xml:space="preserve">prompted by </w:t>
      </w:r>
      <w:r w:rsidR="00D25E50">
        <w:t>a</w:t>
      </w:r>
      <w:r w:rsidR="008C3E9F">
        <w:t xml:space="preserve"> </w:t>
      </w:r>
      <w:r w:rsidR="00C64E8F">
        <w:t xml:space="preserve">concerning </w:t>
      </w:r>
      <w:r w:rsidR="00D25E50">
        <w:t xml:space="preserve">position advanced </w:t>
      </w:r>
      <w:r w:rsidR="00531E27">
        <w:t xml:space="preserve">several times </w:t>
      </w:r>
      <w:r w:rsidR="00D25E50">
        <w:t xml:space="preserve">by Duke that the PUCO’s </w:t>
      </w:r>
      <w:r w:rsidR="00531E27">
        <w:t xml:space="preserve">rules governing </w:t>
      </w:r>
      <w:r w:rsidR="00D25E50">
        <w:t xml:space="preserve">winter disconnection of customers do not apply if the arrearages leading to the disconnection </w:t>
      </w:r>
      <w:r w:rsidR="009A5966">
        <w:t xml:space="preserve">included amounts </w:t>
      </w:r>
      <w:r w:rsidR="00D25E50">
        <w:t xml:space="preserve">incurred prior to the winter heating season.  This position is contrary to </w:t>
      </w:r>
      <w:r w:rsidR="00112613">
        <w:t xml:space="preserve">the </w:t>
      </w:r>
      <w:r w:rsidR="00531E27">
        <w:t xml:space="preserve">plain language </w:t>
      </w:r>
      <w:r w:rsidR="00112613">
        <w:t xml:space="preserve">of </w:t>
      </w:r>
      <w:r w:rsidR="00D25E50">
        <w:t xml:space="preserve">the PUCO’s </w:t>
      </w:r>
      <w:r w:rsidR="00531E27">
        <w:t xml:space="preserve">winter heating rules and its </w:t>
      </w:r>
      <w:r w:rsidR="008C3E9F">
        <w:t>W</w:t>
      </w:r>
      <w:r w:rsidR="00D25E50">
        <w:t xml:space="preserve">inter </w:t>
      </w:r>
      <w:r w:rsidR="008C3E9F">
        <w:t>Reconnect</w:t>
      </w:r>
      <w:r w:rsidR="00D25E50">
        <w:t xml:space="preserve"> Orders.  The Motion was made against a backdrop of Duke disconnecting, for nonpayment</w:t>
      </w:r>
      <w:r w:rsidR="00A3748A">
        <w:t xml:space="preserve">, by far the highest percentage of residential customers among Ohio’s electric utilities.  </w:t>
      </w:r>
    </w:p>
    <w:p w14:paraId="1A40AB8A" w14:textId="387952BC" w:rsidR="00C64E8F" w:rsidRDefault="00A3748A" w:rsidP="002945A2">
      <w:pPr>
        <w:spacing w:after="0" w:line="480" w:lineRule="auto"/>
        <w:ind w:firstLine="720"/>
      </w:pPr>
      <w:r>
        <w:t xml:space="preserve">On </w:t>
      </w:r>
      <w:r w:rsidR="001E6FA7">
        <w:t>October 8</w:t>
      </w:r>
      <w:r>
        <w:t xml:space="preserve">, 2015, Duke filed a </w:t>
      </w:r>
      <w:r w:rsidR="001E6FA7">
        <w:t>motion asking the PUCO to dismiss the Complaint</w:t>
      </w:r>
      <w:r>
        <w:t xml:space="preserve">.  </w:t>
      </w:r>
      <w:r w:rsidR="001E6FA7">
        <w:t xml:space="preserve">Duke’s basic assertion is that no justiciable controversy exists because </w:t>
      </w:r>
      <w:r w:rsidR="00D4126B">
        <w:t xml:space="preserve">the </w:t>
      </w:r>
      <w:r w:rsidR="001E6FA7">
        <w:t>Consumer Parties have not identified any customers who were unlawfully disconnected by Duke</w:t>
      </w:r>
      <w:r w:rsidR="003C7BDE">
        <w:t>.</w:t>
      </w:r>
      <w:r w:rsidR="001E6FA7">
        <w:rPr>
          <w:rStyle w:val="FootnoteReference"/>
        </w:rPr>
        <w:footnoteReference w:id="2"/>
      </w:r>
      <w:r w:rsidR="00D25E50">
        <w:t xml:space="preserve">  </w:t>
      </w:r>
      <w:r w:rsidR="008D467A">
        <w:t>Duke’s arguments do not support dismissal of the Complaint.</w:t>
      </w:r>
      <w:r w:rsidR="00E26B15">
        <w:t xml:space="preserve">  The PUCO should deny Duke’s Motion</w:t>
      </w:r>
      <w:r w:rsidR="003E7527">
        <w:t xml:space="preserve"> to Dimiss</w:t>
      </w:r>
      <w:r w:rsidR="00E26B15">
        <w:t>.</w:t>
      </w:r>
    </w:p>
    <w:p w14:paraId="4BFF929E" w14:textId="7BA89810" w:rsidR="00E26B15" w:rsidRPr="00E26B15" w:rsidRDefault="00E26B15" w:rsidP="00E852AF">
      <w:pPr>
        <w:pStyle w:val="Heading1"/>
      </w:pPr>
      <w:bookmarkStart w:id="2" w:name="_Toc433381375"/>
      <w:r>
        <w:t>II.</w:t>
      </w:r>
      <w:r>
        <w:tab/>
        <w:t>DISCUSSION</w:t>
      </w:r>
      <w:bookmarkEnd w:id="2"/>
    </w:p>
    <w:p w14:paraId="205F5B41" w14:textId="496F1B1D" w:rsidR="006A5601" w:rsidRDefault="001913D3" w:rsidP="00553D9A">
      <w:pPr>
        <w:pStyle w:val="Heading2"/>
        <w:rPr>
          <w:rFonts w:hint="eastAsia"/>
        </w:rPr>
      </w:pPr>
      <w:bookmarkStart w:id="3" w:name="_Toc433381376"/>
      <w:r>
        <w:t>A.</w:t>
      </w:r>
      <w:r>
        <w:tab/>
      </w:r>
      <w:r w:rsidR="006A5601">
        <w:t>An appropriate review of Duke’s Motion to Dismiss should lead the PUCO to deny the Motion.</w:t>
      </w:r>
      <w:bookmarkEnd w:id="3"/>
      <w:r w:rsidR="006A5601">
        <w:t xml:space="preserve"> </w:t>
      </w:r>
    </w:p>
    <w:p w14:paraId="130A8EF9" w14:textId="77B0F7B6" w:rsidR="006A5601" w:rsidRDefault="00B5775C" w:rsidP="006A5601">
      <w:pPr>
        <w:spacing w:after="0" w:line="480" w:lineRule="auto"/>
        <w:ind w:firstLine="720"/>
        <w:rPr>
          <w:color w:val="373739"/>
        </w:rPr>
      </w:pPr>
      <w:r>
        <w:t xml:space="preserve">The PUCO stated its standard for reviewing a motion to dismiss in </w:t>
      </w:r>
      <w:r w:rsidRPr="00E16D6A">
        <w:rPr>
          <w:i/>
        </w:rPr>
        <w:t>OCC v. Dominion Retail</w:t>
      </w:r>
      <w:r>
        <w:t>.  There, t</w:t>
      </w:r>
      <w:r w:rsidR="006A5601">
        <w:t xml:space="preserve">he PUCO stated: </w:t>
      </w:r>
      <w:r w:rsidR="006A5601" w:rsidRPr="00E16D6A">
        <w:t>“[W]</w:t>
      </w:r>
      <w:r w:rsidR="006A5601" w:rsidRPr="00E16D6A">
        <w:rPr>
          <w:color w:val="373739"/>
        </w:rPr>
        <w:t>hen a motion to dismiss is</w:t>
      </w:r>
      <w:r w:rsidR="00D4126B">
        <w:rPr>
          <w:color w:val="373739"/>
        </w:rPr>
        <w:t xml:space="preserve"> being </w:t>
      </w:r>
      <w:r w:rsidR="006A5601" w:rsidRPr="00E16D6A">
        <w:rPr>
          <w:color w:val="373739"/>
        </w:rPr>
        <w:t xml:space="preserve">considered, all material allegations of the </w:t>
      </w:r>
      <w:r w:rsidR="006A5601" w:rsidRPr="00E16D6A">
        <w:rPr>
          <w:rStyle w:val="sssh"/>
          <w:color w:val="373739"/>
        </w:rPr>
        <w:t>complaint</w:t>
      </w:r>
      <w:r w:rsidR="006A5601" w:rsidRPr="00E16D6A">
        <w:rPr>
          <w:color w:val="373739"/>
        </w:rPr>
        <w:t xml:space="preserve"> must be accepted as true and construed in favor of the complaining party.</w:t>
      </w:r>
      <w:r w:rsidR="006A5601">
        <w:rPr>
          <w:color w:val="373739"/>
        </w:rPr>
        <w:t>”</w:t>
      </w:r>
      <w:r w:rsidR="006A5601">
        <w:rPr>
          <w:rStyle w:val="FootnoteReference"/>
          <w:color w:val="373739"/>
        </w:rPr>
        <w:footnoteReference w:id="3"/>
      </w:r>
      <w:r w:rsidR="006A5601">
        <w:rPr>
          <w:color w:val="373739"/>
        </w:rPr>
        <w:t xml:space="preserve">  Under this review, the PUCO should </w:t>
      </w:r>
      <w:r w:rsidR="00D85F79">
        <w:rPr>
          <w:color w:val="373739"/>
        </w:rPr>
        <w:t xml:space="preserve">not </w:t>
      </w:r>
      <w:r w:rsidR="006A5601">
        <w:rPr>
          <w:color w:val="373739"/>
        </w:rPr>
        <w:t xml:space="preserve">dismiss the </w:t>
      </w:r>
      <w:r w:rsidR="00D85F79">
        <w:rPr>
          <w:color w:val="373739"/>
        </w:rPr>
        <w:t>C</w:t>
      </w:r>
      <w:r w:rsidR="006A5601">
        <w:rPr>
          <w:color w:val="373739"/>
        </w:rPr>
        <w:t>omplaint.</w:t>
      </w:r>
    </w:p>
    <w:p w14:paraId="17B6C577" w14:textId="17A9D2EE" w:rsidR="006A5601" w:rsidRDefault="00D85F79" w:rsidP="006A5601">
      <w:pPr>
        <w:spacing w:after="0" w:line="480" w:lineRule="auto"/>
        <w:ind w:firstLine="720"/>
        <w:rPr>
          <w:color w:val="373739"/>
        </w:rPr>
      </w:pPr>
      <w:r>
        <w:rPr>
          <w:color w:val="373739"/>
        </w:rPr>
        <w:t>The C</w:t>
      </w:r>
      <w:r w:rsidR="006A5601">
        <w:rPr>
          <w:color w:val="373739"/>
        </w:rPr>
        <w:t>omplainants in this case, the Consumer Parties, have alleged that Duke misapplies</w:t>
      </w:r>
      <w:r w:rsidR="00B5775C">
        <w:rPr>
          <w:color w:val="373739"/>
        </w:rPr>
        <w:t xml:space="preserve"> the </w:t>
      </w:r>
      <w:r w:rsidR="00391693">
        <w:rPr>
          <w:color w:val="373739"/>
        </w:rPr>
        <w:t xml:space="preserve">PUCO’s </w:t>
      </w:r>
      <w:r w:rsidR="00B5775C">
        <w:rPr>
          <w:color w:val="373739"/>
        </w:rPr>
        <w:t>winter heating rules</w:t>
      </w:r>
      <w:r>
        <w:rPr>
          <w:color w:val="373739"/>
        </w:rPr>
        <w:t xml:space="preserve"> </w:t>
      </w:r>
      <w:r w:rsidR="00391693">
        <w:t>and Winter Reconnect Orders</w:t>
      </w:r>
      <w:r w:rsidR="00391693">
        <w:rPr>
          <w:color w:val="373739"/>
        </w:rPr>
        <w:t xml:space="preserve"> </w:t>
      </w:r>
      <w:r w:rsidR="009A5966">
        <w:rPr>
          <w:color w:val="373739"/>
        </w:rPr>
        <w:t xml:space="preserve">as permitting </w:t>
      </w:r>
      <w:r w:rsidR="00391693">
        <w:rPr>
          <w:color w:val="373739"/>
        </w:rPr>
        <w:t>Duke</w:t>
      </w:r>
      <w:r w:rsidR="009A5966">
        <w:rPr>
          <w:color w:val="373739"/>
        </w:rPr>
        <w:t xml:space="preserve"> to avoid the protections afforded by the rule</w:t>
      </w:r>
      <w:r w:rsidR="00FA1D0D">
        <w:rPr>
          <w:color w:val="373739"/>
        </w:rPr>
        <w:t>s</w:t>
      </w:r>
      <w:r w:rsidR="009A5966">
        <w:rPr>
          <w:color w:val="373739"/>
        </w:rPr>
        <w:t xml:space="preserve"> when </w:t>
      </w:r>
      <w:r w:rsidR="00B5775C">
        <w:rPr>
          <w:color w:val="373739"/>
        </w:rPr>
        <w:t>disconnect</w:t>
      </w:r>
      <w:r w:rsidR="00FA1D0D">
        <w:rPr>
          <w:color w:val="373739"/>
        </w:rPr>
        <w:t>ing</w:t>
      </w:r>
      <w:r w:rsidR="00B5775C">
        <w:rPr>
          <w:color w:val="373739"/>
        </w:rPr>
        <w:t xml:space="preserve"> residential customers during the winter heating season </w:t>
      </w:r>
      <w:r w:rsidR="00FA1D0D">
        <w:rPr>
          <w:color w:val="373739"/>
        </w:rPr>
        <w:t xml:space="preserve">because their bill included delinquent charges for service </w:t>
      </w:r>
      <w:r w:rsidR="00B5775C">
        <w:rPr>
          <w:color w:val="373739"/>
        </w:rPr>
        <w:t xml:space="preserve">that occurred prior to the winter heating season.  This </w:t>
      </w:r>
      <w:r w:rsidR="006A5601">
        <w:rPr>
          <w:color w:val="373739"/>
        </w:rPr>
        <w:t>put</w:t>
      </w:r>
      <w:r>
        <w:rPr>
          <w:color w:val="373739"/>
        </w:rPr>
        <w:t>s</w:t>
      </w:r>
      <w:r w:rsidR="006A5601">
        <w:rPr>
          <w:color w:val="373739"/>
        </w:rPr>
        <w:t xml:space="preserve"> cons</w:t>
      </w:r>
      <w:r w:rsidR="00B5775C">
        <w:rPr>
          <w:color w:val="373739"/>
        </w:rPr>
        <w:t>umers at risk of being unlawfully disconnected.</w:t>
      </w:r>
    </w:p>
    <w:p w14:paraId="5E5A3286" w14:textId="72D91A76" w:rsidR="00B5775C" w:rsidRPr="006A5601" w:rsidRDefault="00574992" w:rsidP="006A5601">
      <w:pPr>
        <w:spacing w:after="0" w:line="480" w:lineRule="auto"/>
        <w:ind w:firstLine="720"/>
        <w:rPr>
          <w:color w:val="373739"/>
        </w:rPr>
      </w:pPr>
      <w:r>
        <w:rPr>
          <w:color w:val="373739"/>
        </w:rPr>
        <w:t>In considering Duke’s Motion to Dismiss, the PUCO must accept this allegation as true.  For this reason and for the reasons discussed below, the PUCO should deny Duke’s Motion to Dismiss.</w:t>
      </w:r>
    </w:p>
    <w:p w14:paraId="30C1E20D" w14:textId="5BD16B58" w:rsidR="001913D3" w:rsidRPr="001913D3" w:rsidRDefault="006A5601" w:rsidP="00553D9A">
      <w:pPr>
        <w:pStyle w:val="Heading2"/>
        <w:rPr>
          <w:rFonts w:hint="eastAsia"/>
        </w:rPr>
      </w:pPr>
      <w:bookmarkStart w:id="4" w:name="_Toc433381377"/>
      <w:r>
        <w:t>B.</w:t>
      </w:r>
      <w:r>
        <w:tab/>
      </w:r>
      <w:r w:rsidR="001913D3">
        <w:t>The Consumer Parties have established reasonable grounds for the Complaint regarding Duke’s misapplication of the winter heating rules.</w:t>
      </w:r>
      <w:bookmarkEnd w:id="4"/>
    </w:p>
    <w:p w14:paraId="75D029F2" w14:textId="52B1E2F7" w:rsidR="00E26B15" w:rsidRDefault="00E26B15" w:rsidP="002945A2">
      <w:pPr>
        <w:spacing w:after="0" w:line="480" w:lineRule="auto"/>
        <w:ind w:firstLine="720"/>
      </w:pPr>
      <w:r>
        <w:t>Contrary to Duke’s assertions,</w:t>
      </w:r>
      <w:r>
        <w:rPr>
          <w:rStyle w:val="FootnoteReference"/>
        </w:rPr>
        <w:footnoteReference w:id="4"/>
      </w:r>
      <w:r>
        <w:t xml:space="preserve"> the Consumer Parties do not seek an advisory opinion from the PUCO.  The Consumer Parties ask the PUCO to stop Duke’s unlawful </w:t>
      </w:r>
      <w:r w:rsidR="00D85F79">
        <w:t xml:space="preserve">and unreasonable </w:t>
      </w:r>
      <w:r>
        <w:t>disconnection practices.  T</w:t>
      </w:r>
      <w:r w:rsidR="007E52AF">
        <w:t>he basis for the Complaint rests on two facts.</w:t>
      </w:r>
    </w:p>
    <w:p w14:paraId="5B43CFE4" w14:textId="225F5479" w:rsidR="007E52AF" w:rsidRDefault="007E52AF" w:rsidP="002945A2">
      <w:pPr>
        <w:spacing w:after="0" w:line="480" w:lineRule="auto"/>
        <w:ind w:firstLine="720"/>
      </w:pPr>
      <w:r>
        <w:t>First, Duke has repeatedly and boldly stated its erroneous position that the consumer protections in the PUCO’s winter heating rules</w:t>
      </w:r>
      <w:r>
        <w:rPr>
          <w:rStyle w:val="FootnoteReference"/>
        </w:rPr>
        <w:footnoteReference w:id="5"/>
      </w:r>
      <w:r>
        <w:t xml:space="preserve"> do not apply if the customer’s usage occurred before the winter heating season.</w:t>
      </w:r>
      <w:r w:rsidR="002A728E">
        <w:rPr>
          <w:rStyle w:val="FootnoteReference"/>
          <w:rFonts w:eastAsia="Calibri"/>
          <w:szCs w:val="22"/>
        </w:rPr>
        <w:footnoteReference w:id="6"/>
      </w:r>
      <w:r w:rsidR="002A728E">
        <w:rPr>
          <w:rFonts w:eastAsia="Calibri"/>
          <w:szCs w:val="22"/>
        </w:rPr>
        <w:t xml:space="preserve"> </w:t>
      </w:r>
      <w:r>
        <w:t xml:space="preserve">  </w:t>
      </w:r>
      <w:r w:rsidR="002A728E">
        <w:t>Duke’s</w:t>
      </w:r>
      <w:r>
        <w:t xml:space="preserve"> misapplication of the winter heating rules first came to light in the </w:t>
      </w:r>
      <w:r w:rsidRPr="007E52AF">
        <w:rPr>
          <w:i/>
        </w:rPr>
        <w:t>Pitzer</w:t>
      </w:r>
      <w:r>
        <w:t xml:space="preserve"> case</w:t>
      </w:r>
      <w:r w:rsidR="00D85F79">
        <w:t>, where the complaint states that two consumers were unlawfully disconnected by Duke, resulting in death</w:t>
      </w:r>
      <w:r>
        <w:t>.</w:t>
      </w:r>
    </w:p>
    <w:p w14:paraId="299B27B3" w14:textId="07F52508" w:rsidR="002A728E" w:rsidRDefault="002A728E" w:rsidP="002945A2">
      <w:pPr>
        <w:spacing w:after="0" w:line="480" w:lineRule="auto"/>
        <w:ind w:firstLine="720"/>
      </w:pPr>
      <w:r>
        <w:t xml:space="preserve">Second, as mentioned in the Complaint, the number of customers Duke has disconnected for nonpayment has steadily increased since 2009.  The latest figures filed with the PUCO show that in the last reporting year Duke disconnected almost as many residential customers for nonpayment as AEP Ohio did, even though AEP Ohio has more than twice as many residential customers as Duke.  The result is that Duke’s percentage of residential customers </w:t>
      </w:r>
      <w:r w:rsidR="00F64D3A">
        <w:t>who were disconnected for nonpayment – about 14 percent – was twice as high as AEP Ohio’s.</w:t>
      </w:r>
    </w:p>
    <w:p w14:paraId="629A5030" w14:textId="5AE6B981" w:rsidR="00F64D3A" w:rsidRDefault="00CB6673" w:rsidP="002945A2">
      <w:pPr>
        <w:spacing w:after="0" w:line="480" w:lineRule="auto"/>
        <w:ind w:firstLine="720"/>
      </w:pPr>
      <w:r>
        <w:t xml:space="preserve">Duke </w:t>
      </w:r>
      <w:r w:rsidR="00122F20">
        <w:t>contends</w:t>
      </w:r>
      <w:r>
        <w:t xml:space="preserve"> that </w:t>
      </w:r>
      <w:r w:rsidR="00122F20">
        <w:t>the Complaint does not reference “specific facts, current incidents of disconnection, or articulated, actual customer injury….”</w:t>
      </w:r>
      <w:r w:rsidR="00122F20">
        <w:rPr>
          <w:rStyle w:val="FootnoteReference"/>
        </w:rPr>
        <w:footnoteReference w:id="7"/>
      </w:r>
      <w:r>
        <w:t xml:space="preserve">  </w:t>
      </w:r>
      <w:r w:rsidR="0044200F">
        <w:t>But that is not the requirement for a complaint under the law.</w:t>
      </w:r>
    </w:p>
    <w:p w14:paraId="6067777B" w14:textId="022583BA" w:rsidR="0044200F" w:rsidRDefault="0044200F" w:rsidP="0044200F">
      <w:pPr>
        <w:spacing w:after="0" w:line="480" w:lineRule="auto"/>
        <w:ind w:firstLine="720"/>
      </w:pPr>
      <w:r>
        <w:t xml:space="preserve">R.C. 4905.26 does not require the actual harm that Duke asserts is necessary to support an allegation in a complaint.  Instead, the law specifically allows the filing of complaints to prevent injury to customers.  Under the statute, a complaint may alleged that “a </w:t>
      </w:r>
      <w:r w:rsidRPr="006E6208">
        <w:rPr>
          <w:color w:val="000000"/>
        </w:rPr>
        <w:t>service rendered,</w:t>
      </w:r>
      <w:r w:rsidRPr="006E6208">
        <w:rPr>
          <w:i/>
          <w:color w:val="000000"/>
        </w:rPr>
        <w:t xml:space="preserve"> </w:t>
      </w:r>
      <w:r w:rsidRPr="006E6208">
        <w:rPr>
          <w:color w:val="000000"/>
        </w:rPr>
        <w:t xml:space="preserve">charged, demanded, exacted, </w:t>
      </w:r>
      <w:r w:rsidRPr="006E6208">
        <w:rPr>
          <w:i/>
          <w:color w:val="000000"/>
        </w:rPr>
        <w:t>or proposed to be rendered</w:t>
      </w:r>
      <w:r w:rsidRPr="006E6208">
        <w:rPr>
          <w:color w:val="000000"/>
        </w:rPr>
        <w:t>, charged, demanded, or exacted, is in any respect unjust, unreasonable, unjustly discriminatory, unjustly preferential, or in violation of law</w:t>
      </w:r>
      <w:r>
        <w:rPr>
          <w:color w:val="000000"/>
        </w:rPr>
        <w:t xml:space="preserve">….”  </w:t>
      </w:r>
      <w:r>
        <w:t xml:space="preserve">(Emphasis added.)  The statute also provides that a complaint may allege “that any regulation, measurement, or practice affecting or relating to any service furnished by the public utility, or in connection with such service, </w:t>
      </w:r>
      <w:r w:rsidRPr="000A6556">
        <w:rPr>
          <w:i/>
        </w:rPr>
        <w:t>is, or will be, in any respect</w:t>
      </w:r>
      <w:r>
        <w:t xml:space="preserve"> unreasonable, unjust, insufficient, unjustly discriminatory, or unjustly preferential….”  (Emphasis added.)</w:t>
      </w:r>
      <w:r>
        <w:rPr>
          <w:rStyle w:val="FootnoteReference"/>
        </w:rPr>
        <w:footnoteReference w:id="8"/>
      </w:r>
      <w:r>
        <w:t xml:space="preserve">  Duke’s practice of misapplying the PUCO’s winter heating rules is or will be unreasonable and unjust, because Duke believes it may avoid necessary consumer protections during the winter heating season based on when the customer’s usage occurred.</w:t>
      </w:r>
      <w:r>
        <w:rPr>
          <w:rStyle w:val="FootnoteReference"/>
        </w:rPr>
        <w:footnoteReference w:id="9"/>
      </w:r>
    </w:p>
    <w:p w14:paraId="1EA71EA1" w14:textId="1A61BBB6" w:rsidR="00413EEF" w:rsidRDefault="00122F20" w:rsidP="00413EEF">
      <w:pPr>
        <w:spacing w:after="0" w:line="480" w:lineRule="auto"/>
        <w:ind w:firstLine="720"/>
      </w:pPr>
      <w:r>
        <w:t>Duke</w:t>
      </w:r>
      <w:r w:rsidR="00413EEF">
        <w:t>’s</w:t>
      </w:r>
      <w:r>
        <w:t xml:space="preserve"> </w:t>
      </w:r>
      <w:r w:rsidR="00413EEF">
        <w:t xml:space="preserve">position would preclude </w:t>
      </w:r>
      <w:r>
        <w:t xml:space="preserve">aggrieved parties </w:t>
      </w:r>
      <w:r w:rsidR="00413EEF">
        <w:t>from filing</w:t>
      </w:r>
      <w:r>
        <w:t xml:space="preserve"> a complaint unless </w:t>
      </w:r>
      <w:r w:rsidR="00D85F79">
        <w:t xml:space="preserve">and until </w:t>
      </w:r>
      <w:r>
        <w:t xml:space="preserve">they </w:t>
      </w:r>
      <w:r w:rsidR="000A6556">
        <w:t xml:space="preserve">had </w:t>
      </w:r>
      <w:r w:rsidR="00D85F79">
        <w:t xml:space="preserve">filed evidence </w:t>
      </w:r>
      <w:r w:rsidR="000A6556">
        <w:t>of their assertions.</w:t>
      </w:r>
      <w:r w:rsidR="000A6556">
        <w:rPr>
          <w:rStyle w:val="FootnoteReference"/>
        </w:rPr>
        <w:footnoteReference w:id="10"/>
      </w:r>
      <w:r w:rsidR="000A6556">
        <w:t xml:space="preserve">  In reality, the statutory standard in R.C. 4905.26 is that complainants need only show that they have </w:t>
      </w:r>
      <w:r w:rsidR="00413EEF">
        <w:t>“</w:t>
      </w:r>
      <w:r w:rsidR="000A6556">
        <w:t>reasonable grounds</w:t>
      </w:r>
      <w:r w:rsidR="00413EEF">
        <w:t>”</w:t>
      </w:r>
      <w:r w:rsidR="000A6556">
        <w:t xml:space="preserve"> for a complaint.</w:t>
      </w:r>
      <w:r w:rsidR="00413EEF">
        <w:t xml:space="preserve">  </w:t>
      </w:r>
      <w:r w:rsidR="00D85F79">
        <w:t>After a complaint is filed, parties then engage in discovery to gather the appropriate evidence for hearing.</w:t>
      </w:r>
      <w:r w:rsidR="00D85F79">
        <w:rPr>
          <w:rStyle w:val="FootnoteReference"/>
        </w:rPr>
        <w:footnoteReference w:id="11"/>
      </w:r>
      <w:r w:rsidR="00D85F79">
        <w:t xml:space="preserve">  </w:t>
      </w:r>
      <w:r w:rsidR="00413EEF">
        <w:t xml:space="preserve">  </w:t>
      </w:r>
    </w:p>
    <w:p w14:paraId="0DB5CB5C" w14:textId="1A5B84C9" w:rsidR="00AF65FC" w:rsidRDefault="0044200F" w:rsidP="00413EEF">
      <w:pPr>
        <w:spacing w:after="0" w:line="480" w:lineRule="auto"/>
        <w:ind w:firstLine="720"/>
      </w:pPr>
      <w:r>
        <w:t xml:space="preserve">Contrary to Duke’s assertions, reasonable grounds for the Complaint exist for a number of reasons.  </w:t>
      </w:r>
      <w:r w:rsidR="00413EEF">
        <w:t>First, the PUCO in its Winter Reconnect Order advised that if a utility is not following the procedures it laid out, “we will take those steps we deem appropriate to protect the customers served by that utility.”</w:t>
      </w:r>
      <w:r w:rsidR="00413EEF">
        <w:rPr>
          <w:rStyle w:val="FootnoteReference"/>
        </w:rPr>
        <w:footnoteReference w:id="12"/>
      </w:r>
      <w:r w:rsidR="00413EEF">
        <w:t xml:space="preserve">  </w:t>
      </w:r>
    </w:p>
    <w:p w14:paraId="6CC4EDC3" w14:textId="307D622B" w:rsidR="00AF65FC" w:rsidRDefault="00AF65FC" w:rsidP="00413EEF">
      <w:pPr>
        <w:spacing w:after="0" w:line="480" w:lineRule="auto"/>
        <w:ind w:firstLine="720"/>
      </w:pPr>
      <w:r>
        <w:t xml:space="preserve">Second, </w:t>
      </w:r>
      <w:r w:rsidR="00413EEF">
        <w:t>the PUCO advised OCC that it could raise the issue of Duke’s unlawful and unreasonable disconnect</w:t>
      </w:r>
      <w:r w:rsidR="0044200F">
        <w:t>ion</w:t>
      </w:r>
      <w:r w:rsidR="00413EEF">
        <w:t xml:space="preserve"> practices “in an appropriate docket</w:t>
      </w:r>
      <w:r w:rsidR="0044200F">
        <w:t>.</w:t>
      </w:r>
      <w:r w:rsidR="00413EEF">
        <w:t>”</w:t>
      </w:r>
      <w:r w:rsidR="0044200F">
        <w:rPr>
          <w:rStyle w:val="FootnoteReference"/>
        </w:rPr>
        <w:footnoteReference w:id="13"/>
      </w:r>
      <w:r w:rsidR="00413EEF">
        <w:t xml:space="preserve"> </w:t>
      </w:r>
      <w:r w:rsidR="0044200F">
        <w:t xml:space="preserve"> The PUCO made this statement </w:t>
      </w:r>
      <w:r w:rsidR="00413EEF">
        <w:t xml:space="preserve">after precluding OCC from pursuing the issue </w:t>
      </w:r>
      <w:r w:rsidR="0044200F">
        <w:t>of Duke’s unlawful and unreasonable disconnect</w:t>
      </w:r>
      <w:r w:rsidR="00D27383">
        <w:t>ion</w:t>
      </w:r>
      <w:r w:rsidR="0044200F">
        <w:t xml:space="preserve"> practices </w:t>
      </w:r>
      <w:r w:rsidR="00413EEF">
        <w:t xml:space="preserve">in Case No. 14-1051-GE-RDR.  </w:t>
      </w:r>
    </w:p>
    <w:p w14:paraId="6A9098B3" w14:textId="1B2C9EC3" w:rsidR="000A6556" w:rsidRDefault="00413EEF" w:rsidP="00413EEF">
      <w:pPr>
        <w:spacing w:after="0" w:line="480" w:lineRule="auto"/>
        <w:ind w:firstLine="720"/>
      </w:pPr>
      <w:r>
        <w:t xml:space="preserve">The Consumer Parties’ Complaint asks that the PUCO do what its Orders said it intended to do – take steps necessary to protect consumers from utilities that are not observing the Winter Reconnect Order and pursue its claim in an appropriate docket.  Thus, consistent with the Ohio Supreme Court’s ruling in </w:t>
      </w:r>
      <w:r w:rsidRPr="00462740">
        <w:rPr>
          <w:i/>
        </w:rPr>
        <w:t>Allnet Communications Services</w:t>
      </w:r>
      <w:r>
        <w:t>,</w:t>
      </w:r>
      <w:r w:rsidR="0044200F">
        <w:rPr>
          <w:rStyle w:val="FootnoteReference"/>
        </w:rPr>
        <w:footnoteReference w:id="14"/>
      </w:r>
      <w:r>
        <w:t xml:space="preserve"> reasonable grounds for a complaint are satisfied when the complaint was directed to what the PUCO said it intended to do.</w:t>
      </w:r>
    </w:p>
    <w:p w14:paraId="6D179C8A" w14:textId="5EE7F40A" w:rsidR="00AF65FC" w:rsidRDefault="00AF65FC" w:rsidP="00AF65FC">
      <w:pPr>
        <w:spacing w:after="0" w:line="480" w:lineRule="auto"/>
        <w:ind w:firstLine="720"/>
      </w:pPr>
      <w:r>
        <w:t>Third, Duke has disconnected a very high number and proportion of customers for non-payment since 2009, as compared with the number of residential customers disconnected for non-payment by other Ohio electric utilities.  Specifically, from 2009 through 2015, Duke’s rate of disconnections ranged from a low of 11.3 percent to a high of 14.2 percent of the total number of residential customers.</w:t>
      </w:r>
      <w:r>
        <w:rPr>
          <w:rStyle w:val="FootnoteReference"/>
        </w:rPr>
        <w:footnoteReference w:id="15"/>
      </w:r>
      <w:r>
        <w:t xml:space="preserve">  At the same time, </w:t>
      </w:r>
      <w:r w:rsidR="00566065">
        <w:t xml:space="preserve">disconnections by </w:t>
      </w:r>
      <w:r>
        <w:t>the other Ohio electric utilities ranged from a low of 2.2 percent to a high of 8.9 percent of the total number of their residential customers.</w:t>
      </w:r>
      <w:r>
        <w:rPr>
          <w:rStyle w:val="FootnoteReference"/>
        </w:rPr>
        <w:footnoteReference w:id="16"/>
      </w:r>
      <w:r>
        <w:t xml:space="preserve">  These high levels of disconnections make Duke unique, and provide reasonable grounds for </w:t>
      </w:r>
      <w:r w:rsidR="0023327C">
        <w:t>the</w:t>
      </w:r>
      <w:r>
        <w:t xml:space="preserve"> </w:t>
      </w:r>
      <w:r w:rsidR="0023327C">
        <w:t>C</w:t>
      </w:r>
      <w:r>
        <w:t xml:space="preserve">omplaint, consistent with </w:t>
      </w:r>
      <w:r w:rsidRPr="00462740">
        <w:rPr>
          <w:i/>
        </w:rPr>
        <w:t>Ohio Ut</w:t>
      </w:r>
      <w:r>
        <w:rPr>
          <w:i/>
        </w:rPr>
        <w:t>ilities Co. v. Pub. Util. Comm.</w:t>
      </w:r>
      <w:r w:rsidRPr="00AF65FC">
        <w:rPr>
          <w:rStyle w:val="FootnoteReference"/>
        </w:rPr>
        <w:footnoteReference w:id="17"/>
      </w:r>
      <w:r w:rsidRPr="00AF65FC">
        <w:t xml:space="preserve"> </w:t>
      </w:r>
      <w:r>
        <w:t xml:space="preserve"> </w:t>
      </w:r>
    </w:p>
    <w:p w14:paraId="544B642F" w14:textId="3295A6C7" w:rsidR="00CB6673" w:rsidRDefault="00E363BD" w:rsidP="002945A2">
      <w:pPr>
        <w:spacing w:after="0" w:line="480" w:lineRule="auto"/>
        <w:ind w:firstLine="720"/>
      </w:pPr>
      <w:r>
        <w:t xml:space="preserve">The Consumer Parties have established reasonable grounds for this Complaint.  As noted above, Duke </w:t>
      </w:r>
      <w:r w:rsidR="0012632A">
        <w:t xml:space="preserve">– in its defense in another complaint case – </w:t>
      </w:r>
      <w:r>
        <w:t xml:space="preserve">has repeatedly </w:t>
      </w:r>
      <w:r w:rsidR="0012632A">
        <w:t>expressed its belief</w:t>
      </w:r>
      <w:r>
        <w:t xml:space="preserve"> that </w:t>
      </w:r>
      <w:r w:rsidR="0012632A">
        <w:t>the consumer protections in the PUCO’s winter heating rules do not apply if the customer’s usage occurred before the winter heating season.</w:t>
      </w:r>
      <w:r w:rsidR="0012632A">
        <w:rPr>
          <w:rStyle w:val="FootnoteReference"/>
        </w:rPr>
        <w:footnoteReference w:id="18"/>
      </w:r>
      <w:r w:rsidR="0012632A">
        <w:t xml:space="preserve">  Duke’s erroneous belief puts residential consumers at risk of unlawfully losing their electric </w:t>
      </w:r>
      <w:r w:rsidR="00AF65FC">
        <w:t xml:space="preserve">and/or natural gas </w:t>
      </w:r>
      <w:r w:rsidR="0012632A">
        <w:t xml:space="preserve">service during Ohio’s cold winter months.  </w:t>
      </w:r>
    </w:p>
    <w:p w14:paraId="3A690894" w14:textId="22C699DE" w:rsidR="001C6778" w:rsidRPr="00BF1368" w:rsidRDefault="00967E55" w:rsidP="00553D9A">
      <w:pPr>
        <w:pStyle w:val="Heading2"/>
        <w:rPr>
          <w:rFonts w:hint="eastAsia"/>
        </w:rPr>
      </w:pPr>
      <w:bookmarkStart w:id="5" w:name="_Toc433381378"/>
      <w:r>
        <w:t>C</w:t>
      </w:r>
      <w:r w:rsidR="00BF1368">
        <w:t>.</w:t>
      </w:r>
      <w:r w:rsidR="00BF1368">
        <w:tab/>
        <w:t xml:space="preserve">The cases cited by Duke to refute the PUCO’s jurisdiction over the Consumer Parties’ Complaint are not analogous to this case because the Consumer Parties </w:t>
      </w:r>
      <w:r w:rsidR="00BF1368" w:rsidRPr="00BF1368">
        <w:rPr>
          <w:i/>
        </w:rPr>
        <w:t>have</w:t>
      </w:r>
      <w:r w:rsidR="00BF1368">
        <w:t xml:space="preserve"> stated reasonable grounds for the Complaint.</w:t>
      </w:r>
      <w:bookmarkEnd w:id="5"/>
      <w:r w:rsidR="00BF1368">
        <w:t xml:space="preserve"> </w:t>
      </w:r>
    </w:p>
    <w:p w14:paraId="44CDB05C" w14:textId="7005F479" w:rsidR="00BF1368" w:rsidRDefault="00BF1368" w:rsidP="002945A2">
      <w:pPr>
        <w:spacing w:after="0" w:line="480" w:lineRule="auto"/>
        <w:ind w:firstLine="720"/>
      </w:pPr>
      <w:r>
        <w:t>In claiming that the PUCO lacks jurisdiction over the Consumer Parties’ Complaint, Duke cites several cases where the PUCO dismissed a complaint for failure to state reasonable grounds.  But the cases cited by Duke are not analogous to this case, and thus have no bearing on the Consumer Parties’ Complaint.</w:t>
      </w:r>
    </w:p>
    <w:p w14:paraId="0F14D1FF" w14:textId="25DAB539" w:rsidR="00BF1368" w:rsidRDefault="00BF1368" w:rsidP="002945A2">
      <w:pPr>
        <w:spacing w:after="0" w:line="480" w:lineRule="auto"/>
        <w:ind w:firstLine="720"/>
      </w:pPr>
      <w:r>
        <w:t xml:space="preserve">First, Duke cites </w:t>
      </w:r>
      <w:r>
        <w:rPr>
          <w:i/>
        </w:rPr>
        <w:t>Ohio CARES v. FirstEnergy Corp.</w:t>
      </w:r>
      <w:r w:rsidRPr="00BF1368">
        <w:rPr>
          <w:rStyle w:val="FootnoteReference"/>
        </w:rPr>
        <w:footnoteReference w:id="19"/>
      </w:r>
      <w:r>
        <w:t xml:space="preserve"> for the proposition that “a complaint that reflects </w:t>
      </w:r>
      <w:r>
        <w:rPr>
          <w:i/>
        </w:rPr>
        <w:t>concerns</w:t>
      </w:r>
      <w:r>
        <w:t xml:space="preserve"> is insufficient to enable the case to proceed.”</w:t>
      </w:r>
      <w:r>
        <w:rPr>
          <w:rStyle w:val="FootnoteReference"/>
        </w:rPr>
        <w:footnoteReference w:id="20"/>
      </w:r>
      <w:r>
        <w:t xml:space="preserve">  </w:t>
      </w:r>
      <w:r>
        <w:rPr>
          <w:i/>
        </w:rPr>
        <w:t>Ohio CARES</w:t>
      </w:r>
      <w:r w:rsidR="0064469D">
        <w:t xml:space="preserve"> involved allegations by the complainant that FirstEnergy was providing unsafe and unreliable electric power because FirstEnergy’s workforce was insufficient to properly maintain the distribution system.</w:t>
      </w:r>
      <w:r w:rsidR="0064469D">
        <w:rPr>
          <w:rStyle w:val="FootnoteReference"/>
        </w:rPr>
        <w:footnoteReference w:id="21"/>
      </w:r>
      <w:r w:rsidR="0064469D">
        <w:t xml:space="preserve">  The complainant asked the PUCO to conduct an investigation and to require FirstEnergy to maintain sufficient numbers of trained workers to properly maintain the system.</w:t>
      </w:r>
      <w:r w:rsidR="0064469D">
        <w:rPr>
          <w:rStyle w:val="FootnoteReference"/>
        </w:rPr>
        <w:footnoteReference w:id="22"/>
      </w:r>
      <w:r w:rsidR="0064469D">
        <w:t xml:space="preserve">  The PUCO dismissed the complaint because the complainant did not allege even one instance of inadequate service.</w:t>
      </w:r>
      <w:r w:rsidR="0064469D">
        <w:rPr>
          <w:rStyle w:val="FootnoteReference"/>
        </w:rPr>
        <w:footnoteReference w:id="23"/>
      </w:r>
      <w:r w:rsidR="0064469D">
        <w:t xml:space="preserve">  That is not the case here.</w:t>
      </w:r>
    </w:p>
    <w:p w14:paraId="16ED2096" w14:textId="715D2870" w:rsidR="0064469D" w:rsidRDefault="00D45144" w:rsidP="002945A2">
      <w:pPr>
        <w:spacing w:after="0" w:line="480" w:lineRule="auto"/>
        <w:ind w:firstLine="720"/>
      </w:pPr>
      <w:r>
        <w:t>In this proceeding, the Consumer Parties have specifically pointed to Duke’s misapplication of the winter heating rules</w:t>
      </w:r>
      <w:r w:rsidR="00EE655F">
        <w:t>,</w:t>
      </w:r>
      <w:r w:rsidR="00EE655F" w:rsidRPr="00827CF1">
        <w:t xml:space="preserve"> </w:t>
      </w:r>
      <w:r w:rsidR="00EE655F">
        <w:t xml:space="preserve">alleging specific violations of </w:t>
      </w:r>
      <w:r w:rsidR="0023327C">
        <w:t>PUCO</w:t>
      </w:r>
      <w:r w:rsidR="00EE655F">
        <w:t xml:space="preserve"> rules and orders</w:t>
      </w:r>
      <w:r>
        <w:t xml:space="preserve">.  Duke’s </w:t>
      </w:r>
      <w:r w:rsidR="00566065">
        <w:t>contention</w:t>
      </w:r>
      <w:r>
        <w:t xml:space="preserve"> that the consumer protections of the winter heating rules do not apply when the customer’s usage </w:t>
      </w:r>
      <w:r w:rsidR="00566065">
        <w:t>had occurred</w:t>
      </w:r>
      <w:r>
        <w:t xml:space="preserve"> before the winter heating season places consumers at risk.  Duke’s misapplication of the winter heating rule</w:t>
      </w:r>
      <w:r w:rsidR="0023327C">
        <w:t>s</w:t>
      </w:r>
      <w:r w:rsidR="00B25B86">
        <w:t xml:space="preserve"> is particularly troubling</w:t>
      </w:r>
      <w:r>
        <w:t xml:space="preserve"> in light of the extremely high number of Duke’s residential customers who have been disconnected for nonpayment</w:t>
      </w:r>
      <w:r w:rsidR="00B25B86">
        <w:t xml:space="preserve">.  Combined, these two facts provide </w:t>
      </w:r>
      <w:r>
        <w:t xml:space="preserve">reasonable grounds for the allegations </w:t>
      </w:r>
      <w:r w:rsidR="00B25B86">
        <w:t>that Duke’s practices regarding the winter heating rules are or will be unjust and unreasonable</w:t>
      </w:r>
      <w:r w:rsidR="00EE655F" w:rsidRPr="00EE655F">
        <w:t xml:space="preserve"> </w:t>
      </w:r>
      <w:r w:rsidR="00EE655F">
        <w:t>and, therefore, will or could harm customers</w:t>
      </w:r>
      <w:r w:rsidR="00B25B86">
        <w:t>.</w:t>
      </w:r>
    </w:p>
    <w:p w14:paraId="52671356" w14:textId="4786C043" w:rsidR="0064469D" w:rsidRPr="0064469D" w:rsidRDefault="0064469D" w:rsidP="002945A2">
      <w:pPr>
        <w:spacing w:after="0" w:line="480" w:lineRule="auto"/>
        <w:ind w:firstLine="720"/>
      </w:pPr>
      <w:r>
        <w:t xml:space="preserve">Next, Duke cites </w:t>
      </w:r>
      <w:r>
        <w:rPr>
          <w:i/>
        </w:rPr>
        <w:t>Carpenter</w:t>
      </w:r>
      <w:r w:rsidRPr="0064469D">
        <w:rPr>
          <w:rStyle w:val="FootnoteReference"/>
        </w:rPr>
        <w:footnoteReference w:id="24"/>
      </w:r>
      <w:r w:rsidR="00E10DA2">
        <w:t xml:space="preserve"> for the proposition that “‘broad and bare allegations of wrongdoing’ do not suffice.”</w:t>
      </w:r>
      <w:r w:rsidR="00E10DA2">
        <w:rPr>
          <w:rStyle w:val="FootnoteReference"/>
        </w:rPr>
        <w:footnoteReference w:id="25"/>
      </w:r>
      <w:r w:rsidR="00E10DA2">
        <w:t xml:space="preserve">  In that case, the attorney examiner had determined that the complainant had not stated reasonable grounds for a complaint and ordered the complainant to file a more definite statement of the complaint.</w:t>
      </w:r>
      <w:r w:rsidR="00E10DA2">
        <w:rPr>
          <w:rStyle w:val="FootnoteReference"/>
        </w:rPr>
        <w:footnoteReference w:id="26"/>
      </w:r>
      <w:r w:rsidR="00E10DA2">
        <w:t xml:space="preserve">  Instead, the complainant filed numerous other documents (including documents seeking to quash pleadings by the respondent), none of which provided the information required by the attorney examiner.</w:t>
      </w:r>
      <w:r w:rsidR="00C30112">
        <w:rPr>
          <w:rStyle w:val="FootnoteReference"/>
        </w:rPr>
        <w:footnoteReference w:id="27"/>
      </w:r>
      <w:r w:rsidR="00E10DA2">
        <w:t xml:space="preserve">  Because of the complainant’s lack of proper response to the attorney examiner’s entry, the PUCO dismissed the complaint:</w:t>
      </w:r>
    </w:p>
    <w:p w14:paraId="6E459D2A" w14:textId="1223C626" w:rsidR="007620E4" w:rsidRDefault="00BF1368" w:rsidP="00553D9A">
      <w:pPr>
        <w:spacing w:after="240" w:line="240" w:lineRule="auto"/>
        <w:ind w:left="1440" w:right="720"/>
      </w:pPr>
      <w:r>
        <w:t>Of all the complainants</w:t>
      </w:r>
      <w:r w:rsidR="00E10DA2">
        <w:t>’</w:t>
      </w:r>
      <w:r>
        <w:t xml:space="preserve"> pleadings which followed the April 12, 1989 entry, none even remotely addresses the requirements set forth in that entry. </w:t>
      </w:r>
      <w:r w:rsidR="00E10DA2">
        <w:t xml:space="preserve"> </w:t>
      </w:r>
      <w:r>
        <w:t>Instead, in the manner of the original complaint, they make even more broad and bare allegations of wrongdoing against an increasingly widening array of named individuals whose relationships to concerns within</w:t>
      </w:r>
      <w:r>
        <w:rPr>
          <w:rStyle w:val="sspagshow"/>
        </w:rPr>
        <w:t> </w:t>
      </w:r>
      <w:r w:rsidR="00E10DA2">
        <w:t>this Commission’</w:t>
      </w:r>
      <w:r>
        <w:t xml:space="preserve">s jurisdiction remain unspecified and highly doubtful. </w:t>
      </w:r>
      <w:r w:rsidR="00E10DA2">
        <w:t xml:space="preserve"> </w:t>
      </w:r>
      <w:r>
        <w:t xml:space="preserve">Meanwhile, the complainants have moved to quash virtually every paper or ruling which has been filed in this case since their filing of the original complaint. </w:t>
      </w:r>
      <w:r w:rsidR="00E10DA2">
        <w:t xml:space="preserve"> </w:t>
      </w:r>
      <w:r>
        <w:t>Their position, stated in their April 20, 1989 filing, is that the complaint, as originally filed, is without further need of elucidation, that the examiner</w:t>
      </w:r>
      <w:r w:rsidR="00E10DA2">
        <w:t>’</w:t>
      </w:r>
      <w:r>
        <w:t>s entry calling for a more definite statement circumvents the issues and facts presented in the complaint, that the entry is a waste of time, and that it demonstrates the examiner</w:t>
      </w:r>
      <w:r w:rsidR="00E10DA2">
        <w:t>’</w:t>
      </w:r>
      <w:r>
        <w:t>s discrimination and antagonism towards the complainants and violates their constitutional right to due process of law.</w:t>
      </w:r>
      <w:r w:rsidR="00E10DA2">
        <w:rPr>
          <w:rStyle w:val="FootnoteReference"/>
        </w:rPr>
        <w:footnoteReference w:id="28"/>
      </w:r>
    </w:p>
    <w:p w14:paraId="24945A26" w14:textId="137493FD" w:rsidR="002B57FC" w:rsidRDefault="00C944EB" w:rsidP="00791318">
      <w:pPr>
        <w:spacing w:after="0" w:line="480" w:lineRule="auto"/>
        <w:ind w:firstLine="720"/>
      </w:pPr>
      <w:r>
        <w:t>The facts i</w:t>
      </w:r>
      <w:r w:rsidR="002B57FC">
        <w:t xml:space="preserve">n this proceeding, however, </w:t>
      </w:r>
      <w:r>
        <w:t xml:space="preserve">are different from the facts in </w:t>
      </w:r>
      <w:r>
        <w:rPr>
          <w:i/>
        </w:rPr>
        <w:t>Carpenter</w:t>
      </w:r>
      <w:r>
        <w:t xml:space="preserve">.  Unlike in </w:t>
      </w:r>
      <w:r w:rsidRPr="00C944EB">
        <w:rPr>
          <w:i/>
        </w:rPr>
        <w:t>Carpenter</w:t>
      </w:r>
      <w:r>
        <w:t xml:space="preserve">, </w:t>
      </w:r>
      <w:r w:rsidR="002B57FC">
        <w:t xml:space="preserve">the </w:t>
      </w:r>
      <w:r>
        <w:t>Complaint in this case</w:t>
      </w:r>
      <w:r w:rsidR="002B57FC">
        <w:t xml:space="preserve"> ma</w:t>
      </w:r>
      <w:r>
        <w:t>kes</w:t>
      </w:r>
      <w:r w:rsidR="002B57FC">
        <w:t xml:space="preserve"> specific allegations regarding Duke’s disconnection practices.  The Complaint cites Duke’s own words and Duke’s own data to show that Duke’s disconnection practices regarding the winter heating season are or will be unjust and unreasonable.</w:t>
      </w:r>
      <w:r>
        <w:t xml:space="preserve">  </w:t>
      </w:r>
    </w:p>
    <w:p w14:paraId="141CE9DA" w14:textId="15EABBA0" w:rsidR="00791318" w:rsidRDefault="00912674" w:rsidP="00791318">
      <w:pPr>
        <w:spacing w:after="0" w:line="480" w:lineRule="auto"/>
        <w:ind w:firstLine="720"/>
      </w:pPr>
      <w:r>
        <w:t>Finally</w:t>
      </w:r>
      <w:r w:rsidR="007620E4">
        <w:t xml:space="preserve">, </w:t>
      </w:r>
      <w:r>
        <w:t>Duke cites to two cases for the proposition that the complaint must stand on its own.</w:t>
      </w:r>
      <w:r w:rsidR="00E11CE1">
        <w:rPr>
          <w:rStyle w:val="FootnoteReference"/>
        </w:rPr>
        <w:footnoteReference w:id="29"/>
      </w:r>
      <w:r>
        <w:t xml:space="preserve">  </w:t>
      </w:r>
      <w:r w:rsidR="007620E4">
        <w:t xml:space="preserve">Duke cites to </w:t>
      </w:r>
      <w:r w:rsidR="007620E4">
        <w:rPr>
          <w:i/>
        </w:rPr>
        <w:t>Williams v. Ohio Edison</w:t>
      </w:r>
      <w:r w:rsidR="00B117C8">
        <w:t>,</w:t>
      </w:r>
      <w:r w:rsidR="007620E4" w:rsidRPr="007620E4">
        <w:rPr>
          <w:rStyle w:val="FootnoteReference"/>
        </w:rPr>
        <w:footnoteReference w:id="30"/>
      </w:r>
      <w:r w:rsidR="007620E4">
        <w:t xml:space="preserve"> in which the complainant did not allege any issue</w:t>
      </w:r>
      <w:r w:rsidR="00BD2B53">
        <w:t xml:space="preserve"> relating to the utility’s rates or terms of service</w:t>
      </w:r>
      <w:r w:rsidR="007620E4">
        <w:t xml:space="preserve">.  Instead, the </w:t>
      </w:r>
      <w:r w:rsidR="00EE655F">
        <w:t xml:space="preserve">purpose of the </w:t>
      </w:r>
      <w:r w:rsidR="007620E4">
        <w:t xml:space="preserve">complaint was to </w:t>
      </w:r>
      <w:r w:rsidR="00EE655F">
        <w:t>gain access to some</w:t>
      </w:r>
      <w:r w:rsidR="007620E4">
        <w:t xml:space="preserve"> Ohio Edison </w:t>
      </w:r>
      <w:r w:rsidR="00EE655F">
        <w:t xml:space="preserve">records, by subpoena, </w:t>
      </w:r>
      <w:r w:rsidR="007620E4">
        <w:t>in connection with a garnishment of the complainant’s wages.</w:t>
      </w:r>
      <w:r w:rsidR="007620E4">
        <w:rPr>
          <w:rStyle w:val="FootnoteReference"/>
        </w:rPr>
        <w:footnoteReference w:id="31"/>
      </w:r>
      <w:r>
        <w:t xml:space="preserve">  </w:t>
      </w:r>
      <w:r w:rsidR="007620E4">
        <w:t xml:space="preserve">Duke </w:t>
      </w:r>
      <w:r w:rsidR="00EE655F">
        <w:t xml:space="preserve">also relies on </w:t>
      </w:r>
      <w:r w:rsidR="007620E4" w:rsidRPr="00912674">
        <w:rPr>
          <w:i/>
        </w:rPr>
        <w:t>Goldsberry v. United Telephone</w:t>
      </w:r>
      <w:r w:rsidR="006E21EF">
        <w:t>.</w:t>
      </w:r>
      <w:r w:rsidR="007620E4">
        <w:rPr>
          <w:rStyle w:val="FootnoteReference"/>
        </w:rPr>
        <w:footnoteReference w:id="32"/>
      </w:r>
      <w:r w:rsidR="00404307">
        <w:t xml:space="preserve"> </w:t>
      </w:r>
      <w:r w:rsidR="006E21EF">
        <w:t xml:space="preserve"> The Goldsberry complaint stated only that it was about </w:t>
      </w:r>
      <w:r w:rsidR="006E21EF" w:rsidRPr="006E21EF">
        <w:t>wron</w:t>
      </w:r>
      <w:r w:rsidR="006E21EF">
        <w:t>g</w:t>
      </w:r>
      <w:r w:rsidR="006E21EF" w:rsidRPr="006E21EF">
        <w:t>ful charges</w:t>
      </w:r>
      <w:r w:rsidR="006E21EF">
        <w:t>,</w:t>
      </w:r>
      <w:r w:rsidR="006E21EF" w:rsidRPr="006E21EF">
        <w:t xml:space="preserve"> </w:t>
      </w:r>
      <w:r w:rsidR="006E21EF">
        <w:t>f</w:t>
      </w:r>
      <w:r w:rsidR="006E21EF" w:rsidRPr="006E21EF">
        <w:t>ailure to tender compensation for consultation fee</w:t>
      </w:r>
      <w:r w:rsidR="006E21EF">
        <w:t>, and i</w:t>
      </w:r>
      <w:r w:rsidR="006E21EF" w:rsidRPr="006E21EF">
        <w:t>mproper disru</w:t>
      </w:r>
      <w:r w:rsidR="006E21EF">
        <w:t>p</w:t>
      </w:r>
      <w:r w:rsidR="006E21EF" w:rsidRPr="006E21EF">
        <w:t>tion</w:t>
      </w:r>
      <w:r w:rsidR="006E21EF">
        <w:t xml:space="preserve"> </w:t>
      </w:r>
      <w:r w:rsidR="006E21EF" w:rsidRPr="006E21EF">
        <w:t>of phone service.</w:t>
      </w:r>
      <w:r w:rsidR="006E21EF">
        <w:rPr>
          <w:rStyle w:val="FootnoteReference"/>
        </w:rPr>
        <w:footnoteReference w:id="33"/>
      </w:r>
      <w:r w:rsidR="00CB08D1">
        <w:t xml:space="preserve">  The attorney examiner ordered the complainant to file an explanation of the facts underlying the complaint.</w:t>
      </w:r>
      <w:r w:rsidR="00791318">
        <w:t xml:space="preserve">  The only thing the complainant filed was a list of charges alleged to be wrongful and an invoice for consultant’s fees.</w:t>
      </w:r>
      <w:r w:rsidR="00791318">
        <w:rPr>
          <w:rStyle w:val="FootnoteReference"/>
        </w:rPr>
        <w:footnoteReference w:id="34"/>
      </w:r>
      <w:r w:rsidR="00791318">
        <w:t xml:space="preserve">  The complainant filed nothing explaining why the charges were wrongful, and nothing about disruption of service.</w:t>
      </w:r>
      <w:r w:rsidR="00791318">
        <w:rPr>
          <w:rStyle w:val="FootnoteReference"/>
        </w:rPr>
        <w:footnoteReference w:id="35"/>
      </w:r>
      <w:r w:rsidR="00791318">
        <w:t xml:space="preserve">  The PUCO determined that the complainant failed to relate the alleged charges to any particular service, failed to disclose </w:t>
      </w:r>
      <w:r w:rsidR="00C8499C">
        <w:t xml:space="preserve">sufficient </w:t>
      </w:r>
      <w:r w:rsidR="00791318">
        <w:t xml:space="preserve">facts related to the consultation fee, </w:t>
      </w:r>
      <w:r w:rsidR="00C8499C">
        <w:t>and failed to provide any information regarding alleged disruption of service.</w:t>
      </w:r>
      <w:r w:rsidR="00C8499C">
        <w:rPr>
          <w:rStyle w:val="FootnoteReference"/>
        </w:rPr>
        <w:footnoteReference w:id="36"/>
      </w:r>
    </w:p>
    <w:p w14:paraId="1C223732" w14:textId="4D52EA78" w:rsidR="002B57FC" w:rsidRDefault="002B57FC" w:rsidP="00791318">
      <w:pPr>
        <w:spacing w:after="0" w:line="480" w:lineRule="auto"/>
        <w:ind w:firstLine="720"/>
      </w:pPr>
      <w:r>
        <w:t xml:space="preserve">Again, </w:t>
      </w:r>
      <w:r w:rsidR="00C944EB">
        <w:t xml:space="preserve">the facts </w:t>
      </w:r>
      <w:r>
        <w:t>in this proceeding</w:t>
      </w:r>
      <w:r w:rsidR="00C944EB">
        <w:t xml:space="preserve"> are different from the facts in the cases Duke cited.  Here</w:t>
      </w:r>
      <w:r>
        <w:t xml:space="preserve">, the Consumer Parties have </w:t>
      </w:r>
      <w:r w:rsidR="005D7426">
        <w:t>identified the specific practice at issue (i.e., Duke’s misapplication of the winter heating rules</w:t>
      </w:r>
      <w:r w:rsidR="00E34185" w:rsidRPr="00E34185">
        <w:t xml:space="preserve"> </w:t>
      </w:r>
      <w:r w:rsidR="00E34185">
        <w:t>and the Winter Reconnection Orders</w:t>
      </w:r>
      <w:r w:rsidR="005D7426">
        <w:t xml:space="preserve">) and have specified the remedy (i.e., prevent Duke from </w:t>
      </w:r>
      <w:r w:rsidR="00566065">
        <w:t xml:space="preserve">improperly </w:t>
      </w:r>
      <w:r w:rsidR="005D7426">
        <w:t xml:space="preserve">disconnecting customers based on the misapplication of the </w:t>
      </w:r>
      <w:r w:rsidR="00E34185">
        <w:t xml:space="preserve">PUCO’s </w:t>
      </w:r>
      <w:r w:rsidR="005D7426">
        <w:t>rules</w:t>
      </w:r>
      <w:r w:rsidR="00E34185">
        <w:t xml:space="preserve"> and orders</w:t>
      </w:r>
      <w:r w:rsidR="005D7426">
        <w:t>).</w:t>
      </w:r>
    </w:p>
    <w:p w14:paraId="0E1E40C5" w14:textId="00690F39" w:rsidR="00553D9A" w:rsidRPr="00451414" w:rsidRDefault="00CD1940" w:rsidP="000B7A2A">
      <w:pPr>
        <w:spacing w:after="0" w:line="480" w:lineRule="auto"/>
        <w:ind w:firstLine="720"/>
      </w:pPr>
      <w:r>
        <w:t xml:space="preserve">The cases Duke cited for the various propositions regarding PUCO jurisdiction </w:t>
      </w:r>
      <w:r w:rsidR="00801035">
        <w:t xml:space="preserve">are inapposite to the facts is </w:t>
      </w:r>
      <w:r>
        <w:rPr>
          <w:i/>
        </w:rPr>
        <w:t>this</w:t>
      </w:r>
      <w:r>
        <w:t xml:space="preserve"> case</w:t>
      </w:r>
      <w:r w:rsidR="00801035">
        <w:t>.  These cases do not provide a basis for the PUCO to dismiss the Complaint.  The PUCO should deny Duke’s motion.</w:t>
      </w:r>
    </w:p>
    <w:p w14:paraId="386F9CF6" w14:textId="7B8F530D" w:rsidR="00CB335A" w:rsidRPr="00CB335A" w:rsidRDefault="00CB335A" w:rsidP="00E852AF">
      <w:pPr>
        <w:pStyle w:val="Heading1"/>
        <w:rPr>
          <w:rFonts w:eastAsia="Calibri"/>
        </w:rPr>
      </w:pPr>
      <w:bookmarkStart w:id="6" w:name="_Toc433381379"/>
      <w:r>
        <w:rPr>
          <w:rFonts w:eastAsia="Calibri"/>
        </w:rPr>
        <w:t>III.</w:t>
      </w:r>
      <w:r>
        <w:rPr>
          <w:rFonts w:eastAsia="Calibri"/>
        </w:rPr>
        <w:tab/>
        <w:t>CONCLUSION</w:t>
      </w:r>
      <w:bookmarkEnd w:id="6"/>
    </w:p>
    <w:p w14:paraId="2CE568D4" w14:textId="1D1F7C6F" w:rsidR="00CB335A" w:rsidRDefault="00451414" w:rsidP="00A56338">
      <w:pPr>
        <w:spacing w:after="0" w:line="480" w:lineRule="auto"/>
        <w:ind w:firstLine="720"/>
        <w:rPr>
          <w:rFonts w:eastAsia="Calibri"/>
          <w:szCs w:val="22"/>
        </w:rPr>
      </w:pPr>
      <w:r>
        <w:rPr>
          <w:rFonts w:eastAsia="Calibri"/>
          <w:szCs w:val="22"/>
        </w:rPr>
        <w:t>Duke’s motion to dismiss is based on flawed arguments and faulty case law.  Contrary to Duke’s assertions, the Consumer Parties’ Complaint has stated reasonable grounds for a hearing per R.C. 4905.26.  To protect consumers, the PUCO should dismiss Duke’s motion</w:t>
      </w:r>
      <w:r w:rsidR="00E34185" w:rsidRPr="00E34185">
        <w:rPr>
          <w:rFonts w:eastAsia="Calibri"/>
          <w:szCs w:val="22"/>
        </w:rPr>
        <w:t xml:space="preserve"> </w:t>
      </w:r>
      <w:r w:rsidR="00E34185">
        <w:rPr>
          <w:rFonts w:eastAsia="Calibri"/>
          <w:szCs w:val="22"/>
        </w:rPr>
        <w:t>and set the Complaint for hearing</w:t>
      </w:r>
      <w:r w:rsidR="00F03805">
        <w:rPr>
          <w:rFonts w:eastAsia="Calibri"/>
          <w:szCs w:val="22"/>
        </w:rPr>
        <w:t>.</w:t>
      </w:r>
    </w:p>
    <w:p w14:paraId="5B1FE63F" w14:textId="77777777" w:rsidR="005269CC" w:rsidRPr="00104013" w:rsidRDefault="005269CC" w:rsidP="00630094">
      <w:pPr>
        <w:ind w:left="3600" w:firstLine="720"/>
      </w:pPr>
      <w:r w:rsidRPr="00104013">
        <w:t>Respectfully submitted,</w:t>
      </w:r>
    </w:p>
    <w:p w14:paraId="71D0E888" w14:textId="77777777" w:rsidR="005269CC" w:rsidRPr="00104013" w:rsidRDefault="005269CC" w:rsidP="00630094">
      <w:pPr>
        <w:pStyle w:val="Footer"/>
        <w:tabs>
          <w:tab w:val="left" w:pos="4320"/>
        </w:tabs>
        <w:ind w:left="4320"/>
      </w:pPr>
      <w:r w:rsidRPr="00104013">
        <w:t>BRUCE WESTON</w:t>
      </w:r>
      <w:r w:rsidR="000A491C" w:rsidRPr="00104013">
        <w:t xml:space="preserve"> (0016973)</w:t>
      </w:r>
    </w:p>
    <w:p w14:paraId="7675ADF4" w14:textId="77777777" w:rsidR="005269CC" w:rsidRPr="00104013" w:rsidRDefault="005269CC" w:rsidP="00630094">
      <w:pPr>
        <w:pStyle w:val="Footer"/>
        <w:tabs>
          <w:tab w:val="left" w:pos="4320"/>
        </w:tabs>
        <w:spacing w:after="120"/>
        <w:ind w:left="4320"/>
      </w:pPr>
      <w:r w:rsidRPr="00104013">
        <w:t>OHIO CONSUMERS’ COUNSEL</w:t>
      </w:r>
    </w:p>
    <w:p w14:paraId="71EBB2D7" w14:textId="77777777" w:rsidR="00553D9A" w:rsidRDefault="00553D9A" w:rsidP="00630094">
      <w:pPr>
        <w:tabs>
          <w:tab w:val="left" w:pos="4320"/>
        </w:tabs>
        <w:spacing w:after="0"/>
        <w:ind w:left="4320"/>
        <w:rPr>
          <w:i/>
          <w:u w:val="single"/>
        </w:rPr>
      </w:pPr>
    </w:p>
    <w:p w14:paraId="1B9F4FEC" w14:textId="77777777" w:rsidR="0037013A" w:rsidRDefault="00322013" w:rsidP="00630094">
      <w:pPr>
        <w:tabs>
          <w:tab w:val="left" w:pos="4320"/>
        </w:tabs>
        <w:spacing w:after="0"/>
        <w:ind w:left="4320"/>
        <w:rPr>
          <w:u w:val="single"/>
        </w:rPr>
      </w:pPr>
      <w:r>
        <w:rPr>
          <w:i/>
          <w:u w:val="single"/>
        </w:rPr>
        <w:t>/s/ Terry L. Etter</w:t>
      </w:r>
      <w:r w:rsidR="005269CC" w:rsidRPr="00104013">
        <w:rPr>
          <w:u w:val="single"/>
        </w:rPr>
        <w:t>                                       </w:t>
      </w:r>
    </w:p>
    <w:p w14:paraId="49C9C1F6" w14:textId="238FE846" w:rsidR="005269CC" w:rsidRPr="00104013" w:rsidRDefault="001C5A39" w:rsidP="00553D9A">
      <w:pPr>
        <w:tabs>
          <w:tab w:val="left" w:pos="4320"/>
        </w:tabs>
        <w:spacing w:after="0"/>
        <w:ind w:left="4320"/>
      </w:pPr>
      <w:r w:rsidRPr="00104013">
        <w:t xml:space="preserve">Terry </w:t>
      </w:r>
      <w:r w:rsidR="00322013">
        <w:t xml:space="preserve">L. </w:t>
      </w:r>
      <w:r w:rsidRPr="00104013">
        <w:t>Etter</w:t>
      </w:r>
      <w:r w:rsidR="00C9186D">
        <w:t xml:space="preserve"> </w:t>
      </w:r>
      <w:r w:rsidR="00C9186D" w:rsidRPr="00104013">
        <w:t>(00</w:t>
      </w:r>
      <w:r w:rsidR="00C9186D">
        <w:t>67445</w:t>
      </w:r>
      <w:r w:rsidR="00C9186D" w:rsidRPr="00104013">
        <w:t>)</w:t>
      </w:r>
      <w:r w:rsidR="005269CC" w:rsidRPr="00104013">
        <w:t xml:space="preserve">, Counsel of Record </w:t>
      </w:r>
    </w:p>
    <w:p w14:paraId="5C22E12B" w14:textId="77777777" w:rsidR="005269CC" w:rsidRPr="00104013" w:rsidRDefault="005269CC" w:rsidP="00553D9A">
      <w:pPr>
        <w:tabs>
          <w:tab w:val="left" w:pos="4320"/>
        </w:tabs>
        <w:spacing w:after="0"/>
        <w:ind w:left="4320"/>
      </w:pPr>
      <w:r w:rsidRPr="00104013">
        <w:t>Assistant Consumers’ Counsel</w:t>
      </w:r>
    </w:p>
    <w:p w14:paraId="4125108D" w14:textId="77777777" w:rsidR="005269CC" w:rsidRPr="00553D9A" w:rsidRDefault="005269CC" w:rsidP="00553D9A">
      <w:pPr>
        <w:spacing w:after="0"/>
        <w:ind w:left="4320"/>
        <w:rPr>
          <w:b/>
        </w:rPr>
      </w:pPr>
      <w:r w:rsidRPr="00553D9A">
        <w:rPr>
          <w:b/>
        </w:rPr>
        <w:t>Office of the Ohio Consumers’ Counsel</w:t>
      </w:r>
    </w:p>
    <w:p w14:paraId="45F8DA92" w14:textId="77777777" w:rsidR="005269CC" w:rsidRPr="00104013" w:rsidRDefault="005269CC" w:rsidP="00553D9A">
      <w:pPr>
        <w:spacing w:after="0"/>
        <w:ind w:left="4320"/>
        <w:rPr>
          <w:b/>
        </w:rPr>
      </w:pPr>
      <w:r w:rsidRPr="00104013">
        <w:t>10 West Broad Street, Suite 1800</w:t>
      </w:r>
    </w:p>
    <w:p w14:paraId="76E5FBB6" w14:textId="77777777" w:rsidR="005269CC" w:rsidRPr="00104013" w:rsidRDefault="005269CC" w:rsidP="00553D9A">
      <w:pPr>
        <w:spacing w:after="0"/>
        <w:ind w:left="4320"/>
        <w:rPr>
          <w:b/>
        </w:rPr>
      </w:pPr>
      <w:r w:rsidRPr="00104013">
        <w:t>Columbus, Ohio 43215-3485</w:t>
      </w:r>
    </w:p>
    <w:p w14:paraId="6FF66BCD" w14:textId="77777777" w:rsidR="005269CC" w:rsidRPr="00104013" w:rsidRDefault="005269CC" w:rsidP="00553D9A">
      <w:pPr>
        <w:autoSpaceDE w:val="0"/>
        <w:autoSpaceDN w:val="0"/>
        <w:adjustRightInd w:val="0"/>
        <w:spacing w:after="0" w:line="240" w:lineRule="auto"/>
        <w:ind w:left="4320"/>
      </w:pPr>
      <w:r w:rsidRPr="00104013">
        <w:t>Telephone: (614) 466-</w:t>
      </w:r>
      <w:r w:rsidR="001C5A39" w:rsidRPr="00104013">
        <w:t>7964</w:t>
      </w:r>
      <w:r w:rsidRPr="00104013">
        <w:t xml:space="preserve"> (</w:t>
      </w:r>
      <w:r w:rsidR="001C5A39" w:rsidRPr="00104013">
        <w:t>Etter</w:t>
      </w:r>
      <w:r w:rsidRPr="00104013">
        <w:t xml:space="preserve"> direct)</w:t>
      </w:r>
    </w:p>
    <w:p w14:paraId="5B928CE2" w14:textId="77777777" w:rsidR="000F5424" w:rsidRPr="00104013" w:rsidRDefault="001C5A39" w:rsidP="00630094">
      <w:pPr>
        <w:tabs>
          <w:tab w:val="center" w:pos="4680"/>
          <w:tab w:val="right" w:pos="9360"/>
        </w:tabs>
        <w:spacing w:after="0" w:line="240" w:lineRule="auto"/>
        <w:ind w:firstLine="4320"/>
      </w:pPr>
      <w:r w:rsidRPr="00104013">
        <w:rPr>
          <w:rStyle w:val="Hyperlink"/>
        </w:rPr>
        <w:t>Terry.etter</w:t>
      </w:r>
      <w:r w:rsidR="000F5424" w:rsidRPr="00104013">
        <w:rPr>
          <w:rStyle w:val="Hyperlink"/>
        </w:rPr>
        <w:t>@occ.ohio.gov</w:t>
      </w:r>
    </w:p>
    <w:p w14:paraId="2033AC38" w14:textId="77777777" w:rsidR="00766541" w:rsidRPr="00104013" w:rsidRDefault="00766541" w:rsidP="00630094">
      <w:pPr>
        <w:tabs>
          <w:tab w:val="center" w:pos="4680"/>
          <w:tab w:val="right" w:pos="9360"/>
        </w:tabs>
        <w:spacing w:after="0" w:line="240" w:lineRule="auto"/>
        <w:ind w:firstLine="4320"/>
      </w:pPr>
      <w:r w:rsidRPr="00104013">
        <w:t>(willing to accept service by e-mail)</w:t>
      </w:r>
    </w:p>
    <w:p w14:paraId="7962AC51" w14:textId="77777777" w:rsidR="00766541" w:rsidRPr="00104013" w:rsidRDefault="00766541" w:rsidP="00630094">
      <w:pPr>
        <w:tabs>
          <w:tab w:val="center" w:pos="4680"/>
          <w:tab w:val="right" w:pos="9360"/>
        </w:tabs>
        <w:spacing w:after="0" w:line="240" w:lineRule="auto"/>
        <w:ind w:firstLine="4320"/>
        <w:rPr>
          <w:i/>
        </w:rPr>
      </w:pPr>
    </w:p>
    <w:p w14:paraId="4E0D5E69" w14:textId="77777777" w:rsidR="00553D9A" w:rsidRDefault="00553D9A">
      <w:r>
        <w:br w:type="page"/>
      </w:r>
    </w:p>
    <w:p w14:paraId="5979A6AC" w14:textId="5321AD97" w:rsidR="006D26B4" w:rsidRPr="00104013" w:rsidRDefault="006D26B4" w:rsidP="00630094">
      <w:pPr>
        <w:widowControl w:val="0"/>
        <w:tabs>
          <w:tab w:val="center" w:pos="4680"/>
          <w:tab w:val="right" w:pos="9360"/>
        </w:tabs>
        <w:spacing w:after="0" w:line="240" w:lineRule="auto"/>
        <w:ind w:firstLine="4320"/>
      </w:pPr>
      <w:r w:rsidRPr="00104013">
        <w:t>Kimberly W. Bojko (0069402)</w:t>
      </w:r>
    </w:p>
    <w:p w14:paraId="2AFBE914" w14:textId="77777777" w:rsidR="006D26B4" w:rsidRPr="00104013" w:rsidRDefault="006D26B4" w:rsidP="00630094">
      <w:pPr>
        <w:widowControl w:val="0"/>
        <w:tabs>
          <w:tab w:val="center" w:pos="4680"/>
          <w:tab w:val="right" w:pos="9360"/>
        </w:tabs>
        <w:spacing w:after="0" w:line="240" w:lineRule="auto"/>
        <w:ind w:firstLine="4320"/>
      </w:pPr>
      <w:r w:rsidRPr="00104013">
        <w:t>Carpenter Lipps &amp; Leland LLP</w:t>
      </w:r>
    </w:p>
    <w:p w14:paraId="1D2980E1" w14:textId="77777777" w:rsidR="006D26B4" w:rsidRPr="00104013" w:rsidRDefault="006D26B4" w:rsidP="00630094">
      <w:pPr>
        <w:widowControl w:val="0"/>
        <w:tabs>
          <w:tab w:val="center" w:pos="4680"/>
          <w:tab w:val="right" w:pos="9360"/>
        </w:tabs>
        <w:spacing w:after="0" w:line="240" w:lineRule="auto"/>
        <w:ind w:firstLine="4320"/>
      </w:pPr>
      <w:r w:rsidRPr="00104013">
        <w:t>280 North High Street, Suite 1300</w:t>
      </w:r>
    </w:p>
    <w:p w14:paraId="5C41FEB2" w14:textId="77777777" w:rsidR="006D26B4" w:rsidRPr="00104013" w:rsidRDefault="006D26B4" w:rsidP="00630094">
      <w:pPr>
        <w:widowControl w:val="0"/>
        <w:tabs>
          <w:tab w:val="center" w:pos="4680"/>
          <w:tab w:val="right" w:pos="9360"/>
        </w:tabs>
        <w:spacing w:after="0" w:line="240" w:lineRule="auto"/>
        <w:ind w:firstLine="4320"/>
      </w:pPr>
      <w:r w:rsidRPr="00104013">
        <w:t>Columbus, Ohio 43215</w:t>
      </w:r>
    </w:p>
    <w:p w14:paraId="6AD4CD06" w14:textId="77777777" w:rsidR="006D26B4" w:rsidRPr="00104013" w:rsidRDefault="00162B06" w:rsidP="00630094">
      <w:pPr>
        <w:widowControl w:val="0"/>
        <w:tabs>
          <w:tab w:val="center" w:pos="4680"/>
          <w:tab w:val="right" w:pos="9360"/>
        </w:tabs>
        <w:spacing w:after="0" w:line="240" w:lineRule="auto"/>
        <w:ind w:firstLine="4320"/>
      </w:pPr>
      <w:r>
        <w:t>Telep</w:t>
      </w:r>
      <w:r w:rsidR="006D26B4" w:rsidRPr="00104013">
        <w:t>hone: (614) 365-4100</w:t>
      </w:r>
    </w:p>
    <w:p w14:paraId="00CA61A2" w14:textId="67CD29E6" w:rsidR="006D26B4" w:rsidRPr="00104013" w:rsidRDefault="009B0D40" w:rsidP="00630094">
      <w:pPr>
        <w:widowControl w:val="0"/>
        <w:tabs>
          <w:tab w:val="center" w:pos="4680"/>
          <w:tab w:val="right" w:pos="9360"/>
        </w:tabs>
        <w:spacing w:after="0" w:line="240" w:lineRule="auto"/>
        <w:ind w:firstLine="4320"/>
      </w:pPr>
      <w:hyperlink r:id="rId18" w:history="1">
        <w:r w:rsidR="006D26B4" w:rsidRPr="00104013">
          <w:rPr>
            <w:rStyle w:val="Hyperlink"/>
          </w:rPr>
          <w:t>bojko@carpenterlipps.com</w:t>
        </w:r>
      </w:hyperlink>
    </w:p>
    <w:p w14:paraId="6F104077" w14:textId="77777777" w:rsidR="006D26B4" w:rsidRPr="00104013" w:rsidRDefault="006D26B4" w:rsidP="00630094">
      <w:pPr>
        <w:widowControl w:val="0"/>
        <w:tabs>
          <w:tab w:val="center" w:pos="4680"/>
          <w:tab w:val="right" w:pos="9360"/>
        </w:tabs>
        <w:spacing w:after="0" w:line="240" w:lineRule="auto"/>
        <w:ind w:firstLine="4320"/>
      </w:pPr>
      <w:r w:rsidRPr="00104013">
        <w:t>(willing to accept service by e-mail)</w:t>
      </w:r>
    </w:p>
    <w:p w14:paraId="5D861369" w14:textId="77777777" w:rsidR="006D26B4" w:rsidRPr="00104013" w:rsidRDefault="006D26B4" w:rsidP="00630094">
      <w:pPr>
        <w:widowControl w:val="0"/>
        <w:tabs>
          <w:tab w:val="center" w:pos="4680"/>
          <w:tab w:val="right" w:pos="9360"/>
        </w:tabs>
        <w:spacing w:after="0" w:line="240" w:lineRule="auto"/>
        <w:ind w:firstLine="4320"/>
      </w:pPr>
    </w:p>
    <w:p w14:paraId="7BA38406" w14:textId="77777777" w:rsidR="006D26B4" w:rsidRPr="00104013" w:rsidRDefault="006D26B4" w:rsidP="00630094">
      <w:pPr>
        <w:widowControl w:val="0"/>
        <w:tabs>
          <w:tab w:val="center" w:pos="4680"/>
          <w:tab w:val="right" w:pos="9360"/>
        </w:tabs>
        <w:spacing w:after="0" w:line="240" w:lineRule="auto"/>
        <w:ind w:firstLine="4320"/>
        <w:rPr>
          <w:i/>
        </w:rPr>
      </w:pPr>
      <w:r w:rsidRPr="00104013">
        <w:rPr>
          <w:i/>
        </w:rPr>
        <w:t>Outside Counsel for the</w:t>
      </w:r>
    </w:p>
    <w:p w14:paraId="4B0CD510" w14:textId="77777777" w:rsidR="006D26B4" w:rsidRDefault="006D26B4" w:rsidP="00630094">
      <w:pPr>
        <w:widowControl w:val="0"/>
        <w:tabs>
          <w:tab w:val="center" w:pos="4680"/>
          <w:tab w:val="right" w:pos="9360"/>
        </w:tabs>
        <w:spacing w:after="0" w:line="240" w:lineRule="auto"/>
        <w:ind w:firstLine="4320"/>
        <w:rPr>
          <w:i/>
        </w:rPr>
      </w:pPr>
      <w:r w:rsidRPr="00104013">
        <w:rPr>
          <w:i/>
        </w:rPr>
        <w:t>Office of the Ohio Consumers’ Counsel</w:t>
      </w:r>
    </w:p>
    <w:p w14:paraId="753D14E5" w14:textId="77777777" w:rsidR="00674CAD" w:rsidRDefault="00674CAD" w:rsidP="00630094">
      <w:pPr>
        <w:widowControl w:val="0"/>
        <w:tabs>
          <w:tab w:val="center" w:pos="4680"/>
          <w:tab w:val="right" w:pos="9360"/>
        </w:tabs>
        <w:spacing w:after="0" w:line="240" w:lineRule="auto"/>
        <w:ind w:firstLine="4320"/>
        <w:rPr>
          <w:i/>
        </w:rPr>
      </w:pPr>
    </w:p>
    <w:p w14:paraId="46569C75" w14:textId="77777777" w:rsidR="004B3DBD" w:rsidRPr="00DB701F" w:rsidRDefault="0040106B" w:rsidP="001B704D">
      <w:pPr>
        <w:widowControl w:val="0"/>
        <w:tabs>
          <w:tab w:val="center" w:pos="4680"/>
          <w:tab w:val="right" w:pos="9360"/>
        </w:tabs>
        <w:spacing w:after="0" w:line="240" w:lineRule="auto"/>
        <w:ind w:firstLine="4320"/>
        <w:rPr>
          <w:rFonts w:ascii="Georgia" w:hAnsi="Georgia" w:cs="Arial"/>
          <w:u w:val="single"/>
        </w:rPr>
      </w:pPr>
      <w:r>
        <w:tab/>
      </w:r>
      <w:r>
        <w:tab/>
      </w:r>
      <w:r>
        <w:tab/>
      </w:r>
      <w:r>
        <w:tab/>
      </w:r>
      <w:r>
        <w:tab/>
      </w:r>
      <w:r>
        <w:tab/>
      </w:r>
    </w:p>
    <w:p w14:paraId="4344B027" w14:textId="2A50B504" w:rsidR="00D83141" w:rsidRDefault="001F41A7" w:rsidP="001F41A7">
      <w:pPr>
        <w:spacing w:after="0"/>
        <w:rPr>
          <w:u w:val="single"/>
        </w:rPr>
      </w:pPr>
      <w:r>
        <w:rPr>
          <w:i/>
        </w:rPr>
        <w:tab/>
      </w:r>
      <w:r>
        <w:rPr>
          <w:i/>
        </w:rPr>
        <w:tab/>
      </w:r>
      <w:r>
        <w:rPr>
          <w:i/>
        </w:rPr>
        <w:tab/>
      </w:r>
      <w:r>
        <w:rPr>
          <w:i/>
        </w:rPr>
        <w:tab/>
      </w:r>
      <w:r>
        <w:rPr>
          <w:i/>
        </w:rPr>
        <w:tab/>
      </w:r>
      <w:r>
        <w:rPr>
          <w:i/>
        </w:rPr>
        <w:tab/>
      </w:r>
      <w:r w:rsidR="00D83141">
        <w:rPr>
          <w:i/>
          <w:u w:val="single"/>
        </w:rPr>
        <w:t>/s/ Noel M. Morgan</w:t>
      </w:r>
      <w:r w:rsidR="00D83141" w:rsidRPr="00104013">
        <w:rPr>
          <w:u w:val="single"/>
        </w:rPr>
        <w:t>                                       </w:t>
      </w:r>
    </w:p>
    <w:p w14:paraId="04A5D11F" w14:textId="77777777" w:rsidR="004B3DBD" w:rsidRPr="00162B06" w:rsidRDefault="004B3DBD" w:rsidP="001F41A7">
      <w:pPr>
        <w:spacing w:after="0" w:line="240" w:lineRule="auto"/>
        <w:ind w:left="4320"/>
      </w:pPr>
      <w:r w:rsidRPr="00162B06">
        <w:t>Noel M. Morgan (0066904)</w:t>
      </w:r>
    </w:p>
    <w:p w14:paraId="68544B81" w14:textId="77777777" w:rsidR="004B3DBD" w:rsidRPr="00162B06" w:rsidRDefault="004B3DBD" w:rsidP="001F41A7">
      <w:pPr>
        <w:spacing w:after="0" w:line="240" w:lineRule="auto"/>
        <w:ind w:left="4320"/>
      </w:pPr>
      <w:r w:rsidRPr="00162B06">
        <w:t>Attorney for CUFA</w:t>
      </w:r>
    </w:p>
    <w:p w14:paraId="04E18B61" w14:textId="77777777" w:rsidR="004B3DBD" w:rsidRPr="00162B06" w:rsidRDefault="004B3DBD" w:rsidP="001B704D">
      <w:pPr>
        <w:spacing w:after="0" w:line="240" w:lineRule="auto"/>
        <w:ind w:left="4320"/>
      </w:pPr>
      <w:r w:rsidRPr="00162B06">
        <w:t>Legal Aid Society of Southwest Ohio, LLC</w:t>
      </w:r>
    </w:p>
    <w:p w14:paraId="5BACB0D9" w14:textId="77777777" w:rsidR="004B3DBD" w:rsidRPr="00162B06" w:rsidRDefault="004B3DBD" w:rsidP="001B704D">
      <w:pPr>
        <w:spacing w:after="0" w:line="240" w:lineRule="auto"/>
        <w:ind w:left="4320"/>
      </w:pPr>
      <w:r w:rsidRPr="00162B06">
        <w:t>215 East Ninth Street, Suite 500</w:t>
      </w:r>
    </w:p>
    <w:p w14:paraId="0B095FE8" w14:textId="77777777" w:rsidR="004B3DBD" w:rsidRPr="00162B06" w:rsidRDefault="004B3DBD" w:rsidP="001B704D">
      <w:pPr>
        <w:spacing w:after="0" w:line="240" w:lineRule="auto"/>
        <w:ind w:left="4320"/>
      </w:pPr>
      <w:r w:rsidRPr="00162B06">
        <w:t>Cincinnati, Ohio  45202</w:t>
      </w:r>
    </w:p>
    <w:p w14:paraId="01B1106A" w14:textId="77777777" w:rsidR="004B3DBD" w:rsidRPr="00162B06" w:rsidRDefault="00162B06" w:rsidP="001B704D">
      <w:pPr>
        <w:spacing w:after="0" w:line="240" w:lineRule="auto"/>
        <w:ind w:left="4320"/>
      </w:pPr>
      <w:r>
        <w:t xml:space="preserve">Telephone: </w:t>
      </w:r>
      <w:r w:rsidR="004B3DBD" w:rsidRPr="00162B06">
        <w:t>(513) 362-2837</w:t>
      </w:r>
    </w:p>
    <w:p w14:paraId="00CF70C7" w14:textId="48BB47E9" w:rsidR="004B3DBD" w:rsidRPr="00162B06" w:rsidRDefault="004B3DBD" w:rsidP="001B704D">
      <w:pPr>
        <w:spacing w:after="0" w:line="240" w:lineRule="auto"/>
        <w:ind w:left="4320"/>
      </w:pPr>
      <w:r w:rsidRPr="00162B06">
        <w:t xml:space="preserve">Email:  </w:t>
      </w:r>
      <w:hyperlink r:id="rId19" w:history="1">
        <w:r w:rsidRPr="00162B06">
          <w:rPr>
            <w:rStyle w:val="Hyperlink"/>
          </w:rPr>
          <w:t>nmorgan@lascinti.org</w:t>
        </w:r>
      </w:hyperlink>
    </w:p>
    <w:p w14:paraId="08C73BE5" w14:textId="5F5D9573" w:rsidR="00A70DAB" w:rsidRDefault="00162B06" w:rsidP="00C35CC6">
      <w:pPr>
        <w:tabs>
          <w:tab w:val="center" w:pos="4680"/>
          <w:tab w:val="right" w:pos="9360"/>
        </w:tabs>
        <w:spacing w:after="0" w:line="240" w:lineRule="auto"/>
        <w:ind w:firstLine="4320"/>
        <w:sectPr w:rsidR="00A70DAB" w:rsidSect="007B27BA">
          <w:footerReference w:type="default" r:id="rId20"/>
          <w:footerReference w:type="first" r:id="rId21"/>
          <w:pgSz w:w="12240" w:h="15840"/>
          <w:pgMar w:top="1440" w:right="1800" w:bottom="1440" w:left="1800" w:header="720" w:footer="720" w:gutter="0"/>
          <w:pgNumType w:start="1"/>
          <w:cols w:space="720"/>
          <w:noEndnote/>
          <w:titlePg/>
          <w:docGrid w:linePitch="326"/>
        </w:sectPr>
      </w:pPr>
      <w:r w:rsidRPr="00104013">
        <w:t>(willing to accept service by e-mail)</w:t>
      </w:r>
      <w:r w:rsidR="0040106B">
        <w:tab/>
      </w:r>
    </w:p>
    <w:p w14:paraId="6E602428" w14:textId="34DC76D3" w:rsidR="00A70DAB" w:rsidRPr="00A70DAB" w:rsidRDefault="00A70DAB" w:rsidP="00A70DAB">
      <w:pPr>
        <w:spacing w:line="480" w:lineRule="auto"/>
        <w:ind w:left="3600" w:hanging="3600"/>
        <w:jc w:val="center"/>
        <w:rPr>
          <w:rFonts w:eastAsia="Times New Roman"/>
        </w:rPr>
      </w:pPr>
      <w:r w:rsidRPr="00A70DAB">
        <w:rPr>
          <w:rFonts w:eastAsia="Times New Roman"/>
          <w:b/>
        </w:rPr>
        <w:t>CERTIFICATE OF SERVICE</w:t>
      </w:r>
    </w:p>
    <w:p w14:paraId="7957F270" w14:textId="01E63257" w:rsidR="00A70DAB" w:rsidRPr="00A70DAB" w:rsidRDefault="00A70DAB" w:rsidP="00A70DAB">
      <w:pPr>
        <w:spacing w:after="0" w:line="480" w:lineRule="auto"/>
        <w:rPr>
          <w:rFonts w:eastAsia="Times New Roman"/>
        </w:rPr>
      </w:pPr>
      <w:r w:rsidRPr="00A70DAB">
        <w:rPr>
          <w:rFonts w:eastAsia="Times New Roman"/>
        </w:rPr>
        <w:tab/>
        <w:t>I hereby certify that a copy of the foregoing</w:t>
      </w:r>
      <w:r w:rsidRPr="00A70DAB">
        <w:rPr>
          <w:rFonts w:eastAsia="Times New Roman"/>
          <w:b/>
        </w:rPr>
        <w:t xml:space="preserve"> </w:t>
      </w:r>
      <w:r w:rsidRPr="00A70DAB">
        <w:rPr>
          <w:rFonts w:eastAsia="Times New Roman"/>
        </w:rPr>
        <w:t xml:space="preserve">Memorandum </w:t>
      </w:r>
      <w:r w:rsidR="00934343">
        <w:rPr>
          <w:rFonts w:eastAsia="Times New Roman"/>
        </w:rPr>
        <w:t xml:space="preserve">Contra </w:t>
      </w:r>
      <w:r w:rsidR="009677E8">
        <w:rPr>
          <w:rFonts w:eastAsia="Times New Roman"/>
        </w:rPr>
        <w:t xml:space="preserve">Duke’s Motion to Dismiss </w:t>
      </w:r>
      <w:r w:rsidR="00934343">
        <w:rPr>
          <w:rFonts w:eastAsia="Times New Roman"/>
        </w:rPr>
        <w:t xml:space="preserve">was </w:t>
      </w:r>
      <w:r w:rsidRPr="00A70DAB">
        <w:rPr>
          <w:rFonts w:eastAsia="Times New Roman"/>
        </w:rPr>
        <w:t xml:space="preserve">served by electronic mail to the persons listed below, on this </w:t>
      </w:r>
      <w:r w:rsidR="008D6068">
        <w:rPr>
          <w:rFonts w:eastAsia="Times New Roman"/>
        </w:rPr>
        <w:t>23</w:t>
      </w:r>
      <w:r w:rsidR="008D6068" w:rsidRPr="008D6068">
        <w:rPr>
          <w:rFonts w:eastAsia="Times New Roman"/>
          <w:vertAlign w:val="superscript"/>
        </w:rPr>
        <w:t>rd</w:t>
      </w:r>
      <w:r w:rsidR="008D6068">
        <w:rPr>
          <w:rFonts w:eastAsia="Times New Roman"/>
        </w:rPr>
        <w:t xml:space="preserve"> </w:t>
      </w:r>
      <w:r w:rsidRPr="00A70DAB">
        <w:rPr>
          <w:rFonts w:eastAsia="Times New Roman"/>
        </w:rPr>
        <w:t>day of</w:t>
      </w:r>
      <w:r w:rsidR="00934343">
        <w:rPr>
          <w:rFonts w:eastAsia="Times New Roman"/>
        </w:rPr>
        <w:t xml:space="preserve"> October</w:t>
      </w:r>
      <w:r w:rsidRPr="00A70DAB">
        <w:rPr>
          <w:rFonts w:eastAsia="Times New Roman"/>
        </w:rPr>
        <w:t xml:space="preserve"> 2015. </w:t>
      </w:r>
    </w:p>
    <w:p w14:paraId="3DFC9FB5" w14:textId="77777777" w:rsidR="00A70DAB" w:rsidRPr="00A70DAB" w:rsidRDefault="00A70DAB" w:rsidP="00A70DAB">
      <w:pPr>
        <w:tabs>
          <w:tab w:val="left" w:pos="1440"/>
          <w:tab w:val="left" w:pos="2016"/>
        </w:tabs>
        <w:spacing w:after="0" w:line="480" w:lineRule="atLeast"/>
        <w:rPr>
          <w:rFonts w:eastAsia="Times New Roman"/>
        </w:rPr>
      </w:pPr>
    </w:p>
    <w:p w14:paraId="7AC71A30" w14:textId="77777777" w:rsidR="00D83141" w:rsidRDefault="00D83141" w:rsidP="00D83141">
      <w:pPr>
        <w:tabs>
          <w:tab w:val="left" w:pos="4320"/>
        </w:tabs>
        <w:spacing w:after="0"/>
        <w:ind w:left="4320"/>
        <w:rPr>
          <w:u w:val="single"/>
        </w:rPr>
      </w:pPr>
      <w:r>
        <w:rPr>
          <w:i/>
          <w:u w:val="single"/>
        </w:rPr>
        <w:t>/s/ Terry L. Etter</w:t>
      </w:r>
      <w:r w:rsidRPr="00104013">
        <w:rPr>
          <w:u w:val="single"/>
        </w:rPr>
        <w:t>                                       </w:t>
      </w:r>
    </w:p>
    <w:p w14:paraId="370451C0" w14:textId="77777777" w:rsidR="00A70DAB" w:rsidRPr="00A70DAB" w:rsidRDefault="00A70DAB" w:rsidP="00A70DAB">
      <w:pPr>
        <w:tabs>
          <w:tab w:val="left" w:pos="4320"/>
        </w:tabs>
        <w:spacing w:after="0" w:line="240" w:lineRule="auto"/>
        <w:rPr>
          <w:rFonts w:eastAsia="Times New Roman"/>
        </w:rPr>
      </w:pPr>
      <w:r w:rsidRPr="00A70DAB">
        <w:rPr>
          <w:rFonts w:eastAsia="Times New Roman"/>
        </w:rPr>
        <w:tab/>
        <w:t>Terry L. Etter</w:t>
      </w:r>
    </w:p>
    <w:p w14:paraId="3BC11009" w14:textId="77777777" w:rsidR="00A70DAB" w:rsidRPr="00A70DAB" w:rsidRDefault="00A70DAB" w:rsidP="00A70DAB">
      <w:pPr>
        <w:tabs>
          <w:tab w:val="left" w:pos="4320"/>
        </w:tabs>
        <w:spacing w:after="0" w:line="240" w:lineRule="auto"/>
        <w:rPr>
          <w:rFonts w:eastAsia="Times New Roman"/>
        </w:rPr>
      </w:pPr>
      <w:r w:rsidRPr="00A70DAB">
        <w:rPr>
          <w:rFonts w:eastAsia="Times New Roman"/>
        </w:rPr>
        <w:tab/>
        <w:t>Assistant Consumers’ Counsel</w:t>
      </w:r>
    </w:p>
    <w:p w14:paraId="78910893" w14:textId="77777777" w:rsidR="00A70DAB" w:rsidRPr="00A70DAB" w:rsidRDefault="00A70DAB" w:rsidP="00A70DAB">
      <w:pPr>
        <w:tabs>
          <w:tab w:val="left" w:pos="0"/>
          <w:tab w:val="left" w:pos="720"/>
          <w:tab w:val="left" w:pos="4320"/>
        </w:tabs>
        <w:spacing w:after="0" w:line="480" w:lineRule="auto"/>
        <w:rPr>
          <w:rFonts w:eastAsia="Times New Roman"/>
        </w:rPr>
      </w:pPr>
      <w:r w:rsidRPr="00A70DAB">
        <w:rPr>
          <w:rFonts w:eastAsia="Times New Roman"/>
        </w:rPr>
        <w:tab/>
      </w:r>
      <w:r w:rsidRPr="00A70DAB">
        <w:rPr>
          <w:rFonts w:eastAsia="Times New Roman"/>
        </w:rPr>
        <w:tab/>
      </w:r>
    </w:p>
    <w:p w14:paraId="6F02F166" w14:textId="77777777" w:rsidR="00A70DAB" w:rsidRPr="00A70DAB" w:rsidRDefault="00A70DAB" w:rsidP="00A70DAB">
      <w:pPr>
        <w:tabs>
          <w:tab w:val="left" w:pos="0"/>
          <w:tab w:val="left" w:pos="720"/>
          <w:tab w:val="left" w:pos="4320"/>
        </w:tabs>
        <w:spacing w:after="0" w:line="480" w:lineRule="auto"/>
        <w:jc w:val="center"/>
        <w:rPr>
          <w:rFonts w:eastAsia="Times New Roman"/>
          <w:b/>
        </w:rPr>
      </w:pPr>
      <w:r w:rsidRPr="00A70DAB">
        <w:rPr>
          <w:rFonts w:eastAsia="Times New Roman"/>
          <w:b/>
        </w:rPr>
        <w:t>SERVICE LIST</w:t>
      </w:r>
    </w:p>
    <w:p w14:paraId="5EF3DBF3" w14:textId="77777777" w:rsidR="00A70DAB" w:rsidRPr="00A70DAB" w:rsidRDefault="00A70DAB" w:rsidP="00A70DAB">
      <w:pPr>
        <w:tabs>
          <w:tab w:val="left" w:pos="0"/>
          <w:tab w:val="left" w:pos="720"/>
          <w:tab w:val="left" w:pos="4320"/>
        </w:tabs>
        <w:spacing w:after="0" w:line="480" w:lineRule="auto"/>
        <w:jc w:val="center"/>
        <w:rPr>
          <w:rFonts w:eastAsia="Times New Roman"/>
          <w:b/>
        </w:rPr>
      </w:pPr>
    </w:p>
    <w:tbl>
      <w:tblPr>
        <w:tblW w:w="11883" w:type="dxa"/>
        <w:tblLook w:val="04A0" w:firstRow="1" w:lastRow="0" w:firstColumn="1" w:lastColumn="0" w:noHBand="0" w:noVBand="1"/>
      </w:tblPr>
      <w:tblGrid>
        <w:gridCol w:w="5941"/>
        <w:gridCol w:w="5942"/>
      </w:tblGrid>
      <w:tr w:rsidR="00A70DAB" w:rsidRPr="00A70DAB" w14:paraId="239040F5" w14:textId="77777777" w:rsidTr="00290EE7">
        <w:tc>
          <w:tcPr>
            <w:tcW w:w="4428" w:type="dxa"/>
            <w:shd w:val="clear" w:color="auto" w:fill="auto"/>
          </w:tcPr>
          <w:p w14:paraId="4C49E9E5" w14:textId="6B2C0D79" w:rsidR="00A70DAB" w:rsidRPr="00A70DAB" w:rsidRDefault="00A70DAB" w:rsidP="00A70DAB">
            <w:pPr>
              <w:tabs>
                <w:tab w:val="left" w:pos="0"/>
                <w:tab w:val="left" w:pos="720"/>
                <w:tab w:val="left" w:pos="4320"/>
              </w:tabs>
              <w:spacing w:after="0" w:line="240" w:lineRule="auto"/>
              <w:rPr>
                <w:rFonts w:eastAsia="Times New Roman"/>
              </w:rPr>
            </w:pPr>
            <w:r w:rsidRPr="00A70DAB">
              <w:rPr>
                <w:rFonts w:eastAsia="Times New Roman"/>
              </w:rPr>
              <w:t>William Wright, Chief</w:t>
            </w:r>
          </w:p>
          <w:p w14:paraId="4A9ED041" w14:textId="77777777" w:rsidR="00A70DAB" w:rsidRPr="00A70DAB" w:rsidRDefault="00A70DAB" w:rsidP="00A70DAB">
            <w:pPr>
              <w:tabs>
                <w:tab w:val="left" w:pos="0"/>
                <w:tab w:val="left" w:pos="720"/>
                <w:tab w:val="left" w:pos="4320"/>
              </w:tabs>
              <w:spacing w:after="0" w:line="240" w:lineRule="auto"/>
              <w:rPr>
                <w:rFonts w:eastAsia="Times New Roman"/>
              </w:rPr>
            </w:pPr>
            <w:r w:rsidRPr="00A70DAB">
              <w:rPr>
                <w:rFonts w:eastAsia="Times New Roman"/>
              </w:rPr>
              <w:t>Attorney General’s Office</w:t>
            </w:r>
          </w:p>
          <w:p w14:paraId="49A83431" w14:textId="77777777" w:rsidR="00A70DAB" w:rsidRPr="00A70DAB" w:rsidRDefault="00A70DAB" w:rsidP="00A70DAB">
            <w:pPr>
              <w:tabs>
                <w:tab w:val="left" w:pos="0"/>
                <w:tab w:val="left" w:pos="720"/>
                <w:tab w:val="left" w:pos="4320"/>
              </w:tabs>
              <w:spacing w:after="0" w:line="240" w:lineRule="auto"/>
              <w:rPr>
                <w:rFonts w:eastAsia="Times New Roman"/>
              </w:rPr>
            </w:pPr>
            <w:r w:rsidRPr="00A70DAB">
              <w:rPr>
                <w:rFonts w:eastAsia="Times New Roman"/>
              </w:rPr>
              <w:t>Public Utilities Commission of Ohio</w:t>
            </w:r>
          </w:p>
          <w:p w14:paraId="54E708D3" w14:textId="77777777" w:rsidR="00A70DAB" w:rsidRPr="00A70DAB" w:rsidRDefault="00A70DAB" w:rsidP="00A70DAB">
            <w:pPr>
              <w:tabs>
                <w:tab w:val="left" w:pos="0"/>
                <w:tab w:val="left" w:pos="720"/>
                <w:tab w:val="left" w:pos="4320"/>
              </w:tabs>
              <w:spacing w:after="0" w:line="240" w:lineRule="auto"/>
              <w:rPr>
                <w:rFonts w:eastAsia="Times New Roman"/>
              </w:rPr>
            </w:pPr>
            <w:r w:rsidRPr="00A70DAB">
              <w:rPr>
                <w:rFonts w:eastAsia="Times New Roman"/>
              </w:rPr>
              <w:t>180 E. Broad St., 6</w:t>
            </w:r>
            <w:r w:rsidRPr="00A70DAB">
              <w:rPr>
                <w:rFonts w:eastAsia="Times New Roman"/>
                <w:vertAlign w:val="superscript"/>
              </w:rPr>
              <w:t>th</w:t>
            </w:r>
            <w:r w:rsidRPr="00A70DAB">
              <w:rPr>
                <w:rFonts w:eastAsia="Times New Roman"/>
              </w:rPr>
              <w:t xml:space="preserve"> Fl.</w:t>
            </w:r>
          </w:p>
          <w:p w14:paraId="3E4A7C5D" w14:textId="77777777" w:rsidR="00A70DAB" w:rsidRPr="00A70DAB" w:rsidRDefault="00A70DAB" w:rsidP="00A70DAB">
            <w:pPr>
              <w:tabs>
                <w:tab w:val="left" w:pos="0"/>
                <w:tab w:val="left" w:pos="720"/>
                <w:tab w:val="left" w:pos="4320"/>
              </w:tabs>
              <w:spacing w:after="0" w:line="240" w:lineRule="auto"/>
              <w:rPr>
                <w:rFonts w:eastAsia="Times New Roman"/>
              </w:rPr>
            </w:pPr>
            <w:r w:rsidRPr="00A70DAB">
              <w:rPr>
                <w:rFonts w:eastAsia="Times New Roman"/>
              </w:rPr>
              <w:t>Columbus, Ohio 43216</w:t>
            </w:r>
          </w:p>
          <w:p w14:paraId="4A91E356" w14:textId="508E1AD1" w:rsidR="00A70DAB" w:rsidRDefault="009B0D40" w:rsidP="00A70DAB">
            <w:pPr>
              <w:tabs>
                <w:tab w:val="left" w:pos="0"/>
                <w:tab w:val="left" w:pos="720"/>
                <w:tab w:val="left" w:pos="4320"/>
              </w:tabs>
              <w:spacing w:after="0" w:line="240" w:lineRule="auto"/>
              <w:rPr>
                <w:rFonts w:eastAsia="Times New Roman"/>
                <w:color w:val="0000FF"/>
                <w:u w:val="single"/>
              </w:rPr>
            </w:pPr>
            <w:hyperlink r:id="rId22" w:history="1">
              <w:r w:rsidR="00A70DAB" w:rsidRPr="00A70DAB">
                <w:rPr>
                  <w:rFonts w:eastAsia="Times New Roman"/>
                  <w:color w:val="0000FF"/>
                  <w:u w:val="single"/>
                </w:rPr>
                <w:t>William.wright@puc.state.oh.us</w:t>
              </w:r>
            </w:hyperlink>
          </w:p>
          <w:p w14:paraId="1F65EDBD" w14:textId="77777777" w:rsidR="001F41A7" w:rsidRDefault="001F41A7" w:rsidP="00A70DAB">
            <w:pPr>
              <w:tabs>
                <w:tab w:val="left" w:pos="0"/>
                <w:tab w:val="left" w:pos="720"/>
                <w:tab w:val="left" w:pos="4320"/>
              </w:tabs>
              <w:spacing w:after="0" w:line="240" w:lineRule="auto"/>
              <w:rPr>
                <w:rFonts w:eastAsia="Times New Roman"/>
                <w:color w:val="0000FF"/>
                <w:u w:val="single"/>
              </w:rPr>
            </w:pPr>
          </w:p>
          <w:p w14:paraId="245E2462" w14:textId="77777777" w:rsidR="001F41A7" w:rsidRDefault="001F41A7" w:rsidP="00A70DAB">
            <w:pPr>
              <w:tabs>
                <w:tab w:val="left" w:pos="0"/>
                <w:tab w:val="left" w:pos="720"/>
                <w:tab w:val="left" w:pos="4320"/>
              </w:tabs>
              <w:spacing w:after="0" w:line="240" w:lineRule="auto"/>
              <w:rPr>
                <w:rFonts w:eastAsia="Times New Roman"/>
                <w:color w:val="0000FF"/>
                <w:u w:val="single"/>
              </w:rPr>
            </w:pPr>
          </w:p>
          <w:p w14:paraId="4AA68A55" w14:textId="77777777" w:rsidR="001F41A7" w:rsidRPr="001F41A7" w:rsidRDefault="001F41A7" w:rsidP="00A70DAB">
            <w:pPr>
              <w:tabs>
                <w:tab w:val="left" w:pos="0"/>
                <w:tab w:val="left" w:pos="720"/>
                <w:tab w:val="left" w:pos="4320"/>
              </w:tabs>
              <w:spacing w:after="0" w:line="240" w:lineRule="auto"/>
              <w:rPr>
                <w:rFonts w:eastAsia="Times New Roman"/>
              </w:rPr>
            </w:pPr>
            <w:r w:rsidRPr="001F41A7">
              <w:rPr>
                <w:rFonts w:eastAsia="Times New Roman"/>
              </w:rPr>
              <w:t>Attorney Examiner:</w:t>
            </w:r>
          </w:p>
          <w:p w14:paraId="7215CAB3" w14:textId="77777777" w:rsidR="001F41A7" w:rsidRDefault="001F41A7" w:rsidP="00A70DAB">
            <w:pPr>
              <w:tabs>
                <w:tab w:val="left" w:pos="0"/>
                <w:tab w:val="left" w:pos="720"/>
                <w:tab w:val="left" w:pos="4320"/>
              </w:tabs>
              <w:spacing w:after="0" w:line="240" w:lineRule="auto"/>
              <w:rPr>
                <w:rFonts w:eastAsia="Times New Roman"/>
                <w:color w:val="0000FF"/>
                <w:u w:val="single"/>
              </w:rPr>
            </w:pPr>
          </w:p>
          <w:p w14:paraId="3D8DB31A" w14:textId="6D3E9C29" w:rsidR="001F41A7" w:rsidRDefault="009B0D40" w:rsidP="00A70DAB">
            <w:pPr>
              <w:tabs>
                <w:tab w:val="left" w:pos="0"/>
                <w:tab w:val="left" w:pos="720"/>
                <w:tab w:val="left" w:pos="4320"/>
              </w:tabs>
              <w:spacing w:after="0" w:line="240" w:lineRule="auto"/>
              <w:rPr>
                <w:rFonts w:eastAsia="Times New Roman"/>
                <w:color w:val="0000FF"/>
              </w:rPr>
            </w:pPr>
            <w:hyperlink r:id="rId23" w:history="1">
              <w:r w:rsidR="001F41A7" w:rsidRPr="000D7112">
                <w:rPr>
                  <w:rStyle w:val="Hyperlink"/>
                  <w:rFonts w:eastAsia="Times New Roman"/>
                </w:rPr>
                <w:t>Bryce.McKenney@puc.state.oh.us</w:t>
              </w:r>
            </w:hyperlink>
          </w:p>
          <w:p w14:paraId="001CC7DD" w14:textId="77777777" w:rsidR="001F41A7" w:rsidRPr="001F41A7" w:rsidRDefault="001F41A7" w:rsidP="00A70DAB">
            <w:pPr>
              <w:tabs>
                <w:tab w:val="left" w:pos="0"/>
                <w:tab w:val="left" w:pos="720"/>
                <w:tab w:val="left" w:pos="4320"/>
              </w:tabs>
              <w:spacing w:after="0" w:line="240" w:lineRule="auto"/>
              <w:rPr>
                <w:rFonts w:eastAsia="Times New Roman"/>
              </w:rPr>
            </w:pPr>
          </w:p>
          <w:p w14:paraId="59CB3521" w14:textId="77777777" w:rsidR="00A70DAB" w:rsidRPr="00A70DAB" w:rsidRDefault="00A70DAB" w:rsidP="00A70DAB">
            <w:pPr>
              <w:tabs>
                <w:tab w:val="left" w:pos="0"/>
                <w:tab w:val="left" w:pos="720"/>
                <w:tab w:val="left" w:pos="4320"/>
              </w:tabs>
              <w:spacing w:after="0" w:line="240" w:lineRule="auto"/>
              <w:rPr>
                <w:rFonts w:eastAsia="Times New Roman"/>
              </w:rPr>
            </w:pPr>
          </w:p>
        </w:tc>
        <w:tc>
          <w:tcPr>
            <w:tcW w:w="4428" w:type="dxa"/>
            <w:shd w:val="clear" w:color="auto" w:fill="auto"/>
          </w:tcPr>
          <w:p w14:paraId="63C2197D" w14:textId="77777777" w:rsidR="00A70DAB" w:rsidRPr="00A70DAB" w:rsidRDefault="00A70DAB" w:rsidP="00A70DAB">
            <w:pPr>
              <w:tabs>
                <w:tab w:val="left" w:pos="4320"/>
                <w:tab w:val="right" w:pos="8640"/>
              </w:tabs>
              <w:spacing w:after="0" w:line="240" w:lineRule="auto"/>
              <w:rPr>
                <w:rFonts w:eastAsia="Times New Roman"/>
              </w:rPr>
            </w:pPr>
            <w:r w:rsidRPr="00A70DAB">
              <w:rPr>
                <w:rFonts w:eastAsia="Times New Roman"/>
              </w:rPr>
              <w:t>Amy B. Spiller</w:t>
            </w:r>
          </w:p>
          <w:p w14:paraId="2858BCD5" w14:textId="77777777" w:rsidR="00A70DAB" w:rsidRPr="00A70DAB" w:rsidRDefault="00A70DAB" w:rsidP="00A70DAB">
            <w:pPr>
              <w:tabs>
                <w:tab w:val="left" w:pos="522"/>
                <w:tab w:val="left" w:pos="720"/>
                <w:tab w:val="left" w:pos="4320"/>
                <w:tab w:val="right" w:pos="8640"/>
              </w:tabs>
              <w:spacing w:after="0" w:line="240" w:lineRule="auto"/>
              <w:rPr>
                <w:rFonts w:eastAsia="Times New Roman"/>
              </w:rPr>
            </w:pPr>
            <w:r w:rsidRPr="00A70DAB">
              <w:rPr>
                <w:rFonts w:eastAsia="Times New Roman"/>
              </w:rPr>
              <w:t>Elizabeth H. Watts</w:t>
            </w:r>
          </w:p>
          <w:p w14:paraId="6F510AD9" w14:textId="77777777" w:rsidR="00A70DAB" w:rsidRPr="00A70DAB" w:rsidRDefault="00A70DAB" w:rsidP="00A70DAB">
            <w:pPr>
              <w:tabs>
                <w:tab w:val="left" w:pos="522"/>
                <w:tab w:val="left" w:pos="720"/>
                <w:tab w:val="left" w:pos="4320"/>
                <w:tab w:val="right" w:pos="8640"/>
              </w:tabs>
              <w:spacing w:after="0" w:line="240" w:lineRule="auto"/>
              <w:rPr>
                <w:rFonts w:eastAsia="Times New Roman"/>
              </w:rPr>
            </w:pPr>
            <w:r w:rsidRPr="00A70DAB">
              <w:rPr>
                <w:rFonts w:eastAsia="Times New Roman"/>
              </w:rPr>
              <w:t>Duke Energy Business Services</w:t>
            </w:r>
          </w:p>
          <w:p w14:paraId="131A0E03" w14:textId="77777777" w:rsidR="00A70DAB" w:rsidRPr="00A70DAB" w:rsidRDefault="00A70DAB" w:rsidP="00A70DAB">
            <w:pPr>
              <w:tabs>
                <w:tab w:val="left" w:pos="522"/>
                <w:tab w:val="left" w:pos="720"/>
                <w:tab w:val="left" w:pos="4320"/>
                <w:tab w:val="right" w:pos="8640"/>
              </w:tabs>
              <w:spacing w:after="0" w:line="240" w:lineRule="auto"/>
              <w:rPr>
                <w:rFonts w:eastAsia="Times New Roman"/>
              </w:rPr>
            </w:pPr>
            <w:r w:rsidRPr="00A70DAB">
              <w:rPr>
                <w:rFonts w:eastAsia="Times New Roman"/>
              </w:rPr>
              <w:t>139 East Fourth Street</w:t>
            </w:r>
          </w:p>
          <w:p w14:paraId="69984135" w14:textId="77777777" w:rsidR="00A70DAB" w:rsidRPr="00A70DAB" w:rsidRDefault="00A70DAB" w:rsidP="00A70DAB">
            <w:pPr>
              <w:tabs>
                <w:tab w:val="left" w:pos="522"/>
                <w:tab w:val="left" w:pos="720"/>
                <w:tab w:val="left" w:pos="4320"/>
                <w:tab w:val="right" w:pos="8640"/>
              </w:tabs>
              <w:spacing w:after="0" w:line="240" w:lineRule="auto"/>
              <w:rPr>
                <w:rFonts w:eastAsia="Times New Roman"/>
              </w:rPr>
            </w:pPr>
            <w:r w:rsidRPr="00A70DAB">
              <w:rPr>
                <w:rFonts w:eastAsia="Times New Roman"/>
              </w:rPr>
              <w:t>1303-Main</w:t>
            </w:r>
          </w:p>
          <w:p w14:paraId="110A9055" w14:textId="77777777" w:rsidR="00A70DAB" w:rsidRPr="00A70DAB" w:rsidRDefault="00A70DAB" w:rsidP="00A70DAB">
            <w:pPr>
              <w:tabs>
                <w:tab w:val="left" w:pos="522"/>
                <w:tab w:val="left" w:pos="720"/>
                <w:tab w:val="left" w:pos="4320"/>
              </w:tabs>
              <w:spacing w:after="0" w:line="240" w:lineRule="auto"/>
              <w:rPr>
                <w:rFonts w:eastAsia="Times New Roman"/>
              </w:rPr>
            </w:pPr>
            <w:r w:rsidRPr="00A70DAB">
              <w:rPr>
                <w:rFonts w:eastAsia="Times New Roman"/>
              </w:rPr>
              <w:t>Cincinnati, Ohio 45202</w:t>
            </w:r>
          </w:p>
          <w:p w14:paraId="5D4FCCF1" w14:textId="274D0353" w:rsidR="00A70DAB" w:rsidRPr="00A70DAB" w:rsidRDefault="009B0D40" w:rsidP="00A70DAB">
            <w:pPr>
              <w:spacing w:after="0" w:line="240" w:lineRule="auto"/>
              <w:jc w:val="both"/>
              <w:rPr>
                <w:rFonts w:eastAsia="Times New Roman"/>
              </w:rPr>
            </w:pPr>
            <w:hyperlink r:id="rId24" w:history="1">
              <w:r w:rsidR="00A70DAB" w:rsidRPr="00A70DAB">
                <w:rPr>
                  <w:rFonts w:eastAsia="Times New Roman"/>
                  <w:color w:val="0000FF"/>
                  <w:u w:val="single"/>
                </w:rPr>
                <w:t>Amy.Spiller@duke-energy.com</w:t>
              </w:r>
            </w:hyperlink>
          </w:p>
          <w:p w14:paraId="61053242" w14:textId="635FB5AC" w:rsidR="001F41A7" w:rsidRDefault="009B0D40" w:rsidP="00A70DAB">
            <w:pPr>
              <w:tabs>
                <w:tab w:val="left" w:pos="522"/>
                <w:tab w:val="left" w:pos="720"/>
                <w:tab w:val="left" w:pos="4320"/>
              </w:tabs>
              <w:spacing w:after="0" w:line="240" w:lineRule="auto"/>
              <w:rPr>
                <w:rFonts w:eastAsia="Times New Roman"/>
                <w:color w:val="0000FF"/>
                <w:u w:val="single"/>
              </w:rPr>
            </w:pPr>
            <w:hyperlink r:id="rId25" w:history="1">
              <w:r w:rsidR="00A70DAB" w:rsidRPr="00A70DAB">
                <w:rPr>
                  <w:rFonts w:eastAsia="Times New Roman"/>
                  <w:color w:val="0000FF"/>
                  <w:u w:val="single"/>
                </w:rPr>
                <w:t>Elizabeth.watts@duke-energy.com</w:t>
              </w:r>
            </w:hyperlink>
          </w:p>
          <w:p w14:paraId="59761F01" w14:textId="14D8ECE8" w:rsidR="001F41A7" w:rsidRPr="001F41A7" w:rsidRDefault="001F41A7" w:rsidP="00A70DAB">
            <w:pPr>
              <w:tabs>
                <w:tab w:val="left" w:pos="522"/>
                <w:tab w:val="left" w:pos="720"/>
                <w:tab w:val="left" w:pos="4320"/>
              </w:tabs>
              <w:spacing w:after="0" w:line="240" w:lineRule="auto"/>
              <w:rPr>
                <w:rFonts w:eastAsia="Times New Roman"/>
                <w:color w:val="0000FF"/>
                <w:u w:val="single"/>
              </w:rPr>
            </w:pPr>
          </w:p>
        </w:tc>
      </w:tr>
    </w:tbl>
    <w:p w14:paraId="219652FD" w14:textId="77777777" w:rsidR="00766541" w:rsidRPr="00104013" w:rsidRDefault="00766541"/>
    <w:sectPr w:rsidR="00766541" w:rsidRPr="00104013" w:rsidSect="00BF7201">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0C7C7" w14:textId="77777777" w:rsidR="00622282" w:rsidRDefault="00622282" w:rsidP="004D17A3">
      <w:pPr>
        <w:spacing w:after="0" w:line="240" w:lineRule="auto"/>
      </w:pPr>
      <w:r>
        <w:separator/>
      </w:r>
    </w:p>
  </w:endnote>
  <w:endnote w:type="continuationSeparator" w:id="0">
    <w:p w14:paraId="4E95E53A" w14:textId="77777777" w:rsidR="00622282" w:rsidRDefault="00622282" w:rsidP="004D17A3">
      <w:pPr>
        <w:spacing w:after="0" w:line="240" w:lineRule="auto"/>
      </w:pPr>
      <w:r>
        <w:continuationSeparator/>
      </w:r>
    </w:p>
  </w:endnote>
  <w:endnote w:type="continuationNotice" w:id="1">
    <w:p w14:paraId="5BBC9CC6" w14:textId="77777777" w:rsidR="00622282" w:rsidRDefault="00622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AE9AA" w14:textId="77777777" w:rsidR="00A11D6D" w:rsidRDefault="00A11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8BF89" w14:textId="77777777" w:rsidR="00A11D6D" w:rsidRDefault="00A11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7B514" w14:textId="77777777" w:rsidR="00A11D6D" w:rsidRDefault="00A11D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980250"/>
      <w:docPartObj>
        <w:docPartGallery w:val="Page Numbers (Bottom of Page)"/>
        <w:docPartUnique/>
      </w:docPartObj>
    </w:sdtPr>
    <w:sdtEndPr>
      <w:rPr>
        <w:noProof/>
      </w:rPr>
    </w:sdtEndPr>
    <w:sdtContent>
      <w:p w14:paraId="451495DB" w14:textId="5A4B0D3A" w:rsidR="00C27725" w:rsidRDefault="00C27725">
        <w:pPr>
          <w:pStyle w:val="Footer"/>
          <w:jc w:val="center"/>
        </w:pPr>
        <w:r>
          <w:fldChar w:fldCharType="begin"/>
        </w:r>
        <w:r>
          <w:instrText xml:space="preserve"> PAGE   \* MERGEFORMAT </w:instrText>
        </w:r>
        <w:r>
          <w:fldChar w:fldCharType="separate"/>
        </w:r>
        <w:r w:rsidR="009B0D40">
          <w:rPr>
            <w:noProof/>
          </w:rPr>
          <w:t>i</w:t>
        </w:r>
        <w:r>
          <w:rPr>
            <w:noProof/>
          </w:rPr>
          <w:fldChar w:fldCharType="end"/>
        </w:r>
      </w:p>
    </w:sdtContent>
  </w:sdt>
  <w:p w14:paraId="768691AE" w14:textId="77777777" w:rsidR="00BF7201" w:rsidRDefault="00BF72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062292"/>
      <w:docPartObj>
        <w:docPartGallery w:val="Page Numbers (Bottom of Page)"/>
        <w:docPartUnique/>
      </w:docPartObj>
    </w:sdtPr>
    <w:sdtEndPr>
      <w:rPr>
        <w:noProof/>
      </w:rPr>
    </w:sdtEndPr>
    <w:sdtContent>
      <w:p w14:paraId="2A2536BB" w14:textId="62FF5470" w:rsidR="00E852AF" w:rsidRDefault="00E852AF">
        <w:pPr>
          <w:pStyle w:val="Footer"/>
          <w:jc w:val="center"/>
        </w:pPr>
        <w:r>
          <w:fldChar w:fldCharType="begin"/>
        </w:r>
        <w:r>
          <w:instrText xml:space="preserve"> PAGE   \* MERGEFORMAT </w:instrText>
        </w:r>
        <w:r>
          <w:fldChar w:fldCharType="separate"/>
        </w:r>
        <w:r w:rsidR="00A11D6D">
          <w:rPr>
            <w:noProof/>
          </w:rPr>
          <w:t>12</w:t>
        </w:r>
        <w:r>
          <w:rPr>
            <w:noProof/>
          </w:rPr>
          <w:fldChar w:fldCharType="end"/>
        </w:r>
      </w:p>
    </w:sdtContent>
  </w:sdt>
  <w:p w14:paraId="75A879F5" w14:textId="77777777" w:rsidR="00E852AF" w:rsidRDefault="00E852A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622308"/>
      <w:docPartObj>
        <w:docPartGallery w:val="Page Numbers (Bottom of Page)"/>
        <w:docPartUnique/>
      </w:docPartObj>
    </w:sdtPr>
    <w:sdtEndPr>
      <w:rPr>
        <w:noProof/>
      </w:rPr>
    </w:sdtEndPr>
    <w:sdtContent>
      <w:p w14:paraId="1F1A4355" w14:textId="0A382FC1" w:rsidR="00C27725" w:rsidRDefault="00C27725">
        <w:pPr>
          <w:pStyle w:val="Footer"/>
          <w:jc w:val="center"/>
        </w:pPr>
        <w:r>
          <w:fldChar w:fldCharType="begin"/>
        </w:r>
        <w:r>
          <w:instrText xml:space="preserve"> PAGE   \* MERGEFORMAT </w:instrText>
        </w:r>
        <w:r>
          <w:fldChar w:fldCharType="separate"/>
        </w:r>
        <w:r w:rsidR="00A11D6D">
          <w:rPr>
            <w:noProof/>
          </w:rPr>
          <w:t>13</w:t>
        </w:r>
        <w:r>
          <w:rPr>
            <w:noProof/>
          </w:rPr>
          <w:fldChar w:fldCharType="end"/>
        </w:r>
      </w:p>
    </w:sdtContent>
  </w:sdt>
  <w:p w14:paraId="27F8C502" w14:textId="77777777" w:rsidR="00E852AF" w:rsidRDefault="00E85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DED8E" w14:textId="77777777" w:rsidR="00622282" w:rsidRDefault="00622282" w:rsidP="004D17A3">
      <w:pPr>
        <w:spacing w:after="0" w:line="240" w:lineRule="auto"/>
      </w:pPr>
      <w:r>
        <w:separator/>
      </w:r>
    </w:p>
  </w:footnote>
  <w:footnote w:type="continuationSeparator" w:id="0">
    <w:p w14:paraId="1F3FF5CC" w14:textId="77777777" w:rsidR="00622282" w:rsidRDefault="00622282" w:rsidP="004D17A3">
      <w:pPr>
        <w:spacing w:after="0" w:line="240" w:lineRule="auto"/>
      </w:pPr>
      <w:r>
        <w:continuationSeparator/>
      </w:r>
    </w:p>
  </w:footnote>
  <w:footnote w:type="continuationNotice" w:id="1">
    <w:p w14:paraId="73B2E8D5" w14:textId="77777777" w:rsidR="00622282" w:rsidRDefault="00622282">
      <w:pPr>
        <w:spacing w:after="0" w:line="240" w:lineRule="auto"/>
      </w:pPr>
    </w:p>
  </w:footnote>
  <w:footnote w:id="2">
    <w:p w14:paraId="7145A0B4" w14:textId="3028CE7C" w:rsidR="001E6FA7" w:rsidRDefault="001E6FA7">
      <w:pPr>
        <w:pStyle w:val="FootnoteText"/>
      </w:pPr>
      <w:r>
        <w:rPr>
          <w:rStyle w:val="FootnoteReference"/>
        </w:rPr>
        <w:footnoteRef/>
      </w:r>
      <w:r>
        <w:t xml:space="preserve"> See Motion at 6-15.</w:t>
      </w:r>
    </w:p>
  </w:footnote>
  <w:footnote w:id="3">
    <w:p w14:paraId="5B740713" w14:textId="77777777" w:rsidR="006A5601" w:rsidRDefault="006A5601" w:rsidP="006A5601">
      <w:pPr>
        <w:pStyle w:val="FootnoteText"/>
      </w:pPr>
      <w:r>
        <w:rPr>
          <w:rStyle w:val="FootnoteReference"/>
        </w:rPr>
        <w:footnoteRef/>
      </w:r>
      <w:r>
        <w:t xml:space="preserve"> </w:t>
      </w:r>
      <w:r w:rsidRPr="00E16D6A">
        <w:rPr>
          <w:i/>
        </w:rPr>
        <w:t>OCC v. Dominion Retail</w:t>
      </w:r>
      <w:r>
        <w:t xml:space="preserve">, Case No. 09-257-GA-CSS, Entry (July 1, 2009) at 3, citing </w:t>
      </w:r>
      <w:r w:rsidRPr="00E16D6A">
        <w:rPr>
          <w:rStyle w:val="ssit1"/>
          <w:rFonts w:cs="Times New Roman"/>
          <w:color w:val="373739"/>
          <w:szCs w:val="20"/>
        </w:rPr>
        <w:t xml:space="preserve">In the Matter of the </w:t>
      </w:r>
      <w:r w:rsidRPr="00E16D6A">
        <w:rPr>
          <w:rStyle w:val="sssh"/>
          <w:rFonts w:cs="Times New Roman"/>
          <w:i/>
          <w:iCs/>
          <w:color w:val="373739"/>
          <w:szCs w:val="20"/>
        </w:rPr>
        <w:t>Complaint</w:t>
      </w:r>
      <w:r w:rsidRPr="00E16D6A">
        <w:rPr>
          <w:rStyle w:val="ssit1"/>
          <w:rFonts w:cs="Times New Roman"/>
          <w:color w:val="373739"/>
          <w:szCs w:val="20"/>
        </w:rPr>
        <w:t xml:space="preserve"> of XO Ohio, Inc. v. City of Upper Arlington</w:t>
      </w:r>
      <w:r w:rsidRPr="00E16D6A">
        <w:rPr>
          <w:rFonts w:cs="Times New Roman"/>
          <w:color w:val="373739"/>
          <w:szCs w:val="20"/>
        </w:rPr>
        <w:t>, Case No. 03-870-AU-PWC, Entry on Rehearing (July 1, 2003).</w:t>
      </w:r>
    </w:p>
  </w:footnote>
  <w:footnote w:id="4">
    <w:p w14:paraId="01A2A38C" w14:textId="2D774F52" w:rsidR="00E26B15" w:rsidRDefault="00E26B15" w:rsidP="00E26B15">
      <w:pPr>
        <w:pStyle w:val="FootnoteText"/>
      </w:pPr>
      <w:r>
        <w:rPr>
          <w:rStyle w:val="FootnoteReference"/>
        </w:rPr>
        <w:footnoteRef/>
      </w:r>
      <w:r>
        <w:t xml:space="preserve"> </w:t>
      </w:r>
      <w:r w:rsidR="00E852AF">
        <w:t>Motion</w:t>
      </w:r>
      <w:r>
        <w:t xml:space="preserve"> at 6-10.</w:t>
      </w:r>
    </w:p>
  </w:footnote>
  <w:footnote w:id="5">
    <w:p w14:paraId="1501C1E5" w14:textId="4F89BE31" w:rsidR="007E52AF" w:rsidRDefault="007E52AF">
      <w:pPr>
        <w:pStyle w:val="FootnoteText"/>
      </w:pPr>
      <w:r>
        <w:rPr>
          <w:rStyle w:val="FootnoteReference"/>
        </w:rPr>
        <w:footnoteRef/>
      </w:r>
      <w:r>
        <w:t xml:space="preserve"> Ohio Adm. Code 4901:1-18-06(B).</w:t>
      </w:r>
    </w:p>
  </w:footnote>
  <w:footnote w:id="6">
    <w:p w14:paraId="642B7D9A" w14:textId="4D92F94F" w:rsidR="002A728E" w:rsidRDefault="002A728E" w:rsidP="002A728E">
      <w:pPr>
        <w:pStyle w:val="FootnoteText"/>
      </w:pPr>
      <w:r>
        <w:rPr>
          <w:rStyle w:val="FootnoteReference"/>
        </w:rPr>
        <w:footnoteRef/>
      </w:r>
      <w:r>
        <w:t xml:space="preserve"> </w:t>
      </w:r>
      <w:r w:rsidR="00D72A5D" w:rsidRPr="007A2029">
        <w:rPr>
          <w:i/>
        </w:rPr>
        <w:t>Pitzer v. Duke Energy Ohio, Inc</w:t>
      </w:r>
      <w:r w:rsidR="00D72A5D" w:rsidRPr="007A2029">
        <w:t>., Case No. 15-298-GE-CSS</w:t>
      </w:r>
      <w:r w:rsidR="00D72A5D">
        <w:t xml:space="preserve"> </w:t>
      </w:r>
      <w:r w:rsidR="00D72A5D" w:rsidRPr="007A2029">
        <w:t>(</w:t>
      </w:r>
      <w:r w:rsidR="00D72A5D">
        <w:t>“</w:t>
      </w:r>
      <w:r w:rsidR="00D72A5D" w:rsidRPr="007A2029">
        <w:rPr>
          <w:i/>
        </w:rPr>
        <w:t>Pitzer</w:t>
      </w:r>
      <w:r w:rsidR="00D72A5D" w:rsidRPr="007A2029">
        <w:t xml:space="preserve"> </w:t>
      </w:r>
      <w:r w:rsidR="00D72A5D">
        <w:t>Case”)</w:t>
      </w:r>
      <w:r>
        <w:t xml:space="preserve">, Answer of Duke Energy Ohio, Inc. at 4 (“Duke Energy Ohio denies that the 10-day notice requirement under O.A.C. 4901:1-18-06(B) applied to the subject disconnection of electric service at the Property because the electric service was disconnected only for the non-payment of utility services incurred during August, September and October 2011, and relevant late fees, and </w:t>
      </w:r>
      <w:r>
        <w:rPr>
          <w:i/>
          <w:iCs/>
        </w:rPr>
        <w:t xml:space="preserve">not </w:t>
      </w:r>
      <w:r>
        <w:t xml:space="preserve">for the nonpayment of charges incurred during the winter heating season”) (emphasis in original); id. at 5 (“Duke Energy Ohio denies that O.A.C. 4901:1-18-06(B)(3) applies to the Company’s disconnection of the electric service at the Property on November 4, 2011, because (a) the Company did not disconnect Estill Easterling’s electric service for any unpaid bills which included usage occurring during November first to April fifteenth of each year,….”); id. at 7 (“the customer’s services were not subject to disconnection for nonpayment of charges incurred during the winter heating season”); id., Duke’s Memorandum Contra OCC’s Motion to Intervene (May 22, 2015) at 4 (“The Duke Energy Ohio bills for the Account attached to the Complaint demonstrate that the Company disconnected the electric service to the Account for the non-payment of electric services provided to the Account from August 3 through September 1, 2011. … Therefore, the allegations </w:t>
      </w:r>
      <w:r>
        <w:rPr>
          <w:i/>
          <w:iCs/>
        </w:rPr>
        <w:t xml:space="preserve">in </w:t>
      </w:r>
      <w:r>
        <w:t xml:space="preserve">the Complaint are contradicted by the utility bills attached </w:t>
      </w:r>
      <w:r>
        <w:rPr>
          <w:i/>
          <w:iCs/>
        </w:rPr>
        <w:t xml:space="preserve">to </w:t>
      </w:r>
      <w:r>
        <w:t>the Complaint because the Account was not disconnected for the non-payment of any bills including usage during the winter heating season”) (emphasis in original); id. at 8 (“the Account was not disconnected for unpaid bills including electric charges incurred during the winter heating season”); id., Duke’s Memorandum in Opposition to Complainant Jeffrey Pitzer’s Second Motion to Compel (August 27, 2015) at 4 (“</w:t>
      </w:r>
      <w:r w:rsidRPr="00E82584">
        <w:t>Moreover, the Duke Energy Ohio bills for the Account attached to the Complaint demonstrate that the Company disconnected the electric service to the Account for the non-payment of electric services provided to the Account from August 3 through September 1, 2011</w:t>
      </w:r>
      <w:r>
        <w:t xml:space="preserve">. … </w:t>
      </w:r>
      <w:r w:rsidRPr="00E82584">
        <w:t xml:space="preserve">Therefore, the allegations </w:t>
      </w:r>
      <w:r w:rsidRPr="00E82584">
        <w:rPr>
          <w:i/>
        </w:rPr>
        <w:t>in</w:t>
      </w:r>
      <w:r w:rsidRPr="00E82584">
        <w:t xml:space="preserve"> the Complaint are contradicted by the utility bills attached </w:t>
      </w:r>
      <w:r w:rsidRPr="00E82584">
        <w:rPr>
          <w:i/>
        </w:rPr>
        <w:t>to</w:t>
      </w:r>
      <w:r w:rsidRPr="00E82584">
        <w:t xml:space="preserve"> the Complaint because the Account was not disconnected for the non-payment of any bills including usage during the winter heating season</w:t>
      </w:r>
      <w:r>
        <w:t>.”) (emphasis in original).</w:t>
      </w:r>
    </w:p>
  </w:footnote>
  <w:footnote w:id="7">
    <w:p w14:paraId="12EB5E25" w14:textId="77777777" w:rsidR="00122F20" w:rsidRDefault="00122F20" w:rsidP="00122F20">
      <w:pPr>
        <w:pStyle w:val="FootnoteText"/>
      </w:pPr>
      <w:r>
        <w:rPr>
          <w:rStyle w:val="FootnoteReference"/>
        </w:rPr>
        <w:footnoteRef/>
      </w:r>
      <w:r>
        <w:t xml:space="preserve"> Motion at 8.</w:t>
      </w:r>
    </w:p>
  </w:footnote>
  <w:footnote w:id="8">
    <w:p w14:paraId="7C5F9FEB" w14:textId="77777777" w:rsidR="0044200F" w:rsidRDefault="0044200F" w:rsidP="0044200F">
      <w:pPr>
        <w:pStyle w:val="FootnoteText"/>
      </w:pPr>
      <w:r>
        <w:rPr>
          <w:rStyle w:val="FootnoteReference"/>
        </w:rPr>
        <w:footnoteRef/>
      </w:r>
      <w:r>
        <w:t xml:space="preserve"> The statute also provides that a complaint may allege “</w:t>
      </w:r>
      <w:r w:rsidRPr="006E6208">
        <w:rPr>
          <w:color w:val="000000"/>
        </w:rPr>
        <w:t xml:space="preserve">that any service is, </w:t>
      </w:r>
      <w:r w:rsidRPr="006E6208">
        <w:rPr>
          <w:i/>
          <w:color w:val="000000"/>
        </w:rPr>
        <w:t>or will be</w:t>
      </w:r>
      <w:r w:rsidRPr="006E6208">
        <w:rPr>
          <w:color w:val="000000"/>
        </w:rPr>
        <w:t>, inadequate or cannot be obtained</w:t>
      </w:r>
      <w:r>
        <w:rPr>
          <w:color w:val="000000"/>
        </w:rPr>
        <w:t>….”  (Emphasis added.)</w:t>
      </w:r>
    </w:p>
  </w:footnote>
  <w:footnote w:id="9">
    <w:p w14:paraId="7B86EC55" w14:textId="19CE1A95" w:rsidR="0044200F" w:rsidRDefault="0044200F" w:rsidP="0044200F">
      <w:pPr>
        <w:pStyle w:val="FootnoteText"/>
      </w:pPr>
      <w:r>
        <w:rPr>
          <w:rStyle w:val="FootnoteReference"/>
        </w:rPr>
        <w:footnoteRef/>
      </w:r>
      <w:r>
        <w:t xml:space="preserve"> See, e.g., </w:t>
      </w:r>
      <w:r w:rsidRPr="00B34DAB">
        <w:rPr>
          <w:i/>
        </w:rPr>
        <w:t>In the Matter of the Complaint of Westside Cellular, Inc. v. New Par Companies,</w:t>
      </w:r>
      <w:r>
        <w:t xml:space="preserve"> Case No. 93-1758-TP-CSS, Opinion and Order (Jan</w:t>
      </w:r>
      <w:r w:rsidR="00E852AF">
        <w:t>uary</w:t>
      </w:r>
      <w:r>
        <w:t xml:space="preserve"> 18, 2001) </w:t>
      </w:r>
      <w:r w:rsidR="00E852AF">
        <w:t xml:space="preserve">at 92-93 </w:t>
      </w:r>
      <w:r>
        <w:t xml:space="preserve">(finding that a complaint can proceed on allegations that a rate proposed </w:t>
      </w:r>
      <w:r w:rsidRPr="00B34DAB">
        <w:rPr>
          <w:i/>
        </w:rPr>
        <w:t>to be charged</w:t>
      </w:r>
      <w:r>
        <w:t xml:space="preserve"> is unjust and unreasonable and can proceed despite the fact that the complainant is a potential, and not actual customer  of the respondent); </w:t>
      </w:r>
      <w:r w:rsidRPr="001869C3">
        <w:rPr>
          <w:i/>
        </w:rPr>
        <w:t>In the Matter of the Complaint of National Electrical Contractors Assn. et al. v. Ohio Edison, et al</w:t>
      </w:r>
      <w:r>
        <w:t>., Case No. 98-1400-EL-CSS Entry (May 19, 1999)</w:t>
      </w:r>
      <w:r w:rsidR="00E852AF">
        <w:t>,</w:t>
      </w:r>
      <w:r w:rsidR="00E852AF" w:rsidRPr="00E852AF">
        <w:t xml:space="preserve"> </w:t>
      </w:r>
      <w:r w:rsidR="00E852AF">
        <w:t>¶ 8 (</w:t>
      </w:r>
      <w:r>
        <w:t>holding that the PUCO would not limit the scope of the complaint to the issue of whether customers are actually harmed by utility practices that violate a statute or rule).</w:t>
      </w:r>
    </w:p>
  </w:footnote>
  <w:footnote w:id="10">
    <w:p w14:paraId="033F11B7" w14:textId="6A4EA27F" w:rsidR="000A6556" w:rsidRDefault="000A6556">
      <w:pPr>
        <w:pStyle w:val="FootnoteText"/>
      </w:pPr>
      <w:r>
        <w:rPr>
          <w:rStyle w:val="FootnoteReference"/>
        </w:rPr>
        <w:footnoteRef/>
      </w:r>
      <w:r>
        <w:t xml:space="preserve"> See </w:t>
      </w:r>
      <w:r w:rsidR="00E852AF">
        <w:t>Motion at 8</w:t>
      </w:r>
      <w:r>
        <w:t xml:space="preserve">.  Not an easy task, considering that utilities often control all the very documentation upon which a complaint would be based.  </w:t>
      </w:r>
    </w:p>
  </w:footnote>
  <w:footnote w:id="11">
    <w:p w14:paraId="619A4CDC" w14:textId="77777777" w:rsidR="00D85F79" w:rsidRDefault="00D85F79" w:rsidP="00D85F79">
      <w:pPr>
        <w:pStyle w:val="FootnoteText"/>
      </w:pPr>
      <w:r>
        <w:rPr>
          <w:rStyle w:val="FootnoteReference"/>
        </w:rPr>
        <w:footnoteRef/>
      </w:r>
      <w:r>
        <w:t xml:space="preserve"> Ohio Adm. Code 4901-1-16.</w:t>
      </w:r>
    </w:p>
  </w:footnote>
  <w:footnote w:id="12">
    <w:p w14:paraId="2EAEC8B5" w14:textId="7485A1FE" w:rsidR="00413EEF" w:rsidRDefault="00413EEF" w:rsidP="00413EEF">
      <w:pPr>
        <w:pStyle w:val="FootnoteText"/>
      </w:pPr>
      <w:r>
        <w:rPr>
          <w:rStyle w:val="FootnoteReference"/>
        </w:rPr>
        <w:footnoteRef/>
      </w:r>
      <w:r>
        <w:t xml:space="preserve"> </w:t>
      </w:r>
      <w:r w:rsidR="00E852AF" w:rsidRPr="001F40CF">
        <w:rPr>
          <w:rFonts w:cs="Times New Roman"/>
          <w:i/>
          <w:szCs w:val="20"/>
        </w:rPr>
        <w:t>In the Matter of the Commission</w:t>
      </w:r>
      <w:r w:rsidR="00E852AF">
        <w:rPr>
          <w:rFonts w:cs="Times New Roman"/>
          <w:i/>
          <w:szCs w:val="20"/>
        </w:rPr>
        <w:t>’</w:t>
      </w:r>
      <w:r w:rsidR="00E852AF" w:rsidRPr="001F40CF">
        <w:rPr>
          <w:rFonts w:cs="Times New Roman"/>
          <w:i/>
          <w:szCs w:val="20"/>
        </w:rPr>
        <w:t>s Consideration of Solutions Concerning the Disconnection of Gas and Electric Service in Winter Emergencies for the 2015-2016 Winter Heating Season</w:t>
      </w:r>
      <w:r w:rsidR="00E852AF" w:rsidRPr="001F40CF">
        <w:rPr>
          <w:rFonts w:cs="Times New Roman"/>
          <w:szCs w:val="20"/>
        </w:rPr>
        <w:t xml:space="preserve">, Finding and Order (September 2, 2015) </w:t>
      </w:r>
      <w:r>
        <w:t xml:space="preserve">at 9.  </w:t>
      </w:r>
    </w:p>
  </w:footnote>
  <w:footnote w:id="13">
    <w:p w14:paraId="38AB17DC" w14:textId="77777777" w:rsidR="0044200F" w:rsidRDefault="0044200F" w:rsidP="0044200F">
      <w:pPr>
        <w:pStyle w:val="FootnoteText"/>
      </w:pPr>
      <w:r w:rsidRPr="00CF4859">
        <w:rPr>
          <w:rStyle w:val="FootnoteReference"/>
        </w:rPr>
        <w:footnoteRef/>
      </w:r>
      <w:r w:rsidRPr="00CF4859">
        <w:t xml:space="preserve"> </w:t>
      </w:r>
      <w:r w:rsidRPr="00462740">
        <w:rPr>
          <w:i/>
        </w:rPr>
        <w:t>In the Matter of the Application of Duke Energy Ohio, Inc., to Adjust Rider DR-IM and Rider AU for 2013 SmartGrid Costs</w:t>
      </w:r>
      <w:r>
        <w:t>, Case No. 14-1051-GE-RDR, Entry (January 22, 2015)</w:t>
      </w:r>
      <w:r w:rsidRPr="0044200F">
        <w:t xml:space="preserve"> </w:t>
      </w:r>
      <w:r>
        <w:t xml:space="preserve">at 3. </w:t>
      </w:r>
    </w:p>
  </w:footnote>
  <w:footnote w:id="14">
    <w:p w14:paraId="19D37011" w14:textId="64907597" w:rsidR="0044200F" w:rsidRDefault="0044200F">
      <w:pPr>
        <w:pStyle w:val="FootnoteText"/>
      </w:pPr>
      <w:r>
        <w:rPr>
          <w:rStyle w:val="FootnoteReference"/>
        </w:rPr>
        <w:footnoteRef/>
      </w:r>
      <w:r>
        <w:t xml:space="preserve"> </w:t>
      </w:r>
      <w:r w:rsidRPr="00462740">
        <w:rPr>
          <w:i/>
        </w:rPr>
        <w:t xml:space="preserve">Allnet Communications Services, Inc. v. Pub. Util. Comm. </w:t>
      </w:r>
      <w:r>
        <w:t>(1987), 32 Ohio St.3d 115.</w:t>
      </w:r>
    </w:p>
  </w:footnote>
  <w:footnote w:id="15">
    <w:p w14:paraId="6BA0D7DF" w14:textId="0549B9E7" w:rsidR="00AF65FC" w:rsidRDefault="00AF65FC" w:rsidP="00AF65FC">
      <w:pPr>
        <w:pStyle w:val="FootnoteText"/>
      </w:pPr>
      <w:r>
        <w:rPr>
          <w:rStyle w:val="FootnoteReference"/>
        </w:rPr>
        <w:footnoteRef/>
      </w:r>
      <w:r>
        <w:t xml:space="preserve"> See </w:t>
      </w:r>
      <w:r w:rsidR="008C28F6">
        <w:t xml:space="preserve">Complaint at 6, </w:t>
      </w:r>
      <w:r>
        <w:t xml:space="preserve">Table 1.  </w:t>
      </w:r>
    </w:p>
  </w:footnote>
  <w:footnote w:id="16">
    <w:p w14:paraId="14867D9A" w14:textId="15D4E58E" w:rsidR="00AF65FC" w:rsidRDefault="00AF65FC" w:rsidP="00AF65FC">
      <w:pPr>
        <w:pStyle w:val="FootnoteText"/>
      </w:pPr>
      <w:r>
        <w:rPr>
          <w:rStyle w:val="FootnoteReference"/>
        </w:rPr>
        <w:footnoteRef/>
      </w:r>
      <w:r>
        <w:t xml:space="preserve"> See </w:t>
      </w:r>
      <w:r w:rsidR="008C28F6">
        <w:t xml:space="preserve">id. at 8, </w:t>
      </w:r>
      <w:r>
        <w:t xml:space="preserve">Table 3.  </w:t>
      </w:r>
    </w:p>
  </w:footnote>
  <w:footnote w:id="17">
    <w:p w14:paraId="67B23EA0" w14:textId="1DE82E2A" w:rsidR="00AF65FC" w:rsidRDefault="00AF65FC">
      <w:pPr>
        <w:pStyle w:val="FootnoteText"/>
      </w:pPr>
      <w:r>
        <w:rPr>
          <w:rStyle w:val="FootnoteReference"/>
        </w:rPr>
        <w:footnoteRef/>
      </w:r>
      <w:r>
        <w:t xml:space="preserve"> 58 Ohio St.2d 153 (1979) (finding that the utility’s unique circumstances provided reasonable grounds for a complaint).</w:t>
      </w:r>
    </w:p>
  </w:footnote>
  <w:footnote w:id="18">
    <w:p w14:paraId="0F29F334" w14:textId="7B880DF8" w:rsidR="0012632A" w:rsidRDefault="0012632A">
      <w:pPr>
        <w:pStyle w:val="FootnoteText"/>
      </w:pPr>
      <w:r>
        <w:rPr>
          <w:rStyle w:val="FootnoteReference"/>
        </w:rPr>
        <w:footnoteRef/>
      </w:r>
      <w:r>
        <w:t xml:space="preserve"> Duke has not once asserted that it has been misquoted by the Consumer Parties.</w:t>
      </w:r>
    </w:p>
  </w:footnote>
  <w:footnote w:id="19">
    <w:p w14:paraId="72CDADEC" w14:textId="0668E014" w:rsidR="00BF1368" w:rsidRDefault="00BF1368">
      <w:pPr>
        <w:pStyle w:val="FootnoteText"/>
      </w:pPr>
      <w:r>
        <w:rPr>
          <w:rStyle w:val="FootnoteReference"/>
        </w:rPr>
        <w:footnoteRef/>
      </w:r>
      <w:r w:rsidR="000B7A2A">
        <w:t xml:space="preserve"> Case No. 98-1616-EL-CSS</w:t>
      </w:r>
      <w:r>
        <w:t>.</w:t>
      </w:r>
    </w:p>
  </w:footnote>
  <w:footnote w:id="20">
    <w:p w14:paraId="74BEA706" w14:textId="4A29825D" w:rsidR="00BF1368" w:rsidRDefault="00BF1368">
      <w:pPr>
        <w:pStyle w:val="FootnoteText"/>
      </w:pPr>
      <w:r>
        <w:rPr>
          <w:rStyle w:val="FootnoteReference"/>
        </w:rPr>
        <w:footnoteRef/>
      </w:r>
      <w:r>
        <w:t xml:space="preserve"> Motion at 14.</w:t>
      </w:r>
    </w:p>
  </w:footnote>
  <w:footnote w:id="21">
    <w:p w14:paraId="6FB03248" w14:textId="64A92ECC" w:rsidR="0064469D" w:rsidRDefault="0064469D">
      <w:pPr>
        <w:pStyle w:val="FootnoteText"/>
      </w:pPr>
      <w:r>
        <w:rPr>
          <w:rStyle w:val="FootnoteReference"/>
        </w:rPr>
        <w:footnoteRef/>
      </w:r>
      <w:r>
        <w:t xml:space="preserve"> Case No. 98-1616-EL-CSS, Entry (May 19, 1999) at 1.</w:t>
      </w:r>
    </w:p>
  </w:footnote>
  <w:footnote w:id="22">
    <w:p w14:paraId="53846657" w14:textId="1C145187" w:rsidR="0064469D" w:rsidRDefault="0064469D">
      <w:pPr>
        <w:pStyle w:val="FootnoteText"/>
      </w:pPr>
      <w:r>
        <w:rPr>
          <w:rStyle w:val="FootnoteReference"/>
        </w:rPr>
        <w:footnoteRef/>
      </w:r>
      <w:r>
        <w:t xml:space="preserve"> Id.</w:t>
      </w:r>
    </w:p>
  </w:footnote>
  <w:footnote w:id="23">
    <w:p w14:paraId="399EA573" w14:textId="3C9471B3" w:rsidR="0064469D" w:rsidRDefault="0064469D">
      <w:pPr>
        <w:pStyle w:val="FootnoteText"/>
      </w:pPr>
      <w:r>
        <w:rPr>
          <w:rStyle w:val="FootnoteReference"/>
        </w:rPr>
        <w:footnoteRef/>
      </w:r>
      <w:r>
        <w:t xml:space="preserve"> Id. at 3-4.</w:t>
      </w:r>
    </w:p>
  </w:footnote>
  <w:footnote w:id="24">
    <w:p w14:paraId="3E830559" w14:textId="1CE23EB9" w:rsidR="0064469D" w:rsidRPr="0064469D" w:rsidRDefault="0064469D">
      <w:pPr>
        <w:pStyle w:val="FootnoteText"/>
      </w:pPr>
      <w:r>
        <w:rPr>
          <w:rStyle w:val="FootnoteReference"/>
        </w:rPr>
        <w:footnoteRef/>
      </w:r>
      <w:r>
        <w:t xml:space="preserve"> </w:t>
      </w:r>
      <w:r>
        <w:rPr>
          <w:i/>
        </w:rPr>
        <w:t>In the Matter of the Complaint of James M. Carpenter v. Acme Telephone Answering Service</w:t>
      </w:r>
      <w:r>
        <w:t>, Case No. 89-326-RC-CSS, Entry (June 28, 1989).</w:t>
      </w:r>
    </w:p>
  </w:footnote>
  <w:footnote w:id="25">
    <w:p w14:paraId="6115A4D8" w14:textId="332AE113" w:rsidR="00E10DA2" w:rsidRDefault="00E10DA2">
      <w:pPr>
        <w:pStyle w:val="FootnoteText"/>
      </w:pPr>
      <w:r>
        <w:rPr>
          <w:rStyle w:val="FootnoteReference"/>
        </w:rPr>
        <w:footnoteRef/>
      </w:r>
      <w:r>
        <w:t xml:space="preserve"> Motion at 14.</w:t>
      </w:r>
    </w:p>
  </w:footnote>
  <w:footnote w:id="26">
    <w:p w14:paraId="6C03EBFB" w14:textId="69FBC33E" w:rsidR="00E10DA2" w:rsidRDefault="00E10DA2">
      <w:pPr>
        <w:pStyle w:val="FootnoteText"/>
      </w:pPr>
      <w:r>
        <w:rPr>
          <w:rStyle w:val="FootnoteReference"/>
        </w:rPr>
        <w:footnoteRef/>
      </w:r>
      <w:r>
        <w:t xml:space="preserve"> Case No. 89-326-RC-CSS, Entry (June 28, 1989)</w:t>
      </w:r>
      <w:r w:rsidR="0023327C">
        <w:t xml:space="preserve">, </w:t>
      </w:r>
      <w:r w:rsidR="0023327C" w:rsidRPr="00F50DE6">
        <w:rPr>
          <w:rFonts w:eastAsia="Times New Roman" w:cs="Times New Roman"/>
          <w:bCs/>
          <w:kern w:val="36"/>
          <w:szCs w:val="20"/>
        </w:rPr>
        <w:t>1989 Ohio PUC LEXIS 606</w:t>
      </w:r>
      <w:r w:rsidR="0023327C">
        <w:rPr>
          <w:rFonts w:eastAsia="Times New Roman" w:cs="Times New Roman"/>
          <w:bCs/>
          <w:kern w:val="36"/>
          <w:szCs w:val="20"/>
        </w:rPr>
        <w:t>, ¶ 2.</w:t>
      </w:r>
    </w:p>
  </w:footnote>
  <w:footnote w:id="27">
    <w:p w14:paraId="178A9E90" w14:textId="06CA2A91" w:rsidR="00C30112" w:rsidRDefault="00C30112">
      <w:pPr>
        <w:pStyle w:val="FootnoteText"/>
      </w:pPr>
      <w:r>
        <w:rPr>
          <w:rStyle w:val="FootnoteReference"/>
        </w:rPr>
        <w:footnoteRef/>
      </w:r>
      <w:r>
        <w:t xml:space="preserve"> See id., ¶¶ 3-7.</w:t>
      </w:r>
    </w:p>
  </w:footnote>
  <w:footnote w:id="28">
    <w:p w14:paraId="671529D1" w14:textId="65DD352D" w:rsidR="00E10DA2" w:rsidRDefault="00E10DA2">
      <w:pPr>
        <w:pStyle w:val="FootnoteText"/>
      </w:pPr>
      <w:r>
        <w:rPr>
          <w:rStyle w:val="FootnoteReference"/>
        </w:rPr>
        <w:footnoteRef/>
      </w:r>
      <w:r>
        <w:t xml:space="preserve"> Id., ¶ 10.</w:t>
      </w:r>
    </w:p>
  </w:footnote>
  <w:footnote w:id="29">
    <w:p w14:paraId="67995A22" w14:textId="40D067BD" w:rsidR="00E11CE1" w:rsidRDefault="00E11CE1">
      <w:pPr>
        <w:pStyle w:val="FootnoteText"/>
      </w:pPr>
      <w:r>
        <w:rPr>
          <w:rStyle w:val="FootnoteReference"/>
        </w:rPr>
        <w:footnoteRef/>
      </w:r>
      <w:r>
        <w:t xml:space="preserve"> Motion at 14-15.</w:t>
      </w:r>
    </w:p>
  </w:footnote>
  <w:footnote w:id="30">
    <w:p w14:paraId="4C8BD5A5" w14:textId="337BF1B8" w:rsidR="007620E4" w:rsidRDefault="007620E4">
      <w:pPr>
        <w:pStyle w:val="FootnoteText"/>
      </w:pPr>
      <w:r>
        <w:rPr>
          <w:rStyle w:val="FootnoteReference"/>
        </w:rPr>
        <w:footnoteRef/>
      </w:r>
      <w:r>
        <w:t xml:space="preserve"> Case No. 08-1230-EL-CSS.</w:t>
      </w:r>
    </w:p>
  </w:footnote>
  <w:footnote w:id="31">
    <w:p w14:paraId="2E54B584" w14:textId="66554B8D" w:rsidR="007620E4" w:rsidRDefault="007620E4">
      <w:pPr>
        <w:pStyle w:val="FootnoteText"/>
      </w:pPr>
      <w:r>
        <w:rPr>
          <w:rStyle w:val="FootnoteReference"/>
        </w:rPr>
        <w:footnoteRef/>
      </w:r>
      <w:r>
        <w:t xml:space="preserve"> See id., Complaint (November 17, 2008).</w:t>
      </w:r>
    </w:p>
  </w:footnote>
  <w:footnote w:id="32">
    <w:p w14:paraId="51422A1B" w14:textId="313787F4" w:rsidR="007620E4" w:rsidRDefault="007620E4">
      <w:pPr>
        <w:pStyle w:val="FootnoteText"/>
      </w:pPr>
      <w:r>
        <w:rPr>
          <w:rStyle w:val="FootnoteReference"/>
        </w:rPr>
        <w:footnoteRef/>
      </w:r>
      <w:r>
        <w:t xml:space="preserve"> Case No. 07-559-TP-CSS.</w:t>
      </w:r>
    </w:p>
  </w:footnote>
  <w:footnote w:id="33">
    <w:p w14:paraId="44317584" w14:textId="65227157" w:rsidR="006E21EF" w:rsidRDefault="006E21EF">
      <w:pPr>
        <w:pStyle w:val="FootnoteText"/>
      </w:pPr>
      <w:r>
        <w:rPr>
          <w:rStyle w:val="FootnoteReference"/>
        </w:rPr>
        <w:footnoteRef/>
      </w:r>
      <w:r>
        <w:t xml:space="preserve"> Id., Complaint (May 9, 2007).</w:t>
      </w:r>
    </w:p>
  </w:footnote>
  <w:footnote w:id="34">
    <w:p w14:paraId="6689E9B8" w14:textId="2D8E1194" w:rsidR="00791318" w:rsidRDefault="00791318">
      <w:pPr>
        <w:pStyle w:val="FootnoteText"/>
      </w:pPr>
      <w:r>
        <w:rPr>
          <w:rStyle w:val="FootnoteReference"/>
        </w:rPr>
        <w:footnoteRef/>
      </w:r>
      <w:r>
        <w:t xml:space="preserve"> Id., revised complaint (June 5, 2007).</w:t>
      </w:r>
    </w:p>
  </w:footnote>
  <w:footnote w:id="35">
    <w:p w14:paraId="2429DD14" w14:textId="18FF4593" w:rsidR="00791318" w:rsidRDefault="00791318">
      <w:pPr>
        <w:pStyle w:val="FootnoteText"/>
      </w:pPr>
      <w:r>
        <w:rPr>
          <w:rStyle w:val="FootnoteReference"/>
        </w:rPr>
        <w:footnoteRef/>
      </w:r>
      <w:r>
        <w:t xml:space="preserve"> See id., Finding and Order (January 9, 2009) at 2.</w:t>
      </w:r>
    </w:p>
  </w:footnote>
  <w:footnote w:id="36">
    <w:p w14:paraId="55705896" w14:textId="08D0DA1E" w:rsidR="00C8499C" w:rsidRDefault="00C8499C">
      <w:pPr>
        <w:pStyle w:val="FootnoteText"/>
      </w:pPr>
      <w:r>
        <w:rPr>
          <w:rStyle w:val="FootnoteReference"/>
        </w:rPr>
        <w:footnoteRef/>
      </w:r>
      <w:r>
        <w:t xml:space="preserve"> Id. at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BB44A" w14:textId="77777777" w:rsidR="00A11D6D" w:rsidRDefault="00A11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4670C" w14:textId="77777777" w:rsidR="00A11D6D" w:rsidRDefault="00A11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18DA8" w14:textId="77777777" w:rsidR="00A11D6D" w:rsidRDefault="00A11D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FDBF" w14:textId="77777777" w:rsidR="00BF7201" w:rsidRDefault="00BF7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A08D2B8"/>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88F46ABC"/>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56EE5524"/>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5EE296FC"/>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5C5834BE"/>
    <w:lvl w:ilvl="0">
      <w:start w:val="1"/>
      <w:numFmt w:val="decimal"/>
      <w:lvlText w:val="%1."/>
      <w:lvlJc w:val="left"/>
      <w:pPr>
        <w:tabs>
          <w:tab w:val="num" w:pos="360"/>
        </w:tabs>
        <w:ind w:left="360" w:hanging="360"/>
      </w:pPr>
    </w:lvl>
  </w:abstractNum>
  <w:abstractNum w:abstractNumId="5">
    <w:nsid w:val="FFFFFF89"/>
    <w:multiLevelType w:val="singleLevel"/>
    <w:tmpl w:val="FD927ABE"/>
    <w:lvl w:ilvl="0">
      <w:start w:val="1"/>
      <w:numFmt w:val="bullet"/>
      <w:lvlText w:val=""/>
      <w:lvlJc w:val="left"/>
      <w:pPr>
        <w:tabs>
          <w:tab w:val="num" w:pos="360"/>
        </w:tabs>
        <w:ind w:left="360" w:hanging="360"/>
      </w:pPr>
      <w:rPr>
        <w:rFonts w:ascii="Symbol" w:hAnsi="Symbol" w:hint="default"/>
      </w:rPr>
    </w:lvl>
  </w:abstractNum>
  <w:abstractNum w:abstractNumId="6">
    <w:nsid w:val="0DDD1B79"/>
    <w:multiLevelType w:val="hybridMultilevel"/>
    <w:tmpl w:val="323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056B2"/>
    <w:multiLevelType w:val="hybridMultilevel"/>
    <w:tmpl w:val="9866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AA7C3D"/>
    <w:multiLevelType w:val="hybridMultilevel"/>
    <w:tmpl w:val="CFCC6C00"/>
    <w:lvl w:ilvl="0" w:tplc="C16016A6">
      <w:start w:val="1"/>
      <w:numFmt w:val="decimal"/>
      <w:lvlText w:val="%1."/>
      <w:lvlJc w:val="left"/>
      <w:pPr>
        <w:ind w:left="360" w:hanging="360"/>
      </w:pPr>
      <w:rPr>
        <w:rFonts w:ascii="Times New Roman" w:hAnsi="Times New Roman" w:hint="default"/>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EB4C4E"/>
    <w:multiLevelType w:val="hybridMultilevel"/>
    <w:tmpl w:val="0F20ADFC"/>
    <w:lvl w:ilvl="0" w:tplc="8564CAA6">
      <w:start w:val="5"/>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0E42AA0"/>
    <w:multiLevelType w:val="hybridMultilevel"/>
    <w:tmpl w:val="87BEFF20"/>
    <w:lvl w:ilvl="0" w:tplc="CCFA3138">
      <w:start w:val="1"/>
      <w:numFmt w:val="decimal"/>
      <w:lvlText w:val="%1."/>
      <w:lvlJc w:val="left"/>
      <w:pPr>
        <w:ind w:left="6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4D7A8C"/>
    <w:multiLevelType w:val="hybridMultilevel"/>
    <w:tmpl w:val="E3DE38B4"/>
    <w:lvl w:ilvl="0" w:tplc="04090001">
      <w:start w:val="1"/>
      <w:numFmt w:val="bullet"/>
      <w:lvlText w:val=""/>
      <w:lvlJc w:val="left"/>
      <w:pPr>
        <w:ind w:left="720" w:hanging="360"/>
      </w:pPr>
      <w:rPr>
        <w:rFonts w:ascii="Symbol" w:hAnsi="Symbol" w:hint="default"/>
      </w:rPr>
    </w:lvl>
    <w:lvl w:ilvl="1" w:tplc="A8262930">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E386A"/>
    <w:multiLevelType w:val="hybridMultilevel"/>
    <w:tmpl w:val="9C640FBE"/>
    <w:lvl w:ilvl="0" w:tplc="04090001">
      <w:start w:val="1"/>
      <w:numFmt w:val="bullet"/>
      <w:lvlText w:val=""/>
      <w:lvlJc w:val="left"/>
      <w:pPr>
        <w:ind w:left="720" w:hanging="360"/>
      </w:pPr>
      <w:rPr>
        <w:rFonts w:ascii="Symbol" w:hAnsi="Symbol" w:hint="default"/>
      </w:rPr>
    </w:lvl>
    <w:lvl w:ilvl="1" w:tplc="A8262930">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D74AB7"/>
    <w:multiLevelType w:val="hybridMultilevel"/>
    <w:tmpl w:val="D2E88934"/>
    <w:lvl w:ilvl="0" w:tplc="04090001">
      <w:start w:val="1"/>
      <w:numFmt w:val="bullet"/>
      <w:lvlText w:val=""/>
      <w:lvlJc w:val="left"/>
      <w:pPr>
        <w:ind w:left="720" w:hanging="360"/>
      </w:pPr>
      <w:rPr>
        <w:rFonts w:ascii="Symbol" w:hAnsi="Symbol" w:hint="default"/>
      </w:rPr>
    </w:lvl>
    <w:lvl w:ilvl="1" w:tplc="A8262930">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2"/>
  </w:num>
  <w:num w:numId="5">
    <w:abstractNumId w:val="6"/>
  </w:num>
  <w:num w:numId="6">
    <w:abstractNumId w:val="13"/>
  </w:num>
  <w:num w:numId="7">
    <w:abstractNumId w:val="11"/>
  </w:num>
  <w:num w:numId="8">
    <w:abstractNumId w:val="7"/>
  </w:num>
  <w:num w:numId="9">
    <w:abstractNumId w:val="5"/>
  </w:num>
  <w:num w:numId="10">
    <w:abstractNumId w:val="3"/>
  </w:num>
  <w:num w:numId="11">
    <w:abstractNumId w:val="2"/>
  </w:num>
  <w:num w:numId="12">
    <w:abstractNumId w:val="1"/>
  </w:num>
  <w:num w:numId="13">
    <w:abstractNumId w:val="0"/>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31"/>
    <w:rsid w:val="00000394"/>
    <w:rsid w:val="00003BCB"/>
    <w:rsid w:val="000050FA"/>
    <w:rsid w:val="0000684C"/>
    <w:rsid w:val="00007A50"/>
    <w:rsid w:val="00014693"/>
    <w:rsid w:val="000158F1"/>
    <w:rsid w:val="00022413"/>
    <w:rsid w:val="000255E8"/>
    <w:rsid w:val="000264FA"/>
    <w:rsid w:val="00031111"/>
    <w:rsid w:val="00031346"/>
    <w:rsid w:val="00034746"/>
    <w:rsid w:val="00034768"/>
    <w:rsid w:val="00036E3D"/>
    <w:rsid w:val="00037D50"/>
    <w:rsid w:val="0004028B"/>
    <w:rsid w:val="000405D0"/>
    <w:rsid w:val="0004068E"/>
    <w:rsid w:val="00041B76"/>
    <w:rsid w:val="00043D92"/>
    <w:rsid w:val="00045A3D"/>
    <w:rsid w:val="0004639B"/>
    <w:rsid w:val="0005581E"/>
    <w:rsid w:val="00055EE1"/>
    <w:rsid w:val="000604C2"/>
    <w:rsid w:val="00060A1A"/>
    <w:rsid w:val="000662CE"/>
    <w:rsid w:val="000679CE"/>
    <w:rsid w:val="00072040"/>
    <w:rsid w:val="000733C1"/>
    <w:rsid w:val="00074980"/>
    <w:rsid w:val="00074E50"/>
    <w:rsid w:val="00074F36"/>
    <w:rsid w:val="00076F41"/>
    <w:rsid w:val="00080637"/>
    <w:rsid w:val="00080F31"/>
    <w:rsid w:val="0008221F"/>
    <w:rsid w:val="0008262C"/>
    <w:rsid w:val="000832FB"/>
    <w:rsid w:val="000938A4"/>
    <w:rsid w:val="00093DC4"/>
    <w:rsid w:val="000A19E8"/>
    <w:rsid w:val="000A491C"/>
    <w:rsid w:val="000A5465"/>
    <w:rsid w:val="000A6556"/>
    <w:rsid w:val="000A6CBE"/>
    <w:rsid w:val="000B1477"/>
    <w:rsid w:val="000B2403"/>
    <w:rsid w:val="000B7A2A"/>
    <w:rsid w:val="000C1784"/>
    <w:rsid w:val="000C38F5"/>
    <w:rsid w:val="000C7B05"/>
    <w:rsid w:val="000C7D8B"/>
    <w:rsid w:val="000D3E02"/>
    <w:rsid w:val="000D3E49"/>
    <w:rsid w:val="000D604A"/>
    <w:rsid w:val="000D7080"/>
    <w:rsid w:val="000E1127"/>
    <w:rsid w:val="000E1FCB"/>
    <w:rsid w:val="000E5390"/>
    <w:rsid w:val="000F0647"/>
    <w:rsid w:val="000F5424"/>
    <w:rsid w:val="00100659"/>
    <w:rsid w:val="001028E8"/>
    <w:rsid w:val="00104013"/>
    <w:rsid w:val="001062FA"/>
    <w:rsid w:val="00112613"/>
    <w:rsid w:val="0011352B"/>
    <w:rsid w:val="001159CF"/>
    <w:rsid w:val="00120B48"/>
    <w:rsid w:val="00122F20"/>
    <w:rsid w:val="00124FAB"/>
    <w:rsid w:val="0012632A"/>
    <w:rsid w:val="0013148E"/>
    <w:rsid w:val="001340AF"/>
    <w:rsid w:val="00137062"/>
    <w:rsid w:val="001403C8"/>
    <w:rsid w:val="00141A0D"/>
    <w:rsid w:val="00142942"/>
    <w:rsid w:val="001451E9"/>
    <w:rsid w:val="001471CB"/>
    <w:rsid w:val="00151463"/>
    <w:rsid w:val="00151AC1"/>
    <w:rsid w:val="001526FA"/>
    <w:rsid w:val="00157236"/>
    <w:rsid w:val="001573BD"/>
    <w:rsid w:val="001578AB"/>
    <w:rsid w:val="001610F6"/>
    <w:rsid w:val="00162B06"/>
    <w:rsid w:val="00165E62"/>
    <w:rsid w:val="00167653"/>
    <w:rsid w:val="00171F04"/>
    <w:rsid w:val="00172478"/>
    <w:rsid w:val="00172650"/>
    <w:rsid w:val="00175D24"/>
    <w:rsid w:val="00175D9B"/>
    <w:rsid w:val="00181AC7"/>
    <w:rsid w:val="001869C3"/>
    <w:rsid w:val="00187AED"/>
    <w:rsid w:val="001913D3"/>
    <w:rsid w:val="001937A5"/>
    <w:rsid w:val="00194547"/>
    <w:rsid w:val="00194CE4"/>
    <w:rsid w:val="0019775F"/>
    <w:rsid w:val="001A4F90"/>
    <w:rsid w:val="001A5692"/>
    <w:rsid w:val="001A6F4A"/>
    <w:rsid w:val="001B06E4"/>
    <w:rsid w:val="001B1081"/>
    <w:rsid w:val="001B3C2A"/>
    <w:rsid w:val="001B704D"/>
    <w:rsid w:val="001C004F"/>
    <w:rsid w:val="001C0AB7"/>
    <w:rsid w:val="001C4D45"/>
    <w:rsid w:val="001C5A39"/>
    <w:rsid w:val="001C6778"/>
    <w:rsid w:val="001C6C6C"/>
    <w:rsid w:val="001C78EE"/>
    <w:rsid w:val="001D1C49"/>
    <w:rsid w:val="001D4F5A"/>
    <w:rsid w:val="001D5948"/>
    <w:rsid w:val="001D6531"/>
    <w:rsid w:val="001D7F0D"/>
    <w:rsid w:val="001E4DD5"/>
    <w:rsid w:val="001E6A9A"/>
    <w:rsid w:val="001E6FA7"/>
    <w:rsid w:val="001F0B8E"/>
    <w:rsid w:val="001F137F"/>
    <w:rsid w:val="001F1A50"/>
    <w:rsid w:val="001F1CB5"/>
    <w:rsid w:val="001F2AFC"/>
    <w:rsid w:val="001F40CF"/>
    <w:rsid w:val="001F41A7"/>
    <w:rsid w:val="001F6995"/>
    <w:rsid w:val="002026FE"/>
    <w:rsid w:val="00202738"/>
    <w:rsid w:val="00203E32"/>
    <w:rsid w:val="002107A3"/>
    <w:rsid w:val="00215439"/>
    <w:rsid w:val="0021704C"/>
    <w:rsid w:val="00220BA5"/>
    <w:rsid w:val="00226966"/>
    <w:rsid w:val="00227784"/>
    <w:rsid w:val="00231FC6"/>
    <w:rsid w:val="002330CE"/>
    <w:rsid w:val="0023327C"/>
    <w:rsid w:val="00235D6A"/>
    <w:rsid w:val="00236B11"/>
    <w:rsid w:val="002370B0"/>
    <w:rsid w:val="00237693"/>
    <w:rsid w:val="00240AB3"/>
    <w:rsid w:val="00240D40"/>
    <w:rsid w:val="0024177A"/>
    <w:rsid w:val="00241832"/>
    <w:rsid w:val="00243CB4"/>
    <w:rsid w:val="002532BA"/>
    <w:rsid w:val="00254F60"/>
    <w:rsid w:val="002574AF"/>
    <w:rsid w:val="00261771"/>
    <w:rsid w:val="00262115"/>
    <w:rsid w:val="00262832"/>
    <w:rsid w:val="00263CC9"/>
    <w:rsid w:val="002648B3"/>
    <w:rsid w:val="002663DD"/>
    <w:rsid w:val="002768B2"/>
    <w:rsid w:val="00281F2B"/>
    <w:rsid w:val="0028245B"/>
    <w:rsid w:val="00290955"/>
    <w:rsid w:val="00292091"/>
    <w:rsid w:val="002945A2"/>
    <w:rsid w:val="00295492"/>
    <w:rsid w:val="002A1EF5"/>
    <w:rsid w:val="002A728E"/>
    <w:rsid w:val="002B1024"/>
    <w:rsid w:val="002B184B"/>
    <w:rsid w:val="002B4A10"/>
    <w:rsid w:val="002B57FC"/>
    <w:rsid w:val="002B6509"/>
    <w:rsid w:val="002B6F27"/>
    <w:rsid w:val="002C32FA"/>
    <w:rsid w:val="002C4374"/>
    <w:rsid w:val="002D06D5"/>
    <w:rsid w:val="002D1ECD"/>
    <w:rsid w:val="002D36C1"/>
    <w:rsid w:val="002D5D21"/>
    <w:rsid w:val="002E002B"/>
    <w:rsid w:val="002E0E9D"/>
    <w:rsid w:val="002E22CF"/>
    <w:rsid w:val="002E5DBD"/>
    <w:rsid w:val="002E65BA"/>
    <w:rsid w:val="002F07D4"/>
    <w:rsid w:val="002F10A4"/>
    <w:rsid w:val="002F157D"/>
    <w:rsid w:val="002F3247"/>
    <w:rsid w:val="002F4014"/>
    <w:rsid w:val="002F44C4"/>
    <w:rsid w:val="0030121C"/>
    <w:rsid w:val="00301C1B"/>
    <w:rsid w:val="003072C1"/>
    <w:rsid w:val="00312ED9"/>
    <w:rsid w:val="00313524"/>
    <w:rsid w:val="00316704"/>
    <w:rsid w:val="00316CA3"/>
    <w:rsid w:val="00322013"/>
    <w:rsid w:val="003226ED"/>
    <w:rsid w:val="00322793"/>
    <w:rsid w:val="00323331"/>
    <w:rsid w:val="00325176"/>
    <w:rsid w:val="00326A45"/>
    <w:rsid w:val="003277C2"/>
    <w:rsid w:val="00332161"/>
    <w:rsid w:val="00337B14"/>
    <w:rsid w:val="00341FF0"/>
    <w:rsid w:val="003422D8"/>
    <w:rsid w:val="00342994"/>
    <w:rsid w:val="00344C69"/>
    <w:rsid w:val="00350DCE"/>
    <w:rsid w:val="00353550"/>
    <w:rsid w:val="0036173F"/>
    <w:rsid w:val="003617A1"/>
    <w:rsid w:val="003631DF"/>
    <w:rsid w:val="003642F6"/>
    <w:rsid w:val="00364680"/>
    <w:rsid w:val="003671E5"/>
    <w:rsid w:val="0037013A"/>
    <w:rsid w:val="0037188F"/>
    <w:rsid w:val="003743F0"/>
    <w:rsid w:val="003757FB"/>
    <w:rsid w:val="00382BA8"/>
    <w:rsid w:val="00385F37"/>
    <w:rsid w:val="00391693"/>
    <w:rsid w:val="00391A4A"/>
    <w:rsid w:val="0039233B"/>
    <w:rsid w:val="003973F1"/>
    <w:rsid w:val="00397803"/>
    <w:rsid w:val="003A0243"/>
    <w:rsid w:val="003A088A"/>
    <w:rsid w:val="003A10C6"/>
    <w:rsid w:val="003A2E9B"/>
    <w:rsid w:val="003A3B02"/>
    <w:rsid w:val="003A5BC1"/>
    <w:rsid w:val="003C0B04"/>
    <w:rsid w:val="003C177B"/>
    <w:rsid w:val="003C2533"/>
    <w:rsid w:val="003C2DE7"/>
    <w:rsid w:val="003C3425"/>
    <w:rsid w:val="003C36A7"/>
    <w:rsid w:val="003C4EF3"/>
    <w:rsid w:val="003C5BB9"/>
    <w:rsid w:val="003C7BDE"/>
    <w:rsid w:val="003D42AB"/>
    <w:rsid w:val="003E3DB5"/>
    <w:rsid w:val="003E5A3D"/>
    <w:rsid w:val="003E7099"/>
    <w:rsid w:val="003E72D8"/>
    <w:rsid w:val="003E7527"/>
    <w:rsid w:val="003F1CCB"/>
    <w:rsid w:val="003F645C"/>
    <w:rsid w:val="0040106B"/>
    <w:rsid w:val="00401B37"/>
    <w:rsid w:val="0040258A"/>
    <w:rsid w:val="00404307"/>
    <w:rsid w:val="00406501"/>
    <w:rsid w:val="00407E49"/>
    <w:rsid w:val="0041142F"/>
    <w:rsid w:val="00412CD4"/>
    <w:rsid w:val="00413304"/>
    <w:rsid w:val="00413EEF"/>
    <w:rsid w:val="0041726D"/>
    <w:rsid w:val="00417696"/>
    <w:rsid w:val="00420253"/>
    <w:rsid w:val="004226C6"/>
    <w:rsid w:val="0042644F"/>
    <w:rsid w:val="004302E4"/>
    <w:rsid w:val="0043067E"/>
    <w:rsid w:val="00430A0D"/>
    <w:rsid w:val="00430AA9"/>
    <w:rsid w:val="0044200F"/>
    <w:rsid w:val="004427B6"/>
    <w:rsid w:val="004432B7"/>
    <w:rsid w:val="00445DCA"/>
    <w:rsid w:val="00447342"/>
    <w:rsid w:val="00451414"/>
    <w:rsid w:val="004551AA"/>
    <w:rsid w:val="00465721"/>
    <w:rsid w:val="00476A85"/>
    <w:rsid w:val="00477CBA"/>
    <w:rsid w:val="004801F9"/>
    <w:rsid w:val="0048027C"/>
    <w:rsid w:val="004837EE"/>
    <w:rsid w:val="00484D0E"/>
    <w:rsid w:val="00494E4D"/>
    <w:rsid w:val="00495F88"/>
    <w:rsid w:val="004A51EA"/>
    <w:rsid w:val="004A6A47"/>
    <w:rsid w:val="004B3179"/>
    <w:rsid w:val="004B3DBD"/>
    <w:rsid w:val="004B457E"/>
    <w:rsid w:val="004B551A"/>
    <w:rsid w:val="004C27D7"/>
    <w:rsid w:val="004C55E7"/>
    <w:rsid w:val="004C5665"/>
    <w:rsid w:val="004D0371"/>
    <w:rsid w:val="004D17A3"/>
    <w:rsid w:val="004D2CE4"/>
    <w:rsid w:val="004E0AAD"/>
    <w:rsid w:val="004E42A3"/>
    <w:rsid w:val="004F2EB4"/>
    <w:rsid w:val="004F46DE"/>
    <w:rsid w:val="004F4D01"/>
    <w:rsid w:val="004F6728"/>
    <w:rsid w:val="004F79C6"/>
    <w:rsid w:val="00506A16"/>
    <w:rsid w:val="0050702E"/>
    <w:rsid w:val="005106E5"/>
    <w:rsid w:val="005269CC"/>
    <w:rsid w:val="00527459"/>
    <w:rsid w:val="00531E27"/>
    <w:rsid w:val="00534AC3"/>
    <w:rsid w:val="00534F51"/>
    <w:rsid w:val="00535E91"/>
    <w:rsid w:val="00536A43"/>
    <w:rsid w:val="00540D67"/>
    <w:rsid w:val="00541BD2"/>
    <w:rsid w:val="00541FF0"/>
    <w:rsid w:val="00543ACE"/>
    <w:rsid w:val="00545881"/>
    <w:rsid w:val="0055217C"/>
    <w:rsid w:val="00553D9A"/>
    <w:rsid w:val="00557FC6"/>
    <w:rsid w:val="00560ECB"/>
    <w:rsid w:val="00561764"/>
    <w:rsid w:val="005651EF"/>
    <w:rsid w:val="0056567F"/>
    <w:rsid w:val="005659DF"/>
    <w:rsid w:val="00566065"/>
    <w:rsid w:val="00571DF6"/>
    <w:rsid w:val="00574992"/>
    <w:rsid w:val="00585093"/>
    <w:rsid w:val="00587F33"/>
    <w:rsid w:val="0059180C"/>
    <w:rsid w:val="0059241F"/>
    <w:rsid w:val="0059736E"/>
    <w:rsid w:val="005A22DE"/>
    <w:rsid w:val="005A28B9"/>
    <w:rsid w:val="005A37C1"/>
    <w:rsid w:val="005A424A"/>
    <w:rsid w:val="005A660D"/>
    <w:rsid w:val="005A7ACB"/>
    <w:rsid w:val="005A7B86"/>
    <w:rsid w:val="005B20D8"/>
    <w:rsid w:val="005B3CA6"/>
    <w:rsid w:val="005C06EE"/>
    <w:rsid w:val="005C6057"/>
    <w:rsid w:val="005C64C3"/>
    <w:rsid w:val="005D7426"/>
    <w:rsid w:val="005E05A5"/>
    <w:rsid w:val="005E1851"/>
    <w:rsid w:val="005E32C0"/>
    <w:rsid w:val="005E66D8"/>
    <w:rsid w:val="005F00C0"/>
    <w:rsid w:val="005F3857"/>
    <w:rsid w:val="005F38A8"/>
    <w:rsid w:val="005F44DB"/>
    <w:rsid w:val="005F4FCE"/>
    <w:rsid w:val="005F7EE3"/>
    <w:rsid w:val="006025C9"/>
    <w:rsid w:val="0060487C"/>
    <w:rsid w:val="00606F09"/>
    <w:rsid w:val="006074A8"/>
    <w:rsid w:val="00611B5C"/>
    <w:rsid w:val="006128B4"/>
    <w:rsid w:val="0061439C"/>
    <w:rsid w:val="006203FC"/>
    <w:rsid w:val="00622282"/>
    <w:rsid w:val="006226B3"/>
    <w:rsid w:val="00623A97"/>
    <w:rsid w:val="00626241"/>
    <w:rsid w:val="00630094"/>
    <w:rsid w:val="00630D1F"/>
    <w:rsid w:val="00634301"/>
    <w:rsid w:val="00640A5C"/>
    <w:rsid w:val="006420EF"/>
    <w:rsid w:val="00642B96"/>
    <w:rsid w:val="0064469D"/>
    <w:rsid w:val="00647077"/>
    <w:rsid w:val="00652664"/>
    <w:rsid w:val="00652C31"/>
    <w:rsid w:val="00662576"/>
    <w:rsid w:val="00662960"/>
    <w:rsid w:val="0066679A"/>
    <w:rsid w:val="00674CAD"/>
    <w:rsid w:val="00680860"/>
    <w:rsid w:val="0068250F"/>
    <w:rsid w:val="00684425"/>
    <w:rsid w:val="006867D3"/>
    <w:rsid w:val="00695E3F"/>
    <w:rsid w:val="00697156"/>
    <w:rsid w:val="006A38C6"/>
    <w:rsid w:val="006A5601"/>
    <w:rsid w:val="006A5D77"/>
    <w:rsid w:val="006B1828"/>
    <w:rsid w:val="006B2DF4"/>
    <w:rsid w:val="006B4A85"/>
    <w:rsid w:val="006B62B1"/>
    <w:rsid w:val="006B7344"/>
    <w:rsid w:val="006C59C9"/>
    <w:rsid w:val="006C7751"/>
    <w:rsid w:val="006D26B4"/>
    <w:rsid w:val="006D3FCE"/>
    <w:rsid w:val="006D729F"/>
    <w:rsid w:val="006E21EF"/>
    <w:rsid w:val="006E6082"/>
    <w:rsid w:val="006F5829"/>
    <w:rsid w:val="006F64E8"/>
    <w:rsid w:val="006F71F1"/>
    <w:rsid w:val="007072CF"/>
    <w:rsid w:val="007105C8"/>
    <w:rsid w:val="0071075A"/>
    <w:rsid w:val="0072112C"/>
    <w:rsid w:val="00723DB1"/>
    <w:rsid w:val="00724B50"/>
    <w:rsid w:val="0073142C"/>
    <w:rsid w:val="00733135"/>
    <w:rsid w:val="0073348A"/>
    <w:rsid w:val="00736D58"/>
    <w:rsid w:val="00737335"/>
    <w:rsid w:val="007420A9"/>
    <w:rsid w:val="007425F1"/>
    <w:rsid w:val="00746FCC"/>
    <w:rsid w:val="00747FE5"/>
    <w:rsid w:val="007620E4"/>
    <w:rsid w:val="00762768"/>
    <w:rsid w:val="0076397D"/>
    <w:rsid w:val="00763E0C"/>
    <w:rsid w:val="00766541"/>
    <w:rsid w:val="00767985"/>
    <w:rsid w:val="00767D42"/>
    <w:rsid w:val="007742A3"/>
    <w:rsid w:val="00774AA2"/>
    <w:rsid w:val="007855BE"/>
    <w:rsid w:val="00786E7E"/>
    <w:rsid w:val="00791318"/>
    <w:rsid w:val="00793AD5"/>
    <w:rsid w:val="007A2029"/>
    <w:rsid w:val="007B1640"/>
    <w:rsid w:val="007B27BA"/>
    <w:rsid w:val="007B2B91"/>
    <w:rsid w:val="007B2E0E"/>
    <w:rsid w:val="007B4FB8"/>
    <w:rsid w:val="007B68E0"/>
    <w:rsid w:val="007B7D9E"/>
    <w:rsid w:val="007B7FBF"/>
    <w:rsid w:val="007C4BAE"/>
    <w:rsid w:val="007C5A79"/>
    <w:rsid w:val="007D0D6A"/>
    <w:rsid w:val="007D1911"/>
    <w:rsid w:val="007D1AA1"/>
    <w:rsid w:val="007D2906"/>
    <w:rsid w:val="007D3758"/>
    <w:rsid w:val="007D7222"/>
    <w:rsid w:val="007E0985"/>
    <w:rsid w:val="007E241D"/>
    <w:rsid w:val="007E52AF"/>
    <w:rsid w:val="007E5307"/>
    <w:rsid w:val="007E5A4F"/>
    <w:rsid w:val="007F03C9"/>
    <w:rsid w:val="007F07D9"/>
    <w:rsid w:val="007F0F83"/>
    <w:rsid w:val="007F4B8C"/>
    <w:rsid w:val="007F7D1F"/>
    <w:rsid w:val="008004C1"/>
    <w:rsid w:val="008007FA"/>
    <w:rsid w:val="00801035"/>
    <w:rsid w:val="0080167D"/>
    <w:rsid w:val="008030D1"/>
    <w:rsid w:val="00804FBA"/>
    <w:rsid w:val="008146E8"/>
    <w:rsid w:val="00816EE2"/>
    <w:rsid w:val="00823DEF"/>
    <w:rsid w:val="00824EC5"/>
    <w:rsid w:val="00826AC7"/>
    <w:rsid w:val="00836E6C"/>
    <w:rsid w:val="00840E92"/>
    <w:rsid w:val="00840F13"/>
    <w:rsid w:val="00844FA3"/>
    <w:rsid w:val="0084657E"/>
    <w:rsid w:val="00863330"/>
    <w:rsid w:val="00864142"/>
    <w:rsid w:val="008674C2"/>
    <w:rsid w:val="008707F2"/>
    <w:rsid w:val="008722B4"/>
    <w:rsid w:val="0087231B"/>
    <w:rsid w:val="00880E72"/>
    <w:rsid w:val="00882349"/>
    <w:rsid w:val="0088351C"/>
    <w:rsid w:val="0088766C"/>
    <w:rsid w:val="00893C02"/>
    <w:rsid w:val="0089408D"/>
    <w:rsid w:val="00894420"/>
    <w:rsid w:val="008A0414"/>
    <w:rsid w:val="008A1AEA"/>
    <w:rsid w:val="008A4583"/>
    <w:rsid w:val="008A7976"/>
    <w:rsid w:val="008B49E9"/>
    <w:rsid w:val="008C16D8"/>
    <w:rsid w:val="008C1970"/>
    <w:rsid w:val="008C20B6"/>
    <w:rsid w:val="008C254A"/>
    <w:rsid w:val="008C28F6"/>
    <w:rsid w:val="008C3629"/>
    <w:rsid w:val="008C3E9F"/>
    <w:rsid w:val="008D467A"/>
    <w:rsid w:val="008D48F6"/>
    <w:rsid w:val="008D5C7A"/>
    <w:rsid w:val="008D6068"/>
    <w:rsid w:val="008D6E3E"/>
    <w:rsid w:val="008E53B4"/>
    <w:rsid w:val="008F0876"/>
    <w:rsid w:val="008F0C29"/>
    <w:rsid w:val="008F17E8"/>
    <w:rsid w:val="008F1B3F"/>
    <w:rsid w:val="008F2201"/>
    <w:rsid w:val="008F3C22"/>
    <w:rsid w:val="008F5D66"/>
    <w:rsid w:val="008F7646"/>
    <w:rsid w:val="008F78A9"/>
    <w:rsid w:val="0090008C"/>
    <w:rsid w:val="00912674"/>
    <w:rsid w:val="0091347E"/>
    <w:rsid w:val="00914EC6"/>
    <w:rsid w:val="00916280"/>
    <w:rsid w:val="009200E0"/>
    <w:rsid w:val="009271C8"/>
    <w:rsid w:val="009330A7"/>
    <w:rsid w:val="00933573"/>
    <w:rsid w:val="00934343"/>
    <w:rsid w:val="00935520"/>
    <w:rsid w:val="00935D6A"/>
    <w:rsid w:val="00937589"/>
    <w:rsid w:val="00940711"/>
    <w:rsid w:val="00940A3C"/>
    <w:rsid w:val="00946DCB"/>
    <w:rsid w:val="0094773E"/>
    <w:rsid w:val="00953BC5"/>
    <w:rsid w:val="0095571A"/>
    <w:rsid w:val="00956478"/>
    <w:rsid w:val="009602B8"/>
    <w:rsid w:val="00962152"/>
    <w:rsid w:val="00966C10"/>
    <w:rsid w:val="009677E8"/>
    <w:rsid w:val="00967E55"/>
    <w:rsid w:val="00970E8D"/>
    <w:rsid w:val="00973476"/>
    <w:rsid w:val="009832CB"/>
    <w:rsid w:val="00983B4E"/>
    <w:rsid w:val="00987369"/>
    <w:rsid w:val="0099118B"/>
    <w:rsid w:val="0099161A"/>
    <w:rsid w:val="00991C44"/>
    <w:rsid w:val="009A5966"/>
    <w:rsid w:val="009A75DE"/>
    <w:rsid w:val="009B0D40"/>
    <w:rsid w:val="009B10BC"/>
    <w:rsid w:val="009B20C2"/>
    <w:rsid w:val="009B3833"/>
    <w:rsid w:val="009B5571"/>
    <w:rsid w:val="009B5748"/>
    <w:rsid w:val="009B66A7"/>
    <w:rsid w:val="009C3767"/>
    <w:rsid w:val="009C4BD5"/>
    <w:rsid w:val="009C51C1"/>
    <w:rsid w:val="009D3E71"/>
    <w:rsid w:val="009E48E6"/>
    <w:rsid w:val="009E4A2C"/>
    <w:rsid w:val="009E5745"/>
    <w:rsid w:val="009E7FD2"/>
    <w:rsid w:val="009F2588"/>
    <w:rsid w:val="009F2D05"/>
    <w:rsid w:val="00A00541"/>
    <w:rsid w:val="00A00C80"/>
    <w:rsid w:val="00A02BAA"/>
    <w:rsid w:val="00A04282"/>
    <w:rsid w:val="00A06B91"/>
    <w:rsid w:val="00A06ED8"/>
    <w:rsid w:val="00A11D6D"/>
    <w:rsid w:val="00A11E9C"/>
    <w:rsid w:val="00A15107"/>
    <w:rsid w:val="00A1585C"/>
    <w:rsid w:val="00A16C1D"/>
    <w:rsid w:val="00A17F29"/>
    <w:rsid w:val="00A2304F"/>
    <w:rsid w:val="00A2330A"/>
    <w:rsid w:val="00A241C7"/>
    <w:rsid w:val="00A304A9"/>
    <w:rsid w:val="00A3308E"/>
    <w:rsid w:val="00A341F3"/>
    <w:rsid w:val="00A34287"/>
    <w:rsid w:val="00A3748A"/>
    <w:rsid w:val="00A37C24"/>
    <w:rsid w:val="00A40B91"/>
    <w:rsid w:val="00A42CDC"/>
    <w:rsid w:val="00A50CC6"/>
    <w:rsid w:val="00A52D05"/>
    <w:rsid w:val="00A56338"/>
    <w:rsid w:val="00A567D2"/>
    <w:rsid w:val="00A63408"/>
    <w:rsid w:val="00A70DAB"/>
    <w:rsid w:val="00A70E82"/>
    <w:rsid w:val="00A722CD"/>
    <w:rsid w:val="00A750C4"/>
    <w:rsid w:val="00A7638E"/>
    <w:rsid w:val="00A7714C"/>
    <w:rsid w:val="00A81823"/>
    <w:rsid w:val="00A81CAD"/>
    <w:rsid w:val="00A82446"/>
    <w:rsid w:val="00A844C2"/>
    <w:rsid w:val="00A84D3A"/>
    <w:rsid w:val="00A86174"/>
    <w:rsid w:val="00A8745E"/>
    <w:rsid w:val="00A878BE"/>
    <w:rsid w:val="00A912C2"/>
    <w:rsid w:val="00A92A11"/>
    <w:rsid w:val="00AA4819"/>
    <w:rsid w:val="00AA4F52"/>
    <w:rsid w:val="00AA58CF"/>
    <w:rsid w:val="00AA6E79"/>
    <w:rsid w:val="00AB2F06"/>
    <w:rsid w:val="00AB31E5"/>
    <w:rsid w:val="00AB4322"/>
    <w:rsid w:val="00AC27EB"/>
    <w:rsid w:val="00AC5A45"/>
    <w:rsid w:val="00AC615F"/>
    <w:rsid w:val="00AC63BB"/>
    <w:rsid w:val="00AD1166"/>
    <w:rsid w:val="00AD18CD"/>
    <w:rsid w:val="00AD5B9B"/>
    <w:rsid w:val="00AE14E7"/>
    <w:rsid w:val="00AF1FB7"/>
    <w:rsid w:val="00AF27D5"/>
    <w:rsid w:val="00AF4FB9"/>
    <w:rsid w:val="00AF65FC"/>
    <w:rsid w:val="00AF6DBE"/>
    <w:rsid w:val="00B01F9C"/>
    <w:rsid w:val="00B048E8"/>
    <w:rsid w:val="00B053B0"/>
    <w:rsid w:val="00B06A93"/>
    <w:rsid w:val="00B117C8"/>
    <w:rsid w:val="00B22A8B"/>
    <w:rsid w:val="00B25B86"/>
    <w:rsid w:val="00B26FA8"/>
    <w:rsid w:val="00B320DA"/>
    <w:rsid w:val="00B35FCC"/>
    <w:rsid w:val="00B47C96"/>
    <w:rsid w:val="00B5775C"/>
    <w:rsid w:val="00B70E78"/>
    <w:rsid w:val="00B73966"/>
    <w:rsid w:val="00B775F1"/>
    <w:rsid w:val="00B80B01"/>
    <w:rsid w:val="00B83B14"/>
    <w:rsid w:val="00B85F74"/>
    <w:rsid w:val="00B921F2"/>
    <w:rsid w:val="00B9276E"/>
    <w:rsid w:val="00B93CB0"/>
    <w:rsid w:val="00B97E6F"/>
    <w:rsid w:val="00BA13E0"/>
    <w:rsid w:val="00BA251E"/>
    <w:rsid w:val="00BA36F8"/>
    <w:rsid w:val="00BA3D09"/>
    <w:rsid w:val="00BB1BEE"/>
    <w:rsid w:val="00BB254C"/>
    <w:rsid w:val="00BB5722"/>
    <w:rsid w:val="00BC137E"/>
    <w:rsid w:val="00BC7B48"/>
    <w:rsid w:val="00BD077F"/>
    <w:rsid w:val="00BD2B53"/>
    <w:rsid w:val="00BD6B6D"/>
    <w:rsid w:val="00BE09F1"/>
    <w:rsid w:val="00BE373F"/>
    <w:rsid w:val="00BE5656"/>
    <w:rsid w:val="00BE7FFE"/>
    <w:rsid w:val="00BF1368"/>
    <w:rsid w:val="00BF1647"/>
    <w:rsid w:val="00BF38F3"/>
    <w:rsid w:val="00BF7201"/>
    <w:rsid w:val="00C03DFC"/>
    <w:rsid w:val="00C05816"/>
    <w:rsid w:val="00C07D0F"/>
    <w:rsid w:val="00C103D1"/>
    <w:rsid w:val="00C1145B"/>
    <w:rsid w:val="00C122F8"/>
    <w:rsid w:val="00C1336B"/>
    <w:rsid w:val="00C14A48"/>
    <w:rsid w:val="00C21249"/>
    <w:rsid w:val="00C23226"/>
    <w:rsid w:val="00C24083"/>
    <w:rsid w:val="00C25939"/>
    <w:rsid w:val="00C27725"/>
    <w:rsid w:val="00C30112"/>
    <w:rsid w:val="00C35CC6"/>
    <w:rsid w:val="00C42F8F"/>
    <w:rsid w:val="00C43750"/>
    <w:rsid w:val="00C4746A"/>
    <w:rsid w:val="00C47B2B"/>
    <w:rsid w:val="00C50B22"/>
    <w:rsid w:val="00C5489C"/>
    <w:rsid w:val="00C56C77"/>
    <w:rsid w:val="00C605BE"/>
    <w:rsid w:val="00C61E56"/>
    <w:rsid w:val="00C628B4"/>
    <w:rsid w:val="00C6326E"/>
    <w:rsid w:val="00C64E8F"/>
    <w:rsid w:val="00C6771B"/>
    <w:rsid w:val="00C7178E"/>
    <w:rsid w:val="00C73C8E"/>
    <w:rsid w:val="00C73E44"/>
    <w:rsid w:val="00C74D5D"/>
    <w:rsid w:val="00C74E0E"/>
    <w:rsid w:val="00C77566"/>
    <w:rsid w:val="00C81CDC"/>
    <w:rsid w:val="00C8285A"/>
    <w:rsid w:val="00C8499C"/>
    <w:rsid w:val="00C85D0F"/>
    <w:rsid w:val="00C85D24"/>
    <w:rsid w:val="00C85E2D"/>
    <w:rsid w:val="00C90551"/>
    <w:rsid w:val="00C9186D"/>
    <w:rsid w:val="00C939CE"/>
    <w:rsid w:val="00C944EB"/>
    <w:rsid w:val="00CA01B4"/>
    <w:rsid w:val="00CA1C25"/>
    <w:rsid w:val="00CA2743"/>
    <w:rsid w:val="00CA5012"/>
    <w:rsid w:val="00CA53C7"/>
    <w:rsid w:val="00CA6B85"/>
    <w:rsid w:val="00CA6CF4"/>
    <w:rsid w:val="00CB08D1"/>
    <w:rsid w:val="00CB335A"/>
    <w:rsid w:val="00CB598F"/>
    <w:rsid w:val="00CB6673"/>
    <w:rsid w:val="00CC0FB4"/>
    <w:rsid w:val="00CC111F"/>
    <w:rsid w:val="00CC5034"/>
    <w:rsid w:val="00CD1390"/>
    <w:rsid w:val="00CD1940"/>
    <w:rsid w:val="00CD5234"/>
    <w:rsid w:val="00CD7CF5"/>
    <w:rsid w:val="00CE015D"/>
    <w:rsid w:val="00CE2673"/>
    <w:rsid w:val="00CE526E"/>
    <w:rsid w:val="00CE7C90"/>
    <w:rsid w:val="00CF013E"/>
    <w:rsid w:val="00CF3DE9"/>
    <w:rsid w:val="00CF4DA7"/>
    <w:rsid w:val="00CF4FD4"/>
    <w:rsid w:val="00D04360"/>
    <w:rsid w:val="00D043EC"/>
    <w:rsid w:val="00D108D1"/>
    <w:rsid w:val="00D13FDC"/>
    <w:rsid w:val="00D156F8"/>
    <w:rsid w:val="00D20091"/>
    <w:rsid w:val="00D20E5D"/>
    <w:rsid w:val="00D24AFA"/>
    <w:rsid w:val="00D253E1"/>
    <w:rsid w:val="00D25883"/>
    <w:rsid w:val="00D25E50"/>
    <w:rsid w:val="00D27383"/>
    <w:rsid w:val="00D27570"/>
    <w:rsid w:val="00D30441"/>
    <w:rsid w:val="00D307AD"/>
    <w:rsid w:val="00D311D6"/>
    <w:rsid w:val="00D33DA9"/>
    <w:rsid w:val="00D360DC"/>
    <w:rsid w:val="00D371AB"/>
    <w:rsid w:val="00D4126B"/>
    <w:rsid w:val="00D43FCB"/>
    <w:rsid w:val="00D44279"/>
    <w:rsid w:val="00D45144"/>
    <w:rsid w:val="00D45C6E"/>
    <w:rsid w:val="00D475CE"/>
    <w:rsid w:val="00D513E9"/>
    <w:rsid w:val="00D5239D"/>
    <w:rsid w:val="00D576FD"/>
    <w:rsid w:val="00D60BE2"/>
    <w:rsid w:val="00D66B88"/>
    <w:rsid w:val="00D66EF8"/>
    <w:rsid w:val="00D67EEF"/>
    <w:rsid w:val="00D72A5D"/>
    <w:rsid w:val="00D82D54"/>
    <w:rsid w:val="00D83141"/>
    <w:rsid w:val="00D85F79"/>
    <w:rsid w:val="00D90AD3"/>
    <w:rsid w:val="00D948BC"/>
    <w:rsid w:val="00D957BA"/>
    <w:rsid w:val="00D95CBF"/>
    <w:rsid w:val="00D9686B"/>
    <w:rsid w:val="00D9693B"/>
    <w:rsid w:val="00DA1F7E"/>
    <w:rsid w:val="00DA27C6"/>
    <w:rsid w:val="00DA3084"/>
    <w:rsid w:val="00DA50CF"/>
    <w:rsid w:val="00DB47DE"/>
    <w:rsid w:val="00DC37A8"/>
    <w:rsid w:val="00DC5FB3"/>
    <w:rsid w:val="00DC7FDF"/>
    <w:rsid w:val="00DD3079"/>
    <w:rsid w:val="00DD3978"/>
    <w:rsid w:val="00DD7779"/>
    <w:rsid w:val="00DE0F6A"/>
    <w:rsid w:val="00DE5D87"/>
    <w:rsid w:val="00DF074E"/>
    <w:rsid w:val="00DF18AA"/>
    <w:rsid w:val="00DF6E4D"/>
    <w:rsid w:val="00E029FC"/>
    <w:rsid w:val="00E05948"/>
    <w:rsid w:val="00E06DD8"/>
    <w:rsid w:val="00E10DA2"/>
    <w:rsid w:val="00E11CE1"/>
    <w:rsid w:val="00E12574"/>
    <w:rsid w:val="00E1270D"/>
    <w:rsid w:val="00E16B4C"/>
    <w:rsid w:val="00E16C75"/>
    <w:rsid w:val="00E17634"/>
    <w:rsid w:val="00E17E77"/>
    <w:rsid w:val="00E21C14"/>
    <w:rsid w:val="00E234AC"/>
    <w:rsid w:val="00E251C1"/>
    <w:rsid w:val="00E261B6"/>
    <w:rsid w:val="00E26B15"/>
    <w:rsid w:val="00E34185"/>
    <w:rsid w:val="00E35BF7"/>
    <w:rsid w:val="00E360D7"/>
    <w:rsid w:val="00E363BD"/>
    <w:rsid w:val="00E36C1C"/>
    <w:rsid w:val="00E37399"/>
    <w:rsid w:val="00E42BF4"/>
    <w:rsid w:val="00E57BAE"/>
    <w:rsid w:val="00E57BF8"/>
    <w:rsid w:val="00E61FD1"/>
    <w:rsid w:val="00E62347"/>
    <w:rsid w:val="00E6274F"/>
    <w:rsid w:val="00E63A28"/>
    <w:rsid w:val="00E66CF2"/>
    <w:rsid w:val="00E72609"/>
    <w:rsid w:val="00E73B1B"/>
    <w:rsid w:val="00E747D1"/>
    <w:rsid w:val="00E75F04"/>
    <w:rsid w:val="00E802E0"/>
    <w:rsid w:val="00E818BA"/>
    <w:rsid w:val="00E83555"/>
    <w:rsid w:val="00E842A4"/>
    <w:rsid w:val="00E85089"/>
    <w:rsid w:val="00E852AF"/>
    <w:rsid w:val="00E85411"/>
    <w:rsid w:val="00E87502"/>
    <w:rsid w:val="00E87F79"/>
    <w:rsid w:val="00E92BF3"/>
    <w:rsid w:val="00E97D93"/>
    <w:rsid w:val="00EA2F81"/>
    <w:rsid w:val="00EA392C"/>
    <w:rsid w:val="00EA7DFB"/>
    <w:rsid w:val="00EB07F1"/>
    <w:rsid w:val="00EB2FA8"/>
    <w:rsid w:val="00EB372F"/>
    <w:rsid w:val="00EB3F3F"/>
    <w:rsid w:val="00EB50B4"/>
    <w:rsid w:val="00EC09C8"/>
    <w:rsid w:val="00EC1353"/>
    <w:rsid w:val="00EC31C3"/>
    <w:rsid w:val="00EC4EBF"/>
    <w:rsid w:val="00EC619E"/>
    <w:rsid w:val="00ED07E7"/>
    <w:rsid w:val="00ED0D76"/>
    <w:rsid w:val="00ED1C82"/>
    <w:rsid w:val="00ED4FBA"/>
    <w:rsid w:val="00ED7B6B"/>
    <w:rsid w:val="00EE4677"/>
    <w:rsid w:val="00EE5F70"/>
    <w:rsid w:val="00EE655F"/>
    <w:rsid w:val="00EF3FBD"/>
    <w:rsid w:val="00EF4CAB"/>
    <w:rsid w:val="00EF6182"/>
    <w:rsid w:val="00EF64B6"/>
    <w:rsid w:val="00EF7C7B"/>
    <w:rsid w:val="00F0141F"/>
    <w:rsid w:val="00F02030"/>
    <w:rsid w:val="00F03320"/>
    <w:rsid w:val="00F03805"/>
    <w:rsid w:val="00F042CD"/>
    <w:rsid w:val="00F050FB"/>
    <w:rsid w:val="00F0585A"/>
    <w:rsid w:val="00F05CD5"/>
    <w:rsid w:val="00F11123"/>
    <w:rsid w:val="00F13D3F"/>
    <w:rsid w:val="00F16F3F"/>
    <w:rsid w:val="00F20A35"/>
    <w:rsid w:val="00F20A5D"/>
    <w:rsid w:val="00F20CBB"/>
    <w:rsid w:val="00F30711"/>
    <w:rsid w:val="00F30B92"/>
    <w:rsid w:val="00F33A74"/>
    <w:rsid w:val="00F346F7"/>
    <w:rsid w:val="00F35478"/>
    <w:rsid w:val="00F53271"/>
    <w:rsid w:val="00F55F34"/>
    <w:rsid w:val="00F62D85"/>
    <w:rsid w:val="00F63D48"/>
    <w:rsid w:val="00F64D3A"/>
    <w:rsid w:val="00F6569B"/>
    <w:rsid w:val="00F659BF"/>
    <w:rsid w:val="00F71276"/>
    <w:rsid w:val="00F73A5F"/>
    <w:rsid w:val="00F76001"/>
    <w:rsid w:val="00F762A3"/>
    <w:rsid w:val="00F84AB2"/>
    <w:rsid w:val="00F86464"/>
    <w:rsid w:val="00F90C6B"/>
    <w:rsid w:val="00F91034"/>
    <w:rsid w:val="00F9285A"/>
    <w:rsid w:val="00F94030"/>
    <w:rsid w:val="00F95531"/>
    <w:rsid w:val="00FA1D0D"/>
    <w:rsid w:val="00FA2E54"/>
    <w:rsid w:val="00FA6BFA"/>
    <w:rsid w:val="00FB0500"/>
    <w:rsid w:val="00FB19F1"/>
    <w:rsid w:val="00FB23A7"/>
    <w:rsid w:val="00FB4D12"/>
    <w:rsid w:val="00FB4EC4"/>
    <w:rsid w:val="00FB6E47"/>
    <w:rsid w:val="00FC09E4"/>
    <w:rsid w:val="00FC0EF3"/>
    <w:rsid w:val="00FC3005"/>
    <w:rsid w:val="00FC3B6F"/>
    <w:rsid w:val="00FC5D82"/>
    <w:rsid w:val="00FC6EF5"/>
    <w:rsid w:val="00FC72F1"/>
    <w:rsid w:val="00FD2091"/>
    <w:rsid w:val="00FD7AC3"/>
    <w:rsid w:val="00FE18D4"/>
    <w:rsid w:val="00FE1C6B"/>
    <w:rsid w:val="00FE2EAA"/>
    <w:rsid w:val="00FE3701"/>
    <w:rsid w:val="00FF0C14"/>
    <w:rsid w:val="00FF199A"/>
    <w:rsid w:val="00FF4874"/>
    <w:rsid w:val="00FF5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CA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9A"/>
  </w:style>
  <w:style w:type="paragraph" w:styleId="Heading1">
    <w:name w:val="heading 1"/>
    <w:basedOn w:val="Normal"/>
    <w:next w:val="Normal"/>
    <w:link w:val="Heading1Char"/>
    <w:autoRedefine/>
    <w:qFormat/>
    <w:rsid w:val="00E852AF"/>
    <w:pPr>
      <w:keepNext/>
      <w:spacing w:before="240" w:after="0" w:line="480" w:lineRule="auto"/>
      <w:ind w:left="720" w:hanging="720"/>
      <w:outlineLvl w:val="0"/>
    </w:pPr>
    <w:rPr>
      <w:rFonts w:ascii="Times New Roman Bold" w:eastAsia="Times New Roman" w:hAnsi="Times New Roman Bold"/>
      <w:b/>
      <w:bCs/>
      <w:caps/>
      <w:kern w:val="32"/>
      <w:szCs w:val="32"/>
    </w:rPr>
  </w:style>
  <w:style w:type="paragraph" w:styleId="Heading2">
    <w:name w:val="heading 2"/>
    <w:basedOn w:val="Normal"/>
    <w:next w:val="Normal"/>
    <w:link w:val="Heading2Char"/>
    <w:autoRedefine/>
    <w:uiPriority w:val="9"/>
    <w:unhideWhenUsed/>
    <w:qFormat/>
    <w:rsid w:val="00553D9A"/>
    <w:pPr>
      <w:keepNext/>
      <w:keepLines/>
      <w:spacing w:after="240" w:line="240" w:lineRule="auto"/>
      <w:ind w:left="1440" w:right="720" w:hanging="72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autoRedefine/>
    <w:uiPriority w:val="9"/>
    <w:semiHidden/>
    <w:unhideWhenUsed/>
    <w:qFormat/>
    <w:rsid w:val="00553D9A"/>
    <w:pPr>
      <w:keepNext/>
      <w:keepLines/>
      <w:spacing w:after="240" w:line="240" w:lineRule="auto"/>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ALTS FOOTNOTE,Footnote text,FOOTNOTE,Footnote Text Char2,Footnote Text Char Char,Footnote Text Char1 Char Char,Footnote Text Char Char Char Char,Footnote Text Char1 Char Char Char Char,Footnote Text Char Char Char Char Char Char1"/>
    <w:basedOn w:val="Normal"/>
    <w:link w:val="FootnoteTextChar"/>
    <w:uiPriority w:val="99"/>
    <w:unhideWhenUsed/>
    <w:rsid w:val="00093DC4"/>
    <w:pPr>
      <w:spacing w:before="120" w:after="0" w:line="240" w:lineRule="auto"/>
    </w:pPr>
    <w:rPr>
      <w:rFonts w:cstheme="minorBidi"/>
      <w:sz w:val="20"/>
    </w:rPr>
  </w:style>
  <w:style w:type="character" w:customStyle="1" w:styleId="FootnoteTextChar">
    <w:name w:val="Footnote Text Char"/>
    <w:aliases w:val="fn Char,ALTS FOOTNOTE Char,Footnote text Char,FOOTNOTE Char,Footnote Text Char2 Char,Footnote Text Char Char Char,Footnote Text Char1 Char Char Char,Footnote Text Char Char Char Char Char,Footnote Text Char1 Char Char Char Char Char"/>
    <w:basedOn w:val="DefaultParagraphFont"/>
    <w:link w:val="FootnoteText"/>
    <w:uiPriority w:val="99"/>
    <w:rsid w:val="00093DC4"/>
    <w:rPr>
      <w:rFonts w:cstheme="minorBidi"/>
      <w:sz w:val="20"/>
    </w:rPr>
  </w:style>
  <w:style w:type="character" w:styleId="FootnoteReference">
    <w:name w:val="footnote reference"/>
    <w:basedOn w:val="DefaultParagraphFont"/>
    <w:uiPriority w:val="99"/>
    <w:semiHidden/>
    <w:unhideWhenUsed/>
    <w:rsid w:val="004D17A3"/>
    <w:rPr>
      <w:vertAlign w:val="superscript"/>
    </w:rPr>
  </w:style>
  <w:style w:type="paragraph" w:styleId="ListParagraph">
    <w:name w:val="List Paragraph"/>
    <w:basedOn w:val="Normal"/>
    <w:uiPriority w:val="34"/>
    <w:qFormat/>
    <w:rsid w:val="004D17A3"/>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4D17A3"/>
    <w:rPr>
      <w:color w:val="0000FF" w:themeColor="hyperlink"/>
      <w:u w:val="single"/>
    </w:rPr>
  </w:style>
  <w:style w:type="character" w:styleId="CommentReference">
    <w:name w:val="annotation reference"/>
    <w:basedOn w:val="DefaultParagraphFont"/>
    <w:uiPriority w:val="99"/>
    <w:semiHidden/>
    <w:unhideWhenUsed/>
    <w:rsid w:val="00E87502"/>
    <w:rPr>
      <w:sz w:val="16"/>
      <w:szCs w:val="16"/>
    </w:rPr>
  </w:style>
  <w:style w:type="paragraph" w:styleId="CommentText">
    <w:name w:val="annotation text"/>
    <w:basedOn w:val="Normal"/>
    <w:link w:val="CommentTextChar"/>
    <w:uiPriority w:val="99"/>
    <w:semiHidden/>
    <w:unhideWhenUsed/>
    <w:rsid w:val="00E87502"/>
    <w:pPr>
      <w:spacing w:line="240" w:lineRule="auto"/>
    </w:pPr>
    <w:rPr>
      <w:sz w:val="20"/>
      <w:szCs w:val="20"/>
    </w:rPr>
  </w:style>
  <w:style w:type="character" w:customStyle="1" w:styleId="CommentTextChar">
    <w:name w:val="Comment Text Char"/>
    <w:basedOn w:val="DefaultParagraphFont"/>
    <w:link w:val="CommentText"/>
    <w:uiPriority w:val="99"/>
    <w:semiHidden/>
    <w:rsid w:val="00E87502"/>
    <w:rPr>
      <w:sz w:val="20"/>
      <w:szCs w:val="20"/>
    </w:rPr>
  </w:style>
  <w:style w:type="paragraph" w:styleId="CommentSubject">
    <w:name w:val="annotation subject"/>
    <w:basedOn w:val="CommentText"/>
    <w:next w:val="CommentText"/>
    <w:link w:val="CommentSubjectChar"/>
    <w:uiPriority w:val="99"/>
    <w:semiHidden/>
    <w:unhideWhenUsed/>
    <w:rsid w:val="00E87502"/>
    <w:rPr>
      <w:b/>
      <w:bCs/>
    </w:rPr>
  </w:style>
  <w:style w:type="character" w:customStyle="1" w:styleId="CommentSubjectChar">
    <w:name w:val="Comment Subject Char"/>
    <w:basedOn w:val="CommentTextChar"/>
    <w:link w:val="CommentSubject"/>
    <w:uiPriority w:val="99"/>
    <w:semiHidden/>
    <w:rsid w:val="00E87502"/>
    <w:rPr>
      <w:b/>
      <w:bCs/>
      <w:sz w:val="20"/>
      <w:szCs w:val="20"/>
    </w:rPr>
  </w:style>
  <w:style w:type="paragraph" w:styleId="BalloonText">
    <w:name w:val="Balloon Text"/>
    <w:basedOn w:val="Normal"/>
    <w:link w:val="BalloonTextChar"/>
    <w:uiPriority w:val="99"/>
    <w:semiHidden/>
    <w:unhideWhenUsed/>
    <w:rsid w:val="00E87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02"/>
    <w:rPr>
      <w:rFonts w:ascii="Tahoma" w:hAnsi="Tahoma" w:cs="Tahoma"/>
      <w:sz w:val="16"/>
      <w:szCs w:val="16"/>
    </w:rPr>
  </w:style>
  <w:style w:type="paragraph" w:styleId="Header">
    <w:name w:val="header"/>
    <w:basedOn w:val="Normal"/>
    <w:link w:val="HeaderChar"/>
    <w:uiPriority w:val="99"/>
    <w:unhideWhenUsed/>
    <w:rsid w:val="00015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8F1"/>
  </w:style>
  <w:style w:type="paragraph" w:styleId="Footer">
    <w:name w:val="footer"/>
    <w:basedOn w:val="Normal"/>
    <w:link w:val="FooterChar"/>
    <w:uiPriority w:val="99"/>
    <w:unhideWhenUsed/>
    <w:rsid w:val="00015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8F1"/>
  </w:style>
  <w:style w:type="character" w:customStyle="1" w:styleId="apple-converted-space">
    <w:name w:val="apple-converted-space"/>
    <w:basedOn w:val="DefaultParagraphFont"/>
    <w:rsid w:val="00F9285A"/>
  </w:style>
  <w:style w:type="character" w:customStyle="1" w:styleId="Heading1Char">
    <w:name w:val="Heading 1 Char"/>
    <w:basedOn w:val="DefaultParagraphFont"/>
    <w:link w:val="Heading1"/>
    <w:rsid w:val="00E852AF"/>
    <w:rPr>
      <w:rFonts w:ascii="Times New Roman Bold" w:eastAsia="Times New Roman" w:hAnsi="Times New Roman Bold"/>
      <w:b/>
      <w:bCs/>
      <w:caps/>
      <w:kern w:val="32"/>
      <w:szCs w:val="32"/>
    </w:rPr>
  </w:style>
  <w:style w:type="paragraph" w:styleId="Revision">
    <w:name w:val="Revision"/>
    <w:hidden/>
    <w:uiPriority w:val="99"/>
    <w:semiHidden/>
    <w:rsid w:val="002D06D5"/>
    <w:pPr>
      <w:spacing w:after="0" w:line="240" w:lineRule="auto"/>
    </w:pPr>
  </w:style>
  <w:style w:type="character" w:customStyle="1" w:styleId="hvr">
    <w:name w:val="hvr"/>
    <w:basedOn w:val="DefaultParagraphFont"/>
    <w:rsid w:val="009B5571"/>
  </w:style>
  <w:style w:type="character" w:customStyle="1" w:styleId="Heading2Char">
    <w:name w:val="Heading 2 Char"/>
    <w:basedOn w:val="DefaultParagraphFont"/>
    <w:link w:val="Heading2"/>
    <w:uiPriority w:val="9"/>
    <w:rsid w:val="00553D9A"/>
    <w:rPr>
      <w:rFonts w:ascii="Times New Roman Bold" w:eastAsiaTheme="majorEastAsia" w:hAnsi="Times New Roman Bold" w:cstheme="majorBidi"/>
      <w:b/>
      <w:bCs/>
      <w:szCs w:val="26"/>
    </w:rPr>
  </w:style>
  <w:style w:type="paragraph" w:styleId="NormalWeb">
    <w:name w:val="Normal (Web)"/>
    <w:basedOn w:val="Normal"/>
    <w:uiPriority w:val="99"/>
    <w:unhideWhenUsed/>
    <w:rsid w:val="008F3C22"/>
    <w:pPr>
      <w:spacing w:before="100" w:beforeAutospacing="1" w:after="100" w:afterAutospacing="1" w:line="240" w:lineRule="auto"/>
    </w:pPr>
    <w:rPr>
      <w:rFonts w:eastAsia="Times New Roman"/>
    </w:rPr>
  </w:style>
  <w:style w:type="character" w:customStyle="1" w:styleId="sspagshow">
    <w:name w:val="ss_pag_show"/>
    <w:basedOn w:val="DefaultParagraphFont"/>
    <w:rsid w:val="00BF1368"/>
  </w:style>
  <w:style w:type="character" w:customStyle="1" w:styleId="sssh">
    <w:name w:val="ss_sh"/>
    <w:basedOn w:val="DefaultParagraphFont"/>
    <w:rsid w:val="006A5601"/>
  </w:style>
  <w:style w:type="character" w:customStyle="1" w:styleId="sspagshow1">
    <w:name w:val="ss_pag_show1"/>
    <w:basedOn w:val="DefaultParagraphFont"/>
    <w:rsid w:val="006A5601"/>
    <w:rPr>
      <w:b/>
      <w:bCs/>
    </w:rPr>
  </w:style>
  <w:style w:type="character" w:customStyle="1" w:styleId="ssit1">
    <w:name w:val="ss_it1"/>
    <w:basedOn w:val="DefaultParagraphFont"/>
    <w:rsid w:val="006A5601"/>
    <w:rPr>
      <w:i/>
      <w:iCs/>
    </w:rPr>
  </w:style>
  <w:style w:type="character" w:customStyle="1" w:styleId="Heading3Char">
    <w:name w:val="Heading 3 Char"/>
    <w:basedOn w:val="DefaultParagraphFont"/>
    <w:link w:val="Heading3"/>
    <w:uiPriority w:val="9"/>
    <w:semiHidden/>
    <w:rsid w:val="00553D9A"/>
    <w:rPr>
      <w:rFonts w:ascii="Times New Roman Bold" w:eastAsiaTheme="majorEastAsia" w:hAnsi="Times New Roman Bold" w:cstheme="majorBidi"/>
      <w:b/>
      <w:bCs/>
    </w:rPr>
  </w:style>
  <w:style w:type="paragraph" w:styleId="TOC1">
    <w:name w:val="toc 1"/>
    <w:basedOn w:val="Normal"/>
    <w:next w:val="Normal"/>
    <w:autoRedefine/>
    <w:uiPriority w:val="39"/>
    <w:unhideWhenUsed/>
    <w:qFormat/>
    <w:rsid w:val="00553D9A"/>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553D9A"/>
    <w:pPr>
      <w:tabs>
        <w:tab w:val="decimal" w:leader="dot" w:pos="8640"/>
      </w:tabs>
      <w:spacing w:after="240" w:line="240" w:lineRule="auto"/>
      <w:ind w:left="1440" w:hanging="720"/>
    </w:pPr>
  </w:style>
  <w:style w:type="paragraph" w:styleId="TOC3">
    <w:name w:val="toc 3"/>
    <w:basedOn w:val="Normal"/>
    <w:next w:val="Normal"/>
    <w:autoRedefine/>
    <w:uiPriority w:val="39"/>
    <w:semiHidden/>
    <w:unhideWhenUsed/>
    <w:qFormat/>
    <w:rsid w:val="00553D9A"/>
    <w:pPr>
      <w:tabs>
        <w:tab w:val="decimal" w:leader="dot" w:pos="8640"/>
      </w:tabs>
      <w:spacing w:after="240" w:line="240" w:lineRule="auto"/>
      <w:ind w:left="216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9A"/>
  </w:style>
  <w:style w:type="paragraph" w:styleId="Heading1">
    <w:name w:val="heading 1"/>
    <w:basedOn w:val="Normal"/>
    <w:next w:val="Normal"/>
    <w:link w:val="Heading1Char"/>
    <w:autoRedefine/>
    <w:qFormat/>
    <w:rsid w:val="00E852AF"/>
    <w:pPr>
      <w:keepNext/>
      <w:spacing w:before="240" w:after="0" w:line="480" w:lineRule="auto"/>
      <w:ind w:left="720" w:hanging="720"/>
      <w:outlineLvl w:val="0"/>
    </w:pPr>
    <w:rPr>
      <w:rFonts w:ascii="Times New Roman Bold" w:eastAsia="Times New Roman" w:hAnsi="Times New Roman Bold"/>
      <w:b/>
      <w:bCs/>
      <w:caps/>
      <w:kern w:val="32"/>
      <w:szCs w:val="32"/>
    </w:rPr>
  </w:style>
  <w:style w:type="paragraph" w:styleId="Heading2">
    <w:name w:val="heading 2"/>
    <w:basedOn w:val="Normal"/>
    <w:next w:val="Normal"/>
    <w:link w:val="Heading2Char"/>
    <w:autoRedefine/>
    <w:uiPriority w:val="9"/>
    <w:unhideWhenUsed/>
    <w:qFormat/>
    <w:rsid w:val="00553D9A"/>
    <w:pPr>
      <w:keepNext/>
      <w:keepLines/>
      <w:spacing w:after="240" w:line="240" w:lineRule="auto"/>
      <w:ind w:left="1440" w:right="720" w:hanging="720"/>
      <w:outlineLvl w:val="1"/>
    </w:pPr>
    <w:rPr>
      <w:rFonts w:ascii="Times New Roman Bold" w:eastAsiaTheme="majorEastAsia" w:hAnsi="Times New Roman Bold" w:cstheme="majorBidi"/>
      <w:b/>
      <w:bCs/>
      <w:szCs w:val="26"/>
    </w:rPr>
  </w:style>
  <w:style w:type="paragraph" w:styleId="Heading3">
    <w:name w:val="heading 3"/>
    <w:basedOn w:val="Normal"/>
    <w:next w:val="Normal"/>
    <w:link w:val="Heading3Char"/>
    <w:autoRedefine/>
    <w:uiPriority w:val="9"/>
    <w:semiHidden/>
    <w:unhideWhenUsed/>
    <w:qFormat/>
    <w:rsid w:val="00553D9A"/>
    <w:pPr>
      <w:keepNext/>
      <w:keepLines/>
      <w:spacing w:after="240" w:line="240" w:lineRule="auto"/>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ALTS FOOTNOTE,Footnote text,FOOTNOTE,Footnote Text Char2,Footnote Text Char Char,Footnote Text Char1 Char Char,Footnote Text Char Char Char Char,Footnote Text Char1 Char Char Char Char,Footnote Text Char Char Char Char Char Char1"/>
    <w:basedOn w:val="Normal"/>
    <w:link w:val="FootnoteTextChar"/>
    <w:uiPriority w:val="99"/>
    <w:unhideWhenUsed/>
    <w:rsid w:val="00093DC4"/>
    <w:pPr>
      <w:spacing w:before="120" w:after="0" w:line="240" w:lineRule="auto"/>
    </w:pPr>
    <w:rPr>
      <w:rFonts w:cstheme="minorBidi"/>
      <w:sz w:val="20"/>
    </w:rPr>
  </w:style>
  <w:style w:type="character" w:customStyle="1" w:styleId="FootnoteTextChar">
    <w:name w:val="Footnote Text Char"/>
    <w:aliases w:val="fn Char,ALTS FOOTNOTE Char,Footnote text Char,FOOTNOTE Char,Footnote Text Char2 Char,Footnote Text Char Char Char,Footnote Text Char1 Char Char Char,Footnote Text Char Char Char Char Char,Footnote Text Char1 Char Char Char Char Char"/>
    <w:basedOn w:val="DefaultParagraphFont"/>
    <w:link w:val="FootnoteText"/>
    <w:uiPriority w:val="99"/>
    <w:rsid w:val="00093DC4"/>
    <w:rPr>
      <w:rFonts w:cstheme="minorBidi"/>
      <w:sz w:val="20"/>
    </w:rPr>
  </w:style>
  <w:style w:type="character" w:styleId="FootnoteReference">
    <w:name w:val="footnote reference"/>
    <w:basedOn w:val="DefaultParagraphFont"/>
    <w:uiPriority w:val="99"/>
    <w:semiHidden/>
    <w:unhideWhenUsed/>
    <w:rsid w:val="004D17A3"/>
    <w:rPr>
      <w:vertAlign w:val="superscript"/>
    </w:rPr>
  </w:style>
  <w:style w:type="paragraph" w:styleId="ListParagraph">
    <w:name w:val="List Paragraph"/>
    <w:basedOn w:val="Normal"/>
    <w:uiPriority w:val="34"/>
    <w:qFormat/>
    <w:rsid w:val="004D17A3"/>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4D17A3"/>
    <w:rPr>
      <w:color w:val="0000FF" w:themeColor="hyperlink"/>
      <w:u w:val="single"/>
    </w:rPr>
  </w:style>
  <w:style w:type="character" w:styleId="CommentReference">
    <w:name w:val="annotation reference"/>
    <w:basedOn w:val="DefaultParagraphFont"/>
    <w:uiPriority w:val="99"/>
    <w:semiHidden/>
    <w:unhideWhenUsed/>
    <w:rsid w:val="00E87502"/>
    <w:rPr>
      <w:sz w:val="16"/>
      <w:szCs w:val="16"/>
    </w:rPr>
  </w:style>
  <w:style w:type="paragraph" w:styleId="CommentText">
    <w:name w:val="annotation text"/>
    <w:basedOn w:val="Normal"/>
    <w:link w:val="CommentTextChar"/>
    <w:uiPriority w:val="99"/>
    <w:semiHidden/>
    <w:unhideWhenUsed/>
    <w:rsid w:val="00E87502"/>
    <w:pPr>
      <w:spacing w:line="240" w:lineRule="auto"/>
    </w:pPr>
    <w:rPr>
      <w:sz w:val="20"/>
      <w:szCs w:val="20"/>
    </w:rPr>
  </w:style>
  <w:style w:type="character" w:customStyle="1" w:styleId="CommentTextChar">
    <w:name w:val="Comment Text Char"/>
    <w:basedOn w:val="DefaultParagraphFont"/>
    <w:link w:val="CommentText"/>
    <w:uiPriority w:val="99"/>
    <w:semiHidden/>
    <w:rsid w:val="00E87502"/>
    <w:rPr>
      <w:sz w:val="20"/>
      <w:szCs w:val="20"/>
    </w:rPr>
  </w:style>
  <w:style w:type="paragraph" w:styleId="CommentSubject">
    <w:name w:val="annotation subject"/>
    <w:basedOn w:val="CommentText"/>
    <w:next w:val="CommentText"/>
    <w:link w:val="CommentSubjectChar"/>
    <w:uiPriority w:val="99"/>
    <w:semiHidden/>
    <w:unhideWhenUsed/>
    <w:rsid w:val="00E87502"/>
    <w:rPr>
      <w:b/>
      <w:bCs/>
    </w:rPr>
  </w:style>
  <w:style w:type="character" w:customStyle="1" w:styleId="CommentSubjectChar">
    <w:name w:val="Comment Subject Char"/>
    <w:basedOn w:val="CommentTextChar"/>
    <w:link w:val="CommentSubject"/>
    <w:uiPriority w:val="99"/>
    <w:semiHidden/>
    <w:rsid w:val="00E87502"/>
    <w:rPr>
      <w:b/>
      <w:bCs/>
      <w:sz w:val="20"/>
      <w:szCs w:val="20"/>
    </w:rPr>
  </w:style>
  <w:style w:type="paragraph" w:styleId="BalloonText">
    <w:name w:val="Balloon Text"/>
    <w:basedOn w:val="Normal"/>
    <w:link w:val="BalloonTextChar"/>
    <w:uiPriority w:val="99"/>
    <w:semiHidden/>
    <w:unhideWhenUsed/>
    <w:rsid w:val="00E87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02"/>
    <w:rPr>
      <w:rFonts w:ascii="Tahoma" w:hAnsi="Tahoma" w:cs="Tahoma"/>
      <w:sz w:val="16"/>
      <w:szCs w:val="16"/>
    </w:rPr>
  </w:style>
  <w:style w:type="paragraph" w:styleId="Header">
    <w:name w:val="header"/>
    <w:basedOn w:val="Normal"/>
    <w:link w:val="HeaderChar"/>
    <w:uiPriority w:val="99"/>
    <w:unhideWhenUsed/>
    <w:rsid w:val="00015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8F1"/>
  </w:style>
  <w:style w:type="paragraph" w:styleId="Footer">
    <w:name w:val="footer"/>
    <w:basedOn w:val="Normal"/>
    <w:link w:val="FooterChar"/>
    <w:uiPriority w:val="99"/>
    <w:unhideWhenUsed/>
    <w:rsid w:val="00015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8F1"/>
  </w:style>
  <w:style w:type="character" w:customStyle="1" w:styleId="apple-converted-space">
    <w:name w:val="apple-converted-space"/>
    <w:basedOn w:val="DefaultParagraphFont"/>
    <w:rsid w:val="00F9285A"/>
  </w:style>
  <w:style w:type="character" w:customStyle="1" w:styleId="Heading1Char">
    <w:name w:val="Heading 1 Char"/>
    <w:basedOn w:val="DefaultParagraphFont"/>
    <w:link w:val="Heading1"/>
    <w:rsid w:val="00E852AF"/>
    <w:rPr>
      <w:rFonts w:ascii="Times New Roman Bold" w:eastAsia="Times New Roman" w:hAnsi="Times New Roman Bold"/>
      <w:b/>
      <w:bCs/>
      <w:caps/>
      <w:kern w:val="32"/>
      <w:szCs w:val="32"/>
    </w:rPr>
  </w:style>
  <w:style w:type="paragraph" w:styleId="Revision">
    <w:name w:val="Revision"/>
    <w:hidden/>
    <w:uiPriority w:val="99"/>
    <w:semiHidden/>
    <w:rsid w:val="002D06D5"/>
    <w:pPr>
      <w:spacing w:after="0" w:line="240" w:lineRule="auto"/>
    </w:pPr>
  </w:style>
  <w:style w:type="character" w:customStyle="1" w:styleId="hvr">
    <w:name w:val="hvr"/>
    <w:basedOn w:val="DefaultParagraphFont"/>
    <w:rsid w:val="009B5571"/>
  </w:style>
  <w:style w:type="character" w:customStyle="1" w:styleId="Heading2Char">
    <w:name w:val="Heading 2 Char"/>
    <w:basedOn w:val="DefaultParagraphFont"/>
    <w:link w:val="Heading2"/>
    <w:uiPriority w:val="9"/>
    <w:rsid w:val="00553D9A"/>
    <w:rPr>
      <w:rFonts w:ascii="Times New Roman Bold" w:eastAsiaTheme="majorEastAsia" w:hAnsi="Times New Roman Bold" w:cstheme="majorBidi"/>
      <w:b/>
      <w:bCs/>
      <w:szCs w:val="26"/>
    </w:rPr>
  </w:style>
  <w:style w:type="paragraph" w:styleId="NormalWeb">
    <w:name w:val="Normal (Web)"/>
    <w:basedOn w:val="Normal"/>
    <w:uiPriority w:val="99"/>
    <w:unhideWhenUsed/>
    <w:rsid w:val="008F3C22"/>
    <w:pPr>
      <w:spacing w:before="100" w:beforeAutospacing="1" w:after="100" w:afterAutospacing="1" w:line="240" w:lineRule="auto"/>
    </w:pPr>
    <w:rPr>
      <w:rFonts w:eastAsia="Times New Roman"/>
    </w:rPr>
  </w:style>
  <w:style w:type="character" w:customStyle="1" w:styleId="sspagshow">
    <w:name w:val="ss_pag_show"/>
    <w:basedOn w:val="DefaultParagraphFont"/>
    <w:rsid w:val="00BF1368"/>
  </w:style>
  <w:style w:type="character" w:customStyle="1" w:styleId="sssh">
    <w:name w:val="ss_sh"/>
    <w:basedOn w:val="DefaultParagraphFont"/>
    <w:rsid w:val="006A5601"/>
  </w:style>
  <w:style w:type="character" w:customStyle="1" w:styleId="sspagshow1">
    <w:name w:val="ss_pag_show1"/>
    <w:basedOn w:val="DefaultParagraphFont"/>
    <w:rsid w:val="006A5601"/>
    <w:rPr>
      <w:b/>
      <w:bCs/>
    </w:rPr>
  </w:style>
  <w:style w:type="character" w:customStyle="1" w:styleId="ssit1">
    <w:name w:val="ss_it1"/>
    <w:basedOn w:val="DefaultParagraphFont"/>
    <w:rsid w:val="006A5601"/>
    <w:rPr>
      <w:i/>
      <w:iCs/>
    </w:rPr>
  </w:style>
  <w:style w:type="character" w:customStyle="1" w:styleId="Heading3Char">
    <w:name w:val="Heading 3 Char"/>
    <w:basedOn w:val="DefaultParagraphFont"/>
    <w:link w:val="Heading3"/>
    <w:uiPriority w:val="9"/>
    <w:semiHidden/>
    <w:rsid w:val="00553D9A"/>
    <w:rPr>
      <w:rFonts w:ascii="Times New Roman Bold" w:eastAsiaTheme="majorEastAsia" w:hAnsi="Times New Roman Bold" w:cstheme="majorBidi"/>
      <w:b/>
      <w:bCs/>
    </w:rPr>
  </w:style>
  <w:style w:type="paragraph" w:styleId="TOC1">
    <w:name w:val="toc 1"/>
    <w:basedOn w:val="Normal"/>
    <w:next w:val="Normal"/>
    <w:autoRedefine/>
    <w:uiPriority w:val="39"/>
    <w:unhideWhenUsed/>
    <w:qFormat/>
    <w:rsid w:val="00553D9A"/>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553D9A"/>
    <w:pPr>
      <w:tabs>
        <w:tab w:val="decimal" w:leader="dot" w:pos="8640"/>
      </w:tabs>
      <w:spacing w:after="240" w:line="240" w:lineRule="auto"/>
      <w:ind w:left="1440" w:hanging="720"/>
    </w:pPr>
  </w:style>
  <w:style w:type="paragraph" w:styleId="TOC3">
    <w:name w:val="toc 3"/>
    <w:basedOn w:val="Normal"/>
    <w:next w:val="Normal"/>
    <w:autoRedefine/>
    <w:uiPriority w:val="39"/>
    <w:semiHidden/>
    <w:unhideWhenUsed/>
    <w:qFormat/>
    <w:rsid w:val="00553D9A"/>
    <w:pPr>
      <w:tabs>
        <w:tab w:val="decimal" w:leader="dot" w:pos="8640"/>
      </w:tabs>
      <w:spacing w:after="240" w:line="240" w:lineRule="auto"/>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148314">
      <w:bodyDiv w:val="1"/>
      <w:marLeft w:val="0"/>
      <w:marRight w:val="0"/>
      <w:marTop w:val="0"/>
      <w:marBottom w:val="0"/>
      <w:divBdr>
        <w:top w:val="none" w:sz="0" w:space="0" w:color="auto"/>
        <w:left w:val="none" w:sz="0" w:space="0" w:color="auto"/>
        <w:bottom w:val="none" w:sz="0" w:space="0" w:color="auto"/>
        <w:right w:val="none" w:sz="0" w:space="0" w:color="auto"/>
      </w:divBdr>
    </w:div>
    <w:div w:id="602419558">
      <w:bodyDiv w:val="1"/>
      <w:marLeft w:val="0"/>
      <w:marRight w:val="0"/>
      <w:marTop w:val="0"/>
      <w:marBottom w:val="0"/>
      <w:divBdr>
        <w:top w:val="none" w:sz="0" w:space="0" w:color="auto"/>
        <w:left w:val="none" w:sz="0" w:space="0" w:color="auto"/>
        <w:bottom w:val="none" w:sz="0" w:space="0" w:color="auto"/>
        <w:right w:val="none" w:sz="0" w:space="0" w:color="auto"/>
      </w:divBdr>
    </w:div>
    <w:div w:id="883717717">
      <w:bodyDiv w:val="1"/>
      <w:marLeft w:val="0"/>
      <w:marRight w:val="0"/>
      <w:marTop w:val="0"/>
      <w:marBottom w:val="0"/>
      <w:divBdr>
        <w:top w:val="none" w:sz="0" w:space="0" w:color="auto"/>
        <w:left w:val="none" w:sz="0" w:space="0" w:color="auto"/>
        <w:bottom w:val="none" w:sz="0" w:space="0" w:color="auto"/>
        <w:right w:val="none" w:sz="0" w:space="0" w:color="auto"/>
      </w:divBdr>
    </w:div>
    <w:div w:id="902830962">
      <w:bodyDiv w:val="1"/>
      <w:marLeft w:val="0"/>
      <w:marRight w:val="0"/>
      <w:marTop w:val="0"/>
      <w:marBottom w:val="0"/>
      <w:divBdr>
        <w:top w:val="none" w:sz="0" w:space="0" w:color="auto"/>
        <w:left w:val="none" w:sz="0" w:space="0" w:color="auto"/>
        <w:bottom w:val="none" w:sz="0" w:space="0" w:color="auto"/>
        <w:right w:val="none" w:sz="0" w:space="0" w:color="auto"/>
      </w:divBdr>
    </w:div>
    <w:div w:id="1011563526">
      <w:bodyDiv w:val="1"/>
      <w:marLeft w:val="0"/>
      <w:marRight w:val="0"/>
      <w:marTop w:val="0"/>
      <w:marBottom w:val="0"/>
      <w:divBdr>
        <w:top w:val="none" w:sz="0" w:space="0" w:color="auto"/>
        <w:left w:val="none" w:sz="0" w:space="0" w:color="auto"/>
        <w:bottom w:val="none" w:sz="0" w:space="0" w:color="auto"/>
        <w:right w:val="none" w:sz="0" w:space="0" w:color="auto"/>
      </w:divBdr>
    </w:div>
    <w:div w:id="1063219592">
      <w:bodyDiv w:val="1"/>
      <w:marLeft w:val="0"/>
      <w:marRight w:val="0"/>
      <w:marTop w:val="0"/>
      <w:marBottom w:val="0"/>
      <w:divBdr>
        <w:top w:val="none" w:sz="0" w:space="0" w:color="auto"/>
        <w:left w:val="none" w:sz="0" w:space="0" w:color="auto"/>
        <w:bottom w:val="none" w:sz="0" w:space="0" w:color="auto"/>
        <w:right w:val="none" w:sz="0" w:space="0" w:color="auto"/>
      </w:divBdr>
    </w:div>
    <w:div w:id="19858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jko@carpenterlipps.com" TargetMode="External"/><Relationship Id="rId13" Type="http://schemas.openxmlformats.org/officeDocument/2006/relationships/footer" Target="footer2.xml"/><Relationship Id="rId18" Type="http://schemas.openxmlformats.org/officeDocument/2006/relationships/hyperlink" Target="mailto:bojko@carpenterlipps.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Elizabeth.watts@duke-energy.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Amy.Spiller@duke-energy.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Bryce.McKenney@puc.state.oh.us" TargetMode="External"/><Relationship Id="rId10" Type="http://schemas.openxmlformats.org/officeDocument/2006/relationships/header" Target="header1.xml"/><Relationship Id="rId19" Type="http://schemas.openxmlformats.org/officeDocument/2006/relationships/hyperlink" Target="mailto:nmorgan@lascinti.org" TargetMode="External"/><Relationship Id="rId4" Type="http://schemas.openxmlformats.org/officeDocument/2006/relationships/settings" Target="settings.xml"/><Relationship Id="rId9" Type="http://schemas.openxmlformats.org/officeDocument/2006/relationships/hyperlink" Target="mailto:nmorgan@lascinti.org" TargetMode="External"/><Relationship Id="rId14" Type="http://schemas.openxmlformats.org/officeDocument/2006/relationships/header" Target="header3.xml"/><Relationship Id="rId22" Type="http://schemas.openxmlformats.org/officeDocument/2006/relationships/hyperlink" Target="mailto:William.wright@puc.state.oh.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2702</Words>
  <Characters>15354</Characters>
  <Application>Microsoft Office Word</Application>
  <DocSecurity>0</DocSecurity>
  <PresentationFormat/>
  <Lines>392</Lines>
  <Paragraphs>164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18192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2015-10-06T19:40:00Z</cp:lastPrinted>
  <dcterms:created xsi:type="dcterms:W3CDTF">2015-10-23T20:37:00Z</dcterms:created>
  <dcterms:modified xsi:type="dcterms:W3CDTF">2015-10-23T20:37:00Z</dcterms:modified>
  <cp:category> </cp:category>
  <cp:contentStatus> </cp:contentStatus>
</cp:coreProperties>
</file>