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105AD" w:rsidRPr="00B56229" w:rsidP="003105AD" w14:paraId="7255E262" w14:textId="77777777">
      <w:pPr>
        <w:pStyle w:val="Title"/>
        <w:rPr>
          <w:sz w:val="24"/>
          <w:szCs w:val="24"/>
        </w:rPr>
      </w:pPr>
      <w:bookmarkStart w:id="0" w:name="_GoBack"/>
      <w:bookmarkEnd w:id="0"/>
      <w:r w:rsidRPr="00B56229">
        <w:rPr>
          <w:sz w:val="24"/>
          <w:szCs w:val="24"/>
        </w:rPr>
        <w:t>BEFORE</w:t>
      </w:r>
    </w:p>
    <w:p w:rsidR="003105AD" w:rsidRPr="00B56229" w:rsidP="003105AD" w14:paraId="63DAAF81" w14:textId="77777777">
      <w:pPr>
        <w:jc w:val="center"/>
        <w:rPr>
          <w:rFonts w:ascii="Times New Roman" w:hAnsi="Times New Roman" w:cs="Times New Roman"/>
          <w:b/>
          <w:sz w:val="24"/>
          <w:szCs w:val="24"/>
        </w:rPr>
      </w:pPr>
      <w:r w:rsidRPr="00B56229">
        <w:rPr>
          <w:rFonts w:ascii="Times New Roman" w:hAnsi="Times New Roman" w:cs="Times New Roman"/>
          <w:b/>
          <w:sz w:val="24"/>
          <w:szCs w:val="24"/>
        </w:rPr>
        <w:t>THE PUBLIC UTILITIES COMMISSION OF OHIO</w:t>
      </w:r>
    </w:p>
    <w:tbl>
      <w:tblPr>
        <w:tblW w:w="8928" w:type="dxa"/>
        <w:tblLook w:val="01E0"/>
      </w:tblPr>
      <w:tblGrid>
        <w:gridCol w:w="4332"/>
        <w:gridCol w:w="360"/>
        <w:gridCol w:w="4236"/>
      </w:tblGrid>
      <w:tr w14:paraId="133579F8" w14:textId="77777777" w:rsidTr="00EA604C">
        <w:tblPrEx>
          <w:tblW w:w="8928" w:type="dxa"/>
          <w:tblLook w:val="01E0"/>
        </w:tblPrEx>
        <w:trPr>
          <w:trHeight w:val="807"/>
        </w:trPr>
        <w:tc>
          <w:tcPr>
            <w:tcW w:w="4332" w:type="dxa"/>
            <w:shd w:val="clear" w:color="auto" w:fill="auto"/>
          </w:tcPr>
          <w:p w:rsidR="003105AD" w:rsidRPr="00B56229" w:rsidP="00EA604C" w14:paraId="578BC2E6"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B56229">
              <w:rPr>
                <w:rFonts w:ascii="Times New Roman" w:eastAsia="Courier New" w:hAnsi="Times New Roman" w:cs="Times New Roman"/>
                <w:sz w:val="24"/>
                <w:szCs w:val="24"/>
              </w:rPr>
              <w:t>In the Matter of the Review of the Commission’s Review of its Rules for Electrical Safety and Service Standards Contained in Chapter 4901:1-10 of the Ohio Administrative Code.</w:t>
            </w:r>
          </w:p>
          <w:p w:rsidR="003105AD" w:rsidRPr="00B56229" w:rsidP="00EA604C" w14:paraId="27C0E5FF"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c>
          <w:tcPr>
            <w:tcW w:w="360" w:type="dxa"/>
            <w:shd w:val="clear" w:color="auto" w:fill="auto"/>
          </w:tcPr>
          <w:p w:rsidR="003105AD" w:rsidRPr="00B56229" w:rsidP="00EA604C" w14:paraId="2E44257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56229">
              <w:rPr>
                <w:rFonts w:ascii="Times New Roman" w:eastAsia="Courier New" w:hAnsi="Times New Roman" w:cs="Times New Roman"/>
                <w:sz w:val="24"/>
                <w:szCs w:val="24"/>
              </w:rPr>
              <w:t>)</w:t>
            </w:r>
          </w:p>
          <w:p w:rsidR="003105AD" w:rsidRPr="00B56229" w:rsidP="00EA604C" w14:paraId="075DA75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56229">
              <w:rPr>
                <w:rFonts w:ascii="Times New Roman" w:eastAsia="Courier New" w:hAnsi="Times New Roman" w:cs="Times New Roman"/>
                <w:sz w:val="24"/>
                <w:szCs w:val="24"/>
              </w:rPr>
              <w:t>)</w:t>
            </w:r>
          </w:p>
          <w:p w:rsidR="003105AD" w:rsidRPr="00B56229" w:rsidP="00EA604C" w14:paraId="2EEA548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B56229">
              <w:rPr>
                <w:rFonts w:ascii="Times New Roman" w:eastAsia="Courier New" w:hAnsi="Times New Roman" w:cs="Times New Roman"/>
                <w:sz w:val="24"/>
                <w:szCs w:val="24"/>
              </w:rPr>
              <w:t>)</w:t>
            </w:r>
          </w:p>
          <w:p w:rsidR="003105AD" w:rsidRPr="00B56229" w:rsidP="00EA604C" w14:paraId="6EBAA72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B56229">
              <w:rPr>
                <w:rFonts w:ascii="Times New Roman" w:eastAsia="Courier New" w:hAnsi="Times New Roman" w:cs="Times New Roman"/>
                <w:sz w:val="24"/>
                <w:szCs w:val="24"/>
              </w:rPr>
              <w:t>)</w:t>
            </w:r>
          </w:p>
          <w:p w:rsidR="003105AD" w:rsidRPr="00B56229" w:rsidP="00EA604C" w14:paraId="09AB354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56229">
              <w:rPr>
                <w:rFonts w:ascii="Times New Roman" w:eastAsia="Courier New" w:hAnsi="Times New Roman" w:cs="Times New Roman"/>
                <w:sz w:val="24"/>
                <w:szCs w:val="24"/>
              </w:rPr>
              <w:t>)</w:t>
            </w:r>
          </w:p>
        </w:tc>
        <w:tc>
          <w:tcPr>
            <w:tcW w:w="4236" w:type="dxa"/>
            <w:shd w:val="clear" w:color="auto" w:fill="auto"/>
          </w:tcPr>
          <w:p w:rsidR="003105AD" w:rsidRPr="00B56229" w:rsidP="00EA604C" w14:paraId="08286C0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3105AD" w:rsidRPr="00B56229" w:rsidP="00EA604C" w14:paraId="11C4B34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56229">
              <w:rPr>
                <w:rFonts w:ascii="Times New Roman" w:eastAsia="Courier New" w:hAnsi="Times New Roman" w:cs="Times New Roman"/>
                <w:sz w:val="24"/>
                <w:szCs w:val="24"/>
              </w:rPr>
              <w:t>Case No. 17-1842-EL-ORD</w:t>
            </w:r>
          </w:p>
          <w:p w:rsidR="003105AD" w:rsidRPr="00B56229" w:rsidP="00EA604C" w14:paraId="421DFB10"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rsidR="003105AD" w:rsidRPr="00B56229" w:rsidP="003105AD" w14:paraId="0594DAD1" w14:textId="77777777">
      <w:pPr>
        <w:pBdr>
          <w:top w:val="single" w:sz="12" w:space="1" w:color="auto"/>
        </w:pBdr>
        <w:rPr>
          <w:rFonts w:ascii="Times New Roman" w:hAnsi="Times New Roman" w:cs="Times New Roman"/>
          <w:sz w:val="24"/>
          <w:szCs w:val="24"/>
        </w:rPr>
      </w:pPr>
    </w:p>
    <w:p w:rsidR="003105AD" w:rsidRPr="00B56229" w:rsidP="003105AD" w14:paraId="3A9B2E7C" w14:textId="77777777">
      <w:pPr>
        <w:pBdr>
          <w:bottom w:val="single" w:sz="12" w:space="1" w:color="auto"/>
        </w:pBdr>
        <w:spacing w:after="0" w:line="240" w:lineRule="auto"/>
        <w:jc w:val="center"/>
        <w:rPr>
          <w:rFonts w:ascii="Times New Roman" w:hAnsi="Times New Roman" w:cs="Times New Roman"/>
          <w:b/>
          <w:bCs/>
          <w:sz w:val="24"/>
          <w:szCs w:val="24"/>
        </w:rPr>
      </w:pPr>
      <w:r w:rsidRPr="00B56229">
        <w:rPr>
          <w:rFonts w:ascii="Times New Roman" w:hAnsi="Times New Roman" w:cs="Times New Roman"/>
          <w:b/>
          <w:bCs/>
          <w:sz w:val="24"/>
          <w:szCs w:val="24"/>
        </w:rPr>
        <w:t xml:space="preserve">MEMORANDUM CONTRA APPLICATIONS FOR REHEARING </w:t>
      </w:r>
    </w:p>
    <w:p w:rsidR="003105AD" w:rsidRPr="00B56229" w:rsidP="003105AD" w14:paraId="6E532B7A" w14:textId="77777777">
      <w:pPr>
        <w:pBdr>
          <w:bottom w:val="single" w:sz="12" w:space="1" w:color="auto"/>
        </w:pBdr>
        <w:spacing w:after="0" w:line="240" w:lineRule="auto"/>
        <w:jc w:val="center"/>
        <w:rPr>
          <w:rFonts w:ascii="Times New Roman" w:hAnsi="Times New Roman" w:cs="Times New Roman"/>
          <w:b/>
          <w:bCs/>
          <w:sz w:val="24"/>
          <w:szCs w:val="24"/>
        </w:rPr>
      </w:pPr>
      <w:r w:rsidRPr="00B56229">
        <w:rPr>
          <w:rFonts w:ascii="Times New Roman" w:hAnsi="Times New Roman" w:cs="Times New Roman"/>
          <w:b/>
          <w:bCs/>
          <w:sz w:val="24"/>
          <w:szCs w:val="24"/>
        </w:rPr>
        <w:t>BY</w:t>
      </w:r>
    </w:p>
    <w:p w:rsidR="003105AD" w:rsidRPr="00B56229" w:rsidP="003105AD" w14:paraId="07B7DEC3" w14:textId="77777777">
      <w:pPr>
        <w:pBdr>
          <w:bottom w:val="single" w:sz="12" w:space="1" w:color="auto"/>
        </w:pBdr>
        <w:spacing w:after="0" w:line="240" w:lineRule="auto"/>
        <w:jc w:val="center"/>
        <w:rPr>
          <w:rFonts w:ascii="Times New Roman" w:hAnsi="Times New Roman" w:cs="Times New Roman"/>
          <w:b/>
          <w:bCs/>
          <w:sz w:val="24"/>
          <w:szCs w:val="24"/>
        </w:rPr>
      </w:pPr>
      <w:r w:rsidRPr="00B56229">
        <w:rPr>
          <w:rFonts w:ascii="Times New Roman" w:hAnsi="Times New Roman" w:cs="Times New Roman"/>
          <w:b/>
          <w:bCs/>
          <w:sz w:val="24"/>
          <w:szCs w:val="24"/>
        </w:rPr>
        <w:t>THE OFFICE OF THE OHIO CONSUMERS’ COUNSEL</w:t>
      </w:r>
    </w:p>
    <w:p w:rsidR="003105AD" w:rsidRPr="00B56229" w:rsidP="003105AD" w14:paraId="33E980A2" w14:textId="77777777">
      <w:pPr>
        <w:pBdr>
          <w:bottom w:val="single" w:sz="12" w:space="1" w:color="auto"/>
        </w:pBdr>
        <w:jc w:val="center"/>
        <w:rPr>
          <w:rFonts w:ascii="Times New Roman" w:hAnsi="Times New Roman" w:cs="Times New Roman"/>
          <w:b/>
          <w:bCs/>
          <w:sz w:val="24"/>
          <w:szCs w:val="24"/>
        </w:rPr>
      </w:pPr>
    </w:p>
    <w:p w:rsidR="003105AD" w:rsidP="00E97B42" w14:paraId="1FC39D47" w14:textId="77777777">
      <w:pPr>
        <w:pStyle w:val="Title"/>
        <w:rPr>
          <w:sz w:val="24"/>
          <w:szCs w:val="24"/>
        </w:rPr>
      </w:pPr>
    </w:p>
    <w:p w:rsidR="003105AD" w:rsidP="00E97B42" w14:paraId="6A3CCEBE" w14:textId="77777777">
      <w:pPr>
        <w:pStyle w:val="Title"/>
        <w:rPr>
          <w:sz w:val="24"/>
          <w:szCs w:val="24"/>
        </w:rPr>
      </w:pPr>
    </w:p>
    <w:p w:rsidR="003105AD" w:rsidP="00E97B42" w14:paraId="1D77FDB5" w14:textId="77777777">
      <w:pPr>
        <w:pStyle w:val="Title"/>
        <w:rPr>
          <w:sz w:val="24"/>
          <w:szCs w:val="24"/>
        </w:rPr>
      </w:pPr>
    </w:p>
    <w:p w:rsidR="003105AD" w:rsidP="00E97B42" w14:paraId="5EE94914" w14:textId="77777777">
      <w:pPr>
        <w:pStyle w:val="Title"/>
        <w:rPr>
          <w:sz w:val="24"/>
          <w:szCs w:val="24"/>
        </w:rPr>
      </w:pPr>
    </w:p>
    <w:p w:rsidR="003105AD" w:rsidP="003105AD" w14:paraId="678CE89E" w14:textId="77777777">
      <w:pPr>
        <w:pStyle w:val="Footer"/>
        <w:tabs>
          <w:tab w:val="left" w:pos="4320"/>
        </w:tabs>
        <w:ind w:left="3600"/>
        <w:rPr>
          <w:rFonts w:ascii="Times New Roman" w:hAnsi="Times New Roman" w:cs="Times New Roman"/>
          <w:sz w:val="24"/>
          <w:szCs w:val="24"/>
        </w:rPr>
      </w:pPr>
    </w:p>
    <w:p w:rsidR="003105AD" w:rsidP="003105AD" w14:paraId="546579C2" w14:textId="77777777">
      <w:pPr>
        <w:pStyle w:val="Footer"/>
        <w:tabs>
          <w:tab w:val="left" w:pos="4320"/>
        </w:tabs>
        <w:ind w:left="3600"/>
        <w:rPr>
          <w:rFonts w:ascii="Times New Roman" w:hAnsi="Times New Roman" w:cs="Times New Roman"/>
          <w:sz w:val="24"/>
          <w:szCs w:val="24"/>
        </w:rPr>
      </w:pPr>
    </w:p>
    <w:p w:rsidR="003105AD" w:rsidP="003105AD" w14:paraId="26B5F99A" w14:textId="77777777">
      <w:pPr>
        <w:pStyle w:val="Footer"/>
        <w:tabs>
          <w:tab w:val="left" w:pos="4320"/>
        </w:tabs>
        <w:ind w:left="3600"/>
        <w:rPr>
          <w:rFonts w:ascii="Times New Roman" w:hAnsi="Times New Roman" w:cs="Times New Roman"/>
          <w:sz w:val="24"/>
          <w:szCs w:val="24"/>
        </w:rPr>
      </w:pPr>
    </w:p>
    <w:p w:rsidR="003105AD" w:rsidP="003105AD" w14:paraId="4C9DBE6C" w14:textId="77777777">
      <w:pPr>
        <w:pStyle w:val="Footer"/>
        <w:tabs>
          <w:tab w:val="left" w:pos="4320"/>
        </w:tabs>
        <w:ind w:left="3600"/>
        <w:rPr>
          <w:rFonts w:ascii="Times New Roman" w:hAnsi="Times New Roman" w:cs="Times New Roman"/>
          <w:sz w:val="24"/>
          <w:szCs w:val="24"/>
        </w:rPr>
      </w:pPr>
    </w:p>
    <w:p w:rsidR="003105AD" w:rsidP="003105AD" w14:paraId="22D2E06C" w14:textId="77777777">
      <w:pPr>
        <w:pStyle w:val="Footer"/>
        <w:tabs>
          <w:tab w:val="left" w:pos="4320"/>
        </w:tabs>
        <w:ind w:left="3600"/>
        <w:rPr>
          <w:rFonts w:ascii="Times New Roman" w:hAnsi="Times New Roman" w:cs="Times New Roman"/>
          <w:sz w:val="24"/>
          <w:szCs w:val="24"/>
        </w:rPr>
      </w:pPr>
    </w:p>
    <w:p w:rsidR="003105AD" w:rsidP="003105AD" w14:paraId="67297A82" w14:textId="77777777">
      <w:pPr>
        <w:pStyle w:val="Footer"/>
        <w:tabs>
          <w:tab w:val="left" w:pos="4320"/>
        </w:tabs>
        <w:ind w:left="3600"/>
        <w:rPr>
          <w:rFonts w:ascii="Times New Roman" w:hAnsi="Times New Roman" w:cs="Times New Roman"/>
          <w:sz w:val="24"/>
          <w:szCs w:val="24"/>
        </w:rPr>
      </w:pPr>
    </w:p>
    <w:p w:rsidR="003105AD" w:rsidP="003105AD" w14:paraId="6ACF1DA7" w14:textId="77777777">
      <w:pPr>
        <w:pStyle w:val="Footer"/>
        <w:tabs>
          <w:tab w:val="left" w:pos="4320"/>
        </w:tabs>
        <w:ind w:left="3600"/>
        <w:rPr>
          <w:rFonts w:ascii="Times New Roman" w:hAnsi="Times New Roman" w:cs="Times New Roman"/>
          <w:sz w:val="24"/>
          <w:szCs w:val="24"/>
        </w:rPr>
      </w:pPr>
    </w:p>
    <w:p w:rsidR="003105AD" w:rsidP="003105AD" w14:paraId="7FCA6ABA" w14:textId="77777777">
      <w:pPr>
        <w:pStyle w:val="Footer"/>
        <w:tabs>
          <w:tab w:val="left" w:pos="4320"/>
        </w:tabs>
        <w:ind w:left="3600"/>
        <w:rPr>
          <w:rFonts w:ascii="Times New Roman" w:hAnsi="Times New Roman" w:cs="Times New Roman"/>
          <w:sz w:val="24"/>
          <w:szCs w:val="24"/>
        </w:rPr>
      </w:pPr>
    </w:p>
    <w:p w:rsidR="003105AD" w:rsidRPr="00B56229" w:rsidP="003105AD" w14:paraId="6038D524" w14:textId="26B16DB4">
      <w:pPr>
        <w:pStyle w:val="Footer"/>
        <w:tabs>
          <w:tab w:val="left" w:pos="4320"/>
        </w:tabs>
        <w:ind w:left="3600"/>
        <w:rPr>
          <w:rFonts w:ascii="Times New Roman" w:hAnsi="Times New Roman" w:cs="Times New Roman"/>
          <w:sz w:val="24"/>
          <w:szCs w:val="24"/>
        </w:rPr>
      </w:pPr>
      <w:r w:rsidRPr="00B56229">
        <w:rPr>
          <w:rFonts w:ascii="Times New Roman" w:hAnsi="Times New Roman" w:cs="Times New Roman"/>
          <w:sz w:val="24"/>
          <w:szCs w:val="24"/>
        </w:rPr>
        <w:t>Bruce Weston (#0016973)</w:t>
      </w:r>
    </w:p>
    <w:p w:rsidR="003105AD" w:rsidRPr="00B56229" w:rsidP="003105AD" w14:paraId="7F55A250" w14:textId="77777777">
      <w:pPr>
        <w:pStyle w:val="ListParagraph"/>
        <w:tabs>
          <w:tab w:val="left" w:pos="4320"/>
        </w:tabs>
        <w:ind w:left="3600"/>
      </w:pPr>
      <w:r w:rsidRPr="00B56229">
        <w:t>Ohio Consumers’ Counsel</w:t>
      </w:r>
    </w:p>
    <w:p w:rsidR="003105AD" w:rsidRPr="00B56229" w:rsidP="003105AD" w14:paraId="1340C7E8" w14:textId="77777777">
      <w:pPr>
        <w:pStyle w:val="ListParagraph"/>
        <w:tabs>
          <w:tab w:val="left" w:pos="4320"/>
        </w:tabs>
        <w:ind w:left="3600"/>
      </w:pPr>
      <w:r w:rsidRPr="00B56229">
        <w:tab/>
      </w:r>
    </w:p>
    <w:p w:rsidR="003105AD" w:rsidRPr="00B56229" w:rsidP="003105AD" w14:paraId="7409B96B" w14:textId="77777777">
      <w:pPr>
        <w:pStyle w:val="ListParagraph"/>
        <w:tabs>
          <w:tab w:val="left" w:pos="4320"/>
        </w:tabs>
        <w:ind w:left="3600"/>
      </w:pPr>
      <w:r w:rsidRPr="00B56229">
        <w:t>Amy Botschner O’Brien (0074423)</w:t>
      </w:r>
    </w:p>
    <w:p w:rsidR="003105AD" w:rsidRPr="00B56229" w:rsidP="003105AD" w14:paraId="341B2A25" w14:textId="77777777">
      <w:pPr>
        <w:pStyle w:val="ListParagraph"/>
        <w:tabs>
          <w:tab w:val="left" w:pos="4320"/>
        </w:tabs>
        <w:ind w:left="3600"/>
      </w:pPr>
      <w:r w:rsidRPr="00B56229">
        <w:t>Counsel of Record</w:t>
      </w:r>
    </w:p>
    <w:p w:rsidR="003105AD" w:rsidRPr="00B56229" w:rsidP="003105AD" w14:paraId="112C930E" w14:textId="77777777">
      <w:pPr>
        <w:pStyle w:val="ListParagraph"/>
        <w:tabs>
          <w:tab w:val="left" w:pos="4320"/>
        </w:tabs>
        <w:ind w:left="3600"/>
      </w:pPr>
      <w:r w:rsidRPr="00B56229">
        <w:t>Assistant Consumers’ Counsel</w:t>
      </w:r>
    </w:p>
    <w:p w:rsidR="003105AD" w:rsidRPr="00B56229" w:rsidP="003105AD" w14:paraId="761229BE" w14:textId="77777777">
      <w:pPr>
        <w:tabs>
          <w:tab w:val="left" w:pos="4320"/>
        </w:tabs>
        <w:spacing w:after="0" w:line="240" w:lineRule="auto"/>
        <w:ind w:left="3600"/>
        <w:rPr>
          <w:rFonts w:ascii="Times New Roman" w:hAnsi="Times New Roman" w:cs="Times New Roman"/>
          <w:sz w:val="24"/>
          <w:szCs w:val="24"/>
        </w:rPr>
      </w:pPr>
      <w:r w:rsidRPr="00B56229">
        <w:rPr>
          <w:rFonts w:ascii="Times New Roman" w:hAnsi="Times New Roman" w:cs="Times New Roman"/>
          <w:sz w:val="24"/>
          <w:szCs w:val="24"/>
        </w:rPr>
        <w:tab/>
      </w:r>
      <w:r w:rsidRPr="00B56229">
        <w:rPr>
          <w:rFonts w:ascii="Times New Roman" w:hAnsi="Times New Roman" w:cs="Times New Roman"/>
          <w:sz w:val="24"/>
          <w:szCs w:val="24"/>
        </w:rPr>
        <w:tab/>
      </w:r>
      <w:r w:rsidRPr="00B56229">
        <w:rPr>
          <w:rFonts w:ascii="Times New Roman" w:hAnsi="Times New Roman" w:cs="Times New Roman"/>
          <w:sz w:val="24"/>
          <w:szCs w:val="24"/>
        </w:rPr>
        <w:tab/>
      </w:r>
      <w:r w:rsidRPr="00B56229">
        <w:rPr>
          <w:rFonts w:ascii="Times New Roman" w:hAnsi="Times New Roman" w:cs="Times New Roman"/>
          <w:sz w:val="24"/>
          <w:szCs w:val="24"/>
        </w:rPr>
        <w:tab/>
      </w:r>
      <w:r w:rsidRPr="00B56229">
        <w:rPr>
          <w:rFonts w:ascii="Times New Roman" w:hAnsi="Times New Roman" w:cs="Times New Roman"/>
          <w:sz w:val="24"/>
          <w:szCs w:val="24"/>
        </w:rPr>
        <w:tab/>
      </w:r>
      <w:r w:rsidRPr="00B56229">
        <w:rPr>
          <w:rFonts w:ascii="Times New Roman" w:hAnsi="Times New Roman" w:cs="Times New Roman"/>
          <w:sz w:val="24"/>
          <w:szCs w:val="24"/>
        </w:rPr>
        <w:tab/>
      </w:r>
    </w:p>
    <w:p w:rsidR="003105AD" w:rsidRPr="00B56229" w:rsidP="003105AD" w14:paraId="31D85DED" w14:textId="77777777">
      <w:pPr>
        <w:spacing w:after="0" w:line="240" w:lineRule="auto"/>
        <w:rPr>
          <w:rFonts w:ascii="Times New Roman" w:hAnsi="Times New Roman" w:cs="Times New Roman"/>
          <w:b/>
          <w:bCs/>
          <w:sz w:val="24"/>
          <w:szCs w:val="24"/>
        </w:rPr>
      </w:pPr>
      <w:r w:rsidRPr="00B56229">
        <w:rPr>
          <w:rFonts w:ascii="Times New Roman" w:hAnsi="Times New Roman" w:cs="Times New Roman"/>
          <w:b/>
          <w:bCs/>
          <w:sz w:val="24"/>
          <w:szCs w:val="24"/>
        </w:rPr>
        <w:tab/>
      </w:r>
      <w:r w:rsidRPr="00B56229">
        <w:rPr>
          <w:rFonts w:ascii="Times New Roman" w:hAnsi="Times New Roman" w:cs="Times New Roman"/>
          <w:b/>
          <w:bCs/>
          <w:sz w:val="24"/>
          <w:szCs w:val="24"/>
        </w:rPr>
        <w:tab/>
      </w:r>
      <w:r w:rsidRPr="00B56229">
        <w:rPr>
          <w:rFonts w:ascii="Times New Roman" w:hAnsi="Times New Roman" w:cs="Times New Roman"/>
          <w:b/>
          <w:bCs/>
          <w:sz w:val="24"/>
          <w:szCs w:val="24"/>
        </w:rPr>
        <w:tab/>
      </w:r>
      <w:r w:rsidRPr="00B56229">
        <w:rPr>
          <w:rFonts w:ascii="Times New Roman" w:hAnsi="Times New Roman" w:cs="Times New Roman"/>
          <w:b/>
          <w:bCs/>
          <w:sz w:val="24"/>
          <w:szCs w:val="24"/>
        </w:rPr>
        <w:tab/>
      </w:r>
      <w:r w:rsidRPr="00B56229">
        <w:rPr>
          <w:rFonts w:ascii="Times New Roman" w:hAnsi="Times New Roman" w:cs="Times New Roman"/>
          <w:b/>
          <w:bCs/>
          <w:sz w:val="24"/>
          <w:szCs w:val="24"/>
        </w:rPr>
        <w:tab/>
        <w:t>Office of the Ohio Consumers’ Counsel</w:t>
      </w:r>
    </w:p>
    <w:p w:rsidR="003105AD" w:rsidRPr="00B56229" w:rsidP="003105AD" w14:paraId="54982955" w14:textId="77777777">
      <w:pPr>
        <w:tabs>
          <w:tab w:val="left" w:pos="4320"/>
        </w:tabs>
        <w:spacing w:after="0" w:line="240" w:lineRule="auto"/>
        <w:ind w:left="3600"/>
        <w:rPr>
          <w:rFonts w:ascii="Times New Roman" w:hAnsi="Times New Roman" w:cs="Times New Roman"/>
          <w:sz w:val="24"/>
          <w:szCs w:val="24"/>
        </w:rPr>
      </w:pPr>
      <w:r w:rsidRPr="00B56229">
        <w:rPr>
          <w:rFonts w:ascii="Times New Roman" w:hAnsi="Times New Roman" w:cs="Times New Roman"/>
          <w:sz w:val="24"/>
          <w:szCs w:val="24"/>
        </w:rPr>
        <w:t>65 East State Street, 7</w:t>
      </w:r>
      <w:r w:rsidRPr="00B56229">
        <w:rPr>
          <w:rFonts w:ascii="Times New Roman" w:hAnsi="Times New Roman" w:cs="Times New Roman"/>
          <w:sz w:val="24"/>
          <w:szCs w:val="24"/>
          <w:vertAlign w:val="superscript"/>
        </w:rPr>
        <w:t>th</w:t>
      </w:r>
      <w:r w:rsidRPr="00B56229">
        <w:rPr>
          <w:rFonts w:ascii="Times New Roman" w:hAnsi="Times New Roman" w:cs="Times New Roman"/>
          <w:sz w:val="24"/>
          <w:szCs w:val="24"/>
        </w:rPr>
        <w:t xml:space="preserve"> Floor</w:t>
      </w:r>
    </w:p>
    <w:p w:rsidR="003105AD" w:rsidRPr="00B56229" w:rsidP="003105AD" w14:paraId="6C7692B8" w14:textId="77777777">
      <w:pPr>
        <w:tabs>
          <w:tab w:val="left" w:pos="4320"/>
        </w:tabs>
        <w:spacing w:after="0" w:line="240" w:lineRule="auto"/>
        <w:ind w:left="3600"/>
        <w:rPr>
          <w:rFonts w:ascii="Times New Roman" w:hAnsi="Times New Roman" w:cs="Times New Roman"/>
          <w:sz w:val="24"/>
          <w:szCs w:val="24"/>
        </w:rPr>
      </w:pPr>
      <w:r w:rsidRPr="00B56229">
        <w:rPr>
          <w:rFonts w:ascii="Times New Roman" w:hAnsi="Times New Roman" w:cs="Times New Roman"/>
          <w:sz w:val="24"/>
          <w:szCs w:val="24"/>
        </w:rPr>
        <w:t>Columbus, Ohio 43215</w:t>
      </w:r>
    </w:p>
    <w:p w:rsidR="003105AD" w:rsidRPr="00B56229" w:rsidP="003105AD" w14:paraId="1BE78BD1" w14:textId="77777777">
      <w:pPr>
        <w:pStyle w:val="ListParagraph"/>
        <w:tabs>
          <w:tab w:val="left" w:pos="4320"/>
        </w:tabs>
        <w:autoSpaceDE w:val="0"/>
        <w:autoSpaceDN w:val="0"/>
        <w:adjustRightInd w:val="0"/>
        <w:ind w:left="3600"/>
      </w:pPr>
      <w:r w:rsidRPr="00B56229">
        <w:t>Telephone [Botschner O’Brien]: (614) 466-9575</w:t>
      </w:r>
    </w:p>
    <w:p w:rsidR="003105AD" w:rsidRPr="00B56229" w:rsidP="003105AD" w14:paraId="1CEB84DB" w14:textId="77777777">
      <w:pPr>
        <w:pStyle w:val="ListParagraph"/>
        <w:tabs>
          <w:tab w:val="left" w:pos="4320"/>
        </w:tabs>
        <w:autoSpaceDE w:val="0"/>
        <w:autoSpaceDN w:val="0"/>
        <w:adjustRightInd w:val="0"/>
        <w:ind w:left="3600"/>
      </w:pPr>
      <w:hyperlink r:id="rId6" w:history="1">
        <w:r w:rsidRPr="00B56229" w:rsidR="00441654">
          <w:rPr>
            <w:rStyle w:val="Hyperlink"/>
          </w:rPr>
          <w:t>Amy.botschner.obrien@occ.ohio.gov</w:t>
        </w:r>
      </w:hyperlink>
    </w:p>
    <w:p w:rsidR="003105AD" w:rsidP="003105AD" w14:paraId="12547451" w14:textId="136D67B2">
      <w:pPr>
        <w:spacing w:after="0" w:line="240" w:lineRule="auto"/>
        <w:rPr>
          <w:rFonts w:ascii="Times New Roman" w:hAnsi="Times New Roman" w:cs="Times New Roman"/>
          <w:sz w:val="24"/>
          <w:szCs w:val="24"/>
        </w:rPr>
      </w:pPr>
      <w:r>
        <w:rPr>
          <w:rFonts w:ascii="Times New Roman" w:hAnsi="Times New Roman" w:cs="Times New Roman"/>
          <w:sz w:val="24"/>
          <w:szCs w:val="24"/>
        </w:rPr>
        <w:t>April 6,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6229">
        <w:rPr>
          <w:rFonts w:ascii="Times New Roman" w:hAnsi="Times New Roman" w:cs="Times New Roman"/>
          <w:sz w:val="24"/>
          <w:szCs w:val="24"/>
        </w:rPr>
        <w:t>(Willing to accept service by e-mail)</w:t>
      </w:r>
    </w:p>
    <w:p w:rsidR="003105AD" w:rsidP="003105AD" w14:paraId="6AFE6844" w14:textId="77777777">
      <w:pPr>
        <w:spacing w:after="0" w:line="240" w:lineRule="auto"/>
        <w:rPr>
          <w:rFonts w:ascii="Times New Roman" w:hAnsi="Times New Roman" w:cs="Times New Roman"/>
          <w:sz w:val="24"/>
          <w:szCs w:val="24"/>
        </w:rPr>
        <w:sectPr w:rsidSect="00261C9E">
          <w:footerReference w:type="default" r:id="rId7"/>
          <w:pgSz w:w="12240" w:h="15840"/>
          <w:pgMar w:top="1440" w:right="1800" w:bottom="1440" w:left="1800" w:header="720" w:footer="720" w:gutter="0"/>
          <w:cols w:space="720"/>
          <w:docGrid w:linePitch="360"/>
        </w:sectPr>
      </w:pPr>
    </w:p>
    <w:p w:rsidR="003105AD" w:rsidRPr="003105AD" w:rsidP="003105AD" w14:paraId="672FD088" w14:textId="7D85A4F6">
      <w:pPr>
        <w:spacing w:after="0" w:line="240" w:lineRule="auto"/>
        <w:jc w:val="center"/>
        <w:rPr>
          <w:rFonts w:ascii="Times New Roman" w:hAnsi="Times New Roman" w:cs="Times New Roman"/>
          <w:b/>
          <w:bCs/>
          <w:sz w:val="24"/>
          <w:szCs w:val="24"/>
          <w:u w:val="single"/>
        </w:rPr>
      </w:pPr>
      <w:r w:rsidRPr="003105AD">
        <w:rPr>
          <w:rFonts w:ascii="Times New Roman" w:hAnsi="Times New Roman" w:cs="Times New Roman"/>
          <w:b/>
          <w:bCs/>
          <w:sz w:val="24"/>
          <w:szCs w:val="24"/>
          <w:u w:val="single"/>
        </w:rPr>
        <w:t>TABLE OF CONTENTS</w:t>
      </w:r>
    </w:p>
    <w:p w:rsidR="003105AD" w:rsidP="003105AD" w14:paraId="0B165ACB" w14:textId="73A5E719">
      <w:pPr>
        <w:spacing w:after="0" w:line="240" w:lineRule="auto"/>
        <w:jc w:val="center"/>
        <w:rPr>
          <w:rFonts w:ascii="Times New Roman" w:hAnsi="Times New Roman" w:cs="Times New Roman"/>
          <w:sz w:val="24"/>
          <w:szCs w:val="24"/>
        </w:rPr>
      </w:pPr>
    </w:p>
    <w:p w:rsidR="003105AD" w:rsidRPr="003105AD" w:rsidP="003105AD" w14:paraId="3E9FA39E" w14:textId="57E5F3A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05AD">
        <w:rPr>
          <w:rFonts w:ascii="Times New Roman" w:hAnsi="Times New Roman" w:cs="Times New Roman"/>
          <w:b/>
          <w:bCs/>
          <w:sz w:val="24"/>
          <w:szCs w:val="24"/>
        </w:rPr>
        <w:t>PAGE</w:t>
      </w:r>
    </w:p>
    <w:p w:rsidR="003105AD" w:rsidP="003105AD" w14:paraId="2BC21EB2" w14:textId="51206D40">
      <w:pPr>
        <w:spacing w:after="0" w:line="240" w:lineRule="auto"/>
        <w:jc w:val="center"/>
        <w:rPr>
          <w:rFonts w:ascii="Times New Roman" w:hAnsi="Times New Roman" w:cs="Times New Roman"/>
          <w:sz w:val="24"/>
          <w:szCs w:val="24"/>
        </w:rPr>
      </w:pPr>
    </w:p>
    <w:p w:rsidR="006D376E" w14:paraId="60A75E97" w14:textId="16774672">
      <w:pPr>
        <w:pStyle w:val="TOC1"/>
        <w:rPr>
          <w:rFonts w:asciiTheme="minorHAnsi" w:eastAsiaTheme="minorEastAsia" w:hAnsiTheme="minorHAnsi"/>
          <w:caps w:val="0"/>
          <w:noProof/>
          <w:sz w:val="22"/>
        </w:rPr>
      </w:pPr>
      <w:r>
        <w:rPr>
          <w:rFonts w:cs="Times New Roman"/>
          <w:szCs w:val="24"/>
        </w:rPr>
        <w:fldChar w:fldCharType="begin"/>
      </w:r>
      <w:r>
        <w:rPr>
          <w:rFonts w:cs="Times New Roman"/>
          <w:szCs w:val="24"/>
        </w:rPr>
        <w:instrText xml:space="preserve"> TOC \o "1-2" \h \z \u </w:instrText>
      </w:r>
      <w:r>
        <w:rPr>
          <w:rFonts w:cs="Times New Roman"/>
          <w:szCs w:val="24"/>
        </w:rPr>
        <w:fldChar w:fldCharType="separate"/>
      </w:r>
      <w:hyperlink w:anchor="_Toc37084885" w:history="1">
        <w:r w:rsidRPr="00B630B1">
          <w:rPr>
            <w:rStyle w:val="Hyperlink"/>
            <w:noProof/>
          </w:rPr>
          <w:t>I.</w:t>
        </w:r>
        <w:r>
          <w:rPr>
            <w:rFonts w:asciiTheme="minorHAnsi" w:eastAsiaTheme="minorEastAsia" w:hAnsiTheme="minorHAnsi"/>
            <w:caps w:val="0"/>
            <w:noProof/>
            <w:sz w:val="22"/>
          </w:rPr>
          <w:tab/>
        </w:r>
        <w:r w:rsidRPr="00B630B1">
          <w:rPr>
            <w:rStyle w:val="Hyperlink"/>
            <w:noProof/>
          </w:rPr>
          <w:t>INTRODUCTION</w:t>
        </w:r>
        <w:r>
          <w:rPr>
            <w:noProof/>
            <w:webHidden/>
          </w:rPr>
          <w:tab/>
        </w:r>
        <w:r>
          <w:rPr>
            <w:noProof/>
            <w:webHidden/>
          </w:rPr>
          <w:fldChar w:fldCharType="begin"/>
        </w:r>
        <w:r>
          <w:rPr>
            <w:noProof/>
            <w:webHidden/>
          </w:rPr>
          <w:instrText xml:space="preserve"> PAGEREF _Toc37084885 \h </w:instrText>
        </w:r>
        <w:r>
          <w:rPr>
            <w:noProof/>
            <w:webHidden/>
          </w:rPr>
          <w:fldChar w:fldCharType="separate"/>
        </w:r>
        <w:r>
          <w:rPr>
            <w:noProof/>
            <w:webHidden/>
          </w:rPr>
          <w:t>1</w:t>
        </w:r>
        <w:r>
          <w:rPr>
            <w:noProof/>
            <w:webHidden/>
          </w:rPr>
          <w:fldChar w:fldCharType="end"/>
        </w:r>
      </w:hyperlink>
    </w:p>
    <w:p w:rsidR="006D376E" w14:paraId="0FE4A126" w14:textId="1DBEA30D">
      <w:pPr>
        <w:pStyle w:val="TOC1"/>
        <w:rPr>
          <w:rFonts w:asciiTheme="minorHAnsi" w:eastAsiaTheme="minorEastAsia" w:hAnsiTheme="minorHAnsi"/>
          <w:caps w:val="0"/>
          <w:noProof/>
          <w:sz w:val="22"/>
        </w:rPr>
      </w:pPr>
      <w:hyperlink w:anchor="_Toc37084886" w:history="1">
        <w:r w:rsidRPr="00B630B1">
          <w:rPr>
            <w:rStyle w:val="Hyperlink"/>
            <w:noProof/>
          </w:rPr>
          <w:t>II.</w:t>
        </w:r>
        <w:r>
          <w:rPr>
            <w:rFonts w:asciiTheme="minorHAnsi" w:eastAsiaTheme="minorEastAsia" w:hAnsiTheme="minorHAnsi"/>
            <w:caps w:val="0"/>
            <w:noProof/>
            <w:sz w:val="22"/>
          </w:rPr>
          <w:tab/>
        </w:r>
        <w:r w:rsidRPr="00B630B1">
          <w:rPr>
            <w:rStyle w:val="Hyperlink"/>
            <w:noProof/>
          </w:rPr>
          <w:t>ARGUMENT</w:t>
        </w:r>
        <w:r>
          <w:rPr>
            <w:noProof/>
            <w:webHidden/>
          </w:rPr>
          <w:tab/>
        </w:r>
        <w:r>
          <w:rPr>
            <w:noProof/>
            <w:webHidden/>
          </w:rPr>
          <w:fldChar w:fldCharType="begin"/>
        </w:r>
        <w:r>
          <w:rPr>
            <w:noProof/>
            <w:webHidden/>
          </w:rPr>
          <w:instrText xml:space="preserve"> PAGEREF _Toc37084886 \h </w:instrText>
        </w:r>
        <w:r>
          <w:rPr>
            <w:noProof/>
            <w:webHidden/>
          </w:rPr>
          <w:fldChar w:fldCharType="separate"/>
        </w:r>
        <w:r>
          <w:rPr>
            <w:noProof/>
            <w:webHidden/>
          </w:rPr>
          <w:t>3</w:t>
        </w:r>
        <w:r>
          <w:rPr>
            <w:noProof/>
            <w:webHidden/>
          </w:rPr>
          <w:fldChar w:fldCharType="end"/>
        </w:r>
      </w:hyperlink>
    </w:p>
    <w:p w:rsidR="006D376E" w14:paraId="5106DD8F" w14:textId="200E3AB7">
      <w:pPr>
        <w:pStyle w:val="TOC2"/>
        <w:tabs>
          <w:tab w:val="left" w:pos="1440"/>
        </w:tabs>
        <w:rPr>
          <w:rFonts w:asciiTheme="minorHAnsi" w:eastAsiaTheme="minorEastAsia" w:hAnsiTheme="minorHAnsi"/>
          <w:noProof/>
          <w:sz w:val="22"/>
        </w:rPr>
      </w:pPr>
      <w:hyperlink w:anchor="_Toc37084887" w:history="1">
        <w:r w:rsidRPr="00B630B1">
          <w:rPr>
            <w:rStyle w:val="Hyperlink"/>
            <w:rFonts w:cs="Times New Roman"/>
            <w:noProof/>
          </w:rPr>
          <w:t>A.</w:t>
        </w:r>
        <w:r>
          <w:rPr>
            <w:rFonts w:asciiTheme="minorHAnsi" w:eastAsiaTheme="minorEastAsia" w:hAnsiTheme="minorHAnsi"/>
            <w:noProof/>
            <w:sz w:val="22"/>
          </w:rPr>
          <w:tab/>
        </w:r>
        <w:r w:rsidRPr="00B630B1">
          <w:rPr>
            <w:rStyle w:val="Hyperlink"/>
            <w:rFonts w:cs="Times New Roman"/>
            <w:noProof/>
          </w:rPr>
          <w:t>R.C. 4928.10(C)(2) supports the PUCO’s revision to rule 4901:1-10-22(C) that requires electric utilities to maintain an online bill calculator to help consumers understand how their bill is calculated and to protect consumers from billing inaccuracies.</w:t>
        </w:r>
        <w:r>
          <w:rPr>
            <w:noProof/>
            <w:webHidden/>
          </w:rPr>
          <w:tab/>
        </w:r>
        <w:r>
          <w:rPr>
            <w:noProof/>
            <w:webHidden/>
          </w:rPr>
          <w:fldChar w:fldCharType="begin"/>
        </w:r>
        <w:r>
          <w:rPr>
            <w:noProof/>
            <w:webHidden/>
          </w:rPr>
          <w:instrText xml:space="preserve"> PAGEREF _Toc37084887 \h </w:instrText>
        </w:r>
        <w:r>
          <w:rPr>
            <w:noProof/>
            <w:webHidden/>
          </w:rPr>
          <w:fldChar w:fldCharType="separate"/>
        </w:r>
        <w:r>
          <w:rPr>
            <w:noProof/>
            <w:webHidden/>
          </w:rPr>
          <w:t>3</w:t>
        </w:r>
        <w:r>
          <w:rPr>
            <w:noProof/>
            <w:webHidden/>
          </w:rPr>
          <w:fldChar w:fldCharType="end"/>
        </w:r>
      </w:hyperlink>
    </w:p>
    <w:p w:rsidR="006D376E" w14:paraId="0F6E9DFB" w14:textId="6F280CEC">
      <w:pPr>
        <w:pStyle w:val="TOC2"/>
        <w:tabs>
          <w:tab w:val="left" w:pos="1440"/>
        </w:tabs>
        <w:rPr>
          <w:rFonts w:asciiTheme="minorHAnsi" w:eastAsiaTheme="minorEastAsia" w:hAnsiTheme="minorHAnsi"/>
          <w:noProof/>
          <w:sz w:val="22"/>
        </w:rPr>
      </w:pPr>
      <w:hyperlink w:anchor="_Toc37084888" w:history="1">
        <w:r w:rsidRPr="00B630B1">
          <w:rPr>
            <w:rStyle w:val="Hyperlink"/>
            <w:noProof/>
          </w:rPr>
          <w:t>B.</w:t>
        </w:r>
        <w:r>
          <w:rPr>
            <w:rFonts w:asciiTheme="minorHAnsi" w:eastAsiaTheme="minorEastAsia" w:hAnsiTheme="minorHAnsi"/>
            <w:noProof/>
            <w:sz w:val="22"/>
          </w:rPr>
          <w:tab/>
        </w:r>
        <w:r w:rsidRPr="00B630B1">
          <w:rPr>
            <w:rStyle w:val="Hyperlink"/>
            <w:noProof/>
          </w:rPr>
          <w:t>The Order’s finding that EDUs must increase the total number of required actual meter readings per calendar year is reasonable as Ohio transitions to full deployment of AMI technology across most of the EDU service territories.</w:t>
        </w:r>
        <w:r>
          <w:rPr>
            <w:noProof/>
            <w:webHidden/>
          </w:rPr>
          <w:tab/>
        </w:r>
        <w:r>
          <w:rPr>
            <w:noProof/>
            <w:webHidden/>
          </w:rPr>
          <w:fldChar w:fldCharType="begin"/>
        </w:r>
        <w:r>
          <w:rPr>
            <w:noProof/>
            <w:webHidden/>
          </w:rPr>
          <w:instrText xml:space="preserve"> PAGEREF _Toc37084888 \h </w:instrText>
        </w:r>
        <w:r>
          <w:rPr>
            <w:noProof/>
            <w:webHidden/>
          </w:rPr>
          <w:fldChar w:fldCharType="separate"/>
        </w:r>
        <w:r>
          <w:rPr>
            <w:noProof/>
            <w:webHidden/>
          </w:rPr>
          <w:t>6</w:t>
        </w:r>
        <w:r>
          <w:rPr>
            <w:noProof/>
            <w:webHidden/>
          </w:rPr>
          <w:fldChar w:fldCharType="end"/>
        </w:r>
      </w:hyperlink>
    </w:p>
    <w:p w:rsidR="006D376E" w14:paraId="21AF504C" w14:textId="16759D70">
      <w:pPr>
        <w:pStyle w:val="TOC2"/>
        <w:tabs>
          <w:tab w:val="left" w:pos="1440"/>
        </w:tabs>
        <w:rPr>
          <w:rFonts w:asciiTheme="minorHAnsi" w:eastAsiaTheme="minorEastAsia" w:hAnsiTheme="minorHAnsi"/>
          <w:noProof/>
          <w:sz w:val="22"/>
        </w:rPr>
      </w:pPr>
      <w:hyperlink w:anchor="_Toc37084889" w:history="1">
        <w:r w:rsidRPr="00B630B1">
          <w:rPr>
            <w:rStyle w:val="Hyperlink"/>
            <w:noProof/>
          </w:rPr>
          <w:t>C.</w:t>
        </w:r>
        <w:r>
          <w:rPr>
            <w:rFonts w:asciiTheme="minorHAnsi" w:eastAsiaTheme="minorEastAsia" w:hAnsiTheme="minorHAnsi"/>
            <w:noProof/>
            <w:sz w:val="22"/>
          </w:rPr>
          <w:tab/>
        </w:r>
        <w:r w:rsidRPr="00B630B1">
          <w:rPr>
            <w:rStyle w:val="Hyperlink"/>
            <w:noProof/>
          </w:rPr>
          <w:t>EDU-only customer bills and consolidated bills should not include non-jurisdictional (non-utility) charges as these charges are outside the jurisdiction of the PUCO.</w:t>
        </w:r>
        <w:r>
          <w:rPr>
            <w:noProof/>
            <w:webHidden/>
          </w:rPr>
          <w:tab/>
        </w:r>
        <w:r>
          <w:rPr>
            <w:noProof/>
            <w:webHidden/>
          </w:rPr>
          <w:fldChar w:fldCharType="begin"/>
        </w:r>
        <w:r>
          <w:rPr>
            <w:noProof/>
            <w:webHidden/>
          </w:rPr>
          <w:instrText xml:space="preserve"> PAGEREF _Toc37084889 \h </w:instrText>
        </w:r>
        <w:r>
          <w:rPr>
            <w:noProof/>
            <w:webHidden/>
          </w:rPr>
          <w:fldChar w:fldCharType="separate"/>
        </w:r>
        <w:r>
          <w:rPr>
            <w:noProof/>
            <w:webHidden/>
          </w:rPr>
          <w:t>9</w:t>
        </w:r>
        <w:r>
          <w:rPr>
            <w:noProof/>
            <w:webHidden/>
          </w:rPr>
          <w:fldChar w:fldCharType="end"/>
        </w:r>
      </w:hyperlink>
    </w:p>
    <w:p w:rsidR="006D376E" w14:paraId="5DA82A3B" w14:textId="6EAD15AA">
      <w:pPr>
        <w:pStyle w:val="TOC1"/>
        <w:rPr>
          <w:rFonts w:asciiTheme="minorHAnsi" w:eastAsiaTheme="minorEastAsia" w:hAnsiTheme="minorHAnsi"/>
          <w:caps w:val="0"/>
          <w:noProof/>
          <w:sz w:val="22"/>
        </w:rPr>
      </w:pPr>
      <w:hyperlink w:anchor="_Toc37084890" w:history="1">
        <w:r w:rsidRPr="00B630B1">
          <w:rPr>
            <w:rStyle w:val="Hyperlink"/>
            <w:noProof/>
          </w:rPr>
          <w:t>III.</w:t>
        </w:r>
        <w:r>
          <w:rPr>
            <w:rFonts w:asciiTheme="minorHAnsi" w:eastAsiaTheme="minorEastAsia" w:hAnsiTheme="minorHAnsi"/>
            <w:caps w:val="0"/>
            <w:noProof/>
            <w:sz w:val="22"/>
          </w:rPr>
          <w:tab/>
        </w:r>
        <w:r w:rsidRPr="00B630B1">
          <w:rPr>
            <w:rStyle w:val="Hyperlink"/>
            <w:noProof/>
          </w:rPr>
          <w:t>CONCLUSION</w:t>
        </w:r>
        <w:r>
          <w:rPr>
            <w:noProof/>
            <w:webHidden/>
          </w:rPr>
          <w:tab/>
        </w:r>
        <w:r>
          <w:rPr>
            <w:noProof/>
            <w:webHidden/>
          </w:rPr>
          <w:fldChar w:fldCharType="begin"/>
        </w:r>
        <w:r>
          <w:rPr>
            <w:noProof/>
            <w:webHidden/>
          </w:rPr>
          <w:instrText xml:space="preserve"> PAGEREF _Toc37084890 \h </w:instrText>
        </w:r>
        <w:r>
          <w:rPr>
            <w:noProof/>
            <w:webHidden/>
          </w:rPr>
          <w:fldChar w:fldCharType="separate"/>
        </w:r>
        <w:r>
          <w:rPr>
            <w:noProof/>
            <w:webHidden/>
          </w:rPr>
          <w:t>11</w:t>
        </w:r>
        <w:r>
          <w:rPr>
            <w:noProof/>
            <w:webHidden/>
          </w:rPr>
          <w:fldChar w:fldCharType="end"/>
        </w:r>
      </w:hyperlink>
    </w:p>
    <w:p w:rsidR="003105AD" w:rsidP="003105AD" w14:paraId="640C213D" w14:textId="3A1207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fldChar w:fldCharType="end"/>
      </w:r>
    </w:p>
    <w:p w:rsidR="003105AD" w:rsidP="003105AD" w14:paraId="5BE24425" w14:textId="125D34B5">
      <w:pPr>
        <w:spacing w:after="0" w:line="240" w:lineRule="auto"/>
        <w:jc w:val="center"/>
        <w:rPr>
          <w:rFonts w:ascii="Times New Roman" w:hAnsi="Times New Roman" w:cs="Times New Roman"/>
          <w:sz w:val="24"/>
          <w:szCs w:val="24"/>
        </w:rPr>
      </w:pPr>
    </w:p>
    <w:p w:rsidR="003105AD" w:rsidP="003105AD" w14:paraId="1CBBC17F" w14:textId="69FAF263">
      <w:pPr>
        <w:spacing w:after="0" w:line="240" w:lineRule="auto"/>
        <w:jc w:val="center"/>
        <w:rPr>
          <w:rFonts w:ascii="Times New Roman" w:hAnsi="Times New Roman" w:cs="Times New Roman"/>
          <w:sz w:val="24"/>
          <w:szCs w:val="24"/>
        </w:rPr>
      </w:pPr>
    </w:p>
    <w:p w:rsidR="003105AD" w:rsidP="003105AD" w14:paraId="5B31A438" w14:textId="1A75D389">
      <w:pPr>
        <w:spacing w:after="0" w:line="240" w:lineRule="auto"/>
        <w:jc w:val="center"/>
        <w:rPr>
          <w:rFonts w:ascii="Times New Roman" w:hAnsi="Times New Roman" w:cs="Times New Roman"/>
          <w:sz w:val="24"/>
          <w:szCs w:val="24"/>
        </w:rPr>
      </w:pPr>
    </w:p>
    <w:p w:rsidR="003105AD" w:rsidP="003105AD" w14:paraId="3540E46B" w14:textId="1587B8D0">
      <w:pPr>
        <w:spacing w:after="0" w:line="240" w:lineRule="auto"/>
        <w:jc w:val="center"/>
        <w:rPr>
          <w:rFonts w:ascii="Times New Roman" w:hAnsi="Times New Roman" w:cs="Times New Roman"/>
          <w:sz w:val="24"/>
          <w:szCs w:val="24"/>
        </w:rPr>
      </w:pPr>
    </w:p>
    <w:p w:rsidR="003105AD" w:rsidP="003105AD" w14:paraId="12C9B22C" w14:textId="5EC4F4B6">
      <w:pPr>
        <w:spacing w:after="0" w:line="240" w:lineRule="auto"/>
        <w:jc w:val="center"/>
        <w:rPr>
          <w:rFonts w:ascii="Times New Roman" w:hAnsi="Times New Roman" w:cs="Times New Roman"/>
          <w:sz w:val="24"/>
          <w:szCs w:val="24"/>
        </w:rPr>
      </w:pPr>
    </w:p>
    <w:p w:rsidR="003105AD" w:rsidP="003105AD" w14:paraId="44ECC2D5" w14:textId="49FB419E">
      <w:pPr>
        <w:spacing w:after="0" w:line="240" w:lineRule="auto"/>
        <w:jc w:val="center"/>
        <w:rPr>
          <w:rFonts w:ascii="Times New Roman" w:hAnsi="Times New Roman" w:cs="Times New Roman"/>
          <w:sz w:val="24"/>
          <w:szCs w:val="24"/>
        </w:rPr>
      </w:pPr>
    </w:p>
    <w:p w:rsidR="003105AD" w:rsidP="003105AD" w14:paraId="471114E1" w14:textId="755AC457">
      <w:pPr>
        <w:spacing w:after="0" w:line="240" w:lineRule="auto"/>
        <w:jc w:val="center"/>
        <w:rPr>
          <w:rFonts w:ascii="Times New Roman" w:hAnsi="Times New Roman" w:cs="Times New Roman"/>
          <w:sz w:val="24"/>
          <w:szCs w:val="24"/>
        </w:rPr>
      </w:pPr>
    </w:p>
    <w:p w:rsidR="003105AD" w:rsidP="003105AD" w14:paraId="362B3E2F" w14:textId="33FD5F3A">
      <w:pPr>
        <w:spacing w:after="0" w:line="240" w:lineRule="auto"/>
        <w:jc w:val="center"/>
        <w:rPr>
          <w:rFonts w:ascii="Times New Roman" w:hAnsi="Times New Roman" w:cs="Times New Roman"/>
          <w:sz w:val="24"/>
          <w:szCs w:val="24"/>
        </w:rPr>
      </w:pPr>
    </w:p>
    <w:p w:rsidR="003105AD" w:rsidP="003105AD" w14:paraId="1A3AF8DB" w14:textId="6369B9A8">
      <w:pPr>
        <w:spacing w:after="0" w:line="240" w:lineRule="auto"/>
        <w:jc w:val="center"/>
        <w:rPr>
          <w:rFonts w:ascii="Times New Roman" w:hAnsi="Times New Roman" w:cs="Times New Roman"/>
          <w:sz w:val="24"/>
          <w:szCs w:val="24"/>
        </w:rPr>
      </w:pPr>
    </w:p>
    <w:p w:rsidR="003105AD" w:rsidP="003105AD" w14:paraId="6A044289" w14:textId="4079802D">
      <w:pPr>
        <w:spacing w:after="0" w:line="240" w:lineRule="auto"/>
        <w:jc w:val="center"/>
        <w:rPr>
          <w:rFonts w:ascii="Times New Roman" w:hAnsi="Times New Roman" w:cs="Times New Roman"/>
          <w:sz w:val="24"/>
          <w:szCs w:val="24"/>
        </w:rPr>
      </w:pPr>
    </w:p>
    <w:p w:rsidR="003105AD" w:rsidP="003105AD" w14:paraId="1037023C" w14:textId="295D8101">
      <w:pPr>
        <w:spacing w:after="0" w:line="240" w:lineRule="auto"/>
        <w:jc w:val="center"/>
        <w:rPr>
          <w:rFonts w:ascii="Times New Roman" w:hAnsi="Times New Roman" w:cs="Times New Roman"/>
          <w:sz w:val="24"/>
          <w:szCs w:val="24"/>
        </w:rPr>
      </w:pPr>
    </w:p>
    <w:p w:rsidR="003105AD" w:rsidP="003105AD" w14:paraId="032AC89A" w14:textId="1B5E6921">
      <w:pPr>
        <w:spacing w:after="0" w:line="240" w:lineRule="auto"/>
        <w:jc w:val="center"/>
        <w:rPr>
          <w:rFonts w:ascii="Times New Roman" w:hAnsi="Times New Roman" w:cs="Times New Roman"/>
          <w:sz w:val="24"/>
          <w:szCs w:val="24"/>
        </w:rPr>
      </w:pPr>
    </w:p>
    <w:p w:rsidR="003105AD" w:rsidP="003105AD" w14:paraId="0FF3DEC6" w14:textId="19B61CDC">
      <w:pPr>
        <w:spacing w:after="0" w:line="240" w:lineRule="auto"/>
        <w:jc w:val="center"/>
        <w:rPr>
          <w:rFonts w:ascii="Times New Roman" w:hAnsi="Times New Roman" w:cs="Times New Roman"/>
          <w:sz w:val="24"/>
          <w:szCs w:val="24"/>
        </w:rPr>
      </w:pPr>
    </w:p>
    <w:p w:rsidR="003105AD" w:rsidP="003105AD" w14:paraId="7A7DEFF9" w14:textId="4C6C0B4F">
      <w:pPr>
        <w:spacing w:after="0" w:line="240" w:lineRule="auto"/>
        <w:jc w:val="center"/>
        <w:rPr>
          <w:rFonts w:ascii="Times New Roman" w:hAnsi="Times New Roman" w:cs="Times New Roman"/>
          <w:sz w:val="24"/>
          <w:szCs w:val="24"/>
        </w:rPr>
      </w:pPr>
    </w:p>
    <w:p w:rsidR="003105AD" w:rsidP="003105AD" w14:paraId="67FAA63F" w14:textId="15C8A2D8">
      <w:pPr>
        <w:spacing w:after="0" w:line="240" w:lineRule="auto"/>
        <w:jc w:val="center"/>
        <w:rPr>
          <w:rFonts w:ascii="Times New Roman" w:hAnsi="Times New Roman" w:cs="Times New Roman"/>
          <w:sz w:val="24"/>
          <w:szCs w:val="24"/>
        </w:rPr>
      </w:pPr>
    </w:p>
    <w:p w:rsidR="003105AD" w:rsidP="003105AD" w14:paraId="4D1BF7C8" w14:textId="44FDA027">
      <w:pPr>
        <w:spacing w:after="0" w:line="240" w:lineRule="auto"/>
        <w:jc w:val="center"/>
        <w:rPr>
          <w:rFonts w:ascii="Times New Roman" w:hAnsi="Times New Roman" w:cs="Times New Roman"/>
          <w:sz w:val="24"/>
          <w:szCs w:val="24"/>
        </w:rPr>
      </w:pPr>
    </w:p>
    <w:p w:rsidR="003105AD" w:rsidP="003105AD" w14:paraId="50F5D29B" w14:textId="019D675E">
      <w:pPr>
        <w:spacing w:after="0" w:line="240" w:lineRule="auto"/>
        <w:jc w:val="center"/>
        <w:rPr>
          <w:rFonts w:ascii="Times New Roman" w:hAnsi="Times New Roman" w:cs="Times New Roman"/>
          <w:sz w:val="24"/>
          <w:szCs w:val="24"/>
        </w:rPr>
      </w:pPr>
    </w:p>
    <w:p w:rsidR="003105AD" w:rsidP="003105AD" w14:paraId="46CA56C9" w14:textId="77777777">
      <w:pPr>
        <w:spacing w:after="0" w:line="240" w:lineRule="auto"/>
        <w:jc w:val="center"/>
        <w:rPr>
          <w:rFonts w:ascii="Times New Roman" w:hAnsi="Times New Roman" w:cs="Times New Roman"/>
          <w:sz w:val="24"/>
          <w:szCs w:val="24"/>
        </w:rPr>
        <w:sectPr w:rsidSect="003105AD">
          <w:headerReference w:type="default" r:id="rId8"/>
          <w:footerReference w:type="default" r:id="rId9"/>
          <w:pgSz w:w="12240" w:h="15840"/>
          <w:pgMar w:top="1440" w:right="1800" w:bottom="1440" w:left="1800" w:header="720" w:footer="720" w:gutter="0"/>
          <w:pgNumType w:fmt="lowerRoman" w:start="1"/>
          <w:cols w:space="720"/>
          <w:docGrid w:linePitch="360"/>
        </w:sectPr>
      </w:pPr>
    </w:p>
    <w:p w:rsidR="00E97B42" w:rsidRPr="00B56229" w:rsidP="00E97B42" w14:paraId="2E62E769" w14:textId="21AD02C7">
      <w:pPr>
        <w:pStyle w:val="Title"/>
        <w:rPr>
          <w:sz w:val="24"/>
          <w:szCs w:val="24"/>
        </w:rPr>
      </w:pPr>
      <w:r w:rsidRPr="00B56229">
        <w:rPr>
          <w:sz w:val="24"/>
          <w:szCs w:val="24"/>
        </w:rPr>
        <w:t>BEFORE</w:t>
      </w:r>
    </w:p>
    <w:p w:rsidR="00E97B42" w:rsidRPr="00B56229" w:rsidP="00E97B42" w14:paraId="235471DA" w14:textId="6A6B3C8B">
      <w:pPr>
        <w:jc w:val="center"/>
        <w:rPr>
          <w:rFonts w:ascii="Times New Roman" w:hAnsi="Times New Roman" w:cs="Times New Roman"/>
          <w:b/>
          <w:sz w:val="24"/>
          <w:szCs w:val="24"/>
        </w:rPr>
      </w:pPr>
      <w:r w:rsidRPr="00B56229">
        <w:rPr>
          <w:rFonts w:ascii="Times New Roman" w:hAnsi="Times New Roman" w:cs="Times New Roman"/>
          <w:b/>
          <w:sz w:val="24"/>
          <w:szCs w:val="24"/>
        </w:rPr>
        <w:t>THE PUBLIC UTILITIES COMMISSION OF OHIO</w:t>
      </w:r>
    </w:p>
    <w:tbl>
      <w:tblPr>
        <w:tblW w:w="8928" w:type="dxa"/>
        <w:tblLook w:val="01E0"/>
      </w:tblPr>
      <w:tblGrid>
        <w:gridCol w:w="4332"/>
        <w:gridCol w:w="360"/>
        <w:gridCol w:w="4236"/>
      </w:tblGrid>
      <w:tr w14:paraId="1BAD8F2C" w14:textId="77777777" w:rsidTr="00FA01EB">
        <w:tblPrEx>
          <w:tblW w:w="8928" w:type="dxa"/>
          <w:tblLook w:val="01E0"/>
        </w:tblPrEx>
        <w:trPr>
          <w:trHeight w:val="807"/>
        </w:trPr>
        <w:tc>
          <w:tcPr>
            <w:tcW w:w="4332" w:type="dxa"/>
            <w:shd w:val="clear" w:color="auto" w:fill="auto"/>
          </w:tcPr>
          <w:p w:rsidR="001E758F" w:rsidRPr="00B56229" w:rsidP="00FA01EB" w14:paraId="7557338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B56229">
              <w:rPr>
                <w:rFonts w:ascii="Times New Roman" w:eastAsia="Courier New" w:hAnsi="Times New Roman" w:cs="Times New Roman"/>
                <w:sz w:val="24"/>
                <w:szCs w:val="24"/>
              </w:rPr>
              <w:t>In the Matter of the Review of the Commission’s Review of its Rules for Electrical Safety and Service Standards Contained in Chapter 4901:1-10 of the Ohio Administrative Code.</w:t>
            </w:r>
          </w:p>
          <w:p w:rsidR="001E758F" w:rsidRPr="00B56229" w:rsidP="00FA01EB" w14:paraId="2D602400" w14:textId="72E972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c>
          <w:tcPr>
            <w:tcW w:w="360" w:type="dxa"/>
            <w:shd w:val="clear" w:color="auto" w:fill="auto"/>
          </w:tcPr>
          <w:p w:rsidR="001E758F" w:rsidRPr="00B56229" w:rsidP="00FA01EB" w14:paraId="5C51CDC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56229">
              <w:rPr>
                <w:rFonts w:ascii="Times New Roman" w:eastAsia="Courier New" w:hAnsi="Times New Roman" w:cs="Times New Roman"/>
                <w:sz w:val="24"/>
                <w:szCs w:val="24"/>
              </w:rPr>
              <w:t>)</w:t>
            </w:r>
          </w:p>
          <w:p w:rsidR="001E758F" w:rsidRPr="00B56229" w:rsidP="00FA01EB" w14:paraId="494FDA21"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56229">
              <w:rPr>
                <w:rFonts w:ascii="Times New Roman" w:eastAsia="Courier New" w:hAnsi="Times New Roman" w:cs="Times New Roman"/>
                <w:sz w:val="24"/>
                <w:szCs w:val="24"/>
              </w:rPr>
              <w:t>)</w:t>
            </w:r>
          </w:p>
          <w:p w:rsidR="001E758F" w:rsidRPr="00B56229" w:rsidP="00FA01EB" w14:paraId="176FFC7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B56229">
              <w:rPr>
                <w:rFonts w:ascii="Times New Roman" w:eastAsia="Courier New" w:hAnsi="Times New Roman" w:cs="Times New Roman"/>
                <w:sz w:val="24"/>
                <w:szCs w:val="24"/>
              </w:rPr>
              <w:t>)</w:t>
            </w:r>
          </w:p>
          <w:p w:rsidR="001E758F" w:rsidRPr="00B56229" w:rsidP="00FA01EB" w14:paraId="3E35C204"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Courier New" w:hAnsi="Times New Roman" w:cs="Times New Roman"/>
                <w:sz w:val="24"/>
                <w:szCs w:val="24"/>
              </w:rPr>
            </w:pPr>
            <w:r w:rsidRPr="00B56229">
              <w:rPr>
                <w:rFonts w:ascii="Times New Roman" w:eastAsia="Courier New" w:hAnsi="Times New Roman" w:cs="Times New Roman"/>
                <w:sz w:val="24"/>
                <w:szCs w:val="24"/>
              </w:rPr>
              <w:t>)</w:t>
            </w:r>
          </w:p>
          <w:p w:rsidR="001E758F" w:rsidRPr="00B56229" w:rsidP="00FA01EB" w14:paraId="2F60EA4C"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56229">
              <w:rPr>
                <w:rFonts w:ascii="Times New Roman" w:eastAsia="Courier New" w:hAnsi="Times New Roman" w:cs="Times New Roman"/>
                <w:sz w:val="24"/>
                <w:szCs w:val="24"/>
              </w:rPr>
              <w:t>)</w:t>
            </w:r>
          </w:p>
        </w:tc>
        <w:tc>
          <w:tcPr>
            <w:tcW w:w="4236" w:type="dxa"/>
            <w:shd w:val="clear" w:color="auto" w:fill="auto"/>
          </w:tcPr>
          <w:p w:rsidR="001E758F" w:rsidRPr="00B56229" w:rsidP="00FA01EB" w14:paraId="34092D1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1E758F" w:rsidRPr="00B56229" w:rsidP="00FA01EB" w14:paraId="5F13B02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B56229">
              <w:rPr>
                <w:rFonts w:ascii="Times New Roman" w:eastAsia="Courier New" w:hAnsi="Times New Roman" w:cs="Times New Roman"/>
                <w:sz w:val="24"/>
                <w:szCs w:val="24"/>
              </w:rPr>
              <w:t>Case No. 17-1842-EL-ORD</w:t>
            </w:r>
          </w:p>
          <w:p w:rsidR="001E758F" w:rsidRPr="00B56229" w:rsidP="00FA01EB" w14:paraId="1158EDF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rsidR="00E97B42" w:rsidRPr="00B56229" w:rsidP="00E97B42" w14:paraId="37A15448" w14:textId="77777777">
      <w:pPr>
        <w:pBdr>
          <w:top w:val="single" w:sz="12" w:space="1" w:color="auto"/>
        </w:pBdr>
        <w:rPr>
          <w:rFonts w:ascii="Times New Roman" w:hAnsi="Times New Roman" w:cs="Times New Roman"/>
          <w:sz w:val="24"/>
          <w:szCs w:val="24"/>
        </w:rPr>
      </w:pPr>
    </w:p>
    <w:p w:rsidR="00E97B42" w:rsidRPr="00B56229" w:rsidP="00FE17BC" w14:paraId="66C1B4CD" w14:textId="1EFF0EB6">
      <w:pPr>
        <w:pBdr>
          <w:bottom w:val="single" w:sz="12" w:space="1" w:color="auto"/>
        </w:pBdr>
        <w:spacing w:after="0" w:line="240" w:lineRule="auto"/>
        <w:jc w:val="center"/>
        <w:rPr>
          <w:rFonts w:ascii="Times New Roman" w:hAnsi="Times New Roman" w:cs="Times New Roman"/>
          <w:b/>
          <w:bCs/>
          <w:sz w:val="24"/>
          <w:szCs w:val="24"/>
        </w:rPr>
      </w:pPr>
      <w:r w:rsidRPr="00B56229">
        <w:rPr>
          <w:rFonts w:ascii="Times New Roman" w:hAnsi="Times New Roman" w:cs="Times New Roman"/>
          <w:b/>
          <w:bCs/>
          <w:sz w:val="24"/>
          <w:szCs w:val="24"/>
        </w:rPr>
        <w:t xml:space="preserve">MEMORANDUM </w:t>
      </w:r>
      <w:r w:rsidRPr="00B56229" w:rsidR="006B0F00">
        <w:rPr>
          <w:rFonts w:ascii="Times New Roman" w:hAnsi="Times New Roman" w:cs="Times New Roman"/>
          <w:b/>
          <w:bCs/>
          <w:sz w:val="24"/>
          <w:szCs w:val="24"/>
        </w:rPr>
        <w:t xml:space="preserve">CONTRA APPLICATIONS FOR REHEARING </w:t>
      </w:r>
    </w:p>
    <w:p w:rsidR="00416BF3" w:rsidRPr="00B56229" w:rsidP="00FE17BC" w14:paraId="6680F86C" w14:textId="0EBAB889">
      <w:pPr>
        <w:pBdr>
          <w:bottom w:val="single" w:sz="12" w:space="1" w:color="auto"/>
        </w:pBdr>
        <w:spacing w:after="0" w:line="240" w:lineRule="auto"/>
        <w:jc w:val="center"/>
        <w:rPr>
          <w:rFonts w:ascii="Times New Roman" w:hAnsi="Times New Roman" w:cs="Times New Roman"/>
          <w:b/>
          <w:bCs/>
          <w:sz w:val="24"/>
          <w:szCs w:val="24"/>
        </w:rPr>
      </w:pPr>
      <w:r w:rsidRPr="00B56229">
        <w:rPr>
          <w:rFonts w:ascii="Times New Roman" w:hAnsi="Times New Roman" w:cs="Times New Roman"/>
          <w:b/>
          <w:bCs/>
          <w:sz w:val="24"/>
          <w:szCs w:val="24"/>
        </w:rPr>
        <w:t>BY</w:t>
      </w:r>
    </w:p>
    <w:p w:rsidR="006B0F00" w:rsidRPr="00B56229" w:rsidP="00FE17BC" w14:paraId="385F9E1D" w14:textId="573CF075">
      <w:pPr>
        <w:pBdr>
          <w:bottom w:val="single" w:sz="12" w:space="1" w:color="auto"/>
        </w:pBdr>
        <w:spacing w:after="0" w:line="240" w:lineRule="auto"/>
        <w:jc w:val="center"/>
        <w:rPr>
          <w:rFonts w:ascii="Times New Roman" w:hAnsi="Times New Roman" w:cs="Times New Roman"/>
          <w:b/>
          <w:bCs/>
          <w:sz w:val="24"/>
          <w:szCs w:val="24"/>
        </w:rPr>
      </w:pPr>
      <w:r w:rsidRPr="00B56229">
        <w:rPr>
          <w:rFonts w:ascii="Times New Roman" w:hAnsi="Times New Roman" w:cs="Times New Roman"/>
          <w:b/>
          <w:bCs/>
          <w:sz w:val="24"/>
          <w:szCs w:val="24"/>
        </w:rPr>
        <w:t>THE OFFICE OF THE OHIO CONSUMERS’ COUNSEL</w:t>
      </w:r>
    </w:p>
    <w:p w:rsidR="00FE17BC" w:rsidRPr="00B56229" w:rsidP="00E97B42" w14:paraId="57E1A7B2" w14:textId="77777777">
      <w:pPr>
        <w:pBdr>
          <w:bottom w:val="single" w:sz="12" w:space="1" w:color="auto"/>
        </w:pBdr>
        <w:jc w:val="center"/>
        <w:rPr>
          <w:rFonts w:ascii="Times New Roman" w:hAnsi="Times New Roman" w:cs="Times New Roman"/>
          <w:b/>
          <w:bCs/>
          <w:sz w:val="24"/>
          <w:szCs w:val="24"/>
        </w:rPr>
      </w:pPr>
    </w:p>
    <w:p w:rsidR="00E97B42" w:rsidRPr="00B56229" w:rsidP="00F33271" w14:paraId="723C1710" w14:textId="77777777">
      <w:pPr>
        <w:pStyle w:val="Heading1"/>
        <w:rPr>
          <w:rFonts w:ascii="Times New Roman" w:hAnsi="Times New Roman" w:eastAsiaTheme="minorHAnsi"/>
        </w:rPr>
      </w:pPr>
      <w:bookmarkStart w:id="1" w:name="_Toc35935987"/>
      <w:bookmarkStart w:id="2" w:name="_Toc37084885"/>
      <w:r w:rsidRPr="00B56229">
        <w:rPr>
          <w:rFonts w:ascii="Times New Roman" w:hAnsi="Times New Roman" w:eastAsiaTheme="minorHAnsi"/>
        </w:rPr>
        <w:t>INTRODUCTION</w:t>
      </w:r>
      <w:bookmarkEnd w:id="1"/>
      <w:bookmarkEnd w:id="2"/>
    </w:p>
    <w:p w:rsidR="000C7E0F" w:rsidRPr="00B56229" w:rsidP="00B56229" w14:paraId="3C5BF002" w14:textId="3E001CE3">
      <w:pPr>
        <w:spacing w:after="0" w:line="480" w:lineRule="auto"/>
        <w:ind w:firstLine="720"/>
        <w:rPr>
          <w:rFonts w:ascii="Times New Roman" w:hAnsi="Times New Roman" w:cs="Times New Roman"/>
          <w:sz w:val="24"/>
          <w:szCs w:val="24"/>
        </w:rPr>
      </w:pPr>
      <w:r w:rsidRPr="00B56229">
        <w:rPr>
          <w:rFonts w:ascii="Times New Roman" w:hAnsi="Times New Roman" w:cs="Times New Roman"/>
          <w:sz w:val="24"/>
          <w:szCs w:val="24"/>
        </w:rPr>
        <w:t xml:space="preserve">In its </w:t>
      </w:r>
      <w:r w:rsidRPr="00B56229" w:rsidR="006B0F00">
        <w:rPr>
          <w:rFonts w:ascii="Times New Roman" w:hAnsi="Times New Roman" w:cs="Times New Roman"/>
          <w:sz w:val="24"/>
          <w:szCs w:val="24"/>
        </w:rPr>
        <w:t>February 26, 2020</w:t>
      </w:r>
      <w:r w:rsidRPr="00B56229" w:rsidR="006E1D6D">
        <w:rPr>
          <w:rFonts w:ascii="Times New Roman" w:hAnsi="Times New Roman" w:cs="Times New Roman"/>
          <w:sz w:val="24"/>
          <w:szCs w:val="24"/>
        </w:rPr>
        <w:t xml:space="preserve"> Finding and Order</w:t>
      </w:r>
      <w:r w:rsidRPr="00B56229">
        <w:rPr>
          <w:rFonts w:ascii="Times New Roman" w:hAnsi="Times New Roman" w:cs="Times New Roman"/>
          <w:sz w:val="24"/>
          <w:szCs w:val="24"/>
        </w:rPr>
        <w:t xml:space="preserve">, the PUCO </w:t>
      </w:r>
      <w:r w:rsidRPr="00B56229" w:rsidR="00D165F6">
        <w:rPr>
          <w:rFonts w:ascii="Times New Roman" w:hAnsi="Times New Roman" w:cs="Times New Roman"/>
          <w:sz w:val="24"/>
          <w:szCs w:val="24"/>
        </w:rPr>
        <w:t xml:space="preserve">recognized the barriers customers face when it comes to verifying </w:t>
      </w:r>
      <w:r w:rsidRPr="00B56229">
        <w:rPr>
          <w:rFonts w:ascii="Times New Roman" w:hAnsi="Times New Roman" w:cs="Times New Roman"/>
          <w:sz w:val="24"/>
          <w:szCs w:val="24"/>
        </w:rPr>
        <w:t xml:space="preserve">the accuracy of </w:t>
      </w:r>
      <w:r w:rsidRPr="00B56229" w:rsidR="00D165F6">
        <w:rPr>
          <w:rFonts w:ascii="Times New Roman" w:hAnsi="Times New Roman" w:cs="Times New Roman"/>
          <w:sz w:val="24"/>
          <w:szCs w:val="24"/>
        </w:rPr>
        <w:t xml:space="preserve">their bills, and </w:t>
      </w:r>
      <w:r w:rsidRPr="00B56229">
        <w:rPr>
          <w:rFonts w:ascii="Times New Roman" w:hAnsi="Times New Roman" w:cs="Times New Roman"/>
          <w:sz w:val="24"/>
          <w:szCs w:val="24"/>
        </w:rPr>
        <w:t xml:space="preserve">to address this concern, </w:t>
      </w:r>
      <w:r w:rsidRPr="00B56229" w:rsidR="00A53785">
        <w:rPr>
          <w:rFonts w:ascii="Times New Roman" w:hAnsi="Times New Roman" w:cs="Times New Roman"/>
          <w:sz w:val="24"/>
          <w:szCs w:val="24"/>
        </w:rPr>
        <w:t xml:space="preserve">the PUCO </w:t>
      </w:r>
      <w:r w:rsidRPr="00B56229" w:rsidR="00D165F6">
        <w:rPr>
          <w:rFonts w:ascii="Times New Roman" w:hAnsi="Times New Roman" w:cs="Times New Roman"/>
          <w:sz w:val="24"/>
          <w:szCs w:val="24"/>
        </w:rPr>
        <w:t>adopted a new rule</w:t>
      </w:r>
      <w:r w:rsidRPr="00B56229" w:rsidR="00B951A6">
        <w:rPr>
          <w:rFonts w:ascii="Times New Roman" w:hAnsi="Times New Roman" w:cs="Times New Roman"/>
          <w:sz w:val="24"/>
          <w:szCs w:val="24"/>
        </w:rPr>
        <w:t xml:space="preserve"> requiring each EDU to publish and maintain an online bill calculator.</w:t>
      </w:r>
      <w:r>
        <w:rPr>
          <w:rStyle w:val="FootnoteReference"/>
          <w:rFonts w:ascii="Times New Roman" w:hAnsi="Times New Roman" w:cs="Times New Roman"/>
          <w:sz w:val="24"/>
          <w:szCs w:val="24"/>
        </w:rPr>
        <w:footnoteReference w:id="2"/>
      </w:r>
      <w:r w:rsidRPr="00B56229" w:rsidR="00B951A6">
        <w:rPr>
          <w:rFonts w:ascii="Times New Roman" w:hAnsi="Times New Roman" w:cs="Times New Roman"/>
          <w:sz w:val="24"/>
          <w:szCs w:val="24"/>
        </w:rPr>
        <w:t xml:space="preserve"> The  PUCO</w:t>
      </w:r>
      <w:r w:rsidRPr="00B56229" w:rsidR="00026338">
        <w:rPr>
          <w:rFonts w:ascii="Times New Roman" w:hAnsi="Times New Roman" w:cs="Times New Roman"/>
          <w:sz w:val="24"/>
          <w:szCs w:val="24"/>
        </w:rPr>
        <w:t>’s new rules</w:t>
      </w:r>
      <w:r w:rsidRPr="00B56229" w:rsidR="00B951A6">
        <w:rPr>
          <w:rFonts w:ascii="Times New Roman" w:hAnsi="Times New Roman" w:cs="Times New Roman"/>
          <w:sz w:val="24"/>
          <w:szCs w:val="24"/>
        </w:rPr>
        <w:t xml:space="preserve"> also required more frequent actual meter readings.</w:t>
      </w:r>
      <w:r>
        <w:rPr>
          <w:rStyle w:val="FootnoteReference"/>
          <w:rFonts w:ascii="Times New Roman" w:hAnsi="Times New Roman" w:cs="Times New Roman"/>
          <w:sz w:val="24"/>
          <w:szCs w:val="24"/>
        </w:rPr>
        <w:footnoteReference w:id="3"/>
      </w:r>
      <w:r w:rsidRPr="00B56229" w:rsidR="00026338">
        <w:rPr>
          <w:rFonts w:ascii="Times New Roman" w:hAnsi="Times New Roman" w:cs="Times New Roman"/>
          <w:sz w:val="24"/>
          <w:szCs w:val="24"/>
        </w:rPr>
        <w:t xml:space="preserve"> These are important consumer protections that should stand.</w:t>
      </w:r>
      <w:r w:rsidRPr="00B56229" w:rsidR="0052175E">
        <w:rPr>
          <w:rFonts w:ascii="Times New Roman" w:hAnsi="Times New Roman" w:cs="Times New Roman"/>
          <w:sz w:val="24"/>
          <w:szCs w:val="24"/>
        </w:rPr>
        <w:t xml:space="preserve"> </w:t>
      </w:r>
      <w:r w:rsidRPr="00B56229" w:rsidR="00084B69">
        <w:rPr>
          <w:rFonts w:ascii="Times New Roman" w:hAnsi="Times New Roman" w:cs="Times New Roman"/>
          <w:sz w:val="24"/>
          <w:szCs w:val="24"/>
        </w:rPr>
        <w:t xml:space="preserve">   </w:t>
      </w:r>
    </w:p>
    <w:p w:rsidR="00FE17BC" w:rsidRPr="00B56229" w:rsidP="00B56229" w14:paraId="3D467878" w14:textId="671A1B8B">
      <w:pPr>
        <w:spacing w:after="0" w:line="480" w:lineRule="auto"/>
        <w:ind w:firstLine="720"/>
        <w:rPr>
          <w:rFonts w:ascii="Times New Roman" w:hAnsi="Times New Roman" w:cs="Times New Roman"/>
          <w:sz w:val="24"/>
          <w:szCs w:val="24"/>
        </w:rPr>
      </w:pPr>
      <w:r w:rsidRPr="00B56229">
        <w:rPr>
          <w:rFonts w:ascii="Times New Roman" w:hAnsi="Times New Roman" w:cs="Times New Roman"/>
          <w:sz w:val="24"/>
          <w:szCs w:val="24"/>
        </w:rPr>
        <w:t xml:space="preserve"> </w:t>
      </w:r>
      <w:r w:rsidRPr="00B56229" w:rsidR="00B86D88">
        <w:rPr>
          <w:rFonts w:ascii="Times New Roman" w:hAnsi="Times New Roman" w:cs="Times New Roman"/>
          <w:sz w:val="24"/>
          <w:szCs w:val="24"/>
        </w:rPr>
        <w:t>FirstEnergy’s</w:t>
      </w:r>
      <w:r w:rsidRPr="00B56229" w:rsidR="000C7E0F">
        <w:rPr>
          <w:rFonts w:ascii="Times New Roman" w:hAnsi="Times New Roman" w:cs="Times New Roman"/>
          <w:sz w:val="24"/>
          <w:szCs w:val="24"/>
        </w:rPr>
        <w:t xml:space="preserve"> </w:t>
      </w:r>
      <w:r w:rsidRPr="00B56229">
        <w:rPr>
          <w:rFonts w:ascii="Times New Roman" w:hAnsi="Times New Roman" w:cs="Times New Roman"/>
          <w:sz w:val="24"/>
          <w:szCs w:val="24"/>
        </w:rPr>
        <w:t>application f</w:t>
      </w:r>
      <w:r w:rsidRPr="00B56229" w:rsidR="00B86D88">
        <w:rPr>
          <w:rFonts w:ascii="Times New Roman" w:hAnsi="Times New Roman" w:cs="Times New Roman"/>
          <w:sz w:val="24"/>
          <w:szCs w:val="24"/>
        </w:rPr>
        <w:t>or</w:t>
      </w:r>
      <w:r w:rsidRPr="00B56229">
        <w:rPr>
          <w:rFonts w:ascii="Times New Roman" w:hAnsi="Times New Roman" w:cs="Times New Roman"/>
          <w:sz w:val="24"/>
          <w:szCs w:val="24"/>
        </w:rPr>
        <w:t xml:space="preserve"> rehearing argu</w:t>
      </w:r>
      <w:r w:rsidRPr="00B56229" w:rsidR="000C7E0F">
        <w:rPr>
          <w:rFonts w:ascii="Times New Roman" w:hAnsi="Times New Roman" w:cs="Times New Roman"/>
          <w:sz w:val="24"/>
          <w:szCs w:val="24"/>
        </w:rPr>
        <w:t xml:space="preserve">es against </w:t>
      </w:r>
      <w:r w:rsidRPr="00B56229" w:rsidR="00B86D88">
        <w:rPr>
          <w:rFonts w:ascii="Times New Roman" w:hAnsi="Times New Roman" w:cs="Times New Roman"/>
          <w:sz w:val="24"/>
          <w:szCs w:val="24"/>
        </w:rPr>
        <w:t>th</w:t>
      </w:r>
      <w:r w:rsidRPr="00B56229" w:rsidR="00026338">
        <w:rPr>
          <w:rFonts w:ascii="Times New Roman" w:hAnsi="Times New Roman" w:cs="Times New Roman"/>
          <w:sz w:val="24"/>
          <w:szCs w:val="24"/>
        </w:rPr>
        <w:t xml:space="preserve">e online bill calculator </w:t>
      </w:r>
      <w:r w:rsidRPr="00B56229" w:rsidR="00B86D88">
        <w:rPr>
          <w:rFonts w:ascii="Times New Roman" w:hAnsi="Times New Roman" w:cs="Times New Roman"/>
          <w:sz w:val="24"/>
          <w:szCs w:val="24"/>
        </w:rPr>
        <w:t xml:space="preserve">requirement </w:t>
      </w:r>
      <w:r w:rsidRPr="00B56229" w:rsidR="00A53785">
        <w:rPr>
          <w:rFonts w:ascii="Times New Roman" w:hAnsi="Times New Roman" w:cs="Times New Roman"/>
          <w:sz w:val="24"/>
          <w:szCs w:val="24"/>
        </w:rPr>
        <w:t>claiming t</w:t>
      </w:r>
      <w:r w:rsidRPr="00B56229" w:rsidR="00026338">
        <w:rPr>
          <w:rFonts w:ascii="Times New Roman" w:hAnsi="Times New Roman" w:cs="Times New Roman"/>
          <w:sz w:val="24"/>
          <w:szCs w:val="24"/>
        </w:rPr>
        <w:t>hat it is</w:t>
      </w:r>
      <w:r w:rsidRPr="00B56229" w:rsidR="00B86D88">
        <w:rPr>
          <w:rFonts w:ascii="Times New Roman" w:hAnsi="Times New Roman" w:cs="Times New Roman"/>
          <w:sz w:val="24"/>
          <w:szCs w:val="24"/>
        </w:rPr>
        <w:t xml:space="preserve"> “administratively burdensome</w:t>
      </w:r>
      <w:r w:rsidRPr="00B56229" w:rsidR="00026338">
        <w:rPr>
          <w:rFonts w:ascii="Times New Roman" w:hAnsi="Times New Roman" w:cs="Times New Roman"/>
          <w:sz w:val="24"/>
          <w:szCs w:val="24"/>
        </w:rPr>
        <w:t>.</w:t>
      </w:r>
      <w:r w:rsidRPr="00B56229" w:rsidR="00B86D88">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B56229" w:rsidR="000C7E0F">
        <w:rPr>
          <w:rFonts w:ascii="Times New Roman" w:hAnsi="Times New Roman" w:cs="Times New Roman"/>
          <w:sz w:val="24"/>
          <w:szCs w:val="24"/>
        </w:rPr>
        <w:t xml:space="preserve"> </w:t>
      </w:r>
      <w:r w:rsidRPr="00B56229" w:rsidR="00B86D88">
        <w:rPr>
          <w:rFonts w:ascii="Times New Roman" w:hAnsi="Times New Roman" w:cs="Times New Roman"/>
          <w:sz w:val="24"/>
          <w:szCs w:val="24"/>
        </w:rPr>
        <w:t xml:space="preserve"> </w:t>
      </w:r>
      <w:r w:rsidRPr="00B56229" w:rsidR="000C7E0F">
        <w:rPr>
          <w:rFonts w:ascii="Times New Roman" w:hAnsi="Times New Roman" w:cs="Times New Roman"/>
          <w:sz w:val="24"/>
          <w:szCs w:val="24"/>
        </w:rPr>
        <w:t xml:space="preserve"> However, </w:t>
      </w:r>
      <w:r w:rsidRPr="00B56229" w:rsidR="0036203D">
        <w:rPr>
          <w:rFonts w:ascii="Times New Roman" w:hAnsi="Times New Roman" w:cs="Times New Roman"/>
          <w:sz w:val="24"/>
          <w:szCs w:val="24"/>
        </w:rPr>
        <w:t>at least one of the</w:t>
      </w:r>
      <w:r w:rsidRPr="00B56229" w:rsidR="00A53785">
        <w:rPr>
          <w:rFonts w:ascii="Times New Roman" w:hAnsi="Times New Roman" w:cs="Times New Roman"/>
          <w:sz w:val="24"/>
          <w:szCs w:val="24"/>
        </w:rPr>
        <w:t xml:space="preserve"> </w:t>
      </w:r>
      <w:r w:rsidRPr="00B56229" w:rsidR="00B86D88">
        <w:rPr>
          <w:rFonts w:ascii="Times New Roman" w:hAnsi="Times New Roman" w:cs="Times New Roman"/>
          <w:sz w:val="24"/>
          <w:szCs w:val="24"/>
        </w:rPr>
        <w:t>EDUs, AEP</w:t>
      </w:r>
      <w:r w:rsidRPr="00B56229" w:rsidR="00A53785">
        <w:rPr>
          <w:rFonts w:ascii="Times New Roman" w:hAnsi="Times New Roman" w:cs="Times New Roman"/>
          <w:sz w:val="24"/>
          <w:szCs w:val="24"/>
        </w:rPr>
        <w:t>,</w:t>
      </w:r>
      <w:r w:rsidRPr="00B56229" w:rsidR="0036203D">
        <w:rPr>
          <w:rFonts w:ascii="Times New Roman" w:hAnsi="Times New Roman" w:cs="Times New Roman"/>
          <w:sz w:val="24"/>
          <w:szCs w:val="24"/>
        </w:rPr>
        <w:t xml:space="preserve"> </w:t>
      </w:r>
      <w:r w:rsidRPr="00B56229" w:rsidR="00B86D88">
        <w:rPr>
          <w:rFonts w:ascii="Times New Roman" w:hAnsi="Times New Roman" w:cs="Times New Roman"/>
          <w:sz w:val="24"/>
          <w:szCs w:val="24"/>
        </w:rPr>
        <w:t>already maintain</w:t>
      </w:r>
      <w:r w:rsidRPr="00B56229" w:rsidR="0036203D">
        <w:rPr>
          <w:rFonts w:ascii="Times New Roman" w:hAnsi="Times New Roman" w:cs="Times New Roman"/>
          <w:sz w:val="24"/>
          <w:szCs w:val="24"/>
        </w:rPr>
        <w:t>s</w:t>
      </w:r>
      <w:r w:rsidRPr="00B56229" w:rsidR="00B86D88">
        <w:rPr>
          <w:rFonts w:ascii="Times New Roman" w:hAnsi="Times New Roman" w:cs="Times New Roman"/>
          <w:sz w:val="24"/>
          <w:szCs w:val="24"/>
        </w:rPr>
        <w:t xml:space="preserve"> an online bill calculator for residential customers.</w:t>
      </w:r>
      <w:r>
        <w:rPr>
          <w:rStyle w:val="FootnoteReference"/>
          <w:rFonts w:ascii="Times New Roman" w:hAnsi="Times New Roman" w:cs="Times New Roman"/>
          <w:sz w:val="24"/>
          <w:szCs w:val="24"/>
        </w:rPr>
        <w:footnoteReference w:id="5"/>
      </w:r>
      <w:r w:rsidRPr="00B56229" w:rsidR="0036203D">
        <w:rPr>
          <w:rFonts w:ascii="Times New Roman" w:hAnsi="Times New Roman" w:cs="Times New Roman"/>
          <w:sz w:val="24"/>
          <w:szCs w:val="24"/>
        </w:rPr>
        <w:t xml:space="preserve"> And Duke claims that it has an online bill calculator for residential customers as well.</w:t>
      </w:r>
      <w:r>
        <w:rPr>
          <w:rStyle w:val="FootnoteReference"/>
          <w:rFonts w:ascii="Times New Roman" w:hAnsi="Times New Roman" w:cs="Times New Roman"/>
          <w:sz w:val="24"/>
          <w:szCs w:val="24"/>
        </w:rPr>
        <w:footnoteReference w:id="6"/>
      </w:r>
      <w:r w:rsidRPr="00B56229">
        <w:rPr>
          <w:rFonts w:ascii="Times New Roman" w:hAnsi="Times New Roman" w:cs="Times New Roman"/>
          <w:sz w:val="24"/>
          <w:szCs w:val="24"/>
        </w:rPr>
        <w:t xml:space="preserve"> </w:t>
      </w:r>
      <w:r w:rsidRPr="00B56229" w:rsidR="00D41CF4">
        <w:rPr>
          <w:rFonts w:ascii="Times New Roman" w:hAnsi="Times New Roman" w:cs="Times New Roman"/>
          <w:sz w:val="24"/>
          <w:szCs w:val="24"/>
        </w:rPr>
        <w:t>Given that this requirement is a benefit to all Ohio consumers</w:t>
      </w:r>
      <w:r w:rsidRPr="00B56229" w:rsidR="00481725">
        <w:rPr>
          <w:rFonts w:ascii="Times New Roman" w:hAnsi="Times New Roman" w:cs="Times New Roman"/>
          <w:sz w:val="24"/>
          <w:szCs w:val="24"/>
        </w:rPr>
        <w:t xml:space="preserve"> with no undue burden on </w:t>
      </w:r>
      <w:r w:rsidRPr="00B56229" w:rsidR="000C7E0F">
        <w:rPr>
          <w:rFonts w:ascii="Times New Roman" w:hAnsi="Times New Roman" w:cs="Times New Roman"/>
          <w:sz w:val="24"/>
          <w:szCs w:val="24"/>
        </w:rPr>
        <w:t xml:space="preserve">other </w:t>
      </w:r>
      <w:r w:rsidRPr="00B56229" w:rsidR="00481725">
        <w:rPr>
          <w:rFonts w:ascii="Times New Roman" w:hAnsi="Times New Roman" w:cs="Times New Roman"/>
          <w:sz w:val="24"/>
          <w:szCs w:val="24"/>
        </w:rPr>
        <w:t>EDUs</w:t>
      </w:r>
      <w:r w:rsidRPr="00B56229" w:rsidR="00D41CF4">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B56229" w:rsidR="00D41CF4">
        <w:rPr>
          <w:rFonts w:ascii="Times New Roman" w:hAnsi="Times New Roman" w:cs="Times New Roman"/>
          <w:sz w:val="24"/>
          <w:szCs w:val="24"/>
        </w:rPr>
        <w:t xml:space="preserve"> th</w:t>
      </w:r>
      <w:r w:rsidRPr="00B56229" w:rsidR="0052175E">
        <w:rPr>
          <w:rFonts w:ascii="Times New Roman" w:hAnsi="Times New Roman" w:cs="Times New Roman"/>
          <w:sz w:val="24"/>
          <w:szCs w:val="24"/>
        </w:rPr>
        <w:t xml:space="preserve">e applications for rehearing </w:t>
      </w:r>
      <w:r w:rsidRPr="00B56229" w:rsidR="00026338">
        <w:rPr>
          <w:rFonts w:ascii="Times New Roman" w:hAnsi="Times New Roman" w:cs="Times New Roman"/>
          <w:sz w:val="24"/>
          <w:szCs w:val="24"/>
        </w:rPr>
        <w:t xml:space="preserve">that protest this requirement </w:t>
      </w:r>
      <w:r w:rsidRPr="00B56229" w:rsidR="00D41CF4">
        <w:rPr>
          <w:rFonts w:ascii="Times New Roman" w:hAnsi="Times New Roman" w:cs="Times New Roman"/>
          <w:sz w:val="24"/>
          <w:szCs w:val="24"/>
        </w:rPr>
        <w:t xml:space="preserve"> </w:t>
      </w:r>
      <w:r w:rsidRPr="00B56229" w:rsidR="0052175E">
        <w:rPr>
          <w:rFonts w:ascii="Times New Roman" w:hAnsi="Times New Roman" w:cs="Times New Roman"/>
          <w:sz w:val="24"/>
          <w:szCs w:val="24"/>
        </w:rPr>
        <w:t xml:space="preserve">should be rejected. </w:t>
      </w:r>
    </w:p>
    <w:p w:rsidR="00866731" w:rsidRPr="00B56229" w:rsidP="00D44DA3" w14:paraId="69DC62D4" w14:textId="7C4652CC">
      <w:pPr>
        <w:spacing w:after="0" w:line="480" w:lineRule="auto"/>
        <w:ind w:firstLine="720"/>
        <w:rPr>
          <w:rFonts w:ascii="Times New Roman" w:hAnsi="Times New Roman" w:cs="Times New Roman"/>
          <w:sz w:val="24"/>
          <w:szCs w:val="24"/>
        </w:rPr>
      </w:pPr>
      <w:r w:rsidRPr="00B56229">
        <w:rPr>
          <w:rFonts w:ascii="Times New Roman" w:hAnsi="Times New Roman" w:cs="Times New Roman"/>
          <w:sz w:val="24"/>
          <w:szCs w:val="24"/>
        </w:rPr>
        <w:t xml:space="preserve">The </w:t>
      </w:r>
      <w:r w:rsidRPr="00B56229" w:rsidR="00992F94">
        <w:rPr>
          <w:rFonts w:ascii="Times New Roman" w:hAnsi="Times New Roman" w:cs="Times New Roman"/>
          <w:sz w:val="24"/>
          <w:szCs w:val="24"/>
        </w:rPr>
        <w:t xml:space="preserve">PUCO also required </w:t>
      </w:r>
      <w:r w:rsidRPr="00B56229" w:rsidR="00416BF3">
        <w:rPr>
          <w:rFonts w:ascii="Times New Roman" w:hAnsi="Times New Roman" w:cs="Times New Roman"/>
          <w:sz w:val="24"/>
          <w:szCs w:val="24"/>
        </w:rPr>
        <w:t>actual readings of its customer</w:t>
      </w:r>
      <w:r w:rsidRPr="00B56229" w:rsidR="00084B69">
        <w:rPr>
          <w:rFonts w:ascii="Times New Roman" w:hAnsi="Times New Roman" w:cs="Times New Roman"/>
          <w:sz w:val="24"/>
          <w:szCs w:val="24"/>
        </w:rPr>
        <w:t>s’</w:t>
      </w:r>
      <w:r w:rsidRPr="00B56229" w:rsidR="00416BF3">
        <w:rPr>
          <w:rFonts w:ascii="Times New Roman" w:hAnsi="Times New Roman" w:cs="Times New Roman"/>
          <w:sz w:val="24"/>
          <w:szCs w:val="24"/>
        </w:rPr>
        <w:t xml:space="preserve"> meters at least quarterly each calendar year </w:t>
      </w:r>
      <w:r w:rsidRPr="00B56229" w:rsidR="00992F94">
        <w:rPr>
          <w:rFonts w:ascii="Times New Roman" w:hAnsi="Times New Roman" w:cs="Times New Roman"/>
          <w:sz w:val="24"/>
          <w:szCs w:val="24"/>
        </w:rPr>
        <w:t>and monthly meter readings where advanced meters are in use.</w:t>
      </w:r>
      <w:r>
        <w:rPr>
          <w:rStyle w:val="FootnoteReference"/>
          <w:rFonts w:ascii="Times New Roman" w:hAnsi="Times New Roman" w:cs="Times New Roman"/>
          <w:sz w:val="24"/>
          <w:szCs w:val="24"/>
        </w:rPr>
        <w:footnoteReference w:id="8"/>
      </w:r>
      <w:r w:rsidRPr="00B56229" w:rsidR="00D41CF4">
        <w:rPr>
          <w:rFonts w:ascii="Times New Roman" w:hAnsi="Times New Roman" w:cs="Times New Roman"/>
          <w:sz w:val="24"/>
          <w:szCs w:val="24"/>
        </w:rPr>
        <w:t xml:space="preserve"> </w:t>
      </w:r>
      <w:r w:rsidRPr="00B56229" w:rsidR="00084B69">
        <w:rPr>
          <w:rFonts w:ascii="Times New Roman" w:hAnsi="Times New Roman" w:cs="Times New Roman"/>
          <w:sz w:val="24"/>
          <w:szCs w:val="24"/>
        </w:rPr>
        <w:t xml:space="preserve"> </w:t>
      </w:r>
      <w:r w:rsidRPr="00B56229" w:rsidR="00992F94">
        <w:rPr>
          <w:rFonts w:ascii="Times New Roman" w:hAnsi="Times New Roman" w:cs="Times New Roman"/>
          <w:sz w:val="24"/>
          <w:szCs w:val="24"/>
        </w:rPr>
        <w:t>The EDUs</w:t>
      </w:r>
      <w:r w:rsidRPr="00B56229" w:rsidR="00A53785">
        <w:rPr>
          <w:rFonts w:ascii="Times New Roman" w:hAnsi="Times New Roman" w:cs="Times New Roman"/>
          <w:sz w:val="24"/>
          <w:szCs w:val="24"/>
        </w:rPr>
        <w:t>’</w:t>
      </w:r>
      <w:r w:rsidRPr="00B56229" w:rsidR="00992F94">
        <w:rPr>
          <w:rFonts w:ascii="Times New Roman" w:hAnsi="Times New Roman" w:cs="Times New Roman"/>
          <w:sz w:val="24"/>
          <w:szCs w:val="24"/>
        </w:rPr>
        <w:t xml:space="preserve"> claim that the </w:t>
      </w:r>
      <w:r w:rsidRPr="00B56229" w:rsidR="00084B69">
        <w:rPr>
          <w:rFonts w:ascii="Times New Roman" w:hAnsi="Times New Roman" w:cs="Times New Roman"/>
          <w:sz w:val="24"/>
          <w:szCs w:val="24"/>
        </w:rPr>
        <w:t xml:space="preserve">PUCO’s order was unreasonable because the meter readings would be </w:t>
      </w:r>
      <w:r w:rsidRPr="00B56229" w:rsidR="00D41CF4">
        <w:rPr>
          <w:rFonts w:ascii="Times New Roman" w:hAnsi="Times New Roman" w:cs="Times New Roman"/>
          <w:sz w:val="24"/>
          <w:szCs w:val="24"/>
        </w:rPr>
        <w:t>burdensome</w:t>
      </w:r>
      <w:r w:rsidRPr="00B56229" w:rsidR="00992F94">
        <w:rPr>
          <w:rFonts w:ascii="Times New Roman" w:hAnsi="Times New Roman" w:cs="Times New Roman"/>
          <w:sz w:val="24"/>
          <w:szCs w:val="24"/>
        </w:rPr>
        <w:t xml:space="preserve"> should be rejected</w:t>
      </w:r>
      <w:r w:rsidRPr="00B56229" w:rsidR="00D41CF4">
        <w:rPr>
          <w:rFonts w:ascii="Times New Roman" w:hAnsi="Times New Roman" w:cs="Times New Roman"/>
          <w:sz w:val="24"/>
          <w:szCs w:val="24"/>
        </w:rPr>
        <w:t xml:space="preserve">. </w:t>
      </w:r>
    </w:p>
    <w:p w:rsidR="00450673" w:rsidRPr="00B56229" w:rsidP="00D44DA3" w14:paraId="1742C3EF" w14:textId="30E34649">
      <w:pPr>
        <w:spacing w:after="0" w:line="480" w:lineRule="auto"/>
        <w:ind w:firstLine="720"/>
        <w:rPr>
          <w:rFonts w:ascii="Times New Roman" w:hAnsi="Times New Roman" w:cs="Times New Roman"/>
          <w:sz w:val="24"/>
          <w:szCs w:val="24"/>
        </w:rPr>
      </w:pPr>
      <w:r w:rsidRPr="00B56229">
        <w:rPr>
          <w:rFonts w:ascii="Times New Roman" w:hAnsi="Times New Roman" w:cs="Times New Roman"/>
          <w:sz w:val="24"/>
          <w:szCs w:val="24"/>
        </w:rPr>
        <w:t>T</w:t>
      </w:r>
      <w:r w:rsidRPr="00B56229" w:rsidR="0019334C">
        <w:rPr>
          <w:rFonts w:ascii="Times New Roman" w:hAnsi="Times New Roman" w:cs="Times New Roman"/>
          <w:sz w:val="24"/>
          <w:szCs w:val="24"/>
        </w:rPr>
        <w:t xml:space="preserve">he PUCO’s order on this issue </w:t>
      </w:r>
      <w:r w:rsidRPr="00B56229" w:rsidR="00036B98">
        <w:rPr>
          <w:rFonts w:ascii="Times New Roman" w:hAnsi="Times New Roman" w:cs="Times New Roman"/>
          <w:sz w:val="24"/>
          <w:szCs w:val="24"/>
        </w:rPr>
        <w:t>correctly recognized that monthly meter reading are a benefit created by customers’ investment in advanced metering infrastructure (“AMI”) technology.</w:t>
      </w:r>
      <w:r>
        <w:rPr>
          <w:rStyle w:val="FootnoteReference"/>
          <w:rFonts w:ascii="Times New Roman" w:hAnsi="Times New Roman" w:cs="Times New Roman"/>
          <w:sz w:val="24"/>
          <w:szCs w:val="24"/>
        </w:rPr>
        <w:footnoteReference w:id="9"/>
      </w:r>
      <w:r w:rsidRPr="00B56229" w:rsidR="00036B98">
        <w:rPr>
          <w:rFonts w:ascii="Times New Roman" w:hAnsi="Times New Roman" w:cs="Times New Roman"/>
          <w:sz w:val="24"/>
          <w:szCs w:val="24"/>
        </w:rPr>
        <w:t xml:space="preserve"> With AMI, since an EDU is relying less on customer electricity usage estimates throughout the year, </w:t>
      </w:r>
      <w:r w:rsidRPr="00B56229">
        <w:rPr>
          <w:rFonts w:ascii="Times New Roman" w:hAnsi="Times New Roman" w:cs="Times New Roman"/>
          <w:sz w:val="24"/>
          <w:szCs w:val="24"/>
        </w:rPr>
        <w:t>increasing the number of required, actual meter readings helps accomplish the goal of providing customers with more accurate bills.</w:t>
      </w:r>
      <w:r>
        <w:rPr>
          <w:rStyle w:val="FootnoteReference"/>
          <w:rFonts w:ascii="Times New Roman" w:hAnsi="Times New Roman" w:cs="Times New Roman"/>
          <w:sz w:val="24"/>
          <w:szCs w:val="24"/>
        </w:rPr>
        <w:footnoteReference w:id="10"/>
      </w:r>
      <w:r w:rsidRPr="00B56229" w:rsidR="00A7443C">
        <w:rPr>
          <w:rFonts w:ascii="Times New Roman" w:hAnsi="Times New Roman" w:cs="Times New Roman"/>
          <w:sz w:val="24"/>
          <w:szCs w:val="24"/>
        </w:rPr>
        <w:t xml:space="preserve"> </w:t>
      </w:r>
      <w:r w:rsidRPr="00B56229" w:rsidR="00E0507B">
        <w:rPr>
          <w:rFonts w:ascii="Times New Roman" w:hAnsi="Times New Roman" w:cs="Times New Roman"/>
          <w:sz w:val="24"/>
          <w:szCs w:val="24"/>
        </w:rPr>
        <w:t xml:space="preserve"> </w:t>
      </w:r>
    </w:p>
    <w:p w:rsidR="004D410F" w:rsidRPr="00B56229" w:rsidP="00D44DA3" w14:paraId="318470FA" w14:textId="45393E3E">
      <w:pPr>
        <w:spacing w:after="0" w:line="480" w:lineRule="auto"/>
        <w:ind w:firstLine="720"/>
        <w:rPr>
          <w:rFonts w:ascii="Times New Roman" w:hAnsi="Times New Roman" w:cs="Times New Roman"/>
          <w:sz w:val="24"/>
          <w:szCs w:val="24"/>
        </w:rPr>
      </w:pPr>
      <w:r w:rsidRPr="00B56229">
        <w:rPr>
          <w:rFonts w:ascii="Times New Roman" w:hAnsi="Times New Roman" w:cs="Times New Roman"/>
          <w:sz w:val="24"/>
          <w:szCs w:val="24"/>
        </w:rPr>
        <w:t>The utilities also sough</w:t>
      </w:r>
      <w:r w:rsidRPr="00B56229" w:rsidR="00E90FD7">
        <w:rPr>
          <w:rFonts w:ascii="Times New Roman" w:hAnsi="Times New Roman" w:cs="Times New Roman"/>
          <w:sz w:val="24"/>
          <w:szCs w:val="24"/>
        </w:rPr>
        <w:t>t</w:t>
      </w:r>
      <w:r w:rsidRPr="00B56229">
        <w:rPr>
          <w:rFonts w:ascii="Times New Roman" w:hAnsi="Times New Roman" w:cs="Times New Roman"/>
          <w:sz w:val="24"/>
          <w:szCs w:val="24"/>
        </w:rPr>
        <w:t xml:space="preserve"> r</w:t>
      </w:r>
      <w:r w:rsidRPr="00B56229" w:rsidR="00450673">
        <w:rPr>
          <w:rFonts w:ascii="Times New Roman" w:hAnsi="Times New Roman" w:cs="Times New Roman"/>
          <w:sz w:val="24"/>
          <w:szCs w:val="24"/>
        </w:rPr>
        <w:t>ehearing</w:t>
      </w:r>
      <w:r>
        <w:rPr>
          <w:rStyle w:val="FootnoteReference"/>
          <w:rFonts w:ascii="Times New Roman" w:hAnsi="Times New Roman" w:cs="Times New Roman"/>
          <w:sz w:val="24"/>
          <w:szCs w:val="24"/>
        </w:rPr>
        <w:footnoteReference w:id="11"/>
      </w:r>
      <w:r w:rsidRPr="00B56229" w:rsidR="00450673">
        <w:rPr>
          <w:rFonts w:ascii="Times New Roman" w:hAnsi="Times New Roman" w:cs="Times New Roman"/>
          <w:sz w:val="24"/>
          <w:szCs w:val="24"/>
        </w:rPr>
        <w:t xml:space="preserve"> </w:t>
      </w:r>
      <w:r w:rsidRPr="00B56229" w:rsidR="007A7EB5">
        <w:rPr>
          <w:rFonts w:ascii="Times New Roman" w:hAnsi="Times New Roman" w:cs="Times New Roman"/>
          <w:sz w:val="24"/>
          <w:szCs w:val="24"/>
        </w:rPr>
        <w:t>oppos</w:t>
      </w:r>
      <w:r w:rsidRPr="00B56229">
        <w:rPr>
          <w:rFonts w:ascii="Times New Roman" w:hAnsi="Times New Roman" w:cs="Times New Roman"/>
          <w:sz w:val="24"/>
          <w:szCs w:val="24"/>
        </w:rPr>
        <w:t xml:space="preserve">ing </w:t>
      </w:r>
      <w:r w:rsidRPr="00B56229" w:rsidR="001148BC">
        <w:rPr>
          <w:rFonts w:ascii="Times New Roman" w:hAnsi="Times New Roman" w:cs="Times New Roman"/>
          <w:sz w:val="24"/>
          <w:szCs w:val="24"/>
        </w:rPr>
        <w:t xml:space="preserve">language </w:t>
      </w:r>
      <w:r w:rsidRPr="00B56229">
        <w:rPr>
          <w:rFonts w:ascii="Times New Roman" w:hAnsi="Times New Roman" w:cs="Times New Roman"/>
          <w:sz w:val="24"/>
          <w:szCs w:val="24"/>
        </w:rPr>
        <w:t xml:space="preserve">added to </w:t>
      </w:r>
      <w:r w:rsidRPr="00B56229" w:rsidR="001148BC">
        <w:rPr>
          <w:rFonts w:ascii="Times New Roman" w:hAnsi="Times New Roman" w:cs="Times New Roman"/>
          <w:sz w:val="24"/>
          <w:szCs w:val="24"/>
        </w:rPr>
        <w:t>4901:1-10-</w:t>
      </w:r>
      <w:r w:rsidRPr="00B56229" w:rsidR="007A7EB5">
        <w:rPr>
          <w:rFonts w:ascii="Times New Roman" w:hAnsi="Times New Roman" w:cs="Times New Roman"/>
          <w:sz w:val="24"/>
          <w:szCs w:val="24"/>
        </w:rPr>
        <w:t>22 and 4901:1-10-33 providing for non-utility (“non-jurisdictional”) charges on customer bills</w:t>
      </w:r>
      <w:r w:rsidRPr="00B56229" w:rsidR="00866731">
        <w:rPr>
          <w:rFonts w:ascii="Times New Roman" w:hAnsi="Times New Roman" w:cs="Times New Roman"/>
          <w:sz w:val="24"/>
          <w:szCs w:val="24"/>
        </w:rPr>
        <w:t xml:space="preserve">. </w:t>
      </w:r>
      <w:r w:rsidRPr="00B56229" w:rsidR="007A7EB5">
        <w:rPr>
          <w:rFonts w:ascii="Times New Roman" w:hAnsi="Times New Roman" w:cs="Times New Roman"/>
          <w:sz w:val="24"/>
          <w:szCs w:val="24"/>
        </w:rPr>
        <w:t>OCC agrees</w:t>
      </w:r>
      <w:r w:rsidR="007920E8">
        <w:rPr>
          <w:rFonts w:ascii="Times New Roman" w:hAnsi="Times New Roman" w:cs="Times New Roman"/>
          <w:sz w:val="24"/>
          <w:szCs w:val="24"/>
        </w:rPr>
        <w:t>, but for different reasons</w:t>
      </w:r>
      <w:r w:rsidRPr="00B56229">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Pr="00B56229" w:rsidR="007A7EB5">
        <w:rPr>
          <w:rFonts w:ascii="Times New Roman" w:hAnsi="Times New Roman" w:cs="Times New Roman"/>
          <w:sz w:val="24"/>
          <w:szCs w:val="24"/>
        </w:rPr>
        <w:t xml:space="preserve"> The PUCO should not have allowed non-utility </w:t>
      </w:r>
      <w:r w:rsidRPr="00B56229" w:rsidR="00A7443C">
        <w:rPr>
          <w:rFonts w:ascii="Times New Roman" w:hAnsi="Times New Roman" w:cs="Times New Roman"/>
          <w:sz w:val="24"/>
          <w:szCs w:val="24"/>
        </w:rPr>
        <w:t xml:space="preserve">non-jurisdictional </w:t>
      </w:r>
      <w:r w:rsidRPr="00B56229" w:rsidR="007A7EB5">
        <w:rPr>
          <w:rFonts w:ascii="Times New Roman" w:hAnsi="Times New Roman" w:cs="Times New Roman"/>
          <w:sz w:val="24"/>
          <w:szCs w:val="24"/>
        </w:rPr>
        <w:t xml:space="preserve">charges to be included on residential consumers’ </w:t>
      </w:r>
      <w:r w:rsidRPr="00B56229">
        <w:rPr>
          <w:rFonts w:ascii="Times New Roman" w:hAnsi="Times New Roman" w:cs="Times New Roman"/>
          <w:sz w:val="24"/>
          <w:szCs w:val="24"/>
        </w:rPr>
        <w:t xml:space="preserve">electric bills. </w:t>
      </w:r>
      <w:r w:rsidRPr="00B56229" w:rsidR="00E74DDE">
        <w:rPr>
          <w:rFonts w:ascii="Times New Roman" w:hAnsi="Times New Roman" w:cs="Times New Roman"/>
          <w:sz w:val="24"/>
          <w:szCs w:val="24"/>
        </w:rPr>
        <w:t>However, i</w:t>
      </w:r>
      <w:r w:rsidRPr="00B56229">
        <w:rPr>
          <w:rFonts w:ascii="Times New Roman" w:hAnsi="Times New Roman" w:cs="Times New Roman"/>
          <w:sz w:val="24"/>
          <w:szCs w:val="24"/>
        </w:rPr>
        <w:t xml:space="preserve">f this provision is allowed to stand, the PUCO should mandate that </w:t>
      </w:r>
      <w:r w:rsidRPr="00B56229" w:rsidR="00A7443C">
        <w:rPr>
          <w:rFonts w:ascii="Times New Roman" w:hAnsi="Times New Roman" w:cs="Times New Roman"/>
          <w:sz w:val="24"/>
          <w:szCs w:val="24"/>
        </w:rPr>
        <w:t xml:space="preserve">the </w:t>
      </w:r>
      <w:r w:rsidRPr="00B56229">
        <w:rPr>
          <w:rFonts w:ascii="Times New Roman" w:hAnsi="Times New Roman" w:cs="Times New Roman"/>
          <w:sz w:val="24"/>
          <w:szCs w:val="24"/>
        </w:rPr>
        <w:t>collection o</w:t>
      </w:r>
      <w:r w:rsidRPr="00B56229" w:rsidR="00A7443C">
        <w:rPr>
          <w:rFonts w:ascii="Times New Roman" w:hAnsi="Times New Roman" w:cs="Times New Roman"/>
          <w:sz w:val="24"/>
          <w:szCs w:val="24"/>
        </w:rPr>
        <w:t>f</w:t>
      </w:r>
      <w:r w:rsidRPr="00B56229">
        <w:rPr>
          <w:rFonts w:ascii="Times New Roman" w:hAnsi="Times New Roman" w:cs="Times New Roman"/>
          <w:sz w:val="24"/>
          <w:szCs w:val="24"/>
        </w:rPr>
        <w:t xml:space="preserve"> non-utility </w:t>
      </w:r>
      <w:r w:rsidRPr="00B56229" w:rsidR="00A7443C">
        <w:rPr>
          <w:rFonts w:ascii="Times New Roman" w:hAnsi="Times New Roman" w:cs="Times New Roman"/>
          <w:sz w:val="24"/>
          <w:szCs w:val="24"/>
        </w:rPr>
        <w:t xml:space="preserve">non-jurisdictional </w:t>
      </w:r>
      <w:r w:rsidRPr="00B56229">
        <w:rPr>
          <w:rFonts w:ascii="Times New Roman" w:hAnsi="Times New Roman" w:cs="Times New Roman"/>
          <w:sz w:val="24"/>
          <w:szCs w:val="24"/>
        </w:rPr>
        <w:t xml:space="preserve">charges </w:t>
      </w:r>
      <w:r w:rsidRPr="00B56229" w:rsidR="00E64B49">
        <w:rPr>
          <w:rFonts w:ascii="Times New Roman" w:hAnsi="Times New Roman" w:cs="Times New Roman"/>
          <w:sz w:val="24"/>
          <w:szCs w:val="24"/>
        </w:rPr>
        <w:t>be prohibited from</w:t>
      </w:r>
      <w:r w:rsidRPr="00B56229" w:rsidR="00136E98">
        <w:rPr>
          <w:rFonts w:ascii="Times New Roman" w:hAnsi="Times New Roman" w:cs="Times New Roman"/>
          <w:sz w:val="24"/>
          <w:szCs w:val="24"/>
        </w:rPr>
        <w:t xml:space="preserve"> </w:t>
      </w:r>
      <w:r w:rsidRPr="00B56229" w:rsidR="003E49FC">
        <w:rPr>
          <w:rFonts w:ascii="Times New Roman" w:hAnsi="Times New Roman" w:cs="Times New Roman"/>
          <w:sz w:val="24"/>
          <w:szCs w:val="24"/>
        </w:rPr>
        <w:t>collection</w:t>
      </w:r>
      <w:r w:rsidRPr="00B56229">
        <w:rPr>
          <w:rFonts w:ascii="Times New Roman" w:hAnsi="Times New Roman" w:cs="Times New Roman"/>
          <w:sz w:val="24"/>
          <w:szCs w:val="24"/>
        </w:rPr>
        <w:t xml:space="preserve"> through base rates</w:t>
      </w:r>
      <w:r w:rsidRPr="00B56229" w:rsidR="00FF52BE">
        <w:rPr>
          <w:rFonts w:ascii="Times New Roman" w:hAnsi="Times New Roman" w:cs="Times New Roman"/>
          <w:sz w:val="24"/>
          <w:szCs w:val="24"/>
        </w:rPr>
        <w:t xml:space="preserve">, </w:t>
      </w:r>
      <w:r w:rsidRPr="00B56229" w:rsidR="00447349">
        <w:rPr>
          <w:rFonts w:ascii="Times New Roman" w:hAnsi="Times New Roman" w:cs="Times New Roman"/>
          <w:sz w:val="24"/>
          <w:szCs w:val="24"/>
        </w:rPr>
        <w:t xml:space="preserve">through </w:t>
      </w:r>
      <w:r w:rsidRPr="00B56229">
        <w:rPr>
          <w:rFonts w:ascii="Times New Roman" w:hAnsi="Times New Roman" w:cs="Times New Roman"/>
          <w:sz w:val="24"/>
          <w:szCs w:val="24"/>
        </w:rPr>
        <w:t>any uncollectible rider</w:t>
      </w:r>
      <w:r w:rsidRPr="00B56229" w:rsidR="00FF52BE">
        <w:rPr>
          <w:rFonts w:ascii="Times New Roman" w:hAnsi="Times New Roman" w:cs="Times New Roman"/>
          <w:sz w:val="24"/>
          <w:szCs w:val="24"/>
        </w:rPr>
        <w:t xml:space="preserve"> </w:t>
      </w:r>
      <w:r w:rsidRPr="00B56229" w:rsidR="00447349">
        <w:rPr>
          <w:rFonts w:ascii="Times New Roman" w:hAnsi="Times New Roman" w:cs="Times New Roman"/>
          <w:sz w:val="24"/>
          <w:szCs w:val="24"/>
        </w:rPr>
        <w:t>or through</w:t>
      </w:r>
      <w:r w:rsidRPr="00B56229" w:rsidR="00FF52BE">
        <w:rPr>
          <w:rFonts w:ascii="Times New Roman" w:hAnsi="Times New Roman" w:cs="Times New Roman"/>
          <w:sz w:val="24"/>
          <w:szCs w:val="24"/>
        </w:rPr>
        <w:t xml:space="preserve"> the Universal Service Fund (USF) riders</w:t>
      </w:r>
      <w:r w:rsidRPr="00B56229">
        <w:rPr>
          <w:rFonts w:ascii="Times New Roman" w:hAnsi="Times New Roman" w:cs="Times New Roman"/>
          <w:sz w:val="24"/>
          <w:szCs w:val="24"/>
        </w:rPr>
        <w:t>.</w:t>
      </w:r>
      <w:bookmarkStart w:id="3" w:name="_Toc35935989"/>
      <w:r w:rsidRPr="00B56229">
        <w:rPr>
          <w:rFonts w:ascii="Times New Roman" w:hAnsi="Times New Roman" w:cs="Times New Roman"/>
          <w:sz w:val="24"/>
          <w:szCs w:val="24"/>
        </w:rPr>
        <w:t xml:space="preserve"> And the PUCO should make sure that all expenses associated with billing system changes to allow this rule to take effect </w:t>
      </w:r>
      <w:r w:rsidRPr="00B56229" w:rsidR="00E90FD7">
        <w:rPr>
          <w:rFonts w:ascii="Times New Roman" w:hAnsi="Times New Roman" w:cs="Times New Roman"/>
          <w:sz w:val="24"/>
          <w:szCs w:val="24"/>
        </w:rPr>
        <w:t>are collected from the cost causers</w:t>
      </w:r>
      <w:r w:rsidRPr="00B56229" w:rsidR="00A53785">
        <w:rPr>
          <w:rFonts w:ascii="Times New Roman" w:hAnsi="Times New Roman" w:cs="Times New Roman"/>
          <w:sz w:val="24"/>
          <w:szCs w:val="24"/>
        </w:rPr>
        <w:t xml:space="preserve">: </w:t>
      </w:r>
      <w:r w:rsidRPr="00B56229" w:rsidR="00E90FD7">
        <w:rPr>
          <w:rFonts w:ascii="Times New Roman" w:hAnsi="Times New Roman" w:cs="Times New Roman"/>
          <w:sz w:val="24"/>
          <w:szCs w:val="24"/>
        </w:rPr>
        <w:t>those non-utilities that are marketing the non</w:t>
      </w:r>
      <w:r w:rsidRPr="00B56229" w:rsidR="00B86D88">
        <w:rPr>
          <w:rFonts w:ascii="Times New Roman" w:hAnsi="Times New Roman" w:cs="Times New Roman"/>
          <w:sz w:val="24"/>
          <w:szCs w:val="24"/>
        </w:rPr>
        <w:t>-</w:t>
      </w:r>
      <w:r w:rsidRPr="00B56229" w:rsidR="00E90FD7">
        <w:rPr>
          <w:rFonts w:ascii="Times New Roman" w:hAnsi="Times New Roman" w:cs="Times New Roman"/>
          <w:sz w:val="24"/>
          <w:szCs w:val="24"/>
        </w:rPr>
        <w:t xml:space="preserve">jurisdictional goods on customers’ utility bills.  </w:t>
      </w:r>
    </w:p>
    <w:p w:rsidR="00592B48" w:rsidRPr="00B56229" w:rsidP="00D44DA3" w14:paraId="7E526CCD" w14:textId="780BEF65">
      <w:pPr>
        <w:spacing w:after="0" w:line="480" w:lineRule="auto"/>
        <w:ind w:firstLine="720"/>
        <w:rPr>
          <w:rFonts w:ascii="Times New Roman" w:hAnsi="Times New Roman" w:cs="Times New Roman"/>
          <w:sz w:val="24"/>
          <w:szCs w:val="24"/>
        </w:rPr>
      </w:pPr>
      <w:r w:rsidRPr="00B56229">
        <w:rPr>
          <w:rFonts w:ascii="Times New Roman" w:hAnsi="Times New Roman" w:cs="Times New Roman"/>
          <w:sz w:val="24"/>
          <w:szCs w:val="24"/>
        </w:rPr>
        <w:t>Finally, OCC continues to maintain that the PUCO erred by not prohibiting the EDUs from releasing customer contact information to energy marketers unless consumers opt-in to the release of their personal information.</w:t>
      </w:r>
      <w:r>
        <w:rPr>
          <w:rStyle w:val="FootnoteReference"/>
          <w:rFonts w:ascii="Times New Roman" w:hAnsi="Times New Roman" w:cs="Times New Roman"/>
          <w:sz w:val="24"/>
          <w:szCs w:val="24"/>
        </w:rPr>
        <w:footnoteReference w:id="13"/>
      </w:r>
      <w:r w:rsidRPr="00B56229">
        <w:rPr>
          <w:rFonts w:ascii="Times New Roman" w:hAnsi="Times New Roman" w:cs="Times New Roman"/>
          <w:sz w:val="24"/>
          <w:szCs w:val="24"/>
        </w:rPr>
        <w:t xml:space="preserve"> </w:t>
      </w:r>
    </w:p>
    <w:p w:rsidR="00D44DA3" w:rsidRPr="00B56229" w:rsidP="00D44DA3" w14:paraId="2F821694" w14:textId="77777777">
      <w:pPr>
        <w:spacing w:after="0" w:line="240" w:lineRule="auto"/>
        <w:ind w:firstLine="720"/>
        <w:rPr>
          <w:rFonts w:ascii="Times New Roman" w:hAnsi="Times New Roman" w:cs="Times New Roman"/>
          <w:sz w:val="24"/>
          <w:szCs w:val="24"/>
        </w:rPr>
      </w:pPr>
    </w:p>
    <w:p w:rsidR="004D410F" w:rsidRPr="00B56229" w:rsidP="00F33271" w14:paraId="529262EC" w14:textId="77777777">
      <w:pPr>
        <w:pStyle w:val="Heading1"/>
        <w:rPr>
          <w:rFonts w:ascii="Times New Roman" w:hAnsi="Times New Roman"/>
        </w:rPr>
      </w:pPr>
      <w:bookmarkStart w:id="4" w:name="_Toc37084886"/>
      <w:bookmarkStart w:id="5" w:name="_Toc35935990"/>
      <w:bookmarkEnd w:id="3"/>
      <w:r w:rsidRPr="00B56229">
        <w:rPr>
          <w:rFonts w:ascii="Times New Roman" w:hAnsi="Times New Roman"/>
        </w:rPr>
        <w:t>ARGUMENT</w:t>
      </w:r>
      <w:bookmarkEnd w:id="4"/>
    </w:p>
    <w:p w:rsidR="00306DCB" w:rsidRPr="00B56229" w:rsidP="00FF09A7" w14:paraId="0A0536C8" w14:textId="4CAAD924">
      <w:pPr>
        <w:pStyle w:val="Heading2"/>
        <w:rPr>
          <w:rFonts w:ascii="Times New Roman" w:hAnsi="Times New Roman" w:cs="Times New Roman"/>
          <w:szCs w:val="24"/>
        </w:rPr>
      </w:pPr>
      <w:bookmarkStart w:id="6" w:name="_Toc37084887"/>
      <w:r w:rsidRPr="00B56229">
        <w:rPr>
          <w:rFonts w:ascii="Times New Roman" w:hAnsi="Times New Roman" w:cs="Times New Roman"/>
          <w:szCs w:val="24"/>
        </w:rPr>
        <w:t>R.C. 4928.10(C</w:t>
      </w:r>
      <w:r w:rsidRPr="00B56229" w:rsidR="0056095F">
        <w:rPr>
          <w:rFonts w:ascii="Times New Roman" w:hAnsi="Times New Roman" w:cs="Times New Roman"/>
          <w:szCs w:val="24"/>
        </w:rPr>
        <w:t>)</w:t>
      </w:r>
      <w:r w:rsidRPr="00B56229">
        <w:rPr>
          <w:rFonts w:ascii="Times New Roman" w:hAnsi="Times New Roman" w:cs="Times New Roman"/>
          <w:szCs w:val="24"/>
        </w:rPr>
        <w:t xml:space="preserve">(2) </w:t>
      </w:r>
      <w:r w:rsidRPr="00B56229" w:rsidR="005F6ABD">
        <w:rPr>
          <w:rFonts w:ascii="Times New Roman" w:hAnsi="Times New Roman" w:cs="Times New Roman"/>
          <w:szCs w:val="24"/>
        </w:rPr>
        <w:t>supports</w:t>
      </w:r>
      <w:r w:rsidRPr="00B56229" w:rsidR="0056095F">
        <w:rPr>
          <w:rFonts w:ascii="Times New Roman" w:hAnsi="Times New Roman" w:cs="Times New Roman"/>
          <w:szCs w:val="24"/>
        </w:rPr>
        <w:t xml:space="preserve"> the </w:t>
      </w:r>
      <w:r w:rsidRPr="00B56229">
        <w:rPr>
          <w:rFonts w:ascii="Times New Roman" w:hAnsi="Times New Roman" w:cs="Times New Roman"/>
          <w:szCs w:val="24"/>
        </w:rPr>
        <w:t xml:space="preserve">PUCO’s </w:t>
      </w:r>
      <w:r w:rsidRPr="00B56229" w:rsidR="00F94E18">
        <w:rPr>
          <w:rFonts w:ascii="Times New Roman" w:hAnsi="Times New Roman" w:cs="Times New Roman"/>
          <w:szCs w:val="24"/>
        </w:rPr>
        <w:t>revision to rule 4901:1-10-22(C</w:t>
      </w:r>
      <w:r w:rsidRPr="00B56229" w:rsidR="00D30C94">
        <w:rPr>
          <w:rFonts w:ascii="Times New Roman" w:hAnsi="Times New Roman" w:cs="Times New Roman"/>
          <w:szCs w:val="24"/>
        </w:rPr>
        <w:t>)</w:t>
      </w:r>
      <w:r w:rsidRPr="00B56229" w:rsidR="00F94E18">
        <w:rPr>
          <w:rFonts w:ascii="Times New Roman" w:hAnsi="Times New Roman" w:cs="Times New Roman"/>
          <w:szCs w:val="24"/>
        </w:rPr>
        <w:t xml:space="preserve"> </w:t>
      </w:r>
      <w:r w:rsidRPr="00B56229" w:rsidR="00FF09A7">
        <w:rPr>
          <w:rFonts w:ascii="Times New Roman" w:hAnsi="Times New Roman" w:cs="Times New Roman"/>
          <w:szCs w:val="24"/>
        </w:rPr>
        <w:t xml:space="preserve">that </w:t>
      </w:r>
      <w:r w:rsidRPr="00B56229" w:rsidR="00F94E18">
        <w:rPr>
          <w:rFonts w:ascii="Times New Roman" w:hAnsi="Times New Roman" w:cs="Times New Roman"/>
          <w:szCs w:val="24"/>
        </w:rPr>
        <w:t>requir</w:t>
      </w:r>
      <w:r w:rsidRPr="00B56229" w:rsidR="00FF09A7">
        <w:rPr>
          <w:rFonts w:ascii="Times New Roman" w:hAnsi="Times New Roman" w:cs="Times New Roman"/>
          <w:szCs w:val="24"/>
        </w:rPr>
        <w:t>es</w:t>
      </w:r>
      <w:r w:rsidRPr="00B56229" w:rsidR="00F94E18">
        <w:rPr>
          <w:rFonts w:ascii="Times New Roman" w:hAnsi="Times New Roman" w:cs="Times New Roman"/>
          <w:szCs w:val="24"/>
        </w:rPr>
        <w:t xml:space="preserve"> electric </w:t>
      </w:r>
      <w:r w:rsidRPr="00B56229" w:rsidR="00D44DA3">
        <w:rPr>
          <w:rFonts w:ascii="Times New Roman" w:hAnsi="Times New Roman" w:cs="Times New Roman"/>
          <w:szCs w:val="24"/>
        </w:rPr>
        <w:t>utilities</w:t>
      </w:r>
      <w:r w:rsidRPr="00B56229" w:rsidR="00F94E18">
        <w:rPr>
          <w:rFonts w:ascii="Times New Roman" w:hAnsi="Times New Roman" w:cs="Times New Roman"/>
          <w:szCs w:val="24"/>
        </w:rPr>
        <w:t xml:space="preserve"> to maintain an online bill calculator</w:t>
      </w:r>
      <w:r w:rsidRPr="00B56229" w:rsidR="00FF09A7">
        <w:rPr>
          <w:rFonts w:ascii="Times New Roman" w:hAnsi="Times New Roman" w:cs="Times New Roman"/>
          <w:szCs w:val="24"/>
        </w:rPr>
        <w:t xml:space="preserve"> to help consumers understand how their bill is calculated and to protect consumers from billing inaccuracies</w:t>
      </w:r>
      <w:r w:rsidRPr="00B56229">
        <w:rPr>
          <w:rFonts w:ascii="Times New Roman" w:hAnsi="Times New Roman" w:cs="Times New Roman"/>
          <w:szCs w:val="24"/>
        </w:rPr>
        <w:t>.</w:t>
      </w:r>
      <w:bookmarkEnd w:id="6"/>
    </w:p>
    <w:p w:rsidR="00E833F7" w:rsidRPr="00B56229" w:rsidP="00DC5B9D" w14:paraId="7FEA8484" w14:textId="4848DA62">
      <w:pPr>
        <w:pStyle w:val="NormalWeb"/>
        <w:spacing w:before="0" w:beforeAutospacing="0" w:after="0" w:afterAutospacing="0" w:line="480" w:lineRule="auto"/>
        <w:ind w:firstLine="720"/>
        <w:rPr>
          <w:bCs/>
        </w:rPr>
      </w:pPr>
      <w:r w:rsidRPr="00B56229">
        <w:rPr>
          <w:bCs/>
        </w:rPr>
        <w:t xml:space="preserve">The minimum service requirements for consumer protection under Ohio law require </w:t>
      </w:r>
      <w:r w:rsidRPr="00B56229" w:rsidR="00E74DDE">
        <w:rPr>
          <w:bCs/>
        </w:rPr>
        <w:t xml:space="preserve">the </w:t>
      </w:r>
      <w:r w:rsidRPr="00B56229">
        <w:rPr>
          <w:bCs/>
        </w:rPr>
        <w:t xml:space="preserve">PUCO </w:t>
      </w:r>
      <w:r w:rsidRPr="00B56229" w:rsidR="00BF66AC">
        <w:rPr>
          <w:bCs/>
        </w:rPr>
        <w:t xml:space="preserve">to </w:t>
      </w:r>
      <w:r w:rsidRPr="00B56229" w:rsidR="00E74DDE">
        <w:rPr>
          <w:bCs/>
        </w:rPr>
        <w:t xml:space="preserve">adopt </w:t>
      </w:r>
      <w:r w:rsidRPr="00B56229">
        <w:rPr>
          <w:bCs/>
        </w:rPr>
        <w:t xml:space="preserve">rules </w:t>
      </w:r>
      <w:r w:rsidRPr="00B56229" w:rsidR="00E74DDE">
        <w:rPr>
          <w:bCs/>
        </w:rPr>
        <w:t xml:space="preserve">that </w:t>
      </w:r>
      <w:r w:rsidRPr="00B56229">
        <w:rPr>
          <w:bCs/>
        </w:rPr>
        <w:t>require</w:t>
      </w:r>
      <w:r w:rsidRPr="00B56229" w:rsidR="00FF09A7">
        <w:rPr>
          <w:bCs/>
        </w:rPr>
        <w:t>:</w:t>
      </w:r>
      <w:r w:rsidRPr="00B56229">
        <w:rPr>
          <w:bCs/>
        </w:rPr>
        <w:t xml:space="preserve"> </w:t>
      </w:r>
      <w:r w:rsidRPr="00B56229" w:rsidR="00E74DDE">
        <w:rPr>
          <w:bCs/>
        </w:rPr>
        <w:t>“</w:t>
      </w:r>
      <w:r w:rsidRPr="00B56229">
        <w:rPr>
          <w:bCs/>
        </w:rPr>
        <w:t>to the maximum extent practicable,  a separate listing of each service component to enable a customer to recalculate its bill for accuracy.”</w:t>
      </w:r>
      <w:r>
        <w:rPr>
          <w:rStyle w:val="FootnoteReference"/>
          <w:bCs/>
        </w:rPr>
        <w:footnoteReference w:id="14"/>
      </w:r>
      <w:r w:rsidRPr="00B56229">
        <w:rPr>
          <w:bCs/>
        </w:rPr>
        <w:t xml:space="preserve"> </w:t>
      </w:r>
      <w:r w:rsidRPr="00B56229" w:rsidR="008D6CA9">
        <w:rPr>
          <w:bCs/>
        </w:rPr>
        <w:t xml:space="preserve">The PUCO’s order requiring EDUs to maintain an online bill calculator </w:t>
      </w:r>
      <w:r w:rsidRPr="00B56229">
        <w:rPr>
          <w:bCs/>
        </w:rPr>
        <w:t>that shows “each and every rate or charge and permits customers to enter their billing determinates to determine the accuracy of their bill”</w:t>
      </w:r>
      <w:r>
        <w:rPr>
          <w:rStyle w:val="FootnoteReference"/>
          <w:bCs/>
        </w:rPr>
        <w:footnoteReference w:id="15"/>
      </w:r>
      <w:r w:rsidRPr="00B56229">
        <w:rPr>
          <w:bCs/>
        </w:rPr>
        <w:t xml:space="preserve"> </w:t>
      </w:r>
      <w:r w:rsidRPr="00B56229" w:rsidR="008D6CA9">
        <w:rPr>
          <w:bCs/>
        </w:rPr>
        <w:t>is reasonable and conforms to th</w:t>
      </w:r>
      <w:r w:rsidR="007920E8">
        <w:rPr>
          <w:bCs/>
        </w:rPr>
        <w:t>is statutory provision</w:t>
      </w:r>
      <w:r w:rsidRPr="00B56229" w:rsidR="008D6CA9">
        <w:rPr>
          <w:bCs/>
        </w:rPr>
        <w:t>.</w:t>
      </w:r>
      <w:r>
        <w:rPr>
          <w:rStyle w:val="FootnoteReference"/>
          <w:bCs/>
        </w:rPr>
        <w:footnoteReference w:id="16"/>
      </w:r>
      <w:r w:rsidRPr="00B56229" w:rsidR="008D6CA9">
        <w:rPr>
          <w:bCs/>
        </w:rPr>
        <w:t xml:space="preserve"> </w:t>
      </w:r>
      <w:r w:rsidRPr="00B56229">
        <w:rPr>
          <w:bCs/>
        </w:rPr>
        <w:t xml:space="preserve">The PUCO should </w:t>
      </w:r>
      <w:r w:rsidRPr="00B56229" w:rsidR="00E90FD7">
        <w:rPr>
          <w:bCs/>
        </w:rPr>
        <w:t>reject</w:t>
      </w:r>
      <w:r w:rsidRPr="00B56229">
        <w:rPr>
          <w:bCs/>
        </w:rPr>
        <w:t xml:space="preserve"> Duke and FirstEnergy’s argument</w:t>
      </w:r>
      <w:r w:rsidRPr="00B56229" w:rsidR="001B37A6">
        <w:rPr>
          <w:bCs/>
        </w:rPr>
        <w:t>s</w:t>
      </w:r>
      <w:r>
        <w:rPr>
          <w:rStyle w:val="FootnoteReference"/>
          <w:bCs/>
        </w:rPr>
        <w:footnoteReference w:id="17"/>
      </w:r>
      <w:r w:rsidRPr="00B56229">
        <w:rPr>
          <w:bCs/>
        </w:rPr>
        <w:t xml:space="preserve"> that an online bill calculator </w:t>
      </w:r>
      <w:r w:rsidRPr="00B56229" w:rsidR="00E90FD7">
        <w:rPr>
          <w:bCs/>
        </w:rPr>
        <w:t xml:space="preserve">for each utility </w:t>
      </w:r>
      <w:r w:rsidRPr="00B56229">
        <w:rPr>
          <w:bCs/>
        </w:rPr>
        <w:t xml:space="preserve">is unnecessary, administratively burdensome, </w:t>
      </w:r>
      <w:r w:rsidRPr="00B56229" w:rsidR="00866731">
        <w:rPr>
          <w:bCs/>
        </w:rPr>
        <w:t>or</w:t>
      </w:r>
      <w:r w:rsidRPr="00B56229">
        <w:rPr>
          <w:bCs/>
        </w:rPr>
        <w:t xml:space="preserve"> not supported by the evidence.</w:t>
      </w:r>
    </w:p>
    <w:p w:rsidR="00D30C94" w:rsidRPr="00B56229" w:rsidP="00DC5B9D" w14:paraId="77BD2664" w14:textId="0FA881A9">
      <w:pPr>
        <w:pStyle w:val="NormalWeb"/>
        <w:spacing w:before="0" w:beforeAutospacing="0" w:after="0" w:afterAutospacing="0" w:line="480" w:lineRule="auto"/>
        <w:ind w:firstLine="720"/>
        <w:rPr>
          <w:bCs/>
        </w:rPr>
      </w:pPr>
      <w:r w:rsidRPr="00B56229">
        <w:rPr>
          <w:bCs/>
        </w:rPr>
        <w:t>T</w:t>
      </w:r>
      <w:r w:rsidRPr="00B56229" w:rsidR="000B31CC">
        <w:rPr>
          <w:bCs/>
        </w:rPr>
        <w:t>h</w:t>
      </w:r>
      <w:r w:rsidRPr="00B56229" w:rsidR="00E90FD7">
        <w:rPr>
          <w:bCs/>
        </w:rPr>
        <w:t>ere is no administrative burden for Duke to comply with th</w:t>
      </w:r>
      <w:r w:rsidRPr="00B56229" w:rsidR="000B31CC">
        <w:rPr>
          <w:bCs/>
        </w:rPr>
        <w:t xml:space="preserve">is requirement because </w:t>
      </w:r>
      <w:r w:rsidRPr="00B56229" w:rsidR="006223F2">
        <w:rPr>
          <w:bCs/>
        </w:rPr>
        <w:t>that utility</w:t>
      </w:r>
      <w:r w:rsidRPr="00B56229" w:rsidR="00E90FD7">
        <w:rPr>
          <w:bCs/>
        </w:rPr>
        <w:t xml:space="preserve"> </w:t>
      </w:r>
      <w:r w:rsidR="007920E8">
        <w:rPr>
          <w:bCs/>
        </w:rPr>
        <w:t xml:space="preserve">claims it </w:t>
      </w:r>
      <w:r w:rsidRPr="00B56229" w:rsidR="00E90FD7">
        <w:rPr>
          <w:bCs/>
        </w:rPr>
        <w:t xml:space="preserve">already </w:t>
      </w:r>
      <w:r w:rsidRPr="00B56229" w:rsidR="004C1B76">
        <w:rPr>
          <w:bCs/>
        </w:rPr>
        <w:t>“maintains such a calculator for residential rates, pursuant to an earlier Commission Order.”</w:t>
      </w:r>
      <w:r>
        <w:rPr>
          <w:rStyle w:val="FootnoteReference"/>
          <w:bCs/>
        </w:rPr>
        <w:footnoteReference w:id="18"/>
      </w:r>
      <w:r w:rsidRPr="00B56229" w:rsidR="004C1B76">
        <w:rPr>
          <w:bCs/>
        </w:rPr>
        <w:t xml:space="preserve"> </w:t>
      </w:r>
      <w:r w:rsidRPr="00B56229">
        <w:rPr>
          <w:bCs/>
        </w:rPr>
        <w:t>FirstEnergy’s similar claims that an online bill calculator is “administratively burdensome” and “not vetted” in comments should be rejected.</w:t>
      </w:r>
      <w:r>
        <w:rPr>
          <w:rStyle w:val="FootnoteReference"/>
          <w:bCs/>
        </w:rPr>
        <w:footnoteReference w:id="19"/>
      </w:r>
      <w:r w:rsidRPr="00B56229">
        <w:rPr>
          <w:bCs/>
        </w:rPr>
        <w:t xml:space="preserve"> </w:t>
      </w:r>
      <w:r w:rsidRPr="00B56229" w:rsidR="006858A8">
        <w:rPr>
          <w:bCs/>
        </w:rPr>
        <w:t>A</w:t>
      </w:r>
      <w:r w:rsidRPr="00B56229" w:rsidR="00103A3D">
        <w:rPr>
          <w:bCs/>
        </w:rPr>
        <w:t xml:space="preserve">s the PUCO found, an online bill calculator on each EDU website is necessary, </w:t>
      </w:r>
      <w:r w:rsidRPr="00B56229" w:rsidR="00B8325F">
        <w:rPr>
          <w:bCs/>
        </w:rPr>
        <w:t xml:space="preserve">and is supported by the evidence, </w:t>
      </w:r>
      <w:r w:rsidRPr="00B56229" w:rsidR="00103A3D">
        <w:rPr>
          <w:bCs/>
        </w:rPr>
        <w:t>because of the barriers customers face when trying to verify their bills</w:t>
      </w:r>
      <w:r w:rsidRPr="00B56229" w:rsidR="00B14258">
        <w:rPr>
          <w:bCs/>
        </w:rPr>
        <w:t xml:space="preserve">. </w:t>
      </w:r>
    </w:p>
    <w:p w:rsidR="0086004D" w:rsidRPr="00B56229" w:rsidP="00DC5B9D" w14:paraId="572225E7" w14:textId="121F03E4">
      <w:pPr>
        <w:pStyle w:val="NormalWeb"/>
        <w:spacing w:before="0" w:beforeAutospacing="0" w:after="0" w:afterAutospacing="0" w:line="480" w:lineRule="auto"/>
        <w:ind w:firstLine="720"/>
        <w:rPr>
          <w:bCs/>
        </w:rPr>
      </w:pPr>
      <w:r w:rsidRPr="00B56229">
        <w:rPr>
          <w:bCs/>
        </w:rPr>
        <w:t>T</w:t>
      </w:r>
      <w:r w:rsidRPr="00B56229" w:rsidR="00866731">
        <w:rPr>
          <w:bCs/>
        </w:rPr>
        <w:t>he PUCO’s rule that an</w:t>
      </w:r>
      <w:r w:rsidRPr="00B56229">
        <w:rPr>
          <w:bCs/>
        </w:rPr>
        <w:t xml:space="preserve"> online bill calculator </w:t>
      </w:r>
      <w:r w:rsidRPr="00B56229" w:rsidR="00866731">
        <w:rPr>
          <w:bCs/>
        </w:rPr>
        <w:t xml:space="preserve">be required on each EDU website as </w:t>
      </w:r>
      <w:r w:rsidRPr="00B56229">
        <w:rPr>
          <w:bCs/>
        </w:rPr>
        <w:t xml:space="preserve"> the most effective way for customers to be able to recalculate their bill for accuracy</w:t>
      </w:r>
      <w:r w:rsidRPr="00B56229" w:rsidR="00866731">
        <w:rPr>
          <w:bCs/>
        </w:rPr>
        <w:t xml:space="preserve"> is supported by the evidence</w:t>
      </w:r>
      <w:r w:rsidRPr="00B56229">
        <w:rPr>
          <w:bCs/>
        </w:rPr>
        <w:t>.</w:t>
      </w:r>
      <w:r>
        <w:rPr>
          <w:rStyle w:val="FootnoteReference"/>
          <w:bCs/>
        </w:rPr>
        <w:footnoteReference w:id="20"/>
      </w:r>
      <w:r w:rsidRPr="00B56229">
        <w:rPr>
          <w:bCs/>
        </w:rPr>
        <w:t xml:space="preserve"> </w:t>
      </w:r>
      <w:r w:rsidRPr="00B56229" w:rsidR="002A2A42">
        <w:rPr>
          <w:bCs/>
        </w:rPr>
        <w:t>OCC recognized in Comments that the number of riders and phase-in recovery charges included in customer bills makes</w:t>
      </w:r>
      <w:r w:rsidRPr="00B56229" w:rsidR="00866731">
        <w:rPr>
          <w:bCs/>
        </w:rPr>
        <w:t xml:space="preserve"> it nearly impossible for customers to </w:t>
      </w:r>
      <w:r w:rsidRPr="00B56229" w:rsidR="002A2A42">
        <w:rPr>
          <w:bCs/>
        </w:rPr>
        <w:t>independently verify</w:t>
      </w:r>
      <w:r w:rsidRPr="00B56229" w:rsidR="00866731">
        <w:rPr>
          <w:bCs/>
        </w:rPr>
        <w:t xml:space="preserve"> </w:t>
      </w:r>
      <w:r w:rsidRPr="00B56229" w:rsidR="00D44767">
        <w:rPr>
          <w:bCs/>
        </w:rPr>
        <w:t xml:space="preserve">the accuracy of </w:t>
      </w:r>
      <w:r w:rsidRPr="00B56229" w:rsidR="00866731">
        <w:rPr>
          <w:bCs/>
        </w:rPr>
        <w:t>their bill</w:t>
      </w:r>
      <w:r w:rsidRPr="00B56229" w:rsidR="00D44767">
        <w:rPr>
          <w:bCs/>
        </w:rPr>
        <w:t>s</w:t>
      </w:r>
      <w:r w:rsidRPr="00B56229" w:rsidR="00866731">
        <w:rPr>
          <w:bCs/>
        </w:rPr>
        <w:t>.</w:t>
      </w:r>
      <w:r w:rsidRPr="00B56229" w:rsidR="002A2A42">
        <w:rPr>
          <w:bCs/>
        </w:rPr>
        <w:t xml:space="preserve"> Therefore, OCC</w:t>
      </w:r>
      <w:r w:rsidRPr="00B56229" w:rsidR="00E833F7">
        <w:rPr>
          <w:bCs/>
        </w:rPr>
        <w:t xml:space="preserve"> proposed </w:t>
      </w:r>
      <w:r w:rsidRPr="00B56229" w:rsidR="007C5240">
        <w:rPr>
          <w:bCs/>
        </w:rPr>
        <w:t>that that a new rule be added on Ohio Adm.Code 4901:1-10-22 that would require disclosure of all riders exceeding a certain dollar amount on residential customer bills</w:t>
      </w:r>
      <w:r w:rsidRPr="00B56229">
        <w:rPr>
          <w:bCs/>
        </w:rPr>
        <w:t>.</w:t>
      </w:r>
      <w:r>
        <w:rPr>
          <w:rStyle w:val="FootnoteReference"/>
          <w:bCs/>
        </w:rPr>
        <w:footnoteReference w:id="21"/>
      </w:r>
      <w:r w:rsidRPr="00B56229">
        <w:rPr>
          <w:bCs/>
        </w:rPr>
        <w:t xml:space="preserve"> Ohio law requires that customers be provided, to the extent possible, a separate listing of each service component on the bill so that customers can recalculate their bill for accuracy.</w:t>
      </w:r>
      <w:r>
        <w:rPr>
          <w:rStyle w:val="FootnoteReference"/>
          <w:bCs/>
        </w:rPr>
        <w:footnoteReference w:id="22"/>
      </w:r>
      <w:r w:rsidRPr="00B56229" w:rsidR="00FA5CFF">
        <w:rPr>
          <w:bCs/>
        </w:rPr>
        <w:t xml:space="preserve"> </w:t>
      </w:r>
      <w:r w:rsidRPr="00B56229" w:rsidR="007C5240">
        <w:rPr>
          <w:bCs/>
        </w:rPr>
        <w:t xml:space="preserve"> </w:t>
      </w:r>
    </w:p>
    <w:p w:rsidR="0086004D" w:rsidRPr="00B56229" w:rsidP="00DC5B9D" w14:paraId="5C7918F1" w14:textId="60576AAB">
      <w:pPr>
        <w:pStyle w:val="NormalWeb"/>
        <w:spacing w:before="0" w:beforeAutospacing="0" w:after="0" w:afterAutospacing="0" w:line="480" w:lineRule="auto"/>
        <w:ind w:firstLine="720"/>
        <w:rPr>
          <w:bCs/>
        </w:rPr>
      </w:pPr>
      <w:r w:rsidRPr="00B56229">
        <w:rPr>
          <w:bCs/>
        </w:rPr>
        <w:t>T</w:t>
      </w:r>
      <w:r w:rsidRPr="00B56229" w:rsidR="007C5240">
        <w:rPr>
          <w:bCs/>
        </w:rPr>
        <w:t xml:space="preserve">he PUCO agreed with OCC regarding barriers customers face </w:t>
      </w:r>
      <w:r w:rsidRPr="00B56229">
        <w:rPr>
          <w:bCs/>
        </w:rPr>
        <w:t>when it comes to verifying their bill for accuracy.</w:t>
      </w:r>
      <w:r>
        <w:rPr>
          <w:rStyle w:val="FootnoteReference"/>
          <w:bCs/>
        </w:rPr>
        <w:footnoteReference w:id="23"/>
      </w:r>
      <w:r w:rsidRPr="00B56229">
        <w:rPr>
          <w:bCs/>
        </w:rPr>
        <w:t xml:space="preserve"> The PUCO then required the EDUs to maintain an online active bill calculator that permits customers to enter their billing determinants to determine the accuracy of the bill. This requirement is part of the minimum service requirements for consumer protection found in R.C. 4928.10</w:t>
      </w:r>
      <w:r w:rsidRPr="00B56229" w:rsidR="00B8325F">
        <w:rPr>
          <w:bCs/>
        </w:rPr>
        <w:t>(C)</w:t>
      </w:r>
      <w:r w:rsidRPr="00B56229">
        <w:rPr>
          <w:bCs/>
        </w:rPr>
        <w:t>.</w:t>
      </w:r>
      <w:r>
        <w:rPr>
          <w:rStyle w:val="FootnoteReference"/>
          <w:bCs/>
        </w:rPr>
        <w:footnoteReference w:id="24"/>
      </w:r>
      <w:r w:rsidRPr="00B56229" w:rsidR="001B37A6">
        <w:rPr>
          <w:bCs/>
        </w:rPr>
        <w:t xml:space="preserve"> </w:t>
      </w:r>
      <w:r w:rsidRPr="00B56229" w:rsidR="002A2A42">
        <w:rPr>
          <w:bCs/>
        </w:rPr>
        <w:t>Thus, t</w:t>
      </w:r>
      <w:r w:rsidRPr="00B56229" w:rsidR="001B37A6">
        <w:rPr>
          <w:bCs/>
        </w:rPr>
        <w:t xml:space="preserve">he PUCO’s rule adopting the online bill calculator </w:t>
      </w:r>
      <w:r w:rsidRPr="00B56229">
        <w:rPr>
          <w:bCs/>
        </w:rPr>
        <w:t xml:space="preserve">enables the statute to be fulfilled. </w:t>
      </w:r>
    </w:p>
    <w:p w:rsidR="00E90FD7" w:rsidRPr="00B56229" w:rsidP="00DC5B9D" w14:paraId="31829C47" w14:textId="14A41451">
      <w:pPr>
        <w:pStyle w:val="NormalWeb"/>
        <w:spacing w:before="0" w:beforeAutospacing="0" w:after="0" w:afterAutospacing="0" w:line="480" w:lineRule="auto"/>
        <w:ind w:firstLine="720"/>
        <w:rPr>
          <w:bCs/>
        </w:rPr>
      </w:pPr>
      <w:r w:rsidRPr="00B56229">
        <w:rPr>
          <w:bCs/>
        </w:rPr>
        <w:t xml:space="preserve"> </w:t>
      </w:r>
      <w:r w:rsidRPr="00B56229" w:rsidR="000936BD">
        <w:rPr>
          <w:bCs/>
        </w:rPr>
        <w:t>It is not a solution to suggest, as FirstEnergy does, that since “all pricing information is published in the Companies’ Commission-approved tariffs,”</w:t>
      </w:r>
      <w:r>
        <w:rPr>
          <w:rStyle w:val="FootnoteReference"/>
          <w:bCs/>
        </w:rPr>
        <w:footnoteReference w:id="25"/>
      </w:r>
      <w:r w:rsidRPr="00B56229" w:rsidR="000936BD">
        <w:rPr>
          <w:bCs/>
        </w:rPr>
        <w:t xml:space="preserve"> customers can look this information up for themselves. A typical residential consumer has little experience in investigating utility tariffs and would not know where to begin. </w:t>
      </w:r>
      <w:r w:rsidRPr="00B56229" w:rsidR="005C757E">
        <w:rPr>
          <w:bCs/>
        </w:rPr>
        <w:t xml:space="preserve">And in fact, the sheer number of riders that EDUs include on </w:t>
      </w:r>
      <w:r w:rsidRPr="00B56229" w:rsidR="00E64B49">
        <w:rPr>
          <w:bCs/>
        </w:rPr>
        <w:t>customer</w:t>
      </w:r>
      <w:r w:rsidRPr="00B56229" w:rsidR="005C757E">
        <w:rPr>
          <w:bCs/>
        </w:rPr>
        <w:t xml:space="preserve"> bills would challenge the most seasoned regulatory professional</w:t>
      </w:r>
      <w:r w:rsidRPr="00B56229">
        <w:rPr>
          <w:bCs/>
        </w:rPr>
        <w:t>.</w:t>
      </w:r>
    </w:p>
    <w:p w:rsidR="006223F2" w:rsidRPr="00B56229" w:rsidP="00DC5B9D" w14:paraId="4901AC6D" w14:textId="65886D7C">
      <w:pPr>
        <w:pStyle w:val="NormalWeb"/>
        <w:spacing w:before="0" w:beforeAutospacing="0" w:after="0" w:afterAutospacing="0" w:line="480" w:lineRule="auto"/>
        <w:ind w:firstLine="720"/>
        <w:rPr>
          <w:bCs/>
        </w:rPr>
      </w:pPr>
      <w:r w:rsidRPr="00B56229">
        <w:rPr>
          <w:bCs/>
        </w:rPr>
        <w:t>Nor is it a solution to suggest that “the Companies’ customer service representatives are available to assist with individual customer inquiries.”</w:t>
      </w:r>
      <w:r>
        <w:rPr>
          <w:rStyle w:val="FootnoteReference"/>
          <w:bCs/>
        </w:rPr>
        <w:footnoteReference w:id="26"/>
      </w:r>
      <w:r w:rsidRPr="00B56229">
        <w:rPr>
          <w:bCs/>
        </w:rPr>
        <w:t xml:space="preserve"> While these utility employees may or may not be helpful, </w:t>
      </w:r>
      <w:r w:rsidRPr="00B56229" w:rsidR="006858A8">
        <w:rPr>
          <w:bCs/>
        </w:rPr>
        <w:t xml:space="preserve">their responses </w:t>
      </w:r>
      <w:r w:rsidRPr="00B56229" w:rsidR="00E90FD7">
        <w:rPr>
          <w:bCs/>
        </w:rPr>
        <w:t>are no substitute for an</w:t>
      </w:r>
      <w:r w:rsidRPr="00B56229">
        <w:rPr>
          <w:bCs/>
        </w:rPr>
        <w:t xml:space="preserve"> online bill calculator</w:t>
      </w:r>
      <w:r w:rsidRPr="00B56229" w:rsidR="00E90FD7">
        <w:rPr>
          <w:bCs/>
        </w:rPr>
        <w:t>.</w:t>
      </w:r>
      <w:r w:rsidRPr="00B56229">
        <w:rPr>
          <w:bCs/>
        </w:rPr>
        <w:t xml:space="preserve"> </w:t>
      </w:r>
    </w:p>
    <w:p w:rsidR="00DA7EB4" w:rsidRPr="00B56229" w:rsidP="00DC5B9D" w14:paraId="1CD67A26" w14:textId="5F4CF955">
      <w:pPr>
        <w:pStyle w:val="NormalWeb"/>
        <w:spacing w:before="0" w:beforeAutospacing="0" w:after="0" w:afterAutospacing="0" w:line="480" w:lineRule="auto"/>
        <w:ind w:firstLine="720"/>
        <w:rPr>
          <w:bCs/>
        </w:rPr>
      </w:pPr>
      <w:r w:rsidRPr="00B56229">
        <w:rPr>
          <w:bCs/>
        </w:rPr>
        <w:t>Duke and FirstEnergy’s applications for rehearing on this issue should be denied.</w:t>
      </w:r>
    </w:p>
    <w:p w:rsidR="00502E5C" w:rsidRPr="00B56229" w:rsidP="00B0273C" w14:paraId="61CCB16A" w14:textId="37226BCF">
      <w:pPr>
        <w:pStyle w:val="Heading2"/>
        <w:rPr>
          <w:color w:val="000000"/>
        </w:rPr>
      </w:pPr>
      <w:bookmarkStart w:id="7" w:name="_Toc37084888"/>
      <w:r w:rsidRPr="00B56229">
        <w:t xml:space="preserve">The Order’s finding that EDUs must increase the total number of required </w:t>
      </w:r>
      <w:r w:rsidRPr="00B56229" w:rsidR="005636E1">
        <w:t xml:space="preserve">actual </w:t>
      </w:r>
      <w:r w:rsidRPr="00B56229">
        <w:t xml:space="preserve">meter readings per calendar year is reasonable </w:t>
      </w:r>
      <w:r w:rsidRPr="00B56229" w:rsidR="005636E1">
        <w:t xml:space="preserve">as </w:t>
      </w:r>
      <w:r w:rsidRPr="00B56229" w:rsidR="00D44767">
        <w:t>Ohio transitions to full deployment of AMI</w:t>
      </w:r>
      <w:r w:rsidRPr="00B56229">
        <w:t xml:space="preserve"> technology</w:t>
      </w:r>
      <w:r w:rsidRPr="00B56229" w:rsidR="00D44767">
        <w:t xml:space="preserve"> across most of the EDU service territories</w:t>
      </w:r>
      <w:r w:rsidRPr="00B56229">
        <w:t>.</w:t>
      </w:r>
      <w:bookmarkEnd w:id="7"/>
    </w:p>
    <w:p w:rsidR="00E6641A" w:rsidRPr="00B56229" w:rsidP="00E6641A" w14:paraId="74BE5FB1" w14:textId="0CECD7CA">
      <w:pPr>
        <w:pStyle w:val="NormalWeb"/>
        <w:spacing w:before="0" w:beforeAutospacing="0" w:after="0" w:afterAutospacing="0" w:line="480" w:lineRule="auto"/>
        <w:ind w:firstLine="720"/>
        <w:rPr>
          <w:color w:val="000000"/>
        </w:rPr>
      </w:pPr>
      <w:r w:rsidRPr="00B56229">
        <w:rPr>
          <w:color w:val="000000"/>
        </w:rPr>
        <w:t>Duke and FirstEnergy</w:t>
      </w:r>
      <w:r>
        <w:rPr>
          <w:rStyle w:val="FootnoteReference"/>
          <w:color w:val="000000"/>
        </w:rPr>
        <w:footnoteReference w:id="27"/>
      </w:r>
      <w:r w:rsidRPr="00B56229">
        <w:rPr>
          <w:color w:val="000000"/>
        </w:rPr>
        <w:t xml:space="preserve"> object to the </w:t>
      </w:r>
      <w:r w:rsidRPr="00B56229" w:rsidR="008214C0">
        <w:rPr>
          <w:color w:val="000000"/>
        </w:rPr>
        <w:t xml:space="preserve">PUCO revising </w:t>
      </w:r>
      <w:r w:rsidRPr="00B56229">
        <w:rPr>
          <w:color w:val="000000"/>
        </w:rPr>
        <w:t xml:space="preserve">Rule 4901:1-10-05(I)(1) to require EDUs to obtain actual meter readings of all in-service customer meters at least quarterly </w:t>
      </w:r>
      <w:r w:rsidRPr="00B56229" w:rsidR="003D599F">
        <w:rPr>
          <w:color w:val="000000"/>
        </w:rPr>
        <w:t>instead of once each calendar year.</w:t>
      </w:r>
      <w:r>
        <w:rPr>
          <w:rStyle w:val="FootnoteReference"/>
          <w:color w:val="000000"/>
        </w:rPr>
        <w:footnoteReference w:id="28"/>
      </w:r>
      <w:r w:rsidRPr="00B56229" w:rsidR="003D599F">
        <w:rPr>
          <w:color w:val="000000"/>
        </w:rPr>
        <w:t xml:space="preserve"> </w:t>
      </w:r>
      <w:r w:rsidRPr="00B56229" w:rsidR="00DC2679">
        <w:rPr>
          <w:color w:val="000000"/>
        </w:rPr>
        <w:t>AEP</w:t>
      </w:r>
      <w:r w:rsidRPr="00B56229" w:rsidR="00AD52E8">
        <w:rPr>
          <w:color w:val="000000"/>
        </w:rPr>
        <w:t xml:space="preserve"> and </w:t>
      </w:r>
      <w:r w:rsidRPr="00B56229" w:rsidR="00DC2679">
        <w:rPr>
          <w:color w:val="000000"/>
        </w:rPr>
        <w:t>FirstEnergy</w:t>
      </w:r>
      <w:r>
        <w:rPr>
          <w:rStyle w:val="FootnoteReference"/>
          <w:color w:val="000000"/>
        </w:rPr>
        <w:footnoteReference w:id="29"/>
      </w:r>
      <w:r w:rsidRPr="00B56229" w:rsidR="00DC2679">
        <w:rPr>
          <w:color w:val="000000"/>
        </w:rPr>
        <w:t xml:space="preserve"> object</w:t>
      </w:r>
      <w:r w:rsidRPr="00B56229" w:rsidR="00AD52E8">
        <w:rPr>
          <w:color w:val="000000"/>
        </w:rPr>
        <w:t xml:space="preserve"> </w:t>
      </w:r>
      <w:r w:rsidRPr="00B56229" w:rsidR="006858A8">
        <w:rPr>
          <w:color w:val="000000"/>
        </w:rPr>
        <w:t xml:space="preserve">to </w:t>
      </w:r>
      <w:r w:rsidRPr="00B56229" w:rsidR="00AD52E8">
        <w:rPr>
          <w:color w:val="000000"/>
        </w:rPr>
        <w:t xml:space="preserve">the Order’s finding </w:t>
      </w:r>
      <w:r w:rsidRPr="00B56229" w:rsidR="008214C0">
        <w:rPr>
          <w:color w:val="000000"/>
        </w:rPr>
        <w:t xml:space="preserve">requiring an </w:t>
      </w:r>
      <w:r w:rsidRPr="00B56229" w:rsidR="00AD52E8">
        <w:rPr>
          <w:color w:val="000000"/>
        </w:rPr>
        <w:t xml:space="preserve"> EDU </w:t>
      </w:r>
      <w:r w:rsidRPr="00B56229" w:rsidR="008214C0">
        <w:rPr>
          <w:color w:val="000000"/>
        </w:rPr>
        <w:t xml:space="preserve">to </w:t>
      </w:r>
      <w:r w:rsidRPr="00B56229" w:rsidR="00AD52E8">
        <w:rPr>
          <w:color w:val="000000"/>
        </w:rPr>
        <w:t>obtain actual meter readings on a monthly basis</w:t>
      </w:r>
      <w:r w:rsidRPr="00B56229" w:rsidR="008214C0">
        <w:rPr>
          <w:color w:val="000000"/>
        </w:rPr>
        <w:t xml:space="preserve"> for customers with advanced meters</w:t>
      </w:r>
      <w:r w:rsidRPr="00B56229" w:rsidR="00AD52E8">
        <w:rPr>
          <w:color w:val="000000"/>
        </w:rPr>
        <w:t>.</w:t>
      </w:r>
      <w:r>
        <w:rPr>
          <w:rStyle w:val="FootnoteReference"/>
          <w:color w:val="000000"/>
        </w:rPr>
        <w:footnoteReference w:id="30"/>
      </w:r>
      <w:r w:rsidRPr="00B56229" w:rsidR="00AD52E8">
        <w:rPr>
          <w:color w:val="000000"/>
        </w:rPr>
        <w:t xml:space="preserve"> </w:t>
      </w:r>
      <w:r w:rsidRPr="00B56229">
        <w:rPr>
          <w:color w:val="000000"/>
        </w:rPr>
        <w:t>AEP and Duke claim that there can be reasons outside of  utility control where access to the meter is not available.</w:t>
      </w:r>
      <w:r>
        <w:rPr>
          <w:rStyle w:val="FootnoteReference"/>
          <w:color w:val="000000"/>
        </w:rPr>
        <w:footnoteReference w:id="31"/>
      </w:r>
      <w:r w:rsidRPr="00B56229">
        <w:rPr>
          <w:color w:val="000000"/>
        </w:rPr>
        <w:t xml:space="preserve"> FirstEnergy asserts that not all customers have AMI and that some customers may opt-out of having AMI as a reason for not requiring monthly actual monthly meter reads.</w:t>
      </w:r>
      <w:r>
        <w:rPr>
          <w:rStyle w:val="FootnoteReference"/>
          <w:color w:val="000000"/>
        </w:rPr>
        <w:footnoteReference w:id="32"/>
      </w:r>
      <w:r w:rsidRPr="00B56229">
        <w:rPr>
          <w:color w:val="000000"/>
        </w:rPr>
        <w:t xml:space="preserve"> </w:t>
      </w:r>
    </w:p>
    <w:p w:rsidR="00812203" w:rsidRPr="00B56229" w:rsidP="00D44DA3" w14:paraId="6F0D7205" w14:textId="7A9E7A34">
      <w:pPr>
        <w:pStyle w:val="NormalWeb"/>
        <w:spacing w:before="0" w:beforeAutospacing="0" w:after="0" w:afterAutospacing="0" w:line="480" w:lineRule="auto"/>
        <w:ind w:firstLine="720"/>
        <w:rPr>
          <w:color w:val="000000"/>
        </w:rPr>
      </w:pPr>
      <w:r w:rsidRPr="00B56229">
        <w:rPr>
          <w:color w:val="000000"/>
        </w:rPr>
        <w:t xml:space="preserve">The </w:t>
      </w:r>
      <w:r w:rsidRPr="00B56229" w:rsidR="00872749">
        <w:rPr>
          <w:color w:val="000000"/>
        </w:rPr>
        <w:t xml:space="preserve">PUCO’s Order </w:t>
      </w:r>
      <w:r w:rsidRPr="00B56229">
        <w:rPr>
          <w:color w:val="000000"/>
        </w:rPr>
        <w:t>on th</w:t>
      </w:r>
      <w:r w:rsidRPr="00B56229" w:rsidR="00AD52E8">
        <w:rPr>
          <w:color w:val="000000"/>
        </w:rPr>
        <w:t xml:space="preserve">ese </w:t>
      </w:r>
      <w:r w:rsidRPr="00B56229">
        <w:rPr>
          <w:color w:val="000000"/>
        </w:rPr>
        <w:t xml:space="preserve">issues is sound and well-articulated and should not be abrogated. As the Order </w:t>
      </w:r>
      <w:r w:rsidRPr="00B56229" w:rsidR="00872749">
        <w:rPr>
          <w:color w:val="000000"/>
        </w:rPr>
        <w:t>notes,</w:t>
      </w:r>
      <w:r w:rsidRPr="00B56229" w:rsidR="0078339E">
        <w:rPr>
          <w:color w:val="000000"/>
        </w:rPr>
        <w:t xml:space="preserve"> actual meter reads provide customers with more accurate bills</w:t>
      </w:r>
      <w:r w:rsidRPr="00B56229" w:rsidR="006223F2">
        <w:rPr>
          <w:color w:val="000000"/>
        </w:rPr>
        <w:t xml:space="preserve"> </w:t>
      </w:r>
      <w:r w:rsidRPr="00B56229" w:rsidR="00D40104">
        <w:rPr>
          <w:color w:val="000000"/>
        </w:rPr>
        <w:t xml:space="preserve">and that “monthly meter readings are a benefit created by </w:t>
      </w:r>
      <w:r w:rsidRPr="00B56229" w:rsidR="006223F2">
        <w:rPr>
          <w:color w:val="000000"/>
        </w:rPr>
        <w:t>customers</w:t>
      </w:r>
      <w:r w:rsidRPr="00B56229" w:rsidR="00D40104">
        <w:rPr>
          <w:color w:val="000000"/>
        </w:rPr>
        <w:t>’</w:t>
      </w:r>
      <w:r w:rsidRPr="00B56229" w:rsidR="006223F2">
        <w:rPr>
          <w:color w:val="000000"/>
        </w:rPr>
        <w:t xml:space="preserve"> charges sup[porting the utility’s</w:t>
      </w:r>
      <w:r w:rsidRPr="00B56229" w:rsidR="00D40104">
        <w:rPr>
          <w:color w:val="000000"/>
        </w:rPr>
        <w:t xml:space="preserve"> investment in AMI technology.”</w:t>
      </w:r>
      <w:r>
        <w:rPr>
          <w:rStyle w:val="FootnoteReference"/>
          <w:color w:val="000000"/>
        </w:rPr>
        <w:footnoteReference w:id="33"/>
      </w:r>
      <w:r w:rsidRPr="00B56229" w:rsidR="00D40104">
        <w:rPr>
          <w:color w:val="000000"/>
        </w:rPr>
        <w:t xml:space="preserve"> The Order correctly found that “[i]ncreasing the number of required, actual meter readings helps accomplish the goal of providing customers with more accurate bills since an EDU must rely less on customer electricity usage estimates throughout the year.”</w:t>
      </w:r>
      <w:r>
        <w:rPr>
          <w:rStyle w:val="FootnoteReference"/>
          <w:color w:val="000000"/>
        </w:rPr>
        <w:footnoteReference w:id="34"/>
      </w:r>
      <w:r w:rsidRPr="00B56229" w:rsidR="0078339E">
        <w:rPr>
          <w:color w:val="000000"/>
        </w:rPr>
        <w:t xml:space="preserve"> Accurate bills to customers are important because</w:t>
      </w:r>
      <w:r w:rsidRPr="00B56229" w:rsidR="00D40104">
        <w:rPr>
          <w:color w:val="000000"/>
        </w:rPr>
        <w:t xml:space="preserve"> they prevent customers from being overcharged for electricity they didn’t use or undercharged for electricity that they will later have to pay for in the future. </w:t>
      </w:r>
      <w:r w:rsidRPr="00B56229" w:rsidR="00BD7922">
        <w:rPr>
          <w:color w:val="000000"/>
        </w:rPr>
        <w:t>The PUCO correctly concluded that “the benefits of the goal above outweigh any increased burden on the EDUs.”</w:t>
      </w:r>
      <w:r>
        <w:rPr>
          <w:rStyle w:val="FootnoteReference"/>
          <w:color w:val="000000"/>
        </w:rPr>
        <w:footnoteReference w:id="35"/>
      </w:r>
      <w:r w:rsidRPr="00B56229" w:rsidR="0078339E">
        <w:rPr>
          <w:color w:val="000000"/>
        </w:rPr>
        <w:t xml:space="preserve">  </w:t>
      </w:r>
      <w:r w:rsidRPr="00B56229" w:rsidR="009514E8">
        <w:rPr>
          <w:color w:val="000000"/>
        </w:rPr>
        <w:t>OCC</w:t>
      </w:r>
      <w:r w:rsidRPr="00B56229" w:rsidR="0078339E">
        <w:rPr>
          <w:color w:val="000000"/>
        </w:rPr>
        <w:t xml:space="preserve"> agree</w:t>
      </w:r>
      <w:r w:rsidRPr="00B56229" w:rsidR="009514E8">
        <w:rPr>
          <w:color w:val="000000"/>
        </w:rPr>
        <w:t>s</w:t>
      </w:r>
      <w:r w:rsidRPr="00B56229" w:rsidR="0078339E">
        <w:rPr>
          <w:color w:val="000000"/>
        </w:rPr>
        <w:t xml:space="preserve">.  </w:t>
      </w:r>
    </w:p>
    <w:p w:rsidR="002E731A" w:rsidRPr="00B56229" w:rsidP="00D44DA3" w14:paraId="205DB802" w14:textId="596BE13F">
      <w:pPr>
        <w:pStyle w:val="NormalWeb"/>
        <w:spacing w:before="0" w:beforeAutospacing="0" w:after="0" w:afterAutospacing="0" w:line="480" w:lineRule="auto"/>
        <w:ind w:firstLine="720"/>
        <w:rPr>
          <w:color w:val="000000"/>
        </w:rPr>
      </w:pPr>
      <w:r w:rsidRPr="00B56229">
        <w:rPr>
          <w:color w:val="000000"/>
        </w:rPr>
        <w:t xml:space="preserve">The utilities’ objections to the Order’s requirement of more frequent actual meter reads undermine one of the very reasons </w:t>
      </w:r>
      <w:r w:rsidRPr="00B56229" w:rsidR="00FD6EF0">
        <w:rPr>
          <w:color w:val="000000"/>
        </w:rPr>
        <w:t xml:space="preserve">and major benefits that were </w:t>
      </w:r>
      <w:r w:rsidRPr="00B56229">
        <w:rPr>
          <w:color w:val="000000"/>
        </w:rPr>
        <w:t xml:space="preserve">touted </w:t>
      </w:r>
      <w:r w:rsidRPr="00B56229" w:rsidR="00FD6EF0">
        <w:rPr>
          <w:color w:val="000000"/>
        </w:rPr>
        <w:t xml:space="preserve">by </w:t>
      </w:r>
      <w:r w:rsidRPr="00B56229" w:rsidR="0078339E">
        <w:rPr>
          <w:color w:val="000000"/>
        </w:rPr>
        <w:t xml:space="preserve">some of </w:t>
      </w:r>
      <w:r w:rsidRPr="00B56229" w:rsidR="00FD6EF0">
        <w:rPr>
          <w:color w:val="000000"/>
        </w:rPr>
        <w:t xml:space="preserve">the EDUs </w:t>
      </w:r>
      <w:r w:rsidRPr="00B56229" w:rsidR="0078339E">
        <w:rPr>
          <w:color w:val="000000"/>
        </w:rPr>
        <w:t xml:space="preserve">(including Duke and FirstEnergy) </w:t>
      </w:r>
      <w:r w:rsidRPr="00B56229" w:rsidR="00FD6EF0">
        <w:rPr>
          <w:color w:val="000000"/>
        </w:rPr>
        <w:t xml:space="preserve">for why </w:t>
      </w:r>
      <w:r w:rsidRPr="00B56229">
        <w:rPr>
          <w:color w:val="000000"/>
        </w:rPr>
        <w:t>smart meters</w:t>
      </w:r>
      <w:r w:rsidRPr="00B56229" w:rsidR="00FD6EF0">
        <w:rPr>
          <w:color w:val="000000"/>
        </w:rPr>
        <w:t xml:space="preserve"> were needed </w:t>
      </w:r>
      <w:r w:rsidRPr="00B56229">
        <w:rPr>
          <w:color w:val="000000"/>
        </w:rPr>
        <w:t>to eliminate estimated bills.</w:t>
      </w:r>
      <w:r>
        <w:rPr>
          <w:rStyle w:val="FootnoteReference"/>
          <w:color w:val="000000"/>
        </w:rPr>
        <w:footnoteReference w:id="36"/>
      </w:r>
      <w:r w:rsidRPr="00B56229">
        <w:rPr>
          <w:color w:val="000000"/>
        </w:rPr>
        <w:t xml:space="preserve"> </w:t>
      </w:r>
      <w:r w:rsidRPr="00B56229" w:rsidR="0078339E">
        <w:rPr>
          <w:color w:val="000000"/>
        </w:rPr>
        <w:t xml:space="preserve"> N</w:t>
      </w:r>
      <w:r w:rsidRPr="00B56229" w:rsidR="00536F11">
        <w:rPr>
          <w:color w:val="000000"/>
        </w:rPr>
        <w:t xml:space="preserve">ow that customers are supposed to be receiving </w:t>
      </w:r>
      <w:r w:rsidRPr="00B56229" w:rsidR="00D40104">
        <w:rPr>
          <w:color w:val="000000"/>
        </w:rPr>
        <w:t xml:space="preserve">the </w:t>
      </w:r>
      <w:r w:rsidRPr="00B56229" w:rsidR="00536F11">
        <w:rPr>
          <w:color w:val="000000"/>
        </w:rPr>
        <w:t xml:space="preserve">benefits </w:t>
      </w:r>
      <w:r w:rsidRPr="00B56229" w:rsidR="00D40104">
        <w:rPr>
          <w:color w:val="000000"/>
        </w:rPr>
        <w:t xml:space="preserve">of actual monthly meter readings </w:t>
      </w:r>
      <w:r w:rsidRPr="00B56229" w:rsidR="00536F11">
        <w:rPr>
          <w:color w:val="000000"/>
        </w:rPr>
        <w:t xml:space="preserve">from </w:t>
      </w:r>
      <w:r w:rsidRPr="00B56229" w:rsidR="00FD6EF0">
        <w:rPr>
          <w:color w:val="000000"/>
        </w:rPr>
        <w:t xml:space="preserve">millions of AMI meters </w:t>
      </w:r>
      <w:r w:rsidRPr="00B56229" w:rsidR="00D40104">
        <w:rPr>
          <w:color w:val="000000"/>
        </w:rPr>
        <w:t>deployed across Ohio,</w:t>
      </w:r>
      <w:r w:rsidRPr="00B56229" w:rsidR="007B0074">
        <w:rPr>
          <w:color w:val="000000"/>
        </w:rPr>
        <w:t xml:space="preserve"> there can be no doubt that the traditional annual meter reading standard must be replaced with the more reasonable and modern monthly meter reading standards</w:t>
      </w:r>
      <w:r w:rsidRPr="00B56229" w:rsidR="00E64B49">
        <w:rPr>
          <w:color w:val="000000"/>
        </w:rPr>
        <w:t>, as the PUCO recognized</w:t>
      </w:r>
      <w:r w:rsidRPr="00B56229" w:rsidR="002E4DDD">
        <w:rPr>
          <w:color w:val="000000"/>
        </w:rPr>
        <w:t>.</w:t>
      </w:r>
      <w:r>
        <w:rPr>
          <w:rStyle w:val="FootnoteReference"/>
          <w:color w:val="000000"/>
        </w:rPr>
        <w:footnoteReference w:id="37"/>
      </w:r>
      <w:r w:rsidRPr="00B56229" w:rsidR="002E4DDD">
        <w:rPr>
          <w:color w:val="000000"/>
        </w:rPr>
        <w:t xml:space="preserve"> </w:t>
      </w:r>
    </w:p>
    <w:p w:rsidR="006223F2" w:rsidRPr="00B56229" w:rsidP="002E731A" w14:paraId="20694652" w14:textId="77777777">
      <w:pPr>
        <w:pStyle w:val="NormalWeb"/>
        <w:spacing w:before="0" w:beforeAutospacing="0" w:after="0" w:afterAutospacing="0" w:line="480" w:lineRule="auto"/>
        <w:ind w:firstLine="720"/>
        <w:rPr>
          <w:color w:val="000000"/>
        </w:rPr>
      </w:pPr>
      <w:r w:rsidRPr="00B56229">
        <w:rPr>
          <w:color w:val="000000"/>
        </w:rPr>
        <w:t xml:space="preserve">And the </w:t>
      </w:r>
      <w:r w:rsidRPr="00B56229" w:rsidR="002E731A">
        <w:rPr>
          <w:color w:val="000000"/>
        </w:rPr>
        <w:t>PUCO was correctly not persuaded by EDU arguments against modifying the standards for non-AMI meters from an annual meter read to a quarterly actual meter reading.</w:t>
      </w:r>
      <w:r>
        <w:rPr>
          <w:rStyle w:val="FootnoteReference"/>
          <w:color w:val="000000"/>
        </w:rPr>
        <w:footnoteReference w:id="38"/>
      </w:r>
      <w:r w:rsidRPr="00B56229" w:rsidR="002E731A">
        <w:rPr>
          <w:color w:val="000000"/>
        </w:rPr>
        <w:t xml:space="preserve">  Ohio Adm.Code 4901:1-10-22(B) has long required customer bills to be rendered on a monthly basis and to be accurate. The argument from Duke and FirstEnergy that requiring quarterly meter reads can somehow result in additional disconnections</w:t>
      </w:r>
      <w:r>
        <w:rPr>
          <w:rStyle w:val="FootnoteReference"/>
          <w:color w:val="000000"/>
        </w:rPr>
        <w:footnoteReference w:id="39"/>
      </w:r>
      <w:r w:rsidRPr="00B56229" w:rsidR="002E731A">
        <w:rPr>
          <w:color w:val="000000"/>
        </w:rPr>
        <w:t xml:space="preserve"> is a misinterpretation of Ohio Adm. Code 4901:1-18-03(E)(1). </w:t>
      </w:r>
    </w:p>
    <w:p w:rsidR="002E731A" w:rsidRPr="00B56229" w:rsidP="002E731A" w14:paraId="6EA8B690" w14:textId="3AB72DEA">
      <w:pPr>
        <w:pStyle w:val="NormalWeb"/>
        <w:spacing w:before="0" w:beforeAutospacing="0" w:after="0" w:afterAutospacing="0" w:line="480" w:lineRule="auto"/>
        <w:ind w:firstLine="720"/>
        <w:rPr>
          <w:color w:val="000000"/>
        </w:rPr>
      </w:pPr>
      <w:r w:rsidRPr="00B56229">
        <w:rPr>
          <w:color w:val="000000"/>
        </w:rPr>
        <w:t>Quarterly meter readings are required for the purpose of providing consumers with accurate electric bills. Ohio Adm.Code 4901:1-18(E)(1) pertains to customers denying a utility access to the meter to obtain a meter read for a year. Duke’s argument that it will incur significant costs to hire and deploy meter readers to perform quarterly meter reads is unsupported and lacks merit. Duke has fully deployed AMI across its service territory and customers who opt-out of having a smart meter are already paying a recurring monthly charge of $30.00 to have a traditional manual meter read.</w:t>
      </w:r>
      <w:r>
        <w:rPr>
          <w:rStyle w:val="FootnoteReference"/>
          <w:color w:val="000000"/>
        </w:rPr>
        <w:footnoteReference w:id="40"/>
      </w:r>
      <w:r w:rsidRPr="00B56229">
        <w:rPr>
          <w:color w:val="000000"/>
        </w:rPr>
        <w:t xml:space="preserve"> </w:t>
      </w:r>
    </w:p>
    <w:p w:rsidR="006223F2" w:rsidRPr="00B56229" w:rsidP="00D44DA3" w14:paraId="347C7368" w14:textId="5410004E">
      <w:pPr>
        <w:pStyle w:val="NormalWeb"/>
        <w:spacing w:before="0" w:beforeAutospacing="0" w:after="0" w:afterAutospacing="0" w:line="480" w:lineRule="auto"/>
        <w:ind w:firstLine="720"/>
        <w:rPr>
          <w:color w:val="000000"/>
        </w:rPr>
      </w:pPr>
      <w:r w:rsidRPr="00B56229">
        <w:rPr>
          <w:color w:val="000000"/>
        </w:rPr>
        <w:t>FirstEnergy’s argument that the u</w:t>
      </w:r>
      <w:r w:rsidRPr="00B56229" w:rsidR="00242DAC">
        <w:rPr>
          <w:color w:val="000000"/>
        </w:rPr>
        <w:t>tility</w:t>
      </w:r>
      <w:r w:rsidRPr="00B56229">
        <w:rPr>
          <w:color w:val="000000"/>
        </w:rPr>
        <w:t xml:space="preserve"> should be able to defer and recover any additional costs incurred as a result of implementing the quarterly meter reading requirements in the Government Directives Recovery Rider</w:t>
      </w:r>
      <w:r>
        <w:rPr>
          <w:rStyle w:val="FootnoteReference"/>
          <w:color w:val="000000"/>
        </w:rPr>
        <w:footnoteReference w:id="41"/>
      </w:r>
      <w:r w:rsidRPr="00B56229">
        <w:rPr>
          <w:color w:val="000000"/>
        </w:rPr>
        <w:t xml:space="preserve"> </w:t>
      </w:r>
      <w:r w:rsidRPr="00B56229" w:rsidR="00242DAC">
        <w:rPr>
          <w:color w:val="000000"/>
        </w:rPr>
        <w:t>is without merit. T</w:t>
      </w:r>
      <w:r w:rsidRPr="00B56229">
        <w:rPr>
          <w:color w:val="000000"/>
        </w:rPr>
        <w:t>he</w:t>
      </w:r>
      <w:r w:rsidRPr="00B56229" w:rsidR="00242DAC">
        <w:rPr>
          <w:color w:val="000000"/>
        </w:rPr>
        <w:t xml:space="preserve"> utility’s </w:t>
      </w:r>
      <w:r w:rsidRPr="00B56229">
        <w:rPr>
          <w:color w:val="000000"/>
        </w:rPr>
        <w:t xml:space="preserve">current Grid Mod deployment of over 700,000 AMI meters as well as other substantial investments made in the distribution system should provide sufficient operations and maintenance expense reductions to more than sufficiently cover any additional costs associated with providing quarterly meter reads. </w:t>
      </w:r>
      <w:r w:rsidRPr="00B56229" w:rsidR="00242DAC">
        <w:rPr>
          <w:color w:val="000000"/>
        </w:rPr>
        <w:t xml:space="preserve">Of course, </w:t>
      </w:r>
      <w:r w:rsidRPr="00B56229">
        <w:rPr>
          <w:color w:val="000000"/>
        </w:rPr>
        <w:t xml:space="preserve">FirstEnergy utilities are not precluded from filing a distribution base rate case where </w:t>
      </w:r>
      <w:r w:rsidR="006F390E">
        <w:rPr>
          <w:color w:val="000000"/>
        </w:rPr>
        <w:t>they</w:t>
      </w:r>
      <w:r w:rsidRPr="00B56229">
        <w:rPr>
          <w:color w:val="000000"/>
        </w:rPr>
        <w:t xml:space="preserve"> would have an opportunity to demonstrate if </w:t>
      </w:r>
      <w:r w:rsidR="006F390E">
        <w:rPr>
          <w:color w:val="000000"/>
        </w:rPr>
        <w:t>their</w:t>
      </w:r>
      <w:r w:rsidRPr="00B56229">
        <w:rPr>
          <w:color w:val="000000"/>
        </w:rPr>
        <w:t xml:space="preserve"> overall revenues are insufficient to cover </w:t>
      </w:r>
      <w:r w:rsidR="006F390E">
        <w:rPr>
          <w:color w:val="000000"/>
        </w:rPr>
        <w:t>their</w:t>
      </w:r>
      <w:r w:rsidRPr="00B56229">
        <w:rPr>
          <w:color w:val="000000"/>
        </w:rPr>
        <w:t xml:space="preserve"> overall expenses. </w:t>
      </w:r>
      <w:r w:rsidRPr="00B56229" w:rsidR="00FF52BE">
        <w:rPr>
          <w:color w:val="000000"/>
        </w:rPr>
        <w:t xml:space="preserve"> </w:t>
      </w:r>
    </w:p>
    <w:p w:rsidR="00BD7922" w:rsidRPr="00B56229" w:rsidP="00D44DA3" w14:paraId="45C613F5" w14:textId="04E0D9EC">
      <w:pPr>
        <w:pStyle w:val="NormalWeb"/>
        <w:spacing w:before="0" w:beforeAutospacing="0" w:after="0" w:afterAutospacing="0" w:line="480" w:lineRule="auto"/>
        <w:ind w:firstLine="720"/>
        <w:rPr>
          <w:color w:val="000000"/>
        </w:rPr>
      </w:pPr>
      <w:r w:rsidRPr="00B56229">
        <w:rPr>
          <w:color w:val="000000"/>
        </w:rPr>
        <w:t xml:space="preserve">The Order </w:t>
      </w:r>
      <w:r w:rsidRPr="00B56229" w:rsidR="005636E1">
        <w:rPr>
          <w:color w:val="000000"/>
        </w:rPr>
        <w:t xml:space="preserve">on this issue </w:t>
      </w:r>
      <w:r w:rsidRPr="00B56229">
        <w:rPr>
          <w:color w:val="000000"/>
        </w:rPr>
        <w:t>should stand, and Duke and FirstEnergy’s Applications for Rehearing should be denied.</w:t>
      </w:r>
    </w:p>
    <w:p w:rsidR="00402C41" w:rsidRPr="00B56229" w:rsidP="00B0273C" w14:paraId="67E6EECE" w14:textId="28A27134">
      <w:pPr>
        <w:pStyle w:val="Heading2"/>
      </w:pPr>
      <w:bookmarkStart w:id="8" w:name="_Toc37084889"/>
      <w:r w:rsidRPr="00B56229">
        <w:t>EDU-only customer bills and consolidated bills should not include non-jurisdictional (non-utility) charges as these charges are outside the jurisdiction of the PUCO.</w:t>
      </w:r>
      <w:bookmarkEnd w:id="8"/>
      <w:r w:rsidRPr="00B56229">
        <w:t xml:space="preserve"> </w:t>
      </w:r>
      <w:r w:rsidRPr="00B56229" w:rsidR="005636E1">
        <w:t xml:space="preserve"> </w:t>
      </w:r>
    </w:p>
    <w:p w:rsidR="00BE00CF" w:rsidRPr="00B56229" w:rsidP="00B0273C" w14:paraId="4091358A" w14:textId="75A74D7D">
      <w:pPr>
        <w:pStyle w:val="NormalWeb"/>
        <w:spacing w:before="0" w:beforeAutospacing="0" w:after="0" w:afterAutospacing="0" w:line="480" w:lineRule="auto"/>
        <w:rPr>
          <w:color w:val="000000"/>
        </w:rPr>
      </w:pPr>
      <w:r w:rsidRPr="00B56229">
        <w:rPr>
          <w:b/>
          <w:bCs/>
          <w:color w:val="000000"/>
        </w:rPr>
        <w:t xml:space="preserve"> </w:t>
      </w:r>
      <w:r w:rsidR="00B0273C">
        <w:rPr>
          <w:b/>
          <w:bCs/>
          <w:color w:val="000000"/>
        </w:rPr>
        <w:tab/>
      </w:r>
      <w:r w:rsidRPr="00B56229" w:rsidR="000F7404">
        <w:rPr>
          <w:color w:val="000000"/>
        </w:rPr>
        <w:t>The PUCO found that EDUs may not prohibit “non-commodity goods and services” charges on EDU-only customer bills under Ohio Adm.Code 4901:1-10-22 or prohibit these charges on consolidated bills under Ohio Adm.Code 4901:1-10-33.</w:t>
      </w:r>
      <w:r>
        <w:rPr>
          <w:rStyle w:val="FootnoteReference"/>
          <w:color w:val="000000"/>
        </w:rPr>
        <w:footnoteReference w:id="42"/>
      </w:r>
      <w:r w:rsidRPr="00B56229" w:rsidR="000F7404">
        <w:rPr>
          <w:color w:val="000000"/>
        </w:rPr>
        <w:t xml:space="preserve"> The only change the PUCO recommended was replacing the phrase “non-tariffed, non-regulated service” with the term “non-jurisdictional services</w:t>
      </w:r>
      <w:r w:rsidRPr="00B56229">
        <w:rPr>
          <w:color w:val="000000"/>
        </w:rPr>
        <w:t>.</w:t>
      </w:r>
      <w:r w:rsidRPr="00B56229" w:rsidR="000F7404">
        <w:rPr>
          <w:color w:val="000000"/>
        </w:rPr>
        <w:t>”</w:t>
      </w:r>
    </w:p>
    <w:p w:rsidR="00BE00CF" w:rsidRPr="00B56229" w:rsidP="00BE00CF" w14:paraId="121FA0C8" w14:textId="42A9AD52">
      <w:pPr>
        <w:pStyle w:val="NormalWeb"/>
        <w:spacing w:before="0" w:beforeAutospacing="0" w:after="0" w:afterAutospacing="0" w:line="480" w:lineRule="auto"/>
        <w:ind w:firstLine="720"/>
        <w:rPr>
          <w:color w:val="000000"/>
        </w:rPr>
      </w:pPr>
      <w:r w:rsidRPr="00B56229">
        <w:rPr>
          <w:color w:val="000000"/>
        </w:rPr>
        <w:t xml:space="preserve">The applications for rehearing filed by the four EDUs in this case address their concerns regarding </w:t>
      </w:r>
      <w:r w:rsidRPr="00B56229" w:rsidR="009514E8">
        <w:rPr>
          <w:color w:val="000000"/>
        </w:rPr>
        <w:t>collections from customers</w:t>
      </w:r>
      <w:r w:rsidRPr="00B56229">
        <w:rPr>
          <w:color w:val="000000"/>
        </w:rPr>
        <w:t xml:space="preserve"> when utilities bill for non-jurisdictional services,</w:t>
      </w:r>
      <w:r>
        <w:rPr>
          <w:rStyle w:val="FootnoteReference"/>
          <w:color w:val="000000"/>
        </w:rPr>
        <w:footnoteReference w:id="43"/>
      </w:r>
      <w:r w:rsidRPr="00B56229">
        <w:rPr>
          <w:color w:val="000000"/>
        </w:rPr>
        <w:t xml:space="preserve"> and point out that the revised Rule offers no clarity around how EDUs should implement the amended Rule.</w:t>
      </w:r>
      <w:r>
        <w:rPr>
          <w:rStyle w:val="FootnoteReference"/>
          <w:color w:val="000000"/>
        </w:rPr>
        <w:footnoteReference w:id="44"/>
      </w:r>
      <w:r w:rsidRPr="00B56229">
        <w:rPr>
          <w:color w:val="000000"/>
        </w:rPr>
        <w:t xml:space="preserve"> FirstEnergy’s concern was the lack of guidelines on how marketers should pay the EDU for ‘non-jurisdictional’ charges other than competitive retail electric service.</w:t>
      </w:r>
      <w:r>
        <w:rPr>
          <w:rStyle w:val="FootnoteReference"/>
          <w:color w:val="000000"/>
        </w:rPr>
        <w:footnoteReference w:id="45"/>
      </w:r>
      <w:r w:rsidRPr="00B56229">
        <w:rPr>
          <w:color w:val="000000"/>
        </w:rPr>
        <w:t xml:space="preserve"> AEP questioned the public policy of the rule revision because it  prohibits the EDU from unduly restricting a marketer from including charges for non-jurisdictional services on a consolidated electric bill</w:t>
      </w:r>
      <w:r w:rsidRPr="00B56229" w:rsidR="00A82C34">
        <w:rPr>
          <w:color w:val="000000"/>
        </w:rPr>
        <w:t>, because open-ended non-utility charges on customer bills could exacerbate existing customer issues.</w:t>
      </w:r>
      <w:r>
        <w:rPr>
          <w:rStyle w:val="FootnoteReference"/>
          <w:color w:val="000000"/>
        </w:rPr>
        <w:footnoteReference w:id="46"/>
      </w:r>
    </w:p>
    <w:p w:rsidR="00985780" w:rsidP="00A82C34" w14:paraId="55709506" w14:textId="77777777">
      <w:pPr>
        <w:pStyle w:val="NormalWeb"/>
        <w:spacing w:before="0" w:beforeAutospacing="0" w:after="0" w:afterAutospacing="0" w:line="480" w:lineRule="auto"/>
        <w:ind w:firstLine="720"/>
        <w:rPr>
          <w:color w:val="000000"/>
        </w:rPr>
      </w:pPr>
      <w:r w:rsidRPr="00B56229">
        <w:rPr>
          <w:color w:val="000000"/>
        </w:rPr>
        <w:t xml:space="preserve">The utilities’ focus regarding the rule revision to Ohio Adm.Code  4901-1-10-33 was </w:t>
      </w:r>
      <w:r w:rsidRPr="00B56229" w:rsidR="004D151F">
        <w:rPr>
          <w:color w:val="000000"/>
        </w:rPr>
        <w:t xml:space="preserve">largely that the Order was unreasonable because it did not give parameters or guidelines on how cost </w:t>
      </w:r>
      <w:r w:rsidRPr="00B56229" w:rsidR="00B4405D">
        <w:rPr>
          <w:color w:val="000000"/>
        </w:rPr>
        <w:t>collection from customers</w:t>
      </w:r>
      <w:r w:rsidRPr="00B56229" w:rsidR="004D151F">
        <w:rPr>
          <w:color w:val="000000"/>
        </w:rPr>
        <w:t xml:space="preserve"> could be achieved when the EDU is required to list non-utility marketer charges on a consolidated bill.</w:t>
      </w:r>
      <w:r>
        <w:rPr>
          <w:rStyle w:val="FootnoteReference"/>
          <w:color w:val="000000"/>
        </w:rPr>
        <w:footnoteReference w:id="47"/>
      </w:r>
      <w:r w:rsidRPr="00B56229" w:rsidR="004D151F">
        <w:rPr>
          <w:color w:val="000000"/>
        </w:rPr>
        <w:t xml:space="preserve">  </w:t>
      </w:r>
      <w:r w:rsidRPr="00B56229" w:rsidR="0025565C">
        <w:rPr>
          <w:color w:val="000000"/>
        </w:rPr>
        <w:t>OCC views this concern as secondary to the larger concern that</w:t>
      </w:r>
      <w:r w:rsidRPr="00B56229">
        <w:rPr>
          <w:color w:val="000000"/>
        </w:rPr>
        <w:t xml:space="preserve"> bill formats for bills containing EDU-only charges,</w:t>
      </w:r>
      <w:r>
        <w:rPr>
          <w:rStyle w:val="FootnoteReference"/>
          <w:color w:val="000000"/>
        </w:rPr>
        <w:footnoteReference w:id="48"/>
      </w:r>
      <w:r w:rsidRPr="00B56229">
        <w:rPr>
          <w:color w:val="000000"/>
        </w:rPr>
        <w:t xml:space="preserve"> and consolidated bill formats that contain utility and marketer charges,</w:t>
      </w:r>
      <w:r>
        <w:rPr>
          <w:rStyle w:val="FootnoteReference"/>
          <w:color w:val="000000"/>
        </w:rPr>
        <w:footnoteReference w:id="49"/>
      </w:r>
      <w:r w:rsidRPr="00B56229">
        <w:rPr>
          <w:color w:val="000000"/>
        </w:rPr>
        <w:t xml:space="preserve"> should not include charges for non-utility goods and services. </w:t>
      </w:r>
    </w:p>
    <w:p w:rsidR="00A82C34" w:rsidRPr="00B56229" w:rsidP="00A82C34" w14:paraId="66D71718" w14:textId="47779D95">
      <w:pPr>
        <w:pStyle w:val="NormalWeb"/>
        <w:spacing w:before="0" w:beforeAutospacing="0" w:after="0" w:afterAutospacing="0" w:line="480" w:lineRule="auto"/>
        <w:ind w:firstLine="720"/>
        <w:rPr>
          <w:color w:val="000000"/>
        </w:rPr>
      </w:pPr>
      <w:r w:rsidRPr="00B56229">
        <w:rPr>
          <w:color w:val="000000"/>
        </w:rPr>
        <w:t xml:space="preserve">Ohio law specifically requires </w:t>
      </w:r>
      <w:r w:rsidR="00985780">
        <w:rPr>
          <w:color w:val="000000"/>
        </w:rPr>
        <w:t xml:space="preserve">that </w:t>
      </w:r>
      <w:r w:rsidRPr="00B56229">
        <w:rPr>
          <w:color w:val="000000"/>
        </w:rPr>
        <w:t>the PUCO rules specify certain important elements of customer bills related to the service provided by utilities that is subject to the PUCO jurisdiction.</w:t>
      </w:r>
      <w:r>
        <w:rPr>
          <w:rStyle w:val="FootnoteReference"/>
          <w:color w:val="000000"/>
        </w:rPr>
        <w:footnoteReference w:id="50"/>
      </w:r>
      <w:r w:rsidRPr="00B56229">
        <w:rPr>
          <w:color w:val="000000"/>
        </w:rPr>
        <w:t xml:space="preserve"> Nowhere in R.C. 4928.10, R.C. 4905, or R.C. 4909 is the PUCO vested with authority to establish rules that authorize non-jurisdictional </w:t>
      </w:r>
      <w:r w:rsidRPr="00B56229" w:rsidR="004D151F">
        <w:rPr>
          <w:color w:val="000000"/>
        </w:rPr>
        <w:t xml:space="preserve">(non-utility) </w:t>
      </w:r>
      <w:r w:rsidRPr="00B56229">
        <w:rPr>
          <w:color w:val="000000"/>
        </w:rPr>
        <w:t xml:space="preserve">charges to be included on a regulated monopoly customer’s electric bill. OCC asked that the PUCO explicitly prohibit charges for non-utility unregulated charges that are not under the jurisdiction of the PUCO from being included on any EDU bill format. </w:t>
      </w:r>
    </w:p>
    <w:p w:rsidR="00BE00CF" w:rsidRPr="00B56229" w:rsidP="00BE00CF" w14:paraId="6267D1D3" w14:textId="37FAE9CA">
      <w:pPr>
        <w:pStyle w:val="NormalWeb"/>
        <w:spacing w:before="0" w:beforeAutospacing="0" w:after="0" w:afterAutospacing="0" w:line="480" w:lineRule="auto"/>
        <w:ind w:firstLine="720"/>
        <w:rPr>
          <w:color w:val="000000"/>
        </w:rPr>
      </w:pPr>
      <w:r w:rsidRPr="00B56229">
        <w:rPr>
          <w:color w:val="000000"/>
        </w:rPr>
        <w:t xml:space="preserve"> </w:t>
      </w:r>
      <w:r w:rsidRPr="00B56229" w:rsidR="009B6527">
        <w:rPr>
          <w:color w:val="000000"/>
        </w:rPr>
        <w:t>I</w:t>
      </w:r>
      <w:r w:rsidRPr="00B56229">
        <w:rPr>
          <w:color w:val="000000"/>
        </w:rPr>
        <w:t>f the PUCO authorizes marketer non-jurisdictional charges on the bill formats of EDU-only or consolidated bills</w:t>
      </w:r>
      <w:r w:rsidRPr="00B56229" w:rsidR="003E49FC">
        <w:rPr>
          <w:color w:val="000000"/>
        </w:rPr>
        <w:t xml:space="preserve"> (which it should not)</w:t>
      </w:r>
      <w:r w:rsidRPr="00B56229">
        <w:rPr>
          <w:color w:val="000000"/>
        </w:rPr>
        <w:t>, the PUCO should mandate that</w:t>
      </w:r>
      <w:r w:rsidRPr="00B56229" w:rsidR="009B6527">
        <w:rPr>
          <w:color w:val="000000"/>
        </w:rPr>
        <w:t xml:space="preserve"> the EDUs</w:t>
      </w:r>
      <w:r w:rsidRPr="00B56229" w:rsidR="003E49FC">
        <w:rPr>
          <w:color w:val="000000"/>
        </w:rPr>
        <w:t xml:space="preserve"> be prohibited from collecting</w:t>
      </w:r>
      <w:r w:rsidRPr="00B56229">
        <w:rPr>
          <w:color w:val="000000"/>
        </w:rPr>
        <w:t xml:space="preserve"> non-commodity charges and non-jurisdictional charges </w:t>
      </w:r>
      <w:r w:rsidRPr="00B56229" w:rsidR="009B6527">
        <w:rPr>
          <w:color w:val="000000"/>
        </w:rPr>
        <w:t xml:space="preserve">from customers </w:t>
      </w:r>
      <w:r w:rsidRPr="00B56229">
        <w:rPr>
          <w:color w:val="000000"/>
        </w:rPr>
        <w:t xml:space="preserve"> through base rates, any uncollectible rider, </w:t>
      </w:r>
      <w:r w:rsidRPr="00B56229" w:rsidR="009514E8">
        <w:rPr>
          <w:color w:val="000000"/>
        </w:rPr>
        <w:t>or</w:t>
      </w:r>
      <w:r w:rsidRPr="00B56229">
        <w:rPr>
          <w:color w:val="000000"/>
        </w:rPr>
        <w:t xml:space="preserve"> the Universal Service Fund (“USF”) rider. </w:t>
      </w:r>
      <w:r w:rsidRPr="00B56229" w:rsidR="004D151F">
        <w:rPr>
          <w:color w:val="000000"/>
        </w:rPr>
        <w:t>T</w:t>
      </w:r>
      <w:r w:rsidRPr="00B56229">
        <w:rPr>
          <w:color w:val="000000"/>
        </w:rPr>
        <w:t xml:space="preserve">he full system costs associated with implementing the charges on the bill should be paid by the requesting entity and costs allocations should be adjusted accordingly. </w:t>
      </w:r>
    </w:p>
    <w:p w:rsidR="00BE00CF" w:rsidRPr="00B56229" w:rsidP="00BE00CF" w14:paraId="43E97C32" w14:textId="28BA3C97">
      <w:pPr>
        <w:pStyle w:val="NormalWeb"/>
        <w:spacing w:before="0" w:beforeAutospacing="0" w:after="0" w:afterAutospacing="0" w:line="480" w:lineRule="auto"/>
        <w:ind w:firstLine="720"/>
        <w:rPr>
          <w:color w:val="000000"/>
        </w:rPr>
      </w:pPr>
      <w:r w:rsidRPr="00B56229">
        <w:rPr>
          <w:color w:val="000000"/>
        </w:rPr>
        <w:t xml:space="preserve">OCC supports AEP’s request that if the PUCO approves </w:t>
      </w:r>
      <w:r w:rsidRPr="00B56229" w:rsidR="00B4405D">
        <w:rPr>
          <w:color w:val="000000"/>
        </w:rPr>
        <w:t xml:space="preserve">the placement of </w:t>
      </w:r>
      <w:r w:rsidRPr="00B56229">
        <w:rPr>
          <w:color w:val="000000"/>
        </w:rPr>
        <w:t>non-jurisdictional charges on the EDU bill, the</w:t>
      </w:r>
      <w:r w:rsidRPr="00B56229" w:rsidR="00B4405D">
        <w:rPr>
          <w:color w:val="000000"/>
        </w:rPr>
        <w:t>n</w:t>
      </w:r>
      <w:r w:rsidRPr="00B56229">
        <w:rPr>
          <w:color w:val="000000"/>
        </w:rPr>
        <w:t xml:space="preserve"> marketers should pay </w:t>
      </w:r>
      <w:r w:rsidRPr="00B56229" w:rsidR="00FB4625">
        <w:rPr>
          <w:color w:val="000000"/>
        </w:rPr>
        <w:t>the</w:t>
      </w:r>
      <w:r w:rsidRPr="00B56229">
        <w:rPr>
          <w:color w:val="000000"/>
        </w:rPr>
        <w:t xml:space="preserve"> </w:t>
      </w:r>
      <w:r w:rsidRPr="00B56229" w:rsidR="00FB4625">
        <w:rPr>
          <w:color w:val="000000"/>
        </w:rPr>
        <w:t xml:space="preserve">full </w:t>
      </w:r>
      <w:r w:rsidRPr="00B56229">
        <w:rPr>
          <w:color w:val="000000"/>
        </w:rPr>
        <w:t>allocated costs associated with including non-jurisdictional charges on the bill.</w:t>
      </w:r>
      <w:r>
        <w:rPr>
          <w:rStyle w:val="FootnoteReference"/>
          <w:color w:val="000000"/>
        </w:rPr>
        <w:footnoteReference w:id="51"/>
      </w:r>
      <w:r w:rsidRPr="00B56229">
        <w:rPr>
          <w:color w:val="000000"/>
        </w:rPr>
        <w:t xml:space="preserve"> OCC</w:t>
      </w:r>
      <w:r w:rsidRPr="00B56229" w:rsidR="0025565C">
        <w:rPr>
          <w:color w:val="000000"/>
        </w:rPr>
        <w:t>, however,</w:t>
      </w:r>
      <w:r w:rsidRPr="00B56229">
        <w:rPr>
          <w:color w:val="000000"/>
        </w:rPr>
        <w:t xml:space="preserve"> opposes AEP’s request that the PUCO authorize a deferral of the charges for later cost </w:t>
      </w:r>
      <w:r w:rsidRPr="00B56229" w:rsidR="00FB4625">
        <w:rPr>
          <w:color w:val="000000"/>
        </w:rPr>
        <w:t>collection from customers</w:t>
      </w:r>
      <w:r w:rsidRPr="00B56229">
        <w:rPr>
          <w:color w:val="000000"/>
        </w:rPr>
        <w:t>,</w:t>
      </w:r>
      <w:r>
        <w:rPr>
          <w:rStyle w:val="FootnoteReference"/>
          <w:color w:val="000000"/>
        </w:rPr>
        <w:footnoteReference w:id="52"/>
      </w:r>
      <w:r w:rsidRPr="00B56229">
        <w:rPr>
          <w:color w:val="000000"/>
        </w:rPr>
        <w:t xml:space="preserve"> as these </w:t>
      </w:r>
      <w:r w:rsidRPr="00B56229" w:rsidR="00FB4625">
        <w:rPr>
          <w:color w:val="000000"/>
        </w:rPr>
        <w:t xml:space="preserve">deferred </w:t>
      </w:r>
      <w:r w:rsidRPr="00B56229">
        <w:rPr>
          <w:color w:val="000000"/>
        </w:rPr>
        <w:t>charges invariably and unfairly tend to be collected from customers.</w:t>
      </w:r>
    </w:p>
    <w:p w:rsidR="009B6527" w:rsidRPr="00B56229" w:rsidP="00BE00CF" w14:paraId="3738D3CB" w14:textId="2E0B194D">
      <w:pPr>
        <w:pStyle w:val="NormalWeb"/>
        <w:spacing w:before="0" w:beforeAutospacing="0" w:after="0" w:afterAutospacing="0" w:line="480" w:lineRule="auto"/>
        <w:ind w:firstLine="720"/>
        <w:rPr>
          <w:color w:val="000000"/>
        </w:rPr>
      </w:pPr>
      <w:r w:rsidRPr="00B56229">
        <w:rPr>
          <w:color w:val="000000"/>
        </w:rPr>
        <w:t>Finally, OCC continues to maintain that the PUCO erred by not prohibiting the EDUs from releasing customer contact information to energy marketers unless consumers opt-in to the release of their personal information.</w:t>
      </w:r>
      <w:r>
        <w:rPr>
          <w:rStyle w:val="FootnoteReference"/>
          <w:color w:val="000000"/>
        </w:rPr>
        <w:footnoteReference w:id="53"/>
      </w:r>
      <w:r w:rsidRPr="00B56229">
        <w:rPr>
          <w:color w:val="000000"/>
        </w:rPr>
        <w:t xml:space="preserve"> </w:t>
      </w:r>
    </w:p>
    <w:bookmarkEnd w:id="5"/>
    <w:p w:rsidR="00E85E17" w:rsidRPr="00B56229" w:rsidP="00E85E17" w14:paraId="60A707C1" w14:textId="77777777">
      <w:pPr>
        <w:pStyle w:val="NormalWeb"/>
        <w:spacing w:before="0" w:beforeAutospacing="0" w:after="0" w:afterAutospacing="0"/>
        <w:ind w:firstLine="720"/>
        <w:rPr>
          <w:color w:val="000000"/>
        </w:rPr>
      </w:pPr>
    </w:p>
    <w:p w:rsidR="00E97B42" w:rsidRPr="00B56229" w:rsidP="00F33271" w14:paraId="77D8961F" w14:textId="77777777">
      <w:pPr>
        <w:pStyle w:val="Heading1"/>
        <w:rPr>
          <w:rFonts w:ascii="Times New Roman" w:hAnsi="Times New Roman"/>
        </w:rPr>
      </w:pPr>
      <w:bookmarkStart w:id="9" w:name="_Toc35935994"/>
      <w:bookmarkStart w:id="10" w:name="_Toc37084890"/>
      <w:r w:rsidRPr="00B56229">
        <w:rPr>
          <w:rFonts w:ascii="Times New Roman" w:hAnsi="Times New Roman"/>
        </w:rPr>
        <w:t>CONCLUSION</w:t>
      </w:r>
      <w:bookmarkEnd w:id="9"/>
      <w:bookmarkEnd w:id="10"/>
    </w:p>
    <w:p w:rsidR="00E74DDE" w:rsidRPr="00B56229" w:rsidP="009D1D68" w14:paraId="292E92CA" w14:textId="368BFD9A">
      <w:pPr>
        <w:tabs>
          <w:tab w:val="left" w:pos="720"/>
          <w:tab w:val="left" w:pos="1440"/>
          <w:tab w:val="left" w:pos="2160"/>
          <w:tab w:val="decimal" w:leader="dot" w:pos="8640"/>
        </w:tabs>
        <w:spacing w:line="480" w:lineRule="auto"/>
        <w:rPr>
          <w:rFonts w:ascii="Times New Roman" w:hAnsi="Times New Roman" w:cs="Times New Roman"/>
          <w:sz w:val="24"/>
          <w:szCs w:val="24"/>
        </w:rPr>
      </w:pPr>
      <w:r w:rsidRPr="00B56229">
        <w:rPr>
          <w:rFonts w:ascii="Times New Roman" w:hAnsi="Times New Roman" w:cs="Times New Roman"/>
          <w:sz w:val="24"/>
          <w:szCs w:val="24"/>
        </w:rPr>
        <w:tab/>
      </w:r>
      <w:r w:rsidRPr="00B56229" w:rsidR="00E97B42">
        <w:rPr>
          <w:rFonts w:ascii="Times New Roman" w:hAnsi="Times New Roman" w:cs="Times New Roman"/>
          <w:sz w:val="24"/>
          <w:szCs w:val="24"/>
        </w:rPr>
        <w:t xml:space="preserve">To protect </w:t>
      </w:r>
      <w:r w:rsidRPr="00B56229">
        <w:rPr>
          <w:rFonts w:ascii="Times New Roman" w:hAnsi="Times New Roman" w:cs="Times New Roman"/>
          <w:sz w:val="24"/>
          <w:szCs w:val="24"/>
        </w:rPr>
        <w:t xml:space="preserve">Ohio’s electric utility </w:t>
      </w:r>
      <w:r w:rsidR="00DE06BE">
        <w:rPr>
          <w:rFonts w:ascii="Times New Roman" w:hAnsi="Times New Roman" w:cs="Times New Roman"/>
          <w:sz w:val="24"/>
          <w:szCs w:val="24"/>
        </w:rPr>
        <w:t xml:space="preserve">consumers, </w:t>
      </w:r>
      <w:r w:rsidRPr="00B56229" w:rsidR="00872749">
        <w:rPr>
          <w:rFonts w:ascii="Times New Roman" w:hAnsi="Times New Roman" w:cs="Times New Roman"/>
          <w:sz w:val="24"/>
          <w:szCs w:val="24"/>
        </w:rPr>
        <w:t xml:space="preserve">the PUCO should </w:t>
      </w:r>
      <w:r w:rsidRPr="00B56229">
        <w:rPr>
          <w:rFonts w:ascii="Times New Roman" w:hAnsi="Times New Roman" w:cs="Times New Roman"/>
          <w:sz w:val="24"/>
          <w:szCs w:val="24"/>
        </w:rPr>
        <w:t xml:space="preserve">deny </w:t>
      </w:r>
      <w:r w:rsidRPr="00B56229" w:rsidR="00872749">
        <w:rPr>
          <w:rFonts w:ascii="Times New Roman" w:hAnsi="Times New Roman" w:cs="Times New Roman"/>
          <w:sz w:val="24"/>
          <w:szCs w:val="24"/>
        </w:rPr>
        <w:t xml:space="preserve">the various </w:t>
      </w:r>
      <w:r w:rsidRPr="00B56229">
        <w:rPr>
          <w:rFonts w:ascii="Times New Roman" w:hAnsi="Times New Roman" w:cs="Times New Roman"/>
          <w:sz w:val="24"/>
          <w:szCs w:val="24"/>
        </w:rPr>
        <w:t>applications for rehearing</w:t>
      </w:r>
      <w:r w:rsidRPr="00B56229" w:rsidR="00872749">
        <w:rPr>
          <w:rFonts w:ascii="Times New Roman" w:hAnsi="Times New Roman" w:cs="Times New Roman"/>
          <w:sz w:val="24"/>
          <w:szCs w:val="24"/>
        </w:rPr>
        <w:t xml:space="preserve"> filed by the electric distribution utilities.  The utilities have failed to show that the PUCO’s ruling was unjust, unreasonable or unlawful.   </w:t>
      </w:r>
      <w:r w:rsidRPr="00B56229">
        <w:rPr>
          <w:rFonts w:ascii="Times New Roman" w:hAnsi="Times New Roman" w:cs="Times New Roman"/>
          <w:sz w:val="24"/>
          <w:szCs w:val="24"/>
        </w:rPr>
        <w:t xml:space="preserve"> </w:t>
      </w:r>
    </w:p>
    <w:p w:rsidR="00D44BF5" w:rsidP="00261C9E" w14:paraId="3A775D70" w14:textId="77777777">
      <w:pPr>
        <w:pStyle w:val="Footer"/>
        <w:ind w:left="3600"/>
        <w:rPr>
          <w:rFonts w:ascii="Times New Roman" w:hAnsi="Times New Roman" w:cs="Times New Roman"/>
          <w:sz w:val="24"/>
          <w:szCs w:val="24"/>
        </w:rPr>
        <w:sectPr w:rsidSect="00B0273C">
          <w:headerReference w:type="default" r:id="rId10"/>
          <w:pgSz w:w="12240" w:h="15840"/>
          <w:pgMar w:top="1440" w:right="1800" w:bottom="1440" w:left="1800" w:header="720" w:footer="720" w:gutter="0"/>
          <w:pgNumType w:start="1"/>
          <w:cols w:space="720"/>
          <w:docGrid w:linePitch="360"/>
        </w:sectPr>
      </w:pPr>
    </w:p>
    <w:p w:rsidR="00261C9E" w:rsidRPr="00B56229" w:rsidP="00261C9E" w14:paraId="44A9F0E8" w14:textId="17914100">
      <w:pPr>
        <w:pStyle w:val="Footer"/>
        <w:ind w:left="3600"/>
        <w:rPr>
          <w:rFonts w:ascii="Times New Roman" w:hAnsi="Times New Roman" w:cs="Times New Roman"/>
          <w:sz w:val="24"/>
          <w:szCs w:val="24"/>
        </w:rPr>
      </w:pPr>
      <w:r w:rsidRPr="00B56229">
        <w:rPr>
          <w:rFonts w:ascii="Times New Roman" w:hAnsi="Times New Roman" w:cs="Times New Roman"/>
          <w:sz w:val="24"/>
          <w:szCs w:val="24"/>
        </w:rPr>
        <w:t>Respectfully submitted,</w:t>
      </w:r>
    </w:p>
    <w:p w:rsidR="00261C9E" w:rsidRPr="00B56229" w:rsidP="00261C9E" w14:paraId="468BBFE2" w14:textId="77777777">
      <w:pPr>
        <w:pStyle w:val="Footer"/>
        <w:tabs>
          <w:tab w:val="left" w:pos="4320"/>
        </w:tabs>
        <w:ind w:left="3600"/>
        <w:rPr>
          <w:rFonts w:ascii="Times New Roman" w:hAnsi="Times New Roman" w:cs="Times New Roman"/>
          <w:sz w:val="24"/>
          <w:szCs w:val="24"/>
        </w:rPr>
      </w:pPr>
    </w:p>
    <w:p w:rsidR="00261C9E" w:rsidRPr="00B56229" w:rsidP="00261C9E" w14:paraId="7A4D2581" w14:textId="77777777">
      <w:pPr>
        <w:pStyle w:val="Footer"/>
        <w:tabs>
          <w:tab w:val="left" w:pos="4320"/>
        </w:tabs>
        <w:ind w:left="3600"/>
        <w:rPr>
          <w:rFonts w:ascii="Times New Roman" w:hAnsi="Times New Roman" w:cs="Times New Roman"/>
          <w:sz w:val="24"/>
          <w:szCs w:val="24"/>
        </w:rPr>
      </w:pPr>
      <w:r w:rsidRPr="00B56229">
        <w:rPr>
          <w:rFonts w:ascii="Times New Roman" w:hAnsi="Times New Roman" w:cs="Times New Roman"/>
          <w:sz w:val="24"/>
          <w:szCs w:val="24"/>
        </w:rPr>
        <w:t>Bruce Weston (#0016973)</w:t>
      </w:r>
    </w:p>
    <w:p w:rsidR="00261C9E" w:rsidRPr="00B56229" w:rsidP="00261C9E" w14:paraId="7CA4AEFC" w14:textId="77777777">
      <w:pPr>
        <w:pStyle w:val="ListParagraph"/>
        <w:tabs>
          <w:tab w:val="left" w:pos="4320"/>
        </w:tabs>
        <w:ind w:left="3600"/>
      </w:pPr>
      <w:r w:rsidRPr="00B56229">
        <w:t>Ohio Consumers’ Counsel</w:t>
      </w:r>
    </w:p>
    <w:p w:rsidR="00261C9E" w:rsidRPr="00B56229" w:rsidP="00261C9E" w14:paraId="54D9F3C1" w14:textId="77777777">
      <w:pPr>
        <w:pStyle w:val="ListParagraph"/>
        <w:tabs>
          <w:tab w:val="left" w:pos="4320"/>
        </w:tabs>
        <w:ind w:left="3600"/>
      </w:pPr>
      <w:r w:rsidRPr="00B56229">
        <w:tab/>
      </w:r>
    </w:p>
    <w:p w:rsidR="00261C9E" w:rsidRPr="00B56229" w:rsidP="00261C9E" w14:paraId="486916D8" w14:textId="77777777">
      <w:pPr>
        <w:pStyle w:val="ListParagraph"/>
        <w:tabs>
          <w:tab w:val="left" w:pos="4320"/>
        </w:tabs>
        <w:ind w:left="3600"/>
        <w:rPr>
          <w:i/>
          <w:iCs/>
          <w:u w:val="single"/>
        </w:rPr>
      </w:pPr>
      <w:r w:rsidRPr="00B56229">
        <w:rPr>
          <w:i/>
          <w:iCs/>
          <w:u w:val="single"/>
        </w:rPr>
        <w:t>/s/ Amy Botschner O’Brien</w:t>
      </w:r>
    </w:p>
    <w:p w:rsidR="00261C9E" w:rsidRPr="00B56229" w:rsidP="00261C9E" w14:paraId="029E2D3F" w14:textId="77777777">
      <w:pPr>
        <w:pStyle w:val="ListParagraph"/>
        <w:tabs>
          <w:tab w:val="left" w:pos="4320"/>
        </w:tabs>
        <w:ind w:left="3600"/>
      </w:pPr>
      <w:r w:rsidRPr="00B56229">
        <w:t>Amy Botschner O’Brien (0074423)</w:t>
      </w:r>
    </w:p>
    <w:p w:rsidR="00261C9E" w:rsidRPr="00B56229" w:rsidP="00261C9E" w14:paraId="093A7606" w14:textId="77777777">
      <w:pPr>
        <w:pStyle w:val="ListParagraph"/>
        <w:tabs>
          <w:tab w:val="left" w:pos="4320"/>
        </w:tabs>
        <w:ind w:left="3600"/>
      </w:pPr>
      <w:r w:rsidRPr="00B56229">
        <w:t>Counsel of Record</w:t>
      </w:r>
    </w:p>
    <w:p w:rsidR="00261C9E" w:rsidRPr="00B56229" w:rsidP="00261C9E" w14:paraId="22CE7723" w14:textId="77777777">
      <w:pPr>
        <w:pStyle w:val="ListParagraph"/>
        <w:tabs>
          <w:tab w:val="left" w:pos="4320"/>
        </w:tabs>
        <w:ind w:left="3600"/>
      </w:pPr>
      <w:r w:rsidRPr="00B56229">
        <w:t>Assistant Consumers’ Counsel</w:t>
      </w:r>
    </w:p>
    <w:p w:rsidR="00261C9E" w:rsidRPr="00B56229" w:rsidP="00261C9E" w14:paraId="65BD319A" w14:textId="77777777">
      <w:pPr>
        <w:tabs>
          <w:tab w:val="left" w:pos="4320"/>
        </w:tabs>
        <w:spacing w:after="0" w:line="240" w:lineRule="auto"/>
        <w:ind w:left="3600"/>
        <w:rPr>
          <w:rFonts w:ascii="Times New Roman" w:hAnsi="Times New Roman" w:cs="Times New Roman"/>
          <w:sz w:val="24"/>
          <w:szCs w:val="24"/>
        </w:rPr>
      </w:pPr>
      <w:r w:rsidRPr="00B56229">
        <w:rPr>
          <w:rFonts w:ascii="Times New Roman" w:hAnsi="Times New Roman" w:cs="Times New Roman"/>
          <w:sz w:val="24"/>
          <w:szCs w:val="24"/>
        </w:rPr>
        <w:tab/>
      </w:r>
      <w:r w:rsidRPr="00B56229">
        <w:rPr>
          <w:rFonts w:ascii="Times New Roman" w:hAnsi="Times New Roman" w:cs="Times New Roman"/>
          <w:sz w:val="24"/>
          <w:szCs w:val="24"/>
        </w:rPr>
        <w:tab/>
      </w:r>
      <w:r w:rsidRPr="00B56229">
        <w:rPr>
          <w:rFonts w:ascii="Times New Roman" w:hAnsi="Times New Roman" w:cs="Times New Roman"/>
          <w:sz w:val="24"/>
          <w:szCs w:val="24"/>
        </w:rPr>
        <w:tab/>
      </w:r>
      <w:r w:rsidRPr="00B56229">
        <w:rPr>
          <w:rFonts w:ascii="Times New Roman" w:hAnsi="Times New Roman" w:cs="Times New Roman"/>
          <w:sz w:val="24"/>
          <w:szCs w:val="24"/>
        </w:rPr>
        <w:tab/>
      </w:r>
      <w:r w:rsidRPr="00B56229">
        <w:rPr>
          <w:rFonts w:ascii="Times New Roman" w:hAnsi="Times New Roman" w:cs="Times New Roman"/>
          <w:sz w:val="24"/>
          <w:szCs w:val="24"/>
        </w:rPr>
        <w:tab/>
      </w:r>
      <w:r w:rsidRPr="00B56229">
        <w:rPr>
          <w:rFonts w:ascii="Times New Roman" w:hAnsi="Times New Roman" w:cs="Times New Roman"/>
          <w:sz w:val="24"/>
          <w:szCs w:val="24"/>
        </w:rPr>
        <w:tab/>
      </w:r>
    </w:p>
    <w:p w:rsidR="00261C9E" w:rsidRPr="00B56229" w:rsidP="00261C9E" w14:paraId="2624BEDF" w14:textId="77777777">
      <w:pPr>
        <w:spacing w:after="0" w:line="240" w:lineRule="auto"/>
        <w:rPr>
          <w:rFonts w:ascii="Times New Roman" w:hAnsi="Times New Roman" w:cs="Times New Roman"/>
          <w:b/>
          <w:bCs/>
          <w:sz w:val="24"/>
          <w:szCs w:val="24"/>
        </w:rPr>
      </w:pPr>
      <w:r w:rsidRPr="00B56229">
        <w:rPr>
          <w:rFonts w:ascii="Times New Roman" w:hAnsi="Times New Roman" w:cs="Times New Roman"/>
          <w:b/>
          <w:bCs/>
          <w:sz w:val="24"/>
          <w:szCs w:val="24"/>
        </w:rPr>
        <w:tab/>
      </w:r>
      <w:r w:rsidRPr="00B56229">
        <w:rPr>
          <w:rFonts w:ascii="Times New Roman" w:hAnsi="Times New Roman" w:cs="Times New Roman"/>
          <w:b/>
          <w:bCs/>
          <w:sz w:val="24"/>
          <w:szCs w:val="24"/>
        </w:rPr>
        <w:tab/>
      </w:r>
      <w:r w:rsidRPr="00B56229">
        <w:rPr>
          <w:rFonts w:ascii="Times New Roman" w:hAnsi="Times New Roman" w:cs="Times New Roman"/>
          <w:b/>
          <w:bCs/>
          <w:sz w:val="24"/>
          <w:szCs w:val="24"/>
        </w:rPr>
        <w:tab/>
      </w:r>
      <w:r w:rsidRPr="00B56229">
        <w:rPr>
          <w:rFonts w:ascii="Times New Roman" w:hAnsi="Times New Roman" w:cs="Times New Roman"/>
          <w:b/>
          <w:bCs/>
          <w:sz w:val="24"/>
          <w:szCs w:val="24"/>
        </w:rPr>
        <w:tab/>
      </w:r>
      <w:r w:rsidRPr="00B56229">
        <w:rPr>
          <w:rFonts w:ascii="Times New Roman" w:hAnsi="Times New Roman" w:cs="Times New Roman"/>
          <w:b/>
          <w:bCs/>
          <w:sz w:val="24"/>
          <w:szCs w:val="24"/>
        </w:rPr>
        <w:tab/>
        <w:t>Office of the Ohio Consumers’ Counsel</w:t>
      </w:r>
    </w:p>
    <w:p w:rsidR="00261C9E" w:rsidRPr="00B56229" w:rsidP="00261C9E" w14:paraId="6ABB2B9A" w14:textId="77777777">
      <w:pPr>
        <w:tabs>
          <w:tab w:val="left" w:pos="4320"/>
        </w:tabs>
        <w:spacing w:after="0" w:line="240" w:lineRule="auto"/>
        <w:ind w:left="3600"/>
        <w:rPr>
          <w:rFonts w:ascii="Times New Roman" w:hAnsi="Times New Roman" w:cs="Times New Roman"/>
          <w:sz w:val="24"/>
          <w:szCs w:val="24"/>
        </w:rPr>
      </w:pPr>
      <w:r w:rsidRPr="00B56229">
        <w:rPr>
          <w:rFonts w:ascii="Times New Roman" w:hAnsi="Times New Roman" w:cs="Times New Roman"/>
          <w:sz w:val="24"/>
          <w:szCs w:val="24"/>
        </w:rPr>
        <w:t>65 East State Street, 7</w:t>
      </w:r>
      <w:r w:rsidRPr="00B56229">
        <w:rPr>
          <w:rFonts w:ascii="Times New Roman" w:hAnsi="Times New Roman" w:cs="Times New Roman"/>
          <w:sz w:val="24"/>
          <w:szCs w:val="24"/>
          <w:vertAlign w:val="superscript"/>
        </w:rPr>
        <w:t>th</w:t>
      </w:r>
      <w:r w:rsidRPr="00B56229">
        <w:rPr>
          <w:rFonts w:ascii="Times New Roman" w:hAnsi="Times New Roman" w:cs="Times New Roman"/>
          <w:sz w:val="24"/>
          <w:szCs w:val="24"/>
        </w:rPr>
        <w:t xml:space="preserve"> Floor</w:t>
      </w:r>
    </w:p>
    <w:p w:rsidR="00261C9E" w:rsidRPr="00B56229" w:rsidP="00261C9E" w14:paraId="2984B4CC" w14:textId="77777777">
      <w:pPr>
        <w:tabs>
          <w:tab w:val="left" w:pos="4320"/>
        </w:tabs>
        <w:spacing w:after="0" w:line="240" w:lineRule="auto"/>
        <w:ind w:left="3600"/>
        <w:rPr>
          <w:rFonts w:ascii="Times New Roman" w:hAnsi="Times New Roman" w:cs="Times New Roman"/>
          <w:sz w:val="24"/>
          <w:szCs w:val="24"/>
        </w:rPr>
      </w:pPr>
      <w:r w:rsidRPr="00B56229">
        <w:rPr>
          <w:rFonts w:ascii="Times New Roman" w:hAnsi="Times New Roman" w:cs="Times New Roman"/>
          <w:sz w:val="24"/>
          <w:szCs w:val="24"/>
        </w:rPr>
        <w:t>Columbus, Ohio 43215</w:t>
      </w:r>
    </w:p>
    <w:p w:rsidR="00261C9E" w:rsidRPr="00B56229" w:rsidP="00261C9E" w14:paraId="6318C7A1" w14:textId="77777777">
      <w:pPr>
        <w:pStyle w:val="ListParagraph"/>
        <w:tabs>
          <w:tab w:val="left" w:pos="4320"/>
        </w:tabs>
        <w:autoSpaceDE w:val="0"/>
        <w:autoSpaceDN w:val="0"/>
        <w:adjustRightInd w:val="0"/>
        <w:ind w:left="3600"/>
      </w:pPr>
      <w:r w:rsidRPr="00B56229">
        <w:t>Telephone [Botschner O’Brien]: (614) 466-9575</w:t>
      </w:r>
    </w:p>
    <w:p w:rsidR="00261C9E" w:rsidRPr="00B56229" w:rsidP="00261C9E" w14:paraId="48AF5D4E" w14:textId="77777777">
      <w:pPr>
        <w:pStyle w:val="ListParagraph"/>
        <w:tabs>
          <w:tab w:val="left" w:pos="4320"/>
        </w:tabs>
        <w:autoSpaceDE w:val="0"/>
        <w:autoSpaceDN w:val="0"/>
        <w:adjustRightInd w:val="0"/>
        <w:ind w:left="3600"/>
      </w:pPr>
      <w:hyperlink r:id="rId6" w:history="1">
        <w:r w:rsidRPr="00B56229" w:rsidR="00441654">
          <w:rPr>
            <w:rStyle w:val="Hyperlink"/>
          </w:rPr>
          <w:t>Amy.botschner.obrien@occ.ohio.gov</w:t>
        </w:r>
      </w:hyperlink>
    </w:p>
    <w:p w:rsidR="00261C9E" w:rsidRPr="00B56229" w:rsidP="00261C9E" w14:paraId="0A9B4FCF" w14:textId="77777777">
      <w:pPr>
        <w:tabs>
          <w:tab w:val="left" w:pos="4320"/>
        </w:tabs>
        <w:spacing w:after="0" w:line="240" w:lineRule="auto"/>
        <w:ind w:left="3600"/>
        <w:rPr>
          <w:rFonts w:ascii="Times New Roman" w:hAnsi="Times New Roman" w:cs="Times New Roman"/>
          <w:sz w:val="24"/>
          <w:szCs w:val="24"/>
        </w:rPr>
      </w:pPr>
      <w:r w:rsidRPr="00B56229">
        <w:rPr>
          <w:rFonts w:ascii="Times New Roman" w:hAnsi="Times New Roman" w:cs="Times New Roman"/>
          <w:sz w:val="24"/>
          <w:szCs w:val="24"/>
        </w:rPr>
        <w:t>(Willing to accept service by e-mail)</w:t>
      </w:r>
    </w:p>
    <w:p w:rsidR="00261C9E" w:rsidRPr="00B56229" w:rsidP="00E97B42" w14:paraId="1361F08F" w14:textId="77777777">
      <w:pPr>
        <w:rPr>
          <w:rFonts w:ascii="Times New Roman" w:hAnsi="Times New Roman" w:cs="Times New Roman"/>
          <w:b/>
          <w:sz w:val="24"/>
          <w:szCs w:val="24"/>
        </w:rPr>
        <w:sectPr w:rsidSect="006D376E">
          <w:headerReference w:type="default" r:id="rId11"/>
          <w:pgSz w:w="12240" w:h="15840"/>
          <w:pgMar w:top="1440" w:right="1800" w:bottom="1440" w:left="1800" w:header="720" w:footer="720" w:gutter="0"/>
          <w:cols w:space="720"/>
          <w:docGrid w:linePitch="360"/>
        </w:sectPr>
      </w:pPr>
    </w:p>
    <w:p w:rsidR="00E97B42" w:rsidRPr="00B56229" w:rsidP="00E97B42" w14:paraId="0FF66BA1" w14:textId="77777777">
      <w:pPr>
        <w:jc w:val="center"/>
        <w:rPr>
          <w:rFonts w:ascii="Times New Roman" w:hAnsi="Times New Roman" w:cs="Times New Roman"/>
          <w:b/>
          <w:sz w:val="24"/>
          <w:szCs w:val="24"/>
          <w:u w:val="single"/>
        </w:rPr>
      </w:pPr>
      <w:r w:rsidRPr="00B56229">
        <w:rPr>
          <w:rFonts w:ascii="Times New Roman" w:hAnsi="Times New Roman" w:cs="Times New Roman"/>
          <w:b/>
          <w:sz w:val="24"/>
          <w:szCs w:val="24"/>
          <w:u w:val="single"/>
        </w:rPr>
        <w:t>CERTIFICATE OF SERVICE</w:t>
      </w:r>
    </w:p>
    <w:p w:rsidR="00E97B42" w:rsidRPr="00B56229" w:rsidP="00E97B42" w14:paraId="7B8BAD1E" w14:textId="77777777">
      <w:pPr>
        <w:pStyle w:val="ListParagraph"/>
        <w:ind w:left="1080"/>
        <w:jc w:val="center"/>
        <w:rPr>
          <w:b/>
        </w:rPr>
      </w:pPr>
    </w:p>
    <w:p w:rsidR="00E97B42" w:rsidRPr="00B56229" w:rsidP="00E97B42" w14:paraId="387D497E" w14:textId="039DCAA6">
      <w:pPr>
        <w:spacing w:line="480" w:lineRule="auto"/>
        <w:rPr>
          <w:rFonts w:ascii="Times New Roman" w:hAnsi="Times New Roman" w:cs="Times New Roman"/>
          <w:sz w:val="24"/>
          <w:szCs w:val="24"/>
        </w:rPr>
      </w:pPr>
      <w:r w:rsidRPr="00B56229">
        <w:rPr>
          <w:rFonts w:ascii="Times New Roman" w:hAnsi="Times New Roman" w:cs="Times New Roman"/>
          <w:sz w:val="24"/>
          <w:szCs w:val="24"/>
        </w:rPr>
        <w:tab/>
        <w:t xml:space="preserve">I hereby certify that a copy of this </w:t>
      </w:r>
      <w:r w:rsidR="00D51980">
        <w:rPr>
          <w:rFonts w:ascii="Times New Roman" w:hAnsi="Times New Roman" w:cs="Times New Roman"/>
          <w:sz w:val="24"/>
          <w:szCs w:val="24"/>
        </w:rPr>
        <w:t xml:space="preserve">Memo Contra </w:t>
      </w:r>
      <w:r w:rsidRPr="00B56229">
        <w:rPr>
          <w:rFonts w:ascii="Times New Roman" w:hAnsi="Times New Roman" w:cs="Times New Roman"/>
          <w:sz w:val="24"/>
          <w:szCs w:val="24"/>
        </w:rPr>
        <w:t>Application</w:t>
      </w:r>
      <w:r w:rsidR="00D51980">
        <w:rPr>
          <w:rFonts w:ascii="Times New Roman" w:hAnsi="Times New Roman" w:cs="Times New Roman"/>
          <w:sz w:val="24"/>
          <w:szCs w:val="24"/>
        </w:rPr>
        <w:t>s</w:t>
      </w:r>
      <w:r w:rsidRPr="00B56229">
        <w:rPr>
          <w:rFonts w:ascii="Times New Roman" w:hAnsi="Times New Roman" w:cs="Times New Roman"/>
          <w:sz w:val="24"/>
          <w:szCs w:val="24"/>
        </w:rPr>
        <w:t xml:space="preserve"> for Rehearing has been served via electronic transmission upon the following parties of record this </w:t>
      </w:r>
      <w:r w:rsidRPr="00B56229" w:rsidR="00CF11B3">
        <w:rPr>
          <w:rFonts w:ascii="Times New Roman" w:hAnsi="Times New Roman" w:cs="Times New Roman"/>
          <w:sz w:val="24"/>
          <w:szCs w:val="24"/>
        </w:rPr>
        <w:t>6</w:t>
      </w:r>
      <w:r w:rsidRPr="00B56229" w:rsidR="00CF11B3">
        <w:rPr>
          <w:rFonts w:ascii="Times New Roman" w:hAnsi="Times New Roman" w:cs="Times New Roman"/>
          <w:sz w:val="24"/>
          <w:szCs w:val="24"/>
          <w:vertAlign w:val="superscript"/>
        </w:rPr>
        <w:t>th</w:t>
      </w:r>
      <w:r w:rsidRPr="00B56229" w:rsidR="00CF11B3">
        <w:rPr>
          <w:rFonts w:ascii="Times New Roman" w:hAnsi="Times New Roman" w:cs="Times New Roman"/>
          <w:sz w:val="24"/>
          <w:szCs w:val="24"/>
        </w:rPr>
        <w:t xml:space="preserve"> </w:t>
      </w:r>
      <w:r w:rsidRPr="00B56229">
        <w:rPr>
          <w:rFonts w:ascii="Times New Roman" w:hAnsi="Times New Roman" w:cs="Times New Roman"/>
          <w:sz w:val="24"/>
          <w:szCs w:val="24"/>
        </w:rPr>
        <w:t xml:space="preserve">day of </w:t>
      </w:r>
      <w:r w:rsidRPr="00B56229" w:rsidR="00CF11B3">
        <w:rPr>
          <w:rFonts w:ascii="Times New Roman" w:hAnsi="Times New Roman" w:cs="Times New Roman"/>
          <w:sz w:val="24"/>
          <w:szCs w:val="24"/>
        </w:rPr>
        <w:t>April</w:t>
      </w:r>
      <w:r w:rsidRPr="00B56229" w:rsidR="00C118DE">
        <w:rPr>
          <w:rFonts w:ascii="Times New Roman" w:hAnsi="Times New Roman" w:cs="Times New Roman"/>
          <w:sz w:val="24"/>
          <w:szCs w:val="24"/>
        </w:rPr>
        <w:t xml:space="preserve"> 2020</w:t>
      </w:r>
      <w:r w:rsidRPr="00B56229">
        <w:rPr>
          <w:rFonts w:ascii="Times New Roman" w:hAnsi="Times New Roman" w:cs="Times New Roman"/>
          <w:sz w:val="24"/>
          <w:szCs w:val="24"/>
        </w:rPr>
        <w:t>.</w:t>
      </w:r>
    </w:p>
    <w:p w:rsidR="00E97B42" w:rsidRPr="00B56229" w:rsidP="00E97B42" w14:paraId="39792856" w14:textId="18ED5899">
      <w:pPr>
        <w:pStyle w:val="ListParagraph"/>
        <w:ind w:left="1080"/>
        <w:rPr>
          <w:i/>
          <w:iCs/>
          <w:u w:val="single"/>
        </w:rPr>
      </w:pPr>
      <w:r w:rsidRPr="00B56229">
        <w:tab/>
      </w:r>
      <w:r w:rsidRPr="00B56229">
        <w:tab/>
      </w:r>
      <w:r w:rsidRPr="00B56229">
        <w:tab/>
      </w:r>
      <w:r w:rsidRPr="00B56229">
        <w:tab/>
      </w:r>
      <w:r w:rsidRPr="00B56229">
        <w:tab/>
      </w:r>
      <w:r w:rsidRPr="00B56229" w:rsidR="000D56F7">
        <w:tab/>
      </w:r>
      <w:r w:rsidRPr="00B56229" w:rsidR="000D56F7">
        <w:rPr>
          <w:i/>
          <w:iCs/>
          <w:u w:val="single"/>
        </w:rPr>
        <w:t>/s/ Amy Botschner O’Brien</w:t>
      </w:r>
    </w:p>
    <w:p w:rsidR="00E97B42" w:rsidRPr="00B56229" w:rsidP="00E97B42" w14:paraId="780D429B" w14:textId="14BE8C19">
      <w:pPr>
        <w:pStyle w:val="ListParagraph"/>
        <w:ind w:left="1080"/>
      </w:pPr>
      <w:r w:rsidRPr="00B56229">
        <w:tab/>
      </w:r>
      <w:r w:rsidRPr="00B56229">
        <w:tab/>
      </w:r>
      <w:r w:rsidRPr="00B56229">
        <w:tab/>
      </w:r>
      <w:r w:rsidRPr="00B56229">
        <w:tab/>
      </w:r>
      <w:r w:rsidRPr="00B56229">
        <w:tab/>
      </w:r>
      <w:r w:rsidRPr="00B56229">
        <w:tab/>
      </w:r>
      <w:r w:rsidRPr="00B56229" w:rsidR="009D1D68">
        <w:t>Amy Botschner O’Brien</w:t>
      </w:r>
    </w:p>
    <w:p w:rsidR="00E97B42" w:rsidRPr="00B56229" w:rsidP="00E97B42" w14:paraId="2FC12C92" w14:textId="77777777">
      <w:pPr>
        <w:pStyle w:val="ListParagraph"/>
        <w:ind w:left="1080"/>
      </w:pPr>
      <w:r w:rsidRPr="00B56229">
        <w:tab/>
      </w:r>
      <w:r w:rsidRPr="00B56229">
        <w:tab/>
      </w:r>
      <w:r w:rsidRPr="00B56229">
        <w:tab/>
      </w:r>
      <w:r w:rsidRPr="00B56229">
        <w:tab/>
      </w:r>
      <w:r w:rsidRPr="00B56229">
        <w:tab/>
      </w:r>
      <w:r w:rsidRPr="00B56229">
        <w:tab/>
        <w:t>Assistant Consumers’ Counsel</w:t>
      </w:r>
    </w:p>
    <w:p w:rsidR="00E97B42" w:rsidRPr="00B56229" w:rsidP="00E97B42" w14:paraId="20D7A50C" w14:textId="77777777">
      <w:pPr>
        <w:pStyle w:val="ListParagraph"/>
        <w:ind w:left="1080"/>
      </w:pPr>
    </w:p>
    <w:p w:rsidR="00E97B42" w:rsidRPr="00B56229" w:rsidP="00E97B42" w14:paraId="0BE38631" w14:textId="77777777">
      <w:pPr>
        <w:pStyle w:val="CommentText"/>
        <w:rPr>
          <w:rFonts w:ascii="Times New Roman" w:hAnsi="Times New Roman" w:cs="Times New Roman"/>
          <w:sz w:val="24"/>
          <w:szCs w:val="24"/>
        </w:rPr>
      </w:pPr>
    </w:p>
    <w:p w:rsidR="00E97B42" w:rsidRPr="00B56229" w:rsidP="00E97B42" w14:paraId="329FCE8F" w14:textId="77777777">
      <w:pPr>
        <w:pStyle w:val="CommentText"/>
        <w:rPr>
          <w:rFonts w:ascii="Times New Roman" w:hAnsi="Times New Roman" w:cs="Times New Roman"/>
          <w:sz w:val="24"/>
          <w:szCs w:val="24"/>
        </w:rPr>
      </w:pPr>
      <w:r w:rsidRPr="00B56229">
        <w:rPr>
          <w:rFonts w:ascii="Times New Roman" w:hAnsi="Times New Roman" w:cs="Times New Roman"/>
          <w:sz w:val="24"/>
          <w:szCs w:val="24"/>
        </w:rPr>
        <w:t>The PUCO’s e-filing system will electronically serve notice of the filing of this document on the following parties:</w:t>
      </w:r>
    </w:p>
    <w:p w:rsidR="00E97B42" w:rsidRPr="00B56229" w:rsidP="00E97B42" w14:paraId="37C405BD" w14:textId="77777777">
      <w:pPr>
        <w:pStyle w:val="CommentText"/>
        <w:jc w:val="center"/>
        <w:rPr>
          <w:rFonts w:ascii="Times New Roman" w:hAnsi="Times New Roman" w:cs="Times New Roman"/>
          <w:b/>
          <w:sz w:val="24"/>
          <w:szCs w:val="24"/>
          <w:u w:val="single"/>
        </w:rPr>
      </w:pPr>
    </w:p>
    <w:p w:rsidR="000D56F7" w:rsidRPr="00B56229" w:rsidP="000D56F7" w14:paraId="3747F9C3" w14:textId="79DEA1E0">
      <w:pPr>
        <w:spacing w:after="0" w:line="240" w:lineRule="auto"/>
        <w:ind w:firstLine="720"/>
        <w:jc w:val="center"/>
        <w:rPr>
          <w:rFonts w:ascii="Times New Roman" w:hAnsi="Times New Roman" w:cs="Times New Roman"/>
          <w:b/>
          <w:bCs/>
          <w:sz w:val="24"/>
          <w:szCs w:val="24"/>
          <w:u w:val="single"/>
        </w:rPr>
      </w:pPr>
      <w:r w:rsidRPr="00B56229">
        <w:rPr>
          <w:rFonts w:ascii="Times New Roman" w:hAnsi="Times New Roman" w:cs="Times New Roman"/>
          <w:b/>
          <w:bCs/>
          <w:sz w:val="24"/>
          <w:szCs w:val="24"/>
          <w:u w:val="single"/>
        </w:rPr>
        <w:t>SERVICE LIST</w:t>
      </w:r>
    </w:p>
    <w:p w:rsidR="000D56F7" w:rsidRPr="00B56229" w:rsidP="000D56F7" w14:paraId="6CF507C2" w14:textId="77777777">
      <w:pPr>
        <w:spacing w:after="0" w:line="240" w:lineRule="auto"/>
        <w:ind w:firstLine="720"/>
        <w:jc w:val="center"/>
        <w:rPr>
          <w:rFonts w:ascii="Times New Roman" w:hAnsi="Times New Roman" w:cs="Times New Roman"/>
          <w:b/>
          <w:bCs/>
          <w:sz w:val="24"/>
          <w:szCs w:val="24"/>
          <w:u w:val="single"/>
        </w:rPr>
      </w:pPr>
    </w:p>
    <w:tbl>
      <w:tblPr>
        <w:tblW w:w="0" w:type="auto"/>
        <w:tblLook w:val="04A0"/>
      </w:tblPr>
      <w:tblGrid>
        <w:gridCol w:w="4359"/>
        <w:gridCol w:w="4281"/>
      </w:tblGrid>
      <w:tr w14:paraId="3073F694" w14:textId="77777777" w:rsidTr="00FA01EB">
        <w:tblPrEx>
          <w:tblW w:w="0" w:type="auto"/>
          <w:tblLook w:val="04A0"/>
        </w:tblPrEx>
        <w:tc>
          <w:tcPr>
            <w:tcW w:w="4428" w:type="dxa"/>
            <w:shd w:val="clear" w:color="auto" w:fill="auto"/>
          </w:tcPr>
          <w:p w:rsidR="000D56F7" w:rsidRPr="00B56229" w:rsidP="000D56F7" w14:paraId="5F4579D1" w14:textId="77777777">
            <w:pPr>
              <w:spacing w:after="0" w:line="240" w:lineRule="auto"/>
              <w:rPr>
                <w:rStyle w:val="Hyperlink"/>
                <w:rFonts w:ascii="Times New Roman" w:hAnsi="Times New Roman" w:cs="Times New Roman"/>
                <w:color w:val="0000FF"/>
                <w:sz w:val="24"/>
                <w:szCs w:val="24"/>
              </w:rPr>
            </w:pPr>
            <w:hyperlink r:id="rId12" w:history="1">
              <w:r w:rsidRPr="00B56229" w:rsidR="00441654">
                <w:rPr>
                  <w:rStyle w:val="Hyperlink"/>
                  <w:rFonts w:ascii="Times New Roman" w:hAnsi="Times New Roman" w:cs="Times New Roman"/>
                  <w:color w:val="0000FF"/>
                  <w:sz w:val="24"/>
                  <w:szCs w:val="24"/>
                </w:rPr>
                <w:t>John.jones@ohioattorneygeneral.gov</w:t>
              </w:r>
            </w:hyperlink>
          </w:p>
          <w:p w:rsidR="000D56F7" w:rsidRPr="00B56229" w:rsidP="000D56F7" w14:paraId="075F27D0" w14:textId="77777777">
            <w:pPr>
              <w:autoSpaceDE w:val="0"/>
              <w:autoSpaceDN w:val="0"/>
              <w:adjustRightInd w:val="0"/>
              <w:spacing w:after="0" w:line="240" w:lineRule="auto"/>
              <w:rPr>
                <w:rFonts w:ascii="Times New Roman" w:hAnsi="Times New Roman" w:cs="Times New Roman"/>
                <w:sz w:val="24"/>
                <w:szCs w:val="24"/>
              </w:rPr>
            </w:pPr>
            <w:hyperlink r:id="rId13" w:history="1">
              <w:r w:rsidRPr="00B56229" w:rsidR="00441654">
                <w:rPr>
                  <w:rStyle w:val="Hyperlink"/>
                  <w:rFonts w:ascii="Times New Roman" w:hAnsi="Times New Roman" w:cs="Times New Roman"/>
                  <w:color w:val="0000FF"/>
                  <w:sz w:val="24"/>
                  <w:szCs w:val="24"/>
                </w:rPr>
                <w:t>whitt@whitt-sturtevant.com</w:t>
              </w:r>
            </w:hyperlink>
          </w:p>
          <w:p w:rsidR="000D56F7" w:rsidRPr="00B56229" w:rsidP="000D56F7" w14:paraId="688704B7" w14:textId="31B0D22C">
            <w:pPr>
              <w:spacing w:after="0" w:line="240" w:lineRule="auto"/>
              <w:rPr>
                <w:rFonts w:ascii="Times New Roman" w:hAnsi="Times New Roman" w:cs="Times New Roman"/>
                <w:sz w:val="24"/>
                <w:szCs w:val="24"/>
              </w:rPr>
            </w:pPr>
            <w:hyperlink r:id="rId14" w:history="1">
              <w:r w:rsidR="00917695">
                <w:rPr>
                  <w:rStyle w:val="Hyperlink"/>
                  <w:rFonts w:ascii="Times New Roman" w:hAnsi="Times New Roman" w:cs="Times New Roman"/>
                  <w:color w:val="0000FF"/>
                  <w:sz w:val="24"/>
                  <w:szCs w:val="24"/>
                </w:rPr>
                <w:t>fykes@whitt-sturtevant.com</w:t>
              </w:r>
            </w:hyperlink>
          </w:p>
          <w:p w:rsidR="000D56F7" w:rsidRPr="00B56229" w:rsidP="000D56F7" w14:paraId="1ECCDC7D" w14:textId="77777777">
            <w:pPr>
              <w:autoSpaceDE w:val="0"/>
              <w:autoSpaceDN w:val="0"/>
              <w:adjustRightInd w:val="0"/>
              <w:spacing w:after="0" w:line="240" w:lineRule="auto"/>
              <w:rPr>
                <w:rFonts w:ascii="Times New Roman" w:hAnsi="Times New Roman" w:cs="Times New Roman"/>
                <w:color w:val="0000FF"/>
                <w:sz w:val="24"/>
                <w:szCs w:val="24"/>
              </w:rPr>
            </w:pPr>
            <w:hyperlink r:id="rId15" w:history="1">
              <w:r w:rsidRPr="00B56229" w:rsidR="00441654">
                <w:rPr>
                  <w:rStyle w:val="Hyperlink"/>
                  <w:rFonts w:ascii="Times New Roman" w:hAnsi="Times New Roman" w:cs="Times New Roman"/>
                  <w:color w:val="0000FF"/>
                  <w:sz w:val="24"/>
                  <w:szCs w:val="24"/>
                </w:rPr>
                <w:t>scasto@firstenergycorp.com</w:t>
              </w:r>
            </w:hyperlink>
          </w:p>
          <w:p w:rsidR="000D56F7" w:rsidRPr="00B56229" w:rsidP="000D56F7" w14:paraId="3433727D" w14:textId="77777777">
            <w:pPr>
              <w:autoSpaceDE w:val="0"/>
              <w:autoSpaceDN w:val="0"/>
              <w:adjustRightInd w:val="0"/>
              <w:spacing w:after="0" w:line="240" w:lineRule="auto"/>
              <w:rPr>
                <w:rFonts w:ascii="Times New Roman" w:hAnsi="Times New Roman" w:cs="Times New Roman"/>
                <w:color w:val="0000FF"/>
                <w:sz w:val="24"/>
                <w:szCs w:val="24"/>
              </w:rPr>
            </w:pPr>
            <w:hyperlink r:id="rId16" w:history="1">
              <w:r w:rsidRPr="00B56229" w:rsidR="00441654">
                <w:rPr>
                  <w:rStyle w:val="Hyperlink"/>
                  <w:rFonts w:ascii="Times New Roman" w:hAnsi="Times New Roman" w:cs="Times New Roman"/>
                  <w:color w:val="0000FF"/>
                  <w:sz w:val="24"/>
                  <w:szCs w:val="24"/>
                </w:rPr>
                <w:t>rendris@firstenergycorp.com</w:t>
              </w:r>
            </w:hyperlink>
          </w:p>
          <w:p w:rsidR="000D56F7" w:rsidRPr="00B56229" w:rsidP="000D56F7" w14:paraId="34BBFF66" w14:textId="77777777">
            <w:pPr>
              <w:spacing w:after="0" w:line="240" w:lineRule="auto"/>
              <w:rPr>
                <w:rFonts w:ascii="Times New Roman" w:hAnsi="Times New Roman" w:cs="Times New Roman"/>
                <w:color w:val="0000FF"/>
                <w:sz w:val="24"/>
                <w:szCs w:val="24"/>
              </w:rPr>
            </w:pPr>
            <w:hyperlink r:id="rId17" w:history="1">
              <w:r w:rsidRPr="00B56229" w:rsidR="00441654">
                <w:rPr>
                  <w:rStyle w:val="Hyperlink"/>
                  <w:rFonts w:ascii="Times New Roman" w:hAnsi="Times New Roman" w:cs="Times New Roman"/>
                  <w:color w:val="0000FF"/>
                  <w:sz w:val="24"/>
                  <w:szCs w:val="24"/>
                </w:rPr>
                <w:t>edanford@firstenergycorp.com</w:t>
              </w:r>
            </w:hyperlink>
          </w:p>
          <w:p w:rsidR="000D56F7" w:rsidRPr="00B56229" w:rsidP="000D56F7" w14:paraId="2B41CBAA" w14:textId="77777777">
            <w:pPr>
              <w:autoSpaceDE w:val="0"/>
              <w:autoSpaceDN w:val="0"/>
              <w:adjustRightInd w:val="0"/>
              <w:spacing w:after="0" w:line="240" w:lineRule="auto"/>
              <w:rPr>
                <w:rFonts w:ascii="Times New Roman" w:hAnsi="Times New Roman" w:cs="Times New Roman"/>
                <w:sz w:val="24"/>
                <w:szCs w:val="24"/>
              </w:rPr>
            </w:pPr>
            <w:hyperlink r:id="rId18" w:history="1">
              <w:r w:rsidRPr="00B56229" w:rsidR="00441654">
                <w:rPr>
                  <w:rStyle w:val="Hyperlink"/>
                  <w:rFonts w:ascii="Times New Roman" w:hAnsi="Times New Roman" w:cs="Times New Roman"/>
                  <w:color w:val="0000FF"/>
                  <w:sz w:val="24"/>
                  <w:szCs w:val="24"/>
                </w:rPr>
                <w:t>talexander@calfee.com</w:t>
              </w:r>
            </w:hyperlink>
          </w:p>
          <w:p w:rsidR="000D56F7" w:rsidRPr="00B56229" w:rsidP="000D56F7" w14:paraId="162F09E8" w14:textId="77777777">
            <w:pPr>
              <w:spacing w:after="0" w:line="240" w:lineRule="auto"/>
              <w:rPr>
                <w:rStyle w:val="Hyperlink"/>
                <w:rFonts w:ascii="Times New Roman" w:hAnsi="Times New Roman" w:cs="Times New Roman"/>
                <w:color w:val="0000FF"/>
                <w:sz w:val="24"/>
                <w:szCs w:val="24"/>
              </w:rPr>
            </w:pPr>
            <w:hyperlink r:id="rId19" w:history="1">
              <w:r w:rsidRPr="00B56229" w:rsidR="00441654">
                <w:rPr>
                  <w:rStyle w:val="Hyperlink"/>
                  <w:rFonts w:ascii="Times New Roman" w:hAnsi="Times New Roman" w:cs="Times New Roman"/>
                  <w:color w:val="0000FF"/>
                  <w:sz w:val="24"/>
                  <w:szCs w:val="24"/>
                </w:rPr>
                <w:t>khehmeyer@calfee.com</w:t>
              </w:r>
            </w:hyperlink>
          </w:p>
          <w:p w:rsidR="000D56F7" w:rsidRPr="00B56229" w:rsidP="000D56F7" w14:paraId="259BD842" w14:textId="323881E9">
            <w:pPr>
              <w:spacing w:after="0" w:line="240" w:lineRule="auto"/>
              <w:rPr>
                <w:rStyle w:val="Hyperlink"/>
                <w:rFonts w:ascii="Times New Roman" w:hAnsi="Times New Roman" w:cs="Times New Roman"/>
                <w:sz w:val="24"/>
                <w:szCs w:val="24"/>
              </w:rPr>
            </w:pPr>
            <w:hyperlink r:id="rId20" w:history="1">
              <w:r w:rsidRPr="00B56229" w:rsidR="00441654">
                <w:rPr>
                  <w:rStyle w:val="Hyperlink"/>
                  <w:rFonts w:ascii="Times New Roman" w:hAnsi="Times New Roman" w:cs="Times New Roman"/>
                  <w:color w:val="0000FF"/>
                  <w:sz w:val="24"/>
                  <w:szCs w:val="24"/>
                </w:rPr>
                <w:t>bellish@buckeyeenergybrokers.com</w:t>
              </w:r>
            </w:hyperlink>
          </w:p>
          <w:p w:rsidR="000D56F7" w:rsidRPr="00B56229" w:rsidP="000D56F7" w14:paraId="3CDC9CD7" w14:textId="1FC1C266">
            <w:pPr>
              <w:spacing w:after="0" w:line="240" w:lineRule="auto"/>
              <w:rPr>
                <w:rStyle w:val="Hyperlink"/>
                <w:rFonts w:ascii="Times New Roman" w:hAnsi="Times New Roman" w:cs="Times New Roman"/>
                <w:sz w:val="24"/>
                <w:szCs w:val="24"/>
              </w:rPr>
            </w:pPr>
            <w:hyperlink r:id="rId21" w:history="1">
              <w:r w:rsidRPr="00B56229" w:rsidR="00441654">
                <w:rPr>
                  <w:rStyle w:val="Hyperlink"/>
                  <w:rFonts w:ascii="Times New Roman" w:hAnsi="Times New Roman" w:cs="Times New Roman"/>
                  <w:sz w:val="24"/>
                  <w:szCs w:val="24"/>
                </w:rPr>
                <w:t>rdove@keglerbrown.com</w:t>
              </w:r>
            </w:hyperlink>
          </w:p>
          <w:p w:rsidR="000D56F7" w:rsidRPr="00B56229" w:rsidP="000D56F7" w14:paraId="5C009FBC" w14:textId="77777777">
            <w:pPr>
              <w:spacing w:after="0" w:line="240" w:lineRule="auto"/>
              <w:rPr>
                <w:rStyle w:val="Hyperlink"/>
                <w:rFonts w:ascii="Times New Roman" w:hAnsi="Times New Roman" w:cs="Times New Roman"/>
                <w:color w:val="0000FF"/>
                <w:sz w:val="24"/>
                <w:szCs w:val="24"/>
              </w:rPr>
            </w:pPr>
          </w:p>
          <w:p w:rsidR="000D56F7" w:rsidRPr="00B56229" w:rsidP="000D56F7" w14:paraId="66C420AF" w14:textId="77777777">
            <w:pPr>
              <w:spacing w:after="0" w:line="240" w:lineRule="auto"/>
              <w:rPr>
                <w:rFonts w:ascii="Times New Roman" w:hAnsi="Times New Roman" w:cs="Times New Roman"/>
                <w:sz w:val="24"/>
                <w:szCs w:val="24"/>
              </w:rPr>
            </w:pPr>
          </w:p>
          <w:p w:rsidR="000D56F7" w:rsidRPr="00B0273C" w:rsidP="000D56F7" w14:paraId="0D26C912" w14:textId="77777777">
            <w:pPr>
              <w:spacing w:after="0" w:line="240" w:lineRule="auto"/>
              <w:rPr>
                <w:rFonts w:ascii="Times New Roman" w:hAnsi="Times New Roman" w:cs="Times New Roman"/>
                <w:sz w:val="24"/>
                <w:szCs w:val="24"/>
              </w:rPr>
            </w:pPr>
          </w:p>
          <w:p w:rsidR="000D56F7" w:rsidRPr="00B0273C" w:rsidP="000D56F7" w14:paraId="23FC75CE" w14:textId="0F378136">
            <w:pPr>
              <w:spacing w:after="0" w:line="240" w:lineRule="auto"/>
              <w:rPr>
                <w:rFonts w:ascii="Times New Roman" w:hAnsi="Times New Roman" w:cs="Times New Roman"/>
                <w:sz w:val="24"/>
                <w:szCs w:val="24"/>
              </w:rPr>
            </w:pPr>
            <w:r w:rsidRPr="00B0273C">
              <w:rPr>
                <w:rFonts w:ascii="Times New Roman" w:hAnsi="Times New Roman" w:cs="Times New Roman"/>
                <w:sz w:val="24"/>
                <w:szCs w:val="24"/>
              </w:rPr>
              <w:t>Attorney Examiner:</w:t>
            </w:r>
          </w:p>
          <w:p w:rsidR="000D56F7" w:rsidRPr="00B0273C" w:rsidP="000D56F7" w14:paraId="5F649F1A" w14:textId="77777777">
            <w:pPr>
              <w:spacing w:after="0" w:line="240" w:lineRule="auto"/>
              <w:rPr>
                <w:rFonts w:ascii="Times New Roman" w:hAnsi="Times New Roman" w:cs="Times New Roman"/>
                <w:sz w:val="24"/>
                <w:szCs w:val="24"/>
              </w:rPr>
            </w:pPr>
          </w:p>
          <w:p w:rsidR="000D56F7" w:rsidRPr="00B0273C" w:rsidP="005A6087" w14:paraId="5A460F5A" w14:textId="6CCBD18B">
            <w:pPr>
              <w:spacing w:after="0" w:line="240" w:lineRule="auto"/>
              <w:rPr>
                <w:rStyle w:val="Hyperlink"/>
                <w:rFonts w:ascii="Times New Roman" w:hAnsi="Times New Roman" w:cs="Times New Roman"/>
                <w:sz w:val="24"/>
                <w:szCs w:val="24"/>
              </w:rPr>
            </w:pPr>
            <w:hyperlink r:id="rId22" w:history="1">
              <w:r w:rsidRPr="00B0273C" w:rsidR="00B0273C">
                <w:rPr>
                  <w:rStyle w:val="Hyperlink"/>
                  <w:rFonts w:ascii="Times New Roman" w:hAnsi="Times New Roman" w:cs="Times New Roman"/>
                  <w:sz w:val="24"/>
                  <w:szCs w:val="24"/>
                </w:rPr>
                <w:t>Matthew.sandor@puco.ohio.gov</w:t>
              </w:r>
            </w:hyperlink>
          </w:p>
          <w:p w:rsidR="00B0273C" w:rsidRPr="00B56229" w:rsidP="005A6087" w14:paraId="0F2F7503" w14:textId="77777777">
            <w:pPr>
              <w:spacing w:after="0" w:line="240" w:lineRule="auto"/>
              <w:rPr>
                <w:rStyle w:val="Hyperlink"/>
                <w:rFonts w:ascii="Times New Roman" w:hAnsi="Times New Roman" w:cs="Times New Roman"/>
                <w:sz w:val="24"/>
                <w:szCs w:val="24"/>
              </w:rPr>
            </w:pPr>
          </w:p>
          <w:p w:rsidR="005A6087" w:rsidRPr="00B56229" w:rsidP="005A6087" w14:paraId="659E1745" w14:textId="15CFA6FE">
            <w:pPr>
              <w:spacing w:after="0" w:line="240" w:lineRule="auto"/>
              <w:rPr>
                <w:rFonts w:ascii="Times New Roman" w:hAnsi="Times New Roman" w:cs="Times New Roman"/>
                <w:sz w:val="24"/>
                <w:szCs w:val="24"/>
              </w:rPr>
            </w:pPr>
          </w:p>
        </w:tc>
        <w:tc>
          <w:tcPr>
            <w:tcW w:w="4428" w:type="dxa"/>
            <w:shd w:val="clear" w:color="auto" w:fill="auto"/>
          </w:tcPr>
          <w:p w:rsidR="000D56F7" w:rsidRPr="00B56229" w:rsidP="000D56F7" w14:paraId="7CEF8FE0" w14:textId="77777777">
            <w:pPr>
              <w:spacing w:after="0" w:line="240" w:lineRule="auto"/>
              <w:ind w:left="253"/>
              <w:rPr>
                <w:rFonts w:ascii="Times New Roman" w:hAnsi="Times New Roman" w:cs="Times New Roman"/>
                <w:sz w:val="24"/>
                <w:szCs w:val="24"/>
              </w:rPr>
            </w:pPr>
            <w:hyperlink r:id="rId23" w:history="1">
              <w:r w:rsidRPr="00B56229" w:rsidR="00441654">
                <w:rPr>
                  <w:rStyle w:val="Hyperlink"/>
                  <w:rFonts w:ascii="Times New Roman" w:hAnsi="Times New Roman" w:cs="Times New Roman"/>
                  <w:color w:val="0000FF"/>
                  <w:sz w:val="24"/>
                  <w:szCs w:val="24"/>
                </w:rPr>
                <w:t>Michael.schuler@aes.com</w:t>
              </w:r>
            </w:hyperlink>
          </w:p>
          <w:p w:rsidR="000D56F7" w:rsidRPr="00B56229" w:rsidP="000D56F7" w14:paraId="0D6F6E1A" w14:textId="77777777">
            <w:pPr>
              <w:spacing w:after="0" w:line="240" w:lineRule="auto"/>
              <w:ind w:left="253"/>
              <w:rPr>
                <w:rFonts w:ascii="Times New Roman" w:hAnsi="Times New Roman" w:cs="Times New Roman"/>
                <w:sz w:val="24"/>
                <w:szCs w:val="24"/>
              </w:rPr>
            </w:pPr>
            <w:hyperlink r:id="rId24" w:history="1">
              <w:r w:rsidRPr="00B56229" w:rsidR="00441654">
                <w:rPr>
                  <w:rStyle w:val="Hyperlink"/>
                  <w:rFonts w:ascii="Times New Roman" w:hAnsi="Times New Roman" w:cs="Times New Roman"/>
                  <w:color w:val="0000FF"/>
                  <w:sz w:val="24"/>
                  <w:szCs w:val="24"/>
                </w:rPr>
                <w:t>stnourse@aep.com</w:t>
              </w:r>
            </w:hyperlink>
          </w:p>
          <w:p w:rsidR="000D56F7" w:rsidRPr="00B56229" w:rsidP="000D56F7" w14:paraId="06DF9A50" w14:textId="77777777">
            <w:pPr>
              <w:spacing w:after="0" w:line="240" w:lineRule="auto"/>
              <w:ind w:left="253"/>
              <w:rPr>
                <w:rStyle w:val="Hyperlink"/>
                <w:rFonts w:ascii="Times New Roman" w:hAnsi="Times New Roman" w:cs="Times New Roman"/>
                <w:color w:val="0000FF"/>
                <w:sz w:val="24"/>
                <w:szCs w:val="24"/>
              </w:rPr>
            </w:pPr>
            <w:hyperlink r:id="rId25" w:history="1">
              <w:r w:rsidRPr="00B56229" w:rsidR="00441654">
                <w:rPr>
                  <w:rStyle w:val="Hyperlink"/>
                  <w:rFonts w:ascii="Times New Roman" w:hAnsi="Times New Roman" w:cs="Times New Roman"/>
                  <w:color w:val="0000FF"/>
                  <w:sz w:val="24"/>
                  <w:szCs w:val="24"/>
                </w:rPr>
                <w:t>cmblend@aep.com</w:t>
              </w:r>
            </w:hyperlink>
          </w:p>
          <w:p w:rsidR="000D56F7" w:rsidRPr="00B56229" w:rsidP="000D56F7" w14:paraId="4B2FB1C0" w14:textId="77777777">
            <w:pPr>
              <w:autoSpaceDE w:val="0"/>
              <w:autoSpaceDN w:val="0"/>
              <w:adjustRightInd w:val="0"/>
              <w:spacing w:after="0" w:line="240" w:lineRule="auto"/>
              <w:ind w:left="253"/>
              <w:rPr>
                <w:rFonts w:ascii="Times New Roman" w:hAnsi="Times New Roman" w:cs="Times New Roman"/>
                <w:color w:val="0000FF"/>
                <w:sz w:val="24"/>
                <w:szCs w:val="24"/>
              </w:rPr>
            </w:pPr>
            <w:hyperlink r:id="rId26" w:history="1">
              <w:r w:rsidRPr="00B56229" w:rsidR="00441654">
                <w:rPr>
                  <w:rStyle w:val="Hyperlink"/>
                  <w:rFonts w:ascii="Times New Roman" w:hAnsi="Times New Roman" w:cs="Times New Roman"/>
                  <w:color w:val="0000FF"/>
                  <w:sz w:val="24"/>
                  <w:szCs w:val="24"/>
                </w:rPr>
                <w:t>bethany.allen@igs.com</w:t>
              </w:r>
            </w:hyperlink>
          </w:p>
          <w:p w:rsidR="000D56F7" w:rsidRPr="00B56229" w:rsidP="000D56F7" w14:paraId="7FC2DF8C" w14:textId="77777777">
            <w:pPr>
              <w:spacing w:after="0" w:line="240" w:lineRule="auto"/>
              <w:ind w:left="253"/>
              <w:rPr>
                <w:rFonts w:ascii="Times New Roman" w:hAnsi="Times New Roman" w:cs="Times New Roman"/>
                <w:color w:val="0000FF"/>
                <w:sz w:val="24"/>
                <w:szCs w:val="24"/>
              </w:rPr>
            </w:pPr>
            <w:hyperlink r:id="rId27" w:history="1">
              <w:r w:rsidRPr="00B56229" w:rsidR="00441654">
                <w:rPr>
                  <w:rStyle w:val="Hyperlink"/>
                  <w:rFonts w:ascii="Times New Roman" w:hAnsi="Times New Roman" w:cs="Times New Roman"/>
                  <w:color w:val="0000FF"/>
                  <w:sz w:val="24"/>
                  <w:szCs w:val="24"/>
                </w:rPr>
                <w:t>joe.oliker@igs.com</w:t>
              </w:r>
            </w:hyperlink>
          </w:p>
          <w:p w:rsidR="000D56F7" w:rsidRPr="00B56229" w:rsidP="000D56F7" w14:paraId="72070507" w14:textId="77777777">
            <w:pPr>
              <w:spacing w:after="0" w:line="240" w:lineRule="auto"/>
              <w:ind w:left="253"/>
              <w:rPr>
                <w:rFonts w:ascii="Times New Roman" w:hAnsi="Times New Roman" w:cs="Times New Roman"/>
                <w:color w:val="0000FF"/>
                <w:sz w:val="24"/>
                <w:szCs w:val="24"/>
              </w:rPr>
            </w:pPr>
            <w:hyperlink r:id="rId28" w:history="1">
              <w:r w:rsidRPr="00B56229" w:rsidR="00441654">
                <w:rPr>
                  <w:rStyle w:val="Hyperlink"/>
                  <w:rFonts w:ascii="Times New Roman" w:hAnsi="Times New Roman" w:cs="Times New Roman"/>
                  <w:color w:val="0000FF"/>
                  <w:sz w:val="24"/>
                  <w:szCs w:val="24"/>
                </w:rPr>
                <w:t>rocco.dascenzo@duke-energy.com</w:t>
              </w:r>
            </w:hyperlink>
          </w:p>
          <w:p w:rsidR="000D56F7" w:rsidRPr="00B56229" w:rsidP="000D56F7" w14:paraId="74684F57" w14:textId="77777777">
            <w:pPr>
              <w:spacing w:after="0" w:line="240" w:lineRule="auto"/>
              <w:ind w:left="253"/>
              <w:rPr>
                <w:rStyle w:val="Hyperlink"/>
                <w:rFonts w:ascii="Times New Roman" w:hAnsi="Times New Roman" w:cs="Times New Roman"/>
                <w:color w:val="0000FF"/>
                <w:sz w:val="24"/>
                <w:szCs w:val="24"/>
              </w:rPr>
            </w:pPr>
            <w:hyperlink r:id="rId29" w:history="1">
              <w:r w:rsidRPr="00B56229" w:rsidR="00441654">
                <w:rPr>
                  <w:rStyle w:val="Hyperlink"/>
                  <w:rFonts w:ascii="Times New Roman" w:hAnsi="Times New Roman" w:cs="Times New Roman"/>
                  <w:color w:val="0000FF"/>
                  <w:sz w:val="24"/>
                  <w:szCs w:val="24"/>
                </w:rPr>
                <w:t>Larisa.vaysman@duke-energy.com</w:t>
              </w:r>
            </w:hyperlink>
          </w:p>
          <w:p w:rsidR="000D56F7" w:rsidRPr="00B56229" w:rsidP="000D56F7" w14:paraId="60B8B4A4" w14:textId="57F20B78">
            <w:pPr>
              <w:spacing w:after="0" w:line="240" w:lineRule="auto"/>
              <w:ind w:left="253"/>
              <w:rPr>
                <w:rFonts w:ascii="Times New Roman" w:hAnsi="Times New Roman" w:cs="Times New Roman"/>
                <w:sz w:val="24"/>
                <w:szCs w:val="24"/>
              </w:rPr>
            </w:pPr>
            <w:hyperlink r:id="rId30" w:history="1">
              <w:r w:rsidRPr="00B56229" w:rsidR="00441654">
                <w:rPr>
                  <w:rStyle w:val="Hyperlink"/>
                  <w:rFonts w:ascii="Times New Roman" w:hAnsi="Times New Roman" w:cs="Times New Roman"/>
                  <w:color w:val="0000FF"/>
                  <w:sz w:val="24"/>
                  <w:szCs w:val="24"/>
                </w:rPr>
                <w:t>paul@carpenterlipps.com</w:t>
              </w:r>
            </w:hyperlink>
          </w:p>
          <w:p w:rsidR="005A6087" w:rsidRPr="00B56229" w:rsidP="000D56F7" w14:paraId="7BAEEF67" w14:textId="776770CC">
            <w:pPr>
              <w:spacing w:after="0" w:line="240" w:lineRule="auto"/>
              <w:ind w:left="253"/>
              <w:rPr>
                <w:rFonts w:ascii="Times New Roman" w:hAnsi="Times New Roman" w:cs="Times New Roman"/>
                <w:sz w:val="24"/>
                <w:szCs w:val="24"/>
              </w:rPr>
            </w:pPr>
            <w:hyperlink r:id="rId31" w:history="1">
              <w:r w:rsidRPr="00B56229" w:rsidR="00441654">
                <w:rPr>
                  <w:rStyle w:val="Hyperlink"/>
                  <w:rFonts w:ascii="Times New Roman" w:hAnsi="Times New Roman" w:cs="Times New Roman"/>
                  <w:sz w:val="24"/>
                  <w:szCs w:val="24"/>
                </w:rPr>
                <w:t>bojko@carpenterlipps.com</w:t>
              </w:r>
            </w:hyperlink>
          </w:p>
          <w:p w:rsidR="005A6087" w:rsidRPr="00B56229" w:rsidP="000D56F7" w14:paraId="12753CEC" w14:textId="77777777">
            <w:pPr>
              <w:spacing w:after="0" w:line="240" w:lineRule="auto"/>
              <w:ind w:left="253"/>
              <w:rPr>
                <w:rFonts w:ascii="Times New Roman" w:hAnsi="Times New Roman" w:cs="Times New Roman"/>
                <w:sz w:val="24"/>
                <w:szCs w:val="24"/>
              </w:rPr>
            </w:pPr>
          </w:p>
          <w:p w:rsidR="000D56F7" w:rsidRPr="00B56229" w:rsidP="000D56F7" w14:paraId="28F6D11F" w14:textId="77777777">
            <w:pPr>
              <w:spacing w:after="0" w:line="240" w:lineRule="auto"/>
              <w:ind w:left="253"/>
              <w:rPr>
                <w:rFonts w:ascii="Times New Roman" w:hAnsi="Times New Roman" w:cs="Times New Roman"/>
                <w:color w:val="0000FF"/>
                <w:sz w:val="24"/>
                <w:szCs w:val="24"/>
              </w:rPr>
            </w:pPr>
          </w:p>
          <w:p w:rsidR="000D56F7" w:rsidRPr="00B56229" w:rsidP="000D56F7" w14:paraId="1FC14810" w14:textId="77777777">
            <w:pPr>
              <w:spacing w:after="0" w:line="240" w:lineRule="auto"/>
              <w:ind w:left="253"/>
              <w:rPr>
                <w:rFonts w:ascii="Times New Roman" w:hAnsi="Times New Roman" w:cs="Times New Roman"/>
                <w:color w:val="0000FF"/>
                <w:sz w:val="24"/>
                <w:szCs w:val="24"/>
              </w:rPr>
            </w:pPr>
          </w:p>
          <w:p w:rsidR="000D56F7" w:rsidRPr="00B56229" w:rsidP="000D56F7" w14:paraId="54F65152" w14:textId="77777777">
            <w:pPr>
              <w:spacing w:after="0" w:line="240" w:lineRule="auto"/>
              <w:ind w:left="1242"/>
              <w:rPr>
                <w:rFonts w:ascii="Times New Roman" w:hAnsi="Times New Roman" w:cs="Times New Roman"/>
                <w:sz w:val="24"/>
                <w:szCs w:val="24"/>
              </w:rPr>
            </w:pPr>
          </w:p>
          <w:p w:rsidR="000D56F7" w:rsidRPr="00B56229" w:rsidP="000D56F7" w14:paraId="089AA9E2" w14:textId="77777777">
            <w:pPr>
              <w:spacing w:after="0" w:line="240" w:lineRule="auto"/>
              <w:rPr>
                <w:rFonts w:ascii="Times New Roman" w:hAnsi="Times New Roman" w:cs="Times New Roman"/>
                <w:sz w:val="24"/>
                <w:szCs w:val="24"/>
              </w:rPr>
            </w:pPr>
          </w:p>
        </w:tc>
      </w:tr>
    </w:tbl>
    <w:p w:rsidR="00E97B42" w:rsidRPr="00B56229" w:rsidP="00E97B42" w14:paraId="149E4AFB" w14:textId="77777777">
      <w:pPr>
        <w:pStyle w:val="NormalWeb"/>
        <w:spacing w:before="0" w:beforeAutospacing="0" w:after="0" w:afterAutospacing="0"/>
        <w:ind w:left="360"/>
        <w:rPr>
          <w:color w:val="000000"/>
        </w:rPr>
      </w:pPr>
    </w:p>
    <w:p w:rsidR="00E97B42" w:rsidRPr="00B56229" w:rsidP="00E97B42" w14:paraId="37BE68FD" w14:textId="77777777">
      <w:pPr>
        <w:pStyle w:val="NormalWeb"/>
        <w:spacing w:before="0" w:beforeAutospacing="0" w:after="0" w:afterAutospacing="0"/>
        <w:ind w:left="360"/>
        <w:rPr>
          <w:color w:val="000000"/>
        </w:rPr>
      </w:pPr>
    </w:p>
    <w:p w:rsidR="00E97B42" w:rsidRPr="00B56229" w:rsidP="00E97B42" w14:paraId="747AFA6E" w14:textId="77777777">
      <w:pPr>
        <w:pStyle w:val="NormalWeb"/>
        <w:spacing w:before="0" w:beforeAutospacing="0" w:after="0" w:afterAutospacing="0"/>
        <w:ind w:left="360"/>
        <w:rPr>
          <w:color w:val="000000"/>
        </w:rPr>
      </w:pPr>
    </w:p>
    <w:p w:rsidR="00E97B42" w:rsidRPr="00B56229" w:rsidP="00E97B42" w14:paraId="16664038" w14:textId="77777777">
      <w:pPr>
        <w:pStyle w:val="NormalWeb"/>
        <w:spacing w:before="0" w:beforeAutospacing="0" w:after="0" w:afterAutospacing="0"/>
        <w:ind w:left="360"/>
        <w:rPr>
          <w:color w:val="000000"/>
        </w:rPr>
      </w:pPr>
    </w:p>
    <w:p w:rsidR="00E97B42" w:rsidRPr="00B56229" w:rsidP="00E97B42" w14:paraId="65DF0F6F" w14:textId="77777777">
      <w:pPr>
        <w:pStyle w:val="NormalWeb"/>
        <w:spacing w:before="0" w:beforeAutospacing="0" w:after="0" w:afterAutospacing="0"/>
        <w:ind w:left="360"/>
        <w:rPr>
          <w:color w:val="000000"/>
        </w:rPr>
      </w:pPr>
    </w:p>
    <w:p w:rsidR="00E97B42" w:rsidRPr="00B56229" w:rsidP="00E97B42" w14:paraId="34608226" w14:textId="77777777">
      <w:pPr>
        <w:pStyle w:val="NormalWeb"/>
        <w:spacing w:before="0" w:beforeAutospacing="0" w:after="0" w:afterAutospacing="0"/>
        <w:ind w:left="360"/>
        <w:rPr>
          <w:color w:val="000000"/>
        </w:rPr>
      </w:pPr>
    </w:p>
    <w:sectPr w:rsidSect="00261C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0336795"/>
      <w:docPartObj>
        <w:docPartGallery w:val="Page Numbers (Bottom of Page)"/>
        <w:docPartUnique/>
      </w:docPartObj>
    </w:sdtPr>
    <w:sdtEndPr>
      <w:rPr>
        <w:noProof/>
      </w:rPr>
    </w:sdtEndPr>
    <w:sdtContent>
      <w:p w:rsidR="003105AD" w14:paraId="7A858877" w14:textId="269B6F50">
        <w:pPr>
          <w:pStyle w:val="Footer"/>
          <w:jc w:val="center"/>
        </w:pPr>
      </w:p>
    </w:sdtContent>
  </w:sdt>
  <w:p w:rsidR="004D151F" w14:paraId="2F7B1E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1404641"/>
      <w:docPartObj>
        <w:docPartGallery w:val="Page Numbers (Bottom of Page)"/>
        <w:docPartUnique/>
      </w:docPartObj>
    </w:sdtPr>
    <w:sdtEndPr>
      <w:rPr>
        <w:rFonts w:ascii="Times New Roman" w:hAnsi="Times New Roman" w:cs="Times New Roman"/>
        <w:noProof/>
        <w:sz w:val="24"/>
        <w:szCs w:val="24"/>
      </w:rPr>
    </w:sdtEndPr>
    <w:sdtContent>
      <w:p w:rsidR="003105AD" w:rsidRPr="003105AD" w14:paraId="290CC240" w14:textId="77777777">
        <w:pPr>
          <w:pStyle w:val="Footer"/>
          <w:jc w:val="center"/>
          <w:rPr>
            <w:rFonts w:ascii="Times New Roman" w:hAnsi="Times New Roman" w:cs="Times New Roman"/>
            <w:sz w:val="24"/>
            <w:szCs w:val="24"/>
          </w:rPr>
        </w:pPr>
        <w:r w:rsidRPr="003105AD">
          <w:rPr>
            <w:rFonts w:ascii="Times New Roman" w:hAnsi="Times New Roman" w:cs="Times New Roman"/>
            <w:sz w:val="24"/>
            <w:szCs w:val="24"/>
          </w:rPr>
          <w:fldChar w:fldCharType="begin"/>
        </w:r>
        <w:r w:rsidRPr="003105AD">
          <w:rPr>
            <w:rFonts w:ascii="Times New Roman" w:hAnsi="Times New Roman" w:cs="Times New Roman"/>
            <w:sz w:val="24"/>
            <w:szCs w:val="24"/>
          </w:rPr>
          <w:instrText xml:space="preserve"> PAGE   \* MERGEFORMAT </w:instrText>
        </w:r>
        <w:r w:rsidRPr="003105AD">
          <w:rPr>
            <w:rFonts w:ascii="Times New Roman" w:hAnsi="Times New Roman" w:cs="Times New Roman"/>
            <w:sz w:val="24"/>
            <w:szCs w:val="24"/>
          </w:rPr>
          <w:fldChar w:fldCharType="separate"/>
        </w:r>
        <w:r w:rsidRPr="003105AD">
          <w:rPr>
            <w:rFonts w:ascii="Times New Roman" w:hAnsi="Times New Roman" w:cs="Times New Roman"/>
            <w:noProof/>
            <w:sz w:val="24"/>
            <w:szCs w:val="24"/>
          </w:rPr>
          <w:t>2</w:t>
        </w:r>
        <w:r w:rsidRPr="003105AD">
          <w:rPr>
            <w:rFonts w:ascii="Times New Roman" w:hAnsi="Times New Roman" w:cs="Times New Roman"/>
            <w:noProof/>
            <w:sz w:val="24"/>
            <w:szCs w:val="24"/>
          </w:rPr>
          <w:fldChar w:fldCharType="end"/>
        </w:r>
      </w:p>
    </w:sdtContent>
  </w:sdt>
  <w:p w:rsidR="003105AD" w14:paraId="6984CC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21F8" w:rsidP="003B4706" w14:paraId="5A64D1D3" w14:textId="77777777">
      <w:pPr>
        <w:spacing w:after="0" w:line="240" w:lineRule="auto"/>
      </w:pPr>
      <w:r>
        <w:separator/>
      </w:r>
    </w:p>
  </w:footnote>
  <w:footnote w:type="continuationSeparator" w:id="1">
    <w:p w:rsidR="00A621F8" w:rsidP="003B4706" w14:paraId="6C6C6ED8" w14:textId="77777777">
      <w:pPr>
        <w:spacing w:after="0" w:line="240" w:lineRule="auto"/>
      </w:pPr>
      <w:r>
        <w:continuationSeparator/>
      </w:r>
    </w:p>
  </w:footnote>
  <w:footnote w:id="2">
    <w:p w:rsidR="00B951A6" w:rsidRPr="00D44BF5" w:rsidP="00D44BF5" w14:paraId="406EF406" w14:textId="60A106A4">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Finding and Order at 58 (Feb. 26, 2020)</w:t>
      </w:r>
      <w:r w:rsidRPr="00D44BF5" w:rsidR="00026338">
        <w:rPr>
          <w:rFonts w:ascii="Times New Roman" w:hAnsi="Times New Roman" w:cs="Times New Roman"/>
        </w:rPr>
        <w:t xml:space="preserve"> (“Order”); adopting subsection (C) to Rule 4901:1-10-22.</w:t>
      </w:r>
      <w:r w:rsidRPr="00D44BF5">
        <w:rPr>
          <w:rFonts w:ascii="Times New Roman" w:hAnsi="Times New Roman" w:cs="Times New Roman"/>
        </w:rPr>
        <w:t xml:space="preserve"> </w:t>
      </w:r>
    </w:p>
  </w:footnote>
  <w:footnote w:id="3">
    <w:p w:rsidR="00026338" w:rsidRPr="00D44BF5" w:rsidP="00D44BF5" w14:paraId="43B4AEB7" w14:textId="08C679D6">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Order at 17; revising Rule 4901:1-10-05(I)(1).</w:t>
      </w:r>
    </w:p>
  </w:footnote>
  <w:footnote w:id="4">
    <w:p w:rsidR="004D151F" w:rsidRPr="00D44BF5" w:rsidP="00D44BF5" w14:paraId="378E863E" w14:textId="34AF3149">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FirstEnergy Application for Rehearing at 10-11</w:t>
      </w:r>
      <w:r w:rsidRPr="00D44BF5" w:rsidR="00992F94">
        <w:rPr>
          <w:rFonts w:ascii="Times New Roman" w:hAnsi="Times New Roman" w:cs="Times New Roman"/>
        </w:rPr>
        <w:t xml:space="preserve"> (March 27, 2020)</w:t>
      </w:r>
      <w:r w:rsidRPr="00D44BF5">
        <w:rPr>
          <w:rFonts w:ascii="Times New Roman" w:hAnsi="Times New Roman" w:cs="Times New Roman"/>
        </w:rPr>
        <w:t>.</w:t>
      </w:r>
    </w:p>
  </w:footnote>
  <w:footnote w:id="5">
    <w:p w:rsidR="0036203D" w:rsidRPr="00D44BF5" w:rsidP="00D44BF5" w14:paraId="6105CA9A" w14:textId="2969078E">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hyperlink r:id="rId1" w:history="1">
        <w:r w:rsidRPr="00D44BF5">
          <w:rPr>
            <w:rStyle w:val="Hyperlink"/>
            <w:rFonts w:ascii="Times New Roman" w:hAnsi="Times New Roman" w:cs="Times New Roman"/>
          </w:rPr>
          <w:t>https://www.aepohio.com/account/bills/rates/AEPOhioRatesTariffsOH.aspx</w:t>
        </w:r>
      </w:hyperlink>
    </w:p>
  </w:footnote>
  <w:footnote w:id="6">
    <w:p w:rsidR="0036203D" w:rsidRPr="00D44BF5" w:rsidP="00D44BF5" w14:paraId="1A351821" w14:textId="52262921">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Duke Application for Rehearing at 6-7.</w:t>
      </w:r>
    </w:p>
  </w:footnote>
  <w:footnote w:id="7">
    <w:p w:rsidR="004D151F" w:rsidRPr="00D44BF5" w:rsidP="00D44BF5" w14:paraId="78BA117A" w14:textId="46CE44A3">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The arguments made by some EDUs that an online bill calculator is an undue burden is absurd considering that AEP Ohio has had an online bill calculator on their website for many years to help consumers calculate their bills.  </w:t>
      </w:r>
      <w:hyperlink r:id="rId1" w:history="1">
        <w:r w:rsidRPr="00D44BF5">
          <w:rPr>
            <w:rStyle w:val="Hyperlink"/>
            <w:rFonts w:ascii="Times New Roman" w:hAnsi="Times New Roman" w:cs="Times New Roman"/>
          </w:rPr>
          <w:t>https://www.aepohio.com/account/bills/rates/AEPOhioRatesTariffsOH.aspx</w:t>
        </w:r>
      </w:hyperlink>
      <w:r w:rsidRPr="00D44BF5">
        <w:rPr>
          <w:rFonts w:ascii="Times New Roman" w:hAnsi="Times New Roman" w:cs="Times New Roman"/>
        </w:rPr>
        <w:t xml:space="preserve"> </w:t>
      </w:r>
    </w:p>
  </w:footnote>
  <w:footnote w:id="8">
    <w:p w:rsidR="004D151F" w:rsidRPr="00D44BF5" w:rsidP="00D44BF5" w14:paraId="1C41CB44" w14:textId="605E6663">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Order at 17; revising Rule 4901:1-10-05(I)(1).</w:t>
      </w:r>
    </w:p>
  </w:footnote>
  <w:footnote w:id="9">
    <w:p w:rsidR="004D151F" w:rsidRPr="00D44BF5" w:rsidP="00D44BF5" w14:paraId="4393DB92" w14:textId="4B189BCD">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Pr>
          <w:rFonts w:ascii="Times New Roman" w:hAnsi="Times New Roman" w:cs="Times New Roman"/>
          <w:i/>
          <w:iCs/>
        </w:rPr>
        <w:t>Id.</w:t>
      </w:r>
    </w:p>
  </w:footnote>
  <w:footnote w:id="10">
    <w:p w:rsidR="007920E8" w:rsidRPr="00D44BF5" w:rsidP="00D44BF5" w14:paraId="1A0C20D5" w14:textId="452798BB">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Pr>
          <w:rFonts w:ascii="Times New Roman" w:hAnsi="Times New Roman" w:cs="Times New Roman"/>
          <w:i/>
          <w:iCs/>
        </w:rPr>
        <w:t>Id</w:t>
      </w:r>
      <w:r w:rsidRPr="00D44BF5">
        <w:rPr>
          <w:rFonts w:ascii="Times New Roman" w:hAnsi="Times New Roman" w:cs="Times New Roman"/>
        </w:rPr>
        <w:t>.</w:t>
      </w:r>
    </w:p>
  </w:footnote>
  <w:footnote w:id="11">
    <w:p w:rsidR="004D151F" w:rsidRPr="00D44BF5" w:rsidP="00D44BF5" w14:paraId="279D089A" w14:textId="11929968">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Applications for Rehearing were filed by Duke, FirstEnergy, AEP and DP&amp;L</w:t>
      </w:r>
      <w:r w:rsidRPr="00D44BF5" w:rsidR="00992F94">
        <w:rPr>
          <w:rFonts w:ascii="Times New Roman" w:hAnsi="Times New Roman" w:cs="Times New Roman"/>
        </w:rPr>
        <w:t xml:space="preserve"> (March 27, 2020)</w:t>
      </w:r>
      <w:r w:rsidRPr="00D44BF5">
        <w:rPr>
          <w:rFonts w:ascii="Times New Roman" w:hAnsi="Times New Roman" w:cs="Times New Roman"/>
        </w:rPr>
        <w:t>.</w:t>
      </w:r>
    </w:p>
  </w:footnote>
  <w:footnote w:id="12">
    <w:p w:rsidR="004D151F" w:rsidRPr="00D44BF5" w:rsidP="00D44BF5" w14:paraId="6819F52D" w14:textId="6C38EE1B">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Pr>
          <w:rFonts w:ascii="Times New Roman" w:hAnsi="Times New Roman" w:cs="Times New Roman"/>
          <w:i/>
          <w:iCs/>
        </w:rPr>
        <w:t>See</w:t>
      </w:r>
      <w:r w:rsidRPr="00D44BF5">
        <w:rPr>
          <w:rFonts w:ascii="Times New Roman" w:hAnsi="Times New Roman" w:cs="Times New Roman"/>
        </w:rPr>
        <w:t>, OCC Application for Rehearing, at 9-10</w:t>
      </w:r>
      <w:r w:rsidRPr="00D44BF5" w:rsidR="00992F94">
        <w:rPr>
          <w:rFonts w:ascii="Times New Roman" w:hAnsi="Times New Roman" w:cs="Times New Roman"/>
        </w:rPr>
        <w:t xml:space="preserve"> (March 27, 2020)</w:t>
      </w:r>
      <w:r w:rsidRPr="00D44BF5">
        <w:rPr>
          <w:rFonts w:ascii="Times New Roman" w:hAnsi="Times New Roman" w:cs="Times New Roman"/>
        </w:rPr>
        <w:t>.</w:t>
      </w:r>
    </w:p>
  </w:footnote>
  <w:footnote w:id="13">
    <w:p w:rsidR="00A53785" w:rsidRPr="00D44BF5" w:rsidP="00D44BF5" w14:paraId="7CEBE748" w14:textId="51E0EA54">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sidR="0031654C">
        <w:rPr>
          <w:rFonts w:ascii="Times New Roman" w:hAnsi="Times New Roman" w:cs="Times New Roman"/>
          <w:i/>
          <w:iCs/>
        </w:rPr>
        <w:t>See</w:t>
      </w:r>
      <w:r w:rsidRPr="00D44BF5" w:rsidR="0031654C">
        <w:rPr>
          <w:rFonts w:ascii="Times New Roman" w:hAnsi="Times New Roman" w:cs="Times New Roman"/>
        </w:rPr>
        <w:t xml:space="preserve">, </w:t>
      </w:r>
      <w:r w:rsidRPr="00D44BF5">
        <w:rPr>
          <w:rFonts w:ascii="Times New Roman" w:hAnsi="Times New Roman" w:cs="Times New Roman"/>
        </w:rPr>
        <w:t xml:space="preserve">OCC Application for Rehearing at </w:t>
      </w:r>
      <w:r w:rsidRPr="00D44BF5" w:rsidR="0031654C">
        <w:rPr>
          <w:rFonts w:ascii="Times New Roman" w:hAnsi="Times New Roman" w:cs="Times New Roman"/>
        </w:rPr>
        <w:t>11-12.</w:t>
      </w:r>
    </w:p>
  </w:footnote>
  <w:footnote w:id="14">
    <w:p w:rsidR="004D151F" w:rsidRPr="00D44BF5" w:rsidP="00D44BF5" w14:paraId="0D07DADA" w14:textId="142D1C4D">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R.C. 4928.10(C)(2).</w:t>
      </w:r>
    </w:p>
  </w:footnote>
  <w:footnote w:id="15">
    <w:p w:rsidR="007920E8" w:rsidRPr="00D44BF5" w:rsidP="00D44BF5" w14:paraId="2DEEC721" w14:textId="473CAE73">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Order at 58.</w:t>
      </w:r>
    </w:p>
  </w:footnote>
  <w:footnote w:id="16">
    <w:p w:rsidR="00592B48" w:rsidRPr="00D44BF5" w:rsidP="00D44BF5" w14:paraId="647EEB9F" w14:textId="1A7983F4">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sidR="007920E8">
        <w:rPr>
          <w:rFonts w:ascii="Times New Roman" w:hAnsi="Times New Roman" w:cs="Times New Roman"/>
          <w:i/>
          <w:iCs/>
        </w:rPr>
        <w:t>See</w:t>
      </w:r>
      <w:r w:rsidRPr="00D44BF5" w:rsidR="007920E8">
        <w:rPr>
          <w:rFonts w:ascii="Times New Roman" w:hAnsi="Times New Roman" w:cs="Times New Roman"/>
        </w:rPr>
        <w:t>, R.C. 4928(C)(2).</w:t>
      </w:r>
    </w:p>
  </w:footnote>
  <w:footnote w:id="17">
    <w:p w:rsidR="004D151F" w:rsidRPr="00D44BF5" w:rsidP="00D44BF5" w14:paraId="7480112D" w14:textId="53002CBD">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Duke Application for Rehearing at 6; FirstEnergy Application for Rehearing at 11.</w:t>
      </w:r>
    </w:p>
  </w:footnote>
  <w:footnote w:id="18">
    <w:p w:rsidR="004D151F" w:rsidRPr="00D44BF5" w:rsidP="00D44BF5" w14:paraId="78D38BC1" w14:textId="7C0F2E49">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Duke Application for Rehearing at 6.  </w:t>
      </w:r>
      <w:r w:rsidRPr="00D44BF5">
        <w:rPr>
          <w:rFonts w:ascii="Times New Roman" w:hAnsi="Times New Roman" w:cs="Times New Roman"/>
          <w:i/>
          <w:iCs/>
        </w:rPr>
        <w:t>See</w:t>
      </w:r>
      <w:r w:rsidRPr="00D44BF5">
        <w:rPr>
          <w:rFonts w:ascii="Times New Roman" w:hAnsi="Times New Roman" w:cs="Times New Roman"/>
        </w:rPr>
        <w:t>, In the Matter of the Commission’s Investigation of Submetering in the State of Ohio, Case No. 15-1594-AUCOI, Entry, p. 15 (June 21, 2017) (“In order to facilitate an orderly and expedient resolution of any potential complaints, the electric, gas, water and sewer distribution utilities are directed to work with Staff to develop a website tool or other mechanism to provide submetered residential customers with an estimated calculation of the what the customer would have paid the local public utility for equivalent usage, on a monthly total bill basis, under the utility's default service tariffs.”); https://www.duke-energy.com/_/media/documents/our-company/2020-oh-rs-webcalculator.xlsx?la=en (the calculator itself).</w:t>
      </w:r>
    </w:p>
  </w:footnote>
  <w:footnote w:id="19">
    <w:p w:rsidR="0031654C" w:rsidRPr="00D44BF5" w:rsidP="00D44BF5" w14:paraId="779B4659" w14:textId="27FF8508">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FirstEnergy Application for Rehearing at 10-11.</w:t>
      </w:r>
    </w:p>
  </w:footnote>
  <w:footnote w:id="20">
    <w:p w:rsidR="004D151F" w:rsidRPr="00D44BF5" w:rsidP="00D44BF5" w14:paraId="504D3D4F" w14:textId="24C1EA11">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006D376E">
        <w:rPr>
          <w:rFonts w:ascii="Times New Roman" w:hAnsi="Times New Roman" w:cs="Times New Roman"/>
          <w:i/>
          <w:iCs/>
        </w:rPr>
        <w:t xml:space="preserve"> </w:t>
      </w:r>
      <w:r w:rsidRPr="00D44BF5" w:rsidR="0031654C">
        <w:rPr>
          <w:rFonts w:ascii="Times New Roman" w:hAnsi="Times New Roman" w:cs="Times New Roman"/>
          <w:i/>
          <w:iCs/>
        </w:rPr>
        <w:t>See</w:t>
      </w:r>
      <w:r w:rsidRPr="00D44BF5" w:rsidR="0031654C">
        <w:rPr>
          <w:rFonts w:ascii="Times New Roman" w:hAnsi="Times New Roman" w:cs="Times New Roman"/>
        </w:rPr>
        <w:t>,</w:t>
      </w:r>
      <w:r w:rsidRPr="00D44BF5">
        <w:rPr>
          <w:rFonts w:ascii="Times New Roman" w:hAnsi="Times New Roman" w:cs="Times New Roman"/>
        </w:rPr>
        <w:t xml:space="preserve"> Order at 57-58. </w:t>
      </w:r>
    </w:p>
  </w:footnote>
  <w:footnote w:id="21">
    <w:p w:rsidR="006F390E" w:rsidRPr="00D44BF5" w:rsidP="00D44BF5" w14:paraId="4AE4F1A2" w14:textId="21EBCC4A">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OCC Comments at 14; Order at 57.</w:t>
      </w:r>
    </w:p>
  </w:footnote>
  <w:footnote w:id="22">
    <w:p w:rsidR="004D151F" w:rsidRPr="00D44BF5" w:rsidP="00D44BF5" w14:paraId="49FBBC1A" w14:textId="3CB41F99">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R.C. 4928.10(C)(2)</w:t>
      </w:r>
      <w:r w:rsidRPr="00D44BF5" w:rsidR="006F390E">
        <w:rPr>
          <w:rFonts w:ascii="Times New Roman" w:hAnsi="Times New Roman" w:cs="Times New Roman"/>
        </w:rPr>
        <w:t xml:space="preserve">; </w:t>
      </w:r>
      <w:r w:rsidRPr="00D44BF5" w:rsidR="006F390E">
        <w:rPr>
          <w:rFonts w:ascii="Times New Roman" w:hAnsi="Times New Roman" w:cs="Times New Roman"/>
          <w:i/>
          <w:iCs/>
        </w:rPr>
        <w:t>See</w:t>
      </w:r>
      <w:r w:rsidRPr="00D44BF5" w:rsidR="006F390E">
        <w:rPr>
          <w:rFonts w:ascii="Times New Roman" w:hAnsi="Times New Roman" w:cs="Times New Roman"/>
        </w:rPr>
        <w:t>, OCC Comments at 14.</w:t>
      </w:r>
      <w:r w:rsidRPr="00D44BF5">
        <w:rPr>
          <w:rFonts w:ascii="Times New Roman" w:hAnsi="Times New Roman" w:cs="Times New Roman"/>
        </w:rPr>
        <w:t xml:space="preserve"> </w:t>
      </w:r>
    </w:p>
  </w:footnote>
  <w:footnote w:id="23">
    <w:p w:rsidR="004D151F" w:rsidRPr="00D44BF5" w:rsidP="00D44BF5" w14:paraId="1D688A24" w14:textId="2863306F">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Order at 58.</w:t>
      </w:r>
    </w:p>
  </w:footnote>
  <w:footnote w:id="24">
    <w:p w:rsidR="004D151F" w:rsidRPr="00D44BF5" w:rsidP="00D44BF5" w14:paraId="0E4A2E08" w14:textId="0719EDBC">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R.C. 4928.10(C)(2): “To the maximum extent practicable, separate listing of each service component to enable a customer to recalculate its bill for accuracy.” </w:t>
      </w:r>
    </w:p>
  </w:footnote>
  <w:footnote w:id="25">
    <w:p w:rsidR="004D151F" w:rsidRPr="00D44BF5" w:rsidP="00D44BF5" w14:paraId="67672B36" w14:textId="5B5999F4">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FirstEnergy Application for Rehearing at 11.</w:t>
      </w:r>
    </w:p>
  </w:footnote>
  <w:footnote w:id="26">
    <w:p w:rsidR="004D151F" w:rsidRPr="00D44BF5" w:rsidP="00D44BF5" w14:paraId="30C89979" w14:textId="7896A8B4">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Pr>
          <w:rFonts w:ascii="Times New Roman" w:hAnsi="Times New Roman" w:cs="Times New Roman"/>
          <w:i/>
          <w:iCs/>
        </w:rPr>
        <w:t>Id</w:t>
      </w:r>
      <w:r w:rsidRPr="00D44BF5">
        <w:rPr>
          <w:rFonts w:ascii="Times New Roman" w:hAnsi="Times New Roman" w:cs="Times New Roman"/>
        </w:rPr>
        <w:t>.</w:t>
      </w:r>
    </w:p>
  </w:footnote>
  <w:footnote w:id="27">
    <w:p w:rsidR="004D151F" w:rsidRPr="00D44BF5" w:rsidP="00D44BF5" w14:paraId="34FCF361" w14:textId="5B8D6A76">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Duke Application for Rehearing at 3-4; FirstEnergy Application for Rehearing at 5-6.</w:t>
      </w:r>
    </w:p>
  </w:footnote>
  <w:footnote w:id="28">
    <w:p w:rsidR="004D151F" w:rsidRPr="00D44BF5" w:rsidP="00D44BF5" w14:paraId="54619584" w14:textId="16F6CD87">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Order at 17.</w:t>
      </w:r>
    </w:p>
  </w:footnote>
  <w:footnote w:id="29">
    <w:p w:rsidR="004D151F" w:rsidRPr="00D44BF5" w:rsidP="00D44BF5" w14:paraId="02DD11C5" w14:textId="1C3FD176">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AEP Application for Rehearing at 4; FirstEnergy application for Rehearing at 5.</w:t>
      </w:r>
    </w:p>
  </w:footnote>
  <w:footnote w:id="30">
    <w:p w:rsidR="004D151F" w:rsidRPr="00D44BF5" w:rsidP="00D44BF5" w14:paraId="40927EDD" w14:textId="5D0FDF42">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Order at 17</w:t>
      </w:r>
      <w:r w:rsidRPr="00D44BF5" w:rsidR="00B0273C">
        <w:rPr>
          <w:rFonts w:ascii="Times New Roman" w:hAnsi="Times New Roman" w:cs="Times New Roman"/>
        </w:rPr>
        <w:t>.</w:t>
      </w:r>
    </w:p>
  </w:footnote>
  <w:footnote w:id="31">
    <w:p w:rsidR="004D151F" w:rsidRPr="00D44BF5" w:rsidP="00D44BF5" w14:paraId="6D4BE7FD" w14:textId="77777777">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AEP Application for Rehearing at 4. Duke Application for Rehearing at 4. </w:t>
      </w:r>
    </w:p>
  </w:footnote>
  <w:footnote w:id="32">
    <w:p w:rsidR="004D151F" w:rsidRPr="00D44BF5" w:rsidP="00D44BF5" w14:paraId="140FB4F9" w14:textId="48C13516">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FirstEnergy Application for Rehearing at 4</w:t>
      </w:r>
      <w:r w:rsidRPr="00D44BF5" w:rsidR="00B0273C">
        <w:rPr>
          <w:rFonts w:ascii="Times New Roman" w:hAnsi="Times New Roman" w:cs="Times New Roman"/>
        </w:rPr>
        <w:t>.</w:t>
      </w:r>
    </w:p>
  </w:footnote>
  <w:footnote w:id="33">
    <w:p w:rsidR="004D151F" w:rsidRPr="00D44BF5" w:rsidP="00D44BF5" w14:paraId="35AB349B" w14:textId="44F4BCFF">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Order at 17</w:t>
      </w:r>
      <w:r w:rsidRPr="00D44BF5" w:rsidR="00B0273C">
        <w:rPr>
          <w:rFonts w:ascii="Times New Roman" w:hAnsi="Times New Roman" w:cs="Times New Roman"/>
        </w:rPr>
        <w:t>.</w:t>
      </w:r>
    </w:p>
  </w:footnote>
  <w:footnote w:id="34">
    <w:p w:rsidR="004D151F" w:rsidRPr="00D44BF5" w:rsidP="00D44BF5" w14:paraId="040DFDEC" w14:textId="77777777">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Pr>
          <w:rFonts w:ascii="Times New Roman" w:hAnsi="Times New Roman" w:cs="Times New Roman"/>
          <w:i/>
          <w:iCs/>
        </w:rPr>
        <w:t>Id.</w:t>
      </w:r>
    </w:p>
  </w:footnote>
  <w:footnote w:id="35">
    <w:p w:rsidR="004D151F" w:rsidRPr="00D44BF5" w:rsidP="00D44BF5" w14:paraId="0B874E4A" w14:textId="1F8AFE9F">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Pr>
          <w:rFonts w:ascii="Times New Roman" w:hAnsi="Times New Roman" w:cs="Times New Roman"/>
          <w:i/>
          <w:iCs/>
        </w:rPr>
        <w:t>Id</w:t>
      </w:r>
      <w:r w:rsidRPr="00D44BF5">
        <w:rPr>
          <w:rFonts w:ascii="Times New Roman" w:hAnsi="Times New Roman" w:cs="Times New Roman"/>
        </w:rPr>
        <w:t>.</w:t>
      </w:r>
    </w:p>
  </w:footnote>
  <w:footnote w:id="36">
    <w:p w:rsidR="004D151F" w:rsidRPr="00D44BF5" w:rsidP="00D44BF5" w14:paraId="13B1B2EB" w14:textId="3E3D659E">
      <w:pPr>
        <w:autoSpaceDE w:val="0"/>
        <w:autoSpaceDN w:val="0"/>
        <w:adjustRightInd w:val="0"/>
        <w:spacing w:after="120" w:line="240" w:lineRule="auto"/>
        <w:rPr>
          <w:rFonts w:ascii="Times New Roman" w:hAnsi="Times New Roman" w:cs="Times New Roman"/>
          <w:sz w:val="20"/>
          <w:szCs w:val="20"/>
        </w:rPr>
      </w:pPr>
      <w:r w:rsidRPr="00D44BF5">
        <w:rPr>
          <w:rStyle w:val="FootnoteReference"/>
          <w:rFonts w:ascii="Times New Roman" w:hAnsi="Times New Roman" w:cs="Times New Roman"/>
          <w:sz w:val="20"/>
          <w:szCs w:val="20"/>
        </w:rPr>
        <w:footnoteRef/>
      </w:r>
      <w:r w:rsidRPr="00D44BF5">
        <w:rPr>
          <w:rFonts w:ascii="Times New Roman" w:hAnsi="Times New Roman" w:cs="Times New Roman"/>
          <w:sz w:val="20"/>
          <w:szCs w:val="20"/>
        </w:rPr>
        <w:t xml:space="preserve"> </w:t>
      </w:r>
      <w:r w:rsidRPr="00D44BF5">
        <w:rPr>
          <w:rFonts w:ascii="Times New Roman" w:hAnsi="Times New Roman" w:cs="Times New Roman"/>
          <w:i/>
          <w:iCs/>
          <w:sz w:val="20"/>
          <w:szCs w:val="20"/>
        </w:rPr>
        <w:t>In the Matter of the Application of Ohio Power Company to Initiate Phase 2 of its gridSMART Project and to Establish the gridSMART Phase 2 Rider, Case 13-1939-EL-RDR, Application (September 13, 2013), page 5, “With automated meter reads, AMI nearly eliminates estimated bills, leading to greater billing accuracy.”  In the Matter of the Filing by Ohio Edison Company, The Cleveland Electric Illuminating Company, and The Toledo Edison Company of a Grid Modernization Business Plan</w:t>
      </w:r>
      <w:r w:rsidRPr="00D44BF5">
        <w:rPr>
          <w:rFonts w:ascii="Times New Roman" w:hAnsi="Times New Roman" w:cs="Times New Roman"/>
          <w:sz w:val="20"/>
          <w:szCs w:val="20"/>
        </w:rPr>
        <w:t xml:space="preserve">, Case No. 16-0481-EL-UNC, Application Exhibit A (February 29, 2016) at 23: “Using the smart meters, utilities leverage modern digital and wireless capabilities to migrate away from current metering approaches toward a future that allows remote meter reading and system assessment during both major and minor system outages.”  </w:t>
      </w:r>
      <w:r w:rsidRPr="00D44BF5">
        <w:rPr>
          <w:rFonts w:ascii="Times New Roman" w:hAnsi="Times New Roman" w:cs="Times New Roman"/>
          <w:i/>
          <w:iCs/>
          <w:sz w:val="20"/>
          <w:szCs w:val="20"/>
        </w:rPr>
        <w:t>In the Matter of the Application of Duke Energy Ohio, Inc. to Adjust and Set Its Gas and Electric Recovery Rate for 2010 SmartGrid Costs Under Riders AU and Rider DR-IM and Mid-Deployment Review of AMI /SmartGrid Program</w:t>
      </w:r>
      <w:r w:rsidRPr="00D44BF5">
        <w:rPr>
          <w:rFonts w:ascii="Times New Roman" w:hAnsi="Times New Roman" w:cs="Times New Roman"/>
          <w:sz w:val="20"/>
          <w:szCs w:val="20"/>
        </w:rPr>
        <w:t xml:space="preserve">. Case 10-2326-GE-RDR Application (June 30, 2011) at 2.  </w:t>
      </w:r>
      <w:r w:rsidRPr="00D44BF5">
        <w:rPr>
          <w:rFonts w:ascii="Times New Roman" w:hAnsi="Times New Roman" w:cs="Times New Roman"/>
          <w:i/>
          <w:iCs/>
          <w:sz w:val="20"/>
          <w:szCs w:val="20"/>
        </w:rPr>
        <w:t>Also see</w:t>
      </w:r>
      <w:r w:rsidRPr="00D44BF5">
        <w:rPr>
          <w:rFonts w:ascii="Times New Roman" w:hAnsi="Times New Roman" w:cs="Times New Roman"/>
          <w:sz w:val="20"/>
          <w:szCs w:val="20"/>
        </w:rPr>
        <w:t xml:space="preserve"> </w:t>
      </w:r>
      <w:hyperlink r:id="rId2" w:history="1">
        <w:r w:rsidRPr="00D44BF5">
          <w:rPr>
            <w:rStyle w:val="Hyperlink"/>
            <w:rFonts w:ascii="Times New Roman" w:hAnsi="Times New Roman" w:cs="Times New Roman"/>
            <w:sz w:val="20"/>
            <w:szCs w:val="20"/>
          </w:rPr>
          <w:t>https://www.duke-energy.com/our-company/about-us/smart-grid/grid-modernization-faqs</w:t>
        </w:r>
      </w:hyperlink>
      <w:r w:rsidRPr="00D44BF5">
        <w:rPr>
          <w:rFonts w:ascii="Times New Roman" w:hAnsi="Times New Roman" w:cs="Times New Roman"/>
          <w:sz w:val="20"/>
          <w:szCs w:val="20"/>
        </w:rPr>
        <w:t>,   “</w:t>
      </w:r>
      <w:r w:rsidRPr="00D44BF5">
        <w:rPr>
          <w:rFonts w:ascii="Times New Roman" w:hAnsi="Times New Roman" w:cs="Times New Roman"/>
          <w:spacing w:val="6"/>
          <w:sz w:val="20"/>
          <w:szCs w:val="20"/>
          <w:lang w:val="en"/>
        </w:rPr>
        <w:t>Smart meters have some immediate benefits, such as remote reading. Having a smart meter will also significantly reduce the need for us to estimate bills, so your energy bill will reflect your actual usage. These meters also allow for faster new service. Lastly, the smart meter will capture daily energy usage data that will help inform wiser energy decisions.”</w:t>
      </w:r>
    </w:p>
  </w:footnote>
  <w:footnote w:id="37">
    <w:p w:rsidR="004D151F" w:rsidRPr="00D44BF5" w:rsidP="00D44BF5" w14:paraId="4DC2576A" w14:textId="49677B67">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Order at 17.</w:t>
      </w:r>
    </w:p>
  </w:footnote>
  <w:footnote w:id="38">
    <w:p w:rsidR="004D151F" w:rsidRPr="00D44BF5" w:rsidP="00D44BF5" w14:paraId="5149DD0C" w14:textId="77777777">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Pr>
          <w:rFonts w:ascii="Times New Roman" w:hAnsi="Times New Roman" w:cs="Times New Roman"/>
          <w:i/>
          <w:iCs/>
        </w:rPr>
        <w:t>Id</w:t>
      </w:r>
      <w:r w:rsidRPr="00D44BF5">
        <w:rPr>
          <w:rFonts w:ascii="Times New Roman" w:hAnsi="Times New Roman" w:cs="Times New Roman"/>
        </w:rPr>
        <w:t>.</w:t>
      </w:r>
    </w:p>
  </w:footnote>
  <w:footnote w:id="39">
    <w:p w:rsidR="004D151F" w:rsidRPr="00D44BF5" w:rsidP="00D44BF5" w14:paraId="19B1F7D1" w14:textId="371E7272">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Duke Application for Rehearing at 4. FirstEnergy Application for Rehearing at 7.</w:t>
      </w:r>
    </w:p>
  </w:footnote>
  <w:footnote w:id="40">
    <w:p w:rsidR="004D151F" w:rsidRPr="00D44BF5" w:rsidP="00D44BF5" w14:paraId="5B7CDA53" w14:textId="397846D3">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Tariff P.U.C.O Sheet No. 19, Sheet 127, Rider AMO, Advanced Meter Opt-out (AMO) – Residential. </w:t>
      </w:r>
    </w:p>
  </w:footnote>
  <w:footnote w:id="41">
    <w:p w:rsidR="004D151F" w:rsidRPr="00D44BF5" w:rsidP="00D44BF5" w14:paraId="37E441CC" w14:textId="26195702">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FirstEnergy Application for Rehearing at 8.</w:t>
      </w:r>
    </w:p>
  </w:footnote>
  <w:footnote w:id="42">
    <w:p w:rsidR="004D151F" w:rsidRPr="00D44BF5" w:rsidP="00D44BF5" w14:paraId="59FB5B83" w14:textId="1F5A60CA">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Order at 50-51; Order at 78-79.</w:t>
      </w:r>
    </w:p>
  </w:footnote>
  <w:footnote w:id="43">
    <w:p w:rsidR="004D151F" w:rsidRPr="00D44BF5" w:rsidP="00D44BF5" w14:paraId="10D4C560" w14:textId="1048739F">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sidR="006F390E">
        <w:rPr>
          <w:rFonts w:ascii="Times New Roman" w:hAnsi="Times New Roman" w:cs="Times New Roman"/>
        </w:rPr>
        <w:t>DP&amp;L Application for Rehearing at 2; AEP Application for Rehearing at 5-6; Duke Application for Rehearing at 8; FirstEnergy Application for Rehearing at 11-12.</w:t>
      </w:r>
    </w:p>
  </w:footnote>
  <w:footnote w:id="44">
    <w:p w:rsidR="004D151F" w:rsidRPr="00D44BF5" w:rsidP="00D44BF5" w14:paraId="4DA4A374" w14:textId="5BE9B35C">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sidR="004F1036">
        <w:rPr>
          <w:rFonts w:ascii="Times New Roman" w:hAnsi="Times New Roman" w:cs="Times New Roman"/>
          <w:i/>
          <w:iCs/>
        </w:rPr>
        <w:t>See</w:t>
      </w:r>
      <w:r w:rsidRPr="00D44BF5" w:rsidR="004F1036">
        <w:rPr>
          <w:rFonts w:ascii="Times New Roman" w:hAnsi="Times New Roman" w:cs="Times New Roman"/>
        </w:rPr>
        <w:t xml:space="preserve">, </w:t>
      </w:r>
      <w:r w:rsidRPr="00D44BF5">
        <w:rPr>
          <w:rFonts w:ascii="Times New Roman" w:hAnsi="Times New Roman" w:cs="Times New Roman"/>
        </w:rPr>
        <w:t>FirstEnergy Application for Rehearing at 12.</w:t>
      </w:r>
    </w:p>
  </w:footnote>
  <w:footnote w:id="45">
    <w:p w:rsidR="004D151F" w:rsidRPr="00D44BF5" w:rsidP="00D44BF5" w14:paraId="401F8018" w14:textId="77777777">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i/>
          <w:iCs/>
        </w:rPr>
        <w:t xml:space="preserve"> Id</w:t>
      </w:r>
      <w:r w:rsidRPr="00D44BF5">
        <w:rPr>
          <w:rFonts w:ascii="Times New Roman" w:hAnsi="Times New Roman" w:cs="Times New Roman"/>
        </w:rPr>
        <w:t>.</w:t>
      </w:r>
    </w:p>
  </w:footnote>
  <w:footnote w:id="46">
    <w:p w:rsidR="004D151F" w:rsidRPr="00D44BF5" w:rsidP="00D44BF5" w14:paraId="1381E23A" w14:textId="77777777">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AEP Application for Rehearing at 5. </w:t>
      </w:r>
    </w:p>
  </w:footnote>
  <w:footnote w:id="47">
    <w:p w:rsidR="004D151F" w:rsidRPr="00D44BF5" w:rsidP="00D44BF5" w14:paraId="4CBAD3B1" w14:textId="5A648BDE">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DP&amp;L Application for Rehearing at 2; AEP Application for Rehearing at 5-6; Duke Application for Rehearing at 8; FirstEnergy Application for Rehearing at 11-12.</w:t>
      </w:r>
    </w:p>
  </w:footnote>
  <w:footnote w:id="48">
    <w:p w:rsidR="004D151F" w:rsidRPr="00D44BF5" w:rsidP="00D44BF5" w14:paraId="43E69ACC" w14:textId="77777777">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Ohio Adm.Code 4901:1-10-22.</w:t>
      </w:r>
    </w:p>
  </w:footnote>
  <w:footnote w:id="49">
    <w:p w:rsidR="004D151F" w:rsidRPr="00D44BF5" w:rsidP="00D44BF5" w14:paraId="00CD56AF" w14:textId="77777777">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Ohio Adm.Code 4901:1-10-33.</w:t>
      </w:r>
    </w:p>
  </w:footnote>
  <w:footnote w:id="50">
    <w:p w:rsidR="004D151F" w:rsidRPr="00D44BF5" w:rsidP="00D44BF5" w14:paraId="6083317E" w14:textId="2E54A840">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R.C. 4928.10(C)</w:t>
      </w:r>
      <w:r w:rsidRPr="00D44BF5" w:rsidR="00B0273C">
        <w:rPr>
          <w:rFonts w:ascii="Times New Roman" w:hAnsi="Times New Roman" w:cs="Times New Roman"/>
        </w:rPr>
        <w:t>.</w:t>
      </w:r>
    </w:p>
  </w:footnote>
  <w:footnote w:id="51">
    <w:p w:rsidR="004D151F" w:rsidRPr="00D44BF5" w:rsidP="00D44BF5" w14:paraId="78D085D0" w14:textId="1C98BC0B">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sidR="009514E8">
        <w:rPr>
          <w:rFonts w:ascii="Times New Roman" w:hAnsi="Times New Roman" w:cs="Times New Roman"/>
        </w:rPr>
        <w:t xml:space="preserve">AEP Application for Rehearing </w:t>
      </w:r>
      <w:r w:rsidRPr="00D44BF5">
        <w:rPr>
          <w:rFonts w:ascii="Times New Roman" w:hAnsi="Times New Roman" w:cs="Times New Roman"/>
        </w:rPr>
        <w:t>at 5-6.</w:t>
      </w:r>
    </w:p>
  </w:footnote>
  <w:footnote w:id="52">
    <w:p w:rsidR="004D151F" w:rsidRPr="00D44BF5" w:rsidP="00D44BF5" w14:paraId="72AA65FC" w14:textId="77777777">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Pr>
          <w:rFonts w:ascii="Times New Roman" w:hAnsi="Times New Roman" w:cs="Times New Roman"/>
          <w:i/>
          <w:iCs/>
        </w:rPr>
        <w:t>Id</w:t>
      </w:r>
      <w:r w:rsidRPr="00D44BF5">
        <w:rPr>
          <w:rFonts w:ascii="Times New Roman" w:hAnsi="Times New Roman" w:cs="Times New Roman"/>
        </w:rPr>
        <w:t>.</w:t>
      </w:r>
    </w:p>
  </w:footnote>
  <w:footnote w:id="53">
    <w:p w:rsidR="009B6527" w:rsidRPr="00D44BF5" w:rsidP="00D44BF5" w14:paraId="7AD65F55" w14:textId="2D11F525">
      <w:pPr>
        <w:pStyle w:val="FootnoteText"/>
        <w:spacing w:after="120"/>
        <w:rPr>
          <w:rFonts w:ascii="Times New Roman" w:hAnsi="Times New Roman" w:cs="Times New Roman"/>
        </w:rPr>
      </w:pPr>
      <w:r w:rsidRPr="00D44BF5">
        <w:rPr>
          <w:rStyle w:val="FootnoteReference"/>
          <w:rFonts w:ascii="Times New Roman" w:hAnsi="Times New Roman" w:cs="Times New Roman"/>
        </w:rPr>
        <w:footnoteRef/>
      </w:r>
      <w:r w:rsidRPr="00D44BF5">
        <w:rPr>
          <w:rFonts w:ascii="Times New Roman" w:hAnsi="Times New Roman" w:cs="Times New Roman"/>
        </w:rPr>
        <w:t xml:space="preserve"> </w:t>
      </w:r>
      <w:r w:rsidRPr="00D44BF5">
        <w:rPr>
          <w:rFonts w:ascii="Times New Roman" w:hAnsi="Times New Roman" w:cs="Times New Roman"/>
          <w:i/>
          <w:iCs/>
        </w:rPr>
        <w:t>See</w:t>
      </w:r>
      <w:r w:rsidRPr="00D44BF5">
        <w:rPr>
          <w:rFonts w:ascii="Times New Roman" w:hAnsi="Times New Roman" w:cs="Times New Roman"/>
        </w:rPr>
        <w:t>, OCC Application for Rehearing at 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05AD" w14:paraId="2B8246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73C" w14:paraId="7E6F15D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76E" w14:paraId="4642BE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C02444"/>
    <w:multiLevelType w:val="hybridMultilevel"/>
    <w:tmpl w:val="8F3A350A"/>
    <w:lvl w:ilvl="0">
      <w:start w:val="1"/>
      <w:numFmt w:val="upperRoman"/>
      <w:pStyle w:val="Heading1"/>
      <w:lvlText w:val="%1."/>
      <w:lvlJc w:val="left"/>
      <w:pPr>
        <w:ind w:left="1890" w:hanging="72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
    <w:nsid w:val="2BD41ED5"/>
    <w:multiLevelType w:val="hybridMultilevel"/>
    <w:tmpl w:val="272643EE"/>
    <w:lvl w:ilvl="0">
      <w:start w:val="1"/>
      <w:numFmt w:val="decimal"/>
      <w:lvlText w:val="(%1)"/>
      <w:lvlJc w:val="left"/>
      <w:pPr>
        <w:ind w:left="153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
    <w:nsid w:val="31320114"/>
    <w:multiLevelType w:val="hybridMultilevel"/>
    <w:tmpl w:val="97784D7A"/>
    <w:lvl w:ilvl="0">
      <w:start w:val="1"/>
      <w:numFmt w:val="decimal"/>
      <w:lvlText w:val="%1."/>
      <w:lvlJc w:val="left"/>
      <w:pPr>
        <w:ind w:left="108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3B5867C6"/>
    <w:multiLevelType w:val="hybridMultilevel"/>
    <w:tmpl w:val="BFA0D8E2"/>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A26050C"/>
    <w:multiLevelType w:val="hybridMultilevel"/>
    <w:tmpl w:val="CD68B3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AD073BB"/>
    <w:multiLevelType w:val="hybridMultilevel"/>
    <w:tmpl w:val="F7844D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9F"/>
    <w:rsid w:val="00002D7C"/>
    <w:rsid w:val="000063D5"/>
    <w:rsid w:val="000079A7"/>
    <w:rsid w:val="0001646B"/>
    <w:rsid w:val="00026338"/>
    <w:rsid w:val="0003325F"/>
    <w:rsid w:val="000333C0"/>
    <w:rsid w:val="000346D6"/>
    <w:rsid w:val="00036B98"/>
    <w:rsid w:val="000541FB"/>
    <w:rsid w:val="000617FF"/>
    <w:rsid w:val="000625A8"/>
    <w:rsid w:val="000812E5"/>
    <w:rsid w:val="00084B69"/>
    <w:rsid w:val="000932C2"/>
    <w:rsid w:val="000936BD"/>
    <w:rsid w:val="00097E60"/>
    <w:rsid w:val="000A17EA"/>
    <w:rsid w:val="000A207D"/>
    <w:rsid w:val="000A6A44"/>
    <w:rsid w:val="000B01C2"/>
    <w:rsid w:val="000B31CC"/>
    <w:rsid w:val="000B5FB3"/>
    <w:rsid w:val="000C2BCC"/>
    <w:rsid w:val="000C7E0F"/>
    <w:rsid w:val="000D3484"/>
    <w:rsid w:val="000D4891"/>
    <w:rsid w:val="000D5650"/>
    <w:rsid w:val="000D56F7"/>
    <w:rsid w:val="000E7CF4"/>
    <w:rsid w:val="000F0C7A"/>
    <w:rsid w:val="000F53E5"/>
    <w:rsid w:val="000F7404"/>
    <w:rsid w:val="0010240B"/>
    <w:rsid w:val="00103A3D"/>
    <w:rsid w:val="00110932"/>
    <w:rsid w:val="001148BC"/>
    <w:rsid w:val="00120CD5"/>
    <w:rsid w:val="0012100E"/>
    <w:rsid w:val="001217AA"/>
    <w:rsid w:val="0012648C"/>
    <w:rsid w:val="00136E98"/>
    <w:rsid w:val="0014182F"/>
    <w:rsid w:val="00147082"/>
    <w:rsid w:val="001533E1"/>
    <w:rsid w:val="00153B21"/>
    <w:rsid w:val="00172420"/>
    <w:rsid w:val="00173B25"/>
    <w:rsid w:val="00191469"/>
    <w:rsid w:val="0019334C"/>
    <w:rsid w:val="001976DC"/>
    <w:rsid w:val="001A0D75"/>
    <w:rsid w:val="001A4644"/>
    <w:rsid w:val="001A48BE"/>
    <w:rsid w:val="001B37A6"/>
    <w:rsid w:val="001B6B8E"/>
    <w:rsid w:val="001D5C4B"/>
    <w:rsid w:val="001E758F"/>
    <w:rsid w:val="001F459D"/>
    <w:rsid w:val="0021085A"/>
    <w:rsid w:val="00212007"/>
    <w:rsid w:val="00220BE7"/>
    <w:rsid w:val="002243D0"/>
    <w:rsid w:val="00224FF7"/>
    <w:rsid w:val="002331F3"/>
    <w:rsid w:val="00234E01"/>
    <w:rsid w:val="00242DAC"/>
    <w:rsid w:val="00242FB6"/>
    <w:rsid w:val="00244BFA"/>
    <w:rsid w:val="0024638F"/>
    <w:rsid w:val="0025565C"/>
    <w:rsid w:val="00261C9E"/>
    <w:rsid w:val="00266194"/>
    <w:rsid w:val="00274CD8"/>
    <w:rsid w:val="0027757F"/>
    <w:rsid w:val="002A2A42"/>
    <w:rsid w:val="002B0E38"/>
    <w:rsid w:val="002C17E3"/>
    <w:rsid w:val="002E4DDD"/>
    <w:rsid w:val="002E55E9"/>
    <w:rsid w:val="002E731A"/>
    <w:rsid w:val="002F2BF1"/>
    <w:rsid w:val="0030269D"/>
    <w:rsid w:val="00306DCB"/>
    <w:rsid w:val="003105AD"/>
    <w:rsid w:val="0031654C"/>
    <w:rsid w:val="00331F9D"/>
    <w:rsid w:val="003373D7"/>
    <w:rsid w:val="003448F1"/>
    <w:rsid w:val="003462E6"/>
    <w:rsid w:val="00355048"/>
    <w:rsid w:val="003568B8"/>
    <w:rsid w:val="0036203D"/>
    <w:rsid w:val="00366577"/>
    <w:rsid w:val="003766D7"/>
    <w:rsid w:val="00381FF2"/>
    <w:rsid w:val="00387EC7"/>
    <w:rsid w:val="003B4706"/>
    <w:rsid w:val="003D48EA"/>
    <w:rsid w:val="003D599F"/>
    <w:rsid w:val="003E49FC"/>
    <w:rsid w:val="003E7F90"/>
    <w:rsid w:val="003F4782"/>
    <w:rsid w:val="00402C41"/>
    <w:rsid w:val="004102D3"/>
    <w:rsid w:val="004168FA"/>
    <w:rsid w:val="00416BF3"/>
    <w:rsid w:val="00433E40"/>
    <w:rsid w:val="00441654"/>
    <w:rsid w:val="00447349"/>
    <w:rsid w:val="00450673"/>
    <w:rsid w:val="004579A3"/>
    <w:rsid w:val="00464C8B"/>
    <w:rsid w:val="0047290C"/>
    <w:rsid w:val="00481725"/>
    <w:rsid w:val="00481F6E"/>
    <w:rsid w:val="00486719"/>
    <w:rsid w:val="004979AC"/>
    <w:rsid w:val="004A5577"/>
    <w:rsid w:val="004B3473"/>
    <w:rsid w:val="004C1B76"/>
    <w:rsid w:val="004D151F"/>
    <w:rsid w:val="004D3E8C"/>
    <w:rsid w:val="004D410F"/>
    <w:rsid w:val="004F1036"/>
    <w:rsid w:val="004F17C2"/>
    <w:rsid w:val="004F7457"/>
    <w:rsid w:val="00502E5C"/>
    <w:rsid w:val="00511069"/>
    <w:rsid w:val="00514E01"/>
    <w:rsid w:val="0052175E"/>
    <w:rsid w:val="00526330"/>
    <w:rsid w:val="005272F5"/>
    <w:rsid w:val="00536F11"/>
    <w:rsid w:val="005370AB"/>
    <w:rsid w:val="00540236"/>
    <w:rsid w:val="005415B0"/>
    <w:rsid w:val="00551736"/>
    <w:rsid w:val="0056095F"/>
    <w:rsid w:val="005636E1"/>
    <w:rsid w:val="00582424"/>
    <w:rsid w:val="00592B48"/>
    <w:rsid w:val="005A6087"/>
    <w:rsid w:val="005C3628"/>
    <w:rsid w:val="005C757E"/>
    <w:rsid w:val="005E5007"/>
    <w:rsid w:val="005F1FE4"/>
    <w:rsid w:val="005F67F7"/>
    <w:rsid w:val="005F6ABD"/>
    <w:rsid w:val="00603B15"/>
    <w:rsid w:val="00610BD3"/>
    <w:rsid w:val="00620E9F"/>
    <w:rsid w:val="00621790"/>
    <w:rsid w:val="006223F2"/>
    <w:rsid w:val="00630375"/>
    <w:rsid w:val="0063139F"/>
    <w:rsid w:val="006338D2"/>
    <w:rsid w:val="00637FDA"/>
    <w:rsid w:val="00644F9D"/>
    <w:rsid w:val="00645A38"/>
    <w:rsid w:val="0064639D"/>
    <w:rsid w:val="00647D8C"/>
    <w:rsid w:val="0065142A"/>
    <w:rsid w:val="00672C1B"/>
    <w:rsid w:val="006858A8"/>
    <w:rsid w:val="00696F8F"/>
    <w:rsid w:val="006B0F00"/>
    <w:rsid w:val="006B117E"/>
    <w:rsid w:val="006B1497"/>
    <w:rsid w:val="006C6F82"/>
    <w:rsid w:val="006D376E"/>
    <w:rsid w:val="006E1D6D"/>
    <w:rsid w:val="006F1433"/>
    <w:rsid w:val="006F390E"/>
    <w:rsid w:val="00725807"/>
    <w:rsid w:val="00730CC2"/>
    <w:rsid w:val="007314F9"/>
    <w:rsid w:val="00757514"/>
    <w:rsid w:val="00776118"/>
    <w:rsid w:val="0078339E"/>
    <w:rsid w:val="007920E8"/>
    <w:rsid w:val="00792B86"/>
    <w:rsid w:val="007A25B9"/>
    <w:rsid w:val="007A4017"/>
    <w:rsid w:val="007A7EB5"/>
    <w:rsid w:val="007B0074"/>
    <w:rsid w:val="007B2A66"/>
    <w:rsid w:val="007B7072"/>
    <w:rsid w:val="007B7212"/>
    <w:rsid w:val="007C368E"/>
    <w:rsid w:val="007C4672"/>
    <w:rsid w:val="007C5240"/>
    <w:rsid w:val="007D5ACE"/>
    <w:rsid w:val="007D5C40"/>
    <w:rsid w:val="007E058E"/>
    <w:rsid w:val="007E3FC4"/>
    <w:rsid w:val="007E6783"/>
    <w:rsid w:val="007E79D0"/>
    <w:rsid w:val="008007AD"/>
    <w:rsid w:val="00812203"/>
    <w:rsid w:val="00812601"/>
    <w:rsid w:val="008214C0"/>
    <w:rsid w:val="0082701F"/>
    <w:rsid w:val="00836166"/>
    <w:rsid w:val="00850A90"/>
    <w:rsid w:val="0086004D"/>
    <w:rsid w:val="00861D61"/>
    <w:rsid w:val="00866731"/>
    <w:rsid w:val="0087103C"/>
    <w:rsid w:val="00872749"/>
    <w:rsid w:val="008B1B9E"/>
    <w:rsid w:val="008D6B5F"/>
    <w:rsid w:val="008D6CA9"/>
    <w:rsid w:val="008E1DA5"/>
    <w:rsid w:val="008E2142"/>
    <w:rsid w:val="008E2DF4"/>
    <w:rsid w:val="008E5A91"/>
    <w:rsid w:val="008F1670"/>
    <w:rsid w:val="00902143"/>
    <w:rsid w:val="0091310D"/>
    <w:rsid w:val="00917695"/>
    <w:rsid w:val="00920554"/>
    <w:rsid w:val="00924299"/>
    <w:rsid w:val="00924BDB"/>
    <w:rsid w:val="00926E65"/>
    <w:rsid w:val="0093140F"/>
    <w:rsid w:val="00944340"/>
    <w:rsid w:val="00947947"/>
    <w:rsid w:val="009506AC"/>
    <w:rsid w:val="009514E8"/>
    <w:rsid w:val="009541A5"/>
    <w:rsid w:val="009611FE"/>
    <w:rsid w:val="00965A0D"/>
    <w:rsid w:val="0098413D"/>
    <w:rsid w:val="00985780"/>
    <w:rsid w:val="00986BE9"/>
    <w:rsid w:val="00987E97"/>
    <w:rsid w:val="00992F94"/>
    <w:rsid w:val="009974CF"/>
    <w:rsid w:val="009A0DD2"/>
    <w:rsid w:val="009A6E7F"/>
    <w:rsid w:val="009B6527"/>
    <w:rsid w:val="009B6BA0"/>
    <w:rsid w:val="009C5367"/>
    <w:rsid w:val="009D1D68"/>
    <w:rsid w:val="009D4ACD"/>
    <w:rsid w:val="009E090C"/>
    <w:rsid w:val="009E7951"/>
    <w:rsid w:val="009E79C5"/>
    <w:rsid w:val="00A06380"/>
    <w:rsid w:val="00A33943"/>
    <w:rsid w:val="00A47B04"/>
    <w:rsid w:val="00A53785"/>
    <w:rsid w:val="00A621F8"/>
    <w:rsid w:val="00A6474D"/>
    <w:rsid w:val="00A715C5"/>
    <w:rsid w:val="00A7443C"/>
    <w:rsid w:val="00A82C34"/>
    <w:rsid w:val="00A83B35"/>
    <w:rsid w:val="00AB181E"/>
    <w:rsid w:val="00AC5BE4"/>
    <w:rsid w:val="00AD52E8"/>
    <w:rsid w:val="00B0273C"/>
    <w:rsid w:val="00B14258"/>
    <w:rsid w:val="00B203F6"/>
    <w:rsid w:val="00B22F38"/>
    <w:rsid w:val="00B2326C"/>
    <w:rsid w:val="00B2769F"/>
    <w:rsid w:val="00B36A39"/>
    <w:rsid w:val="00B4405D"/>
    <w:rsid w:val="00B5382F"/>
    <w:rsid w:val="00B56229"/>
    <w:rsid w:val="00B630B1"/>
    <w:rsid w:val="00B73E71"/>
    <w:rsid w:val="00B82028"/>
    <w:rsid w:val="00B8325F"/>
    <w:rsid w:val="00B84F12"/>
    <w:rsid w:val="00B86D88"/>
    <w:rsid w:val="00B942F6"/>
    <w:rsid w:val="00B951A6"/>
    <w:rsid w:val="00BB0F5C"/>
    <w:rsid w:val="00BB741C"/>
    <w:rsid w:val="00BC255E"/>
    <w:rsid w:val="00BD7922"/>
    <w:rsid w:val="00BE00CF"/>
    <w:rsid w:val="00BE4287"/>
    <w:rsid w:val="00BF66AC"/>
    <w:rsid w:val="00C118DE"/>
    <w:rsid w:val="00C15011"/>
    <w:rsid w:val="00C1770C"/>
    <w:rsid w:val="00C53B58"/>
    <w:rsid w:val="00C637EC"/>
    <w:rsid w:val="00C754E5"/>
    <w:rsid w:val="00CA579B"/>
    <w:rsid w:val="00CD2D4B"/>
    <w:rsid w:val="00CD51E5"/>
    <w:rsid w:val="00CE0BD1"/>
    <w:rsid w:val="00CE7636"/>
    <w:rsid w:val="00CF094D"/>
    <w:rsid w:val="00CF11B3"/>
    <w:rsid w:val="00CF690D"/>
    <w:rsid w:val="00D01965"/>
    <w:rsid w:val="00D165F6"/>
    <w:rsid w:val="00D240F8"/>
    <w:rsid w:val="00D30C94"/>
    <w:rsid w:val="00D40104"/>
    <w:rsid w:val="00D41CF4"/>
    <w:rsid w:val="00D44767"/>
    <w:rsid w:val="00D44BF5"/>
    <w:rsid w:val="00D44DA3"/>
    <w:rsid w:val="00D5023B"/>
    <w:rsid w:val="00D51980"/>
    <w:rsid w:val="00D5628D"/>
    <w:rsid w:val="00D64D67"/>
    <w:rsid w:val="00D72274"/>
    <w:rsid w:val="00D72CBA"/>
    <w:rsid w:val="00D81A17"/>
    <w:rsid w:val="00D90EAB"/>
    <w:rsid w:val="00D94707"/>
    <w:rsid w:val="00D97710"/>
    <w:rsid w:val="00DA0204"/>
    <w:rsid w:val="00DA4DD8"/>
    <w:rsid w:val="00DA6F28"/>
    <w:rsid w:val="00DA7EB4"/>
    <w:rsid w:val="00DC2679"/>
    <w:rsid w:val="00DC5B9D"/>
    <w:rsid w:val="00DD0FB7"/>
    <w:rsid w:val="00DD726D"/>
    <w:rsid w:val="00DE06BE"/>
    <w:rsid w:val="00DE450F"/>
    <w:rsid w:val="00DF11F2"/>
    <w:rsid w:val="00E0303D"/>
    <w:rsid w:val="00E0507B"/>
    <w:rsid w:val="00E10C11"/>
    <w:rsid w:val="00E15EC4"/>
    <w:rsid w:val="00E30F86"/>
    <w:rsid w:val="00E3394C"/>
    <w:rsid w:val="00E3516F"/>
    <w:rsid w:val="00E36552"/>
    <w:rsid w:val="00E37998"/>
    <w:rsid w:val="00E518DB"/>
    <w:rsid w:val="00E64B49"/>
    <w:rsid w:val="00E6641A"/>
    <w:rsid w:val="00E74DDE"/>
    <w:rsid w:val="00E833F7"/>
    <w:rsid w:val="00E84B91"/>
    <w:rsid w:val="00E85E17"/>
    <w:rsid w:val="00E90FD7"/>
    <w:rsid w:val="00E933ED"/>
    <w:rsid w:val="00E954E8"/>
    <w:rsid w:val="00E95D8B"/>
    <w:rsid w:val="00E97B42"/>
    <w:rsid w:val="00EA17EA"/>
    <w:rsid w:val="00EA604C"/>
    <w:rsid w:val="00EA7EC4"/>
    <w:rsid w:val="00EB6329"/>
    <w:rsid w:val="00EB711E"/>
    <w:rsid w:val="00EC4091"/>
    <w:rsid w:val="00EC7659"/>
    <w:rsid w:val="00EE0FC9"/>
    <w:rsid w:val="00EF7DD9"/>
    <w:rsid w:val="00F002F1"/>
    <w:rsid w:val="00F05EAB"/>
    <w:rsid w:val="00F06A71"/>
    <w:rsid w:val="00F17B23"/>
    <w:rsid w:val="00F30CD7"/>
    <w:rsid w:val="00F33271"/>
    <w:rsid w:val="00F40029"/>
    <w:rsid w:val="00F43C7E"/>
    <w:rsid w:val="00F77D49"/>
    <w:rsid w:val="00F77FA4"/>
    <w:rsid w:val="00F87361"/>
    <w:rsid w:val="00F90D94"/>
    <w:rsid w:val="00F94E18"/>
    <w:rsid w:val="00F955EA"/>
    <w:rsid w:val="00FA01EB"/>
    <w:rsid w:val="00FA3E71"/>
    <w:rsid w:val="00FA5CFF"/>
    <w:rsid w:val="00FB4625"/>
    <w:rsid w:val="00FB5252"/>
    <w:rsid w:val="00FD6EF0"/>
    <w:rsid w:val="00FE0BFA"/>
    <w:rsid w:val="00FE17BC"/>
    <w:rsid w:val="00FE7DD3"/>
    <w:rsid w:val="00FF094E"/>
    <w:rsid w:val="00FF09A7"/>
    <w:rsid w:val="00FF52BE"/>
    <w:rsid w:val="00FF6B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33271"/>
    <w:pPr>
      <w:keepNext/>
      <w:keepLines/>
      <w:numPr>
        <w:numId w:val="3"/>
      </w:numPr>
      <w:spacing w:after="240" w:line="240" w:lineRule="auto"/>
      <w:ind w:left="720"/>
      <w:outlineLvl w:val="0"/>
    </w:pPr>
    <w:rPr>
      <w:rFonts w:ascii="Times New Roman Bold" w:hAnsi="Times New Roman Bold" w:eastAsiaTheme="majorEastAsia" w:cs="Times New Roman"/>
      <w:b/>
      <w:bCs/>
      <w:caps/>
      <w:sz w:val="24"/>
      <w:szCs w:val="24"/>
    </w:rPr>
  </w:style>
  <w:style w:type="paragraph" w:styleId="Heading2">
    <w:name w:val="heading 2"/>
    <w:basedOn w:val="Normal"/>
    <w:next w:val="Normal"/>
    <w:link w:val="Heading2Char"/>
    <w:autoRedefine/>
    <w:uiPriority w:val="9"/>
    <w:unhideWhenUsed/>
    <w:qFormat/>
    <w:rsid w:val="00FF09A7"/>
    <w:pPr>
      <w:keepNext/>
      <w:keepLines/>
      <w:numPr>
        <w:numId w:val="6"/>
      </w:numPr>
      <w:spacing w:after="240" w:line="240" w:lineRule="auto"/>
      <w:ind w:left="1440" w:hanging="720"/>
      <w:outlineLvl w:val="1"/>
    </w:pPr>
    <w:rPr>
      <w:rFonts w:ascii="Times New Roman Bold" w:hAnsi="Times New Roman Bold"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20E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20E9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rsid w:val="003B4706"/>
    <w:pPr>
      <w:spacing w:after="0" w:line="240" w:lineRule="auto"/>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sid w:val="003B4706"/>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3B4706"/>
    <w:rPr>
      <w:vertAlign w:val="superscript"/>
    </w:rPr>
  </w:style>
  <w:style w:type="character" w:styleId="Hyperlink">
    <w:name w:val="Hyperlink"/>
    <w:basedOn w:val="DefaultParagraphFont"/>
    <w:uiPriority w:val="99"/>
    <w:unhideWhenUsed/>
    <w:rsid w:val="00D5628D"/>
    <w:rPr>
      <w:color w:val="0563C1" w:themeColor="hyperlink"/>
      <w:u w:val="single"/>
    </w:rPr>
  </w:style>
  <w:style w:type="character" w:customStyle="1" w:styleId="UnresolvedMention1">
    <w:name w:val="Unresolved Mention1"/>
    <w:basedOn w:val="DefaultParagraphFont"/>
    <w:uiPriority w:val="99"/>
    <w:semiHidden/>
    <w:unhideWhenUsed/>
    <w:rsid w:val="00D5628D"/>
    <w:rPr>
      <w:color w:val="605E5C"/>
      <w:shd w:val="clear" w:color="auto" w:fill="E1DFDD"/>
    </w:rPr>
  </w:style>
  <w:style w:type="paragraph" w:styleId="Header">
    <w:name w:val="header"/>
    <w:basedOn w:val="Normal"/>
    <w:link w:val="HeaderChar"/>
    <w:uiPriority w:val="99"/>
    <w:unhideWhenUsed/>
    <w:rsid w:val="00D64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D67"/>
  </w:style>
  <w:style w:type="paragraph" w:styleId="Footer">
    <w:name w:val="footer"/>
    <w:basedOn w:val="Normal"/>
    <w:link w:val="FooterChar"/>
    <w:uiPriority w:val="99"/>
    <w:unhideWhenUsed/>
    <w:rsid w:val="00D64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D67"/>
  </w:style>
  <w:style w:type="character" w:customStyle="1" w:styleId="Heading1Char">
    <w:name w:val="Heading 1 Char"/>
    <w:basedOn w:val="DefaultParagraphFont"/>
    <w:link w:val="Heading1"/>
    <w:uiPriority w:val="9"/>
    <w:rsid w:val="00F33271"/>
    <w:rPr>
      <w:rFonts w:ascii="Times New Roman Bold" w:hAnsi="Times New Roman Bold" w:eastAsiaTheme="majorEastAsia" w:cs="Times New Roman"/>
      <w:b/>
      <w:bCs/>
      <w:caps/>
      <w:sz w:val="24"/>
      <w:szCs w:val="24"/>
    </w:rPr>
  </w:style>
  <w:style w:type="paragraph" w:styleId="HTMLPreformatted">
    <w:name w:val="HTML Preformatted"/>
    <w:aliases w:val=" Char,Char"/>
    <w:basedOn w:val="Normal"/>
    <w:link w:val="HTMLPreformattedChar"/>
    <w:rsid w:val="00E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Char Char"/>
    <w:basedOn w:val="DefaultParagraphFont"/>
    <w:link w:val="HTMLPreformatted"/>
    <w:rsid w:val="00E97B42"/>
    <w:rPr>
      <w:rFonts w:ascii="Courier New" w:eastAsia="Times New Roman" w:hAnsi="Courier New" w:cs="Courier New"/>
      <w:sz w:val="20"/>
      <w:szCs w:val="20"/>
    </w:rPr>
  </w:style>
  <w:style w:type="paragraph" w:styleId="ListParagraph">
    <w:name w:val="List Paragraph"/>
    <w:basedOn w:val="Normal"/>
    <w:uiPriority w:val="34"/>
    <w:qFormat/>
    <w:rsid w:val="00E97B42"/>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E97B42"/>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E97B42"/>
    <w:rPr>
      <w:rFonts w:ascii="Times New Roman" w:eastAsia="Times New Roman" w:hAnsi="Times New Roman" w:cs="Times New Roman"/>
      <w:b/>
      <w:szCs w:val="20"/>
    </w:rPr>
  </w:style>
  <w:style w:type="paragraph" w:styleId="CommentText">
    <w:name w:val="annotation text"/>
    <w:basedOn w:val="Normal"/>
    <w:link w:val="CommentTextChar"/>
    <w:semiHidden/>
    <w:unhideWhenUsed/>
    <w:rsid w:val="00E97B42"/>
    <w:pPr>
      <w:spacing w:after="200" w:line="240" w:lineRule="auto"/>
    </w:pPr>
    <w:rPr>
      <w:sz w:val="20"/>
      <w:szCs w:val="20"/>
    </w:rPr>
  </w:style>
  <w:style w:type="character" w:customStyle="1" w:styleId="CommentTextChar">
    <w:name w:val="Comment Text Char"/>
    <w:basedOn w:val="DefaultParagraphFont"/>
    <w:link w:val="CommentText"/>
    <w:semiHidden/>
    <w:rsid w:val="00E97B42"/>
    <w:rPr>
      <w:sz w:val="20"/>
      <w:szCs w:val="20"/>
    </w:rPr>
  </w:style>
  <w:style w:type="character" w:styleId="Strong">
    <w:name w:val="Strong"/>
    <w:qFormat/>
    <w:rsid w:val="00E97B42"/>
    <w:rPr>
      <w:b/>
      <w:bCs/>
    </w:rPr>
  </w:style>
  <w:style w:type="character" w:customStyle="1" w:styleId="Heading2Char">
    <w:name w:val="Heading 2 Char"/>
    <w:basedOn w:val="DefaultParagraphFont"/>
    <w:link w:val="Heading2"/>
    <w:uiPriority w:val="9"/>
    <w:rsid w:val="00FF09A7"/>
    <w:rPr>
      <w:rFonts w:ascii="Times New Roman Bold" w:hAnsi="Times New Roman Bold" w:eastAsiaTheme="majorEastAsia" w:cstheme="majorBidi"/>
      <w:b/>
      <w:sz w:val="24"/>
      <w:szCs w:val="26"/>
    </w:rPr>
  </w:style>
  <w:style w:type="paragraph" w:styleId="TOC1">
    <w:name w:val="toc 1"/>
    <w:basedOn w:val="Normal"/>
    <w:next w:val="Normal"/>
    <w:autoRedefine/>
    <w:uiPriority w:val="39"/>
    <w:unhideWhenUsed/>
    <w:qFormat/>
    <w:rsid w:val="005A6087"/>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qFormat/>
    <w:rsid w:val="00B0273C"/>
    <w:pPr>
      <w:tabs>
        <w:tab w:val="decimal" w:leader="dot" w:pos="8640"/>
      </w:tabs>
      <w:spacing w:after="240" w:line="240" w:lineRule="auto"/>
      <w:ind w:left="1440" w:hanging="720"/>
    </w:pPr>
    <w:rPr>
      <w:rFonts w:ascii="Times New Roman" w:hAnsi="Times New Roman"/>
      <w:sz w:val="24"/>
    </w:rPr>
  </w:style>
  <w:style w:type="paragraph" w:styleId="BalloonText">
    <w:name w:val="Balloon Text"/>
    <w:basedOn w:val="Normal"/>
    <w:link w:val="BalloonTextChar"/>
    <w:uiPriority w:val="99"/>
    <w:semiHidden/>
    <w:unhideWhenUsed/>
    <w:rsid w:val="00331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F9D"/>
    <w:rPr>
      <w:rFonts w:ascii="Segoe UI" w:hAnsi="Segoe UI" w:cs="Segoe UI"/>
      <w:sz w:val="18"/>
      <w:szCs w:val="18"/>
    </w:rPr>
  </w:style>
  <w:style w:type="character" w:styleId="CommentReference">
    <w:name w:val="annotation reference"/>
    <w:basedOn w:val="DefaultParagraphFont"/>
    <w:uiPriority w:val="99"/>
    <w:semiHidden/>
    <w:unhideWhenUsed/>
    <w:rsid w:val="00331F9D"/>
    <w:rPr>
      <w:sz w:val="16"/>
      <w:szCs w:val="16"/>
    </w:rPr>
  </w:style>
  <w:style w:type="paragraph" w:styleId="CommentSubject">
    <w:name w:val="annotation subject"/>
    <w:basedOn w:val="CommentText"/>
    <w:next w:val="CommentText"/>
    <w:link w:val="CommentSubjectChar"/>
    <w:uiPriority w:val="99"/>
    <w:semiHidden/>
    <w:unhideWhenUsed/>
    <w:rsid w:val="00331F9D"/>
    <w:pPr>
      <w:spacing w:after="160"/>
    </w:pPr>
    <w:rPr>
      <w:b/>
      <w:bCs/>
    </w:rPr>
  </w:style>
  <w:style w:type="character" w:customStyle="1" w:styleId="CommentSubjectChar">
    <w:name w:val="Comment Subject Char"/>
    <w:basedOn w:val="CommentTextChar"/>
    <w:link w:val="CommentSubject"/>
    <w:uiPriority w:val="99"/>
    <w:semiHidden/>
    <w:rsid w:val="00331F9D"/>
    <w:rPr>
      <w:b/>
      <w:bCs/>
      <w:sz w:val="20"/>
      <w:szCs w:val="20"/>
    </w:rPr>
  </w:style>
  <w:style w:type="paragraph" w:styleId="Revision">
    <w:name w:val="Revision"/>
    <w:hidden/>
    <w:uiPriority w:val="99"/>
    <w:semiHidden/>
    <w:rsid w:val="000C7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yperlink" Target="mailto:John.jones@ohioattorneygeneral.gov" TargetMode="External" /><Relationship Id="rId13" Type="http://schemas.openxmlformats.org/officeDocument/2006/relationships/hyperlink" Target="mailto:whitt@whitt-sturtevant.com" TargetMode="External" /><Relationship Id="rId14" Type="http://schemas.openxmlformats.org/officeDocument/2006/relationships/hyperlink" Target="mailto:glover@whitt-sturtevant.com" TargetMode="External" /><Relationship Id="rId15" Type="http://schemas.openxmlformats.org/officeDocument/2006/relationships/hyperlink" Target="mailto:scasto@firstenergycorp.com" TargetMode="External" /><Relationship Id="rId16" Type="http://schemas.openxmlformats.org/officeDocument/2006/relationships/hyperlink" Target="mailto:rendris@firstenergycorp.com" TargetMode="External" /><Relationship Id="rId17" Type="http://schemas.openxmlformats.org/officeDocument/2006/relationships/hyperlink" Target="mailto:edanford@firstenergycorp.com" TargetMode="External" /><Relationship Id="rId18" Type="http://schemas.openxmlformats.org/officeDocument/2006/relationships/hyperlink" Target="mailto:talexander@calfee.com" TargetMode="External" /><Relationship Id="rId19" Type="http://schemas.openxmlformats.org/officeDocument/2006/relationships/hyperlink" Target="mailto:khehmeyer@calfee.com" TargetMode="External" /><Relationship Id="rId2" Type="http://schemas.openxmlformats.org/officeDocument/2006/relationships/settings" Target="settings.xml" /><Relationship Id="rId20" Type="http://schemas.openxmlformats.org/officeDocument/2006/relationships/hyperlink" Target="mailto:bellish@buckeyeenergybrokers.com" TargetMode="External" /><Relationship Id="rId21" Type="http://schemas.openxmlformats.org/officeDocument/2006/relationships/hyperlink" Target="mailto:rdove@keglerbrown.com" TargetMode="External" /><Relationship Id="rId22" Type="http://schemas.openxmlformats.org/officeDocument/2006/relationships/hyperlink" Target="mailto:Matthew.sandor@puco.ohio.gov" TargetMode="External" /><Relationship Id="rId23" Type="http://schemas.openxmlformats.org/officeDocument/2006/relationships/hyperlink" Target="mailto:Michael.schuler@aes.com" TargetMode="External" /><Relationship Id="rId24" Type="http://schemas.openxmlformats.org/officeDocument/2006/relationships/hyperlink" Target="mailto:stnourse@aep.com" TargetMode="External" /><Relationship Id="rId25" Type="http://schemas.openxmlformats.org/officeDocument/2006/relationships/hyperlink" Target="mailto:cmblend@aep.com" TargetMode="External" /><Relationship Id="rId26" Type="http://schemas.openxmlformats.org/officeDocument/2006/relationships/hyperlink" Target="mailto:bethany.allen@igs.com" TargetMode="External" /><Relationship Id="rId27" Type="http://schemas.openxmlformats.org/officeDocument/2006/relationships/hyperlink" Target="mailto:joe.oliker@igs.com" TargetMode="External" /><Relationship Id="rId28" Type="http://schemas.openxmlformats.org/officeDocument/2006/relationships/hyperlink" Target="mailto:rocco.dascenzo@duke-energy.com" TargetMode="External" /><Relationship Id="rId29" Type="http://schemas.openxmlformats.org/officeDocument/2006/relationships/hyperlink" Target="mailto:Larisa.vaysman@duke-energy.com" TargetMode="External" /><Relationship Id="rId3" Type="http://schemas.openxmlformats.org/officeDocument/2006/relationships/webSettings" Target="webSettings.xml" /><Relationship Id="rId30" Type="http://schemas.openxmlformats.org/officeDocument/2006/relationships/hyperlink" Target="mailto:paul@carpenterlipps.com" TargetMode="External" /><Relationship Id="rId31" Type="http://schemas.openxmlformats.org/officeDocument/2006/relationships/hyperlink" Target="mailto:bojko@carpenterlipps.com" TargetMode="Externa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aepohio.com/account/bills/rates/AEPOhioRatesTariffsOH.aspx" TargetMode="External" /><Relationship Id="rId2" Type="http://schemas.openxmlformats.org/officeDocument/2006/relationships/hyperlink" Target="https://www.duke-energy.com/our-company/about-us/smart-grid/grid-modernization-faq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B932-75C7-459C-9CC9-8BC5EC52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OCC MC AFRs - ESSS - 17-1842-EL-ORD - 4.6.20.DOCX</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2020-04-06T21:01:38Z</dcterms:created>
  <dcterms:modified xsi:type="dcterms:W3CDTF">2020-04-06T21:01:38Z</dcterms:modified>
</cp:coreProperties>
</file>