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RPr="00A45537" w:rsidP="00D4185C" w14:paraId="0FDE94D0" w14:textId="77777777">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836BDA" w:rsidRPr="00A45537" w:rsidP="00D4185C" w14:paraId="68FF964C"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836BDA" w:rsidRPr="00A45537" w:rsidP="00D4185C" w14:paraId="3035DE4B" w14:textId="77777777">
      <w:pPr>
        <w:pStyle w:val="HTMLPreformatted"/>
        <w:rPr>
          <w:rFonts w:ascii="Times New Roman" w:hAnsi="Times New Roman" w:cs="Times New Roman"/>
          <w:sz w:val="24"/>
          <w:szCs w:val="24"/>
        </w:rPr>
      </w:pPr>
    </w:p>
    <w:tbl>
      <w:tblPr>
        <w:tblW w:w="9126" w:type="dxa"/>
        <w:tblLook w:val="01E0"/>
      </w:tblPr>
      <w:tblGrid>
        <w:gridCol w:w="9360"/>
      </w:tblGrid>
      <w:tr w14:paraId="18B9DF74" w14:textId="77777777" w:rsidTr="00B771EF">
        <w:tblPrEx>
          <w:tblW w:w="9126" w:type="dxa"/>
          <w:tblLook w:val="01E0"/>
        </w:tblPrEx>
        <w:trPr>
          <w:trHeight w:val="807"/>
        </w:trPr>
        <w:tc>
          <w:tcPr>
            <w:tcW w:w="9126" w:type="dxa"/>
            <w:shd w:val="clear" w:color="auto" w:fill="auto"/>
          </w:tcPr>
          <w:tbl>
            <w:tblPr>
              <w:tblW w:w="9161" w:type="dxa"/>
              <w:jc w:val="center"/>
              <w:tblLook w:val="01E0"/>
            </w:tblPr>
            <w:tblGrid>
              <w:gridCol w:w="4408"/>
              <w:gridCol w:w="296"/>
              <w:gridCol w:w="4457"/>
            </w:tblGrid>
            <w:tr w14:paraId="2E27934B" w14:textId="77777777" w:rsidTr="00B771EF">
              <w:tblPrEx>
                <w:tblW w:w="9161" w:type="dxa"/>
                <w:jc w:val="center"/>
                <w:tblLook w:val="01E0"/>
              </w:tblPrEx>
              <w:trPr>
                <w:trHeight w:val="807"/>
                <w:jc w:val="center"/>
              </w:trPr>
              <w:tc>
                <w:tcPr>
                  <w:tcW w:w="4408" w:type="dxa"/>
                  <w:shd w:val="clear" w:color="auto" w:fill="auto"/>
                </w:tcPr>
                <w:p w:rsidR="00B771EF" w:rsidRPr="0044715E" w:rsidP="00FE1F02" w14:paraId="3795DCDD" w14:textId="3A4E618B">
                  <w:pPr>
                    <w:autoSpaceDE w:val="0"/>
                    <w:autoSpaceDN w:val="0"/>
                    <w:adjustRightInd w:val="0"/>
                  </w:pPr>
                  <w:r w:rsidRPr="00A044B5">
                    <w:t>In the Matter of</w:t>
                  </w:r>
                  <w:r>
                    <w:t xml:space="preserve"> the Application of </w:t>
                  </w:r>
                  <w:bookmarkStart w:id="0" w:name="_Hlk81733177"/>
                  <w:r>
                    <w:t xml:space="preserve">the East Ohio Gas Company d/b/a Dominion Energy Ohio </w:t>
                  </w:r>
                  <w:bookmarkEnd w:id="0"/>
                  <w:r>
                    <w:t>for Approval of An Alternative Form of Regulation to Continue Its Pipeline Infrastructure Replacement Program</w:t>
                  </w:r>
                  <w:r w:rsidR="00620F9B">
                    <w:t>.</w:t>
                  </w:r>
                </w:p>
              </w:tc>
              <w:tc>
                <w:tcPr>
                  <w:tcW w:w="296" w:type="dxa"/>
                  <w:shd w:val="clear" w:color="auto" w:fill="auto"/>
                </w:tcPr>
                <w:p w:rsidR="00B771EF" w:rsidRPr="00A044B5" w:rsidP="00FE1F02" w14:paraId="0B46CA47" w14:textId="77777777">
                  <w:pPr>
                    <w:pStyle w:val="HTMLPreformatted"/>
                    <w:rPr>
                      <w:rFonts w:ascii="Times New Roman" w:hAnsi="Times New Roman"/>
                      <w:sz w:val="24"/>
                    </w:rPr>
                  </w:pPr>
                  <w:r w:rsidRPr="00A044B5">
                    <w:rPr>
                      <w:rFonts w:ascii="Times New Roman" w:hAnsi="Times New Roman"/>
                      <w:sz w:val="24"/>
                    </w:rPr>
                    <w:t>)</w:t>
                  </w:r>
                </w:p>
                <w:p w:rsidR="00B771EF" w:rsidRPr="00A044B5" w:rsidP="00FE1F02" w14:paraId="35CABDEA" w14:textId="77777777">
                  <w:pPr>
                    <w:pStyle w:val="HTMLPreformatted"/>
                    <w:rPr>
                      <w:rFonts w:ascii="Times New Roman" w:hAnsi="Times New Roman"/>
                      <w:sz w:val="24"/>
                    </w:rPr>
                  </w:pPr>
                  <w:r w:rsidRPr="00A044B5">
                    <w:rPr>
                      <w:rFonts w:ascii="Times New Roman" w:hAnsi="Times New Roman"/>
                      <w:sz w:val="24"/>
                    </w:rPr>
                    <w:t>)</w:t>
                  </w:r>
                </w:p>
                <w:p w:rsidR="00B771EF" w:rsidP="00FE1F02" w14:paraId="3DE495B8" w14:textId="77777777">
                  <w:pPr>
                    <w:pStyle w:val="HTMLPreformatted"/>
                    <w:rPr>
                      <w:rFonts w:ascii="Times New Roman" w:hAnsi="Times New Roman"/>
                      <w:sz w:val="24"/>
                    </w:rPr>
                  </w:pPr>
                  <w:r w:rsidRPr="00A044B5">
                    <w:rPr>
                      <w:rFonts w:ascii="Times New Roman" w:hAnsi="Times New Roman"/>
                      <w:sz w:val="24"/>
                    </w:rPr>
                    <w:t>)</w:t>
                  </w:r>
                </w:p>
                <w:p w:rsidR="00B771EF" w:rsidP="00FE1F02" w14:paraId="05509A46" w14:textId="77777777">
                  <w:pPr>
                    <w:pStyle w:val="HTMLPreformatted"/>
                    <w:rPr>
                      <w:rFonts w:ascii="Times New Roman" w:hAnsi="Times New Roman"/>
                      <w:sz w:val="24"/>
                    </w:rPr>
                  </w:pPr>
                  <w:r>
                    <w:rPr>
                      <w:rFonts w:ascii="Times New Roman" w:hAnsi="Times New Roman"/>
                      <w:sz w:val="24"/>
                    </w:rPr>
                    <w:t>)</w:t>
                  </w:r>
                </w:p>
                <w:p w:rsidR="00B771EF" w:rsidP="00FE1F02" w14:paraId="33107974" w14:textId="77777777">
                  <w:pPr>
                    <w:pStyle w:val="HTMLPreformatted"/>
                    <w:rPr>
                      <w:rFonts w:ascii="Times New Roman" w:hAnsi="Times New Roman"/>
                      <w:sz w:val="24"/>
                      <w:szCs w:val="24"/>
                    </w:rPr>
                  </w:pPr>
                  <w:r>
                    <w:rPr>
                      <w:rFonts w:ascii="Times New Roman" w:hAnsi="Times New Roman"/>
                      <w:sz w:val="24"/>
                      <w:szCs w:val="24"/>
                    </w:rPr>
                    <w:t>)</w:t>
                  </w:r>
                </w:p>
                <w:p w:rsidR="00B771EF" w:rsidRPr="0044715E" w:rsidP="00FE1F02" w14:paraId="003B2E86" w14:textId="1A103674">
                  <w:pPr>
                    <w:pStyle w:val="HTMLPreformatted"/>
                    <w:rPr>
                      <w:rFonts w:ascii="Times New Roman" w:hAnsi="Times New Roman" w:cs="Times New Roman"/>
                      <w:sz w:val="24"/>
                      <w:szCs w:val="24"/>
                    </w:rPr>
                  </w:pPr>
                  <w:r>
                    <w:rPr>
                      <w:rFonts w:ascii="Times New Roman" w:hAnsi="Times New Roman"/>
                      <w:sz w:val="24"/>
                      <w:szCs w:val="24"/>
                    </w:rPr>
                    <w:t>)</w:t>
                  </w:r>
                </w:p>
              </w:tc>
              <w:tc>
                <w:tcPr>
                  <w:tcW w:w="4457" w:type="dxa"/>
                  <w:shd w:val="clear" w:color="auto" w:fill="auto"/>
                </w:tcPr>
                <w:p w:rsidR="00B771EF" w:rsidRPr="00A044B5" w:rsidP="00FE1F02" w14:paraId="79747BE8" w14:textId="77777777">
                  <w:pPr>
                    <w:pStyle w:val="HTMLPreformatted"/>
                    <w:rPr>
                      <w:rFonts w:ascii="Times New Roman" w:hAnsi="Times New Roman"/>
                      <w:sz w:val="24"/>
                    </w:rPr>
                  </w:pPr>
                </w:p>
                <w:p w:rsidR="00B771EF" w:rsidP="00FE1F02" w14:paraId="04C25A17" w14:textId="77777777">
                  <w:pPr>
                    <w:pStyle w:val="HTMLPreformatted"/>
                    <w:rPr>
                      <w:rFonts w:ascii="Times New Roman" w:hAnsi="Times New Roman" w:cs="Times New Roman"/>
                      <w:sz w:val="24"/>
                      <w:szCs w:val="24"/>
                    </w:rPr>
                  </w:pPr>
                </w:p>
                <w:p w:rsidR="00B771EF" w:rsidRPr="00A044B5" w:rsidP="00FE1F02" w14:paraId="2F06C7F3" w14:textId="7D227A0A">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20-1634-GA-ALT</w:t>
                  </w:r>
                </w:p>
                <w:p w:rsidR="00B771EF" w:rsidRPr="0044715E" w:rsidP="00FE1F02" w14:paraId="32317378" w14:textId="77777777">
                  <w:pPr>
                    <w:pStyle w:val="HTMLPreformatted"/>
                    <w:rPr>
                      <w:rFonts w:ascii="Times New Roman" w:hAnsi="Times New Roman" w:cs="Times New Roman"/>
                      <w:sz w:val="24"/>
                      <w:szCs w:val="24"/>
                    </w:rPr>
                  </w:pPr>
                </w:p>
              </w:tc>
            </w:tr>
          </w:tbl>
          <w:p w:rsidR="00B771EF" w:rsidRPr="00A45537" w:rsidP="00EA6C58" w14:paraId="287AA416" w14:textId="4657F66F">
            <w:pPr>
              <w:pStyle w:val="HTMLPreformatted"/>
              <w:rPr>
                <w:rFonts w:ascii="Times New Roman" w:hAnsi="Times New Roman" w:cs="Times New Roman"/>
                <w:sz w:val="24"/>
                <w:szCs w:val="24"/>
              </w:rPr>
            </w:pPr>
          </w:p>
        </w:tc>
      </w:tr>
    </w:tbl>
    <w:p w:rsidR="00836BDA" w:rsidRPr="00A45537" w:rsidP="00D4185C" w14:paraId="01168CE6" w14:textId="77777777">
      <w:pPr>
        <w:pStyle w:val="HTMLPreformatted"/>
        <w:rPr>
          <w:rFonts w:ascii="Times New Roman" w:hAnsi="Times New Roman" w:cs="Times New Roman"/>
          <w:sz w:val="24"/>
          <w:szCs w:val="24"/>
        </w:rPr>
      </w:pPr>
    </w:p>
    <w:p w:rsidR="00836BDA" w:rsidRPr="00A45537" w:rsidP="00D4185C" w14:paraId="592801EF" w14:textId="77777777">
      <w:pPr>
        <w:pStyle w:val="HTMLPreformatted"/>
        <w:pBdr>
          <w:top w:val="single" w:sz="12" w:space="1" w:color="auto"/>
        </w:pBdr>
        <w:rPr>
          <w:rFonts w:ascii="Times New Roman" w:hAnsi="Times New Roman" w:cs="Times New Roman"/>
          <w:sz w:val="24"/>
          <w:szCs w:val="24"/>
        </w:rPr>
      </w:pPr>
    </w:p>
    <w:p w:rsidR="00B20BB6" w:rsidRPr="00A45537" w:rsidP="00B20BB6" w14:paraId="3474001A" w14:textId="77777777">
      <w:pPr>
        <w:jc w:val="center"/>
        <w:rPr>
          <w:b/>
          <w:bCs/>
          <w:szCs w:val="24"/>
        </w:rPr>
      </w:pPr>
      <w:r>
        <w:rPr>
          <w:b/>
          <w:bCs/>
          <w:szCs w:val="24"/>
        </w:rPr>
        <w:t>INITIAL</w:t>
      </w:r>
      <w:r w:rsidRPr="00A45537">
        <w:rPr>
          <w:b/>
          <w:bCs/>
          <w:szCs w:val="24"/>
        </w:rPr>
        <w:t xml:space="preserve"> BRIEF</w:t>
      </w:r>
      <w:r>
        <w:rPr>
          <w:b/>
          <w:bCs/>
          <w:szCs w:val="24"/>
        </w:rPr>
        <w:t xml:space="preserve"> FOR CONSUMER PROTECTION</w:t>
      </w:r>
    </w:p>
    <w:p w:rsidR="00836BDA" w:rsidRPr="00A45537" w:rsidP="00D4185C" w14:paraId="7FB6E50D" w14:textId="77777777">
      <w:pPr>
        <w:jc w:val="center"/>
        <w:rPr>
          <w:b/>
          <w:bCs/>
          <w:szCs w:val="24"/>
        </w:rPr>
      </w:pPr>
      <w:r w:rsidRPr="00A45537">
        <w:rPr>
          <w:b/>
          <w:bCs/>
          <w:szCs w:val="24"/>
        </w:rPr>
        <w:t>BY</w:t>
      </w:r>
    </w:p>
    <w:p w:rsidR="00836BDA" w:rsidRPr="00A45537" w:rsidP="00D4185C" w14:paraId="267E1D55" w14:textId="43EF8A2A">
      <w:pPr>
        <w:jc w:val="center"/>
        <w:rPr>
          <w:b/>
          <w:bCs/>
          <w:szCs w:val="24"/>
        </w:rPr>
      </w:pPr>
      <w:r w:rsidRPr="00A45537">
        <w:rPr>
          <w:b/>
          <w:bCs/>
          <w:szCs w:val="24"/>
        </w:rPr>
        <w:t>OFFICE OF THE OHIO CONSUMERS’ COUNSEL</w:t>
      </w:r>
    </w:p>
    <w:p w:rsidR="00836BDA" w:rsidRPr="00A45537" w:rsidP="00D4185C" w14:paraId="4F381839" w14:textId="77777777">
      <w:pPr>
        <w:pBdr>
          <w:bottom w:val="single" w:sz="12" w:space="1" w:color="auto"/>
        </w:pBdr>
        <w:tabs>
          <w:tab w:val="left" w:pos="4320"/>
        </w:tabs>
        <w:rPr>
          <w:szCs w:val="24"/>
        </w:rPr>
      </w:pPr>
    </w:p>
    <w:p w:rsidR="00836BDA" w:rsidP="00D4185C" w14:paraId="36063473" w14:textId="5F1F01AC">
      <w:pPr>
        <w:tabs>
          <w:tab w:val="left" w:pos="4320"/>
        </w:tabs>
        <w:rPr>
          <w:szCs w:val="24"/>
        </w:rPr>
      </w:pPr>
    </w:p>
    <w:p w:rsidR="00CD6F70" w:rsidP="00D4185C" w14:paraId="4390032B" w14:textId="06D660BE">
      <w:pPr>
        <w:tabs>
          <w:tab w:val="left" w:pos="4320"/>
        </w:tabs>
        <w:rPr>
          <w:szCs w:val="24"/>
        </w:rPr>
      </w:pPr>
    </w:p>
    <w:p w:rsidR="00CD6F70" w:rsidP="00D4185C" w14:paraId="6949FD83" w14:textId="7844D18B">
      <w:pPr>
        <w:tabs>
          <w:tab w:val="left" w:pos="4320"/>
        </w:tabs>
        <w:rPr>
          <w:szCs w:val="24"/>
        </w:rPr>
      </w:pPr>
    </w:p>
    <w:p w:rsidR="00CD6F70" w:rsidP="00D4185C" w14:paraId="0327C167" w14:textId="60E61C2D">
      <w:pPr>
        <w:tabs>
          <w:tab w:val="left" w:pos="4320"/>
        </w:tabs>
        <w:rPr>
          <w:szCs w:val="24"/>
        </w:rPr>
      </w:pPr>
    </w:p>
    <w:p w:rsidR="001572D1" w:rsidP="008633E2" w14:paraId="22E42679" w14:textId="77777777">
      <w:pPr>
        <w:pStyle w:val="Footer"/>
        <w:tabs>
          <w:tab w:val="left" w:pos="4320"/>
          <w:tab w:val="clear" w:pos="8640"/>
        </w:tabs>
        <w:spacing w:before="240"/>
        <w:ind w:firstLine="4320"/>
        <w:rPr>
          <w:sz w:val="24"/>
          <w:szCs w:val="24"/>
        </w:rPr>
      </w:pPr>
    </w:p>
    <w:p w:rsidR="008633E2" w:rsidP="008633E2" w14:paraId="08AC9A8E" w14:textId="25A4A396">
      <w:pPr>
        <w:pStyle w:val="Footer"/>
        <w:tabs>
          <w:tab w:val="left" w:pos="4320"/>
          <w:tab w:val="clear" w:pos="8640"/>
        </w:tabs>
        <w:spacing w:before="240"/>
        <w:ind w:firstLine="4320"/>
        <w:rPr>
          <w:sz w:val="24"/>
          <w:szCs w:val="24"/>
        </w:rPr>
      </w:pPr>
      <w:r>
        <w:rPr>
          <w:sz w:val="24"/>
          <w:szCs w:val="24"/>
        </w:rPr>
        <w:t>Bruce Weston (0016973)</w:t>
      </w:r>
    </w:p>
    <w:p w:rsidR="008633E2" w:rsidP="008633E2" w14:paraId="60B1FBF9" w14:textId="77777777">
      <w:pPr>
        <w:tabs>
          <w:tab w:val="left" w:pos="4320"/>
        </w:tabs>
        <w:rPr>
          <w:szCs w:val="24"/>
        </w:rPr>
      </w:pPr>
      <w:r>
        <w:rPr>
          <w:szCs w:val="24"/>
        </w:rPr>
        <w:tab/>
        <w:t>Ohio Consumers’ Counsel</w:t>
      </w:r>
    </w:p>
    <w:p w:rsidR="008633E2" w:rsidP="008633E2" w14:paraId="271C56C0" w14:textId="77777777">
      <w:pPr>
        <w:tabs>
          <w:tab w:val="left" w:pos="4320"/>
        </w:tabs>
        <w:rPr>
          <w:szCs w:val="24"/>
        </w:rPr>
      </w:pPr>
      <w:r>
        <w:rPr>
          <w:szCs w:val="24"/>
        </w:rPr>
        <w:tab/>
      </w:r>
    </w:p>
    <w:p w:rsidR="008633E2" w:rsidRPr="00D069CE" w:rsidP="008633E2" w14:paraId="0538CEAF" w14:textId="5D481C9C">
      <w:pPr>
        <w:tabs>
          <w:tab w:val="left" w:pos="4320"/>
        </w:tabs>
        <w:rPr>
          <w:szCs w:val="24"/>
        </w:rPr>
      </w:pPr>
      <w:r>
        <w:rPr>
          <w:szCs w:val="24"/>
        </w:rPr>
        <w:tab/>
      </w:r>
      <w:r w:rsidRPr="00D069CE" w:rsidR="00D069CE">
        <w:rPr>
          <w:szCs w:val="24"/>
        </w:rPr>
        <w:t>Amy Botschner O’Brien</w:t>
      </w:r>
      <w:r w:rsidRPr="00D069CE">
        <w:rPr>
          <w:szCs w:val="24"/>
        </w:rPr>
        <w:t xml:space="preserve"> (0070921)</w:t>
      </w:r>
    </w:p>
    <w:p w:rsidR="008633E2" w:rsidRPr="00D069CE" w:rsidP="008633E2" w14:paraId="6F5DB543" w14:textId="77777777">
      <w:pPr>
        <w:tabs>
          <w:tab w:val="left" w:pos="4320"/>
        </w:tabs>
        <w:ind w:firstLine="4320"/>
        <w:rPr>
          <w:szCs w:val="24"/>
        </w:rPr>
      </w:pPr>
      <w:r w:rsidRPr="00D069CE">
        <w:rPr>
          <w:szCs w:val="24"/>
        </w:rPr>
        <w:t>Counsel of Record</w:t>
      </w:r>
    </w:p>
    <w:p w:rsidR="008633E2" w:rsidRPr="00D069CE" w:rsidP="008633E2" w14:paraId="78FFB330" w14:textId="77777777">
      <w:pPr>
        <w:tabs>
          <w:tab w:val="left" w:pos="4320"/>
        </w:tabs>
        <w:rPr>
          <w:szCs w:val="24"/>
        </w:rPr>
      </w:pPr>
      <w:r w:rsidRPr="00D069CE">
        <w:rPr>
          <w:szCs w:val="24"/>
        </w:rPr>
        <w:tab/>
        <w:t>Ambrosia E. Wilson (0096598)</w:t>
      </w:r>
    </w:p>
    <w:p w:rsidR="008633E2" w:rsidRPr="00D069CE" w:rsidP="0061365F" w14:paraId="44474D5D" w14:textId="0A931B71">
      <w:pPr>
        <w:tabs>
          <w:tab w:val="left" w:pos="4320"/>
        </w:tabs>
        <w:rPr>
          <w:szCs w:val="24"/>
        </w:rPr>
      </w:pPr>
      <w:r w:rsidRPr="00D069CE">
        <w:rPr>
          <w:szCs w:val="24"/>
        </w:rPr>
        <w:tab/>
        <w:t>Assistant Consumers’ Counsel</w:t>
      </w:r>
    </w:p>
    <w:p w:rsidR="008633E2" w:rsidRPr="00D069CE" w:rsidP="008633E2" w14:paraId="7E6FAF10" w14:textId="77777777">
      <w:r w:rsidRPr="00D069CE">
        <w:tab/>
      </w:r>
    </w:p>
    <w:p w:rsidR="008633E2" w:rsidRPr="00D069CE" w:rsidP="008633E2" w14:paraId="1D9C078E" w14:textId="77777777">
      <w:pPr>
        <w:rPr>
          <w:b/>
          <w:bCs/>
        </w:rPr>
      </w:pPr>
      <w:r w:rsidRPr="00D069CE">
        <w:tab/>
      </w:r>
      <w:r w:rsidRPr="00D069CE">
        <w:tab/>
      </w:r>
      <w:r w:rsidRPr="00D069CE">
        <w:tab/>
      </w:r>
      <w:r w:rsidRPr="00D069CE">
        <w:tab/>
      </w:r>
      <w:r w:rsidRPr="00D069CE">
        <w:tab/>
      </w:r>
      <w:r w:rsidRPr="00D069CE">
        <w:tab/>
      </w:r>
      <w:r w:rsidRPr="00D069CE">
        <w:rPr>
          <w:b/>
          <w:bCs/>
        </w:rPr>
        <w:t>Office of the Ohio Consumers’ Counsel</w:t>
      </w:r>
    </w:p>
    <w:p w:rsidR="008633E2" w:rsidRPr="00D069CE" w:rsidP="008633E2" w14:paraId="05DA871D" w14:textId="38323573">
      <w:pPr>
        <w:rPr>
          <w:b/>
        </w:rPr>
      </w:pPr>
      <w:r w:rsidRPr="00D069CE">
        <w:tab/>
      </w:r>
      <w:r w:rsidRPr="00D069CE">
        <w:tab/>
      </w:r>
      <w:r w:rsidRPr="00D069CE">
        <w:tab/>
      </w:r>
      <w:r w:rsidRPr="00D069CE">
        <w:tab/>
      </w:r>
      <w:r w:rsidRPr="00D069CE">
        <w:tab/>
      </w:r>
      <w:r w:rsidRPr="00D069CE">
        <w:tab/>
        <w:t xml:space="preserve">65 East State Street, </w:t>
      </w:r>
      <w:r w:rsidR="00B771EF">
        <w:t>Suite 700</w:t>
      </w:r>
    </w:p>
    <w:p w:rsidR="008633E2" w:rsidRPr="00D069CE" w:rsidP="008633E2" w14:paraId="2B7E23AD" w14:textId="77777777">
      <w:pPr>
        <w:rPr>
          <w:b/>
        </w:rPr>
      </w:pPr>
      <w:r w:rsidRPr="00D069CE">
        <w:tab/>
      </w:r>
      <w:r w:rsidRPr="00D069CE">
        <w:tab/>
      </w:r>
      <w:r w:rsidRPr="00D069CE">
        <w:tab/>
      </w:r>
      <w:r w:rsidRPr="00D069CE">
        <w:tab/>
      </w:r>
      <w:r w:rsidRPr="00D069CE">
        <w:tab/>
      </w:r>
      <w:r w:rsidRPr="00D069CE">
        <w:tab/>
        <w:t>Columbus, Ohio 43215-4213</w:t>
      </w:r>
    </w:p>
    <w:p w:rsidR="008633E2" w:rsidRPr="00D069CE" w:rsidP="008633E2" w14:paraId="212B69E8" w14:textId="46D78EDF">
      <w:pPr>
        <w:autoSpaceDE w:val="0"/>
        <w:autoSpaceDN w:val="0"/>
        <w:adjustRightInd w:val="0"/>
        <w:ind w:left="3600" w:firstLine="720"/>
        <w:rPr>
          <w:szCs w:val="24"/>
        </w:rPr>
      </w:pPr>
      <w:r w:rsidRPr="00D069CE">
        <w:rPr>
          <w:szCs w:val="24"/>
        </w:rPr>
        <w:t>Telephone [</w:t>
      </w:r>
      <w:r w:rsidRPr="00D069CE" w:rsidR="00D069CE">
        <w:rPr>
          <w:szCs w:val="24"/>
        </w:rPr>
        <w:t>Botschner O’Brien</w:t>
      </w:r>
      <w:r w:rsidRPr="00D069CE">
        <w:rPr>
          <w:szCs w:val="24"/>
        </w:rPr>
        <w:t>]: (614) 466-</w:t>
      </w:r>
      <w:r w:rsidRPr="00D069CE" w:rsidR="00D069CE">
        <w:rPr>
          <w:szCs w:val="24"/>
        </w:rPr>
        <w:t>9575</w:t>
      </w:r>
      <w:r w:rsidRPr="00D069CE">
        <w:rPr>
          <w:szCs w:val="24"/>
        </w:rPr>
        <w:tab/>
        <w:t>Telephone [Wilson]: (614) 466-1292</w:t>
      </w:r>
    </w:p>
    <w:p w:rsidR="00D069CE" w:rsidRPr="00D069CE" w:rsidP="008633E2" w14:paraId="4F16F347" w14:textId="0C9FEBC4">
      <w:pPr>
        <w:rPr>
          <w:szCs w:val="24"/>
        </w:rPr>
      </w:pPr>
      <w:r w:rsidRPr="00D069CE">
        <w:rPr>
          <w:szCs w:val="24"/>
        </w:rPr>
        <w:tab/>
      </w:r>
      <w:r w:rsidRPr="00D069CE">
        <w:rPr>
          <w:szCs w:val="24"/>
        </w:rPr>
        <w:tab/>
      </w:r>
      <w:r w:rsidRPr="00D069CE">
        <w:rPr>
          <w:szCs w:val="24"/>
        </w:rPr>
        <w:tab/>
      </w:r>
      <w:r w:rsidRPr="00D069CE">
        <w:rPr>
          <w:szCs w:val="24"/>
        </w:rPr>
        <w:tab/>
      </w:r>
      <w:r w:rsidRPr="00D069CE">
        <w:rPr>
          <w:szCs w:val="24"/>
        </w:rPr>
        <w:tab/>
      </w:r>
      <w:r w:rsidRPr="00D069CE">
        <w:rPr>
          <w:szCs w:val="24"/>
        </w:rPr>
        <w:tab/>
      </w:r>
      <w:hyperlink r:id="rId6" w:history="1">
        <w:r w:rsidRPr="00C74EAA" w:rsidR="00B771EF">
          <w:rPr>
            <w:rStyle w:val="Hyperlink"/>
            <w:szCs w:val="24"/>
          </w:rPr>
          <w:t>amy.botschner.obrien@occ.ohio.gov</w:t>
        </w:r>
      </w:hyperlink>
    </w:p>
    <w:p w:rsidR="008633E2" w:rsidRPr="00D069CE" w:rsidP="008633E2" w14:paraId="7A77F8EC" w14:textId="681FA5CE">
      <w:pPr>
        <w:rPr>
          <w:szCs w:val="24"/>
        </w:rPr>
      </w:pPr>
      <w:r w:rsidRPr="00D069CE">
        <w:rPr>
          <w:szCs w:val="24"/>
        </w:rPr>
        <w:tab/>
      </w:r>
      <w:r w:rsidRPr="00D069CE">
        <w:rPr>
          <w:szCs w:val="24"/>
        </w:rPr>
        <w:tab/>
      </w:r>
      <w:r w:rsidRPr="00D069CE">
        <w:rPr>
          <w:szCs w:val="24"/>
        </w:rPr>
        <w:tab/>
      </w:r>
      <w:r w:rsidRPr="00D069CE">
        <w:rPr>
          <w:szCs w:val="24"/>
        </w:rPr>
        <w:tab/>
      </w:r>
      <w:r w:rsidRPr="00D069CE">
        <w:rPr>
          <w:szCs w:val="24"/>
        </w:rPr>
        <w:tab/>
      </w:r>
      <w:r w:rsidRPr="00D069CE">
        <w:rPr>
          <w:szCs w:val="24"/>
        </w:rPr>
        <w:tab/>
      </w:r>
      <w:hyperlink r:id="rId7" w:history="1">
        <w:r w:rsidRPr="00D069CE" w:rsidR="00D069CE">
          <w:rPr>
            <w:rStyle w:val="Hyperlink"/>
            <w:szCs w:val="24"/>
          </w:rPr>
          <w:t>ambrosia.wilson@occ.ohio.gov</w:t>
        </w:r>
      </w:hyperlink>
    </w:p>
    <w:p w:rsidR="00B771EF" w:rsidP="008633E2" w14:paraId="71020F51" w14:textId="155CADB2">
      <w:pPr>
        <w:rPr>
          <w:szCs w:val="24"/>
        </w:rPr>
        <w:sectPr w:rsidSect="002450F8">
          <w:footerReference w:type="default" r:id="rId8"/>
          <w:footerReference w:type="first" r:id="rId9"/>
          <w:pgSz w:w="12240" w:h="15840"/>
          <w:pgMar w:top="1440" w:right="1440" w:bottom="1440" w:left="1440" w:header="720" w:footer="720" w:gutter="0"/>
          <w:pgNumType w:start="2"/>
          <w:cols w:space="720"/>
          <w:titlePg/>
          <w:docGrid w:linePitch="326"/>
        </w:sectPr>
      </w:pPr>
      <w:r>
        <w:rPr>
          <w:szCs w:val="24"/>
        </w:rPr>
        <w:t>November 22, 2021</w:t>
      </w:r>
      <w:r w:rsidRPr="00D069CE" w:rsidR="008633E2">
        <w:rPr>
          <w:szCs w:val="24"/>
        </w:rPr>
        <w:tab/>
      </w:r>
      <w:r w:rsidRPr="00D069CE" w:rsidR="008633E2">
        <w:rPr>
          <w:szCs w:val="24"/>
        </w:rPr>
        <w:tab/>
      </w:r>
      <w:r w:rsidRPr="00D069CE" w:rsidR="008633E2">
        <w:rPr>
          <w:szCs w:val="24"/>
        </w:rPr>
        <w:tab/>
      </w:r>
      <w:r w:rsidRPr="00D069CE" w:rsidR="008633E2">
        <w:rPr>
          <w:szCs w:val="24"/>
        </w:rPr>
        <w:tab/>
        <w:t>(willing to accept service by email)</w:t>
      </w:r>
    </w:p>
    <w:p w:rsidR="008633E2" w:rsidRPr="00D8474B" w:rsidP="00D8474B" w14:paraId="6C89A1F8" w14:textId="47241CEB">
      <w:pPr>
        <w:jc w:val="center"/>
        <w:rPr>
          <w:b/>
          <w:bCs/>
          <w:szCs w:val="24"/>
          <w:u w:val="single"/>
        </w:rPr>
      </w:pPr>
      <w:r w:rsidRPr="00D8474B">
        <w:rPr>
          <w:b/>
          <w:bCs/>
          <w:u w:val="single"/>
        </w:rPr>
        <w:t>TABLE OF CONTENTS</w:t>
      </w:r>
    </w:p>
    <w:p w:rsidR="00630969" w:rsidP="00DC6F51" w14:paraId="7FE5BD1A" w14:textId="54F79DC7">
      <w:pPr>
        <w:tabs>
          <w:tab w:val="left" w:pos="4320"/>
        </w:tabs>
        <w:jc w:val="right"/>
        <w:rPr>
          <w:b/>
          <w:bCs/>
          <w:szCs w:val="24"/>
        </w:rPr>
      </w:pPr>
      <w:r>
        <w:rPr>
          <w:b/>
          <w:bCs/>
          <w:szCs w:val="24"/>
        </w:rPr>
        <w:t>PAGE</w:t>
      </w:r>
    </w:p>
    <w:p w:rsidR="009A50AF" w:rsidP="00DC6F51" w14:paraId="3A6CBD13" w14:textId="77777777">
      <w:pPr>
        <w:tabs>
          <w:tab w:val="left" w:pos="4320"/>
        </w:tabs>
        <w:jc w:val="right"/>
        <w:rPr>
          <w:b/>
          <w:bCs/>
          <w:szCs w:val="24"/>
        </w:rPr>
      </w:pPr>
    </w:p>
    <w:sdt>
      <w:sdtPr>
        <w:id w:val="-819258465"/>
        <w:docPartObj>
          <w:docPartGallery w:val="Table of Contents"/>
          <w:docPartUnique/>
        </w:docPartObj>
      </w:sdtPr>
      <w:sdtEndPr>
        <w:rPr>
          <w:b/>
          <w:bCs/>
          <w:noProof/>
        </w:rPr>
      </w:sdtEndPr>
      <w:sdtContent>
        <w:p w:rsidR="00620F9B" w14:paraId="1BF67F7B" w14:textId="4B84E175">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8492704" w:history="1">
            <w:r w:rsidRPr="00CA7AAC">
              <w:rPr>
                <w:rStyle w:val="Hyperlink"/>
                <w:noProof/>
              </w:rPr>
              <w:t>I.</w:t>
            </w:r>
            <w:r>
              <w:rPr>
                <w:rFonts w:asciiTheme="minorHAnsi" w:eastAsiaTheme="minorEastAsia" w:hAnsiTheme="minorHAnsi" w:cstheme="minorBidi"/>
                <w:noProof/>
                <w:sz w:val="22"/>
                <w:szCs w:val="22"/>
              </w:rPr>
              <w:tab/>
            </w:r>
            <w:r w:rsidRPr="00CA7AAC">
              <w:rPr>
                <w:rStyle w:val="Hyperlink"/>
                <w:noProof/>
              </w:rPr>
              <w:t>INTRODUCTION</w:t>
            </w:r>
            <w:r>
              <w:rPr>
                <w:noProof/>
                <w:webHidden/>
              </w:rPr>
              <w:tab/>
            </w:r>
            <w:r>
              <w:rPr>
                <w:noProof/>
                <w:webHidden/>
              </w:rPr>
              <w:fldChar w:fldCharType="begin"/>
            </w:r>
            <w:r>
              <w:rPr>
                <w:noProof/>
                <w:webHidden/>
              </w:rPr>
              <w:instrText xml:space="preserve"> PAGEREF _Toc88492704 \h </w:instrText>
            </w:r>
            <w:r>
              <w:rPr>
                <w:noProof/>
                <w:webHidden/>
              </w:rPr>
              <w:fldChar w:fldCharType="separate"/>
            </w:r>
            <w:r>
              <w:rPr>
                <w:noProof/>
                <w:webHidden/>
              </w:rPr>
              <w:t>1</w:t>
            </w:r>
            <w:r>
              <w:rPr>
                <w:noProof/>
                <w:webHidden/>
              </w:rPr>
              <w:fldChar w:fldCharType="end"/>
            </w:r>
          </w:hyperlink>
        </w:p>
        <w:p w:rsidR="00620F9B" w14:paraId="5A854AC7" w14:textId="31B6CBAC">
          <w:pPr>
            <w:pStyle w:val="TOC1"/>
            <w:rPr>
              <w:rFonts w:asciiTheme="minorHAnsi" w:eastAsiaTheme="minorEastAsia" w:hAnsiTheme="minorHAnsi" w:cstheme="minorBidi"/>
              <w:noProof/>
              <w:sz w:val="22"/>
              <w:szCs w:val="22"/>
            </w:rPr>
          </w:pPr>
          <w:hyperlink w:anchor="_Toc88492705" w:history="1">
            <w:r w:rsidRPr="00CA7AAC" w:rsidR="00A423E6">
              <w:rPr>
                <w:rStyle w:val="Hyperlink"/>
                <w:noProof/>
              </w:rPr>
              <w:t>II.</w:t>
            </w:r>
            <w:r w:rsidR="00A423E6">
              <w:rPr>
                <w:rFonts w:asciiTheme="minorHAnsi" w:eastAsiaTheme="minorEastAsia" w:hAnsiTheme="minorHAnsi" w:cstheme="minorBidi"/>
                <w:noProof/>
                <w:sz w:val="22"/>
                <w:szCs w:val="22"/>
              </w:rPr>
              <w:tab/>
            </w:r>
            <w:r w:rsidRPr="00CA7AAC" w:rsidR="00A423E6">
              <w:rPr>
                <w:rStyle w:val="Hyperlink"/>
                <w:noProof/>
              </w:rPr>
              <w:t>RECOMMENDATIONS</w:t>
            </w:r>
            <w:r w:rsidR="00A423E6">
              <w:rPr>
                <w:noProof/>
                <w:webHidden/>
              </w:rPr>
              <w:tab/>
            </w:r>
            <w:r w:rsidR="00A423E6">
              <w:rPr>
                <w:noProof/>
                <w:webHidden/>
              </w:rPr>
              <w:fldChar w:fldCharType="begin"/>
            </w:r>
            <w:r w:rsidR="00A423E6">
              <w:rPr>
                <w:noProof/>
                <w:webHidden/>
              </w:rPr>
              <w:instrText xml:space="preserve"> PAGEREF _Toc88492705 \h </w:instrText>
            </w:r>
            <w:r w:rsidR="00A423E6">
              <w:rPr>
                <w:noProof/>
                <w:webHidden/>
              </w:rPr>
              <w:fldChar w:fldCharType="separate"/>
            </w:r>
            <w:r w:rsidR="00A423E6">
              <w:rPr>
                <w:noProof/>
                <w:webHidden/>
              </w:rPr>
              <w:t>2</w:t>
            </w:r>
            <w:r w:rsidR="00A423E6">
              <w:rPr>
                <w:noProof/>
                <w:webHidden/>
              </w:rPr>
              <w:fldChar w:fldCharType="end"/>
            </w:r>
          </w:hyperlink>
        </w:p>
        <w:p w:rsidR="00620F9B" w14:paraId="46929DDE" w14:textId="7B67A222">
          <w:pPr>
            <w:pStyle w:val="TOC2"/>
            <w:rPr>
              <w:rFonts w:asciiTheme="minorHAnsi" w:eastAsiaTheme="minorEastAsia" w:hAnsiTheme="minorHAnsi" w:cstheme="minorBidi"/>
              <w:noProof/>
              <w:sz w:val="22"/>
              <w:szCs w:val="22"/>
            </w:rPr>
          </w:pPr>
          <w:hyperlink w:anchor="_Toc88492706" w:history="1">
            <w:r w:rsidRPr="00CA7AAC" w:rsidR="00A423E6">
              <w:rPr>
                <w:rStyle w:val="Hyperlink"/>
                <w:noProof/>
              </w:rPr>
              <w:t>A.</w:t>
            </w:r>
            <w:r w:rsidR="00A423E6">
              <w:rPr>
                <w:rFonts w:asciiTheme="minorHAnsi" w:eastAsiaTheme="minorEastAsia" w:hAnsiTheme="minorHAnsi" w:cstheme="minorBidi"/>
                <w:noProof/>
                <w:sz w:val="22"/>
                <w:szCs w:val="22"/>
              </w:rPr>
              <w:tab/>
            </w:r>
            <w:r w:rsidRPr="00CA7AAC" w:rsidR="00A423E6">
              <w:rPr>
                <w:rStyle w:val="Hyperlink"/>
                <w:noProof/>
              </w:rPr>
              <w:t>The PUCO should reject the Settlement given the lack of diversity of those who signed it and given that OCC, the statutory representative of Ohio’s residential consumers, opposes it.</w:t>
            </w:r>
            <w:r w:rsidR="00A423E6">
              <w:rPr>
                <w:noProof/>
                <w:webHidden/>
              </w:rPr>
              <w:tab/>
            </w:r>
            <w:r w:rsidR="00A423E6">
              <w:rPr>
                <w:noProof/>
                <w:webHidden/>
              </w:rPr>
              <w:fldChar w:fldCharType="begin"/>
            </w:r>
            <w:r w:rsidR="00A423E6">
              <w:rPr>
                <w:noProof/>
                <w:webHidden/>
              </w:rPr>
              <w:instrText xml:space="preserve"> PAGEREF _Toc88492706 \h </w:instrText>
            </w:r>
            <w:r w:rsidR="00A423E6">
              <w:rPr>
                <w:noProof/>
                <w:webHidden/>
              </w:rPr>
              <w:fldChar w:fldCharType="separate"/>
            </w:r>
            <w:r w:rsidR="00A423E6">
              <w:rPr>
                <w:noProof/>
                <w:webHidden/>
              </w:rPr>
              <w:t>3</w:t>
            </w:r>
            <w:r w:rsidR="00A423E6">
              <w:rPr>
                <w:noProof/>
                <w:webHidden/>
              </w:rPr>
              <w:fldChar w:fldCharType="end"/>
            </w:r>
          </w:hyperlink>
        </w:p>
        <w:p w:rsidR="00620F9B" w14:paraId="01BF24DE" w14:textId="5DFE9ED0">
          <w:pPr>
            <w:pStyle w:val="TOC2"/>
            <w:rPr>
              <w:rFonts w:asciiTheme="minorHAnsi" w:eastAsiaTheme="minorEastAsia" w:hAnsiTheme="minorHAnsi" w:cstheme="minorBidi"/>
              <w:noProof/>
              <w:sz w:val="22"/>
              <w:szCs w:val="22"/>
            </w:rPr>
          </w:pPr>
          <w:hyperlink w:anchor="_Toc88492707" w:history="1">
            <w:r w:rsidRPr="00CA7AAC" w:rsidR="00A423E6">
              <w:rPr>
                <w:rStyle w:val="Hyperlink"/>
                <w:noProof/>
              </w:rPr>
              <w:t>B.</w:t>
            </w:r>
            <w:r w:rsidR="00A423E6">
              <w:rPr>
                <w:rFonts w:asciiTheme="minorHAnsi" w:eastAsiaTheme="minorEastAsia" w:hAnsiTheme="minorHAnsi" w:cstheme="minorBidi"/>
                <w:noProof/>
                <w:sz w:val="22"/>
                <w:szCs w:val="22"/>
              </w:rPr>
              <w:tab/>
            </w:r>
            <w:r w:rsidRPr="00CA7AAC" w:rsidR="00A423E6">
              <w:rPr>
                <w:rStyle w:val="Hyperlink"/>
                <w:noProof/>
              </w:rPr>
              <w:t xml:space="preserve">To protect consumers, the PUCO should reject or modify the Settlement because using Dominion’s outdated and inflated rate of return harms consumers and is </w:t>
            </w:r>
            <w:r w:rsidR="00A423E6">
              <w:rPr>
                <w:rStyle w:val="Hyperlink"/>
                <w:noProof/>
              </w:rPr>
              <w:br/>
            </w:r>
            <w:r w:rsidRPr="00CA7AAC" w:rsidR="00A423E6">
              <w:rPr>
                <w:rStyle w:val="Hyperlink"/>
                <w:noProof/>
              </w:rPr>
              <w:t>not in the public interest.</w:t>
            </w:r>
            <w:r w:rsidR="00A423E6">
              <w:rPr>
                <w:noProof/>
                <w:webHidden/>
              </w:rPr>
              <w:tab/>
            </w:r>
            <w:r w:rsidR="00A423E6">
              <w:rPr>
                <w:noProof/>
                <w:webHidden/>
              </w:rPr>
              <w:fldChar w:fldCharType="begin"/>
            </w:r>
            <w:r w:rsidR="00A423E6">
              <w:rPr>
                <w:noProof/>
                <w:webHidden/>
              </w:rPr>
              <w:instrText xml:space="preserve"> PAGEREF _Toc88492707 \h </w:instrText>
            </w:r>
            <w:r w:rsidR="00A423E6">
              <w:rPr>
                <w:noProof/>
                <w:webHidden/>
              </w:rPr>
              <w:fldChar w:fldCharType="separate"/>
            </w:r>
            <w:r w:rsidR="00A423E6">
              <w:rPr>
                <w:noProof/>
                <w:webHidden/>
              </w:rPr>
              <w:t>4</w:t>
            </w:r>
            <w:r w:rsidR="00A423E6">
              <w:rPr>
                <w:noProof/>
                <w:webHidden/>
              </w:rPr>
              <w:fldChar w:fldCharType="end"/>
            </w:r>
          </w:hyperlink>
        </w:p>
        <w:p w:rsidR="00620F9B" w14:paraId="1CF61C9C" w14:textId="47B543BA">
          <w:pPr>
            <w:pStyle w:val="TOC3"/>
            <w:tabs>
              <w:tab w:val="left" w:pos="2160"/>
              <w:tab w:val="right" w:leader="dot" w:pos="9350"/>
            </w:tabs>
            <w:rPr>
              <w:rFonts w:asciiTheme="minorHAnsi" w:eastAsiaTheme="minorEastAsia" w:hAnsiTheme="minorHAnsi" w:cstheme="minorBidi"/>
              <w:noProof/>
              <w:sz w:val="22"/>
              <w:szCs w:val="22"/>
            </w:rPr>
          </w:pPr>
          <w:hyperlink w:anchor="_Toc88492708" w:history="1">
            <w:r w:rsidRPr="00CA7AAC" w:rsidR="00A423E6">
              <w:rPr>
                <w:rStyle w:val="Hyperlink"/>
                <w:noProof/>
              </w:rPr>
              <w:t>1.</w:t>
            </w:r>
            <w:r w:rsidR="00A423E6">
              <w:rPr>
                <w:rFonts w:asciiTheme="minorHAnsi" w:eastAsiaTheme="minorEastAsia" w:hAnsiTheme="minorHAnsi" w:cstheme="minorBidi"/>
                <w:noProof/>
                <w:sz w:val="22"/>
                <w:szCs w:val="22"/>
              </w:rPr>
              <w:tab/>
            </w:r>
            <w:r w:rsidRPr="00CA7AAC" w:rsidR="00A423E6">
              <w:rPr>
                <w:rStyle w:val="Hyperlink"/>
                <w:noProof/>
              </w:rPr>
              <w:t xml:space="preserve">The Settlement, by requiring consumers to pay a pre-tax rate of return </w:t>
            </w:r>
            <w:r w:rsidR="00A423E6">
              <w:rPr>
                <w:rStyle w:val="Hyperlink"/>
                <w:noProof/>
              </w:rPr>
              <w:br/>
            </w:r>
            <w:r w:rsidRPr="00CA7AAC" w:rsidR="00A423E6">
              <w:rPr>
                <w:rStyle w:val="Hyperlink"/>
                <w:noProof/>
              </w:rPr>
              <w:t>of 9.91%, results in too high profits for Dominion, and will substantially harm consumers and the public interest.</w:t>
            </w:r>
            <w:r w:rsidR="00A423E6">
              <w:rPr>
                <w:noProof/>
                <w:webHidden/>
              </w:rPr>
              <w:tab/>
            </w:r>
            <w:r w:rsidR="00A423E6">
              <w:rPr>
                <w:noProof/>
                <w:webHidden/>
              </w:rPr>
              <w:fldChar w:fldCharType="begin"/>
            </w:r>
            <w:r w:rsidR="00A423E6">
              <w:rPr>
                <w:noProof/>
                <w:webHidden/>
              </w:rPr>
              <w:instrText xml:space="preserve"> PAGEREF _Toc88492708 \h </w:instrText>
            </w:r>
            <w:r w:rsidR="00A423E6">
              <w:rPr>
                <w:noProof/>
                <w:webHidden/>
              </w:rPr>
              <w:fldChar w:fldCharType="separate"/>
            </w:r>
            <w:r w:rsidR="00A423E6">
              <w:rPr>
                <w:noProof/>
                <w:webHidden/>
              </w:rPr>
              <w:t>4</w:t>
            </w:r>
            <w:r w:rsidR="00A423E6">
              <w:rPr>
                <w:noProof/>
                <w:webHidden/>
              </w:rPr>
              <w:fldChar w:fldCharType="end"/>
            </w:r>
          </w:hyperlink>
        </w:p>
        <w:p w:rsidR="00620F9B" w14:paraId="28B45CD9" w14:textId="0FF3FFDA">
          <w:pPr>
            <w:pStyle w:val="TOC3"/>
            <w:tabs>
              <w:tab w:val="left" w:pos="2160"/>
              <w:tab w:val="right" w:leader="dot" w:pos="9350"/>
            </w:tabs>
            <w:rPr>
              <w:rFonts w:asciiTheme="minorHAnsi" w:eastAsiaTheme="minorEastAsia" w:hAnsiTheme="minorHAnsi" w:cstheme="minorBidi"/>
              <w:noProof/>
              <w:sz w:val="22"/>
              <w:szCs w:val="22"/>
            </w:rPr>
          </w:pPr>
          <w:hyperlink w:anchor="_Toc88492709" w:history="1">
            <w:r w:rsidRPr="00CA7AAC" w:rsidR="00A423E6">
              <w:rPr>
                <w:rStyle w:val="Hyperlink"/>
                <w:noProof/>
              </w:rPr>
              <w:t>2.</w:t>
            </w:r>
            <w:r w:rsidR="00A423E6">
              <w:rPr>
                <w:rFonts w:asciiTheme="minorHAnsi" w:eastAsiaTheme="minorEastAsia" w:hAnsiTheme="minorHAnsi" w:cstheme="minorBidi"/>
                <w:noProof/>
                <w:sz w:val="22"/>
                <w:szCs w:val="22"/>
              </w:rPr>
              <w:tab/>
            </w:r>
            <w:r w:rsidRPr="00CA7AAC" w:rsidR="00A423E6">
              <w:rPr>
                <w:rStyle w:val="Hyperlink"/>
                <w:noProof/>
              </w:rPr>
              <w:t xml:space="preserve">The PUCO should reject the proposed pre-tax rate of return of 9.91% proposed by Dominion and instead adopt a pre-tax rate of return of </w:t>
            </w:r>
            <w:r w:rsidR="00A423E6">
              <w:rPr>
                <w:rStyle w:val="Hyperlink"/>
                <w:noProof/>
              </w:rPr>
              <w:br/>
            </w:r>
            <w:r w:rsidRPr="00CA7AAC" w:rsidR="00A423E6">
              <w:rPr>
                <w:rStyle w:val="Hyperlink"/>
                <w:noProof/>
              </w:rPr>
              <w:t>7.20% to protect consumers.</w:t>
            </w:r>
            <w:r w:rsidR="00A423E6">
              <w:rPr>
                <w:noProof/>
                <w:webHidden/>
              </w:rPr>
              <w:tab/>
            </w:r>
            <w:r w:rsidR="00A423E6">
              <w:rPr>
                <w:noProof/>
                <w:webHidden/>
              </w:rPr>
              <w:fldChar w:fldCharType="begin"/>
            </w:r>
            <w:r w:rsidR="00A423E6">
              <w:rPr>
                <w:noProof/>
                <w:webHidden/>
              </w:rPr>
              <w:instrText xml:space="preserve"> PAGEREF _Toc88492709 \h </w:instrText>
            </w:r>
            <w:r w:rsidR="00A423E6">
              <w:rPr>
                <w:noProof/>
                <w:webHidden/>
              </w:rPr>
              <w:fldChar w:fldCharType="separate"/>
            </w:r>
            <w:r w:rsidR="00A423E6">
              <w:rPr>
                <w:noProof/>
                <w:webHidden/>
              </w:rPr>
              <w:t>6</w:t>
            </w:r>
            <w:r w:rsidR="00A423E6">
              <w:rPr>
                <w:noProof/>
                <w:webHidden/>
              </w:rPr>
              <w:fldChar w:fldCharType="end"/>
            </w:r>
          </w:hyperlink>
        </w:p>
        <w:p w:rsidR="00620F9B" w14:paraId="2A5AC8F3" w14:textId="1EAB1A66">
          <w:pPr>
            <w:pStyle w:val="TOC3"/>
            <w:tabs>
              <w:tab w:val="left" w:pos="2160"/>
              <w:tab w:val="right" w:leader="dot" w:pos="9350"/>
            </w:tabs>
            <w:rPr>
              <w:rFonts w:asciiTheme="minorHAnsi" w:eastAsiaTheme="minorEastAsia" w:hAnsiTheme="minorHAnsi" w:cstheme="minorBidi"/>
              <w:noProof/>
              <w:sz w:val="22"/>
              <w:szCs w:val="22"/>
            </w:rPr>
          </w:pPr>
          <w:hyperlink w:anchor="_Toc88492710" w:history="1">
            <w:r w:rsidRPr="00CA7AAC" w:rsidR="00A423E6">
              <w:rPr>
                <w:rStyle w:val="Hyperlink"/>
                <w:noProof/>
              </w:rPr>
              <w:t>3.</w:t>
            </w:r>
            <w:r w:rsidR="00A423E6">
              <w:rPr>
                <w:rFonts w:asciiTheme="minorHAnsi" w:eastAsiaTheme="minorEastAsia" w:hAnsiTheme="minorHAnsi" w:cstheme="minorBidi"/>
                <w:noProof/>
                <w:sz w:val="22"/>
                <w:szCs w:val="22"/>
              </w:rPr>
              <w:tab/>
            </w:r>
            <w:r w:rsidRPr="00CA7AAC" w:rsidR="00A423E6">
              <w:rPr>
                <w:rStyle w:val="Hyperlink"/>
                <w:noProof/>
              </w:rPr>
              <w:t xml:space="preserve">The PUCO should not permit Dominion to add substantial new charges, that are unjust and unreasonable, to consumers’ bills given the </w:t>
            </w:r>
            <w:r w:rsidR="00A423E6">
              <w:rPr>
                <w:rStyle w:val="Hyperlink"/>
                <w:noProof/>
              </w:rPr>
              <w:br/>
            </w:r>
            <w:r w:rsidRPr="00CA7AAC" w:rsidR="00A423E6">
              <w:rPr>
                <w:rStyle w:val="Hyperlink"/>
                <w:noProof/>
              </w:rPr>
              <w:t>challenging economic time experienced by many Ohioans.</w:t>
            </w:r>
            <w:r w:rsidR="00A423E6">
              <w:rPr>
                <w:noProof/>
                <w:webHidden/>
              </w:rPr>
              <w:tab/>
            </w:r>
            <w:r w:rsidR="00A423E6">
              <w:rPr>
                <w:noProof/>
                <w:webHidden/>
              </w:rPr>
              <w:fldChar w:fldCharType="begin"/>
            </w:r>
            <w:r w:rsidR="00A423E6">
              <w:rPr>
                <w:noProof/>
                <w:webHidden/>
              </w:rPr>
              <w:instrText xml:space="preserve"> PAGEREF _Toc88492710 \h </w:instrText>
            </w:r>
            <w:r w:rsidR="00A423E6">
              <w:rPr>
                <w:noProof/>
                <w:webHidden/>
              </w:rPr>
              <w:fldChar w:fldCharType="separate"/>
            </w:r>
            <w:r w:rsidR="00A423E6">
              <w:rPr>
                <w:noProof/>
                <w:webHidden/>
              </w:rPr>
              <w:t>8</w:t>
            </w:r>
            <w:r w:rsidR="00A423E6">
              <w:rPr>
                <w:noProof/>
                <w:webHidden/>
              </w:rPr>
              <w:fldChar w:fldCharType="end"/>
            </w:r>
          </w:hyperlink>
        </w:p>
        <w:p w:rsidR="00620F9B" w14:paraId="77DBDD21" w14:textId="25208A7B">
          <w:pPr>
            <w:pStyle w:val="TOC2"/>
            <w:rPr>
              <w:rFonts w:asciiTheme="minorHAnsi" w:eastAsiaTheme="minorEastAsia" w:hAnsiTheme="minorHAnsi" w:cstheme="minorBidi"/>
              <w:noProof/>
              <w:sz w:val="22"/>
              <w:szCs w:val="22"/>
            </w:rPr>
          </w:pPr>
          <w:hyperlink w:anchor="_Toc88492711" w:history="1">
            <w:r w:rsidRPr="00CA7AAC" w:rsidR="00A423E6">
              <w:rPr>
                <w:rStyle w:val="Hyperlink"/>
                <w:noProof/>
              </w:rPr>
              <w:t>C.</w:t>
            </w:r>
            <w:r w:rsidR="00A423E6">
              <w:rPr>
                <w:rFonts w:asciiTheme="minorHAnsi" w:eastAsiaTheme="minorEastAsia" w:hAnsiTheme="minorHAnsi" w:cstheme="minorBidi"/>
                <w:noProof/>
                <w:sz w:val="22"/>
                <w:szCs w:val="22"/>
              </w:rPr>
              <w:tab/>
            </w:r>
            <w:r w:rsidRPr="00CA7AAC" w:rsidR="00A423E6">
              <w:rPr>
                <w:rStyle w:val="Hyperlink"/>
                <w:noProof/>
              </w:rPr>
              <w:t xml:space="preserve">To protect consumers, the PUCO should reject or modify the Settlement because using an outdated and inflated rate of return violates important regulatory </w:t>
            </w:r>
            <w:r w:rsidR="00A423E6">
              <w:rPr>
                <w:rStyle w:val="Hyperlink"/>
                <w:noProof/>
              </w:rPr>
              <w:br/>
            </w:r>
            <w:r w:rsidRPr="00CA7AAC" w:rsidR="00A423E6">
              <w:rPr>
                <w:rStyle w:val="Hyperlink"/>
                <w:noProof/>
              </w:rPr>
              <w:t>and state principles and practices.</w:t>
            </w:r>
            <w:r w:rsidR="00A423E6">
              <w:rPr>
                <w:noProof/>
                <w:webHidden/>
              </w:rPr>
              <w:tab/>
            </w:r>
            <w:r w:rsidR="00A423E6">
              <w:rPr>
                <w:noProof/>
                <w:webHidden/>
              </w:rPr>
              <w:fldChar w:fldCharType="begin"/>
            </w:r>
            <w:r w:rsidR="00A423E6">
              <w:rPr>
                <w:noProof/>
                <w:webHidden/>
              </w:rPr>
              <w:instrText xml:space="preserve"> PAGEREF _Toc88492711 \h </w:instrText>
            </w:r>
            <w:r w:rsidR="00A423E6">
              <w:rPr>
                <w:noProof/>
                <w:webHidden/>
              </w:rPr>
              <w:fldChar w:fldCharType="separate"/>
            </w:r>
            <w:r w:rsidR="00A423E6">
              <w:rPr>
                <w:noProof/>
                <w:webHidden/>
              </w:rPr>
              <w:t>9</w:t>
            </w:r>
            <w:r w:rsidR="00A423E6">
              <w:rPr>
                <w:noProof/>
                <w:webHidden/>
              </w:rPr>
              <w:fldChar w:fldCharType="end"/>
            </w:r>
          </w:hyperlink>
        </w:p>
        <w:p w:rsidR="00620F9B" w14:paraId="48BF266F" w14:textId="6C6D58D6">
          <w:pPr>
            <w:pStyle w:val="TOC3"/>
            <w:tabs>
              <w:tab w:val="left" w:pos="2160"/>
              <w:tab w:val="right" w:leader="dot" w:pos="9350"/>
            </w:tabs>
            <w:rPr>
              <w:rFonts w:asciiTheme="minorHAnsi" w:eastAsiaTheme="minorEastAsia" w:hAnsiTheme="minorHAnsi" w:cstheme="minorBidi"/>
              <w:noProof/>
              <w:sz w:val="22"/>
              <w:szCs w:val="22"/>
            </w:rPr>
          </w:pPr>
          <w:hyperlink w:anchor="_Toc88492712" w:history="1">
            <w:r w:rsidRPr="00CA7AAC" w:rsidR="00A423E6">
              <w:rPr>
                <w:rStyle w:val="Hyperlink"/>
                <w:noProof/>
              </w:rPr>
              <w:t>1.</w:t>
            </w:r>
            <w:r w:rsidR="00A423E6">
              <w:rPr>
                <w:rFonts w:asciiTheme="minorHAnsi" w:eastAsiaTheme="minorEastAsia" w:hAnsiTheme="minorHAnsi" w:cstheme="minorBidi"/>
                <w:noProof/>
                <w:sz w:val="22"/>
                <w:szCs w:val="22"/>
              </w:rPr>
              <w:tab/>
            </w:r>
            <w:r w:rsidRPr="00CA7AAC" w:rsidR="00A423E6">
              <w:rPr>
                <w:rStyle w:val="Hyperlink"/>
                <w:noProof/>
              </w:rPr>
              <w:t xml:space="preserve">Using an outdated and inflated pre-tax rate of return will increase the revenue requirement for the CEP program and lead to rates that are </w:t>
            </w:r>
            <w:r w:rsidR="00A423E6">
              <w:rPr>
                <w:rStyle w:val="Hyperlink"/>
                <w:noProof/>
              </w:rPr>
              <w:br/>
            </w:r>
            <w:r w:rsidRPr="00CA7AAC" w:rsidR="00A423E6">
              <w:rPr>
                <w:rStyle w:val="Hyperlink"/>
                <w:noProof/>
              </w:rPr>
              <w:t>unjust and unreasonable (and too high) for consumers, which violates important regulatory principles.</w:t>
            </w:r>
            <w:r w:rsidR="00A423E6">
              <w:rPr>
                <w:noProof/>
                <w:webHidden/>
              </w:rPr>
              <w:tab/>
            </w:r>
            <w:r w:rsidR="00A423E6">
              <w:rPr>
                <w:noProof/>
                <w:webHidden/>
              </w:rPr>
              <w:fldChar w:fldCharType="begin"/>
            </w:r>
            <w:r w:rsidR="00A423E6">
              <w:rPr>
                <w:noProof/>
                <w:webHidden/>
              </w:rPr>
              <w:instrText xml:space="preserve"> PAGEREF _Toc88492712 \h </w:instrText>
            </w:r>
            <w:r w:rsidR="00A423E6">
              <w:rPr>
                <w:noProof/>
                <w:webHidden/>
              </w:rPr>
              <w:fldChar w:fldCharType="separate"/>
            </w:r>
            <w:r w:rsidR="00A423E6">
              <w:rPr>
                <w:noProof/>
                <w:webHidden/>
              </w:rPr>
              <w:t>9</w:t>
            </w:r>
            <w:r w:rsidR="00A423E6">
              <w:rPr>
                <w:noProof/>
                <w:webHidden/>
              </w:rPr>
              <w:fldChar w:fldCharType="end"/>
            </w:r>
          </w:hyperlink>
        </w:p>
        <w:p w:rsidR="00620F9B" w14:paraId="68325C72" w14:textId="39F606E0">
          <w:pPr>
            <w:pStyle w:val="TOC3"/>
            <w:tabs>
              <w:tab w:val="left" w:pos="2160"/>
              <w:tab w:val="right" w:leader="dot" w:pos="9350"/>
            </w:tabs>
            <w:rPr>
              <w:rFonts w:asciiTheme="minorHAnsi" w:eastAsiaTheme="minorEastAsia" w:hAnsiTheme="minorHAnsi" w:cstheme="minorBidi"/>
              <w:noProof/>
              <w:sz w:val="22"/>
              <w:szCs w:val="22"/>
            </w:rPr>
          </w:pPr>
          <w:hyperlink w:anchor="_Toc88492713" w:history="1">
            <w:r w:rsidRPr="00CA7AAC" w:rsidR="00A423E6">
              <w:rPr>
                <w:rStyle w:val="Hyperlink"/>
                <w:noProof/>
              </w:rPr>
              <w:t>2.</w:t>
            </w:r>
            <w:r w:rsidR="00A423E6">
              <w:rPr>
                <w:rFonts w:asciiTheme="minorHAnsi" w:eastAsiaTheme="minorEastAsia" w:hAnsiTheme="minorHAnsi" w:cstheme="minorBidi"/>
                <w:noProof/>
                <w:sz w:val="22"/>
                <w:szCs w:val="22"/>
              </w:rPr>
              <w:tab/>
            </w:r>
            <w:r w:rsidRPr="00CA7AAC" w:rsidR="00A423E6">
              <w:rPr>
                <w:rStyle w:val="Hyperlink"/>
                <w:noProof/>
              </w:rPr>
              <w:t xml:space="preserve">Using an outdated and inflated pre-tax rate of return will increase the revenue requirement for the CEP program and lead to rates that are </w:t>
            </w:r>
            <w:r w:rsidR="00A423E6">
              <w:rPr>
                <w:rStyle w:val="Hyperlink"/>
                <w:noProof/>
              </w:rPr>
              <w:br/>
            </w:r>
            <w:r w:rsidRPr="00CA7AAC" w:rsidR="00A423E6">
              <w:rPr>
                <w:rStyle w:val="Hyperlink"/>
                <w:noProof/>
              </w:rPr>
              <w:t>unjust and unreasonable (and too high) for consumers, which violates Ohio law and policies.</w:t>
            </w:r>
            <w:r w:rsidR="00A423E6">
              <w:rPr>
                <w:noProof/>
                <w:webHidden/>
              </w:rPr>
              <w:tab/>
            </w:r>
            <w:r w:rsidR="00A423E6">
              <w:rPr>
                <w:noProof/>
                <w:webHidden/>
              </w:rPr>
              <w:fldChar w:fldCharType="begin"/>
            </w:r>
            <w:r w:rsidR="00A423E6">
              <w:rPr>
                <w:noProof/>
                <w:webHidden/>
              </w:rPr>
              <w:instrText xml:space="preserve"> PAGEREF _Toc88492713 \h </w:instrText>
            </w:r>
            <w:r w:rsidR="00A423E6">
              <w:rPr>
                <w:noProof/>
                <w:webHidden/>
              </w:rPr>
              <w:fldChar w:fldCharType="separate"/>
            </w:r>
            <w:r w:rsidR="00A423E6">
              <w:rPr>
                <w:noProof/>
                <w:webHidden/>
              </w:rPr>
              <w:t>11</w:t>
            </w:r>
            <w:r w:rsidR="00A423E6">
              <w:rPr>
                <w:noProof/>
                <w:webHidden/>
              </w:rPr>
              <w:fldChar w:fldCharType="end"/>
            </w:r>
          </w:hyperlink>
        </w:p>
        <w:p w:rsidR="00620F9B" w14:paraId="6F115F5F" w14:textId="41200F26">
          <w:pPr>
            <w:pStyle w:val="TOC1"/>
            <w:rPr>
              <w:rFonts w:asciiTheme="minorHAnsi" w:eastAsiaTheme="minorEastAsia" w:hAnsiTheme="minorHAnsi" w:cstheme="minorBidi"/>
              <w:noProof/>
              <w:sz w:val="22"/>
              <w:szCs w:val="22"/>
            </w:rPr>
          </w:pPr>
          <w:hyperlink w:anchor="_Toc88492714" w:history="1">
            <w:r w:rsidRPr="00CA7AAC" w:rsidR="00A423E6">
              <w:rPr>
                <w:rStyle w:val="Hyperlink"/>
                <w:noProof/>
              </w:rPr>
              <w:t>III.</w:t>
            </w:r>
            <w:r w:rsidR="00A423E6">
              <w:rPr>
                <w:rFonts w:asciiTheme="minorHAnsi" w:eastAsiaTheme="minorEastAsia" w:hAnsiTheme="minorHAnsi" w:cstheme="minorBidi"/>
                <w:noProof/>
                <w:sz w:val="22"/>
                <w:szCs w:val="22"/>
              </w:rPr>
              <w:tab/>
            </w:r>
            <w:r w:rsidRPr="00CA7AAC" w:rsidR="00A423E6">
              <w:rPr>
                <w:rStyle w:val="Hyperlink"/>
                <w:noProof/>
              </w:rPr>
              <w:t>CONCLUSION</w:t>
            </w:r>
            <w:r w:rsidR="00A423E6">
              <w:rPr>
                <w:noProof/>
                <w:webHidden/>
              </w:rPr>
              <w:tab/>
            </w:r>
            <w:r w:rsidR="00A423E6">
              <w:rPr>
                <w:noProof/>
                <w:webHidden/>
              </w:rPr>
              <w:fldChar w:fldCharType="begin"/>
            </w:r>
            <w:r w:rsidR="00A423E6">
              <w:rPr>
                <w:noProof/>
                <w:webHidden/>
              </w:rPr>
              <w:instrText xml:space="preserve"> PAGEREF _Toc88492714 \h </w:instrText>
            </w:r>
            <w:r w:rsidR="00A423E6">
              <w:rPr>
                <w:noProof/>
                <w:webHidden/>
              </w:rPr>
              <w:fldChar w:fldCharType="separate"/>
            </w:r>
            <w:r w:rsidR="00A423E6">
              <w:rPr>
                <w:noProof/>
                <w:webHidden/>
              </w:rPr>
              <w:t>12</w:t>
            </w:r>
            <w:r w:rsidR="00A423E6">
              <w:rPr>
                <w:noProof/>
                <w:webHidden/>
              </w:rPr>
              <w:fldChar w:fldCharType="end"/>
            </w:r>
          </w:hyperlink>
        </w:p>
        <w:p w:rsidR="00A85520" w14:paraId="1996F798" w14:textId="0884B72D">
          <w:r>
            <w:rPr>
              <w:b/>
              <w:bCs/>
              <w:noProof/>
            </w:rPr>
            <w:fldChar w:fldCharType="end"/>
          </w:r>
        </w:p>
      </w:sdtContent>
    </w:sdt>
    <w:p w:rsidR="00651A7C" w:rsidP="00D8474B" w14:paraId="6123D5B2" w14:textId="77777777">
      <w:pPr>
        <w:pStyle w:val="HTMLPreformatted"/>
        <w:jc w:val="center"/>
        <w:rPr>
          <w:rFonts w:ascii="Times New Roman" w:hAnsi="Times New Roman" w:cs="Times New Roman"/>
          <w:b/>
          <w:bCs/>
          <w:sz w:val="24"/>
          <w:szCs w:val="24"/>
        </w:rPr>
        <w:sectPr w:rsidSect="002644BF">
          <w:footerReference w:type="first" r:id="rId10"/>
          <w:pgSz w:w="12240" w:h="15840"/>
          <w:pgMar w:top="1440" w:right="1440" w:bottom="1440" w:left="1440" w:header="720" w:footer="720" w:gutter="0"/>
          <w:pgNumType w:fmt="lowerRoman" w:start="1"/>
          <w:cols w:space="720"/>
          <w:titlePg/>
          <w:docGrid w:linePitch="326"/>
        </w:sectPr>
      </w:pPr>
    </w:p>
    <w:p w:rsidR="00D8474B" w:rsidRPr="00A45537" w:rsidP="00D8474B" w14:paraId="72F1483F" w14:textId="3C81F86A">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D8474B" w:rsidRPr="00A45537" w:rsidP="00D8474B" w14:paraId="2D6D8516"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D8474B" w:rsidRPr="00A45537" w:rsidP="00D8474B" w14:paraId="5D975B8E" w14:textId="77777777">
      <w:pPr>
        <w:pStyle w:val="HTMLPreformatted"/>
        <w:rPr>
          <w:rFonts w:ascii="Times New Roman" w:hAnsi="Times New Roman" w:cs="Times New Roman"/>
          <w:sz w:val="24"/>
          <w:szCs w:val="24"/>
        </w:rPr>
      </w:pPr>
    </w:p>
    <w:tbl>
      <w:tblPr>
        <w:tblW w:w="9126" w:type="dxa"/>
        <w:tblLook w:val="01E0"/>
      </w:tblPr>
      <w:tblGrid>
        <w:gridCol w:w="9360"/>
      </w:tblGrid>
      <w:tr w14:paraId="3C1DDA1D" w14:textId="77777777" w:rsidTr="002644BF">
        <w:tblPrEx>
          <w:tblW w:w="9126" w:type="dxa"/>
          <w:tblLook w:val="01E0"/>
        </w:tblPrEx>
        <w:trPr>
          <w:trHeight w:val="807"/>
        </w:trPr>
        <w:tc>
          <w:tcPr>
            <w:tcW w:w="9126" w:type="dxa"/>
            <w:shd w:val="clear" w:color="auto" w:fill="auto"/>
          </w:tcPr>
          <w:tbl>
            <w:tblPr>
              <w:tblW w:w="9161" w:type="dxa"/>
              <w:jc w:val="center"/>
              <w:tblLook w:val="01E0"/>
            </w:tblPr>
            <w:tblGrid>
              <w:gridCol w:w="4408"/>
              <w:gridCol w:w="296"/>
              <w:gridCol w:w="4457"/>
            </w:tblGrid>
            <w:tr w14:paraId="3FD2DFBA" w14:textId="77777777" w:rsidTr="002644BF">
              <w:tblPrEx>
                <w:tblW w:w="9161" w:type="dxa"/>
                <w:jc w:val="center"/>
                <w:tblLook w:val="01E0"/>
              </w:tblPrEx>
              <w:trPr>
                <w:trHeight w:val="807"/>
                <w:jc w:val="center"/>
              </w:trPr>
              <w:tc>
                <w:tcPr>
                  <w:tcW w:w="4408" w:type="dxa"/>
                  <w:shd w:val="clear" w:color="auto" w:fill="auto"/>
                </w:tcPr>
                <w:p w:rsidR="002644BF" w:rsidRPr="00D069CE" w:rsidP="00337218" w14:paraId="12A04A21" w14:textId="2B7262A9">
                  <w:pPr>
                    <w:autoSpaceDE w:val="0"/>
                    <w:autoSpaceDN w:val="0"/>
                    <w:adjustRightInd w:val="0"/>
                  </w:pPr>
                  <w:r w:rsidRPr="00D069CE">
                    <w:t>In the Matter of the Application of the East Ohio Gas Company d/b/a Dominion Energy Ohio for Approval of an Alternative Form of Regulation to Continue its Pipeline Infrastructure Replacement Program.</w:t>
                  </w:r>
                </w:p>
              </w:tc>
              <w:tc>
                <w:tcPr>
                  <w:tcW w:w="296" w:type="dxa"/>
                  <w:shd w:val="clear" w:color="auto" w:fill="auto"/>
                </w:tcPr>
                <w:p w:rsidR="002644BF" w:rsidRPr="00D069CE" w:rsidP="00337218" w14:paraId="2A488AEA" w14:textId="77777777">
                  <w:pPr>
                    <w:pStyle w:val="HTMLPreformatted"/>
                    <w:rPr>
                      <w:rFonts w:ascii="Times New Roman" w:hAnsi="Times New Roman"/>
                      <w:sz w:val="24"/>
                    </w:rPr>
                  </w:pPr>
                  <w:r w:rsidRPr="00D069CE">
                    <w:rPr>
                      <w:rFonts w:ascii="Times New Roman" w:hAnsi="Times New Roman"/>
                      <w:sz w:val="24"/>
                    </w:rPr>
                    <w:t>)</w:t>
                  </w:r>
                </w:p>
                <w:p w:rsidR="002644BF" w:rsidRPr="00D069CE" w:rsidP="00337218" w14:paraId="3C05EBF4" w14:textId="77777777">
                  <w:pPr>
                    <w:pStyle w:val="HTMLPreformatted"/>
                    <w:rPr>
                      <w:rFonts w:ascii="Times New Roman" w:hAnsi="Times New Roman"/>
                      <w:sz w:val="24"/>
                    </w:rPr>
                  </w:pPr>
                  <w:r w:rsidRPr="00D069CE">
                    <w:rPr>
                      <w:rFonts w:ascii="Times New Roman" w:hAnsi="Times New Roman"/>
                      <w:sz w:val="24"/>
                    </w:rPr>
                    <w:t>)</w:t>
                  </w:r>
                </w:p>
                <w:p w:rsidR="002644BF" w:rsidRPr="00D069CE" w:rsidP="00337218" w14:paraId="4A39CB47" w14:textId="77777777">
                  <w:pPr>
                    <w:pStyle w:val="HTMLPreformatted"/>
                    <w:rPr>
                      <w:rFonts w:ascii="Times New Roman" w:hAnsi="Times New Roman"/>
                      <w:sz w:val="24"/>
                    </w:rPr>
                  </w:pPr>
                  <w:r w:rsidRPr="00D069CE">
                    <w:rPr>
                      <w:rFonts w:ascii="Times New Roman" w:hAnsi="Times New Roman"/>
                      <w:sz w:val="24"/>
                    </w:rPr>
                    <w:t>)</w:t>
                  </w:r>
                </w:p>
                <w:p w:rsidR="002644BF" w:rsidRPr="00D069CE" w:rsidP="00337218" w14:paraId="26384241" w14:textId="77777777">
                  <w:pPr>
                    <w:pStyle w:val="HTMLPreformatted"/>
                    <w:rPr>
                      <w:rFonts w:ascii="Times New Roman" w:hAnsi="Times New Roman"/>
                      <w:sz w:val="24"/>
                    </w:rPr>
                  </w:pPr>
                  <w:r w:rsidRPr="00D069CE">
                    <w:rPr>
                      <w:rFonts w:ascii="Times New Roman" w:hAnsi="Times New Roman"/>
                      <w:sz w:val="24"/>
                    </w:rPr>
                    <w:t>)</w:t>
                  </w:r>
                </w:p>
                <w:p w:rsidR="002644BF" w:rsidP="00337218" w14:paraId="4CFCCB67" w14:textId="77777777">
                  <w:pPr>
                    <w:pStyle w:val="HTMLPreformatted"/>
                    <w:rPr>
                      <w:rFonts w:ascii="Times New Roman" w:hAnsi="Times New Roman"/>
                      <w:sz w:val="24"/>
                      <w:szCs w:val="24"/>
                    </w:rPr>
                  </w:pPr>
                  <w:r w:rsidRPr="00D069CE">
                    <w:rPr>
                      <w:rFonts w:ascii="Times New Roman" w:hAnsi="Times New Roman"/>
                      <w:sz w:val="24"/>
                      <w:szCs w:val="24"/>
                    </w:rPr>
                    <w:t>)</w:t>
                  </w:r>
                </w:p>
                <w:p w:rsidR="002644BF" w:rsidRPr="00D069CE" w:rsidP="00337218" w14:paraId="57527AD3" w14:textId="1913FDC5">
                  <w:pPr>
                    <w:pStyle w:val="HTMLPreformatted"/>
                    <w:rPr>
                      <w:rFonts w:ascii="Times New Roman" w:hAnsi="Times New Roman" w:cs="Times New Roman"/>
                      <w:sz w:val="24"/>
                      <w:szCs w:val="24"/>
                    </w:rPr>
                  </w:pPr>
                  <w:r>
                    <w:rPr>
                      <w:rFonts w:ascii="Times New Roman" w:hAnsi="Times New Roman"/>
                      <w:sz w:val="24"/>
                      <w:szCs w:val="24"/>
                    </w:rPr>
                    <w:t>)</w:t>
                  </w:r>
                </w:p>
              </w:tc>
              <w:tc>
                <w:tcPr>
                  <w:tcW w:w="4457" w:type="dxa"/>
                  <w:shd w:val="clear" w:color="auto" w:fill="auto"/>
                </w:tcPr>
                <w:p w:rsidR="002644BF" w:rsidRPr="00D069CE" w:rsidP="00337218" w14:paraId="123EC7DF" w14:textId="77777777">
                  <w:pPr>
                    <w:pStyle w:val="HTMLPreformatted"/>
                    <w:rPr>
                      <w:rFonts w:ascii="Times New Roman" w:hAnsi="Times New Roman"/>
                      <w:sz w:val="24"/>
                    </w:rPr>
                  </w:pPr>
                </w:p>
                <w:p w:rsidR="002644BF" w:rsidRPr="00D069CE" w:rsidP="00337218" w14:paraId="0D8679FA" w14:textId="77777777">
                  <w:pPr>
                    <w:pStyle w:val="HTMLPreformatted"/>
                    <w:rPr>
                      <w:rFonts w:ascii="Times New Roman" w:hAnsi="Times New Roman" w:cs="Times New Roman"/>
                      <w:sz w:val="24"/>
                      <w:szCs w:val="24"/>
                    </w:rPr>
                  </w:pPr>
                </w:p>
                <w:p w:rsidR="002644BF" w:rsidRPr="00D069CE" w:rsidP="00337218" w14:paraId="7B0215A1" w14:textId="13336E7F">
                  <w:pPr>
                    <w:pStyle w:val="HTMLPreformatted"/>
                    <w:rPr>
                      <w:rFonts w:ascii="Times New Roman" w:hAnsi="Times New Roman"/>
                      <w:sz w:val="24"/>
                    </w:rPr>
                  </w:pPr>
                  <w:r w:rsidRPr="00D069CE">
                    <w:rPr>
                      <w:rFonts w:ascii="Times New Roman" w:hAnsi="Times New Roman"/>
                      <w:sz w:val="24"/>
                    </w:rPr>
                    <w:t>Case No. 20-1634-GA-ALT</w:t>
                  </w:r>
                </w:p>
                <w:p w:rsidR="002644BF" w:rsidRPr="00D069CE" w:rsidP="00337218" w14:paraId="1A04A8F8" w14:textId="77777777">
                  <w:pPr>
                    <w:pStyle w:val="HTMLPreformatted"/>
                    <w:rPr>
                      <w:rFonts w:ascii="Times New Roman" w:hAnsi="Times New Roman" w:cs="Times New Roman"/>
                      <w:sz w:val="24"/>
                      <w:szCs w:val="24"/>
                    </w:rPr>
                  </w:pPr>
                </w:p>
              </w:tc>
            </w:tr>
          </w:tbl>
          <w:p w:rsidR="002644BF" w:rsidRPr="00A45537" w:rsidP="00337218" w14:paraId="17DDADCD" w14:textId="77777777">
            <w:pPr>
              <w:pStyle w:val="HTMLPreformatted"/>
              <w:rPr>
                <w:rFonts w:ascii="Times New Roman" w:hAnsi="Times New Roman" w:cs="Times New Roman"/>
                <w:sz w:val="24"/>
                <w:szCs w:val="24"/>
              </w:rPr>
            </w:pPr>
          </w:p>
        </w:tc>
      </w:tr>
    </w:tbl>
    <w:p w:rsidR="00D8474B" w:rsidRPr="00A45537" w:rsidP="00D8474B" w14:paraId="60455277" w14:textId="77777777">
      <w:pPr>
        <w:pStyle w:val="HTMLPreformatted"/>
        <w:rPr>
          <w:rFonts w:ascii="Times New Roman" w:hAnsi="Times New Roman" w:cs="Times New Roman"/>
          <w:sz w:val="24"/>
          <w:szCs w:val="24"/>
        </w:rPr>
      </w:pPr>
    </w:p>
    <w:p w:rsidR="00D8474B" w:rsidRPr="00A45537" w:rsidP="00D8474B" w14:paraId="5E798774" w14:textId="77777777">
      <w:pPr>
        <w:pStyle w:val="HTMLPreformatted"/>
        <w:pBdr>
          <w:top w:val="single" w:sz="12" w:space="1" w:color="auto"/>
        </w:pBdr>
        <w:rPr>
          <w:rFonts w:ascii="Times New Roman" w:hAnsi="Times New Roman" w:cs="Times New Roman"/>
          <w:sz w:val="24"/>
          <w:szCs w:val="24"/>
        </w:rPr>
      </w:pPr>
    </w:p>
    <w:p w:rsidR="00D8474B" w:rsidRPr="00A45537" w:rsidP="00D8474B" w14:paraId="774E6061" w14:textId="77777777">
      <w:pPr>
        <w:jc w:val="center"/>
        <w:rPr>
          <w:b/>
          <w:bCs/>
          <w:szCs w:val="24"/>
        </w:rPr>
      </w:pPr>
      <w:r>
        <w:rPr>
          <w:b/>
          <w:bCs/>
          <w:szCs w:val="24"/>
        </w:rPr>
        <w:t>INITIAL</w:t>
      </w:r>
      <w:r w:rsidRPr="00A45537">
        <w:rPr>
          <w:b/>
          <w:bCs/>
          <w:szCs w:val="24"/>
        </w:rPr>
        <w:t xml:space="preserve"> BRIEF</w:t>
      </w:r>
      <w:r>
        <w:rPr>
          <w:b/>
          <w:bCs/>
          <w:szCs w:val="24"/>
        </w:rPr>
        <w:t xml:space="preserve"> FOR CONSUMER PROTECTION</w:t>
      </w:r>
    </w:p>
    <w:p w:rsidR="00D8474B" w:rsidRPr="00A45537" w:rsidP="00D8474B" w14:paraId="14D45104" w14:textId="77777777">
      <w:pPr>
        <w:jc w:val="center"/>
        <w:rPr>
          <w:b/>
          <w:bCs/>
          <w:szCs w:val="24"/>
        </w:rPr>
      </w:pPr>
      <w:r w:rsidRPr="00A45537">
        <w:rPr>
          <w:b/>
          <w:bCs/>
          <w:szCs w:val="24"/>
        </w:rPr>
        <w:t>BY</w:t>
      </w:r>
    </w:p>
    <w:p w:rsidR="00D8474B" w:rsidRPr="00A45537" w:rsidP="00D8474B" w14:paraId="3034CFF6" w14:textId="77777777">
      <w:pPr>
        <w:jc w:val="center"/>
        <w:rPr>
          <w:b/>
          <w:bCs/>
          <w:szCs w:val="24"/>
        </w:rPr>
      </w:pPr>
      <w:r w:rsidRPr="00A45537">
        <w:rPr>
          <w:b/>
          <w:bCs/>
          <w:szCs w:val="24"/>
        </w:rPr>
        <w:t>OFFICE OF THE OHIO CONSUMERS’ COUNSEL</w:t>
      </w:r>
    </w:p>
    <w:p w:rsidR="00D8474B" w:rsidRPr="00A45537" w:rsidP="00D8474B" w14:paraId="751ACB1C" w14:textId="77777777">
      <w:pPr>
        <w:pBdr>
          <w:bottom w:val="single" w:sz="12" w:space="1" w:color="auto"/>
        </w:pBdr>
        <w:tabs>
          <w:tab w:val="left" w:pos="4320"/>
        </w:tabs>
        <w:rPr>
          <w:szCs w:val="24"/>
        </w:rPr>
      </w:pPr>
    </w:p>
    <w:p w:rsidR="00D8474B" w:rsidP="00D8474B" w14:paraId="1FEEDA99" w14:textId="77777777">
      <w:pPr>
        <w:tabs>
          <w:tab w:val="left" w:pos="4320"/>
        </w:tabs>
        <w:rPr>
          <w:szCs w:val="24"/>
        </w:rPr>
      </w:pPr>
    </w:p>
    <w:p w:rsidR="0069402D" w:rsidRPr="00A45537" w:rsidP="00CD2C14" w14:paraId="2716EF47" w14:textId="19DD969A">
      <w:pPr>
        <w:pStyle w:val="Heading1"/>
      </w:pPr>
      <w:bookmarkStart w:id="1" w:name="_Toc74571227"/>
      <w:bookmarkStart w:id="2" w:name="_Toc88492704"/>
      <w:r w:rsidRPr="00A45537">
        <w:t>INTRODUCTION</w:t>
      </w:r>
      <w:bookmarkEnd w:id="1"/>
      <w:bookmarkEnd w:id="2"/>
    </w:p>
    <w:p w:rsidR="00955F2A" w:rsidP="00955F2A" w14:paraId="60BE3B24" w14:textId="7B7242F9">
      <w:pPr>
        <w:spacing w:line="480" w:lineRule="auto"/>
        <w:ind w:firstLine="720"/>
      </w:pPr>
      <w:r>
        <w:t>T</w:t>
      </w:r>
      <w:r w:rsidR="00E601D7">
        <w:t>he</w:t>
      </w:r>
      <w:r w:rsidRPr="00340405" w:rsidR="00903BFC">
        <w:t xml:space="preserve"> PUCO</w:t>
      </w:r>
      <w:r>
        <w:rPr>
          <w:rStyle w:val="FootnoteReference"/>
        </w:rPr>
        <w:footnoteReference w:id="2"/>
      </w:r>
      <w:r w:rsidRPr="00340405" w:rsidR="00903BFC">
        <w:t xml:space="preserve"> should protect consumers by rejecting </w:t>
      </w:r>
      <w:r w:rsidR="00903BFC">
        <w:t xml:space="preserve">or modifying </w:t>
      </w:r>
      <w:r w:rsidRPr="00340405" w:rsidR="00903BFC">
        <w:t>the Stipulation and Recommendation (“Settlement”) filed by Dominion Energy Ohio (“Dominion”</w:t>
      </w:r>
      <w:r w:rsidR="00CC4E28">
        <w:t xml:space="preserve"> or </w:t>
      </w:r>
      <w:r w:rsidR="00D620B8">
        <w:t>“</w:t>
      </w:r>
      <w:r w:rsidR="00CC4E28">
        <w:t>Utility</w:t>
      </w:r>
      <w:r w:rsidR="00D620B8">
        <w:t>”</w:t>
      </w:r>
      <w:r w:rsidRPr="00340405" w:rsidR="00903BFC">
        <w:t>)</w:t>
      </w:r>
      <w:r w:rsidR="00903BFC">
        <w:t xml:space="preserve"> </w:t>
      </w:r>
      <w:r w:rsidRPr="00340405" w:rsidR="00903BFC">
        <w:t xml:space="preserve">on </w:t>
      </w:r>
      <w:r w:rsidR="00D620B8">
        <w:t xml:space="preserve">October 12, 2021 </w:t>
      </w:r>
      <w:r w:rsidR="00337218">
        <w:t xml:space="preserve">regarding Dominion’s </w:t>
      </w:r>
      <w:r w:rsidR="00CF1CE4">
        <w:t xml:space="preserve">Pipeline Infrastructure Replacement </w:t>
      </w:r>
      <w:r w:rsidR="00337218">
        <w:t>Rider (“</w:t>
      </w:r>
      <w:r w:rsidR="00CF1CE4">
        <w:t xml:space="preserve">PIR </w:t>
      </w:r>
      <w:r w:rsidR="00337218">
        <w:t>charge”)</w:t>
      </w:r>
      <w:r w:rsidRPr="00340405" w:rsidR="00903BFC">
        <w:t>.</w:t>
      </w:r>
      <w:r>
        <w:rPr>
          <w:rStyle w:val="FootnoteReference"/>
        </w:rPr>
        <w:footnoteReference w:id="3"/>
      </w:r>
      <w:r w:rsidR="00903BFC">
        <w:t xml:space="preserve"> </w:t>
      </w:r>
      <w:r w:rsidR="003F002C">
        <w:t>It is unjust and unreasonable to force Dominion’s 1.1 million residential consumers</w:t>
      </w:r>
      <w:r w:rsidR="00A15242">
        <w:t xml:space="preserve"> to</w:t>
      </w:r>
      <w:r w:rsidR="003F002C">
        <w:t xml:space="preserve"> pay </w:t>
      </w:r>
      <w:r w:rsidR="00A15242">
        <w:t>the 13</w:t>
      </w:r>
      <w:r w:rsidR="00F6776F">
        <w:t>-</w:t>
      </w:r>
      <w:r w:rsidR="00A15242">
        <w:t>year-old</w:t>
      </w:r>
      <w:r w:rsidR="00903BFC">
        <w:t xml:space="preserve"> </w:t>
      </w:r>
      <w:r w:rsidR="00A15242">
        <w:t xml:space="preserve">and excessive </w:t>
      </w:r>
      <w:r w:rsidR="00903BFC">
        <w:t xml:space="preserve">9.91% pre-tax rate of return </w:t>
      </w:r>
      <w:r w:rsidR="0017233A">
        <w:t xml:space="preserve">included </w:t>
      </w:r>
      <w:r w:rsidR="00E376F7">
        <w:t>in the Settlement</w:t>
      </w:r>
      <w:r w:rsidR="00903BFC">
        <w:t>.</w:t>
      </w:r>
      <w:r>
        <w:rPr>
          <w:rStyle w:val="FootnoteReference"/>
        </w:rPr>
        <w:footnoteReference w:id="4"/>
      </w:r>
      <w:r w:rsidR="00903BFC">
        <w:t xml:space="preserve"> </w:t>
      </w:r>
      <w:r>
        <w:t xml:space="preserve">The stale rate of return will result in Dominion earning profits that are too high for current financial market conditions and allow the Utility to collect a cost of debt from customers that is </w:t>
      </w:r>
      <w:r w:rsidR="00413EE5">
        <w:t xml:space="preserve">nearly three </w:t>
      </w:r>
      <w:r>
        <w:t xml:space="preserve">times </w:t>
      </w:r>
      <w:r w:rsidR="0031141D">
        <w:t>its</w:t>
      </w:r>
      <w:r>
        <w:t xml:space="preserve"> actual cost of debt. </w:t>
      </w:r>
    </w:p>
    <w:p w:rsidR="00903BFC" w:rsidP="00903BFC" w14:paraId="23F1544E" w14:textId="4930FEDC">
      <w:pPr>
        <w:spacing w:line="480" w:lineRule="auto"/>
        <w:ind w:firstLine="720"/>
      </w:pPr>
      <w:r>
        <w:t xml:space="preserve">Dominion seeks to continue its pipeline infrastructure replacement program and </w:t>
      </w:r>
      <w:r w:rsidR="00EE21A6">
        <w:t xml:space="preserve">charge for collecting </w:t>
      </w:r>
      <w:r>
        <w:t>cost</w:t>
      </w:r>
      <w:r w:rsidR="00EE21A6">
        <w:t>s from consumers</w:t>
      </w:r>
      <w:r>
        <w:t>, filing an application for an alternative rate plan. T</w:t>
      </w:r>
      <w:r w:rsidR="00337218">
        <w:t xml:space="preserve">he statutes governing </w:t>
      </w:r>
      <w:r w:rsidR="00D069CE">
        <w:t>alternative rate plans</w:t>
      </w:r>
      <w:r w:rsidR="00337218">
        <w:t xml:space="preserve"> provide that the PUCO shall approve a </w:t>
      </w:r>
      <w:r w:rsidR="00D069CE">
        <w:t xml:space="preserve">program filed under the plan </w:t>
      </w:r>
      <w:r w:rsidR="00337218">
        <w:t xml:space="preserve">only if it finds the program to be </w:t>
      </w:r>
      <w:r w:rsidRPr="000A1934" w:rsidR="00337218">
        <w:rPr>
          <w:i/>
          <w:iCs/>
        </w:rPr>
        <w:t>just and reasonable</w:t>
      </w:r>
      <w:r w:rsidR="00337218">
        <w:t>.</w:t>
      </w:r>
      <w:r>
        <w:rPr>
          <w:rStyle w:val="FootnoteReference"/>
        </w:rPr>
        <w:footnoteReference w:id="5"/>
      </w:r>
      <w:r w:rsidRPr="0072615D" w:rsidR="00337218">
        <w:t xml:space="preserve"> </w:t>
      </w:r>
      <w:r w:rsidR="00337218">
        <w:t>Using Dominion’s inflated and outdated rate of return (for profits and debt)</w:t>
      </w:r>
      <w:r w:rsidR="0031141D">
        <w:t xml:space="preserve">, as proposed in the Settlement, </w:t>
      </w:r>
      <w:r w:rsidR="00337218">
        <w:t xml:space="preserve">harms consumers by making them pay too much, a result that is neither just nor reasonable. </w:t>
      </w:r>
      <w:r w:rsidR="00E77B89">
        <w:t>T</w:t>
      </w:r>
      <w:r>
        <w:t xml:space="preserve">he PUCO should </w:t>
      </w:r>
      <w:r w:rsidR="00E77B89">
        <w:t xml:space="preserve">protect residential consumers </w:t>
      </w:r>
      <w:r w:rsidR="00A6087D">
        <w:t>by rejecting</w:t>
      </w:r>
      <w:r w:rsidR="00932457">
        <w:t xml:space="preserve"> or modifying the</w:t>
      </w:r>
      <w:r w:rsidR="00A6087D">
        <w:t xml:space="preserve"> Settlement</w:t>
      </w:r>
      <w:r w:rsidR="00CF1CE4">
        <w:t xml:space="preserve"> as recommended by OCC</w:t>
      </w:r>
      <w:r w:rsidR="00337218">
        <w:t>.</w:t>
      </w:r>
      <w:r>
        <w:rPr>
          <w:rStyle w:val="FootnoteReference"/>
        </w:rPr>
        <w:footnoteReference w:id="6"/>
      </w:r>
      <w:r w:rsidR="001572D1">
        <w:t xml:space="preserve"> </w:t>
      </w:r>
    </w:p>
    <w:p w:rsidR="0031141D" w:rsidRPr="00340405" w:rsidP="002644BF" w14:paraId="548F48F3" w14:textId="77777777">
      <w:pPr>
        <w:ind w:firstLine="720"/>
      </w:pPr>
    </w:p>
    <w:p w:rsidR="00A837AD" w:rsidP="00F10C1E" w14:paraId="089091C6" w14:textId="69C38F2F">
      <w:pPr>
        <w:pStyle w:val="Heading1"/>
      </w:pPr>
      <w:bookmarkStart w:id="3" w:name="_Toc74571228"/>
      <w:bookmarkStart w:id="4" w:name="_Toc88492705"/>
      <w:r w:rsidRPr="00A45537">
        <w:t>RECOMMENDATIONS</w:t>
      </w:r>
      <w:bookmarkEnd w:id="3"/>
      <w:bookmarkEnd w:id="4"/>
    </w:p>
    <w:p w:rsidR="00160958" w:rsidP="00F10005" w14:paraId="7484E03E" w14:textId="173F84FD">
      <w:pPr>
        <w:pStyle w:val="BodyTextIndent3"/>
        <w:spacing w:line="480" w:lineRule="auto"/>
      </w:pPr>
      <w:r>
        <w:t>The Settlement does not pass the PUCO’s three-part test for settlements</w:t>
      </w:r>
      <w:r w:rsidR="000170B1">
        <w:t xml:space="preserve">. </w:t>
      </w:r>
      <w:r>
        <w:t xml:space="preserve">Under the three-prong test, the PUCO considers: (1) whether the settlement is the product of serious bargaining among capable, knowledgeable parties </w:t>
      </w:r>
      <w:r w:rsidR="00925273">
        <w:t>representing</w:t>
      </w:r>
      <w:r>
        <w:t xml:space="preserve"> a diversity of interests; (2) whether the settlement, as a package, benefit</w:t>
      </w:r>
      <w:r w:rsidR="00346565">
        <w:t>s</w:t>
      </w:r>
      <w:r>
        <w:t xml:space="preserve"> consumers and the public interest; and (3) whether the settlement package violates any important regulatory principle or practice.</w:t>
      </w:r>
      <w:r>
        <w:rPr>
          <w:rStyle w:val="FootnoteReference"/>
        </w:rPr>
        <w:footnoteReference w:id="7"/>
      </w:r>
      <w:r>
        <w:t xml:space="preserve"> If the PUCO determines that a proposed settlement does not meet each of the three criteria outlined above, the settlement </w:t>
      </w:r>
      <w:r w:rsidR="00B63E6B">
        <w:t>should be</w:t>
      </w:r>
      <w:r>
        <w:t xml:space="preserve"> rejected. </w:t>
      </w:r>
    </w:p>
    <w:p w:rsidR="007C368A" w:rsidP="00F10005" w14:paraId="0C0F9CF9" w14:textId="6F75AAE3">
      <w:pPr>
        <w:pStyle w:val="BodyTextIndent3"/>
        <w:spacing w:line="480" w:lineRule="auto"/>
      </w:pPr>
      <w:r>
        <w:t xml:space="preserve">This Settlement should be rejected under the three-prong test. </w:t>
      </w:r>
      <w:r w:rsidR="001F2A7E">
        <w:t>T</w:t>
      </w:r>
      <w:r w:rsidR="000170B1">
        <w:t xml:space="preserve">he Settlement lacks diversity of interest as </w:t>
      </w:r>
      <w:r w:rsidR="00706B10">
        <w:t>there is no signatory party that represents the</w:t>
      </w:r>
      <w:r w:rsidR="001572D1">
        <w:t xml:space="preserve"> </w:t>
      </w:r>
      <w:r w:rsidR="00706B10">
        <w:t>interests of residential customers who will pay the</w:t>
      </w:r>
      <w:r w:rsidR="00C10E5D">
        <w:t xml:space="preserve"> </w:t>
      </w:r>
      <w:r w:rsidRPr="001572D1" w:rsidR="00C10E5D">
        <w:t xml:space="preserve">PIR </w:t>
      </w:r>
      <w:r w:rsidRPr="001572D1" w:rsidR="001572D1">
        <w:t>charge.</w:t>
      </w:r>
      <w:r w:rsidR="00F10005">
        <w:t xml:space="preserve"> The Settlement </w:t>
      </w:r>
      <w:r w:rsidR="00706B10">
        <w:t xml:space="preserve">also </w:t>
      </w:r>
      <w:r w:rsidRPr="00594D4F" w:rsidR="00F10005">
        <w:t xml:space="preserve">does not benefit </w:t>
      </w:r>
      <w:r w:rsidR="00DE5B18">
        <w:t>consumers</w:t>
      </w:r>
      <w:r w:rsidRPr="00594D4F" w:rsidR="00F10005">
        <w:t xml:space="preserve"> or the public interest</w:t>
      </w:r>
      <w:r w:rsidR="00F131C7">
        <w:t xml:space="preserve">. </w:t>
      </w:r>
      <w:r w:rsidR="00706B10">
        <w:t>And i</w:t>
      </w:r>
      <w:r w:rsidR="00F131C7">
        <w:t>t</w:t>
      </w:r>
      <w:r w:rsidRPr="00594D4F" w:rsidR="00F10005">
        <w:t xml:space="preserve"> violates </w:t>
      </w:r>
      <w:r w:rsidR="00D620B8">
        <w:t xml:space="preserve">established </w:t>
      </w:r>
      <w:r w:rsidRPr="00594D4F" w:rsidR="00F10005">
        <w:t>regulatory principles</w:t>
      </w:r>
      <w:r w:rsidR="00D620B8">
        <w:t xml:space="preserve"> and state policies</w:t>
      </w:r>
      <w:r w:rsidRPr="00594D4F" w:rsidR="00F10005">
        <w:t>. For these reasons, OCC opposes the Settlement.</w:t>
      </w:r>
      <w:r w:rsidR="0031141D">
        <w:t xml:space="preserve"> </w:t>
      </w:r>
    </w:p>
    <w:p w:rsidR="00F10005" w:rsidP="00F10005" w14:paraId="644DA328" w14:textId="2B981863">
      <w:pPr>
        <w:pStyle w:val="BodyTextIndent3"/>
        <w:spacing w:line="480" w:lineRule="auto"/>
      </w:pPr>
      <w:r>
        <w:t>T</w:t>
      </w:r>
      <w:r w:rsidR="0031141D">
        <w:t xml:space="preserve">he PUCO should modify the Settlement and adopt a </w:t>
      </w:r>
      <w:r w:rsidR="006F4841">
        <w:t>lower and more reasonable pre-tax rate of return of 7.20%.</w:t>
      </w:r>
      <w:r>
        <w:rPr>
          <w:rStyle w:val="FootnoteReference"/>
        </w:rPr>
        <w:footnoteReference w:id="8"/>
      </w:r>
      <w:r w:rsidR="001572D1">
        <w:t xml:space="preserve"> </w:t>
      </w:r>
      <w:r w:rsidR="006F4841">
        <w:t xml:space="preserve">By adopting this lower pre-tax rate of return, consumers will be protected from paying unjust and unreasonable PIR charges, and Dominion will </w:t>
      </w:r>
      <w:r w:rsidR="00D620B8">
        <w:t xml:space="preserve">have the opportunity </w:t>
      </w:r>
      <w:r w:rsidR="006F4841">
        <w:t xml:space="preserve">to </w:t>
      </w:r>
      <w:r w:rsidR="00D620B8">
        <w:t>earn a return (</w:t>
      </w:r>
      <w:r w:rsidR="006F4841">
        <w:t>profits</w:t>
      </w:r>
      <w:r w:rsidR="00D620B8">
        <w:t>)</w:t>
      </w:r>
      <w:r w:rsidR="006F4841">
        <w:t xml:space="preserve"> comparable to </w:t>
      </w:r>
      <w:r w:rsidR="001053B0">
        <w:t xml:space="preserve">that available </w:t>
      </w:r>
      <w:r w:rsidR="00346565">
        <w:t>of</w:t>
      </w:r>
      <w:r w:rsidR="001053B0">
        <w:t xml:space="preserve"> </w:t>
      </w:r>
      <w:r w:rsidR="006F4841">
        <w:t>other similarly situated gas utilities.</w:t>
      </w:r>
      <w:r w:rsidR="001572D1">
        <w:t xml:space="preserve"> </w:t>
      </w:r>
    </w:p>
    <w:p w:rsidR="00EE21A6" w:rsidP="002644BF" w14:paraId="7BA9DB43" w14:textId="3E82F321">
      <w:pPr>
        <w:pStyle w:val="Heading2"/>
        <w:tabs>
          <w:tab w:val="clear" w:pos="4320"/>
        </w:tabs>
      </w:pPr>
      <w:bookmarkStart w:id="5" w:name="_Toc88492706"/>
      <w:bookmarkStart w:id="6" w:name="_Toc84671826"/>
      <w:bookmarkStart w:id="7" w:name="_Toc45699261"/>
      <w:bookmarkStart w:id="8" w:name="_Toc74571229"/>
      <w:r>
        <w:t>The PUCO should reject the Settlement given the lack of diversity of those who signed it and given that OCC, the statutory representative of Ohio’s residential consumers, oppose</w:t>
      </w:r>
      <w:r w:rsidR="00346565">
        <w:t>s</w:t>
      </w:r>
      <w:r>
        <w:t xml:space="preserve"> it.</w:t>
      </w:r>
      <w:bookmarkEnd w:id="5"/>
    </w:p>
    <w:p w:rsidR="001C79E5" w:rsidP="00570E3C" w14:paraId="29C7D065" w14:textId="77777777">
      <w:pPr>
        <w:spacing w:line="480" w:lineRule="auto"/>
        <w:ind w:firstLine="720"/>
      </w:pPr>
      <w:r>
        <w:t>In considering the first prong of the PUCO’s three-part test for settlements, the PUCO has at times considered the diversity of the signatory parties. Diversity is not required, and no single party can veto a settlement, but “the diversity of the signatory parties may be a consideration in determining whether a settlement is a product of serious bargaining among capable, knowledgeable parties under the first prong of the Commission’s test.”</w:t>
      </w:r>
      <w:r>
        <w:rPr>
          <w:rStyle w:val="FootnoteReference"/>
        </w:rPr>
        <w:footnoteReference w:id="9"/>
      </w:r>
    </w:p>
    <w:p w:rsidR="000348AC" w:rsidP="00570E3C" w14:paraId="6D787229" w14:textId="660AC114">
      <w:pPr>
        <w:spacing w:line="480" w:lineRule="auto"/>
        <w:ind w:firstLine="720"/>
      </w:pPr>
      <w:r>
        <w:t xml:space="preserve">The Settlement was signed by </w:t>
      </w:r>
      <w:r w:rsidRPr="001572D1">
        <w:t>Dominion, PUCO Staff, I</w:t>
      </w:r>
      <w:r w:rsidRPr="001572D1" w:rsidR="00346565">
        <w:t>ndustrial Energy Users-</w:t>
      </w:r>
      <w:r w:rsidRPr="001572D1">
        <w:t>Ohio and O</w:t>
      </w:r>
      <w:r w:rsidRPr="001572D1" w:rsidR="00346565">
        <w:t xml:space="preserve">hio Partners for Affordable Energy. </w:t>
      </w:r>
      <w:r w:rsidRPr="001572D1" w:rsidR="00BB7920">
        <w:t>However, OCC, the statutory representative of Ohio’s residential consumers,</w:t>
      </w:r>
      <w:r>
        <w:rPr>
          <w:rStyle w:val="FootnoteReference"/>
        </w:rPr>
        <w:footnoteReference w:id="10"/>
      </w:r>
      <w:r w:rsidRPr="001572D1" w:rsidR="00BB7920">
        <w:t xml:space="preserve"> oppose</w:t>
      </w:r>
      <w:r w:rsidRPr="001572D1" w:rsidR="00D20841">
        <w:t>s</w:t>
      </w:r>
      <w:r w:rsidRPr="001572D1" w:rsidR="00BB7920">
        <w:t xml:space="preserve"> the Settlement.</w:t>
      </w:r>
      <w:r w:rsidRPr="001572D1" w:rsidR="001572D1">
        <w:t xml:space="preserve"> </w:t>
      </w:r>
      <w:r w:rsidRPr="001572D1" w:rsidR="005B1F42">
        <w:t xml:space="preserve">No other signatory party </w:t>
      </w:r>
      <w:r w:rsidRPr="001572D1" w:rsidR="00C10E5D">
        <w:t xml:space="preserve">truly </w:t>
      </w:r>
      <w:r w:rsidRPr="001572D1" w:rsidR="005B1F42">
        <w:t>represents</w:t>
      </w:r>
      <w:r w:rsidR="005B1F42">
        <w:t xml:space="preserve"> residential customers, who will be forced to pay the rates others agreed to.</w:t>
      </w:r>
      <w:r w:rsidR="001572D1">
        <w:t xml:space="preserve"> </w:t>
      </w:r>
      <w:r w:rsidR="00BB7920">
        <w:t xml:space="preserve">Oftentimes, the signatory parties to a settlement are predominantly the utility and other parties who do not pay for the costs proposed in the settlement, while </w:t>
      </w:r>
      <w:r w:rsidR="00C45664">
        <w:t>the representative for all residential consumers</w:t>
      </w:r>
      <w:r w:rsidR="00BB7920">
        <w:t>—whose constituents pay the costs proposed in the settlement—</w:t>
      </w:r>
      <w:r w:rsidR="00C45664">
        <w:t>is</w:t>
      </w:r>
      <w:r w:rsidR="00BB7920">
        <w:t xml:space="preserve"> on the outside. This matters. When the representatives of those who bear the costs of a settlement oppose the settlement, the PUCO should give those representatives’ views substantial weight in considering whether the settlement in fact benefits customers and the public interest, whether the settlement is consistent with regulatory principles, and whether the settlement was the product of serious bargaining.</w:t>
      </w:r>
    </w:p>
    <w:p w:rsidR="000348AC" w:rsidP="00570E3C" w14:paraId="6A731FC2" w14:textId="3CBA41AC">
      <w:pPr>
        <w:spacing w:line="480" w:lineRule="auto"/>
        <w:ind w:left="144"/>
      </w:pPr>
      <w:r>
        <w:tab/>
        <w:t>The PUCO should give substantial consideration to OCC’s opposition to it and conclude that it fails the first prong due to lack of diversity.</w:t>
      </w:r>
    </w:p>
    <w:p w:rsidR="0013572E" w:rsidP="002644BF" w14:paraId="2D165691" w14:textId="5BE858F7">
      <w:pPr>
        <w:pStyle w:val="Heading2"/>
        <w:tabs>
          <w:tab w:val="clear" w:pos="4320"/>
        </w:tabs>
      </w:pPr>
      <w:bookmarkStart w:id="9" w:name="_Toc88492707"/>
      <w:r>
        <w:t>To protect consumers, the PUCO should reject or modify the Settlement because using Dominion’s outdated and inflated rate of return harms consumers and is not in the public interest.</w:t>
      </w:r>
      <w:bookmarkEnd w:id="9"/>
    </w:p>
    <w:p w:rsidR="009A79B6" w:rsidP="002644BF" w14:paraId="5BAC40A6" w14:textId="12BFFD23">
      <w:pPr>
        <w:pStyle w:val="Heading3"/>
      </w:pPr>
      <w:bookmarkStart w:id="10" w:name="_Toc88492708"/>
      <w:r>
        <w:t>Th</w:t>
      </w:r>
      <w:r w:rsidR="001053B0">
        <w:t>e Settlement, by r</w:t>
      </w:r>
      <w:r w:rsidR="00297DFB">
        <w:t>equiring consumers to pay a</w:t>
      </w:r>
      <w:r>
        <w:t xml:space="preserve"> pre-tax </w:t>
      </w:r>
      <w:r w:rsidR="00846D9A">
        <w:t>rate of return</w:t>
      </w:r>
      <w:r>
        <w:t xml:space="preserve"> of 9.91%</w:t>
      </w:r>
      <w:r w:rsidR="00F43078">
        <w:t xml:space="preserve">, </w:t>
      </w:r>
      <w:r w:rsidR="00955F2A">
        <w:t>results in too</w:t>
      </w:r>
      <w:r>
        <w:t xml:space="preserve"> high</w:t>
      </w:r>
      <w:r w:rsidR="00955F2A">
        <w:t xml:space="preserve"> profits</w:t>
      </w:r>
      <w:r w:rsidR="0017233A">
        <w:t xml:space="preserve"> for Dominion</w:t>
      </w:r>
      <w:r w:rsidR="00F43078">
        <w:t xml:space="preserve">, </w:t>
      </w:r>
      <w:r w:rsidR="0044516D">
        <w:t xml:space="preserve">and </w:t>
      </w:r>
      <w:r>
        <w:t>will substantially harm consumers and the public interest.</w:t>
      </w:r>
      <w:bookmarkEnd w:id="6"/>
      <w:bookmarkEnd w:id="10"/>
    </w:p>
    <w:p w:rsidR="0078620B" w:rsidRPr="0078620B" w:rsidP="0078620B" w14:paraId="6A5EF065" w14:textId="77777777"/>
    <w:p w:rsidR="00955F2A" w:rsidP="00955F2A" w14:paraId="382A1E98" w14:textId="263419EB">
      <w:pPr>
        <w:spacing w:line="480" w:lineRule="auto"/>
        <w:ind w:firstLine="720"/>
      </w:pPr>
      <w:r>
        <w:rPr>
          <w:iCs/>
        </w:rPr>
        <w:t xml:space="preserve">The Settlement fails the second prong because requiring consumers to pay a too-high pre-tax rate of </w:t>
      </w:r>
      <w:r w:rsidRPr="001572D1">
        <w:rPr>
          <w:iCs/>
        </w:rPr>
        <w:t>return o</w:t>
      </w:r>
      <w:r w:rsidRPr="001572D1" w:rsidR="00C10E5D">
        <w:rPr>
          <w:iCs/>
        </w:rPr>
        <w:t>f</w:t>
      </w:r>
      <w:r w:rsidRPr="001572D1">
        <w:rPr>
          <w:iCs/>
        </w:rPr>
        <w:t xml:space="preserve"> 9.91</w:t>
      </w:r>
      <w:r>
        <w:rPr>
          <w:iCs/>
        </w:rPr>
        <w:t>%</w:t>
      </w:r>
      <w:r w:rsidR="001572D1">
        <w:rPr>
          <w:iCs/>
        </w:rPr>
        <w:t xml:space="preserve"> </w:t>
      </w:r>
      <w:r>
        <w:rPr>
          <w:iCs/>
        </w:rPr>
        <w:t xml:space="preserve">substantially harms consumers and is not in the public interest. </w:t>
      </w:r>
      <w:r w:rsidR="00800247">
        <w:rPr>
          <w:iCs/>
        </w:rPr>
        <w:t xml:space="preserve">Dominion wants consumers to </w:t>
      </w:r>
      <w:r w:rsidR="006F4841">
        <w:rPr>
          <w:iCs/>
        </w:rPr>
        <w:t xml:space="preserve">continue </w:t>
      </w:r>
      <w:r w:rsidR="00800247">
        <w:rPr>
          <w:iCs/>
        </w:rPr>
        <w:t>pay a</w:t>
      </w:r>
      <w:r w:rsidR="001510DD">
        <w:rPr>
          <w:iCs/>
        </w:rPr>
        <w:t xml:space="preserve">n unjust and unreasonable </w:t>
      </w:r>
      <w:r w:rsidR="00800247">
        <w:rPr>
          <w:iCs/>
        </w:rPr>
        <w:t xml:space="preserve">pre-tax </w:t>
      </w:r>
      <w:r w:rsidR="00846D9A">
        <w:rPr>
          <w:iCs/>
        </w:rPr>
        <w:t>rate of return</w:t>
      </w:r>
      <w:r w:rsidR="00800247">
        <w:rPr>
          <w:iCs/>
        </w:rPr>
        <w:t xml:space="preserve"> of 9.91%</w:t>
      </w:r>
      <w:r w:rsidR="006F4841">
        <w:rPr>
          <w:iCs/>
        </w:rPr>
        <w:t xml:space="preserve"> that was set in a rate case 13 years ago</w:t>
      </w:r>
      <w:r w:rsidR="0085592C">
        <w:rPr>
          <w:iCs/>
        </w:rPr>
        <w:t xml:space="preserve"> and does not include major changes to tax law</w:t>
      </w:r>
      <w:r w:rsidR="006F4841">
        <w:rPr>
          <w:iCs/>
        </w:rPr>
        <w:t xml:space="preserve">. </w:t>
      </w:r>
      <w:r>
        <w:t xml:space="preserve">The stale rate of return proposed </w:t>
      </w:r>
      <w:r w:rsidR="001053B0">
        <w:t xml:space="preserve">in the Settlement </w:t>
      </w:r>
      <w:r>
        <w:t xml:space="preserve">will result in Dominion earning profits that are too high for current financial market conditions and allow the Utility to collect a cost of debt from customers that is nearly three times its actual cost of debt. </w:t>
      </w:r>
    </w:p>
    <w:p w:rsidR="0044516D" w:rsidP="0044516D" w14:paraId="3AA157BC" w14:textId="5B7E3E65">
      <w:pPr>
        <w:autoSpaceDE w:val="0"/>
        <w:autoSpaceDN w:val="0"/>
        <w:adjustRightInd w:val="0"/>
        <w:spacing w:line="480" w:lineRule="auto"/>
        <w:ind w:firstLine="720"/>
      </w:pPr>
      <w:r w:rsidRPr="0044516D">
        <w:t xml:space="preserve">Dominion </w:t>
      </w:r>
      <w:r w:rsidRPr="0044516D">
        <w:rPr>
          <w:bCs/>
        </w:rPr>
        <w:t>proposes to use a pre-tax rate of return of 9.91% in calculating the PIR charge revenue requirement that consumers would pay. The proposed Settlement uses the same pre-tax rate proposed in Dominion’s PIR Application. T</w:t>
      </w:r>
      <w:r w:rsidRPr="0044516D">
        <w:t xml:space="preserve">his pre-tax rate of return reflects the gross-up of current federal income tax rate (21%) and the rate of return components (a cost of equity of 10.38%, a cost of debt of 6.50%, and capital structure of 48.66% debt and 51.34% equity) from its last rate case </w:t>
      </w:r>
      <w:r w:rsidRPr="0044516D">
        <w:rPr>
          <w:i/>
          <w:iCs/>
        </w:rPr>
        <w:t>decided in 2008</w:t>
      </w:r>
      <w:r w:rsidRPr="0044516D">
        <w:t xml:space="preserve"> in Case No. 07-829-GA-AIR et al.</w:t>
      </w:r>
      <w:r>
        <w:rPr>
          <w:rStyle w:val="FootnoteReference"/>
        </w:rPr>
        <w:footnoteReference w:id="11"/>
      </w:r>
      <w:r>
        <w:t xml:space="preserve"> </w:t>
      </w:r>
    </w:p>
    <w:p w:rsidR="001053B0" w:rsidP="001053B0" w14:paraId="27680A5C" w14:textId="3551D222">
      <w:pPr>
        <w:spacing w:line="480" w:lineRule="auto"/>
        <w:ind w:firstLine="720"/>
      </w:pPr>
      <w:r>
        <w:rPr>
          <w:bCs/>
        </w:rPr>
        <w:t xml:space="preserve">The issue in this case is not </w:t>
      </w:r>
      <w:r w:rsidR="00270636">
        <w:rPr>
          <w:bCs/>
        </w:rPr>
        <w:t xml:space="preserve">just </w:t>
      </w:r>
      <w:r w:rsidR="006F4841">
        <w:rPr>
          <w:bCs/>
        </w:rPr>
        <w:t xml:space="preserve">if </w:t>
      </w:r>
      <w:r>
        <w:rPr>
          <w:bCs/>
        </w:rPr>
        <w:t xml:space="preserve">Dominion should </w:t>
      </w:r>
      <w:r w:rsidR="00270636">
        <w:rPr>
          <w:bCs/>
        </w:rPr>
        <w:t xml:space="preserve">or should not </w:t>
      </w:r>
      <w:r>
        <w:rPr>
          <w:bCs/>
        </w:rPr>
        <w:t xml:space="preserve">continue the </w:t>
      </w:r>
      <w:r w:rsidR="00270636">
        <w:rPr>
          <w:bCs/>
        </w:rPr>
        <w:t>PIR</w:t>
      </w:r>
      <w:r w:rsidR="0031141D">
        <w:rPr>
          <w:bCs/>
        </w:rPr>
        <w:t xml:space="preserve"> </w:t>
      </w:r>
      <w:r>
        <w:rPr>
          <w:bCs/>
        </w:rPr>
        <w:t>program</w:t>
      </w:r>
      <w:r w:rsidR="001F1826">
        <w:rPr>
          <w:bCs/>
        </w:rPr>
        <w:t>.</w:t>
      </w:r>
      <w:r w:rsidR="001572D1">
        <w:rPr>
          <w:bCs/>
        </w:rPr>
        <w:t xml:space="preserve"> </w:t>
      </w:r>
      <w:r w:rsidR="001F1826">
        <w:rPr>
          <w:bCs/>
        </w:rPr>
        <w:t>T</w:t>
      </w:r>
      <w:r>
        <w:rPr>
          <w:bCs/>
        </w:rPr>
        <w:t xml:space="preserve">he </w:t>
      </w:r>
      <w:r w:rsidR="006F4841">
        <w:rPr>
          <w:bCs/>
        </w:rPr>
        <w:t xml:space="preserve">more important </w:t>
      </w:r>
      <w:r>
        <w:rPr>
          <w:bCs/>
        </w:rPr>
        <w:t xml:space="preserve">issue is how much </w:t>
      </w:r>
      <w:r w:rsidR="00270636">
        <w:rPr>
          <w:bCs/>
        </w:rPr>
        <w:t xml:space="preserve">PIR </w:t>
      </w:r>
      <w:r>
        <w:rPr>
          <w:bCs/>
        </w:rPr>
        <w:t xml:space="preserve">charges Dominion </w:t>
      </w:r>
      <w:r w:rsidR="0085592C">
        <w:rPr>
          <w:bCs/>
        </w:rPr>
        <w:t>can reasonably</w:t>
      </w:r>
      <w:r>
        <w:rPr>
          <w:bCs/>
        </w:rPr>
        <w:t xml:space="preserve"> collect from consumers. Dominion can (and most certainly would) continue the </w:t>
      </w:r>
      <w:r w:rsidR="00270636">
        <w:rPr>
          <w:bCs/>
        </w:rPr>
        <w:t xml:space="preserve">PIR </w:t>
      </w:r>
      <w:r>
        <w:rPr>
          <w:bCs/>
        </w:rPr>
        <w:t xml:space="preserve">program with either a 9.91% or a 7.20% pre-tax </w:t>
      </w:r>
      <w:r w:rsidR="00846D9A">
        <w:rPr>
          <w:bCs/>
        </w:rPr>
        <w:t>rate of return</w:t>
      </w:r>
      <w:r>
        <w:rPr>
          <w:bCs/>
        </w:rPr>
        <w:t>.</w:t>
      </w:r>
      <w:r>
        <w:rPr>
          <w:rStyle w:val="FootnoteReference"/>
          <w:bCs/>
        </w:rPr>
        <w:footnoteReference w:id="12"/>
      </w:r>
      <w:r>
        <w:rPr>
          <w:bCs/>
        </w:rPr>
        <w:t xml:space="preserve"> </w:t>
      </w:r>
      <w:r>
        <w:t>Dominion has provided no evidence that the PIR program will not be able to continue in the absence of a 9.91% pre-tax rate of return.</w:t>
      </w:r>
      <w:r w:rsidR="001572D1">
        <w:t xml:space="preserve"> </w:t>
      </w:r>
    </w:p>
    <w:p w:rsidR="0016508A" w:rsidP="0016508A" w14:paraId="43DE8C08" w14:textId="0AAD8C16">
      <w:pPr>
        <w:spacing w:line="480" w:lineRule="auto"/>
        <w:ind w:firstLine="720"/>
        <w:rPr>
          <w:bCs/>
        </w:rPr>
      </w:pPr>
      <w:r>
        <w:rPr>
          <w:bCs/>
        </w:rPr>
        <w:t xml:space="preserve">And as explained throughout </w:t>
      </w:r>
      <w:r w:rsidR="006F4841">
        <w:rPr>
          <w:bCs/>
        </w:rPr>
        <w:t xml:space="preserve">the testimony of OCC witness, Daniel J. </w:t>
      </w:r>
      <w:r w:rsidR="00B359CE">
        <w:rPr>
          <w:bCs/>
        </w:rPr>
        <w:t>Duann</w:t>
      </w:r>
      <w:r>
        <w:rPr>
          <w:bCs/>
        </w:rPr>
        <w:t xml:space="preserve">, </w:t>
      </w:r>
      <w:r w:rsidR="001053B0">
        <w:rPr>
          <w:bCs/>
        </w:rPr>
        <w:t xml:space="preserve">Ph.D., </w:t>
      </w:r>
      <w:r>
        <w:rPr>
          <w:bCs/>
        </w:rPr>
        <w:t xml:space="preserve">the 9.91% </w:t>
      </w:r>
      <w:r w:rsidR="00846D9A">
        <w:rPr>
          <w:bCs/>
        </w:rPr>
        <w:t>rate of return</w:t>
      </w:r>
      <w:r>
        <w:rPr>
          <w:bCs/>
        </w:rPr>
        <w:t xml:space="preserve"> is unjust, unreasonable, and inflated.</w:t>
      </w:r>
      <w:r>
        <w:rPr>
          <w:rStyle w:val="FootnoteReference"/>
          <w:bCs/>
        </w:rPr>
        <w:footnoteReference w:id="13"/>
      </w:r>
      <w:r>
        <w:rPr>
          <w:bCs/>
        </w:rPr>
        <w:t xml:space="preserve"> </w:t>
      </w:r>
      <w:r w:rsidR="00F906CF">
        <w:rPr>
          <w:bCs/>
        </w:rPr>
        <w:t>And since</w:t>
      </w:r>
      <w:r>
        <w:rPr>
          <w:bCs/>
        </w:rPr>
        <w:t xml:space="preserve"> the </w:t>
      </w:r>
      <w:r w:rsidR="00270636">
        <w:rPr>
          <w:bCs/>
        </w:rPr>
        <w:t xml:space="preserve">PIR </w:t>
      </w:r>
      <w:r>
        <w:rPr>
          <w:bCs/>
        </w:rPr>
        <w:t xml:space="preserve">program </w:t>
      </w:r>
      <w:r w:rsidR="00F906CF">
        <w:rPr>
          <w:bCs/>
        </w:rPr>
        <w:t>could</w:t>
      </w:r>
      <w:r>
        <w:rPr>
          <w:bCs/>
        </w:rPr>
        <w:t xml:space="preserve"> continue with a reasonable return of 7.20%, there is absolutely no </w:t>
      </w:r>
      <w:r w:rsidR="001053B0">
        <w:rPr>
          <w:bCs/>
        </w:rPr>
        <w:t xml:space="preserve">basis to </w:t>
      </w:r>
      <w:r>
        <w:rPr>
          <w:bCs/>
        </w:rPr>
        <w:t>conclud</w:t>
      </w:r>
      <w:r w:rsidR="001053B0">
        <w:rPr>
          <w:bCs/>
        </w:rPr>
        <w:t xml:space="preserve">e that </w:t>
      </w:r>
      <w:r>
        <w:rPr>
          <w:bCs/>
        </w:rPr>
        <w:t xml:space="preserve">the proposed Settlement (with a 9.91% pre-tax rate of return) </w:t>
      </w:r>
      <w:r w:rsidR="001053B0">
        <w:rPr>
          <w:bCs/>
        </w:rPr>
        <w:t xml:space="preserve">will provide a benefit of </w:t>
      </w:r>
      <w:r>
        <w:rPr>
          <w:bCs/>
        </w:rPr>
        <w:t>continu</w:t>
      </w:r>
      <w:r w:rsidR="001053B0">
        <w:rPr>
          <w:bCs/>
        </w:rPr>
        <w:t>ing</w:t>
      </w:r>
      <w:r>
        <w:rPr>
          <w:bCs/>
        </w:rPr>
        <w:t xml:space="preserve"> the </w:t>
      </w:r>
      <w:r w:rsidR="00270636">
        <w:rPr>
          <w:bCs/>
        </w:rPr>
        <w:t>PIR</w:t>
      </w:r>
      <w:r>
        <w:rPr>
          <w:bCs/>
        </w:rPr>
        <w:t xml:space="preserve"> program.</w:t>
      </w:r>
      <w:r w:rsidR="00270636">
        <w:rPr>
          <w:rStyle w:val="FootnoteReference"/>
          <w:bCs/>
        </w:rPr>
        <w:t xml:space="preserve"> </w:t>
      </w:r>
    </w:p>
    <w:p w:rsidR="0016508A" w:rsidRPr="00A47714" w:rsidP="0016508A" w14:paraId="0E776C55" w14:textId="1EF73706">
      <w:pPr>
        <w:spacing w:line="480" w:lineRule="auto"/>
        <w:ind w:firstLine="720"/>
        <w:rPr>
          <w:sz w:val="22"/>
          <w:szCs w:val="22"/>
        </w:rPr>
      </w:pPr>
      <w:r>
        <w:rPr>
          <w:shd w:val="clear" w:color="auto" w:fill="FFFFFF"/>
        </w:rPr>
        <w:t xml:space="preserve">The </w:t>
      </w:r>
      <w:r w:rsidR="005B599D">
        <w:rPr>
          <w:shd w:val="clear" w:color="auto" w:fill="FFFFFF"/>
        </w:rPr>
        <w:t xml:space="preserve">only </w:t>
      </w:r>
      <w:r>
        <w:rPr>
          <w:shd w:val="clear" w:color="auto" w:fill="FFFFFF"/>
        </w:rPr>
        <w:t xml:space="preserve">benefit of the </w:t>
      </w:r>
      <w:r w:rsidRPr="00AC3882">
        <w:rPr>
          <w:shd w:val="clear" w:color="auto" w:fill="FFFFFF"/>
        </w:rPr>
        <w:t>Settlement's</w:t>
      </w:r>
      <w:r w:rsidRPr="00AE219A">
        <w:rPr>
          <w:b/>
          <w:bCs/>
          <w:shd w:val="clear" w:color="auto" w:fill="FFFFFF"/>
        </w:rPr>
        <w:t> </w:t>
      </w:r>
      <w:r w:rsidRPr="001053B0" w:rsidR="001053B0">
        <w:rPr>
          <w:shd w:val="clear" w:color="auto" w:fill="FFFFFF"/>
        </w:rPr>
        <w:t>stale and inflated pre-tax rate of return</w:t>
      </w:r>
      <w:r w:rsidR="001053B0">
        <w:rPr>
          <w:b/>
          <w:bCs/>
          <w:shd w:val="clear" w:color="auto" w:fill="FFFFFF"/>
        </w:rPr>
        <w:t xml:space="preserve"> </w:t>
      </w:r>
      <w:r w:rsidRPr="00AE219A">
        <w:rPr>
          <w:shd w:val="clear" w:color="auto" w:fill="FFFFFF"/>
        </w:rPr>
        <w:t>goes to Dominion</w:t>
      </w:r>
      <w:r w:rsidR="00F131C7">
        <w:rPr>
          <w:shd w:val="clear" w:color="auto" w:fill="FFFFFF"/>
        </w:rPr>
        <w:t>, not to consumers</w:t>
      </w:r>
      <w:r>
        <w:rPr>
          <w:shd w:val="clear" w:color="auto" w:fill="FFFFFF"/>
        </w:rPr>
        <w:t>.</w:t>
      </w:r>
      <w:r w:rsidR="001572D1">
        <w:rPr>
          <w:shd w:val="clear" w:color="auto" w:fill="FFFFFF"/>
        </w:rPr>
        <w:t xml:space="preserve"> </w:t>
      </w:r>
      <w:r>
        <w:rPr>
          <w:shd w:val="clear" w:color="auto" w:fill="FFFFFF"/>
        </w:rPr>
        <w:t>A</w:t>
      </w:r>
      <w:r w:rsidRPr="00AE219A">
        <w:rPr>
          <w:shd w:val="clear" w:color="auto" w:fill="FFFFFF"/>
        </w:rPr>
        <w:t xml:space="preserve">mong other things, </w:t>
      </w:r>
      <w:r w:rsidR="001053B0">
        <w:rPr>
          <w:shd w:val="clear" w:color="auto" w:fill="FFFFFF"/>
        </w:rPr>
        <w:t xml:space="preserve">as an alternative form of regulation, </w:t>
      </w:r>
      <w:r>
        <w:rPr>
          <w:shd w:val="clear" w:color="auto" w:fill="FFFFFF"/>
        </w:rPr>
        <w:t xml:space="preserve">the PIR program </w:t>
      </w:r>
      <w:r w:rsidRPr="00AE219A">
        <w:rPr>
          <w:shd w:val="clear" w:color="auto" w:fill="FFFFFF"/>
        </w:rPr>
        <w:t>accelerat</w:t>
      </w:r>
      <w:r>
        <w:rPr>
          <w:shd w:val="clear" w:color="auto" w:fill="FFFFFF"/>
        </w:rPr>
        <w:t>es</w:t>
      </w:r>
      <w:r w:rsidRPr="00AE219A">
        <w:rPr>
          <w:shd w:val="clear" w:color="auto" w:fill="FFFFFF"/>
        </w:rPr>
        <w:t xml:space="preserve"> the charges to consumers as compared to traditional regulation. The Settlement</w:t>
      </w:r>
      <w:r w:rsidR="00FE131B">
        <w:rPr>
          <w:shd w:val="clear" w:color="auto" w:fill="FFFFFF"/>
        </w:rPr>
        <w:t xml:space="preserve"> </w:t>
      </w:r>
      <w:r w:rsidR="001053B0">
        <w:rPr>
          <w:shd w:val="clear" w:color="auto" w:fill="FFFFFF"/>
        </w:rPr>
        <w:t xml:space="preserve">further </w:t>
      </w:r>
      <w:r w:rsidR="006D0503">
        <w:rPr>
          <w:shd w:val="clear" w:color="auto" w:fill="FFFFFF"/>
        </w:rPr>
        <w:t>harms</w:t>
      </w:r>
      <w:r w:rsidRPr="00AE219A">
        <w:rPr>
          <w:shd w:val="clear" w:color="auto" w:fill="FFFFFF"/>
        </w:rPr>
        <w:t xml:space="preserve"> consumers</w:t>
      </w:r>
      <w:r w:rsidR="0045757A">
        <w:rPr>
          <w:shd w:val="clear" w:color="auto" w:fill="FFFFFF"/>
        </w:rPr>
        <w:t xml:space="preserve"> </w:t>
      </w:r>
      <w:r w:rsidR="001F1826">
        <w:rPr>
          <w:shd w:val="clear" w:color="auto" w:fill="FFFFFF"/>
        </w:rPr>
        <w:t>due to</w:t>
      </w:r>
      <w:r w:rsidRPr="00AE219A">
        <w:rPr>
          <w:shd w:val="clear" w:color="auto" w:fill="FFFFFF"/>
        </w:rPr>
        <w:t xml:space="preserve"> Dominion's excessive rate of return, at consumer expense, resulting </w:t>
      </w:r>
      <w:r w:rsidR="00955F2A">
        <w:rPr>
          <w:shd w:val="clear" w:color="auto" w:fill="FFFFFF"/>
        </w:rPr>
        <w:t>in</w:t>
      </w:r>
      <w:r w:rsidRPr="00AE219A">
        <w:rPr>
          <w:shd w:val="clear" w:color="auto" w:fill="FFFFFF"/>
        </w:rPr>
        <w:t xml:space="preserve"> unreasonabl</w:t>
      </w:r>
      <w:r w:rsidR="00955F2A">
        <w:rPr>
          <w:shd w:val="clear" w:color="auto" w:fill="FFFFFF"/>
        </w:rPr>
        <w:t>y high</w:t>
      </w:r>
      <w:r w:rsidRPr="00AE219A">
        <w:rPr>
          <w:shd w:val="clear" w:color="auto" w:fill="FFFFFF"/>
        </w:rPr>
        <w:t xml:space="preserve"> profits</w:t>
      </w:r>
      <w:r w:rsidR="00FE131B">
        <w:rPr>
          <w:shd w:val="clear" w:color="auto" w:fill="FFFFFF"/>
        </w:rPr>
        <w:t>,</w:t>
      </w:r>
      <w:r w:rsidRPr="00AE219A">
        <w:rPr>
          <w:shd w:val="clear" w:color="auto" w:fill="FFFFFF"/>
        </w:rPr>
        <w:t xml:space="preserve"> and </w:t>
      </w:r>
      <w:r w:rsidR="00593901">
        <w:rPr>
          <w:shd w:val="clear" w:color="auto" w:fill="FFFFFF"/>
        </w:rPr>
        <w:t xml:space="preserve">consumers paying a </w:t>
      </w:r>
      <w:r w:rsidRPr="00AE219A">
        <w:rPr>
          <w:shd w:val="clear" w:color="auto" w:fill="FFFFFF"/>
        </w:rPr>
        <w:t>cost of debt</w:t>
      </w:r>
      <w:r w:rsidR="00593901">
        <w:rPr>
          <w:shd w:val="clear" w:color="auto" w:fill="FFFFFF"/>
        </w:rPr>
        <w:t xml:space="preserve"> well in excess of Dominion’s actual debt costs</w:t>
      </w:r>
      <w:r w:rsidRPr="00AE219A">
        <w:rPr>
          <w:shd w:val="clear" w:color="auto" w:fill="FFFFFF"/>
        </w:rPr>
        <w:t>.</w:t>
      </w:r>
      <w:r w:rsidRPr="00AC3882">
        <w:t xml:space="preserve"> </w:t>
      </w:r>
    </w:p>
    <w:p w:rsidR="002C2D5A" w:rsidP="002C2D5A" w14:paraId="3867A216" w14:textId="34E1EB4F">
      <w:pPr>
        <w:pStyle w:val="FootnoteText"/>
        <w:spacing w:line="480" w:lineRule="auto"/>
        <w:ind w:firstLine="720"/>
        <w:rPr>
          <w:sz w:val="24"/>
          <w:szCs w:val="24"/>
        </w:rPr>
      </w:pPr>
      <w:r w:rsidRPr="00340405">
        <w:rPr>
          <w:bCs/>
          <w:sz w:val="24"/>
          <w:szCs w:val="24"/>
        </w:rPr>
        <w:t>The</w:t>
      </w:r>
      <w:r w:rsidR="001053B0">
        <w:rPr>
          <w:bCs/>
          <w:sz w:val="24"/>
          <w:szCs w:val="24"/>
        </w:rPr>
        <w:t xml:space="preserve">re is no question that </w:t>
      </w:r>
      <w:r>
        <w:rPr>
          <w:bCs/>
          <w:sz w:val="24"/>
          <w:szCs w:val="24"/>
        </w:rPr>
        <w:t xml:space="preserve">consumers in </w:t>
      </w:r>
      <w:r w:rsidRPr="00340405">
        <w:rPr>
          <w:bCs/>
          <w:sz w:val="24"/>
          <w:szCs w:val="24"/>
        </w:rPr>
        <w:t xml:space="preserve">Dominion’s </w:t>
      </w:r>
      <w:r>
        <w:rPr>
          <w:bCs/>
          <w:sz w:val="24"/>
          <w:szCs w:val="24"/>
        </w:rPr>
        <w:t xml:space="preserve">service area </w:t>
      </w:r>
      <w:r w:rsidRPr="00340405">
        <w:rPr>
          <w:bCs/>
          <w:sz w:val="24"/>
          <w:szCs w:val="24"/>
        </w:rPr>
        <w:t>will be harmed substantially</w:t>
      </w:r>
      <w:r w:rsidR="001053B0">
        <w:rPr>
          <w:bCs/>
          <w:sz w:val="24"/>
          <w:szCs w:val="24"/>
        </w:rPr>
        <w:t xml:space="preserve"> by </w:t>
      </w:r>
      <w:bookmarkStart w:id="11" w:name="_Hlk84632627"/>
      <w:r w:rsidR="001053B0">
        <w:rPr>
          <w:bCs/>
          <w:sz w:val="24"/>
          <w:szCs w:val="24"/>
        </w:rPr>
        <w:t>the</w:t>
      </w:r>
      <w:r w:rsidRPr="00340405" w:rsidR="001053B0">
        <w:rPr>
          <w:bCs/>
          <w:sz w:val="24"/>
          <w:szCs w:val="24"/>
        </w:rPr>
        <w:t xml:space="preserve"> excessively high and unreasonable pre-tax rate of return of 9.91%</w:t>
      </w:r>
      <w:r w:rsidR="001053B0">
        <w:rPr>
          <w:bCs/>
          <w:sz w:val="24"/>
          <w:szCs w:val="24"/>
        </w:rPr>
        <w:t xml:space="preserve"> included in the Settlement</w:t>
      </w:r>
      <w:bookmarkEnd w:id="11"/>
      <w:r>
        <w:rPr>
          <w:bCs/>
          <w:sz w:val="24"/>
          <w:szCs w:val="24"/>
        </w:rPr>
        <w:t>.</w:t>
      </w:r>
      <w:r>
        <w:rPr>
          <w:rStyle w:val="FootnoteReference"/>
          <w:bCs/>
          <w:sz w:val="24"/>
          <w:szCs w:val="24"/>
        </w:rPr>
        <w:footnoteReference w:id="14"/>
      </w:r>
      <w:r>
        <w:rPr>
          <w:bCs/>
          <w:sz w:val="24"/>
          <w:szCs w:val="24"/>
        </w:rPr>
        <w:t xml:space="preserve"> </w:t>
      </w:r>
      <w:r w:rsidRPr="00667D7D" w:rsidR="00E41D87">
        <w:rPr>
          <w:sz w:val="24"/>
          <w:szCs w:val="24"/>
        </w:rPr>
        <w:t>A precise calculation of the additional harms to consumers depends on the amount of PIR capital investments added by Dominion and other factors during the 2022 to 2027 period. They are not known at this time.</w:t>
      </w:r>
      <w:r>
        <w:rPr>
          <w:rStyle w:val="FootnoteReference"/>
          <w:sz w:val="24"/>
          <w:szCs w:val="24"/>
        </w:rPr>
        <w:footnoteReference w:id="15"/>
      </w:r>
      <w:r w:rsidRPr="00667D7D" w:rsidR="00E41D87">
        <w:rPr>
          <w:sz w:val="24"/>
          <w:szCs w:val="24"/>
        </w:rPr>
        <w:t xml:space="preserve"> </w:t>
      </w:r>
      <w:r w:rsidR="00B307CA">
        <w:rPr>
          <w:sz w:val="24"/>
          <w:szCs w:val="24"/>
        </w:rPr>
        <w:t>Nevertheless, g</w:t>
      </w:r>
      <w:r w:rsidRPr="00667D7D" w:rsidR="00E41D87">
        <w:rPr>
          <w:sz w:val="24"/>
          <w:szCs w:val="24"/>
        </w:rPr>
        <w:t xml:space="preserve">iven the even larger amount of capital investment associated with the PIR program, the harm to consumers from adopting the 9.91% pre-tax rate of return will </w:t>
      </w:r>
      <w:r w:rsidR="00B307CA">
        <w:rPr>
          <w:sz w:val="24"/>
          <w:szCs w:val="24"/>
        </w:rPr>
        <w:t xml:space="preserve">likely </w:t>
      </w:r>
      <w:r w:rsidRPr="00667D7D" w:rsidR="00E41D87">
        <w:rPr>
          <w:sz w:val="24"/>
          <w:szCs w:val="24"/>
        </w:rPr>
        <w:t xml:space="preserve">be even greater than what </w:t>
      </w:r>
      <w:r w:rsidR="0032303E">
        <w:rPr>
          <w:sz w:val="24"/>
          <w:szCs w:val="24"/>
        </w:rPr>
        <w:t xml:space="preserve">OCC </w:t>
      </w:r>
      <w:r w:rsidRPr="00667D7D" w:rsidR="00E41D87">
        <w:rPr>
          <w:sz w:val="24"/>
          <w:szCs w:val="24"/>
        </w:rPr>
        <w:t>calculated for Dominion’s CEP program</w:t>
      </w:r>
      <w:r w:rsidR="0032303E">
        <w:rPr>
          <w:sz w:val="24"/>
          <w:szCs w:val="24"/>
        </w:rPr>
        <w:t xml:space="preserve"> (approximately $18.6 million) in Case </w:t>
      </w:r>
      <w:r w:rsidR="00F131C7">
        <w:rPr>
          <w:sz w:val="24"/>
          <w:szCs w:val="24"/>
        </w:rPr>
        <w:t>N</w:t>
      </w:r>
      <w:r w:rsidR="0032303E">
        <w:rPr>
          <w:sz w:val="24"/>
          <w:szCs w:val="24"/>
        </w:rPr>
        <w:t>o. 21-619-GA-RDR</w:t>
      </w:r>
      <w:r w:rsidRPr="00667D7D" w:rsidR="00E41D87">
        <w:rPr>
          <w:sz w:val="24"/>
          <w:szCs w:val="24"/>
        </w:rPr>
        <w:t>.</w:t>
      </w:r>
      <w:r>
        <w:rPr>
          <w:rStyle w:val="FootnoteReference"/>
          <w:sz w:val="24"/>
          <w:szCs w:val="24"/>
        </w:rPr>
        <w:footnoteReference w:id="16"/>
      </w:r>
      <w:r w:rsidRPr="00667D7D">
        <w:rPr>
          <w:sz w:val="24"/>
          <w:szCs w:val="24"/>
        </w:rPr>
        <w:t xml:space="preserve"> </w:t>
      </w:r>
      <w:r w:rsidR="0085592C">
        <w:rPr>
          <w:sz w:val="24"/>
          <w:szCs w:val="24"/>
        </w:rPr>
        <w:t xml:space="preserve">Simply put, an unreasonably high rate of return plus larger capital investment equals higher charges for customers and higher profits for Dominion. </w:t>
      </w:r>
    </w:p>
    <w:p w:rsidR="0086594D" w:rsidP="002644BF" w14:paraId="77E050F1" w14:textId="0CFCC631">
      <w:pPr>
        <w:pStyle w:val="Heading3"/>
      </w:pPr>
      <w:bookmarkStart w:id="12" w:name="_Toc84671827"/>
      <w:bookmarkStart w:id="13" w:name="_Toc88492709"/>
      <w:r>
        <w:t xml:space="preserve">The PUCO should reject the proposed </w:t>
      </w:r>
      <w:r w:rsidR="00F134FB">
        <w:t>pre</w:t>
      </w:r>
      <w:r w:rsidR="0018279B">
        <w:t>-</w:t>
      </w:r>
      <w:r w:rsidR="00F134FB">
        <w:t>tax rate of return of 9.91%</w:t>
      </w:r>
      <w:r w:rsidR="0018279B">
        <w:t xml:space="preserve"> proposed by Dominion</w:t>
      </w:r>
      <w:r w:rsidR="00F134FB">
        <w:t xml:space="preserve"> and instead adopt a pre-tax rate of return of 7.20% to protect consumers.</w:t>
      </w:r>
      <w:bookmarkEnd w:id="12"/>
      <w:bookmarkEnd w:id="13"/>
    </w:p>
    <w:p w:rsidR="00985BEC" w:rsidP="00B307CA" w14:paraId="595D286C" w14:textId="1CD91292">
      <w:pPr>
        <w:spacing w:before="240" w:line="480" w:lineRule="auto"/>
        <w:ind w:firstLine="720"/>
      </w:pPr>
      <w:bookmarkStart w:id="14" w:name="_Hlk84632327"/>
      <w:r>
        <w:t xml:space="preserve">The 9.91% pre-tax rate of return proposed by Dominion is unreasonable for two reasons. </w:t>
      </w:r>
      <w:r w:rsidRPr="00297971">
        <w:t xml:space="preserve">First, </w:t>
      </w:r>
      <w:r w:rsidR="00D72AFE">
        <w:t>it includes a 10.38 percent return on equity that is</w:t>
      </w:r>
      <w:r w:rsidRPr="00297971">
        <w:t xml:space="preserve"> vastly inflated </w:t>
      </w:r>
      <w:r w:rsidR="00D72AFE">
        <w:t>and</w:t>
      </w:r>
      <w:r w:rsidRPr="00297971">
        <w:t xml:space="preserve"> will result in </w:t>
      </w:r>
      <w:r>
        <w:t xml:space="preserve">much </w:t>
      </w:r>
      <w:r w:rsidRPr="00297971">
        <w:t xml:space="preserve">higher than justified </w:t>
      </w:r>
      <w:r w:rsidR="008C1D8A">
        <w:t>charges</w:t>
      </w:r>
      <w:r w:rsidRPr="00297971">
        <w:t xml:space="preserve"> for consumers and </w:t>
      </w:r>
      <w:r w:rsidR="00D72AFE">
        <w:t>undeserved and</w:t>
      </w:r>
      <w:r w:rsidRPr="00297971">
        <w:t xml:space="preserve"> unreasonable</w:t>
      </w:r>
      <w:r w:rsidR="00D72AFE">
        <w:t xml:space="preserve"> profits for Dominion</w:t>
      </w:r>
      <w:r w:rsidRPr="00297971">
        <w:t>.</w:t>
      </w:r>
      <w:r>
        <w:rPr>
          <w:rStyle w:val="FootnoteReference"/>
        </w:rPr>
        <w:footnoteReference w:id="17"/>
      </w:r>
      <w:r w:rsidRPr="00297971">
        <w:t xml:space="preserve"> </w:t>
      </w:r>
      <w:r w:rsidR="00D72AFE">
        <w:t>F</w:t>
      </w:r>
      <w:r>
        <w:t>inancial market conditions and the business and financial risks facing Dominion have improved significantly since 2008.</w:t>
      </w:r>
      <w:r>
        <w:rPr>
          <w:rStyle w:val="FootnoteReference"/>
        </w:rPr>
        <w:footnoteReference w:id="18"/>
      </w:r>
      <w:r>
        <w:t xml:space="preserve"> </w:t>
      </w:r>
      <w:r w:rsidR="00D72AFE">
        <w:t>And the authorized cost of equity for gas distribution companies nationwide has declined during the same period and is much lower than the 10.38% decided in Dominion’s last rate case.</w:t>
      </w:r>
      <w:r>
        <w:rPr>
          <w:rStyle w:val="FootnoteReference"/>
        </w:rPr>
        <w:footnoteReference w:id="19"/>
      </w:r>
      <w:r w:rsidR="00D72AFE">
        <w:t xml:space="preserve"> Continued use of the 10.38% return on equity for the PIR Program is simply not supported by current market conditions or Dominion’s risk.</w:t>
      </w:r>
      <w:r w:rsidR="001572D1">
        <w:t xml:space="preserve"> </w:t>
      </w:r>
      <w:r w:rsidR="00D72AFE">
        <w:t>Second</w:t>
      </w:r>
      <w:r>
        <w:t>, Dominion’s current cost of debt is merely 2.29%.</w:t>
      </w:r>
      <w:r>
        <w:rPr>
          <w:rStyle w:val="FootnoteReference"/>
        </w:rPr>
        <w:footnoteReference w:id="20"/>
      </w:r>
      <w:r>
        <w:t xml:space="preserve"> That is only about one third of the 6.50% cost of debt the PUCO set for Dominion 13 years ago and that Dominion still wants to charge to consumers now.</w:t>
      </w:r>
      <w:r w:rsidR="001572D1">
        <w:t xml:space="preserve"> </w:t>
      </w:r>
    </w:p>
    <w:p w:rsidR="00B307CA" w:rsidP="002644BF" w14:paraId="0141C22F" w14:textId="6DFAEE7A">
      <w:pPr>
        <w:spacing w:line="480" w:lineRule="auto"/>
        <w:ind w:firstLine="720"/>
      </w:pPr>
      <w:r>
        <w:t>However, neither Dominion</w:t>
      </w:r>
      <w:r w:rsidR="00E835D5">
        <w:t xml:space="preserve"> nor </w:t>
      </w:r>
      <w:r>
        <w:t>the PUCO Staff ha</w:t>
      </w:r>
      <w:r w:rsidR="00E835D5">
        <w:t>ve</w:t>
      </w:r>
      <w:r>
        <w:t xml:space="preserve"> provided any factual support for using a high cost of equity of 10.38% and a high cost of debt of 6.50% to charge to consumers.</w:t>
      </w:r>
      <w:r>
        <w:rPr>
          <w:rStyle w:val="FootnoteReference"/>
        </w:rPr>
        <w:footnoteReference w:id="21"/>
      </w:r>
      <w:r>
        <w:t xml:space="preserve"> </w:t>
      </w:r>
      <w:r w:rsidR="00985BEC">
        <w:t>Dominion and the PUCO Staff offered no testimony by a rate of return expert to support the use of an unreasonably high cost of equity of 10.38% and a high cost of debt of 6.50% in calculating the 9.91% pre-tax rate of return. The Dominion witnes</w:t>
      </w:r>
      <w:r w:rsidR="0044516D">
        <w:t>s</w:t>
      </w:r>
      <w:r w:rsidR="00985BEC">
        <w:t xml:space="preserve"> in this proceeding </w:t>
      </w:r>
      <w:r w:rsidR="0044516D">
        <w:t>is</w:t>
      </w:r>
      <w:r w:rsidR="00985BEC">
        <w:t xml:space="preserve"> not </w:t>
      </w:r>
      <w:r w:rsidR="0044516D">
        <w:t xml:space="preserve">a </w:t>
      </w:r>
      <w:r w:rsidR="00985BEC">
        <w:t xml:space="preserve">rate of return expert and </w:t>
      </w:r>
      <w:r w:rsidR="0044516D">
        <w:t xml:space="preserve">does </w:t>
      </w:r>
      <w:r w:rsidR="00985BEC">
        <w:t>not offer any opinion on whether the 9.91% pre-tax rate of return is reasonable or not. Dominion has proposed to charge an outdated rate of return and the PUCO Staff is accepting it without any explanation.</w:t>
      </w:r>
    </w:p>
    <w:p w:rsidR="00B307CA" w:rsidP="00B307CA" w14:paraId="52C33BB2" w14:textId="6F30A1D2">
      <w:pPr>
        <w:spacing w:line="480" w:lineRule="auto"/>
        <w:ind w:firstLine="720"/>
      </w:pPr>
      <w:r>
        <w:t>OCC is the only party in this proceeding to present any evidence regarding a reasonable rate of return based on current market condition and Dominion’s own business and financial risks.</w:t>
      </w:r>
      <w:r w:rsidR="001572D1">
        <w:t xml:space="preserve"> </w:t>
      </w:r>
      <w:r>
        <w:t>Specifically, OCC’s witness, Daniel J. Duann, Ph.D. has reviewed the current financial market conditions and the business and financial risks facing Dominion at this time.</w:t>
      </w:r>
      <w:r w:rsidR="001572D1">
        <w:t xml:space="preserve"> </w:t>
      </w:r>
      <w:r>
        <w:t>He</w:t>
      </w:r>
      <w:r w:rsidRPr="00340405">
        <w:t xml:space="preserve"> </w:t>
      </w:r>
      <w:r>
        <w:t xml:space="preserve">concluded that </w:t>
      </w:r>
      <w:r w:rsidRPr="00340405">
        <w:t xml:space="preserve">a pre-tax rate of return of 7.20% </w:t>
      </w:r>
      <w:bookmarkStart w:id="15" w:name="_Hlk84632071"/>
      <w:r>
        <w:t xml:space="preserve">(reflecting a cost of equity of 9.36%, a cost of debt of 2.29%, a capital structure of </w:t>
      </w:r>
      <w:r w:rsidRPr="00340405">
        <w:t>48.66% debt and 51.34%</w:t>
      </w:r>
      <w:r>
        <w:t xml:space="preserve"> equity, and a tax-gross-up factor of 1.2658</w:t>
      </w:r>
      <w:bookmarkEnd w:id="15"/>
      <w:r>
        <w:t>) is reasonable and consistent with established regulatory principles and state policies.</w:t>
      </w:r>
      <w:r>
        <w:rPr>
          <w:rStyle w:val="FootnoteReference"/>
        </w:rPr>
        <w:footnoteReference w:id="22"/>
      </w:r>
      <w:r>
        <w:t xml:space="preserve"> Dominion did not issue any additional long-term debt in 2021 and there are no significant changes in the financial markets or Dominion’s risk profile to indicate the need for revision of Dominion’s cost of equity and cost of long-term debt.</w:t>
      </w:r>
      <w:r>
        <w:rPr>
          <w:rStyle w:val="FootnoteReference"/>
        </w:rPr>
        <w:footnoteReference w:id="23"/>
      </w:r>
    </w:p>
    <w:p w:rsidR="00BF6F01" w:rsidP="0005111E" w14:paraId="7D0A9BD2" w14:textId="46F60595">
      <w:pPr>
        <w:pStyle w:val="FootnoteText"/>
        <w:spacing w:line="480" w:lineRule="auto"/>
        <w:ind w:firstLine="720"/>
        <w:rPr>
          <w:bCs/>
          <w:sz w:val="24"/>
          <w:szCs w:val="24"/>
        </w:rPr>
      </w:pPr>
      <w:r>
        <w:rPr>
          <w:bCs/>
          <w:sz w:val="24"/>
          <w:szCs w:val="24"/>
        </w:rPr>
        <w:t>U</w:t>
      </w:r>
      <w:r w:rsidRPr="008D4365" w:rsidR="00C5213E">
        <w:rPr>
          <w:bCs/>
          <w:sz w:val="24"/>
          <w:szCs w:val="24"/>
        </w:rPr>
        <w:t xml:space="preserve">sing a </w:t>
      </w:r>
      <w:r w:rsidRPr="008D4365" w:rsidR="00B80026">
        <w:rPr>
          <w:bCs/>
          <w:sz w:val="24"/>
          <w:szCs w:val="24"/>
        </w:rPr>
        <w:t xml:space="preserve">7.20% pre-tax rate of return, as recommended by </w:t>
      </w:r>
      <w:r w:rsidR="00985BEC">
        <w:rPr>
          <w:bCs/>
          <w:sz w:val="24"/>
          <w:szCs w:val="24"/>
        </w:rPr>
        <w:t>OCC</w:t>
      </w:r>
      <w:r w:rsidRPr="008D4365" w:rsidR="00B80026">
        <w:rPr>
          <w:bCs/>
          <w:sz w:val="24"/>
          <w:szCs w:val="24"/>
        </w:rPr>
        <w:t xml:space="preserve">, would permit Dominion to continue its </w:t>
      </w:r>
      <w:r w:rsidR="00985BEC">
        <w:rPr>
          <w:bCs/>
          <w:sz w:val="24"/>
          <w:szCs w:val="24"/>
        </w:rPr>
        <w:t>PIR</w:t>
      </w:r>
      <w:r w:rsidRPr="008D4365" w:rsidR="00B80026">
        <w:rPr>
          <w:bCs/>
          <w:sz w:val="24"/>
          <w:szCs w:val="24"/>
        </w:rPr>
        <w:t xml:space="preserve"> program</w:t>
      </w:r>
      <w:r w:rsidR="00AB04D3">
        <w:rPr>
          <w:bCs/>
          <w:sz w:val="24"/>
          <w:szCs w:val="24"/>
        </w:rPr>
        <w:t xml:space="preserve">. </w:t>
      </w:r>
      <w:r w:rsidR="00D050DB">
        <w:rPr>
          <w:bCs/>
          <w:sz w:val="24"/>
          <w:szCs w:val="24"/>
        </w:rPr>
        <w:t>T</w:t>
      </w:r>
      <w:r w:rsidRPr="008D4365" w:rsidR="008D4365">
        <w:rPr>
          <w:iCs/>
          <w:sz w:val="24"/>
          <w:szCs w:val="24"/>
        </w:rPr>
        <w:t xml:space="preserve">he 7.20% pre-tax rate of return is reasonable and can provide sufficient profits and debt cost coverage to Dominion based on current market conditions and Dominion’s current business and financial risks. Dominion would not encounter any difficulty in </w:t>
      </w:r>
      <w:r w:rsidRPr="008D4365" w:rsidR="008D4365">
        <w:rPr>
          <w:bCs/>
          <w:sz w:val="24"/>
          <w:szCs w:val="24"/>
        </w:rPr>
        <w:t xml:space="preserve">obtaining funding (both equity and debt) to make the </w:t>
      </w:r>
      <w:r w:rsidR="00985BEC">
        <w:rPr>
          <w:bCs/>
          <w:sz w:val="24"/>
          <w:szCs w:val="24"/>
        </w:rPr>
        <w:t xml:space="preserve">PIR </w:t>
      </w:r>
      <w:r w:rsidRPr="008D4365" w:rsidR="008D4365">
        <w:rPr>
          <w:bCs/>
          <w:sz w:val="24"/>
          <w:szCs w:val="24"/>
        </w:rPr>
        <w:t xml:space="preserve">investments, collecting returns on deferrals, and covering operating expenses if the 7.20% pre-tax rate of return were adopted. </w:t>
      </w:r>
      <w:r w:rsidR="0013572E">
        <w:rPr>
          <w:bCs/>
          <w:sz w:val="24"/>
          <w:szCs w:val="24"/>
        </w:rPr>
        <w:t xml:space="preserve">Neither Dominion nor the </w:t>
      </w:r>
      <w:r w:rsidRPr="008D4365" w:rsidR="008D4365">
        <w:rPr>
          <w:bCs/>
          <w:sz w:val="24"/>
          <w:szCs w:val="24"/>
        </w:rPr>
        <w:t xml:space="preserve">PUCO Staff </w:t>
      </w:r>
      <w:r w:rsidR="0013572E">
        <w:rPr>
          <w:bCs/>
          <w:sz w:val="24"/>
          <w:szCs w:val="24"/>
        </w:rPr>
        <w:t xml:space="preserve">claimed that </w:t>
      </w:r>
      <w:r w:rsidRPr="008D4365" w:rsidR="008D4365">
        <w:rPr>
          <w:bCs/>
          <w:sz w:val="24"/>
          <w:szCs w:val="24"/>
        </w:rPr>
        <w:t xml:space="preserve">the </w:t>
      </w:r>
      <w:r w:rsidR="00985BEC">
        <w:rPr>
          <w:bCs/>
          <w:sz w:val="24"/>
          <w:szCs w:val="24"/>
        </w:rPr>
        <w:t>PIR</w:t>
      </w:r>
      <w:r w:rsidRPr="008D4365" w:rsidR="008D4365">
        <w:rPr>
          <w:bCs/>
          <w:sz w:val="24"/>
          <w:szCs w:val="24"/>
        </w:rPr>
        <w:t xml:space="preserve"> program cannot continue under a lower pre-tax rate of return of 7.20%), either.</w:t>
      </w:r>
    </w:p>
    <w:p w:rsidR="003B3D29" w:rsidP="003B3D29" w14:paraId="59DD260F" w14:textId="67EDF3F8">
      <w:pPr>
        <w:pStyle w:val="Heading3"/>
      </w:pPr>
      <w:bookmarkStart w:id="16" w:name="_Toc88492710"/>
      <w:r>
        <w:t>The PUCO should not permit</w:t>
      </w:r>
      <w:r w:rsidRPr="002C65B4">
        <w:t xml:space="preserve"> Dominion to add substantial new charges</w:t>
      </w:r>
      <w:r>
        <w:t>,</w:t>
      </w:r>
      <w:r w:rsidRPr="002C65B4">
        <w:t xml:space="preserve"> </w:t>
      </w:r>
      <w:r>
        <w:t xml:space="preserve">that are </w:t>
      </w:r>
      <w:r w:rsidRPr="002644BF">
        <w:t>unjust and unreasonable, to consumers’ bills given the challenging economic time experienced by many Ohioans.</w:t>
      </w:r>
      <w:bookmarkEnd w:id="16"/>
      <w:r>
        <w:t xml:space="preserve"> </w:t>
      </w:r>
    </w:p>
    <w:p w:rsidR="001572D1" w:rsidRPr="001572D1" w:rsidP="001572D1" w14:paraId="2EB57173" w14:textId="77777777"/>
    <w:p w:rsidR="003B3D29" w:rsidP="003B3D29" w14:paraId="140A032A" w14:textId="37BCEE60">
      <w:pPr>
        <w:spacing w:line="480" w:lineRule="auto"/>
        <w:ind w:firstLine="720"/>
      </w:pPr>
      <w:r>
        <w:t>As discussed by OCC witness, Dr. Daniel J. Duann, Dominion’s residential consumers are being asked to pay more – a lot more if the proposed Settlement is approved.</w:t>
      </w:r>
      <w:r w:rsidR="00346565">
        <w:t xml:space="preserve"> </w:t>
      </w:r>
      <w:r>
        <w:t>Dominion’s current PIR Rider rate for residential consumers is $14.98 per month ($179.76 per year). And under the Settlement, residential consumers could be paying as much as $20.27 per month ($243.24 per year) for the PIR in 2025 by the time that new base distribution rates using an updated rate of return will take effect from the base rate case that Dominion has committed to file in October 2024.</w:t>
      </w:r>
      <w:r>
        <w:rPr>
          <w:rStyle w:val="FootnoteReference"/>
        </w:rPr>
        <w:footnoteReference w:id="24"/>
      </w:r>
      <w:r w:rsidR="001572D1">
        <w:t xml:space="preserve"> </w:t>
      </w:r>
      <w:r>
        <w:t>This additional burden to consumers from using this outdated and inflated pre-tax rate of return is more alarming now with the very rapid rise in natural gas and other energy costs in recent months and potentially over an extended time into the future.</w:t>
      </w:r>
      <w:r>
        <w:rPr>
          <w:rStyle w:val="FootnoteReference"/>
        </w:rPr>
        <w:footnoteReference w:id="25"/>
      </w:r>
      <w:r>
        <w:t xml:space="preserve"> The Energy Information Administration recently warned: </w:t>
      </w:r>
    </w:p>
    <w:p w:rsidR="003B3D29" w:rsidP="003B3D29" w14:paraId="5F282372" w14:textId="6611A0BB">
      <w:pPr>
        <w:ind w:left="720"/>
      </w:pPr>
      <w:r>
        <w:t>“We expect that the nearly half of U.S. households that heat primarily with natural gas will spend 30% more than they spent last winter on average—50% more if the winter is 10% colder-than-average and 22% more if the winter is 10% warmer-than-average.”</w:t>
      </w:r>
      <w:r w:rsidR="001572D1">
        <w:t xml:space="preserve"> </w:t>
      </w:r>
      <w:r>
        <w:t>For the Midwest Region (where Ohio is located), the increase in natural gas expenditure is expected to be even higher at 48.6%, from $551 to $818. The unit price ($/Mcf) of natural gas in the Midwest Region is forecasted to increase by 44.7% from $7.80 to $11.28.</w:t>
      </w:r>
      <w:r>
        <w:rPr>
          <w:rStyle w:val="FootnoteReference"/>
        </w:rPr>
        <w:footnoteReference w:id="26"/>
      </w:r>
      <w:r>
        <w:t xml:space="preserve"> </w:t>
      </w:r>
    </w:p>
    <w:p w:rsidR="003B3D29" w:rsidP="003B3D29" w14:paraId="21E4A74E" w14:textId="77777777">
      <w:pPr>
        <w:ind w:left="720"/>
      </w:pPr>
    </w:p>
    <w:p w:rsidR="003B3D29" w:rsidP="003B3D29" w14:paraId="5BF31B79" w14:textId="77777777">
      <w:pPr>
        <w:spacing w:line="480" w:lineRule="auto"/>
        <w:ind w:firstLine="720"/>
      </w:pPr>
      <w:r>
        <w:t>The PUCO may have little control over the gas commodity prices as they are largely determined in the marketplace. But the PUCO does have the power (and responsibility) to set reasonable profits (authorized return on equity) and debt costs for Dominion’s PIR program to protect consumers from paying unreasonable rates. The PUCO should redouble its efforts to lower the costs of gas services, including the PIR charge, to protect consumers, especially those at-risk population.</w:t>
      </w:r>
      <w:r>
        <w:rPr>
          <w:rStyle w:val="FootnoteReference"/>
        </w:rPr>
        <w:footnoteReference w:id="27"/>
      </w:r>
    </w:p>
    <w:p w:rsidR="00AB4685" w:rsidP="00446079" w14:paraId="7EE6AD43" w14:textId="0338E289">
      <w:pPr>
        <w:spacing w:line="480" w:lineRule="auto"/>
        <w:ind w:firstLine="720"/>
        <w:rPr>
          <w:bCs/>
        </w:rPr>
      </w:pPr>
      <w:r>
        <w:rPr>
          <w:bCs/>
        </w:rPr>
        <w:t>The PUCO should reject or modify the Settlement to implement Dr. Duann’s recommended rate of return of 7.20% to protect consumers.</w:t>
      </w:r>
    </w:p>
    <w:p w:rsidR="00FB4EC9" w:rsidP="00957261" w14:paraId="38A27F94" w14:textId="3553B1BA">
      <w:pPr>
        <w:pStyle w:val="Heading2"/>
        <w:tabs>
          <w:tab w:val="clear" w:pos="4320"/>
        </w:tabs>
      </w:pPr>
      <w:bookmarkStart w:id="17" w:name="_Toc84671828"/>
      <w:bookmarkStart w:id="18" w:name="_Toc88492711"/>
      <w:bookmarkEnd w:id="14"/>
      <w:r>
        <w:t>T</w:t>
      </w:r>
      <w:r w:rsidR="008C1D8A">
        <w:t>o protect consumers, t</w:t>
      </w:r>
      <w:r>
        <w:t xml:space="preserve">he PUCO should reject or modify the Settlement because </w:t>
      </w:r>
      <w:r w:rsidR="0013572E">
        <w:t>using an outdated and inflated rate of return</w:t>
      </w:r>
      <w:r>
        <w:t xml:space="preserve"> violates </w:t>
      </w:r>
      <w:r w:rsidR="00F71929">
        <w:t xml:space="preserve">important </w:t>
      </w:r>
      <w:r>
        <w:t xml:space="preserve">regulatory </w:t>
      </w:r>
      <w:r w:rsidR="001C79E5">
        <w:t xml:space="preserve">and state </w:t>
      </w:r>
      <w:r>
        <w:t>principles and practices.</w:t>
      </w:r>
      <w:bookmarkEnd w:id="17"/>
      <w:bookmarkEnd w:id="18"/>
    </w:p>
    <w:p w:rsidR="002272E3" w:rsidP="002644BF" w14:paraId="17A73FF0" w14:textId="4DA84BC6">
      <w:pPr>
        <w:pStyle w:val="Heading3"/>
      </w:pPr>
      <w:bookmarkStart w:id="19" w:name="_Toc88492712"/>
      <w:r>
        <w:t>Using</w:t>
      </w:r>
      <w:r w:rsidRPr="00340405">
        <w:t xml:space="preserve"> an outdated and </w:t>
      </w:r>
      <w:r>
        <w:t xml:space="preserve">inflated pre-tax rate of return </w:t>
      </w:r>
      <w:r w:rsidRPr="00340405">
        <w:t xml:space="preserve">will increase the revenue requirement for </w:t>
      </w:r>
      <w:r>
        <w:t>the</w:t>
      </w:r>
      <w:r w:rsidRPr="00340405">
        <w:t xml:space="preserve"> CEP </w:t>
      </w:r>
      <w:r>
        <w:t xml:space="preserve">program </w:t>
      </w:r>
      <w:r w:rsidRPr="00340405">
        <w:t xml:space="preserve">and lead to rates that are unjust and unreasonable (and too high) for </w:t>
      </w:r>
      <w:r>
        <w:t>consumer</w:t>
      </w:r>
      <w:r w:rsidRPr="00340405">
        <w:t>s</w:t>
      </w:r>
      <w:r>
        <w:t>, which violates important regulatory principles</w:t>
      </w:r>
      <w:r w:rsidR="005B6625">
        <w:t>.</w:t>
      </w:r>
      <w:bookmarkEnd w:id="19"/>
    </w:p>
    <w:p w:rsidR="002272E3" w:rsidRPr="002272E3" w:rsidP="002272E3" w14:paraId="3CA1301B" w14:textId="77777777"/>
    <w:p w:rsidR="001572D1" w:rsidP="00065D2D" w14:paraId="39159729" w14:textId="3D1A3B33">
      <w:pPr>
        <w:spacing w:line="480" w:lineRule="auto"/>
        <w:ind w:firstLine="720"/>
      </w:pPr>
      <w:r>
        <w:rPr>
          <w:bCs/>
        </w:rPr>
        <w:t>The Settlement fails the third prong because using an outdated and inflated pre-tax rate of return increases the revenue requirement for the CEP program and leads to rates that are unjust and unreasonable for consumers, violating important regulatory principles</w:t>
      </w:r>
      <w:r w:rsidR="00570E3C">
        <w:rPr>
          <w:bCs/>
        </w:rPr>
        <w:t xml:space="preserve"> and state policies</w:t>
      </w:r>
      <w:r>
        <w:rPr>
          <w:bCs/>
        </w:rPr>
        <w:t xml:space="preserve">. </w:t>
      </w:r>
      <w:r w:rsidRPr="005B67E8" w:rsidR="00065D2D">
        <w:rPr>
          <w:bCs/>
        </w:rPr>
        <w:t xml:space="preserve">The regulatory principles </w:t>
      </w:r>
      <w:r w:rsidR="00065D2D">
        <w:rPr>
          <w:bCs/>
        </w:rPr>
        <w:t xml:space="preserve">used </w:t>
      </w:r>
      <w:r w:rsidRPr="005B67E8" w:rsidR="00065D2D">
        <w:rPr>
          <w:bCs/>
        </w:rPr>
        <w:t>in setting a reasonable rate of return</w:t>
      </w:r>
      <w:r w:rsidR="00065D2D">
        <w:rPr>
          <w:bCs/>
        </w:rPr>
        <w:t xml:space="preserve"> </w:t>
      </w:r>
      <w:r w:rsidRPr="005B67E8" w:rsidR="00065D2D">
        <w:rPr>
          <w:bCs/>
        </w:rPr>
        <w:t xml:space="preserve">for regulated </w:t>
      </w:r>
      <w:r w:rsidR="00065D2D">
        <w:rPr>
          <w:bCs/>
        </w:rPr>
        <w:t>u</w:t>
      </w:r>
      <w:r w:rsidRPr="005B67E8" w:rsidR="00065D2D">
        <w:rPr>
          <w:bCs/>
        </w:rPr>
        <w:t>tilit</w:t>
      </w:r>
      <w:r w:rsidR="00065D2D">
        <w:rPr>
          <w:bCs/>
        </w:rPr>
        <w:t xml:space="preserve">ies, including the cost of </w:t>
      </w:r>
      <w:r w:rsidRPr="005B67E8" w:rsidR="00065D2D">
        <w:rPr>
          <w:bCs/>
        </w:rPr>
        <w:t>equity</w:t>
      </w:r>
      <w:r w:rsidR="00065D2D">
        <w:rPr>
          <w:bCs/>
        </w:rPr>
        <w:t xml:space="preserve"> (“return on equity” or “allowed profits”) and cost of debt, </w:t>
      </w:r>
      <w:r w:rsidRPr="005B67E8" w:rsidR="00065D2D">
        <w:rPr>
          <w:bCs/>
        </w:rPr>
        <w:t>are well-established</w:t>
      </w:r>
      <w:r w:rsidR="00065D2D">
        <w:rPr>
          <w:bCs/>
        </w:rPr>
        <w:t>.</w:t>
      </w:r>
      <w:r>
        <w:rPr>
          <w:rStyle w:val="FootnoteReference"/>
          <w:bCs/>
        </w:rPr>
        <w:footnoteReference w:id="28"/>
      </w:r>
      <w:r w:rsidR="00065D2D">
        <w:rPr>
          <w:bCs/>
        </w:rPr>
        <w:t xml:space="preserve"> The fundamental regulatory principles regarding rate of return are best exemplified </w:t>
      </w:r>
      <w:r w:rsidRPr="005B67E8" w:rsidR="00065D2D">
        <w:t xml:space="preserve">in the case of </w:t>
      </w:r>
      <w:r w:rsidRPr="005B67E8" w:rsidR="00065D2D">
        <w:rPr>
          <w:i/>
          <w:color w:val="000000"/>
        </w:rPr>
        <w:t xml:space="preserve">Bluefield Water Works v. Public Service Comm'n, </w:t>
      </w:r>
      <w:r w:rsidRPr="005B67E8" w:rsidR="00065D2D">
        <w:rPr>
          <w:color w:val="000000"/>
        </w:rPr>
        <w:t>262 U.S. 679 (1923)</w:t>
      </w:r>
      <w:r w:rsidR="00065D2D">
        <w:rPr>
          <w:color w:val="000000"/>
        </w:rPr>
        <w:t xml:space="preserve">. In that case, </w:t>
      </w:r>
      <w:r w:rsidRPr="005B67E8" w:rsidR="00065D2D">
        <w:t>the U.S Supreme Court ruled that</w:t>
      </w:r>
      <w:r w:rsidR="00065D2D">
        <w:t>:</w:t>
      </w:r>
    </w:p>
    <w:p w:rsidR="001572D1" w14:paraId="325DD5D7" w14:textId="77777777">
      <w:r>
        <w:br w:type="page"/>
      </w:r>
    </w:p>
    <w:p w:rsidR="00065D2D" w:rsidP="00065D2D" w14:paraId="0C54C13C" w14:textId="64E91B23">
      <w:pPr>
        <w:ind w:left="1440" w:right="1440"/>
      </w:pPr>
      <w:r w:rsidRPr="005B67E8">
        <w:t>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The return should be reasonably sufficient to assure confidence in the financial soundness of the utility, and should be adequate, under efficient and economic management, to maintain and support its credit and enable it to raise the money necessary for the proper discharge of its public duties.</w:t>
      </w:r>
      <w:r>
        <w:rPr>
          <w:rStyle w:val="FootnoteReference"/>
        </w:rPr>
        <w:footnoteReference w:id="29"/>
      </w:r>
    </w:p>
    <w:p w:rsidR="00594D4F" w:rsidP="00065D2D" w14:paraId="1D1B44AD" w14:textId="3A264FE7">
      <w:pPr>
        <w:ind w:left="1440" w:right="1440"/>
      </w:pPr>
    </w:p>
    <w:p w:rsidR="00BF74B4" w:rsidP="00BF74B4" w14:paraId="35A086BB" w14:textId="716E8082">
      <w:pPr>
        <w:spacing w:line="480" w:lineRule="auto"/>
        <w:ind w:firstLine="720"/>
      </w:pPr>
      <w:r>
        <w:rPr>
          <w:bCs/>
        </w:rPr>
        <w:t>Accordingly, for the purpose of this proceeding, t</w:t>
      </w:r>
      <w:r w:rsidRPr="00340405">
        <w:rPr>
          <w:bCs/>
        </w:rPr>
        <w:t>he return</w:t>
      </w:r>
      <w:r>
        <w:rPr>
          <w:bCs/>
        </w:rPr>
        <w:t>s</w:t>
      </w:r>
      <w:r w:rsidRPr="00340405">
        <w:rPr>
          <w:bCs/>
        </w:rPr>
        <w:t xml:space="preserve"> on the net rate base (net plant investment and deferrals) </w:t>
      </w:r>
      <w:r>
        <w:rPr>
          <w:bCs/>
        </w:rPr>
        <w:t xml:space="preserve">included in </w:t>
      </w:r>
      <w:r w:rsidR="002272E3">
        <w:rPr>
          <w:bCs/>
        </w:rPr>
        <w:t>PIR</w:t>
      </w:r>
      <w:r>
        <w:rPr>
          <w:bCs/>
        </w:rPr>
        <w:t xml:space="preserve"> charges </w:t>
      </w:r>
      <w:r w:rsidRPr="00340405">
        <w:rPr>
          <w:bCs/>
        </w:rPr>
        <w:t xml:space="preserve">should be commensurate with the </w:t>
      </w:r>
      <w:r>
        <w:rPr>
          <w:bCs/>
        </w:rPr>
        <w:t xml:space="preserve">current </w:t>
      </w:r>
      <w:r w:rsidRPr="00340405">
        <w:rPr>
          <w:bCs/>
        </w:rPr>
        <w:t xml:space="preserve">business and financial risks </w:t>
      </w:r>
      <w:r>
        <w:rPr>
          <w:bCs/>
        </w:rPr>
        <w:t xml:space="preserve">facing Dominion and </w:t>
      </w:r>
      <w:r w:rsidRPr="00340405">
        <w:rPr>
          <w:bCs/>
        </w:rPr>
        <w:t>current financial market conditions</w:t>
      </w:r>
      <w:r>
        <w:rPr>
          <w:bCs/>
        </w:rPr>
        <w:t xml:space="preserve">. But the </w:t>
      </w:r>
      <w:r w:rsidR="002272E3">
        <w:rPr>
          <w:bCs/>
        </w:rPr>
        <w:t xml:space="preserve">pre-tax rate of return included in the </w:t>
      </w:r>
      <w:r>
        <w:rPr>
          <w:bCs/>
        </w:rPr>
        <w:t xml:space="preserve">Settlement </w:t>
      </w:r>
      <w:r w:rsidR="00334859">
        <w:rPr>
          <w:bCs/>
        </w:rPr>
        <w:t>is</w:t>
      </w:r>
      <w:r>
        <w:rPr>
          <w:bCs/>
        </w:rPr>
        <w:t xml:space="preserve"> not commensurate with those current risks and conditions.</w:t>
      </w:r>
      <w:r w:rsidR="001572D1">
        <w:rPr>
          <w:bCs/>
        </w:rPr>
        <w:t xml:space="preserve"> </w:t>
      </w:r>
      <w:r>
        <w:rPr>
          <w:bCs/>
        </w:rPr>
        <w:t xml:space="preserve">Instead, the </w:t>
      </w:r>
      <w:r w:rsidR="002272E3">
        <w:rPr>
          <w:bCs/>
        </w:rPr>
        <w:t xml:space="preserve">pre-tax rate of return included in the </w:t>
      </w:r>
      <w:r>
        <w:rPr>
          <w:bCs/>
        </w:rPr>
        <w:t xml:space="preserve">Settlement </w:t>
      </w:r>
      <w:r w:rsidR="002272E3">
        <w:rPr>
          <w:bCs/>
        </w:rPr>
        <w:t xml:space="preserve">at 9.91% (and the resulting PIR </w:t>
      </w:r>
      <w:r>
        <w:rPr>
          <w:bCs/>
        </w:rPr>
        <w:t xml:space="preserve">charges </w:t>
      </w:r>
      <w:r w:rsidR="002272E3">
        <w:rPr>
          <w:bCs/>
        </w:rPr>
        <w:t xml:space="preserve">based on the inflated rate of return) far </w:t>
      </w:r>
      <w:r>
        <w:rPr>
          <w:bCs/>
        </w:rPr>
        <w:t>exceed those justified under current risks and market conditions, meaning the Settlement would result in Dominion overcharging consumers for its profit and cost of debt.</w:t>
      </w:r>
      <w:r w:rsidR="001572D1">
        <w:rPr>
          <w:bCs/>
        </w:rPr>
        <w:t xml:space="preserve"> </w:t>
      </w:r>
    </w:p>
    <w:p w:rsidR="00AB04D3" w:rsidP="00AB04D3" w14:paraId="6EA8FC2F" w14:textId="0BD92889">
      <w:pPr>
        <w:spacing w:line="480" w:lineRule="auto"/>
        <w:ind w:firstLine="720"/>
        <w:rPr>
          <w:bCs/>
        </w:rPr>
      </w:pPr>
      <w:r w:rsidRPr="00AB04D3">
        <w:rPr>
          <w:bCs/>
        </w:rPr>
        <w:t>Further, given that the authorized rate of return (for profits and cost of debt) for gas utilities have declined significantly during the period of 2008 to 2020, the continued use of a rate of return based on the market conditions and risk profiles of Dominion as 2008 is unreasonable.</w:t>
      </w:r>
      <w:r>
        <w:rPr>
          <w:bCs/>
          <w:vertAlign w:val="superscript"/>
        </w:rPr>
        <w:footnoteReference w:id="30"/>
      </w:r>
      <w:r w:rsidRPr="00AB04D3">
        <w:rPr>
          <w:bCs/>
        </w:rPr>
        <w:t xml:space="preserve"> Doing so does not comport with the fundamental regulatory principle that the rate of return authorized for a regulated utility should be based on current</w:t>
      </w:r>
      <w:r w:rsidRPr="00AB04D3">
        <w:rPr>
          <w:b/>
          <w:bCs/>
        </w:rPr>
        <w:t xml:space="preserve"> </w:t>
      </w:r>
      <w:r w:rsidRPr="00AB04D3">
        <w:rPr>
          <w:bCs/>
        </w:rPr>
        <w:t xml:space="preserve">market conditions and for giving </w:t>
      </w:r>
      <w:r w:rsidR="003B3D29">
        <w:rPr>
          <w:bCs/>
        </w:rPr>
        <w:t xml:space="preserve">shareholders </w:t>
      </w:r>
      <w:r w:rsidRPr="00AB04D3">
        <w:rPr>
          <w:bCs/>
        </w:rPr>
        <w:t xml:space="preserve">investors of the regulated utility an opportunity to earn a fair return </w:t>
      </w:r>
      <w:r w:rsidR="003B3D29">
        <w:rPr>
          <w:bCs/>
        </w:rPr>
        <w:t>when compared to the return that they might obtain were they to invest their money elsewhere.</w:t>
      </w:r>
      <w:r>
        <w:rPr>
          <w:bCs/>
          <w:vertAlign w:val="superscript"/>
        </w:rPr>
        <w:footnoteReference w:id="31"/>
      </w:r>
    </w:p>
    <w:p w:rsidR="005B6625" w:rsidP="005B6625" w14:paraId="605CF23E" w14:textId="04BF3A3A">
      <w:pPr>
        <w:pStyle w:val="Heading3"/>
      </w:pPr>
      <w:bookmarkStart w:id="20" w:name="_Toc88492713"/>
      <w:r>
        <w:t>Using</w:t>
      </w:r>
      <w:r w:rsidRPr="00340405">
        <w:t xml:space="preserve"> an outdated and </w:t>
      </w:r>
      <w:r>
        <w:t xml:space="preserve">inflated pre-tax rate of return </w:t>
      </w:r>
      <w:r w:rsidRPr="00340405">
        <w:t xml:space="preserve">will increase the revenue requirement for </w:t>
      </w:r>
      <w:r>
        <w:t>the</w:t>
      </w:r>
      <w:r w:rsidRPr="00340405">
        <w:t xml:space="preserve"> CEP </w:t>
      </w:r>
      <w:r>
        <w:t xml:space="preserve">program </w:t>
      </w:r>
      <w:r w:rsidRPr="00340405">
        <w:t xml:space="preserve">and lead to rates that are unjust and unreasonable (and too high) for </w:t>
      </w:r>
      <w:r>
        <w:t>consumer</w:t>
      </w:r>
      <w:r w:rsidRPr="00340405">
        <w:t>s</w:t>
      </w:r>
      <w:r>
        <w:t xml:space="preserve">, which violates </w:t>
      </w:r>
      <w:r w:rsidR="001C79E5">
        <w:t>Ohio</w:t>
      </w:r>
      <w:r>
        <w:t xml:space="preserve"> </w:t>
      </w:r>
      <w:r w:rsidR="00A83EE0">
        <w:t xml:space="preserve">law and </w:t>
      </w:r>
      <w:r>
        <w:t>policies.</w:t>
      </w:r>
      <w:bookmarkEnd w:id="20"/>
    </w:p>
    <w:p w:rsidR="005B6625" w:rsidRPr="005B6625" w:rsidP="005B6625" w14:paraId="466901B1" w14:textId="77777777"/>
    <w:p w:rsidR="00A83EE0" w:rsidP="00BE027E" w14:paraId="7BAEBD74" w14:textId="4A85196D">
      <w:pPr>
        <w:spacing w:line="480" w:lineRule="auto"/>
        <w:ind w:firstLine="720"/>
      </w:pPr>
      <w:r w:rsidRPr="00340405">
        <w:rPr>
          <w:bCs/>
        </w:rPr>
        <w:t xml:space="preserve">The </w:t>
      </w:r>
      <w:r>
        <w:rPr>
          <w:bCs/>
        </w:rPr>
        <w:t xml:space="preserve">proposed </w:t>
      </w:r>
      <w:r w:rsidRPr="00340405">
        <w:rPr>
          <w:bCs/>
        </w:rPr>
        <w:t xml:space="preserve">Settlement violates important regulatory principles and </w:t>
      </w:r>
      <w:r>
        <w:rPr>
          <w:bCs/>
        </w:rPr>
        <w:t>practices by</w:t>
      </w:r>
      <w:bookmarkStart w:id="21" w:name="_Hlk84633357"/>
      <w:r w:rsidRPr="00340405">
        <w:t xml:space="preserve"> us</w:t>
      </w:r>
      <w:r>
        <w:t>ing</w:t>
      </w:r>
      <w:r w:rsidRPr="00340405">
        <w:t xml:space="preserve"> an outdated and </w:t>
      </w:r>
      <w:r>
        <w:t xml:space="preserve">inflated pre-tax rate of return that </w:t>
      </w:r>
      <w:r w:rsidRPr="00340405">
        <w:t xml:space="preserve">will increase the revenue requirement for </w:t>
      </w:r>
      <w:r>
        <w:t>the</w:t>
      </w:r>
      <w:r w:rsidRPr="00340405">
        <w:t xml:space="preserve"> </w:t>
      </w:r>
      <w:r>
        <w:t>PIR</w:t>
      </w:r>
      <w:r w:rsidRPr="00340405">
        <w:t xml:space="preserve"> </w:t>
      </w:r>
      <w:r>
        <w:t xml:space="preserve">program </w:t>
      </w:r>
      <w:r w:rsidRPr="00340405">
        <w:t xml:space="preserve">and lead to rates that are unjust and unreasonable (and too high) for </w:t>
      </w:r>
      <w:r>
        <w:t>consumer</w:t>
      </w:r>
      <w:r w:rsidRPr="00340405">
        <w:t>s.</w:t>
      </w:r>
      <w:r>
        <w:rPr>
          <w:rStyle w:val="FootnoteReference"/>
        </w:rPr>
        <w:footnoteReference w:id="32"/>
      </w:r>
      <w:r w:rsidRPr="00340405">
        <w:t xml:space="preserve"> </w:t>
      </w:r>
      <w:bookmarkEnd w:id="21"/>
      <w:r w:rsidRPr="00340405">
        <w:t xml:space="preserve">This </w:t>
      </w:r>
      <w:r>
        <w:t>violates</w:t>
      </w:r>
      <w:r w:rsidRPr="00340405">
        <w:t xml:space="preserve"> the </w:t>
      </w:r>
      <w:r>
        <w:t>fundamental r</w:t>
      </w:r>
      <w:r w:rsidRPr="00340405">
        <w:t xml:space="preserve">egulatory </w:t>
      </w:r>
      <w:r>
        <w:t>p</w:t>
      </w:r>
      <w:r w:rsidRPr="00340405">
        <w:t>rinciple</w:t>
      </w:r>
      <w:r>
        <w:t xml:space="preserve"> that all rates for monopoly utility services should be just and reasonable for consumers.</w:t>
      </w:r>
      <w:r>
        <w:rPr>
          <w:rStyle w:val="FootnoteReference"/>
        </w:rPr>
        <w:footnoteReference w:id="33"/>
      </w:r>
      <w:r>
        <w:t xml:space="preserve"> Ohio law also requires all utility rates to be just and reasonable.</w:t>
      </w:r>
      <w:r>
        <w:rPr>
          <w:rStyle w:val="FootnoteReference"/>
        </w:rPr>
        <w:footnoteReference w:id="34"/>
      </w:r>
      <w:r>
        <w:t xml:space="preserve"> Consequently, the proposed Settlement </w:t>
      </w:r>
      <w:r w:rsidRPr="00340405">
        <w:t>is contrary to the policy of the state in Revised Code 4929.02(A)(1) for natural gas service to be “reasonably priced.”</w:t>
      </w:r>
      <w:r>
        <w:rPr>
          <w:rStyle w:val="FootnoteReference"/>
        </w:rPr>
        <w:footnoteReference w:id="35"/>
      </w:r>
      <w:r>
        <w:t xml:space="preserve"> </w:t>
      </w:r>
      <w:r w:rsidRPr="00AB04D3">
        <w:t>And, specifically, R.C. 4929.05(A)(3) provides that the PUCO may only approve an alternative rate plan if the utility has shown and the PUCO finds that the alternative rate plan is just and reasonable.</w:t>
      </w:r>
      <w:r>
        <w:rPr>
          <w:vertAlign w:val="superscript"/>
        </w:rPr>
        <w:footnoteReference w:id="36"/>
      </w:r>
      <w:r w:rsidRPr="00AB04D3">
        <w:t xml:space="preserve"> </w:t>
      </w:r>
      <w:r>
        <w:t>The Settlement’s use of an outdated and inflated pre-tax rate of return leads to rates that are unjust and unreasonable for consumers</w:t>
      </w:r>
      <w:r w:rsidR="0060363D">
        <w:t>, thus violating</w:t>
      </w:r>
      <w:r>
        <w:t xml:space="preserve"> </w:t>
      </w:r>
      <w:r w:rsidR="0060363D">
        <w:t>Ohio law.</w:t>
      </w:r>
      <w:r>
        <w:t xml:space="preserve"> </w:t>
      </w:r>
    </w:p>
    <w:p w:rsidR="00BE027E" w:rsidP="00BE027E" w14:paraId="406C9310" w14:textId="0A090A07">
      <w:pPr>
        <w:spacing w:line="480" w:lineRule="auto"/>
        <w:ind w:firstLine="720"/>
      </w:pPr>
      <w:r>
        <w:t xml:space="preserve">The Settlement violates important regulatory principles </w:t>
      </w:r>
      <w:r w:rsidR="00570E3C">
        <w:t xml:space="preserve">and </w:t>
      </w:r>
      <w:r w:rsidR="001C79E5">
        <w:t>Ohio</w:t>
      </w:r>
      <w:r w:rsidR="00570E3C">
        <w:t xml:space="preserve"> law</w:t>
      </w:r>
      <w:r w:rsidR="00A83EE0">
        <w:t>. T</w:t>
      </w:r>
      <w:r>
        <w:t>he PUCO should either reject Settlement or modify it consistent with OCC’s recommendations for consumer protection.</w:t>
      </w:r>
    </w:p>
    <w:p w:rsidR="002644BF" w:rsidP="002644BF" w14:paraId="266B7C1C" w14:textId="77777777">
      <w:pPr>
        <w:ind w:firstLine="720"/>
      </w:pPr>
      <w:bookmarkStart w:id="22" w:name="_Toc84671831"/>
    </w:p>
    <w:p w:rsidR="00E522A9" w:rsidRPr="00A45537" w:rsidP="00F10C1E" w14:paraId="3F3FDD76" w14:textId="0B388424">
      <w:pPr>
        <w:pStyle w:val="Heading1"/>
      </w:pPr>
      <w:bookmarkStart w:id="23" w:name="_Toc74571231"/>
      <w:bookmarkStart w:id="24" w:name="_Toc88492714"/>
      <w:bookmarkEnd w:id="7"/>
      <w:bookmarkEnd w:id="8"/>
      <w:bookmarkEnd w:id="22"/>
      <w:r w:rsidRPr="00A45537">
        <w:t>CONCLUSION</w:t>
      </w:r>
      <w:bookmarkEnd w:id="23"/>
      <w:bookmarkEnd w:id="24"/>
    </w:p>
    <w:p w:rsidR="00F6776F" w:rsidP="00F6776F" w14:paraId="6DB40A69" w14:textId="1C27D42A">
      <w:pPr>
        <w:spacing w:line="480" w:lineRule="auto"/>
        <w:ind w:firstLine="720"/>
      </w:pPr>
      <w:r>
        <w:t xml:space="preserve">The PUCO can approve </w:t>
      </w:r>
      <w:r w:rsidR="006C528C">
        <w:t xml:space="preserve">Dominion’s Application to continue the </w:t>
      </w:r>
      <w:r w:rsidR="00905488">
        <w:t xml:space="preserve">PIR </w:t>
      </w:r>
      <w:r w:rsidR="006C528C">
        <w:t xml:space="preserve">for a new five-year period </w:t>
      </w:r>
      <w:r>
        <w:t xml:space="preserve">only if the PUCO finds the program to be </w:t>
      </w:r>
      <w:r w:rsidRPr="0072615D">
        <w:t>just and reasonable</w:t>
      </w:r>
      <w:r>
        <w:t>.</w:t>
      </w:r>
      <w:r w:rsidRPr="0072615D">
        <w:t xml:space="preserve"> </w:t>
      </w:r>
      <w:r w:rsidR="00E177B3">
        <w:t>Dominion’s</w:t>
      </w:r>
      <w:r w:rsidR="006C528C">
        <w:t xml:space="preserve"> proposal to continue to use the outdated and inflated rate of return set more than 13 years ago</w:t>
      </w:r>
      <w:r w:rsidR="00E177B3">
        <w:t>, as proposed in the Settlement, is</w:t>
      </w:r>
      <w:r w:rsidR="0064281F">
        <w:t xml:space="preserve"> </w:t>
      </w:r>
      <w:r w:rsidR="006C528C">
        <w:t>neither just nor reasonable</w:t>
      </w:r>
      <w:r w:rsidR="0064281F">
        <w:t>.</w:t>
      </w:r>
      <w:r>
        <w:t xml:space="preserve"> </w:t>
      </w:r>
      <w:r w:rsidR="00B96BA1">
        <w:t xml:space="preserve">The PUCO should reject or modify </w:t>
      </w:r>
      <w:r>
        <w:t>the Settlement to a</w:t>
      </w:r>
      <w:r w:rsidRPr="00340405" w:rsidR="00475DBF">
        <w:t>dopt a fair and reasonable pre-tax rate of return of 7.20%</w:t>
      </w:r>
      <w:r w:rsidR="00934355">
        <w:t>, instead of the 13</w:t>
      </w:r>
      <w:r w:rsidR="00BE027E">
        <w:t>-</w:t>
      </w:r>
      <w:r w:rsidR="00934355">
        <w:t>year-old 9.91%,</w:t>
      </w:r>
      <w:r w:rsidRPr="00340405" w:rsidR="00475DBF">
        <w:t xml:space="preserve"> </w:t>
      </w:r>
      <w:r w:rsidR="00934355">
        <w:t>fo</w:t>
      </w:r>
      <w:r>
        <w:t>r PIR</w:t>
      </w:r>
      <w:r w:rsidRPr="00340405" w:rsidR="00475DBF">
        <w:t xml:space="preserve"> </w:t>
      </w:r>
      <w:r w:rsidR="00475DBF">
        <w:t>charges</w:t>
      </w:r>
      <w:r w:rsidR="00934355">
        <w:t xml:space="preserve"> to con</w:t>
      </w:r>
      <w:r w:rsidR="00B96BA1">
        <w:t>s</w:t>
      </w:r>
      <w:r w:rsidR="00934355">
        <w:t>umers</w:t>
      </w:r>
      <w:r w:rsidR="00475DBF">
        <w:t xml:space="preserve">. </w:t>
      </w:r>
    </w:p>
    <w:p w:rsidR="00836BDA" w:rsidRPr="00A45537" w:rsidP="005B6625" w14:paraId="220BB8E5" w14:textId="0F80F827">
      <w:pPr>
        <w:ind w:left="3600" w:firstLine="720"/>
        <w:rPr>
          <w:szCs w:val="24"/>
        </w:rPr>
      </w:pPr>
      <w:r w:rsidRPr="00A45537">
        <w:rPr>
          <w:szCs w:val="24"/>
        </w:rPr>
        <w:t>Respectfully submitted,</w:t>
      </w:r>
    </w:p>
    <w:p w:rsidR="00286BA8" w:rsidP="00286BA8" w14:paraId="732A4146" w14:textId="77777777">
      <w:pPr>
        <w:pStyle w:val="Footer"/>
        <w:tabs>
          <w:tab w:val="left" w:pos="4320"/>
          <w:tab w:val="clear" w:pos="8640"/>
        </w:tabs>
        <w:spacing w:before="240"/>
        <w:ind w:firstLine="4320"/>
        <w:rPr>
          <w:sz w:val="24"/>
          <w:szCs w:val="24"/>
        </w:rPr>
      </w:pPr>
      <w:r>
        <w:rPr>
          <w:sz w:val="24"/>
          <w:szCs w:val="24"/>
        </w:rPr>
        <w:t>Bruce Weston (0016973)</w:t>
      </w:r>
    </w:p>
    <w:p w:rsidR="00286BA8" w:rsidP="00286BA8" w14:paraId="3716FFE2" w14:textId="77777777">
      <w:pPr>
        <w:tabs>
          <w:tab w:val="left" w:pos="4320"/>
        </w:tabs>
        <w:rPr>
          <w:szCs w:val="24"/>
        </w:rPr>
      </w:pPr>
      <w:r>
        <w:rPr>
          <w:szCs w:val="24"/>
        </w:rPr>
        <w:tab/>
        <w:t>Ohio Consumers’ Counsel</w:t>
      </w:r>
    </w:p>
    <w:p w:rsidR="00286BA8" w:rsidP="00286BA8" w14:paraId="086358D9" w14:textId="77777777">
      <w:pPr>
        <w:tabs>
          <w:tab w:val="left" w:pos="4320"/>
        </w:tabs>
        <w:rPr>
          <w:szCs w:val="24"/>
        </w:rPr>
      </w:pPr>
      <w:r>
        <w:rPr>
          <w:szCs w:val="24"/>
        </w:rPr>
        <w:tab/>
      </w:r>
    </w:p>
    <w:p w:rsidR="001572D1" w:rsidP="00286BA8" w14:paraId="57307153" w14:textId="6916CEB3">
      <w:pPr>
        <w:tabs>
          <w:tab w:val="left" w:pos="4320"/>
        </w:tabs>
        <w:rPr>
          <w:szCs w:val="24"/>
        </w:rPr>
      </w:pPr>
      <w:r>
        <w:rPr>
          <w:i/>
          <w:iCs/>
          <w:szCs w:val="24"/>
        </w:rPr>
        <w:tab/>
      </w:r>
      <w:r>
        <w:rPr>
          <w:i/>
          <w:iCs/>
          <w:szCs w:val="24"/>
          <w:u w:val="single"/>
        </w:rPr>
        <w:t>/s/ Amy Botschner O’Brien</w:t>
      </w:r>
      <w:r w:rsidR="00286BA8">
        <w:rPr>
          <w:szCs w:val="24"/>
        </w:rPr>
        <w:tab/>
      </w:r>
    </w:p>
    <w:p w:rsidR="00286BA8" w:rsidRPr="0013572E" w:rsidP="001572D1" w14:paraId="665424D7" w14:textId="01CE0207">
      <w:pPr>
        <w:tabs>
          <w:tab w:val="left" w:pos="4320"/>
        </w:tabs>
        <w:ind w:firstLine="4320"/>
        <w:rPr>
          <w:szCs w:val="24"/>
        </w:rPr>
      </w:pPr>
      <w:r>
        <w:rPr>
          <w:szCs w:val="24"/>
        </w:rPr>
        <w:t xml:space="preserve">Amy Botschner </w:t>
      </w:r>
      <w:r w:rsidRPr="0013572E">
        <w:rPr>
          <w:szCs w:val="24"/>
        </w:rPr>
        <w:t>O’Brien (0074423)</w:t>
      </w:r>
    </w:p>
    <w:p w:rsidR="00286BA8" w:rsidRPr="0013572E" w:rsidP="00286BA8" w14:paraId="45164C28" w14:textId="77777777">
      <w:pPr>
        <w:tabs>
          <w:tab w:val="left" w:pos="4320"/>
        </w:tabs>
        <w:ind w:firstLine="4320"/>
        <w:rPr>
          <w:szCs w:val="24"/>
        </w:rPr>
      </w:pPr>
      <w:r w:rsidRPr="0013572E">
        <w:rPr>
          <w:szCs w:val="24"/>
        </w:rPr>
        <w:t>Counsel of Record</w:t>
      </w:r>
    </w:p>
    <w:p w:rsidR="00286BA8" w:rsidRPr="0013572E" w:rsidP="00286BA8" w14:paraId="037484A2" w14:textId="77777777">
      <w:pPr>
        <w:tabs>
          <w:tab w:val="left" w:pos="4320"/>
        </w:tabs>
        <w:rPr>
          <w:szCs w:val="24"/>
        </w:rPr>
      </w:pPr>
      <w:r w:rsidRPr="0013572E">
        <w:rPr>
          <w:szCs w:val="24"/>
        </w:rPr>
        <w:tab/>
        <w:t>Ambrosia E. Wilson (0096598)</w:t>
      </w:r>
    </w:p>
    <w:p w:rsidR="00286BA8" w:rsidRPr="0013572E" w:rsidP="00286BA8" w14:paraId="2810F61F" w14:textId="77777777">
      <w:pPr>
        <w:tabs>
          <w:tab w:val="left" w:pos="4320"/>
        </w:tabs>
        <w:rPr>
          <w:szCs w:val="24"/>
        </w:rPr>
      </w:pPr>
      <w:r w:rsidRPr="0013572E">
        <w:rPr>
          <w:szCs w:val="24"/>
        </w:rPr>
        <w:tab/>
        <w:t>Assistant Consumers’ Counsel</w:t>
      </w:r>
    </w:p>
    <w:p w:rsidR="00286BA8" w:rsidRPr="0013572E" w:rsidP="00286BA8" w14:paraId="2DBED0BD" w14:textId="77777777">
      <w:r w:rsidRPr="0013572E">
        <w:tab/>
      </w:r>
    </w:p>
    <w:p w:rsidR="00286BA8" w:rsidRPr="0013572E" w:rsidP="00286BA8" w14:paraId="0C5AB576" w14:textId="77777777">
      <w:pPr>
        <w:rPr>
          <w:b/>
          <w:bCs/>
        </w:rPr>
      </w:pPr>
      <w:r w:rsidRPr="0013572E">
        <w:tab/>
      </w:r>
      <w:r w:rsidRPr="0013572E">
        <w:tab/>
      </w:r>
      <w:r w:rsidRPr="0013572E">
        <w:tab/>
      </w:r>
      <w:r w:rsidRPr="0013572E">
        <w:tab/>
      </w:r>
      <w:r w:rsidRPr="0013572E">
        <w:tab/>
      </w:r>
      <w:r w:rsidRPr="0013572E">
        <w:tab/>
      </w:r>
      <w:r w:rsidRPr="0013572E">
        <w:rPr>
          <w:b/>
          <w:bCs/>
        </w:rPr>
        <w:t>Office of the Ohio Consumers’ Counsel</w:t>
      </w:r>
    </w:p>
    <w:p w:rsidR="00286BA8" w:rsidRPr="0013572E" w:rsidP="00286BA8" w14:paraId="0EF01855" w14:textId="1E6E05DA">
      <w:pPr>
        <w:rPr>
          <w:b/>
        </w:rPr>
      </w:pPr>
      <w:r w:rsidRPr="0013572E">
        <w:tab/>
      </w:r>
      <w:r w:rsidRPr="0013572E">
        <w:tab/>
      </w:r>
      <w:r w:rsidRPr="0013572E">
        <w:tab/>
      </w:r>
      <w:r w:rsidRPr="0013572E">
        <w:tab/>
      </w:r>
      <w:r w:rsidRPr="0013572E">
        <w:tab/>
      </w:r>
      <w:r w:rsidRPr="0013572E">
        <w:tab/>
        <w:t xml:space="preserve">65 East State Street, </w:t>
      </w:r>
      <w:r w:rsidR="002644BF">
        <w:t>Suite 700</w:t>
      </w:r>
    </w:p>
    <w:p w:rsidR="00286BA8" w:rsidRPr="0013572E" w:rsidP="00286BA8" w14:paraId="2BE22BA7" w14:textId="77777777">
      <w:pPr>
        <w:rPr>
          <w:b/>
        </w:rPr>
      </w:pPr>
      <w:r w:rsidRPr="0013572E">
        <w:tab/>
      </w:r>
      <w:r w:rsidRPr="0013572E">
        <w:tab/>
      </w:r>
      <w:r w:rsidRPr="0013572E">
        <w:tab/>
      </w:r>
      <w:r w:rsidRPr="0013572E">
        <w:tab/>
      </w:r>
      <w:r w:rsidRPr="0013572E">
        <w:tab/>
      </w:r>
      <w:r w:rsidRPr="0013572E">
        <w:tab/>
        <w:t>Columbus, Ohio 43215-4213</w:t>
      </w:r>
    </w:p>
    <w:p w:rsidR="00286BA8" w:rsidRPr="0013572E" w:rsidP="00286BA8" w14:paraId="1EB1770B" w14:textId="63DB3C04">
      <w:pPr>
        <w:autoSpaceDE w:val="0"/>
        <w:autoSpaceDN w:val="0"/>
        <w:adjustRightInd w:val="0"/>
        <w:ind w:left="3600" w:firstLine="720"/>
        <w:rPr>
          <w:szCs w:val="24"/>
        </w:rPr>
      </w:pPr>
      <w:r w:rsidRPr="0013572E">
        <w:rPr>
          <w:szCs w:val="24"/>
        </w:rPr>
        <w:t>Telephone [</w:t>
      </w:r>
      <w:r w:rsidRPr="0013572E" w:rsidR="0013572E">
        <w:rPr>
          <w:szCs w:val="24"/>
        </w:rPr>
        <w:t>Botschner O’Brien</w:t>
      </w:r>
      <w:r w:rsidRPr="0013572E">
        <w:rPr>
          <w:szCs w:val="24"/>
        </w:rPr>
        <w:t>]: (614) 466-</w:t>
      </w:r>
      <w:r w:rsidRPr="0013572E" w:rsidR="0013572E">
        <w:rPr>
          <w:szCs w:val="24"/>
        </w:rPr>
        <w:t>9575</w:t>
      </w:r>
      <w:r w:rsidRPr="0013572E">
        <w:rPr>
          <w:szCs w:val="24"/>
        </w:rPr>
        <w:br/>
      </w:r>
      <w:r w:rsidRPr="0013572E">
        <w:rPr>
          <w:szCs w:val="24"/>
        </w:rPr>
        <w:tab/>
        <w:t>Telephone [Wilson]: (614) 466-1292</w:t>
      </w:r>
    </w:p>
    <w:p w:rsidR="0013572E" w:rsidRPr="0013572E" w:rsidP="00286BA8" w14:paraId="4A91D2BA" w14:textId="0A357586">
      <w:pPr>
        <w:rPr>
          <w:szCs w:val="24"/>
        </w:rPr>
      </w:pPr>
      <w:r w:rsidRPr="0013572E">
        <w:rPr>
          <w:szCs w:val="24"/>
        </w:rPr>
        <w:tab/>
      </w:r>
      <w:r w:rsidRPr="0013572E">
        <w:rPr>
          <w:szCs w:val="24"/>
        </w:rPr>
        <w:tab/>
      </w:r>
      <w:r w:rsidRPr="0013572E">
        <w:rPr>
          <w:szCs w:val="24"/>
        </w:rPr>
        <w:tab/>
      </w:r>
      <w:r w:rsidRPr="0013572E">
        <w:rPr>
          <w:szCs w:val="24"/>
        </w:rPr>
        <w:tab/>
      </w:r>
      <w:r w:rsidRPr="0013572E">
        <w:rPr>
          <w:szCs w:val="24"/>
        </w:rPr>
        <w:tab/>
      </w:r>
      <w:r w:rsidRPr="0013572E">
        <w:rPr>
          <w:szCs w:val="24"/>
        </w:rPr>
        <w:tab/>
      </w:r>
      <w:hyperlink r:id="rId6" w:history="1">
        <w:r w:rsidRPr="0013572E">
          <w:rPr>
            <w:rStyle w:val="Hyperlink"/>
            <w:szCs w:val="24"/>
          </w:rPr>
          <w:t>Amy.botschner.obrien@occ.ohio.gov</w:t>
        </w:r>
      </w:hyperlink>
    </w:p>
    <w:p w:rsidR="00286BA8" w:rsidRPr="0013572E" w:rsidP="00286BA8" w14:paraId="19309E84" w14:textId="3FEA5DFC">
      <w:pPr>
        <w:rPr>
          <w:szCs w:val="24"/>
        </w:rPr>
      </w:pPr>
      <w:r w:rsidRPr="0013572E">
        <w:rPr>
          <w:szCs w:val="24"/>
        </w:rPr>
        <w:t xml:space="preserve"> </w:t>
      </w:r>
      <w:r w:rsidRPr="0013572E">
        <w:rPr>
          <w:szCs w:val="24"/>
        </w:rPr>
        <w:tab/>
      </w:r>
      <w:r w:rsidRPr="0013572E">
        <w:rPr>
          <w:szCs w:val="24"/>
        </w:rPr>
        <w:tab/>
      </w:r>
      <w:r w:rsidRPr="0013572E">
        <w:rPr>
          <w:szCs w:val="24"/>
        </w:rPr>
        <w:tab/>
      </w:r>
      <w:r w:rsidRPr="0013572E">
        <w:rPr>
          <w:szCs w:val="24"/>
        </w:rPr>
        <w:tab/>
      </w:r>
      <w:r w:rsidRPr="0013572E">
        <w:rPr>
          <w:szCs w:val="24"/>
        </w:rPr>
        <w:tab/>
      </w:r>
      <w:r w:rsidRPr="0013572E">
        <w:rPr>
          <w:szCs w:val="24"/>
        </w:rPr>
        <w:tab/>
      </w:r>
      <w:hyperlink r:id="rId7" w:history="1">
        <w:r w:rsidRPr="0013572E">
          <w:rPr>
            <w:rStyle w:val="Hyperlink"/>
            <w:szCs w:val="24"/>
          </w:rPr>
          <w:t>ambrosia.wilson@occ.ohio.gov</w:t>
        </w:r>
      </w:hyperlink>
    </w:p>
    <w:p w:rsidR="00CB5D16" w:rsidRPr="00A45537" w:rsidP="0078620B" w14:paraId="57293913" w14:textId="0C640E22">
      <w:pPr>
        <w:rPr>
          <w:b/>
          <w:bCs/>
          <w:szCs w:val="24"/>
          <w:u w:val="single"/>
        </w:rPr>
      </w:pPr>
      <w:r w:rsidRPr="0013572E">
        <w:rPr>
          <w:szCs w:val="24"/>
        </w:rPr>
        <w:tab/>
      </w:r>
      <w:r w:rsidRPr="0013572E">
        <w:rPr>
          <w:szCs w:val="24"/>
        </w:rPr>
        <w:tab/>
      </w:r>
      <w:r w:rsidRPr="0013572E">
        <w:rPr>
          <w:szCs w:val="24"/>
        </w:rPr>
        <w:tab/>
      </w:r>
      <w:r w:rsidRPr="0013572E">
        <w:rPr>
          <w:szCs w:val="24"/>
        </w:rPr>
        <w:tab/>
      </w:r>
      <w:r w:rsidRPr="0013572E">
        <w:rPr>
          <w:szCs w:val="24"/>
        </w:rPr>
        <w:tab/>
      </w:r>
      <w:r w:rsidRPr="0013572E">
        <w:rPr>
          <w:szCs w:val="24"/>
        </w:rPr>
        <w:tab/>
        <w:t>(willing to accept service by email)</w:t>
      </w:r>
      <w:r w:rsidRPr="00A45537" w:rsidR="001008CF">
        <w:rPr>
          <w:b/>
          <w:bCs/>
          <w:szCs w:val="24"/>
          <w:u w:val="single"/>
        </w:rPr>
        <w:br w:type="page"/>
      </w:r>
    </w:p>
    <w:p w:rsidR="00CD2C14" w:rsidRPr="00A45537" w:rsidP="00CD2C14" w14:paraId="637F8051" w14:textId="77777777">
      <w:pPr>
        <w:pStyle w:val="ANSWER"/>
        <w:suppressLineNumbers/>
        <w:ind w:left="720"/>
        <w:jc w:val="center"/>
        <w:rPr>
          <w:b/>
          <w:szCs w:val="24"/>
          <w:u w:val="single"/>
        </w:rPr>
      </w:pPr>
      <w:r w:rsidRPr="00A45537">
        <w:rPr>
          <w:b/>
          <w:szCs w:val="24"/>
          <w:u w:val="single"/>
        </w:rPr>
        <w:t>CERTIFICATE OF SERVICE</w:t>
      </w:r>
    </w:p>
    <w:p w:rsidR="00CD2C14" w:rsidRPr="00F6776F" w:rsidP="00CD2C14" w14:paraId="2D6A8B47" w14:textId="5D4B6884">
      <w:pPr>
        <w:spacing w:line="480" w:lineRule="atLeast"/>
        <w:ind w:firstLine="720"/>
        <w:rPr>
          <w:szCs w:val="24"/>
        </w:rPr>
      </w:pPr>
      <w:r w:rsidRPr="00A45537">
        <w:rPr>
          <w:szCs w:val="24"/>
        </w:rPr>
        <w:t xml:space="preserve">I hereby certify that a copy of this </w:t>
      </w:r>
      <w:r w:rsidR="00B50ED6">
        <w:rPr>
          <w:szCs w:val="24"/>
        </w:rPr>
        <w:t>Initial</w:t>
      </w:r>
      <w:r w:rsidRPr="00A45537">
        <w:rPr>
          <w:szCs w:val="24"/>
        </w:rPr>
        <w:t xml:space="preserve"> Brief was served on the persons stated below via electronic transmission</w:t>
      </w:r>
      <w:r w:rsidRPr="00F6776F">
        <w:rPr>
          <w:szCs w:val="24"/>
        </w:rPr>
        <w:t xml:space="preserve">, this </w:t>
      </w:r>
      <w:r w:rsidRPr="00F6776F" w:rsidR="00F6776F">
        <w:rPr>
          <w:szCs w:val="24"/>
        </w:rPr>
        <w:t>22</w:t>
      </w:r>
      <w:r w:rsidRPr="00F6776F" w:rsidR="00F6776F">
        <w:rPr>
          <w:szCs w:val="24"/>
          <w:vertAlign w:val="superscript"/>
        </w:rPr>
        <w:t>nd</w:t>
      </w:r>
      <w:r w:rsidRPr="00F6776F" w:rsidR="00F6776F">
        <w:rPr>
          <w:szCs w:val="24"/>
        </w:rPr>
        <w:t xml:space="preserve"> </w:t>
      </w:r>
      <w:r w:rsidRPr="00F6776F">
        <w:rPr>
          <w:szCs w:val="24"/>
        </w:rPr>
        <w:t xml:space="preserve">day of </w:t>
      </w:r>
      <w:r w:rsidRPr="00F6776F" w:rsidR="00F6776F">
        <w:rPr>
          <w:szCs w:val="24"/>
        </w:rPr>
        <w:t xml:space="preserve">November </w:t>
      </w:r>
      <w:r w:rsidRPr="00F6776F">
        <w:rPr>
          <w:szCs w:val="24"/>
        </w:rPr>
        <w:t>202</w:t>
      </w:r>
      <w:r w:rsidRPr="0044516D" w:rsidR="006615B0">
        <w:rPr>
          <w:szCs w:val="24"/>
        </w:rPr>
        <w:t>1</w:t>
      </w:r>
      <w:r w:rsidRPr="0044516D">
        <w:rPr>
          <w:szCs w:val="24"/>
        </w:rPr>
        <w:t>.</w:t>
      </w:r>
    </w:p>
    <w:p w:rsidR="00CD2C14" w:rsidRPr="00F6776F" w:rsidP="00CD2C14" w14:paraId="6B6DF330" w14:textId="77777777">
      <w:pPr>
        <w:suppressLineNumbers/>
        <w:ind w:firstLine="720"/>
        <w:rPr>
          <w:szCs w:val="24"/>
        </w:rPr>
      </w:pPr>
    </w:p>
    <w:p w:rsidR="00CD2C14" w:rsidRPr="0044516D" w:rsidP="00CD2C14" w14:paraId="741774D1" w14:textId="63216E29">
      <w:pPr>
        <w:suppressLineNumbers/>
        <w:tabs>
          <w:tab w:val="left" w:pos="4320"/>
        </w:tabs>
        <w:rPr>
          <w:i/>
          <w:szCs w:val="24"/>
          <w:u w:val="single"/>
        </w:rPr>
      </w:pPr>
      <w:r w:rsidRPr="00F6776F">
        <w:rPr>
          <w:i/>
          <w:szCs w:val="24"/>
        </w:rPr>
        <w:tab/>
      </w:r>
      <w:r w:rsidRPr="00F6776F">
        <w:rPr>
          <w:i/>
          <w:szCs w:val="24"/>
          <w:u w:val="single"/>
        </w:rPr>
        <w:t xml:space="preserve">/s/ </w:t>
      </w:r>
      <w:r w:rsidRPr="00F6776F" w:rsidR="00F6776F">
        <w:rPr>
          <w:i/>
          <w:szCs w:val="24"/>
          <w:u w:val="single"/>
        </w:rPr>
        <w:t>Amy Botschner O’Brien</w:t>
      </w:r>
      <w:r w:rsidRPr="00F6776F">
        <w:rPr>
          <w:i/>
          <w:szCs w:val="24"/>
          <w:u w:val="single"/>
        </w:rPr>
        <w:tab/>
      </w:r>
    </w:p>
    <w:p w:rsidR="00CD2C14" w:rsidRPr="00F6776F" w:rsidP="00CD2C14" w14:paraId="42E963D9" w14:textId="29B5C72C">
      <w:pPr>
        <w:suppressLineNumbers/>
        <w:tabs>
          <w:tab w:val="left" w:pos="4320"/>
        </w:tabs>
        <w:rPr>
          <w:szCs w:val="24"/>
        </w:rPr>
      </w:pPr>
      <w:r w:rsidRPr="0044516D">
        <w:rPr>
          <w:szCs w:val="24"/>
        </w:rPr>
        <w:tab/>
      </w:r>
      <w:r w:rsidRPr="00F6776F" w:rsidR="00F6776F">
        <w:rPr>
          <w:szCs w:val="24"/>
        </w:rPr>
        <w:t>Amy Botschner O’Brien</w:t>
      </w:r>
    </w:p>
    <w:p w:rsidR="00CD2C14" w:rsidRPr="00A45537" w:rsidP="00CD2C14" w14:paraId="0EA8414B" w14:textId="77777777">
      <w:pPr>
        <w:suppressLineNumbers/>
        <w:tabs>
          <w:tab w:val="left" w:pos="4320"/>
        </w:tabs>
        <w:rPr>
          <w:szCs w:val="24"/>
        </w:rPr>
      </w:pPr>
      <w:r w:rsidRPr="0044516D">
        <w:rPr>
          <w:szCs w:val="24"/>
        </w:rPr>
        <w:tab/>
        <w:t>Assistant Consumers’ Counsel</w:t>
      </w:r>
    </w:p>
    <w:p w:rsidR="00CD2C14" w:rsidRPr="00A45537" w:rsidP="00CD2C14" w14:paraId="67DD9C55" w14:textId="77777777">
      <w:pPr>
        <w:suppressLineNumbers/>
        <w:spacing w:line="480" w:lineRule="auto"/>
        <w:ind w:firstLine="720"/>
        <w:rPr>
          <w:szCs w:val="24"/>
        </w:rPr>
      </w:pPr>
    </w:p>
    <w:p w:rsidR="006B5EC6" w:rsidRPr="008A21A4" w:rsidP="006B5EC6" w14:paraId="3E70E495" w14:textId="77777777">
      <w:r w:rsidRPr="008A21A4">
        <w:t>The PUCO’s e-filing system will electronically serve notice of the filing of this document on the following parties:</w:t>
      </w:r>
    </w:p>
    <w:p w:rsidR="006B5EC6" w:rsidRPr="008A21A4" w:rsidP="006B5EC6" w14:paraId="0BFE0AF6" w14:textId="77777777">
      <w:pPr>
        <w:pStyle w:val="CommentText"/>
        <w:jc w:val="center"/>
        <w:rPr>
          <w:b/>
          <w:u w:val="single"/>
        </w:rPr>
      </w:pPr>
    </w:p>
    <w:p w:rsidR="006B5EC6" w:rsidRPr="008A21A4" w:rsidP="006B5EC6" w14:paraId="2BF7493F" w14:textId="77777777">
      <w:pPr>
        <w:pStyle w:val="CommentText"/>
        <w:jc w:val="center"/>
        <w:rPr>
          <w:b/>
          <w:u w:val="single"/>
        </w:rPr>
      </w:pPr>
      <w:r w:rsidRPr="008A21A4">
        <w:rPr>
          <w:b/>
          <w:u w:val="single"/>
        </w:rPr>
        <w:t>SERVICE LIST</w:t>
      </w:r>
    </w:p>
    <w:p w:rsidR="006B5EC6" w:rsidRPr="008A21A4" w:rsidP="006B5EC6" w14:paraId="4EDA9DC6" w14:textId="77777777">
      <w:pPr>
        <w:pStyle w:val="BodyText"/>
        <w:rPr>
          <w:b/>
          <w:bCs/>
          <w:szCs w:val="24"/>
        </w:rPr>
      </w:pPr>
    </w:p>
    <w:tbl>
      <w:tblPr>
        <w:tblW w:w="0" w:type="auto"/>
        <w:tblLayout w:type="fixed"/>
        <w:tblLook w:val="01E0"/>
      </w:tblPr>
      <w:tblGrid>
        <w:gridCol w:w="4338"/>
        <w:gridCol w:w="4842"/>
      </w:tblGrid>
      <w:tr w14:paraId="748BD767" w14:textId="77777777" w:rsidTr="004C110F">
        <w:tblPrEx>
          <w:tblW w:w="0" w:type="auto"/>
          <w:tblLayout w:type="fixed"/>
          <w:tblLook w:val="01E0"/>
        </w:tblPrEx>
        <w:tc>
          <w:tcPr>
            <w:tcW w:w="4338" w:type="dxa"/>
            <w:shd w:val="clear" w:color="auto" w:fill="auto"/>
          </w:tcPr>
          <w:p w:rsidR="002644BF" w:rsidRPr="00F13341" w:rsidP="004C110F" w14:paraId="49F6BDD0" w14:textId="77777777">
            <w:pPr>
              <w:rPr>
                <w:b/>
                <w:color w:val="0000FF"/>
                <w:u w:val="single"/>
              </w:rPr>
            </w:pPr>
            <w:hyperlink r:id="rId11" w:history="1">
              <w:r w:rsidRPr="00F13341" w:rsidR="00BB7920">
                <w:rPr>
                  <w:color w:val="0000FF"/>
                  <w:u w:val="single"/>
                </w:rPr>
                <w:t>kyle.kern@ohioattorneygeneral.gov</w:t>
              </w:r>
            </w:hyperlink>
          </w:p>
          <w:p w:rsidR="002644BF" w:rsidRPr="00F13341" w:rsidP="004C110F" w14:paraId="19DCA5F0" w14:textId="77777777">
            <w:pPr>
              <w:rPr>
                <w:rStyle w:val="Hyperlink"/>
              </w:rPr>
            </w:pPr>
            <w:hyperlink r:id="rId12" w:history="1">
              <w:r w:rsidRPr="00F13341" w:rsidR="00BB7920">
                <w:rPr>
                  <w:rStyle w:val="Hyperlink"/>
                </w:rPr>
                <w:t>jodi.bair@ohioattorneygeneral.gov</w:t>
              </w:r>
            </w:hyperlink>
          </w:p>
          <w:p w:rsidR="002644BF" w:rsidRPr="00F13341" w:rsidP="004C110F" w14:paraId="40D6A5B4" w14:textId="77777777">
            <w:pPr>
              <w:rPr>
                <w:b/>
                <w:color w:val="0000FF"/>
                <w:u w:val="single"/>
              </w:rPr>
            </w:pPr>
          </w:p>
          <w:p w:rsidR="002644BF" w:rsidRPr="00F13341" w:rsidP="004C110F" w14:paraId="059FC91B" w14:textId="77777777">
            <w:pPr>
              <w:rPr>
                <w:b/>
              </w:rPr>
            </w:pPr>
            <w:r w:rsidRPr="00F13341">
              <w:t>Attorney Examiners:</w:t>
            </w:r>
          </w:p>
          <w:p w:rsidR="002644BF" w:rsidRPr="00F13341" w:rsidP="004C110F" w14:paraId="5DF2B4B3" w14:textId="77777777">
            <w:pPr>
              <w:rPr>
                <w:rStyle w:val="Hyperlink"/>
              </w:rPr>
            </w:pPr>
            <w:hyperlink r:id="rId13" w:history="1">
              <w:r w:rsidRPr="00F13341" w:rsidR="00BB7920">
                <w:rPr>
                  <w:rStyle w:val="Hyperlink"/>
                </w:rPr>
                <w:t>sarah.parrot@puco.ohio.gov</w:t>
              </w:r>
            </w:hyperlink>
          </w:p>
          <w:p w:rsidR="002644BF" w:rsidRPr="00F13341" w:rsidP="004C110F" w14:paraId="430B1117" w14:textId="77777777">
            <w:pPr>
              <w:rPr>
                <w:rStyle w:val="Hyperlink"/>
              </w:rPr>
            </w:pPr>
            <w:hyperlink r:id="rId14" w:history="1">
              <w:r w:rsidRPr="00F13341" w:rsidR="00BB7920">
                <w:rPr>
                  <w:rStyle w:val="Hyperlink"/>
                </w:rPr>
                <w:t>Jacqueline.st.john@puco.ohio.gov</w:t>
              </w:r>
            </w:hyperlink>
          </w:p>
          <w:p w:rsidR="002644BF" w:rsidRPr="00F13341" w:rsidP="004C110F" w14:paraId="1A9B85EF" w14:textId="77777777">
            <w:pPr>
              <w:spacing w:line="480" w:lineRule="auto"/>
              <w:rPr>
                <w:b/>
              </w:rPr>
            </w:pPr>
          </w:p>
        </w:tc>
        <w:tc>
          <w:tcPr>
            <w:tcW w:w="4842" w:type="dxa"/>
            <w:shd w:val="clear" w:color="auto" w:fill="auto"/>
          </w:tcPr>
          <w:p w:rsidR="002644BF" w:rsidRPr="00F13341" w:rsidP="004C110F" w14:paraId="5B6DEED9" w14:textId="77777777">
            <w:pPr>
              <w:autoSpaceDE w:val="0"/>
              <w:autoSpaceDN w:val="0"/>
              <w:adjustRightInd w:val="0"/>
              <w:ind w:left="430"/>
              <w:rPr>
                <w:b/>
              </w:rPr>
            </w:pPr>
            <w:hyperlink r:id="rId15" w:history="1">
              <w:r w:rsidRPr="00F13341" w:rsidR="00BB7920">
                <w:rPr>
                  <w:rStyle w:val="Hyperlink"/>
                </w:rPr>
                <w:t>whitt@whitt-sturtevant.com</w:t>
              </w:r>
            </w:hyperlink>
          </w:p>
          <w:p w:rsidR="002644BF" w:rsidRPr="00F13341" w:rsidP="004C110F" w14:paraId="2370F08C" w14:textId="77777777">
            <w:pPr>
              <w:autoSpaceDE w:val="0"/>
              <w:autoSpaceDN w:val="0"/>
              <w:adjustRightInd w:val="0"/>
              <w:ind w:left="430"/>
              <w:rPr>
                <w:bCs/>
                <w:color w:val="0000FF"/>
                <w:u w:val="single"/>
              </w:rPr>
            </w:pPr>
            <w:hyperlink r:id="rId16" w:history="1">
              <w:r w:rsidRPr="00F13341" w:rsidR="00BB7920">
                <w:rPr>
                  <w:rStyle w:val="Hyperlink"/>
                </w:rPr>
                <w:t>kennedy@whitt-sturtevant.com</w:t>
              </w:r>
            </w:hyperlink>
          </w:p>
          <w:p w:rsidR="002644BF" w:rsidRPr="00F13341" w:rsidP="004C110F" w14:paraId="3EC8EC0C" w14:textId="77777777">
            <w:pPr>
              <w:autoSpaceDE w:val="0"/>
              <w:autoSpaceDN w:val="0"/>
              <w:adjustRightInd w:val="0"/>
              <w:ind w:left="430"/>
              <w:rPr>
                <w:bCs/>
              </w:rPr>
            </w:pPr>
            <w:hyperlink r:id="rId17" w:history="1">
              <w:r w:rsidRPr="00F13341" w:rsidR="00BB7920">
                <w:rPr>
                  <w:rStyle w:val="Hyperlink"/>
                </w:rPr>
                <w:t>fykes@whitt-sturtevant.com</w:t>
              </w:r>
            </w:hyperlink>
          </w:p>
          <w:p w:rsidR="002644BF" w:rsidRPr="00F13341" w:rsidP="004C110F" w14:paraId="3D14633F" w14:textId="77777777">
            <w:pPr>
              <w:autoSpaceDE w:val="0"/>
              <w:autoSpaceDN w:val="0"/>
              <w:adjustRightInd w:val="0"/>
              <w:ind w:left="430" w:right="-16"/>
              <w:rPr>
                <w:bCs/>
              </w:rPr>
            </w:pPr>
            <w:hyperlink r:id="rId18" w:history="1">
              <w:r w:rsidRPr="00F13341" w:rsidR="00BB7920">
                <w:rPr>
                  <w:rStyle w:val="Hyperlink"/>
                </w:rPr>
                <w:t>Andrew.j.campbell@dominionenergy.co</w:t>
              </w:r>
            </w:hyperlink>
            <w:r w:rsidRPr="00F13341" w:rsidR="00BB7920">
              <w:rPr>
                <w:rStyle w:val="Hyperlink"/>
              </w:rPr>
              <w:t>m</w:t>
            </w:r>
          </w:p>
          <w:p w:rsidR="002644BF" w:rsidRPr="00F13341" w:rsidP="004C110F" w14:paraId="52304E63" w14:textId="77777777">
            <w:pPr>
              <w:ind w:left="430"/>
              <w:rPr>
                <w:rStyle w:val="Hyperlink"/>
                <w:bCs/>
              </w:rPr>
            </w:pPr>
            <w:hyperlink r:id="rId19" w:history="1">
              <w:r w:rsidRPr="00F13341" w:rsidR="00BB7920">
                <w:rPr>
                  <w:rStyle w:val="Hyperlink"/>
                  <w:bCs/>
                </w:rPr>
                <w:t>rdove@keglerbrown.com</w:t>
              </w:r>
            </w:hyperlink>
          </w:p>
          <w:p w:rsidR="002644BF" w:rsidRPr="00F13341" w:rsidP="004C110F" w14:paraId="223C1863" w14:textId="77777777">
            <w:pPr>
              <w:autoSpaceDE w:val="0"/>
              <w:autoSpaceDN w:val="0"/>
              <w:adjustRightInd w:val="0"/>
              <w:ind w:left="426"/>
            </w:pPr>
            <w:hyperlink r:id="rId20" w:history="1">
              <w:r w:rsidRPr="00F13341" w:rsidR="00BB7920">
                <w:rPr>
                  <w:rStyle w:val="Hyperlink"/>
                </w:rPr>
                <w:t>mpritchard@mcneeslaw.com</w:t>
              </w:r>
            </w:hyperlink>
          </w:p>
          <w:p w:rsidR="002644BF" w:rsidRPr="00F13341" w:rsidP="004C110F" w14:paraId="7680616F" w14:textId="77777777">
            <w:pPr>
              <w:ind w:left="430"/>
            </w:pPr>
            <w:hyperlink r:id="rId21" w:history="1">
              <w:r w:rsidRPr="00F13341" w:rsidR="00BB7920">
                <w:rPr>
                  <w:rStyle w:val="Hyperlink"/>
                </w:rPr>
                <w:t>bmckenney@mcneeslaw.com</w:t>
              </w:r>
            </w:hyperlink>
          </w:p>
          <w:p w:rsidR="002644BF" w:rsidRPr="00F13341" w:rsidP="004C110F" w14:paraId="3626C680" w14:textId="77777777">
            <w:pPr>
              <w:ind w:left="430"/>
              <w:rPr>
                <w:bCs/>
                <w:color w:val="0000FF"/>
              </w:rPr>
            </w:pPr>
          </w:p>
          <w:p w:rsidR="002644BF" w:rsidRPr="00F13341" w:rsidP="004C110F" w14:paraId="0899FAFD" w14:textId="77777777">
            <w:pPr>
              <w:autoSpaceDE w:val="0"/>
              <w:autoSpaceDN w:val="0"/>
              <w:adjustRightInd w:val="0"/>
              <w:ind w:left="636"/>
              <w:rPr>
                <w:bCs/>
              </w:rPr>
            </w:pPr>
          </w:p>
          <w:p w:rsidR="002644BF" w:rsidRPr="00F13341" w:rsidP="004C110F" w14:paraId="163E7143" w14:textId="77777777">
            <w:pPr>
              <w:autoSpaceDE w:val="0"/>
              <w:autoSpaceDN w:val="0"/>
              <w:adjustRightInd w:val="0"/>
              <w:rPr>
                <w:b/>
              </w:rPr>
            </w:pPr>
          </w:p>
        </w:tc>
      </w:tr>
    </w:tbl>
    <w:p w:rsidR="00D4185C" w:rsidRPr="00A45537" w:rsidP="006B5EC6" w14:paraId="72AC3DF8" w14:textId="77777777">
      <w:pPr>
        <w:rPr>
          <w:b/>
          <w:bCs/>
          <w:szCs w:val="24"/>
        </w:rPr>
      </w:pPr>
    </w:p>
    <w:sectPr w:rsidSect="002644BF">
      <w:footerReference w:type="first" r:id="rId22"/>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1146061"/>
      <w:docPartObj>
        <w:docPartGallery w:val="Page Numbers (Bottom of Page)"/>
        <w:docPartUnique/>
      </w:docPartObj>
    </w:sdtPr>
    <w:sdtEndPr>
      <w:rPr>
        <w:noProof/>
        <w:sz w:val="24"/>
        <w:szCs w:val="24"/>
      </w:rPr>
    </w:sdtEndPr>
    <w:sdtContent>
      <w:p w:rsidR="00FD5500" w:rsidRPr="002644BF" w14:paraId="644A096A" w14:textId="57B3F3EF">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5500" w:rsidRPr="00A603F0" w14:paraId="437F90C3" w14:textId="6AAACC09">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8546031"/>
      <w:docPartObj>
        <w:docPartGallery w:val="Page Numbers (Bottom of Page)"/>
        <w:docPartUnique/>
      </w:docPartObj>
    </w:sdtPr>
    <w:sdtEndPr>
      <w:rPr>
        <w:noProof/>
        <w:sz w:val="24"/>
        <w:szCs w:val="24"/>
      </w:rPr>
    </w:sdtEndPr>
    <w:sdtContent>
      <w:p w:rsidR="002644BF" w:rsidRPr="002644BF" w14:paraId="669CA11D" w14:textId="5515D413">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6250831"/>
      <w:docPartObj>
        <w:docPartGallery w:val="Page Numbers (Bottom of Page)"/>
        <w:docPartUnique/>
      </w:docPartObj>
    </w:sdtPr>
    <w:sdtEndPr>
      <w:rPr>
        <w:noProof/>
        <w:sz w:val="24"/>
        <w:szCs w:val="24"/>
      </w:rPr>
    </w:sdtEndPr>
    <w:sdtContent>
      <w:p w:rsidR="002644BF" w:rsidRPr="002644BF" w14:paraId="13E4B3CD" w14:textId="700680A5">
        <w:pPr>
          <w:pStyle w:val="Footer"/>
          <w:jc w:val="center"/>
          <w:rPr>
            <w:sz w:val="24"/>
            <w:szCs w:val="24"/>
          </w:rPr>
        </w:pPr>
        <w:r w:rsidRPr="002644BF">
          <w:rPr>
            <w:sz w:val="24"/>
            <w:szCs w:val="24"/>
          </w:rPr>
          <w:fldChar w:fldCharType="begin"/>
        </w:r>
        <w:r w:rsidRPr="002644BF">
          <w:rPr>
            <w:sz w:val="24"/>
            <w:szCs w:val="24"/>
          </w:rPr>
          <w:instrText xml:space="preserve"> PAGE   \* MERGEFORMAT </w:instrText>
        </w:r>
        <w:r w:rsidRPr="002644BF">
          <w:rPr>
            <w:sz w:val="24"/>
            <w:szCs w:val="24"/>
          </w:rPr>
          <w:fldChar w:fldCharType="separate"/>
        </w:r>
        <w:r w:rsidRPr="002644BF">
          <w:rPr>
            <w:noProof/>
            <w:sz w:val="24"/>
            <w:szCs w:val="24"/>
          </w:rPr>
          <w:t>2</w:t>
        </w:r>
        <w:r w:rsidRPr="002644BF">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E7830" w14:paraId="20A31AB8" w14:textId="77777777">
      <w:r>
        <w:separator/>
      </w:r>
    </w:p>
  </w:footnote>
  <w:footnote w:type="continuationSeparator" w:id="1">
    <w:p w:rsidR="00FE7830" w14:paraId="66B88CEB" w14:textId="77777777">
      <w:r>
        <w:continuationSeparator/>
      </w:r>
    </w:p>
  </w:footnote>
  <w:footnote w:id="2">
    <w:p w:rsidR="00FD5500" w:rsidRPr="001572D1" w:rsidP="001572D1" w14:paraId="05C6BEF8" w14:textId="6FB40C9A">
      <w:pPr>
        <w:pStyle w:val="FootnoteText"/>
        <w:spacing w:after="120"/>
      </w:pPr>
      <w:r w:rsidRPr="001572D1">
        <w:rPr>
          <w:rStyle w:val="FootnoteReference"/>
        </w:rPr>
        <w:footnoteRef/>
      </w:r>
      <w:r w:rsidRPr="001572D1">
        <w:t xml:space="preserve"> Public Utilities Commission of Ohio.</w:t>
      </w:r>
    </w:p>
  </w:footnote>
  <w:footnote w:id="3">
    <w:p w:rsidR="00FD5500" w:rsidRPr="001572D1" w:rsidP="001572D1" w14:paraId="7C3BF05A" w14:textId="27360428">
      <w:pPr>
        <w:pStyle w:val="FootnoteText"/>
        <w:spacing w:after="120"/>
      </w:pPr>
      <w:r w:rsidRPr="001572D1">
        <w:rPr>
          <w:rStyle w:val="FootnoteReference"/>
        </w:rPr>
        <w:footnoteRef/>
      </w:r>
      <w:r w:rsidRPr="001572D1">
        <w:t xml:space="preserve"> </w:t>
      </w:r>
      <w:r w:rsidRPr="001572D1">
        <w:rPr>
          <w:i/>
          <w:iCs/>
        </w:rPr>
        <w:t xml:space="preserve">In the Matter of The East Ohio Gas Company d/b/a Dominion Energy Ohio for </w:t>
      </w:r>
      <w:r w:rsidRPr="001572D1" w:rsidR="00D620B8">
        <w:rPr>
          <w:i/>
          <w:iCs/>
        </w:rPr>
        <w:t xml:space="preserve">Approval of an Alternative Form of Regulation, </w:t>
      </w:r>
      <w:r w:rsidRPr="001572D1">
        <w:t>Case No. 2</w:t>
      </w:r>
      <w:r w:rsidRPr="001572D1" w:rsidR="00D620B8">
        <w:t>0</w:t>
      </w:r>
      <w:r w:rsidRPr="001572D1">
        <w:t>-</w:t>
      </w:r>
      <w:r w:rsidRPr="001572D1" w:rsidR="00D620B8">
        <w:t>1634</w:t>
      </w:r>
      <w:r w:rsidRPr="001572D1">
        <w:t>-GA-</w:t>
      </w:r>
      <w:r w:rsidRPr="001572D1" w:rsidR="00D620B8">
        <w:t>ALT</w:t>
      </w:r>
      <w:r w:rsidRPr="001572D1">
        <w:t>, Stipulation and Recommendation (</w:t>
      </w:r>
      <w:r w:rsidRPr="001572D1" w:rsidR="00D620B8">
        <w:t xml:space="preserve">October 12, </w:t>
      </w:r>
      <w:r w:rsidRPr="001572D1">
        <w:t xml:space="preserve">2021). </w:t>
      </w:r>
    </w:p>
  </w:footnote>
  <w:footnote w:id="4">
    <w:p w:rsidR="00FD5500" w:rsidRPr="001572D1" w:rsidP="001572D1" w14:paraId="69EC537E" w14:textId="10D42026">
      <w:pPr>
        <w:pStyle w:val="FootnoteText"/>
        <w:spacing w:after="120"/>
      </w:pPr>
      <w:r w:rsidRPr="001572D1">
        <w:rPr>
          <w:rStyle w:val="FootnoteReference"/>
        </w:rPr>
        <w:footnoteRef/>
      </w:r>
      <w:r w:rsidRPr="001572D1">
        <w:t xml:space="preserve"> Direct Testimony of Daniel </w:t>
      </w:r>
      <w:r w:rsidRPr="001572D1" w:rsidR="00D620B8">
        <w:t xml:space="preserve">J. </w:t>
      </w:r>
      <w:r w:rsidRPr="001572D1">
        <w:t>Duann</w:t>
      </w:r>
      <w:r w:rsidRPr="001572D1" w:rsidR="00D620B8">
        <w:t>, Ph.D.</w:t>
      </w:r>
      <w:r w:rsidRPr="001572D1">
        <w:t xml:space="preserve"> on Behalf of the Ohio Consumers’ Counsel at 4 (</w:t>
      </w:r>
      <w:r w:rsidRPr="001572D1" w:rsidR="00D620B8">
        <w:t xml:space="preserve">October 25, </w:t>
      </w:r>
      <w:r w:rsidRPr="001572D1">
        <w:t>2021) (“Duann Direct”).</w:t>
      </w:r>
    </w:p>
  </w:footnote>
  <w:footnote w:id="5">
    <w:p w:rsidR="00FD5500" w:rsidRPr="001572D1" w:rsidP="001572D1" w14:paraId="67C9878B" w14:textId="7D814074">
      <w:pPr>
        <w:pStyle w:val="FootnoteText"/>
        <w:spacing w:after="120"/>
      </w:pPr>
      <w:r w:rsidRPr="001572D1">
        <w:rPr>
          <w:rStyle w:val="FootnoteReference"/>
        </w:rPr>
        <w:footnoteRef/>
      </w:r>
      <w:r w:rsidRPr="001572D1">
        <w:t xml:space="preserve"> R</w:t>
      </w:r>
      <w:r w:rsidRPr="001572D1" w:rsidR="00D069CE">
        <w:t>.C. 4929.05(A</w:t>
      </w:r>
      <w:r w:rsidRPr="001572D1" w:rsidR="00D1575B">
        <w:t>)</w:t>
      </w:r>
      <w:r w:rsidRPr="001572D1" w:rsidR="00D069CE">
        <w:t>(3)</w:t>
      </w:r>
      <w:r w:rsidRPr="001572D1">
        <w:t xml:space="preserve"> (emphasis added).</w:t>
      </w:r>
    </w:p>
  </w:footnote>
  <w:footnote w:id="6">
    <w:p w:rsidR="00D620B8" w:rsidRPr="001572D1" w:rsidP="001572D1" w14:paraId="309CB7B7" w14:textId="6169A4DD">
      <w:pPr>
        <w:pStyle w:val="FootnoteText"/>
        <w:spacing w:after="120"/>
      </w:pPr>
      <w:r w:rsidRPr="001572D1">
        <w:rPr>
          <w:rStyle w:val="FootnoteReference"/>
        </w:rPr>
        <w:footnoteRef/>
      </w:r>
      <w:r w:rsidRPr="001572D1">
        <w:t xml:space="preserve"> Duann Direct at 4.</w:t>
      </w:r>
    </w:p>
  </w:footnote>
  <w:footnote w:id="7">
    <w:p w:rsidR="008715CF" w:rsidRPr="001572D1" w:rsidP="001572D1" w14:paraId="6193FD87" w14:textId="4B754283">
      <w:pPr>
        <w:pStyle w:val="FootnoteText"/>
        <w:spacing w:after="120"/>
      </w:pPr>
      <w:r w:rsidRPr="001572D1">
        <w:rPr>
          <w:rStyle w:val="FootnoteReference"/>
        </w:rPr>
        <w:footnoteRef/>
      </w:r>
      <w:r w:rsidRPr="001572D1">
        <w:t xml:space="preserve"> </w:t>
      </w:r>
      <w:r w:rsidRPr="001572D1" w:rsidR="00767ADF">
        <w:rPr>
          <w:i/>
          <w:iCs/>
        </w:rPr>
        <w:t>Consumer</w:t>
      </w:r>
      <w:r w:rsidRPr="001572D1" w:rsidR="00B64C53">
        <w:rPr>
          <w:i/>
          <w:iCs/>
        </w:rPr>
        <w:t>s’</w:t>
      </w:r>
      <w:r w:rsidRPr="001572D1" w:rsidR="00767ADF">
        <w:rPr>
          <w:i/>
          <w:iCs/>
        </w:rPr>
        <w:t xml:space="preserve"> Counsel v. Pub.Util. Comm., </w:t>
      </w:r>
      <w:r w:rsidRPr="001572D1" w:rsidR="00767ADF">
        <w:t>64 Ohio St.3d 123,126, 592 N.E.2d 1370</w:t>
      </w:r>
      <w:r w:rsidRPr="001572D1" w:rsidR="00925273">
        <w:t xml:space="preserve"> (1992); </w:t>
      </w:r>
      <w:r w:rsidRPr="001572D1" w:rsidR="00925273">
        <w:rPr>
          <w:i/>
          <w:iCs/>
        </w:rPr>
        <w:t>AK Steel Corp. v. Pub. Util. Comm.</w:t>
      </w:r>
      <w:r w:rsidRPr="001572D1" w:rsidR="00925273">
        <w:t>, 95 Ohio St.3d 81, 82-83, 765 N.E.2d 862 (2002)</w:t>
      </w:r>
      <w:r w:rsidRPr="001572D1">
        <w:t>.</w:t>
      </w:r>
    </w:p>
  </w:footnote>
  <w:footnote w:id="8">
    <w:p w:rsidR="00D620B8" w:rsidRPr="001572D1" w:rsidP="001572D1" w14:paraId="0E05E110" w14:textId="0BD022EE">
      <w:pPr>
        <w:pStyle w:val="FootnoteText"/>
        <w:spacing w:after="120"/>
      </w:pPr>
      <w:r w:rsidRPr="001572D1">
        <w:rPr>
          <w:rStyle w:val="FootnoteReference"/>
        </w:rPr>
        <w:footnoteRef/>
      </w:r>
      <w:r w:rsidRPr="001572D1">
        <w:t xml:space="preserve"> Duann Direct at 11-12.</w:t>
      </w:r>
    </w:p>
  </w:footnote>
  <w:footnote w:id="9">
    <w:p w:rsidR="00137637" w:rsidRPr="001572D1" w:rsidP="001572D1" w14:paraId="01D7C0B5" w14:textId="605B7E41">
      <w:pPr>
        <w:pStyle w:val="FootnoteText"/>
        <w:spacing w:after="120"/>
      </w:pPr>
      <w:r w:rsidRPr="001572D1">
        <w:rPr>
          <w:rStyle w:val="FootnoteReference"/>
        </w:rPr>
        <w:footnoteRef/>
      </w:r>
      <w:r w:rsidRPr="001572D1">
        <w:t xml:space="preserve"> </w:t>
      </w:r>
      <w:r w:rsidRPr="001572D1">
        <w:rPr>
          <w:i/>
          <w:iCs/>
        </w:rPr>
        <w:t>In re Application of Ohio Edison Co., the Cleveland Elec. Illuminating Co., &amp; the Toledo Edison Co. for Approval of their Energy Efficiency &amp; Peak Demand Reduction Program Portfolio Plans</w:t>
      </w:r>
      <w:r w:rsidRPr="001572D1">
        <w:t>, Case No. 16-743-EL-POR, Opinion &amp; Order ¶ 61 (Nov</w:t>
      </w:r>
      <w:r w:rsidR="001572D1">
        <w:t>ember</w:t>
      </w:r>
      <w:r w:rsidRPr="001572D1">
        <w:t xml:space="preserve"> 21, 2017).</w:t>
      </w:r>
    </w:p>
  </w:footnote>
  <w:footnote w:id="10">
    <w:p w:rsidR="00D20841" w:rsidRPr="001572D1" w:rsidP="001572D1" w14:paraId="05F7CCFD" w14:textId="10DC263C">
      <w:pPr>
        <w:pStyle w:val="FootnoteText"/>
        <w:spacing w:after="120"/>
      </w:pPr>
      <w:r w:rsidRPr="001572D1">
        <w:rPr>
          <w:rStyle w:val="FootnoteReference"/>
        </w:rPr>
        <w:footnoteRef/>
      </w:r>
      <w:r w:rsidRPr="001572D1">
        <w:t xml:space="preserve"> R.C. Chapter 4911.</w:t>
      </w:r>
    </w:p>
  </w:footnote>
  <w:footnote w:id="11">
    <w:p w:rsidR="0044516D" w:rsidRPr="001572D1" w:rsidP="001572D1" w14:paraId="0091DDEE" w14:textId="688763C6">
      <w:pPr>
        <w:pStyle w:val="FootnoteText"/>
        <w:spacing w:after="120"/>
      </w:pPr>
      <w:r w:rsidRPr="001572D1">
        <w:rPr>
          <w:rStyle w:val="FootnoteReference"/>
        </w:rPr>
        <w:footnoteRef/>
      </w:r>
      <w:r w:rsidRPr="001572D1">
        <w:t xml:space="preserve"> </w:t>
      </w:r>
      <w:r w:rsidRPr="001572D1" w:rsidR="00CD7136">
        <w:t>Duann Direct at 6.</w:t>
      </w:r>
      <w:r w:rsidRPr="001572D1" w:rsidR="001572D1">
        <w:t xml:space="preserve"> </w:t>
      </w:r>
    </w:p>
  </w:footnote>
  <w:footnote w:id="12">
    <w:p w:rsidR="00FD5500" w:rsidRPr="001572D1" w:rsidP="001572D1" w14:paraId="3B27084B" w14:textId="32FC563F">
      <w:pPr>
        <w:pStyle w:val="FootnoteText"/>
        <w:spacing w:after="120"/>
      </w:pPr>
      <w:r w:rsidRPr="001572D1">
        <w:rPr>
          <w:rStyle w:val="FootnoteReference"/>
        </w:rPr>
        <w:footnoteRef/>
      </w:r>
      <w:r w:rsidRPr="001572D1">
        <w:t xml:space="preserve"> Duann Direct at 1</w:t>
      </w:r>
      <w:r w:rsidRPr="001572D1" w:rsidR="00270636">
        <w:t>6</w:t>
      </w:r>
      <w:r w:rsidRPr="001572D1">
        <w:t>.</w:t>
      </w:r>
    </w:p>
  </w:footnote>
  <w:footnote w:id="13">
    <w:p w:rsidR="00FD5500" w:rsidRPr="001572D1" w:rsidP="001572D1" w14:paraId="4EE84A3A" w14:textId="158576F8">
      <w:pPr>
        <w:pStyle w:val="FootnoteText"/>
        <w:spacing w:after="120"/>
      </w:pPr>
      <w:r w:rsidRPr="001572D1">
        <w:rPr>
          <w:rStyle w:val="FootnoteReference"/>
        </w:rPr>
        <w:footnoteRef/>
      </w:r>
      <w:r w:rsidRPr="001572D1">
        <w:t xml:space="preserve"> </w:t>
      </w:r>
      <w:r w:rsidRPr="001572D1">
        <w:rPr>
          <w:i/>
          <w:iCs/>
        </w:rPr>
        <w:t xml:space="preserve">Id. </w:t>
      </w:r>
      <w:r w:rsidRPr="001572D1">
        <w:t xml:space="preserve">at </w:t>
      </w:r>
      <w:r w:rsidRPr="001572D1" w:rsidR="00270636">
        <w:t>6-12.</w:t>
      </w:r>
    </w:p>
  </w:footnote>
  <w:footnote w:id="14">
    <w:p w:rsidR="00FD5500" w:rsidRPr="001572D1" w:rsidP="001572D1" w14:paraId="13183E3A" w14:textId="21BDFDCB">
      <w:pPr>
        <w:pStyle w:val="FootnoteText"/>
        <w:spacing w:after="120"/>
      </w:pPr>
      <w:r w:rsidRPr="001572D1">
        <w:rPr>
          <w:rStyle w:val="FootnoteReference"/>
        </w:rPr>
        <w:footnoteRef/>
      </w:r>
      <w:r w:rsidRPr="001572D1">
        <w:t xml:space="preserve"> </w:t>
      </w:r>
      <w:r w:rsidRPr="001572D1">
        <w:rPr>
          <w:i/>
          <w:iCs/>
        </w:rPr>
        <w:t xml:space="preserve">Id. </w:t>
      </w:r>
      <w:r w:rsidRPr="001572D1">
        <w:t>at 15.</w:t>
      </w:r>
    </w:p>
  </w:footnote>
  <w:footnote w:id="15">
    <w:p w:rsidR="00E41D87" w:rsidRPr="001572D1" w:rsidP="001572D1" w14:paraId="1B303B08" w14:textId="1352EECD">
      <w:pPr>
        <w:pStyle w:val="FootnoteText"/>
        <w:spacing w:after="120"/>
      </w:pPr>
      <w:r w:rsidRPr="001572D1">
        <w:rPr>
          <w:rStyle w:val="FootnoteReference"/>
        </w:rPr>
        <w:footnoteRef/>
      </w:r>
      <w:r w:rsidRPr="001572D1">
        <w:t xml:space="preserve"> </w:t>
      </w:r>
      <w:r w:rsidRPr="001572D1">
        <w:rPr>
          <w:i/>
          <w:iCs/>
        </w:rPr>
        <w:t>Id.</w:t>
      </w:r>
    </w:p>
  </w:footnote>
  <w:footnote w:id="16">
    <w:p w:rsidR="00E41D87" w:rsidRPr="001572D1" w:rsidP="001572D1" w14:paraId="4C7647A8" w14:textId="7274EBBC">
      <w:pPr>
        <w:pStyle w:val="FootnoteText"/>
        <w:spacing w:after="120"/>
      </w:pPr>
      <w:r w:rsidRPr="001572D1">
        <w:rPr>
          <w:rStyle w:val="FootnoteReference"/>
        </w:rPr>
        <w:footnoteRef/>
      </w:r>
      <w:r w:rsidRPr="001572D1">
        <w:t xml:space="preserve"> </w:t>
      </w:r>
      <w:r w:rsidRPr="001572D1" w:rsidR="00346565">
        <w:rPr>
          <w:i/>
          <w:iCs/>
        </w:rPr>
        <w:t>See</w:t>
      </w:r>
      <w:r w:rsidRPr="001572D1" w:rsidR="00346565">
        <w:t xml:space="preserve">, </w:t>
      </w:r>
      <w:r w:rsidRPr="001572D1" w:rsidR="00B307CA">
        <w:t>PUCO Case No. 21-619-GA-RDR, Testimony of Daniel J. Duann, Ph.D. at 13 (September 14, 2021).</w:t>
      </w:r>
    </w:p>
  </w:footnote>
  <w:footnote w:id="17">
    <w:p w:rsidR="00FD5500" w:rsidRPr="001572D1" w:rsidP="001572D1" w14:paraId="52B1672D" w14:textId="1601855F">
      <w:pPr>
        <w:pStyle w:val="FootnoteText"/>
        <w:spacing w:after="120"/>
      </w:pPr>
      <w:r w:rsidRPr="001572D1">
        <w:rPr>
          <w:rStyle w:val="FootnoteReference"/>
        </w:rPr>
        <w:footnoteRef/>
      </w:r>
      <w:r w:rsidRPr="001572D1">
        <w:t xml:space="preserve"> </w:t>
      </w:r>
      <w:r w:rsidRPr="001572D1" w:rsidR="00346565">
        <w:t xml:space="preserve">Case No. 20-1634, </w:t>
      </w:r>
      <w:r w:rsidRPr="001572D1" w:rsidR="00B307CA">
        <w:t xml:space="preserve">Duann Direct </w:t>
      </w:r>
      <w:r w:rsidRPr="001572D1">
        <w:t xml:space="preserve">at </w:t>
      </w:r>
      <w:r w:rsidRPr="001572D1" w:rsidR="00B307CA">
        <w:t>6-7</w:t>
      </w:r>
      <w:r w:rsidRPr="001572D1">
        <w:t>.</w:t>
      </w:r>
    </w:p>
  </w:footnote>
  <w:footnote w:id="18">
    <w:p w:rsidR="00FD5500" w:rsidRPr="001572D1" w:rsidP="001572D1" w14:paraId="45CD4A7C" w14:textId="68B51321">
      <w:pPr>
        <w:pStyle w:val="FootnoteText"/>
        <w:spacing w:after="120"/>
      </w:pPr>
      <w:r w:rsidRPr="001572D1">
        <w:rPr>
          <w:rStyle w:val="FootnoteReference"/>
        </w:rPr>
        <w:footnoteRef/>
      </w:r>
      <w:r w:rsidRPr="001572D1">
        <w:t xml:space="preserve"> </w:t>
      </w:r>
      <w:r w:rsidRPr="001572D1">
        <w:rPr>
          <w:i/>
          <w:iCs/>
        </w:rPr>
        <w:t>Id.</w:t>
      </w:r>
    </w:p>
  </w:footnote>
  <w:footnote w:id="19">
    <w:p w:rsidR="00D72AFE" w:rsidRPr="001572D1" w:rsidP="001572D1" w14:paraId="2922798F" w14:textId="77777777">
      <w:pPr>
        <w:pStyle w:val="FootnoteText"/>
        <w:spacing w:after="120"/>
      </w:pPr>
      <w:r w:rsidRPr="001572D1">
        <w:rPr>
          <w:rStyle w:val="FootnoteReference"/>
        </w:rPr>
        <w:footnoteRef/>
      </w:r>
      <w:r w:rsidRPr="001572D1">
        <w:t xml:space="preserve"> </w:t>
      </w:r>
      <w:r w:rsidRPr="001572D1">
        <w:rPr>
          <w:i/>
          <w:iCs/>
        </w:rPr>
        <w:t>Id.</w:t>
      </w:r>
      <w:r w:rsidRPr="001572D1">
        <w:t xml:space="preserve"> </w:t>
      </w:r>
    </w:p>
  </w:footnote>
  <w:footnote w:id="20">
    <w:p w:rsidR="00FD5500" w:rsidRPr="001572D1" w:rsidP="001572D1" w14:paraId="1F2003B3" w14:textId="013CD948">
      <w:pPr>
        <w:pStyle w:val="FootnoteText"/>
        <w:spacing w:after="120"/>
      </w:pPr>
      <w:r w:rsidRPr="001572D1">
        <w:rPr>
          <w:rStyle w:val="FootnoteReference"/>
        </w:rPr>
        <w:footnoteRef/>
      </w:r>
      <w:r w:rsidRPr="001572D1">
        <w:t xml:space="preserve"> </w:t>
      </w:r>
      <w:r w:rsidRPr="001572D1">
        <w:rPr>
          <w:i/>
          <w:iCs/>
        </w:rPr>
        <w:t xml:space="preserve">Id. </w:t>
      </w:r>
    </w:p>
  </w:footnote>
  <w:footnote w:id="21">
    <w:p w:rsidR="00B307CA" w:rsidRPr="001572D1" w:rsidP="001572D1" w14:paraId="3C9F7315" w14:textId="77777777">
      <w:pPr>
        <w:pStyle w:val="FootnoteText"/>
        <w:spacing w:after="120"/>
      </w:pPr>
      <w:r w:rsidRPr="001572D1">
        <w:rPr>
          <w:rStyle w:val="FootnoteReference"/>
        </w:rPr>
        <w:footnoteRef/>
      </w:r>
      <w:r w:rsidRPr="001572D1">
        <w:t xml:space="preserve"> </w:t>
      </w:r>
      <w:r w:rsidRPr="001572D1">
        <w:rPr>
          <w:i/>
          <w:iCs/>
        </w:rPr>
        <w:t>Id.</w:t>
      </w:r>
    </w:p>
  </w:footnote>
  <w:footnote w:id="22">
    <w:p w:rsidR="00B307CA" w:rsidRPr="001572D1" w:rsidP="001572D1" w14:paraId="4C0ED3A8" w14:textId="4070DB6E">
      <w:pPr>
        <w:pStyle w:val="FootnoteText"/>
        <w:spacing w:after="120"/>
      </w:pPr>
      <w:r w:rsidRPr="001572D1">
        <w:rPr>
          <w:rStyle w:val="FootnoteReference"/>
        </w:rPr>
        <w:footnoteRef/>
      </w:r>
      <w:r w:rsidRPr="001572D1">
        <w:t xml:space="preserve"> </w:t>
      </w:r>
      <w:r w:rsidRPr="001572D1" w:rsidR="00985BEC">
        <w:t>Duann Direct at 11-12.</w:t>
      </w:r>
    </w:p>
  </w:footnote>
  <w:footnote w:id="23">
    <w:p w:rsidR="00B307CA" w:rsidRPr="001572D1" w:rsidP="001572D1" w14:paraId="6FDAA480" w14:textId="77777777">
      <w:pPr>
        <w:pStyle w:val="FootnoteText"/>
        <w:spacing w:after="120"/>
      </w:pPr>
      <w:r w:rsidRPr="001572D1">
        <w:rPr>
          <w:rStyle w:val="FootnoteReference"/>
        </w:rPr>
        <w:footnoteRef/>
      </w:r>
      <w:r w:rsidRPr="001572D1">
        <w:t xml:space="preserve"> </w:t>
      </w:r>
      <w:r w:rsidRPr="001572D1">
        <w:rPr>
          <w:i/>
          <w:iCs/>
        </w:rPr>
        <w:t xml:space="preserve">Id. </w:t>
      </w:r>
      <w:r w:rsidRPr="001572D1">
        <w:t>at 12.</w:t>
      </w:r>
    </w:p>
  </w:footnote>
  <w:footnote w:id="24">
    <w:p w:rsidR="003B3D29" w:rsidRPr="001572D1" w:rsidP="001572D1" w14:paraId="6346A5B5" w14:textId="77777777">
      <w:pPr>
        <w:pStyle w:val="FootnoteText"/>
        <w:spacing w:after="120"/>
      </w:pPr>
      <w:r w:rsidRPr="001572D1">
        <w:rPr>
          <w:rStyle w:val="FootnoteReference"/>
        </w:rPr>
        <w:footnoteRef/>
      </w:r>
      <w:r w:rsidRPr="001572D1">
        <w:t xml:space="preserve"> Duann Direct at 11.</w:t>
      </w:r>
    </w:p>
  </w:footnote>
  <w:footnote w:id="25">
    <w:p w:rsidR="003B3D29" w:rsidRPr="001572D1" w:rsidP="001572D1" w14:paraId="284FF7EF" w14:textId="77777777">
      <w:pPr>
        <w:pStyle w:val="FootnoteText"/>
        <w:spacing w:after="120"/>
      </w:pPr>
      <w:r w:rsidRPr="001572D1">
        <w:rPr>
          <w:rStyle w:val="FootnoteReference"/>
        </w:rPr>
        <w:footnoteRef/>
      </w:r>
      <w:r w:rsidRPr="001572D1">
        <w:t xml:space="preserve"> Duann Direct at 9. </w:t>
      </w:r>
    </w:p>
  </w:footnote>
  <w:footnote w:id="26">
    <w:p w:rsidR="003B3D29" w:rsidRPr="001572D1" w:rsidP="001572D1" w14:paraId="1EE743DF" w14:textId="77777777">
      <w:pPr>
        <w:pStyle w:val="FootnoteText"/>
        <w:spacing w:after="120"/>
      </w:pPr>
      <w:r w:rsidRPr="001572D1">
        <w:rPr>
          <w:rStyle w:val="FootnoteReference"/>
        </w:rPr>
        <w:footnoteRef/>
      </w:r>
      <w:r w:rsidRPr="001572D1">
        <w:t xml:space="preserve"> Duann Direct at 10.</w:t>
      </w:r>
    </w:p>
  </w:footnote>
  <w:footnote w:id="27">
    <w:p w:rsidR="003B3D29" w:rsidRPr="001572D1" w:rsidP="001572D1" w14:paraId="292396C2" w14:textId="77777777">
      <w:pPr>
        <w:pStyle w:val="FootnoteText"/>
        <w:spacing w:after="120"/>
      </w:pPr>
      <w:r w:rsidRPr="001572D1">
        <w:rPr>
          <w:rStyle w:val="FootnoteReference"/>
        </w:rPr>
        <w:footnoteRef/>
      </w:r>
      <w:r w:rsidRPr="001572D1">
        <w:t xml:space="preserve"> </w:t>
      </w:r>
      <w:r w:rsidRPr="001572D1">
        <w:rPr>
          <w:i/>
          <w:iCs/>
        </w:rPr>
        <w:t>Id.</w:t>
      </w:r>
    </w:p>
  </w:footnote>
  <w:footnote w:id="28">
    <w:p w:rsidR="00FD5500" w:rsidRPr="001572D1" w:rsidP="001572D1" w14:paraId="1D5AC618" w14:textId="2C406575">
      <w:pPr>
        <w:pStyle w:val="FootnoteText"/>
        <w:spacing w:after="120"/>
      </w:pPr>
      <w:r w:rsidRPr="001572D1">
        <w:rPr>
          <w:rStyle w:val="FootnoteReference"/>
        </w:rPr>
        <w:footnoteRef/>
      </w:r>
      <w:r w:rsidRPr="001572D1">
        <w:t xml:space="preserve"> Duann Direct at </w:t>
      </w:r>
      <w:r w:rsidRPr="001572D1" w:rsidR="002272E3">
        <w:t>18-19</w:t>
      </w:r>
      <w:r w:rsidRPr="001572D1">
        <w:t>.</w:t>
      </w:r>
    </w:p>
  </w:footnote>
  <w:footnote w:id="29">
    <w:p w:rsidR="00A83EE0" w14:paraId="5DC30885" w14:textId="4B3F871E">
      <w:pPr>
        <w:pStyle w:val="FootnoteText"/>
      </w:pPr>
      <w:r>
        <w:rPr>
          <w:rStyle w:val="FootnoteReference"/>
        </w:rPr>
        <w:footnoteRef/>
      </w:r>
      <w:r>
        <w:t xml:space="preserve"> </w:t>
      </w:r>
      <w:r w:rsidRPr="00A83EE0">
        <w:rPr>
          <w:i/>
          <w:iCs/>
        </w:rPr>
        <w:t>Bluefield Water Works v. Public Service Comm’n</w:t>
      </w:r>
      <w:r>
        <w:t>, 262 U.S. 679, 692 (1923)</w:t>
      </w:r>
    </w:p>
  </w:footnote>
  <w:footnote w:id="30">
    <w:p w:rsidR="00AB04D3" w:rsidRPr="001572D1" w:rsidP="001572D1" w14:paraId="63DF9B05" w14:textId="77777777">
      <w:pPr>
        <w:pStyle w:val="FootnoteText"/>
        <w:spacing w:after="120"/>
        <w:rPr>
          <w:i/>
          <w:iCs/>
        </w:rPr>
      </w:pPr>
      <w:r w:rsidRPr="001572D1">
        <w:rPr>
          <w:rStyle w:val="FootnoteReference"/>
        </w:rPr>
        <w:footnoteRef/>
      </w:r>
      <w:r w:rsidRPr="001572D1">
        <w:t xml:space="preserve"> </w:t>
      </w:r>
      <w:r w:rsidRPr="001572D1">
        <w:rPr>
          <w:i/>
          <w:iCs/>
        </w:rPr>
        <w:t>Id.</w:t>
      </w:r>
    </w:p>
  </w:footnote>
  <w:footnote w:id="31">
    <w:p w:rsidR="00AB04D3" w:rsidRPr="001572D1" w:rsidP="001572D1" w14:paraId="144B0A14" w14:textId="1DF1F334">
      <w:pPr>
        <w:spacing w:after="120"/>
        <w:rPr>
          <w:sz w:val="20"/>
          <w:szCs w:val="18"/>
        </w:rPr>
      </w:pPr>
      <w:r w:rsidRPr="001572D1">
        <w:rPr>
          <w:rStyle w:val="FootnoteReference"/>
          <w:sz w:val="20"/>
        </w:rPr>
        <w:footnoteRef/>
      </w:r>
      <w:r w:rsidRPr="001572D1">
        <w:rPr>
          <w:sz w:val="20"/>
        </w:rPr>
        <w:t xml:space="preserve"> </w:t>
      </w:r>
      <w:r w:rsidRPr="001572D1">
        <w:rPr>
          <w:i/>
          <w:iCs/>
          <w:sz w:val="20"/>
        </w:rPr>
        <w:t xml:space="preserve">Id. </w:t>
      </w:r>
      <w:r w:rsidRPr="001572D1">
        <w:rPr>
          <w:sz w:val="20"/>
        </w:rPr>
        <w:t xml:space="preserve">Specifically, in the case of </w:t>
      </w:r>
      <w:r w:rsidRPr="001572D1">
        <w:rPr>
          <w:i/>
          <w:color w:val="000000"/>
          <w:sz w:val="20"/>
        </w:rPr>
        <w:t xml:space="preserve">Bluefield Water Works v. Public Service Comm'n, </w:t>
      </w:r>
      <w:r w:rsidRPr="001572D1">
        <w:rPr>
          <w:color w:val="000000"/>
          <w:sz w:val="20"/>
        </w:rPr>
        <w:t>262 U.S. 679</w:t>
      </w:r>
      <w:r w:rsidR="001C79E5">
        <w:rPr>
          <w:color w:val="000000"/>
          <w:sz w:val="20"/>
        </w:rPr>
        <w:t>, 692</w:t>
      </w:r>
      <w:r w:rsidRPr="001572D1">
        <w:rPr>
          <w:color w:val="000000"/>
          <w:sz w:val="20"/>
        </w:rPr>
        <w:t xml:space="preserve"> (1923)</w:t>
      </w:r>
      <w:r w:rsidRPr="001572D1">
        <w:rPr>
          <w:i/>
          <w:color w:val="000000"/>
          <w:sz w:val="20"/>
        </w:rPr>
        <w:t>,</w:t>
      </w:r>
      <w:r w:rsidRPr="001572D1">
        <w:rPr>
          <w:sz w:val="20"/>
        </w:rPr>
        <w:t xml:space="preserve"> the U.S Supreme Court ruled that “A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w:t>
      </w:r>
      <w:r w:rsidRPr="001572D1" w:rsidR="003B3D29">
        <w:rPr>
          <w:sz w:val="20"/>
          <w:szCs w:val="18"/>
        </w:rPr>
        <w:t>.</w:t>
      </w:r>
      <w:r w:rsidRPr="001572D1">
        <w:rPr>
          <w:sz w:val="20"/>
          <w:szCs w:val="18"/>
        </w:rPr>
        <w:t xml:space="preserve">”. </w:t>
      </w:r>
      <w:r w:rsidRPr="001572D1" w:rsidR="003B3D29">
        <w:rPr>
          <w:i/>
          <w:iCs/>
          <w:sz w:val="20"/>
          <w:szCs w:val="18"/>
        </w:rPr>
        <w:t>See In re Application of Columbus S. Power Co</w:t>
      </w:r>
      <w:r w:rsidRPr="001572D1" w:rsidR="003B3D29">
        <w:rPr>
          <w:sz w:val="20"/>
          <w:szCs w:val="18"/>
        </w:rPr>
        <w:t xml:space="preserve">., Case No. 11-346-EL-SSO, Opinion &amp; Order (Aug. 8, 2012) (while the utility “should have the opportunity to earn a reasonable rate of return, there is not a right to a guaranteed rate of return”); </w:t>
      </w:r>
      <w:r w:rsidRPr="001572D1" w:rsidR="003B3D29">
        <w:rPr>
          <w:i/>
          <w:iCs/>
          <w:sz w:val="20"/>
          <w:szCs w:val="18"/>
        </w:rPr>
        <w:t>In re Application of Dayton Power &amp; Light Co</w:t>
      </w:r>
      <w:r w:rsidRPr="001572D1" w:rsidR="003B3D29">
        <w:rPr>
          <w:sz w:val="20"/>
          <w:szCs w:val="18"/>
        </w:rPr>
        <w:t>., Case No. 78-92-EL-AIR, Opinion &amp; Order (Mar. 9, 1979) (“It is not the function of this Commission to guarantee a particular rate of return to an applicant utility but merely to afford the company an opportunity to earn a fair rate of return.”) (quoting Case No. 76-704-GA-CMR (June 29, 1977)).</w:t>
      </w:r>
    </w:p>
  </w:footnote>
  <w:footnote w:id="32">
    <w:p w:rsidR="00BE027E" w:rsidRPr="001572D1" w:rsidP="001572D1" w14:paraId="15174AC9" w14:textId="7AABB36D">
      <w:pPr>
        <w:pStyle w:val="FootnoteText"/>
        <w:spacing w:after="120"/>
      </w:pPr>
      <w:r w:rsidRPr="001572D1">
        <w:rPr>
          <w:rStyle w:val="FootnoteReference"/>
        </w:rPr>
        <w:footnoteRef/>
      </w:r>
      <w:r w:rsidRPr="001572D1">
        <w:t xml:space="preserve"> D</w:t>
      </w:r>
      <w:r w:rsidR="00A83EE0">
        <w:t>uann</w:t>
      </w:r>
      <w:r w:rsidRPr="001572D1">
        <w:t xml:space="preserve"> Direct at 17.</w:t>
      </w:r>
    </w:p>
  </w:footnote>
  <w:footnote w:id="33">
    <w:p w:rsidR="00BE027E" w:rsidRPr="001572D1" w:rsidP="001572D1" w14:paraId="399CBB17" w14:textId="77777777">
      <w:pPr>
        <w:pStyle w:val="FootnoteText"/>
        <w:spacing w:after="120"/>
      </w:pPr>
      <w:r w:rsidRPr="001572D1">
        <w:rPr>
          <w:rStyle w:val="FootnoteReference"/>
        </w:rPr>
        <w:footnoteRef/>
      </w:r>
      <w:r w:rsidRPr="001572D1">
        <w:t xml:space="preserve"> This regulatory principle is also referred as cost-based regulation. In other words, the rates of utility services that consumers pay should be based on the prudently-incurred costs of providing these utility services to consumers, which includes a reasonable and fair rate of return on the capital invested. </w:t>
      </w:r>
      <w:r w:rsidRPr="001572D1">
        <w:rPr>
          <w:i/>
        </w:rPr>
        <w:t>See</w:t>
      </w:r>
      <w:r w:rsidRPr="001572D1">
        <w:t xml:space="preserve">, for example, James C. Bonbright, Principles of Public Utility Rates, Columbia University Press, New York (1961) at 240-241. </w:t>
      </w:r>
    </w:p>
  </w:footnote>
  <w:footnote w:id="34">
    <w:p w:rsidR="00BE027E" w:rsidRPr="001572D1" w:rsidP="001572D1" w14:paraId="4CC2326D" w14:textId="77777777">
      <w:pPr>
        <w:pStyle w:val="FootnoteText"/>
        <w:spacing w:after="120"/>
      </w:pPr>
      <w:r w:rsidRPr="001572D1">
        <w:rPr>
          <w:rStyle w:val="FootnoteReference"/>
        </w:rPr>
        <w:footnoteRef/>
      </w:r>
      <w:r w:rsidRPr="001572D1">
        <w:t xml:space="preserve"> </w:t>
      </w:r>
      <w:r w:rsidRPr="001572D1">
        <w:rPr>
          <w:i/>
        </w:rPr>
        <w:t xml:space="preserve">See </w:t>
      </w:r>
      <w:r w:rsidRPr="001572D1">
        <w:t xml:space="preserve">R.C. 4905.22. </w:t>
      </w:r>
    </w:p>
  </w:footnote>
  <w:footnote w:id="35">
    <w:p w:rsidR="00BE027E" w:rsidRPr="001572D1" w:rsidP="001572D1" w14:paraId="51156DF7" w14:textId="55FAE1A0">
      <w:pPr>
        <w:pStyle w:val="FootnoteText"/>
        <w:spacing w:after="120"/>
      </w:pPr>
      <w:r w:rsidRPr="001572D1">
        <w:rPr>
          <w:rStyle w:val="FootnoteReference"/>
        </w:rPr>
        <w:footnoteRef/>
      </w:r>
      <w:r w:rsidRPr="001572D1">
        <w:t xml:space="preserve"> Duann Direct at 17-18.</w:t>
      </w:r>
    </w:p>
  </w:footnote>
  <w:footnote w:id="36">
    <w:p w:rsidR="00AB04D3" w:rsidRPr="001572D1" w:rsidP="001572D1" w14:paraId="05AF9AB2" w14:textId="77777777">
      <w:pPr>
        <w:pStyle w:val="FootnoteText"/>
        <w:spacing w:after="120"/>
      </w:pPr>
      <w:r w:rsidRPr="001572D1">
        <w:rPr>
          <w:rStyle w:val="FootnoteReference"/>
        </w:rPr>
        <w:footnoteRef/>
      </w:r>
      <w:r w:rsidRPr="001572D1">
        <w:t xml:space="preserve"> </w:t>
      </w:r>
      <w:r w:rsidRPr="001572D1">
        <w:rPr>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89476B4"/>
    <w:multiLevelType w:val="hybridMultilevel"/>
    <w:tmpl w:val="4E1030A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B567E4"/>
    <w:multiLevelType w:val="hybridMultilevel"/>
    <w:tmpl w:val="437EC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6651E9"/>
    <w:multiLevelType w:val="hybridMultilevel"/>
    <w:tmpl w:val="FC747EE6"/>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4">
    <w:nsid w:val="39C04C7F"/>
    <w:multiLevelType w:val="hybridMultilevel"/>
    <w:tmpl w:val="88B05E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FCA3353"/>
    <w:multiLevelType w:val="hybridMultilevel"/>
    <w:tmpl w:val="E80C915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95E3538"/>
    <w:multiLevelType w:val="multilevel"/>
    <w:tmpl w:val="314A5F60"/>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CAA370C"/>
    <w:multiLevelType w:val="hybridMultilevel"/>
    <w:tmpl w:val="E6A610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DCD5030"/>
    <w:multiLevelType w:val="hybridMultilevel"/>
    <w:tmpl w:val="59DCDDF4"/>
    <w:lvl w:ilvl="0">
      <w:start w:val="1"/>
      <w:numFmt w:val="decimal"/>
      <w:lvlText w:val="(%1)"/>
      <w:lvlJc w:val="left"/>
      <w:pPr>
        <w:ind w:left="1800" w:hanging="360"/>
      </w:pPr>
      <w:rPr>
        <w:rFonts w:ascii="Times New Roman" w:hAnsi="Times New Roman" w:cs="Times New Roman"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FA912FB"/>
    <w:multiLevelType w:val="hybridMultilevel"/>
    <w:tmpl w:val="A0DECB12"/>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2AD4054"/>
    <w:multiLevelType w:val="hybridMultilevel"/>
    <w:tmpl w:val="0D4EC9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nsid w:val="6BFE42E8"/>
    <w:multiLevelType w:val="hybridMultilevel"/>
    <w:tmpl w:val="F97A5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0"/>
  </w:num>
  <w:num w:numId="2">
    <w:abstractNumId w:val="8"/>
  </w:num>
  <w:num w:numId="3">
    <w:abstractNumId w:val="16"/>
  </w:num>
  <w:num w:numId="4">
    <w:abstractNumId w:val="13"/>
  </w:num>
  <w:num w:numId="5">
    <w:abstractNumId w:val="0"/>
  </w:num>
  <w:num w:numId="6">
    <w:abstractNumId w:val="18"/>
  </w:num>
  <w:num w:numId="7">
    <w:abstractNumId w:val="6"/>
  </w:num>
  <w:num w:numId="8">
    <w:abstractNumId w:val="5"/>
  </w:num>
  <w:num w:numId="9">
    <w:abstractNumId w:val="14"/>
  </w:num>
  <w:num w:numId="10">
    <w:abstractNumId w:val="17"/>
  </w:num>
  <w:num w:numId="11">
    <w:abstractNumId w:val="15"/>
  </w:num>
  <w:num w:numId="12">
    <w:abstractNumId w:val="2"/>
  </w:num>
  <w:num w:numId="13">
    <w:abstractNumId w:val="7"/>
  </w:num>
  <w:num w:numId="14">
    <w:abstractNumId w:val="7"/>
    <w:lvlOverride w:ilvl="0">
      <w:startOverride w:val="1"/>
    </w:lvlOverride>
  </w:num>
  <w:num w:numId="15">
    <w:abstractNumId w:val="7"/>
    <w:lvlOverride w:ilvl="0">
      <w:startOverride w:val="1"/>
    </w:lvlOverride>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7"/>
  </w:num>
  <w:num w:numId="21">
    <w:abstractNumId w:val="9"/>
  </w:num>
  <w:num w:numId="22">
    <w:abstractNumId w:val="4"/>
  </w:num>
  <w:num w:numId="23">
    <w:abstractNumId w:val="7"/>
    <w:lvlOverride w:ilvl="0">
      <w:startOverride w:val="1"/>
    </w:lvlOverride>
  </w:num>
  <w:num w:numId="24">
    <w:abstractNumId w:val="7"/>
  </w:num>
  <w:num w:numId="25">
    <w:abstractNumId w:val="7"/>
  </w:num>
  <w:num w:numId="26">
    <w:abstractNumId w:val="9"/>
    <w:lvlOverride w:ilvl="0">
      <w:startOverride w:val="1"/>
    </w:lvlOverride>
  </w:num>
  <w:num w:numId="27">
    <w:abstractNumId w:val="1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
  </w:num>
  <w:num w:numId="31">
    <w:abstractNumId w:val="12"/>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4A9"/>
    <w:rsid w:val="00000655"/>
    <w:rsid w:val="00001258"/>
    <w:rsid w:val="000020B1"/>
    <w:rsid w:val="00003256"/>
    <w:rsid w:val="00003362"/>
    <w:rsid w:val="0000400B"/>
    <w:rsid w:val="00004E6E"/>
    <w:rsid w:val="000052F7"/>
    <w:rsid w:val="00005B10"/>
    <w:rsid w:val="000069F5"/>
    <w:rsid w:val="00007BE4"/>
    <w:rsid w:val="0001049D"/>
    <w:rsid w:val="0001114A"/>
    <w:rsid w:val="0001155F"/>
    <w:rsid w:val="000124EC"/>
    <w:rsid w:val="000127D5"/>
    <w:rsid w:val="000130D3"/>
    <w:rsid w:val="00013757"/>
    <w:rsid w:val="000140A7"/>
    <w:rsid w:val="0001515B"/>
    <w:rsid w:val="000163F6"/>
    <w:rsid w:val="00017099"/>
    <w:rsid w:val="000170B1"/>
    <w:rsid w:val="00017DF3"/>
    <w:rsid w:val="000202A4"/>
    <w:rsid w:val="00022C03"/>
    <w:rsid w:val="00023E2B"/>
    <w:rsid w:val="000251B3"/>
    <w:rsid w:val="000256A7"/>
    <w:rsid w:val="0002599B"/>
    <w:rsid w:val="00025DD2"/>
    <w:rsid w:val="00025FC8"/>
    <w:rsid w:val="000265E4"/>
    <w:rsid w:val="0003106F"/>
    <w:rsid w:val="00033389"/>
    <w:rsid w:val="000348AC"/>
    <w:rsid w:val="00034AEC"/>
    <w:rsid w:val="00034BE7"/>
    <w:rsid w:val="000350C4"/>
    <w:rsid w:val="00035497"/>
    <w:rsid w:val="00041E9D"/>
    <w:rsid w:val="000427E1"/>
    <w:rsid w:val="00042FA3"/>
    <w:rsid w:val="000432ED"/>
    <w:rsid w:val="00043DF6"/>
    <w:rsid w:val="000453B2"/>
    <w:rsid w:val="000470C7"/>
    <w:rsid w:val="00047396"/>
    <w:rsid w:val="000503C1"/>
    <w:rsid w:val="0005111E"/>
    <w:rsid w:val="0005145B"/>
    <w:rsid w:val="000520C5"/>
    <w:rsid w:val="00052217"/>
    <w:rsid w:val="000533CB"/>
    <w:rsid w:val="0005455D"/>
    <w:rsid w:val="000553C5"/>
    <w:rsid w:val="00055C96"/>
    <w:rsid w:val="00056A1A"/>
    <w:rsid w:val="000573DD"/>
    <w:rsid w:val="000575B2"/>
    <w:rsid w:val="0006002D"/>
    <w:rsid w:val="000607D9"/>
    <w:rsid w:val="000609D6"/>
    <w:rsid w:val="00060BD8"/>
    <w:rsid w:val="00061367"/>
    <w:rsid w:val="000614DD"/>
    <w:rsid w:val="00061BAD"/>
    <w:rsid w:val="000623A7"/>
    <w:rsid w:val="000626AC"/>
    <w:rsid w:val="0006279D"/>
    <w:rsid w:val="00062F9A"/>
    <w:rsid w:val="0006316B"/>
    <w:rsid w:val="000633B5"/>
    <w:rsid w:val="00064835"/>
    <w:rsid w:val="00064C81"/>
    <w:rsid w:val="00064C85"/>
    <w:rsid w:val="000651DF"/>
    <w:rsid w:val="00065D2D"/>
    <w:rsid w:val="000665F9"/>
    <w:rsid w:val="00070FF6"/>
    <w:rsid w:val="0007167D"/>
    <w:rsid w:val="000726E7"/>
    <w:rsid w:val="00072F26"/>
    <w:rsid w:val="000745C8"/>
    <w:rsid w:val="00074B5E"/>
    <w:rsid w:val="00074C12"/>
    <w:rsid w:val="00074CC9"/>
    <w:rsid w:val="00075735"/>
    <w:rsid w:val="00076C96"/>
    <w:rsid w:val="000810E1"/>
    <w:rsid w:val="000844F0"/>
    <w:rsid w:val="00084DD4"/>
    <w:rsid w:val="00087268"/>
    <w:rsid w:val="00090FDC"/>
    <w:rsid w:val="00091365"/>
    <w:rsid w:val="000932BF"/>
    <w:rsid w:val="00093A89"/>
    <w:rsid w:val="00093E59"/>
    <w:rsid w:val="00096830"/>
    <w:rsid w:val="00096CAE"/>
    <w:rsid w:val="000A02FB"/>
    <w:rsid w:val="000A0D04"/>
    <w:rsid w:val="000A1934"/>
    <w:rsid w:val="000A1CA9"/>
    <w:rsid w:val="000A2304"/>
    <w:rsid w:val="000A3240"/>
    <w:rsid w:val="000A3649"/>
    <w:rsid w:val="000A4BD4"/>
    <w:rsid w:val="000A5613"/>
    <w:rsid w:val="000A56B0"/>
    <w:rsid w:val="000A6315"/>
    <w:rsid w:val="000A651A"/>
    <w:rsid w:val="000A6C2F"/>
    <w:rsid w:val="000A791D"/>
    <w:rsid w:val="000A7B2E"/>
    <w:rsid w:val="000A7EA6"/>
    <w:rsid w:val="000B0EF2"/>
    <w:rsid w:val="000B1CEE"/>
    <w:rsid w:val="000B2FC4"/>
    <w:rsid w:val="000B2FF8"/>
    <w:rsid w:val="000B3316"/>
    <w:rsid w:val="000B3907"/>
    <w:rsid w:val="000B3D25"/>
    <w:rsid w:val="000B5600"/>
    <w:rsid w:val="000B591F"/>
    <w:rsid w:val="000B6682"/>
    <w:rsid w:val="000C02C1"/>
    <w:rsid w:val="000C16B2"/>
    <w:rsid w:val="000C2218"/>
    <w:rsid w:val="000C257E"/>
    <w:rsid w:val="000C2B8B"/>
    <w:rsid w:val="000C4587"/>
    <w:rsid w:val="000C473D"/>
    <w:rsid w:val="000C5B5E"/>
    <w:rsid w:val="000C5DB7"/>
    <w:rsid w:val="000C6514"/>
    <w:rsid w:val="000D1BA7"/>
    <w:rsid w:val="000D29BB"/>
    <w:rsid w:val="000D2DF7"/>
    <w:rsid w:val="000D3CB7"/>
    <w:rsid w:val="000D3FB6"/>
    <w:rsid w:val="000D48A4"/>
    <w:rsid w:val="000D4A0C"/>
    <w:rsid w:val="000D6056"/>
    <w:rsid w:val="000E04DA"/>
    <w:rsid w:val="000E07C6"/>
    <w:rsid w:val="000E0D0D"/>
    <w:rsid w:val="000E0DA2"/>
    <w:rsid w:val="000E11E3"/>
    <w:rsid w:val="000E2FCF"/>
    <w:rsid w:val="000E3362"/>
    <w:rsid w:val="000E3423"/>
    <w:rsid w:val="000E46C0"/>
    <w:rsid w:val="000E4979"/>
    <w:rsid w:val="000E4A32"/>
    <w:rsid w:val="000E4ABF"/>
    <w:rsid w:val="000E51BB"/>
    <w:rsid w:val="000E56DB"/>
    <w:rsid w:val="000E62DA"/>
    <w:rsid w:val="000E6B41"/>
    <w:rsid w:val="000E72BD"/>
    <w:rsid w:val="000E7D1A"/>
    <w:rsid w:val="000F0355"/>
    <w:rsid w:val="000F09A3"/>
    <w:rsid w:val="000F1144"/>
    <w:rsid w:val="000F3A80"/>
    <w:rsid w:val="000F3C7E"/>
    <w:rsid w:val="000F3D8D"/>
    <w:rsid w:val="000F55E4"/>
    <w:rsid w:val="000F5768"/>
    <w:rsid w:val="000F57AF"/>
    <w:rsid w:val="000F6BF3"/>
    <w:rsid w:val="000F6E94"/>
    <w:rsid w:val="000F7B77"/>
    <w:rsid w:val="000F7E3A"/>
    <w:rsid w:val="00100295"/>
    <w:rsid w:val="001008CF"/>
    <w:rsid w:val="00100B5A"/>
    <w:rsid w:val="00101991"/>
    <w:rsid w:val="00101DC9"/>
    <w:rsid w:val="00102009"/>
    <w:rsid w:val="00103132"/>
    <w:rsid w:val="00103FB9"/>
    <w:rsid w:val="001053B0"/>
    <w:rsid w:val="00106ED6"/>
    <w:rsid w:val="00107E50"/>
    <w:rsid w:val="00110041"/>
    <w:rsid w:val="00110AAF"/>
    <w:rsid w:val="00111A9E"/>
    <w:rsid w:val="00111C81"/>
    <w:rsid w:val="00112B46"/>
    <w:rsid w:val="00113C2A"/>
    <w:rsid w:val="001151DA"/>
    <w:rsid w:val="001219F1"/>
    <w:rsid w:val="001225ED"/>
    <w:rsid w:val="00122BA6"/>
    <w:rsid w:val="0012327B"/>
    <w:rsid w:val="00123FCE"/>
    <w:rsid w:val="001245A2"/>
    <w:rsid w:val="00126A6B"/>
    <w:rsid w:val="001277C8"/>
    <w:rsid w:val="00127F40"/>
    <w:rsid w:val="00131442"/>
    <w:rsid w:val="001316C1"/>
    <w:rsid w:val="001319E8"/>
    <w:rsid w:val="00131DB5"/>
    <w:rsid w:val="00131E2B"/>
    <w:rsid w:val="00132670"/>
    <w:rsid w:val="00132DD1"/>
    <w:rsid w:val="00134110"/>
    <w:rsid w:val="00134FB0"/>
    <w:rsid w:val="001352CC"/>
    <w:rsid w:val="0013572E"/>
    <w:rsid w:val="00136437"/>
    <w:rsid w:val="00136B47"/>
    <w:rsid w:val="00136CA4"/>
    <w:rsid w:val="0013705B"/>
    <w:rsid w:val="00137637"/>
    <w:rsid w:val="0014195E"/>
    <w:rsid w:val="00143B32"/>
    <w:rsid w:val="00144ED9"/>
    <w:rsid w:val="001450FB"/>
    <w:rsid w:val="00145C24"/>
    <w:rsid w:val="00145E28"/>
    <w:rsid w:val="00146B35"/>
    <w:rsid w:val="00146EBD"/>
    <w:rsid w:val="00147CF4"/>
    <w:rsid w:val="00150108"/>
    <w:rsid w:val="001506EB"/>
    <w:rsid w:val="00150D7F"/>
    <w:rsid w:val="001510DD"/>
    <w:rsid w:val="0015165F"/>
    <w:rsid w:val="00151D22"/>
    <w:rsid w:val="00152119"/>
    <w:rsid w:val="00152446"/>
    <w:rsid w:val="0015279D"/>
    <w:rsid w:val="0015340C"/>
    <w:rsid w:val="00154734"/>
    <w:rsid w:val="00154EC9"/>
    <w:rsid w:val="00155F6C"/>
    <w:rsid w:val="00156EFB"/>
    <w:rsid w:val="00156FFC"/>
    <w:rsid w:val="001572D1"/>
    <w:rsid w:val="00157400"/>
    <w:rsid w:val="001576C9"/>
    <w:rsid w:val="001579E7"/>
    <w:rsid w:val="001605D3"/>
    <w:rsid w:val="00160958"/>
    <w:rsid w:val="00161F1B"/>
    <w:rsid w:val="00163725"/>
    <w:rsid w:val="00163DD0"/>
    <w:rsid w:val="001643AC"/>
    <w:rsid w:val="001645C7"/>
    <w:rsid w:val="0016508A"/>
    <w:rsid w:val="00166062"/>
    <w:rsid w:val="00171323"/>
    <w:rsid w:val="0017233A"/>
    <w:rsid w:val="00175AE2"/>
    <w:rsid w:val="001762F6"/>
    <w:rsid w:val="001777EC"/>
    <w:rsid w:val="00177FC3"/>
    <w:rsid w:val="00181164"/>
    <w:rsid w:val="00181428"/>
    <w:rsid w:val="00181727"/>
    <w:rsid w:val="00181D2D"/>
    <w:rsid w:val="001826DE"/>
    <w:rsid w:val="0018279B"/>
    <w:rsid w:val="00182E06"/>
    <w:rsid w:val="0018413B"/>
    <w:rsid w:val="00184833"/>
    <w:rsid w:val="00186C0F"/>
    <w:rsid w:val="00186DB1"/>
    <w:rsid w:val="0019116F"/>
    <w:rsid w:val="001914FA"/>
    <w:rsid w:val="001917B4"/>
    <w:rsid w:val="00191D4F"/>
    <w:rsid w:val="00192878"/>
    <w:rsid w:val="001928AF"/>
    <w:rsid w:val="001948F0"/>
    <w:rsid w:val="00194E09"/>
    <w:rsid w:val="001951B4"/>
    <w:rsid w:val="001956FF"/>
    <w:rsid w:val="00195AB7"/>
    <w:rsid w:val="00196274"/>
    <w:rsid w:val="001965C5"/>
    <w:rsid w:val="001A05E4"/>
    <w:rsid w:val="001A09CE"/>
    <w:rsid w:val="001A275E"/>
    <w:rsid w:val="001A3192"/>
    <w:rsid w:val="001A3F56"/>
    <w:rsid w:val="001A5BC6"/>
    <w:rsid w:val="001A5C4B"/>
    <w:rsid w:val="001A620E"/>
    <w:rsid w:val="001A6299"/>
    <w:rsid w:val="001A644E"/>
    <w:rsid w:val="001B0AD4"/>
    <w:rsid w:val="001B0C84"/>
    <w:rsid w:val="001B17D4"/>
    <w:rsid w:val="001B2408"/>
    <w:rsid w:val="001B29DD"/>
    <w:rsid w:val="001B2F27"/>
    <w:rsid w:val="001B308F"/>
    <w:rsid w:val="001B3177"/>
    <w:rsid w:val="001B392D"/>
    <w:rsid w:val="001C295D"/>
    <w:rsid w:val="001C3F54"/>
    <w:rsid w:val="001C635F"/>
    <w:rsid w:val="001C6545"/>
    <w:rsid w:val="001C6CF1"/>
    <w:rsid w:val="001C76BB"/>
    <w:rsid w:val="001C79E5"/>
    <w:rsid w:val="001C7A4A"/>
    <w:rsid w:val="001C7F5A"/>
    <w:rsid w:val="001D058C"/>
    <w:rsid w:val="001D0B5B"/>
    <w:rsid w:val="001D10A0"/>
    <w:rsid w:val="001D215F"/>
    <w:rsid w:val="001D285F"/>
    <w:rsid w:val="001D36F7"/>
    <w:rsid w:val="001D3914"/>
    <w:rsid w:val="001D52E1"/>
    <w:rsid w:val="001D5363"/>
    <w:rsid w:val="001D542B"/>
    <w:rsid w:val="001D563C"/>
    <w:rsid w:val="001D56C5"/>
    <w:rsid w:val="001D6D76"/>
    <w:rsid w:val="001D6E99"/>
    <w:rsid w:val="001D7B86"/>
    <w:rsid w:val="001E0885"/>
    <w:rsid w:val="001E1374"/>
    <w:rsid w:val="001E1D70"/>
    <w:rsid w:val="001E3AC1"/>
    <w:rsid w:val="001E3B09"/>
    <w:rsid w:val="001E4CD6"/>
    <w:rsid w:val="001E560A"/>
    <w:rsid w:val="001E5CD8"/>
    <w:rsid w:val="001E62A2"/>
    <w:rsid w:val="001E686E"/>
    <w:rsid w:val="001E763C"/>
    <w:rsid w:val="001E76D2"/>
    <w:rsid w:val="001E7860"/>
    <w:rsid w:val="001E79F9"/>
    <w:rsid w:val="001F0801"/>
    <w:rsid w:val="001F0BC8"/>
    <w:rsid w:val="001F1302"/>
    <w:rsid w:val="001F1355"/>
    <w:rsid w:val="001F1826"/>
    <w:rsid w:val="001F1F96"/>
    <w:rsid w:val="001F2A7E"/>
    <w:rsid w:val="001F3527"/>
    <w:rsid w:val="001F53CA"/>
    <w:rsid w:val="001F6225"/>
    <w:rsid w:val="001F6786"/>
    <w:rsid w:val="001F7611"/>
    <w:rsid w:val="001F7949"/>
    <w:rsid w:val="001F7CBF"/>
    <w:rsid w:val="00201CB9"/>
    <w:rsid w:val="00202AA2"/>
    <w:rsid w:val="00203CA3"/>
    <w:rsid w:val="00203EE6"/>
    <w:rsid w:val="0020483F"/>
    <w:rsid w:val="00204FFC"/>
    <w:rsid w:val="00205248"/>
    <w:rsid w:val="002054C3"/>
    <w:rsid w:val="00205BBE"/>
    <w:rsid w:val="00206263"/>
    <w:rsid w:val="0020664D"/>
    <w:rsid w:val="00210B64"/>
    <w:rsid w:val="00211B15"/>
    <w:rsid w:val="0021252C"/>
    <w:rsid w:val="00212563"/>
    <w:rsid w:val="00212B0D"/>
    <w:rsid w:val="00213C9B"/>
    <w:rsid w:val="00213E63"/>
    <w:rsid w:val="0021477D"/>
    <w:rsid w:val="00214A22"/>
    <w:rsid w:val="002178BD"/>
    <w:rsid w:val="00221324"/>
    <w:rsid w:val="0022158C"/>
    <w:rsid w:val="00221B46"/>
    <w:rsid w:val="00222321"/>
    <w:rsid w:val="00222B29"/>
    <w:rsid w:val="00223013"/>
    <w:rsid w:val="00223A55"/>
    <w:rsid w:val="00223D08"/>
    <w:rsid w:val="002242D1"/>
    <w:rsid w:val="0022439D"/>
    <w:rsid w:val="00224A2D"/>
    <w:rsid w:val="002266F5"/>
    <w:rsid w:val="00226742"/>
    <w:rsid w:val="002272E3"/>
    <w:rsid w:val="00227B63"/>
    <w:rsid w:val="00227CC0"/>
    <w:rsid w:val="00231CC7"/>
    <w:rsid w:val="00231EB6"/>
    <w:rsid w:val="00232F90"/>
    <w:rsid w:val="002333AD"/>
    <w:rsid w:val="00233766"/>
    <w:rsid w:val="002342AF"/>
    <w:rsid w:val="00237852"/>
    <w:rsid w:val="0024060D"/>
    <w:rsid w:val="00240DD1"/>
    <w:rsid w:val="0024290E"/>
    <w:rsid w:val="00243094"/>
    <w:rsid w:val="00243529"/>
    <w:rsid w:val="002435B6"/>
    <w:rsid w:val="00243D57"/>
    <w:rsid w:val="002450F8"/>
    <w:rsid w:val="002463CC"/>
    <w:rsid w:val="002465F2"/>
    <w:rsid w:val="002470E7"/>
    <w:rsid w:val="00247D22"/>
    <w:rsid w:val="0025017D"/>
    <w:rsid w:val="00250A22"/>
    <w:rsid w:val="00250ACB"/>
    <w:rsid w:val="00250DC6"/>
    <w:rsid w:val="00250DFB"/>
    <w:rsid w:val="00251079"/>
    <w:rsid w:val="00251CD7"/>
    <w:rsid w:val="00252385"/>
    <w:rsid w:val="002543E8"/>
    <w:rsid w:val="0025583B"/>
    <w:rsid w:val="002559C8"/>
    <w:rsid w:val="00257602"/>
    <w:rsid w:val="002602D6"/>
    <w:rsid w:val="00260AFF"/>
    <w:rsid w:val="00260E04"/>
    <w:rsid w:val="00262485"/>
    <w:rsid w:val="0026401B"/>
    <w:rsid w:val="002644BF"/>
    <w:rsid w:val="002645C5"/>
    <w:rsid w:val="00265856"/>
    <w:rsid w:val="00266528"/>
    <w:rsid w:val="0026658C"/>
    <w:rsid w:val="002669E1"/>
    <w:rsid w:val="00267E67"/>
    <w:rsid w:val="00270636"/>
    <w:rsid w:val="00272DD3"/>
    <w:rsid w:val="00273193"/>
    <w:rsid w:val="00273C98"/>
    <w:rsid w:val="0027542A"/>
    <w:rsid w:val="00275F4A"/>
    <w:rsid w:val="00276019"/>
    <w:rsid w:val="00280058"/>
    <w:rsid w:val="0028035C"/>
    <w:rsid w:val="0028122D"/>
    <w:rsid w:val="00281258"/>
    <w:rsid w:val="002812E4"/>
    <w:rsid w:val="002815B6"/>
    <w:rsid w:val="00282774"/>
    <w:rsid w:val="00283754"/>
    <w:rsid w:val="00286904"/>
    <w:rsid w:val="00286BA8"/>
    <w:rsid w:val="00286F58"/>
    <w:rsid w:val="002871BB"/>
    <w:rsid w:val="00290726"/>
    <w:rsid w:val="0029454B"/>
    <w:rsid w:val="002946CB"/>
    <w:rsid w:val="00295187"/>
    <w:rsid w:val="00296226"/>
    <w:rsid w:val="00296830"/>
    <w:rsid w:val="00296900"/>
    <w:rsid w:val="00296970"/>
    <w:rsid w:val="00297971"/>
    <w:rsid w:val="00297DFB"/>
    <w:rsid w:val="002A081C"/>
    <w:rsid w:val="002A18E6"/>
    <w:rsid w:val="002A1E0A"/>
    <w:rsid w:val="002A2D5C"/>
    <w:rsid w:val="002A2D87"/>
    <w:rsid w:val="002A365A"/>
    <w:rsid w:val="002A3940"/>
    <w:rsid w:val="002A3BF0"/>
    <w:rsid w:val="002A3BF6"/>
    <w:rsid w:val="002A4DB0"/>
    <w:rsid w:val="002A505A"/>
    <w:rsid w:val="002A53E7"/>
    <w:rsid w:val="002A5621"/>
    <w:rsid w:val="002A5622"/>
    <w:rsid w:val="002A5DBB"/>
    <w:rsid w:val="002A663B"/>
    <w:rsid w:val="002A67D5"/>
    <w:rsid w:val="002A71F0"/>
    <w:rsid w:val="002B16DB"/>
    <w:rsid w:val="002B1B70"/>
    <w:rsid w:val="002B1BAB"/>
    <w:rsid w:val="002B1F0E"/>
    <w:rsid w:val="002B2801"/>
    <w:rsid w:val="002B34DA"/>
    <w:rsid w:val="002B481E"/>
    <w:rsid w:val="002B5102"/>
    <w:rsid w:val="002B54B9"/>
    <w:rsid w:val="002B5BDD"/>
    <w:rsid w:val="002B6A29"/>
    <w:rsid w:val="002B6B40"/>
    <w:rsid w:val="002C099C"/>
    <w:rsid w:val="002C0C6E"/>
    <w:rsid w:val="002C243C"/>
    <w:rsid w:val="002C25A2"/>
    <w:rsid w:val="002C2D5A"/>
    <w:rsid w:val="002C41DA"/>
    <w:rsid w:val="002C4584"/>
    <w:rsid w:val="002C47A2"/>
    <w:rsid w:val="002C5855"/>
    <w:rsid w:val="002C5BF4"/>
    <w:rsid w:val="002C5CE9"/>
    <w:rsid w:val="002C5D6B"/>
    <w:rsid w:val="002C6022"/>
    <w:rsid w:val="002C61BA"/>
    <w:rsid w:val="002C64F5"/>
    <w:rsid w:val="002C65B4"/>
    <w:rsid w:val="002C6643"/>
    <w:rsid w:val="002C7B00"/>
    <w:rsid w:val="002C7EBA"/>
    <w:rsid w:val="002D35CB"/>
    <w:rsid w:val="002D36B6"/>
    <w:rsid w:val="002D3B14"/>
    <w:rsid w:val="002D4CFE"/>
    <w:rsid w:val="002D524A"/>
    <w:rsid w:val="002D697B"/>
    <w:rsid w:val="002D74B3"/>
    <w:rsid w:val="002D7CE6"/>
    <w:rsid w:val="002E02F0"/>
    <w:rsid w:val="002E0F2F"/>
    <w:rsid w:val="002E119C"/>
    <w:rsid w:val="002E1EE2"/>
    <w:rsid w:val="002E2195"/>
    <w:rsid w:val="002E2899"/>
    <w:rsid w:val="002E2C3F"/>
    <w:rsid w:val="002E379B"/>
    <w:rsid w:val="002E4D54"/>
    <w:rsid w:val="002E4DCF"/>
    <w:rsid w:val="002E508F"/>
    <w:rsid w:val="002E6DBD"/>
    <w:rsid w:val="002F0CDB"/>
    <w:rsid w:val="002F1E58"/>
    <w:rsid w:val="002F251E"/>
    <w:rsid w:val="002F2D3A"/>
    <w:rsid w:val="002F2E5C"/>
    <w:rsid w:val="002F3104"/>
    <w:rsid w:val="002F329A"/>
    <w:rsid w:val="002F42B8"/>
    <w:rsid w:val="002F487D"/>
    <w:rsid w:val="002F4C0B"/>
    <w:rsid w:val="002F67F3"/>
    <w:rsid w:val="0030104A"/>
    <w:rsid w:val="00302394"/>
    <w:rsid w:val="003024FB"/>
    <w:rsid w:val="0030298B"/>
    <w:rsid w:val="0030330C"/>
    <w:rsid w:val="00303D8A"/>
    <w:rsid w:val="00303DD9"/>
    <w:rsid w:val="00304692"/>
    <w:rsid w:val="00304D9A"/>
    <w:rsid w:val="00307D71"/>
    <w:rsid w:val="00310E97"/>
    <w:rsid w:val="0031141D"/>
    <w:rsid w:val="003121E7"/>
    <w:rsid w:val="00312A55"/>
    <w:rsid w:val="00313037"/>
    <w:rsid w:val="00315455"/>
    <w:rsid w:val="003167B0"/>
    <w:rsid w:val="00317014"/>
    <w:rsid w:val="00317534"/>
    <w:rsid w:val="00321D45"/>
    <w:rsid w:val="003224C9"/>
    <w:rsid w:val="003226A0"/>
    <w:rsid w:val="0032303E"/>
    <w:rsid w:val="003248FA"/>
    <w:rsid w:val="00325170"/>
    <w:rsid w:val="00325BF9"/>
    <w:rsid w:val="00326C1E"/>
    <w:rsid w:val="00326FA5"/>
    <w:rsid w:val="00327162"/>
    <w:rsid w:val="00327AD4"/>
    <w:rsid w:val="00330001"/>
    <w:rsid w:val="0033124E"/>
    <w:rsid w:val="00332A57"/>
    <w:rsid w:val="00332BB9"/>
    <w:rsid w:val="003338A1"/>
    <w:rsid w:val="00334859"/>
    <w:rsid w:val="0033621F"/>
    <w:rsid w:val="00337218"/>
    <w:rsid w:val="0033793E"/>
    <w:rsid w:val="00340405"/>
    <w:rsid w:val="00342D8E"/>
    <w:rsid w:val="003434E1"/>
    <w:rsid w:val="00344C76"/>
    <w:rsid w:val="00345515"/>
    <w:rsid w:val="00345867"/>
    <w:rsid w:val="00345FED"/>
    <w:rsid w:val="003461EE"/>
    <w:rsid w:val="00346565"/>
    <w:rsid w:val="00347BCC"/>
    <w:rsid w:val="00351175"/>
    <w:rsid w:val="0035122A"/>
    <w:rsid w:val="00351ACC"/>
    <w:rsid w:val="00351B66"/>
    <w:rsid w:val="00351C71"/>
    <w:rsid w:val="00352592"/>
    <w:rsid w:val="00352A8B"/>
    <w:rsid w:val="0035322E"/>
    <w:rsid w:val="00353281"/>
    <w:rsid w:val="00353FE7"/>
    <w:rsid w:val="003602EA"/>
    <w:rsid w:val="00361E43"/>
    <w:rsid w:val="00362B28"/>
    <w:rsid w:val="00363674"/>
    <w:rsid w:val="0036446E"/>
    <w:rsid w:val="003648A7"/>
    <w:rsid w:val="003666A6"/>
    <w:rsid w:val="00367582"/>
    <w:rsid w:val="00367D12"/>
    <w:rsid w:val="00367E9C"/>
    <w:rsid w:val="00367EB9"/>
    <w:rsid w:val="00370912"/>
    <w:rsid w:val="00370DEF"/>
    <w:rsid w:val="003719B7"/>
    <w:rsid w:val="00372BC4"/>
    <w:rsid w:val="00372DFE"/>
    <w:rsid w:val="00372E01"/>
    <w:rsid w:val="0037300A"/>
    <w:rsid w:val="003734EF"/>
    <w:rsid w:val="0037360C"/>
    <w:rsid w:val="003755CD"/>
    <w:rsid w:val="00375904"/>
    <w:rsid w:val="00375A86"/>
    <w:rsid w:val="003765E4"/>
    <w:rsid w:val="00376A33"/>
    <w:rsid w:val="00377818"/>
    <w:rsid w:val="00377EB4"/>
    <w:rsid w:val="00381396"/>
    <w:rsid w:val="00382058"/>
    <w:rsid w:val="003821EF"/>
    <w:rsid w:val="00383AE6"/>
    <w:rsid w:val="003847CB"/>
    <w:rsid w:val="00384C49"/>
    <w:rsid w:val="00385335"/>
    <w:rsid w:val="003858A3"/>
    <w:rsid w:val="003860B1"/>
    <w:rsid w:val="00386194"/>
    <w:rsid w:val="0038687F"/>
    <w:rsid w:val="0038752E"/>
    <w:rsid w:val="00387EAE"/>
    <w:rsid w:val="003901CC"/>
    <w:rsid w:val="003901E0"/>
    <w:rsid w:val="00390A39"/>
    <w:rsid w:val="003911C2"/>
    <w:rsid w:val="003916C0"/>
    <w:rsid w:val="00395327"/>
    <w:rsid w:val="0039644B"/>
    <w:rsid w:val="00396A2A"/>
    <w:rsid w:val="00397098"/>
    <w:rsid w:val="00397330"/>
    <w:rsid w:val="003973D7"/>
    <w:rsid w:val="00397E7C"/>
    <w:rsid w:val="003A1A81"/>
    <w:rsid w:val="003A1B6D"/>
    <w:rsid w:val="003A26C9"/>
    <w:rsid w:val="003A31C5"/>
    <w:rsid w:val="003A44E2"/>
    <w:rsid w:val="003A54FA"/>
    <w:rsid w:val="003A5E1D"/>
    <w:rsid w:val="003A5FB6"/>
    <w:rsid w:val="003A6C5D"/>
    <w:rsid w:val="003A7323"/>
    <w:rsid w:val="003A79BC"/>
    <w:rsid w:val="003A7E8D"/>
    <w:rsid w:val="003B15C6"/>
    <w:rsid w:val="003B1F57"/>
    <w:rsid w:val="003B2503"/>
    <w:rsid w:val="003B31AB"/>
    <w:rsid w:val="003B3D29"/>
    <w:rsid w:val="003B3E36"/>
    <w:rsid w:val="003B4855"/>
    <w:rsid w:val="003B591D"/>
    <w:rsid w:val="003B5A48"/>
    <w:rsid w:val="003B6781"/>
    <w:rsid w:val="003B71B3"/>
    <w:rsid w:val="003B78B3"/>
    <w:rsid w:val="003B791E"/>
    <w:rsid w:val="003B7CB1"/>
    <w:rsid w:val="003C039D"/>
    <w:rsid w:val="003C04D1"/>
    <w:rsid w:val="003C2F1E"/>
    <w:rsid w:val="003C4E5B"/>
    <w:rsid w:val="003C54B7"/>
    <w:rsid w:val="003C5E89"/>
    <w:rsid w:val="003C7D83"/>
    <w:rsid w:val="003D0C51"/>
    <w:rsid w:val="003D0DDE"/>
    <w:rsid w:val="003D1CC3"/>
    <w:rsid w:val="003D2DA9"/>
    <w:rsid w:val="003D30A5"/>
    <w:rsid w:val="003D3241"/>
    <w:rsid w:val="003D3A21"/>
    <w:rsid w:val="003D5071"/>
    <w:rsid w:val="003D5536"/>
    <w:rsid w:val="003D5FAA"/>
    <w:rsid w:val="003D6749"/>
    <w:rsid w:val="003D6EC8"/>
    <w:rsid w:val="003D767E"/>
    <w:rsid w:val="003E05BE"/>
    <w:rsid w:val="003E1203"/>
    <w:rsid w:val="003E1C21"/>
    <w:rsid w:val="003E2833"/>
    <w:rsid w:val="003E2A67"/>
    <w:rsid w:val="003E3849"/>
    <w:rsid w:val="003E3BEE"/>
    <w:rsid w:val="003E4768"/>
    <w:rsid w:val="003E4BA4"/>
    <w:rsid w:val="003E66CB"/>
    <w:rsid w:val="003E6D22"/>
    <w:rsid w:val="003E7E14"/>
    <w:rsid w:val="003F002C"/>
    <w:rsid w:val="003F0B1C"/>
    <w:rsid w:val="003F0B7B"/>
    <w:rsid w:val="003F1978"/>
    <w:rsid w:val="003F19D6"/>
    <w:rsid w:val="003F1D60"/>
    <w:rsid w:val="003F5E85"/>
    <w:rsid w:val="003F7472"/>
    <w:rsid w:val="003F74B7"/>
    <w:rsid w:val="00402DE1"/>
    <w:rsid w:val="00403AA3"/>
    <w:rsid w:val="00404022"/>
    <w:rsid w:val="00404F5B"/>
    <w:rsid w:val="00406DDB"/>
    <w:rsid w:val="00406E47"/>
    <w:rsid w:val="004072E0"/>
    <w:rsid w:val="00410201"/>
    <w:rsid w:val="00412148"/>
    <w:rsid w:val="00412806"/>
    <w:rsid w:val="00412DD1"/>
    <w:rsid w:val="00413DD0"/>
    <w:rsid w:val="00413EE5"/>
    <w:rsid w:val="0041458C"/>
    <w:rsid w:val="00414BDE"/>
    <w:rsid w:val="00420FB6"/>
    <w:rsid w:val="004217C6"/>
    <w:rsid w:val="00421A9E"/>
    <w:rsid w:val="00421C36"/>
    <w:rsid w:val="0042326F"/>
    <w:rsid w:val="00423968"/>
    <w:rsid w:val="00423B34"/>
    <w:rsid w:val="00425E9D"/>
    <w:rsid w:val="004267F5"/>
    <w:rsid w:val="00426F61"/>
    <w:rsid w:val="00427823"/>
    <w:rsid w:val="0043109A"/>
    <w:rsid w:val="00431A64"/>
    <w:rsid w:val="00431A82"/>
    <w:rsid w:val="00432A9F"/>
    <w:rsid w:val="00432D47"/>
    <w:rsid w:val="00433849"/>
    <w:rsid w:val="0043420E"/>
    <w:rsid w:val="00434347"/>
    <w:rsid w:val="00434AFC"/>
    <w:rsid w:val="004356B0"/>
    <w:rsid w:val="004379A4"/>
    <w:rsid w:val="00437A1E"/>
    <w:rsid w:val="00437D55"/>
    <w:rsid w:val="00437ECC"/>
    <w:rsid w:val="004406F3"/>
    <w:rsid w:val="00442E0A"/>
    <w:rsid w:val="00443261"/>
    <w:rsid w:val="0044502A"/>
    <w:rsid w:val="0044516D"/>
    <w:rsid w:val="00445594"/>
    <w:rsid w:val="00445959"/>
    <w:rsid w:val="00446079"/>
    <w:rsid w:val="00446123"/>
    <w:rsid w:val="00446A1F"/>
    <w:rsid w:val="0044715E"/>
    <w:rsid w:val="00450186"/>
    <w:rsid w:val="00450AE8"/>
    <w:rsid w:val="004515C4"/>
    <w:rsid w:val="004515F8"/>
    <w:rsid w:val="00451C9E"/>
    <w:rsid w:val="0045291B"/>
    <w:rsid w:val="00455BF1"/>
    <w:rsid w:val="004560C6"/>
    <w:rsid w:val="004567C8"/>
    <w:rsid w:val="00456C56"/>
    <w:rsid w:val="0045757A"/>
    <w:rsid w:val="00457D38"/>
    <w:rsid w:val="00460648"/>
    <w:rsid w:val="00460D90"/>
    <w:rsid w:val="00460DC5"/>
    <w:rsid w:val="00461D53"/>
    <w:rsid w:val="00464EFA"/>
    <w:rsid w:val="004675D6"/>
    <w:rsid w:val="0047017D"/>
    <w:rsid w:val="00470E07"/>
    <w:rsid w:val="00471C8B"/>
    <w:rsid w:val="00473C06"/>
    <w:rsid w:val="00474101"/>
    <w:rsid w:val="00474815"/>
    <w:rsid w:val="00474E0E"/>
    <w:rsid w:val="00475920"/>
    <w:rsid w:val="00475DBF"/>
    <w:rsid w:val="0047730F"/>
    <w:rsid w:val="004778AF"/>
    <w:rsid w:val="00481650"/>
    <w:rsid w:val="00482004"/>
    <w:rsid w:val="00483CE7"/>
    <w:rsid w:val="004869EE"/>
    <w:rsid w:val="00486E96"/>
    <w:rsid w:val="004878AF"/>
    <w:rsid w:val="0049010B"/>
    <w:rsid w:val="00490564"/>
    <w:rsid w:val="00493C33"/>
    <w:rsid w:val="00493ECE"/>
    <w:rsid w:val="00494AF6"/>
    <w:rsid w:val="00495512"/>
    <w:rsid w:val="00495AF3"/>
    <w:rsid w:val="00495C2F"/>
    <w:rsid w:val="0049615E"/>
    <w:rsid w:val="004965C0"/>
    <w:rsid w:val="00497238"/>
    <w:rsid w:val="004978C5"/>
    <w:rsid w:val="004A2CB0"/>
    <w:rsid w:val="004A445B"/>
    <w:rsid w:val="004A44C0"/>
    <w:rsid w:val="004A4814"/>
    <w:rsid w:val="004A66C2"/>
    <w:rsid w:val="004A6798"/>
    <w:rsid w:val="004A6D4E"/>
    <w:rsid w:val="004A6E22"/>
    <w:rsid w:val="004A7CBB"/>
    <w:rsid w:val="004B1C4C"/>
    <w:rsid w:val="004B2A53"/>
    <w:rsid w:val="004B341B"/>
    <w:rsid w:val="004B3D59"/>
    <w:rsid w:val="004B41CD"/>
    <w:rsid w:val="004B4543"/>
    <w:rsid w:val="004B4DFA"/>
    <w:rsid w:val="004B522B"/>
    <w:rsid w:val="004B6809"/>
    <w:rsid w:val="004C04FA"/>
    <w:rsid w:val="004C0E68"/>
    <w:rsid w:val="004C110F"/>
    <w:rsid w:val="004C1162"/>
    <w:rsid w:val="004C28EF"/>
    <w:rsid w:val="004C32A3"/>
    <w:rsid w:val="004C375D"/>
    <w:rsid w:val="004C3C36"/>
    <w:rsid w:val="004C444C"/>
    <w:rsid w:val="004C4F63"/>
    <w:rsid w:val="004C765D"/>
    <w:rsid w:val="004C7C23"/>
    <w:rsid w:val="004D4AF0"/>
    <w:rsid w:val="004D4C6D"/>
    <w:rsid w:val="004D5702"/>
    <w:rsid w:val="004D73B3"/>
    <w:rsid w:val="004E0A36"/>
    <w:rsid w:val="004E0B86"/>
    <w:rsid w:val="004E13A1"/>
    <w:rsid w:val="004E1BEF"/>
    <w:rsid w:val="004E1F68"/>
    <w:rsid w:val="004E2AE3"/>
    <w:rsid w:val="004E3259"/>
    <w:rsid w:val="004E349D"/>
    <w:rsid w:val="004E3A86"/>
    <w:rsid w:val="004E45EA"/>
    <w:rsid w:val="004E5E89"/>
    <w:rsid w:val="004E5EA9"/>
    <w:rsid w:val="004E5EBB"/>
    <w:rsid w:val="004E6413"/>
    <w:rsid w:val="004E6ED2"/>
    <w:rsid w:val="004E7837"/>
    <w:rsid w:val="004E7BEA"/>
    <w:rsid w:val="004F049F"/>
    <w:rsid w:val="004F22BB"/>
    <w:rsid w:val="004F3292"/>
    <w:rsid w:val="004F3298"/>
    <w:rsid w:val="004F35FB"/>
    <w:rsid w:val="004F55D8"/>
    <w:rsid w:val="004F5BDC"/>
    <w:rsid w:val="004F5C33"/>
    <w:rsid w:val="004F6745"/>
    <w:rsid w:val="004F74AA"/>
    <w:rsid w:val="0050020B"/>
    <w:rsid w:val="00501E3D"/>
    <w:rsid w:val="005034C5"/>
    <w:rsid w:val="0050504E"/>
    <w:rsid w:val="005057A9"/>
    <w:rsid w:val="00506DBE"/>
    <w:rsid w:val="00510B05"/>
    <w:rsid w:val="00510EBA"/>
    <w:rsid w:val="00512101"/>
    <w:rsid w:val="00513C9C"/>
    <w:rsid w:val="00516354"/>
    <w:rsid w:val="00517420"/>
    <w:rsid w:val="00517A4A"/>
    <w:rsid w:val="00517B27"/>
    <w:rsid w:val="00520E56"/>
    <w:rsid w:val="0052135C"/>
    <w:rsid w:val="005218A9"/>
    <w:rsid w:val="00521B8C"/>
    <w:rsid w:val="00523DDE"/>
    <w:rsid w:val="00523F4C"/>
    <w:rsid w:val="00524818"/>
    <w:rsid w:val="00524A1E"/>
    <w:rsid w:val="0052576D"/>
    <w:rsid w:val="005268C4"/>
    <w:rsid w:val="00526CA5"/>
    <w:rsid w:val="005301C7"/>
    <w:rsid w:val="005311B2"/>
    <w:rsid w:val="00531C9B"/>
    <w:rsid w:val="00531F46"/>
    <w:rsid w:val="005335B7"/>
    <w:rsid w:val="00533B43"/>
    <w:rsid w:val="0053471F"/>
    <w:rsid w:val="005363EA"/>
    <w:rsid w:val="005364D8"/>
    <w:rsid w:val="00536F7F"/>
    <w:rsid w:val="005425A2"/>
    <w:rsid w:val="00543380"/>
    <w:rsid w:val="00543826"/>
    <w:rsid w:val="00543D64"/>
    <w:rsid w:val="00543D9F"/>
    <w:rsid w:val="00544580"/>
    <w:rsid w:val="00544A11"/>
    <w:rsid w:val="00544AC8"/>
    <w:rsid w:val="00547630"/>
    <w:rsid w:val="00547A3B"/>
    <w:rsid w:val="00547C2F"/>
    <w:rsid w:val="00547E5C"/>
    <w:rsid w:val="005508B7"/>
    <w:rsid w:val="005529E1"/>
    <w:rsid w:val="005529E8"/>
    <w:rsid w:val="00554219"/>
    <w:rsid w:val="0055527A"/>
    <w:rsid w:val="00555314"/>
    <w:rsid w:val="00555CEC"/>
    <w:rsid w:val="00555ECC"/>
    <w:rsid w:val="00561F8E"/>
    <w:rsid w:val="005632C0"/>
    <w:rsid w:val="00563C8D"/>
    <w:rsid w:val="00564463"/>
    <w:rsid w:val="00564611"/>
    <w:rsid w:val="00564F2C"/>
    <w:rsid w:val="00565FA7"/>
    <w:rsid w:val="005674E0"/>
    <w:rsid w:val="00567C7E"/>
    <w:rsid w:val="00567F30"/>
    <w:rsid w:val="0057057C"/>
    <w:rsid w:val="00570637"/>
    <w:rsid w:val="0057094C"/>
    <w:rsid w:val="00570C9E"/>
    <w:rsid w:val="00570E3C"/>
    <w:rsid w:val="00571257"/>
    <w:rsid w:val="0057149E"/>
    <w:rsid w:val="00571E39"/>
    <w:rsid w:val="005727F2"/>
    <w:rsid w:val="005775AC"/>
    <w:rsid w:val="00577A6E"/>
    <w:rsid w:val="00580FDC"/>
    <w:rsid w:val="00581D9B"/>
    <w:rsid w:val="00583506"/>
    <w:rsid w:val="00583C27"/>
    <w:rsid w:val="005858A0"/>
    <w:rsid w:val="00585C41"/>
    <w:rsid w:val="00586A6E"/>
    <w:rsid w:val="005900A9"/>
    <w:rsid w:val="005926F2"/>
    <w:rsid w:val="00592AE3"/>
    <w:rsid w:val="00592F22"/>
    <w:rsid w:val="0059389D"/>
    <w:rsid w:val="00593901"/>
    <w:rsid w:val="005943BF"/>
    <w:rsid w:val="00594D4F"/>
    <w:rsid w:val="005978AF"/>
    <w:rsid w:val="005A07F0"/>
    <w:rsid w:val="005A144F"/>
    <w:rsid w:val="005A2A37"/>
    <w:rsid w:val="005A30D0"/>
    <w:rsid w:val="005A5A4E"/>
    <w:rsid w:val="005A5C1C"/>
    <w:rsid w:val="005A644B"/>
    <w:rsid w:val="005A6DC0"/>
    <w:rsid w:val="005B1F42"/>
    <w:rsid w:val="005B2C7E"/>
    <w:rsid w:val="005B3677"/>
    <w:rsid w:val="005B38DA"/>
    <w:rsid w:val="005B599D"/>
    <w:rsid w:val="005B6625"/>
    <w:rsid w:val="005B67E8"/>
    <w:rsid w:val="005B6CE3"/>
    <w:rsid w:val="005B7AC0"/>
    <w:rsid w:val="005C039B"/>
    <w:rsid w:val="005C1A15"/>
    <w:rsid w:val="005C1EDE"/>
    <w:rsid w:val="005C2D46"/>
    <w:rsid w:val="005C2D8C"/>
    <w:rsid w:val="005C3E8C"/>
    <w:rsid w:val="005C43B9"/>
    <w:rsid w:val="005C47DC"/>
    <w:rsid w:val="005C50B1"/>
    <w:rsid w:val="005C5346"/>
    <w:rsid w:val="005C5690"/>
    <w:rsid w:val="005C73B4"/>
    <w:rsid w:val="005C74FC"/>
    <w:rsid w:val="005D0E73"/>
    <w:rsid w:val="005D17DD"/>
    <w:rsid w:val="005D1C42"/>
    <w:rsid w:val="005D25EA"/>
    <w:rsid w:val="005D455D"/>
    <w:rsid w:val="005D6B2F"/>
    <w:rsid w:val="005D76AF"/>
    <w:rsid w:val="005D7802"/>
    <w:rsid w:val="005D7B37"/>
    <w:rsid w:val="005D7E7C"/>
    <w:rsid w:val="005E07C4"/>
    <w:rsid w:val="005E0921"/>
    <w:rsid w:val="005E153C"/>
    <w:rsid w:val="005E1A52"/>
    <w:rsid w:val="005E23DC"/>
    <w:rsid w:val="005E2B5C"/>
    <w:rsid w:val="005E5BD9"/>
    <w:rsid w:val="005E6471"/>
    <w:rsid w:val="005F08B4"/>
    <w:rsid w:val="005F146A"/>
    <w:rsid w:val="005F1D1F"/>
    <w:rsid w:val="005F2334"/>
    <w:rsid w:val="005F28B3"/>
    <w:rsid w:val="005F34E0"/>
    <w:rsid w:val="005F5405"/>
    <w:rsid w:val="005F68AF"/>
    <w:rsid w:val="005F6E34"/>
    <w:rsid w:val="005F7BC5"/>
    <w:rsid w:val="0060150F"/>
    <w:rsid w:val="00601775"/>
    <w:rsid w:val="00601C0E"/>
    <w:rsid w:val="006026F9"/>
    <w:rsid w:val="00602CD0"/>
    <w:rsid w:val="0060363D"/>
    <w:rsid w:val="00604E6F"/>
    <w:rsid w:val="00605C87"/>
    <w:rsid w:val="0060622E"/>
    <w:rsid w:val="006062CE"/>
    <w:rsid w:val="006063CD"/>
    <w:rsid w:val="00606E67"/>
    <w:rsid w:val="00607A42"/>
    <w:rsid w:val="00610314"/>
    <w:rsid w:val="00610512"/>
    <w:rsid w:val="00610B63"/>
    <w:rsid w:val="00611EFB"/>
    <w:rsid w:val="00612D62"/>
    <w:rsid w:val="0061365F"/>
    <w:rsid w:val="00613ED8"/>
    <w:rsid w:val="0061484A"/>
    <w:rsid w:val="00614B46"/>
    <w:rsid w:val="00614C5A"/>
    <w:rsid w:val="00615138"/>
    <w:rsid w:val="00616E9E"/>
    <w:rsid w:val="0061707C"/>
    <w:rsid w:val="006172C8"/>
    <w:rsid w:val="00617470"/>
    <w:rsid w:val="00620150"/>
    <w:rsid w:val="0062034B"/>
    <w:rsid w:val="0062083B"/>
    <w:rsid w:val="00620F9B"/>
    <w:rsid w:val="006211CF"/>
    <w:rsid w:val="00621A3E"/>
    <w:rsid w:val="00622500"/>
    <w:rsid w:val="00622AAC"/>
    <w:rsid w:val="00623FDE"/>
    <w:rsid w:val="0062437C"/>
    <w:rsid w:val="0062634A"/>
    <w:rsid w:val="00630779"/>
    <w:rsid w:val="00630969"/>
    <w:rsid w:val="0063143B"/>
    <w:rsid w:val="00631719"/>
    <w:rsid w:val="006319E7"/>
    <w:rsid w:val="00632A00"/>
    <w:rsid w:val="00632A3C"/>
    <w:rsid w:val="0063339D"/>
    <w:rsid w:val="00633BFE"/>
    <w:rsid w:val="00634080"/>
    <w:rsid w:val="006343E4"/>
    <w:rsid w:val="00636BE5"/>
    <w:rsid w:val="00637208"/>
    <w:rsid w:val="00641180"/>
    <w:rsid w:val="0064215B"/>
    <w:rsid w:val="00642606"/>
    <w:rsid w:val="0064281F"/>
    <w:rsid w:val="0064298C"/>
    <w:rsid w:val="006453ED"/>
    <w:rsid w:val="00645CEA"/>
    <w:rsid w:val="0065052C"/>
    <w:rsid w:val="00650B98"/>
    <w:rsid w:val="00650F07"/>
    <w:rsid w:val="0065139A"/>
    <w:rsid w:val="006516B6"/>
    <w:rsid w:val="00651A77"/>
    <w:rsid w:val="00651A7C"/>
    <w:rsid w:val="00651F0D"/>
    <w:rsid w:val="00652332"/>
    <w:rsid w:val="006524B8"/>
    <w:rsid w:val="00653A0E"/>
    <w:rsid w:val="00653E2F"/>
    <w:rsid w:val="00655016"/>
    <w:rsid w:val="006559E8"/>
    <w:rsid w:val="00656E9C"/>
    <w:rsid w:val="00657100"/>
    <w:rsid w:val="00657524"/>
    <w:rsid w:val="0065789C"/>
    <w:rsid w:val="00657982"/>
    <w:rsid w:val="006609E8"/>
    <w:rsid w:val="00661572"/>
    <w:rsid w:val="006615B0"/>
    <w:rsid w:val="00662B08"/>
    <w:rsid w:val="00662EB4"/>
    <w:rsid w:val="0066370A"/>
    <w:rsid w:val="00664067"/>
    <w:rsid w:val="006647DC"/>
    <w:rsid w:val="00664C56"/>
    <w:rsid w:val="00667078"/>
    <w:rsid w:val="00667D7D"/>
    <w:rsid w:val="00670488"/>
    <w:rsid w:val="00670963"/>
    <w:rsid w:val="00670F2F"/>
    <w:rsid w:val="0067226A"/>
    <w:rsid w:val="0067324A"/>
    <w:rsid w:val="00673450"/>
    <w:rsid w:val="006735B3"/>
    <w:rsid w:val="00673E71"/>
    <w:rsid w:val="00674AAA"/>
    <w:rsid w:val="00674D24"/>
    <w:rsid w:val="006777FB"/>
    <w:rsid w:val="00677F9A"/>
    <w:rsid w:val="00680680"/>
    <w:rsid w:val="006818E0"/>
    <w:rsid w:val="00681A03"/>
    <w:rsid w:val="00681FBC"/>
    <w:rsid w:val="00682615"/>
    <w:rsid w:val="006844AE"/>
    <w:rsid w:val="00684A53"/>
    <w:rsid w:val="00684C66"/>
    <w:rsid w:val="00685424"/>
    <w:rsid w:val="00685675"/>
    <w:rsid w:val="00685786"/>
    <w:rsid w:val="006861E2"/>
    <w:rsid w:val="00687244"/>
    <w:rsid w:val="006876E1"/>
    <w:rsid w:val="00687C99"/>
    <w:rsid w:val="00690203"/>
    <w:rsid w:val="00690416"/>
    <w:rsid w:val="00690567"/>
    <w:rsid w:val="00690BF3"/>
    <w:rsid w:val="00691CF4"/>
    <w:rsid w:val="006923D1"/>
    <w:rsid w:val="00692AFF"/>
    <w:rsid w:val="00692EB0"/>
    <w:rsid w:val="006935F8"/>
    <w:rsid w:val="0069402D"/>
    <w:rsid w:val="00694321"/>
    <w:rsid w:val="00694684"/>
    <w:rsid w:val="0069492D"/>
    <w:rsid w:val="006954C9"/>
    <w:rsid w:val="00695939"/>
    <w:rsid w:val="006962C6"/>
    <w:rsid w:val="00696B64"/>
    <w:rsid w:val="00696F3B"/>
    <w:rsid w:val="00697023"/>
    <w:rsid w:val="006977D1"/>
    <w:rsid w:val="006A0077"/>
    <w:rsid w:val="006A0987"/>
    <w:rsid w:val="006A0E37"/>
    <w:rsid w:val="006A1ED0"/>
    <w:rsid w:val="006A314F"/>
    <w:rsid w:val="006A4BFB"/>
    <w:rsid w:val="006A5587"/>
    <w:rsid w:val="006A6F7F"/>
    <w:rsid w:val="006A7C4D"/>
    <w:rsid w:val="006A7EE3"/>
    <w:rsid w:val="006B00BB"/>
    <w:rsid w:val="006B0315"/>
    <w:rsid w:val="006B031B"/>
    <w:rsid w:val="006B13A8"/>
    <w:rsid w:val="006B1AD4"/>
    <w:rsid w:val="006B1C30"/>
    <w:rsid w:val="006B1F37"/>
    <w:rsid w:val="006B1FC1"/>
    <w:rsid w:val="006B1FE5"/>
    <w:rsid w:val="006B2D4D"/>
    <w:rsid w:val="006B2F6B"/>
    <w:rsid w:val="006B321A"/>
    <w:rsid w:val="006B33D0"/>
    <w:rsid w:val="006B38A6"/>
    <w:rsid w:val="006B3FF6"/>
    <w:rsid w:val="006B3FFE"/>
    <w:rsid w:val="006B418E"/>
    <w:rsid w:val="006B45D4"/>
    <w:rsid w:val="006B4A74"/>
    <w:rsid w:val="006B4E1A"/>
    <w:rsid w:val="006B4F8D"/>
    <w:rsid w:val="006B5EC6"/>
    <w:rsid w:val="006B6838"/>
    <w:rsid w:val="006B6E52"/>
    <w:rsid w:val="006C03EB"/>
    <w:rsid w:val="006C0BC7"/>
    <w:rsid w:val="006C187E"/>
    <w:rsid w:val="006C2064"/>
    <w:rsid w:val="006C2DAE"/>
    <w:rsid w:val="006C2EF7"/>
    <w:rsid w:val="006C3BC4"/>
    <w:rsid w:val="006C3C9D"/>
    <w:rsid w:val="006C528C"/>
    <w:rsid w:val="006C6311"/>
    <w:rsid w:val="006C7B70"/>
    <w:rsid w:val="006D00A9"/>
    <w:rsid w:val="006D0503"/>
    <w:rsid w:val="006D0BCE"/>
    <w:rsid w:val="006D17B3"/>
    <w:rsid w:val="006D235F"/>
    <w:rsid w:val="006D29B1"/>
    <w:rsid w:val="006D2C82"/>
    <w:rsid w:val="006D3966"/>
    <w:rsid w:val="006D3B58"/>
    <w:rsid w:val="006D3D5C"/>
    <w:rsid w:val="006D3EED"/>
    <w:rsid w:val="006D5389"/>
    <w:rsid w:val="006D54B0"/>
    <w:rsid w:val="006D6624"/>
    <w:rsid w:val="006D6689"/>
    <w:rsid w:val="006D7569"/>
    <w:rsid w:val="006E041C"/>
    <w:rsid w:val="006E08F4"/>
    <w:rsid w:val="006E2004"/>
    <w:rsid w:val="006E2831"/>
    <w:rsid w:val="006E3F2E"/>
    <w:rsid w:val="006E48BC"/>
    <w:rsid w:val="006E4CF0"/>
    <w:rsid w:val="006E5A3A"/>
    <w:rsid w:val="006E6AF3"/>
    <w:rsid w:val="006E7113"/>
    <w:rsid w:val="006E75D3"/>
    <w:rsid w:val="006F0279"/>
    <w:rsid w:val="006F0ABA"/>
    <w:rsid w:val="006F15A8"/>
    <w:rsid w:val="006F1A6A"/>
    <w:rsid w:val="006F1E51"/>
    <w:rsid w:val="006F243B"/>
    <w:rsid w:val="006F2CC9"/>
    <w:rsid w:val="006F3F48"/>
    <w:rsid w:val="006F4218"/>
    <w:rsid w:val="006F4841"/>
    <w:rsid w:val="006F57E5"/>
    <w:rsid w:val="006F6B22"/>
    <w:rsid w:val="006F7548"/>
    <w:rsid w:val="006F7E92"/>
    <w:rsid w:val="00702FFD"/>
    <w:rsid w:val="00703E38"/>
    <w:rsid w:val="00703E8B"/>
    <w:rsid w:val="0070442F"/>
    <w:rsid w:val="00705BB3"/>
    <w:rsid w:val="0070618D"/>
    <w:rsid w:val="00706B10"/>
    <w:rsid w:val="00707830"/>
    <w:rsid w:val="00710E70"/>
    <w:rsid w:val="00710EA8"/>
    <w:rsid w:val="0071172D"/>
    <w:rsid w:val="00711BC4"/>
    <w:rsid w:val="00711C5C"/>
    <w:rsid w:val="00712669"/>
    <w:rsid w:val="007134B1"/>
    <w:rsid w:val="00713BCB"/>
    <w:rsid w:val="00714356"/>
    <w:rsid w:val="00714911"/>
    <w:rsid w:val="00715205"/>
    <w:rsid w:val="007177F0"/>
    <w:rsid w:val="00717CA0"/>
    <w:rsid w:val="00720564"/>
    <w:rsid w:val="00720F7B"/>
    <w:rsid w:val="0072151A"/>
    <w:rsid w:val="00722153"/>
    <w:rsid w:val="00722C99"/>
    <w:rsid w:val="00723872"/>
    <w:rsid w:val="0072615D"/>
    <w:rsid w:val="00726376"/>
    <w:rsid w:val="007266FC"/>
    <w:rsid w:val="0072719D"/>
    <w:rsid w:val="00730061"/>
    <w:rsid w:val="0073238F"/>
    <w:rsid w:val="0073286C"/>
    <w:rsid w:val="00732917"/>
    <w:rsid w:val="0073318A"/>
    <w:rsid w:val="00733348"/>
    <w:rsid w:val="00733B6F"/>
    <w:rsid w:val="00733C63"/>
    <w:rsid w:val="00734DB9"/>
    <w:rsid w:val="00735734"/>
    <w:rsid w:val="00735E7C"/>
    <w:rsid w:val="007360B0"/>
    <w:rsid w:val="00737701"/>
    <w:rsid w:val="00740659"/>
    <w:rsid w:val="007409F6"/>
    <w:rsid w:val="00740A76"/>
    <w:rsid w:val="00741212"/>
    <w:rsid w:val="0074186D"/>
    <w:rsid w:val="0074246A"/>
    <w:rsid w:val="00742532"/>
    <w:rsid w:val="00742DDD"/>
    <w:rsid w:val="00743354"/>
    <w:rsid w:val="007433F6"/>
    <w:rsid w:val="00743819"/>
    <w:rsid w:val="00744EC8"/>
    <w:rsid w:val="0074512F"/>
    <w:rsid w:val="0074632E"/>
    <w:rsid w:val="0074679C"/>
    <w:rsid w:val="0074700C"/>
    <w:rsid w:val="00751596"/>
    <w:rsid w:val="007524F6"/>
    <w:rsid w:val="007574D3"/>
    <w:rsid w:val="00760330"/>
    <w:rsid w:val="0076355D"/>
    <w:rsid w:val="00763852"/>
    <w:rsid w:val="00764425"/>
    <w:rsid w:val="007644B2"/>
    <w:rsid w:val="007644ED"/>
    <w:rsid w:val="00764D1A"/>
    <w:rsid w:val="007652C5"/>
    <w:rsid w:val="00765745"/>
    <w:rsid w:val="00766453"/>
    <w:rsid w:val="00767ADF"/>
    <w:rsid w:val="00770563"/>
    <w:rsid w:val="00770F28"/>
    <w:rsid w:val="00771135"/>
    <w:rsid w:val="00771605"/>
    <w:rsid w:val="00774303"/>
    <w:rsid w:val="0077602F"/>
    <w:rsid w:val="00776962"/>
    <w:rsid w:val="007773DD"/>
    <w:rsid w:val="00777674"/>
    <w:rsid w:val="007826AF"/>
    <w:rsid w:val="007830C4"/>
    <w:rsid w:val="00783A68"/>
    <w:rsid w:val="00783BF7"/>
    <w:rsid w:val="007857D0"/>
    <w:rsid w:val="00785ABD"/>
    <w:rsid w:val="0078602A"/>
    <w:rsid w:val="0078620B"/>
    <w:rsid w:val="00786F58"/>
    <w:rsid w:val="00787E80"/>
    <w:rsid w:val="00792C59"/>
    <w:rsid w:val="00793423"/>
    <w:rsid w:val="00795DA5"/>
    <w:rsid w:val="007976CC"/>
    <w:rsid w:val="007A0195"/>
    <w:rsid w:val="007A0AE3"/>
    <w:rsid w:val="007A1367"/>
    <w:rsid w:val="007A1910"/>
    <w:rsid w:val="007A28C4"/>
    <w:rsid w:val="007A2E0E"/>
    <w:rsid w:val="007A3797"/>
    <w:rsid w:val="007A42D8"/>
    <w:rsid w:val="007A45FF"/>
    <w:rsid w:val="007A4EAF"/>
    <w:rsid w:val="007A5CC1"/>
    <w:rsid w:val="007A6C83"/>
    <w:rsid w:val="007A7DA6"/>
    <w:rsid w:val="007A7FD4"/>
    <w:rsid w:val="007B0321"/>
    <w:rsid w:val="007B1CE9"/>
    <w:rsid w:val="007B35B9"/>
    <w:rsid w:val="007B4E77"/>
    <w:rsid w:val="007B5AF9"/>
    <w:rsid w:val="007B631E"/>
    <w:rsid w:val="007B6376"/>
    <w:rsid w:val="007B6F2C"/>
    <w:rsid w:val="007B750D"/>
    <w:rsid w:val="007C182E"/>
    <w:rsid w:val="007C21FE"/>
    <w:rsid w:val="007C2350"/>
    <w:rsid w:val="007C2BC9"/>
    <w:rsid w:val="007C334B"/>
    <w:rsid w:val="007C368A"/>
    <w:rsid w:val="007C434F"/>
    <w:rsid w:val="007C4ADB"/>
    <w:rsid w:val="007C4C4A"/>
    <w:rsid w:val="007C51A4"/>
    <w:rsid w:val="007C5F01"/>
    <w:rsid w:val="007C6B73"/>
    <w:rsid w:val="007C7432"/>
    <w:rsid w:val="007C7FA7"/>
    <w:rsid w:val="007D0642"/>
    <w:rsid w:val="007D227B"/>
    <w:rsid w:val="007D359D"/>
    <w:rsid w:val="007D5B5E"/>
    <w:rsid w:val="007D6758"/>
    <w:rsid w:val="007D7A79"/>
    <w:rsid w:val="007D7CBD"/>
    <w:rsid w:val="007D7DA6"/>
    <w:rsid w:val="007D7DB4"/>
    <w:rsid w:val="007E1820"/>
    <w:rsid w:val="007E183E"/>
    <w:rsid w:val="007E1AF0"/>
    <w:rsid w:val="007E4746"/>
    <w:rsid w:val="007E4866"/>
    <w:rsid w:val="007E4EA0"/>
    <w:rsid w:val="007E53D2"/>
    <w:rsid w:val="007E5466"/>
    <w:rsid w:val="007E5FF2"/>
    <w:rsid w:val="007E6F62"/>
    <w:rsid w:val="007F0AC4"/>
    <w:rsid w:val="007F0B15"/>
    <w:rsid w:val="007F0CC7"/>
    <w:rsid w:val="007F1440"/>
    <w:rsid w:val="007F15F5"/>
    <w:rsid w:val="007F316D"/>
    <w:rsid w:val="007F3E81"/>
    <w:rsid w:val="007F479E"/>
    <w:rsid w:val="007F4ACB"/>
    <w:rsid w:val="007F5A95"/>
    <w:rsid w:val="007F5B3C"/>
    <w:rsid w:val="007F72D1"/>
    <w:rsid w:val="00800189"/>
    <w:rsid w:val="00800247"/>
    <w:rsid w:val="0080038A"/>
    <w:rsid w:val="008012BF"/>
    <w:rsid w:val="008023CA"/>
    <w:rsid w:val="00803667"/>
    <w:rsid w:val="00803E3A"/>
    <w:rsid w:val="00804C78"/>
    <w:rsid w:val="00805109"/>
    <w:rsid w:val="0080512C"/>
    <w:rsid w:val="00805843"/>
    <w:rsid w:val="00805B9D"/>
    <w:rsid w:val="00805D0A"/>
    <w:rsid w:val="00805E00"/>
    <w:rsid w:val="00805E8A"/>
    <w:rsid w:val="00806696"/>
    <w:rsid w:val="00807B53"/>
    <w:rsid w:val="0081102F"/>
    <w:rsid w:val="00811286"/>
    <w:rsid w:val="008113FD"/>
    <w:rsid w:val="00811476"/>
    <w:rsid w:val="00812D19"/>
    <w:rsid w:val="0081302A"/>
    <w:rsid w:val="00814B8B"/>
    <w:rsid w:val="00814BD8"/>
    <w:rsid w:val="00814FDE"/>
    <w:rsid w:val="008152A7"/>
    <w:rsid w:val="00815E09"/>
    <w:rsid w:val="00817F15"/>
    <w:rsid w:val="00820661"/>
    <w:rsid w:val="00820F85"/>
    <w:rsid w:val="008214B9"/>
    <w:rsid w:val="00821F0E"/>
    <w:rsid w:val="00822156"/>
    <w:rsid w:val="008221D8"/>
    <w:rsid w:val="00822B05"/>
    <w:rsid w:val="00822C26"/>
    <w:rsid w:val="00823B23"/>
    <w:rsid w:val="00824146"/>
    <w:rsid w:val="00824D53"/>
    <w:rsid w:val="00824E19"/>
    <w:rsid w:val="00825126"/>
    <w:rsid w:val="00827BAA"/>
    <w:rsid w:val="008300E2"/>
    <w:rsid w:val="00830580"/>
    <w:rsid w:val="008311D2"/>
    <w:rsid w:val="0083155B"/>
    <w:rsid w:val="00831D37"/>
    <w:rsid w:val="00834122"/>
    <w:rsid w:val="0083461E"/>
    <w:rsid w:val="008349D9"/>
    <w:rsid w:val="00834DA4"/>
    <w:rsid w:val="008368D0"/>
    <w:rsid w:val="008369CD"/>
    <w:rsid w:val="00836BDA"/>
    <w:rsid w:val="0083745E"/>
    <w:rsid w:val="008375BB"/>
    <w:rsid w:val="00837AD3"/>
    <w:rsid w:val="00837B4B"/>
    <w:rsid w:val="00837DC3"/>
    <w:rsid w:val="00840538"/>
    <w:rsid w:val="00840E34"/>
    <w:rsid w:val="00841E5F"/>
    <w:rsid w:val="0084265D"/>
    <w:rsid w:val="008426DF"/>
    <w:rsid w:val="00842C20"/>
    <w:rsid w:val="00844F7B"/>
    <w:rsid w:val="0084528D"/>
    <w:rsid w:val="008452E7"/>
    <w:rsid w:val="008453B9"/>
    <w:rsid w:val="00845592"/>
    <w:rsid w:val="00846631"/>
    <w:rsid w:val="00846D9A"/>
    <w:rsid w:val="00847BD0"/>
    <w:rsid w:val="00847E6A"/>
    <w:rsid w:val="008512AB"/>
    <w:rsid w:val="008513BF"/>
    <w:rsid w:val="00852D28"/>
    <w:rsid w:val="00853134"/>
    <w:rsid w:val="008539FB"/>
    <w:rsid w:val="00853B6B"/>
    <w:rsid w:val="00854BEE"/>
    <w:rsid w:val="0085592C"/>
    <w:rsid w:val="00856168"/>
    <w:rsid w:val="008562DA"/>
    <w:rsid w:val="008564B9"/>
    <w:rsid w:val="008564FE"/>
    <w:rsid w:val="0085693F"/>
    <w:rsid w:val="00856AAB"/>
    <w:rsid w:val="008574C0"/>
    <w:rsid w:val="00857EFF"/>
    <w:rsid w:val="008601F7"/>
    <w:rsid w:val="008612E3"/>
    <w:rsid w:val="008633E2"/>
    <w:rsid w:val="0086489F"/>
    <w:rsid w:val="008649E1"/>
    <w:rsid w:val="0086594D"/>
    <w:rsid w:val="0086689D"/>
    <w:rsid w:val="0086728E"/>
    <w:rsid w:val="00870F26"/>
    <w:rsid w:val="0087142E"/>
    <w:rsid w:val="008715CF"/>
    <w:rsid w:val="008729C4"/>
    <w:rsid w:val="00872BB3"/>
    <w:rsid w:val="00873123"/>
    <w:rsid w:val="00875757"/>
    <w:rsid w:val="00876AA0"/>
    <w:rsid w:val="0087780D"/>
    <w:rsid w:val="00880C10"/>
    <w:rsid w:val="00880F0C"/>
    <w:rsid w:val="0088121A"/>
    <w:rsid w:val="008816CB"/>
    <w:rsid w:val="00881872"/>
    <w:rsid w:val="008818D2"/>
    <w:rsid w:val="00881BD7"/>
    <w:rsid w:val="008820C5"/>
    <w:rsid w:val="00882E2D"/>
    <w:rsid w:val="008840DF"/>
    <w:rsid w:val="008842B5"/>
    <w:rsid w:val="00886172"/>
    <w:rsid w:val="00886911"/>
    <w:rsid w:val="00886EDD"/>
    <w:rsid w:val="00886F71"/>
    <w:rsid w:val="0088753C"/>
    <w:rsid w:val="00887AFA"/>
    <w:rsid w:val="00887D3B"/>
    <w:rsid w:val="00890AFE"/>
    <w:rsid w:val="00890BEE"/>
    <w:rsid w:val="0089133A"/>
    <w:rsid w:val="00891520"/>
    <w:rsid w:val="008947CD"/>
    <w:rsid w:val="00894FB0"/>
    <w:rsid w:val="00895479"/>
    <w:rsid w:val="008959A6"/>
    <w:rsid w:val="008961FD"/>
    <w:rsid w:val="008976C9"/>
    <w:rsid w:val="008A21A4"/>
    <w:rsid w:val="008A45B6"/>
    <w:rsid w:val="008A49A5"/>
    <w:rsid w:val="008A539A"/>
    <w:rsid w:val="008A584B"/>
    <w:rsid w:val="008A5D66"/>
    <w:rsid w:val="008A7F5D"/>
    <w:rsid w:val="008B063C"/>
    <w:rsid w:val="008B07EA"/>
    <w:rsid w:val="008B1298"/>
    <w:rsid w:val="008B15B7"/>
    <w:rsid w:val="008B182C"/>
    <w:rsid w:val="008B1916"/>
    <w:rsid w:val="008B3514"/>
    <w:rsid w:val="008B3A1E"/>
    <w:rsid w:val="008B3E53"/>
    <w:rsid w:val="008B3F4A"/>
    <w:rsid w:val="008B5229"/>
    <w:rsid w:val="008B54A7"/>
    <w:rsid w:val="008B689C"/>
    <w:rsid w:val="008B7286"/>
    <w:rsid w:val="008B7533"/>
    <w:rsid w:val="008C0311"/>
    <w:rsid w:val="008C1D8A"/>
    <w:rsid w:val="008C2556"/>
    <w:rsid w:val="008C3C8B"/>
    <w:rsid w:val="008C3EAB"/>
    <w:rsid w:val="008C445B"/>
    <w:rsid w:val="008C4D86"/>
    <w:rsid w:val="008C52DC"/>
    <w:rsid w:val="008C5690"/>
    <w:rsid w:val="008C669D"/>
    <w:rsid w:val="008C6B4D"/>
    <w:rsid w:val="008C7159"/>
    <w:rsid w:val="008C7E54"/>
    <w:rsid w:val="008D0A39"/>
    <w:rsid w:val="008D0C49"/>
    <w:rsid w:val="008D2D08"/>
    <w:rsid w:val="008D4207"/>
    <w:rsid w:val="008D4365"/>
    <w:rsid w:val="008D4FF4"/>
    <w:rsid w:val="008D64AB"/>
    <w:rsid w:val="008D66FB"/>
    <w:rsid w:val="008E0E5E"/>
    <w:rsid w:val="008E0F6B"/>
    <w:rsid w:val="008E153E"/>
    <w:rsid w:val="008E177E"/>
    <w:rsid w:val="008E1F42"/>
    <w:rsid w:val="008E2499"/>
    <w:rsid w:val="008E26A5"/>
    <w:rsid w:val="008E3811"/>
    <w:rsid w:val="008E3B31"/>
    <w:rsid w:val="008E3D14"/>
    <w:rsid w:val="008E3EEE"/>
    <w:rsid w:val="008E4E01"/>
    <w:rsid w:val="008E652D"/>
    <w:rsid w:val="008E7358"/>
    <w:rsid w:val="008E7B6F"/>
    <w:rsid w:val="008F06F7"/>
    <w:rsid w:val="008F0E2E"/>
    <w:rsid w:val="008F1B0B"/>
    <w:rsid w:val="008F1C4A"/>
    <w:rsid w:val="008F2EBE"/>
    <w:rsid w:val="008F3451"/>
    <w:rsid w:val="008F3F3D"/>
    <w:rsid w:val="00903BFC"/>
    <w:rsid w:val="009040D9"/>
    <w:rsid w:val="00905488"/>
    <w:rsid w:val="0090621B"/>
    <w:rsid w:val="009100A4"/>
    <w:rsid w:val="0091023A"/>
    <w:rsid w:val="00911C11"/>
    <w:rsid w:val="00912D68"/>
    <w:rsid w:val="009133EA"/>
    <w:rsid w:val="009138DC"/>
    <w:rsid w:val="00913C29"/>
    <w:rsid w:val="009149A0"/>
    <w:rsid w:val="00915F30"/>
    <w:rsid w:val="009165CF"/>
    <w:rsid w:val="009167C1"/>
    <w:rsid w:val="00916F91"/>
    <w:rsid w:val="00920B1D"/>
    <w:rsid w:val="00922397"/>
    <w:rsid w:val="0092354C"/>
    <w:rsid w:val="00925273"/>
    <w:rsid w:val="009270DF"/>
    <w:rsid w:val="00927548"/>
    <w:rsid w:val="00931066"/>
    <w:rsid w:val="009322B8"/>
    <w:rsid w:val="00932457"/>
    <w:rsid w:val="00932D82"/>
    <w:rsid w:val="00932E58"/>
    <w:rsid w:val="00932FDA"/>
    <w:rsid w:val="00933AB8"/>
    <w:rsid w:val="0093407C"/>
    <w:rsid w:val="00934355"/>
    <w:rsid w:val="00934AD6"/>
    <w:rsid w:val="009353F3"/>
    <w:rsid w:val="0093599C"/>
    <w:rsid w:val="00937325"/>
    <w:rsid w:val="009374DA"/>
    <w:rsid w:val="009406C4"/>
    <w:rsid w:val="00940CD2"/>
    <w:rsid w:val="0094295E"/>
    <w:rsid w:val="00942E22"/>
    <w:rsid w:val="00943A01"/>
    <w:rsid w:val="00945792"/>
    <w:rsid w:val="009468BB"/>
    <w:rsid w:val="009479F4"/>
    <w:rsid w:val="00951282"/>
    <w:rsid w:val="009512B5"/>
    <w:rsid w:val="00952669"/>
    <w:rsid w:val="00955926"/>
    <w:rsid w:val="00955E87"/>
    <w:rsid w:val="00955F2A"/>
    <w:rsid w:val="00957261"/>
    <w:rsid w:val="0095742D"/>
    <w:rsid w:val="00960422"/>
    <w:rsid w:val="00960F8A"/>
    <w:rsid w:val="0096114A"/>
    <w:rsid w:val="009617A4"/>
    <w:rsid w:val="00961B18"/>
    <w:rsid w:val="0096330A"/>
    <w:rsid w:val="009634F8"/>
    <w:rsid w:val="009639FA"/>
    <w:rsid w:val="00963D90"/>
    <w:rsid w:val="009647B0"/>
    <w:rsid w:val="009649D5"/>
    <w:rsid w:val="00964C72"/>
    <w:rsid w:val="00964D8D"/>
    <w:rsid w:val="0096530F"/>
    <w:rsid w:val="009656A7"/>
    <w:rsid w:val="009657BB"/>
    <w:rsid w:val="00965995"/>
    <w:rsid w:val="00965B3A"/>
    <w:rsid w:val="00965DD5"/>
    <w:rsid w:val="0096720E"/>
    <w:rsid w:val="00970348"/>
    <w:rsid w:val="00972944"/>
    <w:rsid w:val="00972B04"/>
    <w:rsid w:val="00974448"/>
    <w:rsid w:val="00975692"/>
    <w:rsid w:val="00975BB5"/>
    <w:rsid w:val="00976A5E"/>
    <w:rsid w:val="00977DF3"/>
    <w:rsid w:val="0098108F"/>
    <w:rsid w:val="009827F5"/>
    <w:rsid w:val="00983B2E"/>
    <w:rsid w:val="009844AD"/>
    <w:rsid w:val="00985222"/>
    <w:rsid w:val="00985BEC"/>
    <w:rsid w:val="00985D50"/>
    <w:rsid w:val="00986790"/>
    <w:rsid w:val="00987347"/>
    <w:rsid w:val="00987D45"/>
    <w:rsid w:val="009909FB"/>
    <w:rsid w:val="009910F8"/>
    <w:rsid w:val="009913AB"/>
    <w:rsid w:val="00992A4D"/>
    <w:rsid w:val="00993225"/>
    <w:rsid w:val="009957CB"/>
    <w:rsid w:val="00996B1B"/>
    <w:rsid w:val="009A0366"/>
    <w:rsid w:val="009A0444"/>
    <w:rsid w:val="009A1985"/>
    <w:rsid w:val="009A1A62"/>
    <w:rsid w:val="009A27E5"/>
    <w:rsid w:val="009A2BD4"/>
    <w:rsid w:val="009A2C6B"/>
    <w:rsid w:val="009A404C"/>
    <w:rsid w:val="009A48D9"/>
    <w:rsid w:val="009A50AF"/>
    <w:rsid w:val="009A79B6"/>
    <w:rsid w:val="009B17A3"/>
    <w:rsid w:val="009B1E0C"/>
    <w:rsid w:val="009B23BA"/>
    <w:rsid w:val="009B24DC"/>
    <w:rsid w:val="009B3EF7"/>
    <w:rsid w:val="009B4A76"/>
    <w:rsid w:val="009B513C"/>
    <w:rsid w:val="009C3B2E"/>
    <w:rsid w:val="009C49EA"/>
    <w:rsid w:val="009C5CE1"/>
    <w:rsid w:val="009C6524"/>
    <w:rsid w:val="009C6B0D"/>
    <w:rsid w:val="009D2252"/>
    <w:rsid w:val="009D328C"/>
    <w:rsid w:val="009D3373"/>
    <w:rsid w:val="009D37EA"/>
    <w:rsid w:val="009D389E"/>
    <w:rsid w:val="009D5191"/>
    <w:rsid w:val="009D5C1F"/>
    <w:rsid w:val="009D64D2"/>
    <w:rsid w:val="009D6844"/>
    <w:rsid w:val="009D6CA9"/>
    <w:rsid w:val="009E05F6"/>
    <w:rsid w:val="009E06A5"/>
    <w:rsid w:val="009E1326"/>
    <w:rsid w:val="009E296C"/>
    <w:rsid w:val="009E4336"/>
    <w:rsid w:val="009E59CD"/>
    <w:rsid w:val="009E5DC4"/>
    <w:rsid w:val="009E6190"/>
    <w:rsid w:val="009E6541"/>
    <w:rsid w:val="009E6D6B"/>
    <w:rsid w:val="009F0AD1"/>
    <w:rsid w:val="009F0E8C"/>
    <w:rsid w:val="009F2641"/>
    <w:rsid w:val="009F2F3E"/>
    <w:rsid w:val="009F3686"/>
    <w:rsid w:val="009F66ED"/>
    <w:rsid w:val="00A00ECF"/>
    <w:rsid w:val="00A01CB3"/>
    <w:rsid w:val="00A037BF"/>
    <w:rsid w:val="00A03FD5"/>
    <w:rsid w:val="00A044B5"/>
    <w:rsid w:val="00A04873"/>
    <w:rsid w:val="00A04977"/>
    <w:rsid w:val="00A04C14"/>
    <w:rsid w:val="00A058DA"/>
    <w:rsid w:val="00A059C9"/>
    <w:rsid w:val="00A06281"/>
    <w:rsid w:val="00A06F57"/>
    <w:rsid w:val="00A106FB"/>
    <w:rsid w:val="00A114C5"/>
    <w:rsid w:val="00A124DF"/>
    <w:rsid w:val="00A12CE6"/>
    <w:rsid w:val="00A134F7"/>
    <w:rsid w:val="00A13860"/>
    <w:rsid w:val="00A14554"/>
    <w:rsid w:val="00A15242"/>
    <w:rsid w:val="00A162D5"/>
    <w:rsid w:val="00A169AB"/>
    <w:rsid w:val="00A179DF"/>
    <w:rsid w:val="00A21585"/>
    <w:rsid w:val="00A225E1"/>
    <w:rsid w:val="00A22C3C"/>
    <w:rsid w:val="00A2332D"/>
    <w:rsid w:val="00A24041"/>
    <w:rsid w:val="00A24253"/>
    <w:rsid w:val="00A25F4B"/>
    <w:rsid w:val="00A26534"/>
    <w:rsid w:val="00A342E4"/>
    <w:rsid w:val="00A3485B"/>
    <w:rsid w:val="00A34C66"/>
    <w:rsid w:val="00A36F0B"/>
    <w:rsid w:val="00A37783"/>
    <w:rsid w:val="00A37932"/>
    <w:rsid w:val="00A37A13"/>
    <w:rsid w:val="00A40046"/>
    <w:rsid w:val="00A41BE3"/>
    <w:rsid w:val="00A423E6"/>
    <w:rsid w:val="00A428C9"/>
    <w:rsid w:val="00A43EC4"/>
    <w:rsid w:val="00A448AB"/>
    <w:rsid w:val="00A44AF7"/>
    <w:rsid w:val="00A45537"/>
    <w:rsid w:val="00A456B7"/>
    <w:rsid w:val="00A457B3"/>
    <w:rsid w:val="00A45A0F"/>
    <w:rsid w:val="00A46FE0"/>
    <w:rsid w:val="00A4732D"/>
    <w:rsid w:val="00A47714"/>
    <w:rsid w:val="00A47754"/>
    <w:rsid w:val="00A4799C"/>
    <w:rsid w:val="00A47CF8"/>
    <w:rsid w:val="00A47D3E"/>
    <w:rsid w:val="00A5013B"/>
    <w:rsid w:val="00A50AAF"/>
    <w:rsid w:val="00A51FFC"/>
    <w:rsid w:val="00A525D2"/>
    <w:rsid w:val="00A53EDA"/>
    <w:rsid w:val="00A548D4"/>
    <w:rsid w:val="00A5512D"/>
    <w:rsid w:val="00A55581"/>
    <w:rsid w:val="00A556D5"/>
    <w:rsid w:val="00A57578"/>
    <w:rsid w:val="00A575C5"/>
    <w:rsid w:val="00A578EC"/>
    <w:rsid w:val="00A578FB"/>
    <w:rsid w:val="00A57A0C"/>
    <w:rsid w:val="00A603F0"/>
    <w:rsid w:val="00A6087D"/>
    <w:rsid w:val="00A60F2C"/>
    <w:rsid w:val="00A613B9"/>
    <w:rsid w:val="00A61AFF"/>
    <w:rsid w:val="00A61ED4"/>
    <w:rsid w:val="00A646DF"/>
    <w:rsid w:val="00A655CE"/>
    <w:rsid w:val="00A65EF0"/>
    <w:rsid w:val="00A66D17"/>
    <w:rsid w:val="00A66E8D"/>
    <w:rsid w:val="00A66EDE"/>
    <w:rsid w:val="00A677C0"/>
    <w:rsid w:val="00A71D97"/>
    <w:rsid w:val="00A721DF"/>
    <w:rsid w:val="00A7221E"/>
    <w:rsid w:val="00A725CF"/>
    <w:rsid w:val="00A72F2D"/>
    <w:rsid w:val="00A736BE"/>
    <w:rsid w:val="00A742CC"/>
    <w:rsid w:val="00A75BB0"/>
    <w:rsid w:val="00A75FC5"/>
    <w:rsid w:val="00A766C1"/>
    <w:rsid w:val="00A76A6E"/>
    <w:rsid w:val="00A76BF2"/>
    <w:rsid w:val="00A76E36"/>
    <w:rsid w:val="00A77D5B"/>
    <w:rsid w:val="00A80EDB"/>
    <w:rsid w:val="00A810B7"/>
    <w:rsid w:val="00A81B1E"/>
    <w:rsid w:val="00A837AD"/>
    <w:rsid w:val="00A83EE0"/>
    <w:rsid w:val="00A847D5"/>
    <w:rsid w:val="00A85150"/>
    <w:rsid w:val="00A85520"/>
    <w:rsid w:val="00A865EC"/>
    <w:rsid w:val="00A87788"/>
    <w:rsid w:val="00A9040A"/>
    <w:rsid w:val="00A91671"/>
    <w:rsid w:val="00A92360"/>
    <w:rsid w:val="00A933D0"/>
    <w:rsid w:val="00A93439"/>
    <w:rsid w:val="00A937B2"/>
    <w:rsid w:val="00A93963"/>
    <w:rsid w:val="00A94640"/>
    <w:rsid w:val="00A9505D"/>
    <w:rsid w:val="00A950B7"/>
    <w:rsid w:val="00A96867"/>
    <w:rsid w:val="00AA027A"/>
    <w:rsid w:val="00AA0FF1"/>
    <w:rsid w:val="00AA179F"/>
    <w:rsid w:val="00AA2466"/>
    <w:rsid w:val="00AA25C1"/>
    <w:rsid w:val="00AA34AA"/>
    <w:rsid w:val="00AA387C"/>
    <w:rsid w:val="00AA3CF7"/>
    <w:rsid w:val="00AA50AE"/>
    <w:rsid w:val="00AA6491"/>
    <w:rsid w:val="00AA6D5E"/>
    <w:rsid w:val="00AA727C"/>
    <w:rsid w:val="00AB04D3"/>
    <w:rsid w:val="00AB22E0"/>
    <w:rsid w:val="00AB2F6B"/>
    <w:rsid w:val="00AB30A8"/>
    <w:rsid w:val="00AB3867"/>
    <w:rsid w:val="00AB3F64"/>
    <w:rsid w:val="00AB4685"/>
    <w:rsid w:val="00AB6985"/>
    <w:rsid w:val="00AB7B58"/>
    <w:rsid w:val="00AC0274"/>
    <w:rsid w:val="00AC03B0"/>
    <w:rsid w:val="00AC0983"/>
    <w:rsid w:val="00AC0C17"/>
    <w:rsid w:val="00AC1C05"/>
    <w:rsid w:val="00AC26A7"/>
    <w:rsid w:val="00AC2F9B"/>
    <w:rsid w:val="00AC37FB"/>
    <w:rsid w:val="00AC3882"/>
    <w:rsid w:val="00AC3BB4"/>
    <w:rsid w:val="00AC54A7"/>
    <w:rsid w:val="00AC5D87"/>
    <w:rsid w:val="00AC5E1E"/>
    <w:rsid w:val="00AC75DE"/>
    <w:rsid w:val="00AD05F8"/>
    <w:rsid w:val="00AD1B42"/>
    <w:rsid w:val="00AD27E3"/>
    <w:rsid w:val="00AD2AAF"/>
    <w:rsid w:val="00AD332C"/>
    <w:rsid w:val="00AD44CB"/>
    <w:rsid w:val="00AD47B2"/>
    <w:rsid w:val="00AD4B3C"/>
    <w:rsid w:val="00AD5761"/>
    <w:rsid w:val="00AD6EF7"/>
    <w:rsid w:val="00AD738C"/>
    <w:rsid w:val="00AD7499"/>
    <w:rsid w:val="00AD79D9"/>
    <w:rsid w:val="00AD7F74"/>
    <w:rsid w:val="00AE1A76"/>
    <w:rsid w:val="00AE219A"/>
    <w:rsid w:val="00AE2337"/>
    <w:rsid w:val="00AE25B3"/>
    <w:rsid w:val="00AE4390"/>
    <w:rsid w:val="00AE4F96"/>
    <w:rsid w:val="00AE5D19"/>
    <w:rsid w:val="00AE63DF"/>
    <w:rsid w:val="00AF1261"/>
    <w:rsid w:val="00AF1AFE"/>
    <w:rsid w:val="00AF200B"/>
    <w:rsid w:val="00AF2302"/>
    <w:rsid w:val="00AF2428"/>
    <w:rsid w:val="00AF2909"/>
    <w:rsid w:val="00AF6906"/>
    <w:rsid w:val="00AF6A22"/>
    <w:rsid w:val="00AF7F4B"/>
    <w:rsid w:val="00B00277"/>
    <w:rsid w:val="00B00D01"/>
    <w:rsid w:val="00B05C2E"/>
    <w:rsid w:val="00B05CB9"/>
    <w:rsid w:val="00B067CD"/>
    <w:rsid w:val="00B06DD2"/>
    <w:rsid w:val="00B07156"/>
    <w:rsid w:val="00B07AFA"/>
    <w:rsid w:val="00B07D5C"/>
    <w:rsid w:val="00B109F4"/>
    <w:rsid w:val="00B12E69"/>
    <w:rsid w:val="00B1357D"/>
    <w:rsid w:val="00B139CE"/>
    <w:rsid w:val="00B13A30"/>
    <w:rsid w:val="00B147C1"/>
    <w:rsid w:val="00B1551F"/>
    <w:rsid w:val="00B15EA0"/>
    <w:rsid w:val="00B16E5C"/>
    <w:rsid w:val="00B20BB6"/>
    <w:rsid w:val="00B20C87"/>
    <w:rsid w:val="00B21C39"/>
    <w:rsid w:val="00B21D29"/>
    <w:rsid w:val="00B21E64"/>
    <w:rsid w:val="00B226BA"/>
    <w:rsid w:val="00B227EE"/>
    <w:rsid w:val="00B2469B"/>
    <w:rsid w:val="00B259E1"/>
    <w:rsid w:val="00B25CBB"/>
    <w:rsid w:val="00B26200"/>
    <w:rsid w:val="00B26204"/>
    <w:rsid w:val="00B26520"/>
    <w:rsid w:val="00B301F9"/>
    <w:rsid w:val="00B307CA"/>
    <w:rsid w:val="00B30B83"/>
    <w:rsid w:val="00B31F0D"/>
    <w:rsid w:val="00B327DE"/>
    <w:rsid w:val="00B32AC9"/>
    <w:rsid w:val="00B32F23"/>
    <w:rsid w:val="00B34579"/>
    <w:rsid w:val="00B34685"/>
    <w:rsid w:val="00B348CE"/>
    <w:rsid w:val="00B35495"/>
    <w:rsid w:val="00B359CE"/>
    <w:rsid w:val="00B35E2A"/>
    <w:rsid w:val="00B36294"/>
    <w:rsid w:val="00B36B99"/>
    <w:rsid w:val="00B37AE7"/>
    <w:rsid w:val="00B37FA9"/>
    <w:rsid w:val="00B404DE"/>
    <w:rsid w:val="00B41227"/>
    <w:rsid w:val="00B41B6B"/>
    <w:rsid w:val="00B42519"/>
    <w:rsid w:val="00B4299E"/>
    <w:rsid w:val="00B44DD9"/>
    <w:rsid w:val="00B44DF2"/>
    <w:rsid w:val="00B5034C"/>
    <w:rsid w:val="00B50ED6"/>
    <w:rsid w:val="00B515B2"/>
    <w:rsid w:val="00B51FE2"/>
    <w:rsid w:val="00B538D6"/>
    <w:rsid w:val="00B53EE4"/>
    <w:rsid w:val="00B5427B"/>
    <w:rsid w:val="00B55114"/>
    <w:rsid w:val="00B56A7B"/>
    <w:rsid w:val="00B57609"/>
    <w:rsid w:val="00B57876"/>
    <w:rsid w:val="00B5798C"/>
    <w:rsid w:val="00B60AE0"/>
    <w:rsid w:val="00B62269"/>
    <w:rsid w:val="00B63317"/>
    <w:rsid w:val="00B63422"/>
    <w:rsid w:val="00B638EB"/>
    <w:rsid w:val="00B63E6B"/>
    <w:rsid w:val="00B64C53"/>
    <w:rsid w:val="00B652E1"/>
    <w:rsid w:val="00B65836"/>
    <w:rsid w:val="00B65FA1"/>
    <w:rsid w:val="00B666CA"/>
    <w:rsid w:val="00B6757C"/>
    <w:rsid w:val="00B70182"/>
    <w:rsid w:val="00B70A07"/>
    <w:rsid w:val="00B70C33"/>
    <w:rsid w:val="00B70EEB"/>
    <w:rsid w:val="00B71A59"/>
    <w:rsid w:val="00B72018"/>
    <w:rsid w:val="00B72F0C"/>
    <w:rsid w:val="00B72FFD"/>
    <w:rsid w:val="00B73CFE"/>
    <w:rsid w:val="00B7455E"/>
    <w:rsid w:val="00B74BBE"/>
    <w:rsid w:val="00B75F8C"/>
    <w:rsid w:val="00B765BE"/>
    <w:rsid w:val="00B76E7C"/>
    <w:rsid w:val="00B76EB1"/>
    <w:rsid w:val="00B76F7F"/>
    <w:rsid w:val="00B771EF"/>
    <w:rsid w:val="00B80026"/>
    <w:rsid w:val="00B82213"/>
    <w:rsid w:val="00B8331D"/>
    <w:rsid w:val="00B84303"/>
    <w:rsid w:val="00B847A0"/>
    <w:rsid w:val="00B84853"/>
    <w:rsid w:val="00B85170"/>
    <w:rsid w:val="00B85570"/>
    <w:rsid w:val="00B85C06"/>
    <w:rsid w:val="00B8645F"/>
    <w:rsid w:val="00B869B8"/>
    <w:rsid w:val="00B900F3"/>
    <w:rsid w:val="00B90230"/>
    <w:rsid w:val="00B9053E"/>
    <w:rsid w:val="00B90727"/>
    <w:rsid w:val="00B9184D"/>
    <w:rsid w:val="00B9194E"/>
    <w:rsid w:val="00B9204F"/>
    <w:rsid w:val="00B93A22"/>
    <w:rsid w:val="00B94479"/>
    <w:rsid w:val="00B94C76"/>
    <w:rsid w:val="00B94E6B"/>
    <w:rsid w:val="00B94FA0"/>
    <w:rsid w:val="00B956FA"/>
    <w:rsid w:val="00B95982"/>
    <w:rsid w:val="00B96BA1"/>
    <w:rsid w:val="00B972CB"/>
    <w:rsid w:val="00B978F5"/>
    <w:rsid w:val="00B97DAF"/>
    <w:rsid w:val="00B97EE1"/>
    <w:rsid w:val="00BA01A4"/>
    <w:rsid w:val="00BA0756"/>
    <w:rsid w:val="00BA10C6"/>
    <w:rsid w:val="00BA15C2"/>
    <w:rsid w:val="00BA253E"/>
    <w:rsid w:val="00BA2B49"/>
    <w:rsid w:val="00BA3539"/>
    <w:rsid w:val="00BA4089"/>
    <w:rsid w:val="00BA4D9B"/>
    <w:rsid w:val="00BA53E8"/>
    <w:rsid w:val="00BA6157"/>
    <w:rsid w:val="00BA6957"/>
    <w:rsid w:val="00BA7F7E"/>
    <w:rsid w:val="00BB1719"/>
    <w:rsid w:val="00BB1C9C"/>
    <w:rsid w:val="00BB2B3D"/>
    <w:rsid w:val="00BB2EB1"/>
    <w:rsid w:val="00BB2FD1"/>
    <w:rsid w:val="00BB351E"/>
    <w:rsid w:val="00BB3D1A"/>
    <w:rsid w:val="00BB60CB"/>
    <w:rsid w:val="00BB6368"/>
    <w:rsid w:val="00BB6930"/>
    <w:rsid w:val="00BB7916"/>
    <w:rsid w:val="00BB7920"/>
    <w:rsid w:val="00BB796B"/>
    <w:rsid w:val="00BC05C0"/>
    <w:rsid w:val="00BC14E5"/>
    <w:rsid w:val="00BC170B"/>
    <w:rsid w:val="00BC2120"/>
    <w:rsid w:val="00BC25A7"/>
    <w:rsid w:val="00BC3614"/>
    <w:rsid w:val="00BC4AB4"/>
    <w:rsid w:val="00BC54C6"/>
    <w:rsid w:val="00BC6563"/>
    <w:rsid w:val="00BC6DE4"/>
    <w:rsid w:val="00BC7A15"/>
    <w:rsid w:val="00BD0049"/>
    <w:rsid w:val="00BD1909"/>
    <w:rsid w:val="00BD2060"/>
    <w:rsid w:val="00BD207B"/>
    <w:rsid w:val="00BD3849"/>
    <w:rsid w:val="00BD4138"/>
    <w:rsid w:val="00BD45F8"/>
    <w:rsid w:val="00BD4B9A"/>
    <w:rsid w:val="00BD53A8"/>
    <w:rsid w:val="00BD6B9A"/>
    <w:rsid w:val="00BD710E"/>
    <w:rsid w:val="00BE027E"/>
    <w:rsid w:val="00BE0735"/>
    <w:rsid w:val="00BE1BB1"/>
    <w:rsid w:val="00BE2B5C"/>
    <w:rsid w:val="00BE3744"/>
    <w:rsid w:val="00BE37F0"/>
    <w:rsid w:val="00BE4729"/>
    <w:rsid w:val="00BE4974"/>
    <w:rsid w:val="00BE65B6"/>
    <w:rsid w:val="00BE765E"/>
    <w:rsid w:val="00BF1920"/>
    <w:rsid w:val="00BF2D35"/>
    <w:rsid w:val="00BF3890"/>
    <w:rsid w:val="00BF4934"/>
    <w:rsid w:val="00BF49A4"/>
    <w:rsid w:val="00BF5BF5"/>
    <w:rsid w:val="00BF6EBE"/>
    <w:rsid w:val="00BF6F01"/>
    <w:rsid w:val="00BF74B4"/>
    <w:rsid w:val="00C001CF"/>
    <w:rsid w:val="00C002F0"/>
    <w:rsid w:val="00C0060E"/>
    <w:rsid w:val="00C010DD"/>
    <w:rsid w:val="00C0125F"/>
    <w:rsid w:val="00C0147B"/>
    <w:rsid w:val="00C0161F"/>
    <w:rsid w:val="00C0186B"/>
    <w:rsid w:val="00C02AB0"/>
    <w:rsid w:val="00C02BE5"/>
    <w:rsid w:val="00C0313C"/>
    <w:rsid w:val="00C03DF6"/>
    <w:rsid w:val="00C04DEF"/>
    <w:rsid w:val="00C04EDF"/>
    <w:rsid w:val="00C054DB"/>
    <w:rsid w:val="00C05F88"/>
    <w:rsid w:val="00C06536"/>
    <w:rsid w:val="00C06685"/>
    <w:rsid w:val="00C06B6A"/>
    <w:rsid w:val="00C072B2"/>
    <w:rsid w:val="00C0739A"/>
    <w:rsid w:val="00C07D11"/>
    <w:rsid w:val="00C07D3C"/>
    <w:rsid w:val="00C100BF"/>
    <w:rsid w:val="00C10425"/>
    <w:rsid w:val="00C104B7"/>
    <w:rsid w:val="00C10A2A"/>
    <w:rsid w:val="00C10CC9"/>
    <w:rsid w:val="00C10E5D"/>
    <w:rsid w:val="00C118E9"/>
    <w:rsid w:val="00C1232C"/>
    <w:rsid w:val="00C13015"/>
    <w:rsid w:val="00C13106"/>
    <w:rsid w:val="00C134EC"/>
    <w:rsid w:val="00C155A7"/>
    <w:rsid w:val="00C15CB8"/>
    <w:rsid w:val="00C16E14"/>
    <w:rsid w:val="00C17233"/>
    <w:rsid w:val="00C17250"/>
    <w:rsid w:val="00C17BE6"/>
    <w:rsid w:val="00C20CEA"/>
    <w:rsid w:val="00C214D6"/>
    <w:rsid w:val="00C222D8"/>
    <w:rsid w:val="00C2290B"/>
    <w:rsid w:val="00C23559"/>
    <w:rsid w:val="00C25159"/>
    <w:rsid w:val="00C30218"/>
    <w:rsid w:val="00C30A30"/>
    <w:rsid w:val="00C3140D"/>
    <w:rsid w:val="00C31946"/>
    <w:rsid w:val="00C31E64"/>
    <w:rsid w:val="00C3242C"/>
    <w:rsid w:val="00C3254F"/>
    <w:rsid w:val="00C32F0E"/>
    <w:rsid w:val="00C345F4"/>
    <w:rsid w:val="00C34AEA"/>
    <w:rsid w:val="00C35647"/>
    <w:rsid w:val="00C3634D"/>
    <w:rsid w:val="00C36354"/>
    <w:rsid w:val="00C36553"/>
    <w:rsid w:val="00C37C9F"/>
    <w:rsid w:val="00C405CE"/>
    <w:rsid w:val="00C408C8"/>
    <w:rsid w:val="00C410BE"/>
    <w:rsid w:val="00C413BD"/>
    <w:rsid w:val="00C418BD"/>
    <w:rsid w:val="00C423C2"/>
    <w:rsid w:val="00C43026"/>
    <w:rsid w:val="00C43E0C"/>
    <w:rsid w:val="00C44460"/>
    <w:rsid w:val="00C4447F"/>
    <w:rsid w:val="00C445C0"/>
    <w:rsid w:val="00C45233"/>
    <w:rsid w:val="00C45664"/>
    <w:rsid w:val="00C45B0E"/>
    <w:rsid w:val="00C45E25"/>
    <w:rsid w:val="00C4666B"/>
    <w:rsid w:val="00C51263"/>
    <w:rsid w:val="00C5173B"/>
    <w:rsid w:val="00C5213E"/>
    <w:rsid w:val="00C522BD"/>
    <w:rsid w:val="00C53762"/>
    <w:rsid w:val="00C53A92"/>
    <w:rsid w:val="00C540E2"/>
    <w:rsid w:val="00C54709"/>
    <w:rsid w:val="00C55625"/>
    <w:rsid w:val="00C56060"/>
    <w:rsid w:val="00C56932"/>
    <w:rsid w:val="00C56A32"/>
    <w:rsid w:val="00C61770"/>
    <w:rsid w:val="00C621CA"/>
    <w:rsid w:val="00C62C8E"/>
    <w:rsid w:val="00C6360D"/>
    <w:rsid w:val="00C63E38"/>
    <w:rsid w:val="00C65CC3"/>
    <w:rsid w:val="00C70B61"/>
    <w:rsid w:val="00C71785"/>
    <w:rsid w:val="00C7186C"/>
    <w:rsid w:val="00C71BB7"/>
    <w:rsid w:val="00C71E0F"/>
    <w:rsid w:val="00C7229D"/>
    <w:rsid w:val="00C7326E"/>
    <w:rsid w:val="00C73819"/>
    <w:rsid w:val="00C74046"/>
    <w:rsid w:val="00C74C60"/>
    <w:rsid w:val="00C74EAA"/>
    <w:rsid w:val="00C76911"/>
    <w:rsid w:val="00C77355"/>
    <w:rsid w:val="00C77544"/>
    <w:rsid w:val="00C82A3B"/>
    <w:rsid w:val="00C848C5"/>
    <w:rsid w:val="00C84E04"/>
    <w:rsid w:val="00C85200"/>
    <w:rsid w:val="00C8544C"/>
    <w:rsid w:val="00C85687"/>
    <w:rsid w:val="00C90C4D"/>
    <w:rsid w:val="00C92F61"/>
    <w:rsid w:val="00C93953"/>
    <w:rsid w:val="00C9675A"/>
    <w:rsid w:val="00C9731F"/>
    <w:rsid w:val="00CA04C2"/>
    <w:rsid w:val="00CA0E89"/>
    <w:rsid w:val="00CA120E"/>
    <w:rsid w:val="00CA138F"/>
    <w:rsid w:val="00CA42B9"/>
    <w:rsid w:val="00CA47CF"/>
    <w:rsid w:val="00CA6EA1"/>
    <w:rsid w:val="00CA74E0"/>
    <w:rsid w:val="00CA7AAC"/>
    <w:rsid w:val="00CB02D4"/>
    <w:rsid w:val="00CB085D"/>
    <w:rsid w:val="00CB0CC1"/>
    <w:rsid w:val="00CB1B2F"/>
    <w:rsid w:val="00CB2878"/>
    <w:rsid w:val="00CB3939"/>
    <w:rsid w:val="00CB48A3"/>
    <w:rsid w:val="00CB5D16"/>
    <w:rsid w:val="00CB6314"/>
    <w:rsid w:val="00CC0D74"/>
    <w:rsid w:val="00CC1693"/>
    <w:rsid w:val="00CC1B87"/>
    <w:rsid w:val="00CC22C3"/>
    <w:rsid w:val="00CC287A"/>
    <w:rsid w:val="00CC2AAE"/>
    <w:rsid w:val="00CC4E28"/>
    <w:rsid w:val="00CC4E4C"/>
    <w:rsid w:val="00CC5258"/>
    <w:rsid w:val="00CC574E"/>
    <w:rsid w:val="00CC79DD"/>
    <w:rsid w:val="00CC7CC4"/>
    <w:rsid w:val="00CD063E"/>
    <w:rsid w:val="00CD0C46"/>
    <w:rsid w:val="00CD0D7A"/>
    <w:rsid w:val="00CD1194"/>
    <w:rsid w:val="00CD204E"/>
    <w:rsid w:val="00CD2460"/>
    <w:rsid w:val="00CD2819"/>
    <w:rsid w:val="00CD29E4"/>
    <w:rsid w:val="00CD2C14"/>
    <w:rsid w:val="00CD4B19"/>
    <w:rsid w:val="00CD55A0"/>
    <w:rsid w:val="00CD63B1"/>
    <w:rsid w:val="00CD6642"/>
    <w:rsid w:val="00CD6C25"/>
    <w:rsid w:val="00CD6F70"/>
    <w:rsid w:val="00CD7136"/>
    <w:rsid w:val="00CE0805"/>
    <w:rsid w:val="00CE15CA"/>
    <w:rsid w:val="00CE2506"/>
    <w:rsid w:val="00CE2F47"/>
    <w:rsid w:val="00CE33A2"/>
    <w:rsid w:val="00CE576F"/>
    <w:rsid w:val="00CE69A6"/>
    <w:rsid w:val="00CE6FD8"/>
    <w:rsid w:val="00CE726E"/>
    <w:rsid w:val="00CF0CC2"/>
    <w:rsid w:val="00CF1A9D"/>
    <w:rsid w:val="00CF1CE4"/>
    <w:rsid w:val="00CF2120"/>
    <w:rsid w:val="00CF2E85"/>
    <w:rsid w:val="00CF30AE"/>
    <w:rsid w:val="00CF3990"/>
    <w:rsid w:val="00CF4919"/>
    <w:rsid w:val="00CF5A7A"/>
    <w:rsid w:val="00CF5B38"/>
    <w:rsid w:val="00CF7C43"/>
    <w:rsid w:val="00D000C8"/>
    <w:rsid w:val="00D0082C"/>
    <w:rsid w:val="00D01562"/>
    <w:rsid w:val="00D01A0B"/>
    <w:rsid w:val="00D02794"/>
    <w:rsid w:val="00D02B48"/>
    <w:rsid w:val="00D04A39"/>
    <w:rsid w:val="00D04A3A"/>
    <w:rsid w:val="00D050DB"/>
    <w:rsid w:val="00D05CA4"/>
    <w:rsid w:val="00D06195"/>
    <w:rsid w:val="00D069CE"/>
    <w:rsid w:val="00D070A6"/>
    <w:rsid w:val="00D1227E"/>
    <w:rsid w:val="00D128D6"/>
    <w:rsid w:val="00D13FE4"/>
    <w:rsid w:val="00D14C3E"/>
    <w:rsid w:val="00D14D20"/>
    <w:rsid w:val="00D15527"/>
    <w:rsid w:val="00D1575B"/>
    <w:rsid w:val="00D1700D"/>
    <w:rsid w:val="00D17557"/>
    <w:rsid w:val="00D17EE1"/>
    <w:rsid w:val="00D2022E"/>
    <w:rsid w:val="00D20841"/>
    <w:rsid w:val="00D20D20"/>
    <w:rsid w:val="00D245C3"/>
    <w:rsid w:val="00D24C19"/>
    <w:rsid w:val="00D25B00"/>
    <w:rsid w:val="00D26177"/>
    <w:rsid w:val="00D26578"/>
    <w:rsid w:val="00D26696"/>
    <w:rsid w:val="00D30114"/>
    <w:rsid w:val="00D30E56"/>
    <w:rsid w:val="00D313C6"/>
    <w:rsid w:val="00D32B1D"/>
    <w:rsid w:val="00D33E54"/>
    <w:rsid w:val="00D33E96"/>
    <w:rsid w:val="00D3440C"/>
    <w:rsid w:val="00D34F1C"/>
    <w:rsid w:val="00D35CF6"/>
    <w:rsid w:val="00D36269"/>
    <w:rsid w:val="00D37351"/>
    <w:rsid w:val="00D37F70"/>
    <w:rsid w:val="00D4029F"/>
    <w:rsid w:val="00D41371"/>
    <w:rsid w:val="00D4185C"/>
    <w:rsid w:val="00D4198E"/>
    <w:rsid w:val="00D41FCB"/>
    <w:rsid w:val="00D42255"/>
    <w:rsid w:val="00D4630F"/>
    <w:rsid w:val="00D47ECF"/>
    <w:rsid w:val="00D50F10"/>
    <w:rsid w:val="00D512D9"/>
    <w:rsid w:val="00D52604"/>
    <w:rsid w:val="00D53DD8"/>
    <w:rsid w:val="00D53F0A"/>
    <w:rsid w:val="00D53FF2"/>
    <w:rsid w:val="00D55226"/>
    <w:rsid w:val="00D55AC2"/>
    <w:rsid w:val="00D55BC8"/>
    <w:rsid w:val="00D55FA0"/>
    <w:rsid w:val="00D576D7"/>
    <w:rsid w:val="00D57A0A"/>
    <w:rsid w:val="00D60798"/>
    <w:rsid w:val="00D607D0"/>
    <w:rsid w:val="00D6115F"/>
    <w:rsid w:val="00D61261"/>
    <w:rsid w:val="00D614E0"/>
    <w:rsid w:val="00D620B8"/>
    <w:rsid w:val="00D623E3"/>
    <w:rsid w:val="00D643ED"/>
    <w:rsid w:val="00D646BB"/>
    <w:rsid w:val="00D66867"/>
    <w:rsid w:val="00D6741A"/>
    <w:rsid w:val="00D67734"/>
    <w:rsid w:val="00D679FA"/>
    <w:rsid w:val="00D70887"/>
    <w:rsid w:val="00D712DE"/>
    <w:rsid w:val="00D72AFE"/>
    <w:rsid w:val="00D72E87"/>
    <w:rsid w:val="00D73090"/>
    <w:rsid w:val="00D74073"/>
    <w:rsid w:val="00D74569"/>
    <w:rsid w:val="00D74612"/>
    <w:rsid w:val="00D76128"/>
    <w:rsid w:val="00D7695E"/>
    <w:rsid w:val="00D7729E"/>
    <w:rsid w:val="00D772F7"/>
    <w:rsid w:val="00D80AB9"/>
    <w:rsid w:val="00D817C3"/>
    <w:rsid w:val="00D821DE"/>
    <w:rsid w:val="00D83403"/>
    <w:rsid w:val="00D8474B"/>
    <w:rsid w:val="00D84EC3"/>
    <w:rsid w:val="00D862C8"/>
    <w:rsid w:val="00D86317"/>
    <w:rsid w:val="00D86902"/>
    <w:rsid w:val="00D875C7"/>
    <w:rsid w:val="00D879B3"/>
    <w:rsid w:val="00D91919"/>
    <w:rsid w:val="00D926EE"/>
    <w:rsid w:val="00D92E7D"/>
    <w:rsid w:val="00D937B0"/>
    <w:rsid w:val="00D94EA7"/>
    <w:rsid w:val="00D952DC"/>
    <w:rsid w:val="00D95ACF"/>
    <w:rsid w:val="00D961B0"/>
    <w:rsid w:val="00D96D4C"/>
    <w:rsid w:val="00DA20DF"/>
    <w:rsid w:val="00DA2706"/>
    <w:rsid w:val="00DA3F83"/>
    <w:rsid w:val="00DA40E5"/>
    <w:rsid w:val="00DA5782"/>
    <w:rsid w:val="00DA5A1F"/>
    <w:rsid w:val="00DB0BA1"/>
    <w:rsid w:val="00DB0EF7"/>
    <w:rsid w:val="00DB1367"/>
    <w:rsid w:val="00DB1C53"/>
    <w:rsid w:val="00DB273F"/>
    <w:rsid w:val="00DB2909"/>
    <w:rsid w:val="00DB3BBC"/>
    <w:rsid w:val="00DB49CA"/>
    <w:rsid w:val="00DB4B19"/>
    <w:rsid w:val="00DB5164"/>
    <w:rsid w:val="00DB6AED"/>
    <w:rsid w:val="00DB6F1A"/>
    <w:rsid w:val="00DB7173"/>
    <w:rsid w:val="00DB723A"/>
    <w:rsid w:val="00DC055C"/>
    <w:rsid w:val="00DC0BD3"/>
    <w:rsid w:val="00DC4AD5"/>
    <w:rsid w:val="00DC52DD"/>
    <w:rsid w:val="00DC5737"/>
    <w:rsid w:val="00DC5F76"/>
    <w:rsid w:val="00DC61DF"/>
    <w:rsid w:val="00DC6F51"/>
    <w:rsid w:val="00DC739C"/>
    <w:rsid w:val="00DC7AD6"/>
    <w:rsid w:val="00DD12A9"/>
    <w:rsid w:val="00DD2FAC"/>
    <w:rsid w:val="00DD3746"/>
    <w:rsid w:val="00DD4DEA"/>
    <w:rsid w:val="00DD50DC"/>
    <w:rsid w:val="00DD5DD9"/>
    <w:rsid w:val="00DD5EEB"/>
    <w:rsid w:val="00DD6950"/>
    <w:rsid w:val="00DD6AAD"/>
    <w:rsid w:val="00DD7B9E"/>
    <w:rsid w:val="00DD7C23"/>
    <w:rsid w:val="00DE0FE3"/>
    <w:rsid w:val="00DE26BF"/>
    <w:rsid w:val="00DE5B18"/>
    <w:rsid w:val="00DE7C69"/>
    <w:rsid w:val="00DF5A63"/>
    <w:rsid w:val="00DF6691"/>
    <w:rsid w:val="00DF6B06"/>
    <w:rsid w:val="00DF7945"/>
    <w:rsid w:val="00DF7EAF"/>
    <w:rsid w:val="00E02F99"/>
    <w:rsid w:val="00E04D51"/>
    <w:rsid w:val="00E05201"/>
    <w:rsid w:val="00E06006"/>
    <w:rsid w:val="00E074E5"/>
    <w:rsid w:val="00E11A68"/>
    <w:rsid w:val="00E12194"/>
    <w:rsid w:val="00E123F6"/>
    <w:rsid w:val="00E12912"/>
    <w:rsid w:val="00E13371"/>
    <w:rsid w:val="00E14456"/>
    <w:rsid w:val="00E16A3A"/>
    <w:rsid w:val="00E17331"/>
    <w:rsid w:val="00E1759B"/>
    <w:rsid w:val="00E177B3"/>
    <w:rsid w:val="00E21DA9"/>
    <w:rsid w:val="00E223CC"/>
    <w:rsid w:val="00E23B77"/>
    <w:rsid w:val="00E240BB"/>
    <w:rsid w:val="00E241B3"/>
    <w:rsid w:val="00E24E4B"/>
    <w:rsid w:val="00E25786"/>
    <w:rsid w:val="00E26F24"/>
    <w:rsid w:val="00E2799C"/>
    <w:rsid w:val="00E3108C"/>
    <w:rsid w:val="00E32609"/>
    <w:rsid w:val="00E332B2"/>
    <w:rsid w:val="00E34A1D"/>
    <w:rsid w:val="00E351CB"/>
    <w:rsid w:val="00E35963"/>
    <w:rsid w:val="00E36221"/>
    <w:rsid w:val="00E36F69"/>
    <w:rsid w:val="00E3733A"/>
    <w:rsid w:val="00E376F7"/>
    <w:rsid w:val="00E37AEE"/>
    <w:rsid w:val="00E37BDC"/>
    <w:rsid w:val="00E41939"/>
    <w:rsid w:val="00E41D87"/>
    <w:rsid w:val="00E41E2A"/>
    <w:rsid w:val="00E41E4C"/>
    <w:rsid w:val="00E43FC4"/>
    <w:rsid w:val="00E44386"/>
    <w:rsid w:val="00E449B4"/>
    <w:rsid w:val="00E45027"/>
    <w:rsid w:val="00E455FE"/>
    <w:rsid w:val="00E46133"/>
    <w:rsid w:val="00E46471"/>
    <w:rsid w:val="00E46BBD"/>
    <w:rsid w:val="00E473A7"/>
    <w:rsid w:val="00E47744"/>
    <w:rsid w:val="00E5046B"/>
    <w:rsid w:val="00E50749"/>
    <w:rsid w:val="00E516CB"/>
    <w:rsid w:val="00E522A9"/>
    <w:rsid w:val="00E53B79"/>
    <w:rsid w:val="00E550B3"/>
    <w:rsid w:val="00E550CC"/>
    <w:rsid w:val="00E55D3E"/>
    <w:rsid w:val="00E560CD"/>
    <w:rsid w:val="00E56451"/>
    <w:rsid w:val="00E56CC8"/>
    <w:rsid w:val="00E56E79"/>
    <w:rsid w:val="00E57B6F"/>
    <w:rsid w:val="00E601D7"/>
    <w:rsid w:val="00E604BC"/>
    <w:rsid w:val="00E60B0D"/>
    <w:rsid w:val="00E60B7E"/>
    <w:rsid w:val="00E61238"/>
    <w:rsid w:val="00E61FA9"/>
    <w:rsid w:val="00E620E9"/>
    <w:rsid w:val="00E62F22"/>
    <w:rsid w:val="00E631C5"/>
    <w:rsid w:val="00E6336B"/>
    <w:rsid w:val="00E635EE"/>
    <w:rsid w:val="00E63943"/>
    <w:rsid w:val="00E641BA"/>
    <w:rsid w:val="00E64E45"/>
    <w:rsid w:val="00E64E9D"/>
    <w:rsid w:val="00E6534B"/>
    <w:rsid w:val="00E658AA"/>
    <w:rsid w:val="00E6621C"/>
    <w:rsid w:val="00E6672D"/>
    <w:rsid w:val="00E67914"/>
    <w:rsid w:val="00E67ACD"/>
    <w:rsid w:val="00E70248"/>
    <w:rsid w:val="00E705C3"/>
    <w:rsid w:val="00E71D03"/>
    <w:rsid w:val="00E7255E"/>
    <w:rsid w:val="00E73C9E"/>
    <w:rsid w:val="00E745A7"/>
    <w:rsid w:val="00E758EC"/>
    <w:rsid w:val="00E77B89"/>
    <w:rsid w:val="00E77BC9"/>
    <w:rsid w:val="00E835D5"/>
    <w:rsid w:val="00E8403F"/>
    <w:rsid w:val="00E84146"/>
    <w:rsid w:val="00E84625"/>
    <w:rsid w:val="00E857DC"/>
    <w:rsid w:val="00E8588A"/>
    <w:rsid w:val="00E86590"/>
    <w:rsid w:val="00E90A07"/>
    <w:rsid w:val="00E9119A"/>
    <w:rsid w:val="00E91397"/>
    <w:rsid w:val="00E919F3"/>
    <w:rsid w:val="00E91FB8"/>
    <w:rsid w:val="00E91FED"/>
    <w:rsid w:val="00E928E1"/>
    <w:rsid w:val="00E934E6"/>
    <w:rsid w:val="00E93580"/>
    <w:rsid w:val="00E94638"/>
    <w:rsid w:val="00E94B6C"/>
    <w:rsid w:val="00E951E7"/>
    <w:rsid w:val="00E951E8"/>
    <w:rsid w:val="00E95278"/>
    <w:rsid w:val="00EA0AD7"/>
    <w:rsid w:val="00EA0DE9"/>
    <w:rsid w:val="00EA19F1"/>
    <w:rsid w:val="00EA2B92"/>
    <w:rsid w:val="00EA2F7C"/>
    <w:rsid w:val="00EA3704"/>
    <w:rsid w:val="00EA4AF1"/>
    <w:rsid w:val="00EA628C"/>
    <w:rsid w:val="00EA6C58"/>
    <w:rsid w:val="00EA6F81"/>
    <w:rsid w:val="00EA7B0A"/>
    <w:rsid w:val="00EB03BA"/>
    <w:rsid w:val="00EB0C76"/>
    <w:rsid w:val="00EB0E52"/>
    <w:rsid w:val="00EB1544"/>
    <w:rsid w:val="00EB177B"/>
    <w:rsid w:val="00EB1DCB"/>
    <w:rsid w:val="00EB3603"/>
    <w:rsid w:val="00EB4020"/>
    <w:rsid w:val="00EB58AF"/>
    <w:rsid w:val="00EB664A"/>
    <w:rsid w:val="00EB6BCA"/>
    <w:rsid w:val="00EC1F50"/>
    <w:rsid w:val="00EC221F"/>
    <w:rsid w:val="00EC2700"/>
    <w:rsid w:val="00EC28A7"/>
    <w:rsid w:val="00EC2BB9"/>
    <w:rsid w:val="00EC41C6"/>
    <w:rsid w:val="00EC4689"/>
    <w:rsid w:val="00EC4AD4"/>
    <w:rsid w:val="00EC5573"/>
    <w:rsid w:val="00EC5869"/>
    <w:rsid w:val="00EC69C0"/>
    <w:rsid w:val="00EC7183"/>
    <w:rsid w:val="00EC7E9F"/>
    <w:rsid w:val="00ED056B"/>
    <w:rsid w:val="00ED0783"/>
    <w:rsid w:val="00ED1AA0"/>
    <w:rsid w:val="00ED1BDE"/>
    <w:rsid w:val="00ED43DD"/>
    <w:rsid w:val="00ED53FC"/>
    <w:rsid w:val="00ED72CC"/>
    <w:rsid w:val="00ED7BE9"/>
    <w:rsid w:val="00EE21A6"/>
    <w:rsid w:val="00EE2710"/>
    <w:rsid w:val="00EE3BDC"/>
    <w:rsid w:val="00EE48DB"/>
    <w:rsid w:val="00EE5600"/>
    <w:rsid w:val="00EE5973"/>
    <w:rsid w:val="00EE5A33"/>
    <w:rsid w:val="00EE6015"/>
    <w:rsid w:val="00EE715F"/>
    <w:rsid w:val="00EE75BA"/>
    <w:rsid w:val="00EE783B"/>
    <w:rsid w:val="00EF069B"/>
    <w:rsid w:val="00EF2697"/>
    <w:rsid w:val="00EF39FE"/>
    <w:rsid w:val="00EF4251"/>
    <w:rsid w:val="00EF49E1"/>
    <w:rsid w:val="00EF6F20"/>
    <w:rsid w:val="00EF7252"/>
    <w:rsid w:val="00EF7525"/>
    <w:rsid w:val="00F00347"/>
    <w:rsid w:val="00F00B90"/>
    <w:rsid w:val="00F027EB"/>
    <w:rsid w:val="00F0300B"/>
    <w:rsid w:val="00F03F20"/>
    <w:rsid w:val="00F04C5F"/>
    <w:rsid w:val="00F05736"/>
    <w:rsid w:val="00F0608D"/>
    <w:rsid w:val="00F0630F"/>
    <w:rsid w:val="00F071E5"/>
    <w:rsid w:val="00F07E93"/>
    <w:rsid w:val="00F10005"/>
    <w:rsid w:val="00F1088E"/>
    <w:rsid w:val="00F10A9F"/>
    <w:rsid w:val="00F10C1E"/>
    <w:rsid w:val="00F1253A"/>
    <w:rsid w:val="00F12D31"/>
    <w:rsid w:val="00F131C7"/>
    <w:rsid w:val="00F13341"/>
    <w:rsid w:val="00F134FB"/>
    <w:rsid w:val="00F1443A"/>
    <w:rsid w:val="00F14CF6"/>
    <w:rsid w:val="00F156B5"/>
    <w:rsid w:val="00F157D8"/>
    <w:rsid w:val="00F175A7"/>
    <w:rsid w:val="00F177C5"/>
    <w:rsid w:val="00F17A39"/>
    <w:rsid w:val="00F17B52"/>
    <w:rsid w:val="00F21029"/>
    <w:rsid w:val="00F210FF"/>
    <w:rsid w:val="00F21FEE"/>
    <w:rsid w:val="00F22829"/>
    <w:rsid w:val="00F236C1"/>
    <w:rsid w:val="00F23C8D"/>
    <w:rsid w:val="00F24554"/>
    <w:rsid w:val="00F24CC2"/>
    <w:rsid w:val="00F251BD"/>
    <w:rsid w:val="00F25383"/>
    <w:rsid w:val="00F25AAE"/>
    <w:rsid w:val="00F26A1A"/>
    <w:rsid w:val="00F26D51"/>
    <w:rsid w:val="00F30438"/>
    <w:rsid w:val="00F30672"/>
    <w:rsid w:val="00F306DC"/>
    <w:rsid w:val="00F306EA"/>
    <w:rsid w:val="00F313D4"/>
    <w:rsid w:val="00F31F80"/>
    <w:rsid w:val="00F3255E"/>
    <w:rsid w:val="00F334AB"/>
    <w:rsid w:val="00F341E7"/>
    <w:rsid w:val="00F34FF6"/>
    <w:rsid w:val="00F35742"/>
    <w:rsid w:val="00F35848"/>
    <w:rsid w:val="00F35D54"/>
    <w:rsid w:val="00F36645"/>
    <w:rsid w:val="00F37869"/>
    <w:rsid w:val="00F37F33"/>
    <w:rsid w:val="00F40096"/>
    <w:rsid w:val="00F400DE"/>
    <w:rsid w:val="00F40885"/>
    <w:rsid w:val="00F40954"/>
    <w:rsid w:val="00F41175"/>
    <w:rsid w:val="00F41590"/>
    <w:rsid w:val="00F43078"/>
    <w:rsid w:val="00F436A0"/>
    <w:rsid w:val="00F45FD4"/>
    <w:rsid w:val="00F46555"/>
    <w:rsid w:val="00F46887"/>
    <w:rsid w:val="00F473B5"/>
    <w:rsid w:val="00F4752D"/>
    <w:rsid w:val="00F51703"/>
    <w:rsid w:val="00F51883"/>
    <w:rsid w:val="00F51F30"/>
    <w:rsid w:val="00F52054"/>
    <w:rsid w:val="00F5256A"/>
    <w:rsid w:val="00F527F7"/>
    <w:rsid w:val="00F52A20"/>
    <w:rsid w:val="00F53F07"/>
    <w:rsid w:val="00F54794"/>
    <w:rsid w:val="00F54BD2"/>
    <w:rsid w:val="00F54E67"/>
    <w:rsid w:val="00F54EFA"/>
    <w:rsid w:val="00F555CD"/>
    <w:rsid w:val="00F55FD2"/>
    <w:rsid w:val="00F5628F"/>
    <w:rsid w:val="00F564E5"/>
    <w:rsid w:val="00F56D0C"/>
    <w:rsid w:val="00F57CF6"/>
    <w:rsid w:val="00F618CC"/>
    <w:rsid w:val="00F61E20"/>
    <w:rsid w:val="00F62A9F"/>
    <w:rsid w:val="00F63189"/>
    <w:rsid w:val="00F642D6"/>
    <w:rsid w:val="00F6453A"/>
    <w:rsid w:val="00F64F14"/>
    <w:rsid w:val="00F659CF"/>
    <w:rsid w:val="00F65EB4"/>
    <w:rsid w:val="00F662A1"/>
    <w:rsid w:val="00F66CC4"/>
    <w:rsid w:val="00F6776F"/>
    <w:rsid w:val="00F67B0F"/>
    <w:rsid w:val="00F707F3"/>
    <w:rsid w:val="00F71929"/>
    <w:rsid w:val="00F72206"/>
    <w:rsid w:val="00F73A49"/>
    <w:rsid w:val="00F74D0C"/>
    <w:rsid w:val="00F75171"/>
    <w:rsid w:val="00F752BF"/>
    <w:rsid w:val="00F75F1B"/>
    <w:rsid w:val="00F76269"/>
    <w:rsid w:val="00F77F63"/>
    <w:rsid w:val="00F800B1"/>
    <w:rsid w:val="00F807C0"/>
    <w:rsid w:val="00F80D9B"/>
    <w:rsid w:val="00F80FED"/>
    <w:rsid w:val="00F82A07"/>
    <w:rsid w:val="00F83D32"/>
    <w:rsid w:val="00F85625"/>
    <w:rsid w:val="00F85654"/>
    <w:rsid w:val="00F87C07"/>
    <w:rsid w:val="00F900EB"/>
    <w:rsid w:val="00F9036D"/>
    <w:rsid w:val="00F906CF"/>
    <w:rsid w:val="00F908B5"/>
    <w:rsid w:val="00F9131B"/>
    <w:rsid w:val="00F92B8E"/>
    <w:rsid w:val="00F92C18"/>
    <w:rsid w:val="00F92DDA"/>
    <w:rsid w:val="00F93681"/>
    <w:rsid w:val="00F94BA0"/>
    <w:rsid w:val="00F94DA2"/>
    <w:rsid w:val="00F95410"/>
    <w:rsid w:val="00F95D1F"/>
    <w:rsid w:val="00F95FDE"/>
    <w:rsid w:val="00F96D42"/>
    <w:rsid w:val="00F97963"/>
    <w:rsid w:val="00F97F62"/>
    <w:rsid w:val="00FA1483"/>
    <w:rsid w:val="00FA280C"/>
    <w:rsid w:val="00FA2B9C"/>
    <w:rsid w:val="00FA37FA"/>
    <w:rsid w:val="00FA5FDA"/>
    <w:rsid w:val="00FA6E62"/>
    <w:rsid w:val="00FB00E6"/>
    <w:rsid w:val="00FB145D"/>
    <w:rsid w:val="00FB1A9E"/>
    <w:rsid w:val="00FB1CEF"/>
    <w:rsid w:val="00FB30BF"/>
    <w:rsid w:val="00FB34D5"/>
    <w:rsid w:val="00FB3734"/>
    <w:rsid w:val="00FB4771"/>
    <w:rsid w:val="00FB48D3"/>
    <w:rsid w:val="00FB4EC9"/>
    <w:rsid w:val="00FB4F67"/>
    <w:rsid w:val="00FB59E0"/>
    <w:rsid w:val="00FB5BDD"/>
    <w:rsid w:val="00FB69E4"/>
    <w:rsid w:val="00FB711E"/>
    <w:rsid w:val="00FC0B73"/>
    <w:rsid w:val="00FC0F0B"/>
    <w:rsid w:val="00FC0F87"/>
    <w:rsid w:val="00FC1470"/>
    <w:rsid w:val="00FC166C"/>
    <w:rsid w:val="00FC2355"/>
    <w:rsid w:val="00FC3827"/>
    <w:rsid w:val="00FC4183"/>
    <w:rsid w:val="00FC4287"/>
    <w:rsid w:val="00FC44A5"/>
    <w:rsid w:val="00FC456D"/>
    <w:rsid w:val="00FC622B"/>
    <w:rsid w:val="00FC7EEF"/>
    <w:rsid w:val="00FD0673"/>
    <w:rsid w:val="00FD1401"/>
    <w:rsid w:val="00FD1530"/>
    <w:rsid w:val="00FD1686"/>
    <w:rsid w:val="00FD2A77"/>
    <w:rsid w:val="00FD3794"/>
    <w:rsid w:val="00FD387E"/>
    <w:rsid w:val="00FD48A5"/>
    <w:rsid w:val="00FD4F6E"/>
    <w:rsid w:val="00FD5500"/>
    <w:rsid w:val="00FD58D5"/>
    <w:rsid w:val="00FD7258"/>
    <w:rsid w:val="00FE09DD"/>
    <w:rsid w:val="00FE0BA6"/>
    <w:rsid w:val="00FE131B"/>
    <w:rsid w:val="00FE1F02"/>
    <w:rsid w:val="00FE29CB"/>
    <w:rsid w:val="00FE5246"/>
    <w:rsid w:val="00FE6095"/>
    <w:rsid w:val="00FE6D4E"/>
    <w:rsid w:val="00FE6F4B"/>
    <w:rsid w:val="00FE7727"/>
    <w:rsid w:val="00FE7830"/>
    <w:rsid w:val="00FE7C4E"/>
    <w:rsid w:val="00FE7F0A"/>
    <w:rsid w:val="00FF1261"/>
    <w:rsid w:val="00FF12B4"/>
    <w:rsid w:val="00FF18D3"/>
    <w:rsid w:val="00FF246B"/>
    <w:rsid w:val="00FF25BF"/>
    <w:rsid w:val="00FF34D8"/>
    <w:rsid w:val="00FF47C1"/>
    <w:rsid w:val="00FF5356"/>
    <w:rsid w:val="00FF5A99"/>
    <w:rsid w:val="00FF7868"/>
    <w:rsid w:val="00FF7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numPr>
        <w:numId w:val="21"/>
      </w:numPr>
      <w:spacing w:after="240"/>
      <w:outlineLvl w:val="0"/>
    </w:pPr>
    <w:rPr>
      <w:b/>
      <w:szCs w:val="24"/>
    </w:rPr>
  </w:style>
  <w:style w:type="paragraph" w:styleId="Heading2">
    <w:name w:val="heading 2"/>
    <w:basedOn w:val="Normal"/>
    <w:next w:val="Normal"/>
    <w:qFormat/>
    <w:rsid w:val="002644BF"/>
    <w:pPr>
      <w:keepNext/>
      <w:numPr>
        <w:ilvl w:val="1"/>
        <w:numId w:val="21"/>
      </w:numPr>
      <w:tabs>
        <w:tab w:val="left" w:pos="4320"/>
      </w:tabs>
      <w:spacing w:after="240"/>
      <w:ind w:left="1440" w:hanging="720"/>
      <w:outlineLvl w:val="1"/>
    </w:pPr>
    <w:rPr>
      <w:b/>
    </w:rPr>
  </w:style>
  <w:style w:type="paragraph" w:styleId="Heading3">
    <w:name w:val="heading 3"/>
    <w:basedOn w:val="Normal"/>
    <w:next w:val="Normal"/>
    <w:link w:val="Heading3Char"/>
    <w:autoRedefine/>
    <w:qFormat/>
    <w:rsid w:val="002644BF"/>
    <w:pPr>
      <w:keepNext/>
      <w:keepLines/>
      <w:numPr>
        <w:ilvl w:val="2"/>
        <w:numId w:val="21"/>
      </w:numPr>
      <w:ind w:left="2160" w:hanging="720"/>
      <w:outlineLvl w:val="2"/>
    </w:pPr>
    <w:rPr>
      <w:b/>
      <w:bCs/>
      <w:iCs/>
    </w:rPr>
  </w:style>
  <w:style w:type="paragraph" w:styleId="Heading4">
    <w:name w:val="heading 4"/>
    <w:basedOn w:val="Normal"/>
    <w:next w:val="Normal"/>
    <w:link w:val="Heading4Char"/>
    <w:unhideWhenUsed/>
    <w:qFormat/>
    <w:rsid w:val="00547A3B"/>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547A3B"/>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47A3B"/>
    <w:pPr>
      <w:keepNext/>
      <w:keepLines/>
      <w:numPr>
        <w:ilvl w:val="5"/>
        <w:numId w:val="21"/>
      </w:numPr>
      <w:tabs>
        <w:tab w:val="num" w:pos="360"/>
      </w:tabs>
      <w:spacing w:before="40"/>
      <w:ind w:left="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47A3B"/>
    <w:pPr>
      <w:keepNext/>
      <w:keepLines/>
      <w:numPr>
        <w:ilvl w:val="6"/>
        <w:numId w:val="21"/>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47A3B"/>
    <w:pPr>
      <w:keepNext/>
      <w:keepLines/>
      <w:numPr>
        <w:ilvl w:val="7"/>
        <w:numId w:val="21"/>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A3B"/>
    <w:pPr>
      <w:keepNext/>
      <w:keepLines/>
      <w:numPr>
        <w:ilvl w:val="8"/>
        <w:numId w:val="21"/>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uiPriority w:val="59"/>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aliases w:val=" Char Char,Char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qFormat/>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paragraph" w:customStyle="1" w:styleId="DirectQuestion">
    <w:name w:val="Direct Question"/>
    <w:next w:val="Normal"/>
    <w:rsid w:val="00421C36"/>
    <w:pPr>
      <w:pBdr>
        <w:top w:val="nil"/>
        <w:left w:val="nil"/>
        <w:bottom w:val="nil"/>
        <w:right w:val="nil"/>
        <w:between w:val="nil"/>
        <w:bar w:val="nil"/>
      </w:pBdr>
      <w:tabs>
        <w:tab w:val="left" w:pos="1440"/>
      </w:tabs>
      <w:spacing w:line="480" w:lineRule="auto"/>
      <w:ind w:left="1440" w:hanging="1440"/>
    </w:pPr>
    <w:rPr>
      <w:rFonts w:eastAsia="Arial Unicode MS" w:hAnsi="Arial Unicode MS" w:cs="Arial Unicode MS"/>
      <w:b/>
      <w:bCs/>
      <w:i/>
      <w:iCs/>
      <w:caps/>
      <w:color w:val="000000"/>
      <w:sz w:val="24"/>
      <w:szCs w:val="24"/>
      <w:u w:color="000000"/>
      <w:bdr w:val="nil"/>
    </w:rPr>
  </w:style>
  <w:style w:type="paragraph" w:customStyle="1" w:styleId="DirectAnswer">
    <w:name w:val="Direct Answer"/>
    <w:next w:val="DirectNext"/>
    <w:rsid w:val="00421C36"/>
    <w:pPr>
      <w:pBdr>
        <w:top w:val="nil"/>
        <w:left w:val="nil"/>
        <w:bottom w:val="nil"/>
        <w:right w:val="nil"/>
        <w:between w:val="nil"/>
        <w:bar w:val="nil"/>
      </w:pBdr>
      <w:spacing w:line="480" w:lineRule="auto"/>
      <w:ind w:left="720" w:hanging="720"/>
    </w:pPr>
    <w:rPr>
      <w:rFonts w:eastAsia="Arial Unicode MS" w:hAnsi="Arial Unicode MS" w:cs="Arial Unicode MS"/>
      <w:color w:val="000000"/>
      <w:sz w:val="24"/>
      <w:szCs w:val="24"/>
      <w:u w:color="000000"/>
      <w:bdr w:val="nil"/>
    </w:rPr>
  </w:style>
  <w:style w:type="paragraph" w:customStyle="1" w:styleId="DirectNext">
    <w:name w:val="Direct Next"/>
    <w:rsid w:val="00421C36"/>
    <w:pPr>
      <w:pBdr>
        <w:top w:val="nil"/>
        <w:left w:val="nil"/>
        <w:bottom w:val="nil"/>
        <w:right w:val="nil"/>
        <w:between w:val="nil"/>
        <w:bar w:val="nil"/>
      </w:pBdr>
      <w:spacing w:line="504" w:lineRule="exact"/>
      <w:ind w:left="720"/>
    </w:pPr>
    <w:rPr>
      <w:rFonts w:eastAsia="Arial Unicode MS" w:hAnsi="Arial Unicode MS" w:cs="Arial Unicode MS"/>
      <w:color w:val="000000"/>
      <w:sz w:val="24"/>
      <w:szCs w:val="24"/>
      <w:u w:color="000000"/>
      <w:bdr w:val="nil"/>
    </w:rPr>
  </w:style>
  <w:style w:type="paragraph" w:customStyle="1" w:styleId="BodyA">
    <w:name w:val="Body A"/>
    <w:rsid w:val="003D0C5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sssh">
    <w:name w:val="ss_sh"/>
    <w:basedOn w:val="DefaultParagraphFont"/>
    <w:rsid w:val="0070618D"/>
  </w:style>
  <w:style w:type="character" w:customStyle="1" w:styleId="Heading4Char">
    <w:name w:val="Heading 4 Char"/>
    <w:basedOn w:val="DefaultParagraphFont"/>
    <w:link w:val="Heading4"/>
    <w:rsid w:val="00547A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rsid w:val="00547A3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547A3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547A3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547A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A3B"/>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rsid w:val="006B5EC6"/>
    <w:rPr>
      <w:sz w:val="24"/>
    </w:rPr>
  </w:style>
  <w:style w:type="paragraph" w:styleId="TOCHeading">
    <w:name w:val="TOC Heading"/>
    <w:basedOn w:val="Heading1"/>
    <w:next w:val="Normal"/>
    <w:uiPriority w:val="39"/>
    <w:unhideWhenUsed/>
    <w:qFormat/>
    <w:rsid w:val="00A85520"/>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character" w:customStyle="1" w:styleId="UnresolvedMention4">
    <w:name w:val="Unresolved Mention4"/>
    <w:basedOn w:val="DefaultParagraphFont"/>
    <w:rsid w:val="0013572E"/>
    <w:rPr>
      <w:color w:val="605E5C"/>
      <w:shd w:val="clear" w:color="auto" w:fill="E1DFDD"/>
    </w:rPr>
  </w:style>
  <w:style w:type="character" w:customStyle="1" w:styleId="Heading3Char">
    <w:name w:val="Heading 3 Char"/>
    <w:basedOn w:val="DefaultParagraphFont"/>
    <w:link w:val="Heading3"/>
    <w:rsid w:val="005B6625"/>
    <w:rPr>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kyle.kern@ohioattorneygeneral.gov" TargetMode="External" /><Relationship Id="rId12" Type="http://schemas.openxmlformats.org/officeDocument/2006/relationships/hyperlink" Target="mailto:jodi.bair@ohioattorneygeneral.gov" TargetMode="External" /><Relationship Id="rId13" Type="http://schemas.openxmlformats.org/officeDocument/2006/relationships/hyperlink" Target="mailto:sarah.parrot@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whitt@whitt-sturtevant.com" TargetMode="External" /><Relationship Id="rId16" Type="http://schemas.openxmlformats.org/officeDocument/2006/relationships/hyperlink" Target="mailto:kennedy@whitt-sturtevant.com" TargetMode="External" /><Relationship Id="rId17" Type="http://schemas.openxmlformats.org/officeDocument/2006/relationships/hyperlink" Target="mailto:fykes@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mpritchard@mcneeslaw.com" TargetMode="External" /><Relationship Id="rId21" Type="http://schemas.openxmlformats.org/officeDocument/2006/relationships/hyperlink" Target="mailto:bmckenney@mcneeslaw.com" TargetMode="External" /><Relationship Id="rId22" Type="http://schemas.openxmlformats.org/officeDocument/2006/relationships/footer" Target="footer4.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2010-9BCA-479D-BF22-D55C201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2021-11-22T22:09:05Z</dcterms:created>
  <dcterms:modified xsi:type="dcterms:W3CDTF">2021-11-22T22:09:05Z</dcterms:modified>
</cp:coreProperties>
</file>