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7F" w:rsidRDefault="008E117F">
      <w:pPr>
        <w:tabs>
          <w:tab w:val="center" w:pos="4680"/>
        </w:tabs>
        <w:suppressAutoHyphens/>
        <w:jc w:val="center"/>
        <w:rPr>
          <w:sz w:val="24"/>
        </w:rPr>
      </w:pPr>
      <w:r>
        <w:rPr>
          <w:sz w:val="24"/>
        </w:rPr>
        <w:t>BEFORE</w:t>
      </w:r>
    </w:p>
    <w:p w:rsidR="008E117F" w:rsidRDefault="008E117F">
      <w:pPr>
        <w:tabs>
          <w:tab w:val="center" w:pos="4680"/>
        </w:tabs>
        <w:suppressAutoHyphens/>
        <w:jc w:val="center"/>
        <w:rPr>
          <w:sz w:val="24"/>
        </w:rPr>
      </w:pPr>
      <w:r>
        <w:rPr>
          <w:sz w:val="24"/>
        </w:rPr>
        <w:t xml:space="preserve">THE PUBLIC UTILITIES COMMISSION OF </w:t>
      </w:r>
      <w:smartTag w:uri="urn:schemas-microsoft-com:office:smarttags" w:element="State">
        <w:smartTag w:uri="urn:schemas-microsoft-com:office:smarttags" w:element="place">
          <w:r>
            <w:rPr>
              <w:sz w:val="24"/>
            </w:rPr>
            <w:t>OHIO</w:t>
          </w:r>
        </w:smartTag>
      </w:smartTag>
    </w:p>
    <w:p w:rsidR="008E117F" w:rsidRDefault="008E117F">
      <w:pPr>
        <w:tabs>
          <w:tab w:val="left" w:pos="-720"/>
        </w:tabs>
        <w:suppressAutoHyphens/>
        <w:rPr>
          <w:sz w:val="24"/>
        </w:rPr>
      </w:pPr>
    </w:p>
    <w:p w:rsidR="008E117F" w:rsidRDefault="008E117F">
      <w:pPr>
        <w:tabs>
          <w:tab w:val="left" w:pos="-720"/>
        </w:tabs>
        <w:suppressAutoHyphens/>
        <w:rPr>
          <w:sz w:val="24"/>
        </w:rPr>
      </w:pPr>
    </w:p>
    <w:p w:rsidR="003B1E49" w:rsidRDefault="006C399F">
      <w:pPr>
        <w:tabs>
          <w:tab w:val="left" w:pos="-720"/>
        </w:tabs>
        <w:suppressAutoHyphens/>
        <w:rPr>
          <w:sz w:val="24"/>
        </w:rPr>
      </w:pPr>
      <w:r>
        <w:rPr>
          <w:sz w:val="24"/>
        </w:rPr>
        <w:t>Mark Drake</w:t>
      </w:r>
      <w:r w:rsidR="00BE246D">
        <w:rPr>
          <w:sz w:val="24"/>
        </w:rPr>
        <w:t>,</w:t>
      </w:r>
      <w:r w:rsidR="003B1E49">
        <w:rPr>
          <w:sz w:val="24"/>
        </w:rPr>
        <w:tab/>
      </w:r>
      <w:r>
        <w:rPr>
          <w:sz w:val="24"/>
        </w:rPr>
        <w:tab/>
      </w:r>
      <w:r>
        <w:rPr>
          <w:sz w:val="24"/>
        </w:rPr>
        <w:tab/>
      </w:r>
      <w:r w:rsidR="003B1E49">
        <w:rPr>
          <w:sz w:val="24"/>
        </w:rPr>
        <w:tab/>
      </w:r>
      <w:r w:rsidR="003B1E49">
        <w:rPr>
          <w:sz w:val="24"/>
        </w:rPr>
        <w:tab/>
      </w:r>
      <w:r w:rsidR="003B1E49">
        <w:rPr>
          <w:sz w:val="24"/>
        </w:rPr>
        <w:tab/>
      </w:r>
      <w:r w:rsidR="003B1E49">
        <w:rPr>
          <w:sz w:val="24"/>
        </w:rPr>
        <w:tab/>
        <w:t>)</w:t>
      </w:r>
    </w:p>
    <w:p w:rsidR="00CB2105" w:rsidRDefault="00CB2105">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w:t>
      </w:r>
    </w:p>
    <w:p w:rsidR="008E117F" w:rsidRDefault="008E117F">
      <w:pPr>
        <w:tabs>
          <w:tab w:val="left" w:pos="-720"/>
        </w:tabs>
        <w:suppressAutoHyphens/>
        <w:rPr>
          <w:sz w:val="24"/>
        </w:rPr>
      </w:pPr>
      <w:r>
        <w:rPr>
          <w:sz w:val="24"/>
        </w:rPr>
        <w:tab/>
      </w:r>
      <w:r>
        <w:rPr>
          <w:sz w:val="24"/>
        </w:rPr>
        <w:tab/>
      </w:r>
      <w:r>
        <w:rPr>
          <w:sz w:val="24"/>
        </w:rPr>
        <w:tab/>
        <w:t>Complainant,</w:t>
      </w:r>
      <w:r>
        <w:rPr>
          <w:sz w:val="24"/>
        </w:rPr>
        <w:tab/>
      </w:r>
      <w:r>
        <w:rPr>
          <w:sz w:val="24"/>
        </w:rPr>
        <w:tab/>
      </w:r>
      <w:r>
        <w:rPr>
          <w:sz w:val="24"/>
        </w:rPr>
        <w:tab/>
      </w:r>
      <w:r w:rsidR="00A3758C">
        <w:rPr>
          <w:sz w:val="24"/>
        </w:rPr>
        <w:tab/>
      </w:r>
      <w:r>
        <w:rPr>
          <w:sz w:val="24"/>
        </w:rPr>
        <w:t>)</w:t>
      </w: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sidR="00A3758C">
        <w:rPr>
          <w:sz w:val="24"/>
        </w:rPr>
        <w:tab/>
      </w:r>
      <w:r>
        <w:rPr>
          <w:sz w:val="24"/>
        </w:rPr>
        <w:t>)</w:t>
      </w:r>
    </w:p>
    <w:p w:rsidR="008E117F" w:rsidRDefault="008E117F">
      <w:pPr>
        <w:tabs>
          <w:tab w:val="left" w:pos="-720"/>
        </w:tabs>
        <w:suppressAutoHyphens/>
        <w:rPr>
          <w:sz w:val="24"/>
        </w:rPr>
      </w:pPr>
      <w:r>
        <w:rPr>
          <w:sz w:val="24"/>
        </w:rPr>
        <w:tab/>
      </w:r>
      <w:r>
        <w:rPr>
          <w:sz w:val="24"/>
        </w:rPr>
        <w:tab/>
        <w:t xml:space="preserve">   v.</w:t>
      </w:r>
      <w:r>
        <w:rPr>
          <w:sz w:val="24"/>
        </w:rPr>
        <w:tab/>
      </w:r>
      <w:r>
        <w:rPr>
          <w:sz w:val="24"/>
        </w:rPr>
        <w:tab/>
      </w:r>
      <w:r>
        <w:rPr>
          <w:sz w:val="24"/>
        </w:rPr>
        <w:tab/>
      </w:r>
      <w:r>
        <w:rPr>
          <w:sz w:val="24"/>
        </w:rPr>
        <w:tab/>
      </w:r>
      <w:r>
        <w:rPr>
          <w:sz w:val="24"/>
        </w:rPr>
        <w:tab/>
      </w:r>
      <w:r w:rsidR="00A3758C">
        <w:rPr>
          <w:sz w:val="24"/>
        </w:rPr>
        <w:tab/>
      </w:r>
      <w:r>
        <w:rPr>
          <w:sz w:val="24"/>
        </w:rPr>
        <w:t>)</w:t>
      </w:r>
      <w:r>
        <w:rPr>
          <w:sz w:val="24"/>
        </w:rPr>
        <w:tab/>
        <w:t xml:space="preserve">Case No. </w:t>
      </w:r>
      <w:r w:rsidR="006C399F">
        <w:rPr>
          <w:sz w:val="24"/>
        </w:rPr>
        <w:t>10</w:t>
      </w:r>
      <w:r>
        <w:rPr>
          <w:sz w:val="24"/>
        </w:rPr>
        <w:t>-</w:t>
      </w:r>
      <w:r w:rsidR="006C399F">
        <w:rPr>
          <w:sz w:val="24"/>
        </w:rPr>
        <w:t>411</w:t>
      </w:r>
      <w:r>
        <w:rPr>
          <w:sz w:val="24"/>
        </w:rPr>
        <w:t>-TP-CSS</w:t>
      </w: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sidR="00A3758C">
        <w:rPr>
          <w:sz w:val="24"/>
        </w:rPr>
        <w:tab/>
        <w:t>)</w:t>
      </w:r>
    </w:p>
    <w:p w:rsidR="008E117F" w:rsidRDefault="009F2AC9">
      <w:pPr>
        <w:tabs>
          <w:tab w:val="left" w:pos="-720"/>
        </w:tabs>
        <w:suppressAutoHyphens/>
        <w:rPr>
          <w:sz w:val="24"/>
        </w:rPr>
      </w:pPr>
      <w:r>
        <w:rPr>
          <w:sz w:val="24"/>
        </w:rPr>
        <w:t>AT&amp;T</w:t>
      </w:r>
      <w:r w:rsidR="00034B70">
        <w:rPr>
          <w:sz w:val="24"/>
        </w:rPr>
        <w:t xml:space="preserve"> </w:t>
      </w:r>
      <w:r w:rsidR="00524ECD">
        <w:rPr>
          <w:sz w:val="24"/>
        </w:rPr>
        <w:t>Ohio</w:t>
      </w:r>
      <w:r w:rsidR="008E117F">
        <w:rPr>
          <w:sz w:val="24"/>
        </w:rPr>
        <w:t>,</w:t>
      </w:r>
      <w:r w:rsidR="009373E2">
        <w:rPr>
          <w:sz w:val="24"/>
        </w:rPr>
        <w:tab/>
      </w:r>
      <w:r w:rsidR="008E117F">
        <w:rPr>
          <w:sz w:val="24"/>
        </w:rPr>
        <w:tab/>
      </w:r>
      <w:r w:rsidR="000A3BCB">
        <w:rPr>
          <w:sz w:val="24"/>
        </w:rPr>
        <w:tab/>
      </w:r>
      <w:r w:rsidR="000A3BCB">
        <w:rPr>
          <w:sz w:val="24"/>
        </w:rPr>
        <w:tab/>
      </w:r>
      <w:r w:rsidR="008E117F">
        <w:rPr>
          <w:sz w:val="24"/>
        </w:rPr>
        <w:tab/>
      </w:r>
      <w:r w:rsidR="00A3758C">
        <w:rPr>
          <w:sz w:val="24"/>
        </w:rPr>
        <w:tab/>
      </w:r>
      <w:r w:rsidR="00034B70">
        <w:rPr>
          <w:sz w:val="24"/>
        </w:rPr>
        <w:tab/>
      </w:r>
      <w:r w:rsidR="008E117F">
        <w:rPr>
          <w:sz w:val="24"/>
        </w:rPr>
        <w:t>)</w:t>
      </w: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sidR="00A3758C">
        <w:rPr>
          <w:sz w:val="24"/>
        </w:rPr>
        <w:tab/>
      </w:r>
      <w:r>
        <w:rPr>
          <w:sz w:val="24"/>
        </w:rPr>
        <w:t>)</w:t>
      </w:r>
    </w:p>
    <w:p w:rsidR="008E117F" w:rsidRDefault="008E117F">
      <w:pPr>
        <w:tabs>
          <w:tab w:val="left" w:pos="-720"/>
        </w:tabs>
        <w:suppressAutoHyphens/>
        <w:rPr>
          <w:sz w:val="24"/>
        </w:rPr>
      </w:pPr>
      <w:r>
        <w:rPr>
          <w:sz w:val="24"/>
        </w:rPr>
        <w:tab/>
      </w:r>
      <w:r>
        <w:rPr>
          <w:sz w:val="24"/>
        </w:rPr>
        <w:tab/>
      </w:r>
      <w:r>
        <w:rPr>
          <w:sz w:val="24"/>
        </w:rPr>
        <w:tab/>
        <w:t>Respondent.</w:t>
      </w:r>
      <w:r>
        <w:rPr>
          <w:sz w:val="24"/>
        </w:rPr>
        <w:tab/>
      </w:r>
      <w:r>
        <w:rPr>
          <w:sz w:val="24"/>
        </w:rPr>
        <w:tab/>
      </w:r>
      <w:r>
        <w:rPr>
          <w:sz w:val="24"/>
        </w:rPr>
        <w:tab/>
      </w:r>
      <w:r w:rsidR="00A3758C">
        <w:rPr>
          <w:sz w:val="24"/>
        </w:rPr>
        <w:tab/>
      </w:r>
      <w:r>
        <w:rPr>
          <w:sz w:val="24"/>
        </w:rPr>
        <w:t>)</w:t>
      </w:r>
    </w:p>
    <w:p w:rsidR="008E117F" w:rsidRDefault="008E117F">
      <w:pPr>
        <w:tabs>
          <w:tab w:val="left" w:pos="-720"/>
        </w:tabs>
        <w:suppressAutoHyphens/>
        <w:rPr>
          <w:sz w:val="24"/>
        </w:rPr>
      </w:pPr>
    </w:p>
    <w:p w:rsidR="008E117F" w:rsidRDefault="008E117F">
      <w:pPr>
        <w:tabs>
          <w:tab w:val="left" w:pos="-720"/>
        </w:tabs>
        <w:suppressAutoHyphens/>
        <w:rPr>
          <w:sz w:val="24"/>
        </w:rPr>
      </w:pPr>
      <w:r>
        <w:rPr>
          <w:sz w:val="24"/>
        </w:rPr>
        <w:t>______________________________________________________________________________</w:t>
      </w:r>
    </w:p>
    <w:p w:rsidR="008E117F" w:rsidRDefault="008E117F">
      <w:pPr>
        <w:tabs>
          <w:tab w:val="left" w:pos="-720"/>
        </w:tabs>
        <w:suppressAutoHyphens/>
        <w:rPr>
          <w:sz w:val="24"/>
        </w:rPr>
      </w:pPr>
    </w:p>
    <w:p w:rsidR="003B1E49" w:rsidRDefault="00B87903" w:rsidP="003B1E49">
      <w:pPr>
        <w:tabs>
          <w:tab w:val="center" w:pos="4680"/>
        </w:tabs>
        <w:suppressAutoHyphens/>
        <w:jc w:val="center"/>
        <w:rPr>
          <w:sz w:val="24"/>
        </w:rPr>
      </w:pPr>
      <w:r>
        <w:rPr>
          <w:sz w:val="24"/>
        </w:rPr>
        <w:t xml:space="preserve">AT&amp;T OHIO'S </w:t>
      </w:r>
      <w:r w:rsidR="00BA2855">
        <w:rPr>
          <w:sz w:val="24"/>
        </w:rPr>
        <w:t>MOTION TO DISMISS</w:t>
      </w:r>
    </w:p>
    <w:p w:rsidR="008E117F" w:rsidRDefault="008E117F" w:rsidP="003B1E49">
      <w:pPr>
        <w:tabs>
          <w:tab w:val="center" w:pos="4680"/>
        </w:tabs>
        <w:suppressAutoHyphens/>
        <w:jc w:val="center"/>
        <w:rPr>
          <w:sz w:val="24"/>
        </w:rPr>
      </w:pPr>
      <w:r>
        <w:rPr>
          <w:sz w:val="24"/>
        </w:rPr>
        <w:t>______________________________________________________________________________</w:t>
      </w:r>
    </w:p>
    <w:p w:rsidR="008E117F" w:rsidRDefault="008E117F">
      <w:pPr>
        <w:tabs>
          <w:tab w:val="left" w:pos="-720"/>
        </w:tabs>
        <w:suppressAutoHyphens/>
        <w:spacing w:line="480" w:lineRule="auto"/>
        <w:rPr>
          <w:sz w:val="24"/>
        </w:rPr>
      </w:pPr>
    </w:p>
    <w:p w:rsidR="008E117F" w:rsidRDefault="00BA2855" w:rsidP="00BA2855">
      <w:pPr>
        <w:tabs>
          <w:tab w:val="left" w:pos="-720"/>
        </w:tabs>
        <w:suppressAutoHyphens/>
        <w:spacing w:line="480" w:lineRule="auto"/>
        <w:rPr>
          <w:sz w:val="24"/>
        </w:rPr>
      </w:pPr>
      <w:r w:rsidRPr="00BA2855">
        <w:rPr>
          <w:sz w:val="24"/>
        </w:rPr>
        <w:tab/>
      </w:r>
      <w:r w:rsidRPr="00BA2855">
        <w:rPr>
          <w:sz w:val="24"/>
        </w:rPr>
        <w:tab/>
        <w:t xml:space="preserve">AT&amp;T Ohio, Respondent herein, pursuant to Ohio Admin. Code §4901-1-12, moves to dismiss the Complaint to the extent it seeks relief </w:t>
      </w:r>
      <w:r w:rsidR="006C399F">
        <w:rPr>
          <w:sz w:val="24"/>
        </w:rPr>
        <w:t xml:space="preserve">concerning digital subscriber line ("DSL") provisioning or billing </w:t>
      </w:r>
      <w:r w:rsidRPr="00BA2855">
        <w:rPr>
          <w:sz w:val="24"/>
        </w:rPr>
        <w:t>because those are matters over which the Commission lacks subject matter jurisdiction.  A memorandum in support of this motion is attached.</w:t>
      </w:r>
    </w:p>
    <w:p w:rsidR="00BA2855" w:rsidRDefault="00BA2855">
      <w:pPr>
        <w:tabs>
          <w:tab w:val="left" w:pos="-720"/>
        </w:tabs>
        <w:suppressAutoHyphens/>
        <w:rPr>
          <w:sz w:val="24"/>
        </w:rPr>
      </w:pP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sidR="009373E2">
        <w:rPr>
          <w:sz w:val="24"/>
        </w:rPr>
        <w:t>AT&amp;T Ohio</w:t>
      </w:r>
    </w:p>
    <w:p w:rsidR="008E117F" w:rsidRDefault="008E117F">
      <w:pPr>
        <w:tabs>
          <w:tab w:val="left" w:pos="-720"/>
        </w:tabs>
        <w:suppressAutoHyphens/>
        <w:rPr>
          <w:sz w:val="24"/>
        </w:rPr>
      </w:pPr>
    </w:p>
    <w:p w:rsidR="008E117F" w:rsidRDefault="008E117F">
      <w:pPr>
        <w:tabs>
          <w:tab w:val="left" w:pos="-720"/>
        </w:tabs>
        <w:suppressAutoHyphens/>
        <w:rPr>
          <w:sz w:val="24"/>
        </w:rPr>
      </w:pPr>
    </w:p>
    <w:p w:rsidR="008E117F" w:rsidRDefault="008E117F">
      <w:pPr>
        <w:tabs>
          <w:tab w:val="left" w:pos="-720"/>
        </w:tabs>
        <w:suppressAutoHyphens/>
        <w:rPr>
          <w:sz w:val="24"/>
        </w:rPr>
      </w:pP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t>By:</w:t>
      </w:r>
      <w:r>
        <w:rPr>
          <w:sz w:val="24"/>
        </w:rPr>
        <w:tab/>
        <w:t>_______</w:t>
      </w:r>
      <w:r w:rsidR="00F0292E">
        <w:rPr>
          <w:sz w:val="24"/>
          <w:u w:val="single"/>
        </w:rPr>
        <w:t>/s/ Jon F. Kelly__</w:t>
      </w:r>
      <w:r>
        <w:rPr>
          <w:sz w:val="24"/>
        </w:rPr>
        <w:t>____________</w:t>
      </w: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Jon F. Kelly</w:t>
      </w: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sidR="000870D1">
        <w:rPr>
          <w:sz w:val="24"/>
        </w:rPr>
        <w:t>AT&amp;T</w:t>
      </w:r>
      <w:r w:rsidR="0065598C">
        <w:rPr>
          <w:sz w:val="24"/>
        </w:rPr>
        <w:t xml:space="preserve"> Services, Inc.</w:t>
      </w: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smartTag w:uri="urn:schemas-microsoft-com:office:smarttags" w:element="Street">
        <w:smartTag w:uri="urn:schemas-microsoft-com:office:smarttags" w:element="address">
          <w:r>
            <w:rPr>
              <w:sz w:val="24"/>
            </w:rPr>
            <w:t>150 E. Gay St.</w:t>
          </w:r>
        </w:smartTag>
      </w:smartTag>
      <w:r>
        <w:rPr>
          <w:sz w:val="24"/>
        </w:rPr>
        <w:t>, Room 4-A</w:t>
      </w: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smartTag w:uri="urn:schemas-microsoft-com:office:smarttags" w:element="place">
        <w:smartTag w:uri="urn:schemas-microsoft-com:office:smarttags" w:element="City">
          <w:r>
            <w:rPr>
              <w:sz w:val="24"/>
            </w:rPr>
            <w:t>Columbus</w:t>
          </w:r>
        </w:smartTag>
        <w:r>
          <w:rPr>
            <w:sz w:val="24"/>
          </w:rPr>
          <w:t xml:space="preserve">, </w:t>
        </w:r>
        <w:smartTag w:uri="urn:schemas-microsoft-com:office:smarttags" w:element="State">
          <w:r>
            <w:rPr>
              <w:sz w:val="24"/>
            </w:rPr>
            <w:t>Ohio</w:t>
          </w:r>
        </w:smartTag>
        <w:r>
          <w:rPr>
            <w:sz w:val="24"/>
          </w:rPr>
          <w:t xml:space="preserve"> </w:t>
        </w:r>
        <w:smartTag w:uri="urn:schemas-microsoft-com:office:smarttags" w:element="PostalCode">
          <w:r>
            <w:rPr>
              <w:sz w:val="24"/>
            </w:rPr>
            <w:t>43215</w:t>
          </w:r>
        </w:smartTag>
      </w:smartTag>
    </w:p>
    <w:p w:rsidR="008E117F" w:rsidRDefault="008E117F">
      <w:pPr>
        <w:tabs>
          <w:tab w:val="left" w:pos="-720"/>
        </w:tabs>
        <w:suppressAutoHyphens/>
        <w:rPr>
          <w:sz w:val="24"/>
        </w:rPr>
      </w:pP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(614) 223-7928</w:t>
      </w:r>
    </w:p>
    <w:p w:rsidR="008E117F" w:rsidRDefault="008E117F">
      <w:pPr>
        <w:tabs>
          <w:tab w:val="left" w:pos="-720"/>
        </w:tabs>
        <w:suppressAutoHyphens/>
        <w:rPr>
          <w:sz w:val="24"/>
        </w:rPr>
      </w:pP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sidR="00034B70">
        <w:rPr>
          <w:sz w:val="24"/>
        </w:rPr>
        <w:t>Its</w:t>
      </w:r>
      <w:r>
        <w:rPr>
          <w:sz w:val="24"/>
        </w:rPr>
        <w:t xml:space="preserve"> Attorney</w:t>
      </w:r>
    </w:p>
    <w:p w:rsidR="000870D1" w:rsidRDefault="000870D1">
      <w:pPr>
        <w:tabs>
          <w:tab w:val="left" w:pos="-720"/>
        </w:tabs>
        <w:suppressAutoHyphens/>
        <w:rPr>
          <w:sz w:val="24"/>
        </w:rPr>
      </w:pPr>
    </w:p>
    <w:p w:rsidR="00BA2855" w:rsidRDefault="006C399F" w:rsidP="00372907">
      <w:pPr>
        <w:tabs>
          <w:tab w:val="left" w:pos="-720"/>
        </w:tabs>
        <w:suppressAutoHyphens/>
        <w:rPr>
          <w:sz w:val="16"/>
          <w:szCs w:val="16"/>
        </w:rPr>
      </w:pPr>
      <w:r>
        <w:rPr>
          <w:sz w:val="16"/>
          <w:szCs w:val="16"/>
        </w:rPr>
        <w:t>10</w:t>
      </w:r>
      <w:r w:rsidR="007A4630">
        <w:rPr>
          <w:sz w:val="16"/>
          <w:szCs w:val="16"/>
        </w:rPr>
        <w:t>-</w:t>
      </w:r>
      <w:r>
        <w:rPr>
          <w:sz w:val="16"/>
          <w:szCs w:val="16"/>
        </w:rPr>
        <w:t>411</w:t>
      </w:r>
      <w:r w:rsidR="000870D1">
        <w:rPr>
          <w:sz w:val="16"/>
          <w:szCs w:val="16"/>
        </w:rPr>
        <w:t>.</w:t>
      </w:r>
      <w:r w:rsidR="00BA2855">
        <w:rPr>
          <w:sz w:val="16"/>
          <w:szCs w:val="16"/>
        </w:rPr>
        <w:t>motion to dismiss</w:t>
      </w:r>
    </w:p>
    <w:p w:rsidR="00B4299D" w:rsidRDefault="00B4299D" w:rsidP="00372907">
      <w:pPr>
        <w:tabs>
          <w:tab w:val="left" w:pos="-720"/>
        </w:tabs>
        <w:suppressAutoHyphens/>
        <w:rPr>
          <w:sz w:val="16"/>
          <w:szCs w:val="16"/>
        </w:rPr>
      </w:pPr>
    </w:p>
    <w:p w:rsidR="00B4299D" w:rsidRDefault="00B4299D" w:rsidP="00372907">
      <w:pPr>
        <w:tabs>
          <w:tab w:val="left" w:pos="-720"/>
        </w:tabs>
        <w:suppressAutoHyphens/>
        <w:rPr>
          <w:sz w:val="16"/>
          <w:szCs w:val="16"/>
        </w:rPr>
      </w:pPr>
    </w:p>
    <w:p w:rsidR="006C399F" w:rsidRDefault="006C399F" w:rsidP="00372907">
      <w:pPr>
        <w:tabs>
          <w:tab w:val="left" w:pos="-720"/>
        </w:tabs>
        <w:suppressAutoHyphens/>
        <w:rPr>
          <w:sz w:val="16"/>
          <w:szCs w:val="16"/>
        </w:rPr>
      </w:pPr>
    </w:p>
    <w:p w:rsidR="006C399F" w:rsidRDefault="006C399F" w:rsidP="00372907">
      <w:pPr>
        <w:tabs>
          <w:tab w:val="left" w:pos="-720"/>
        </w:tabs>
        <w:suppressAutoHyphens/>
        <w:rPr>
          <w:sz w:val="16"/>
          <w:szCs w:val="16"/>
        </w:rPr>
      </w:pPr>
    </w:p>
    <w:p w:rsidR="00BA2855" w:rsidRDefault="00BA2855" w:rsidP="00BA2855">
      <w:pPr>
        <w:rPr>
          <w:sz w:val="24"/>
          <w:szCs w:val="24"/>
        </w:rPr>
      </w:pPr>
      <w:r>
        <w:rPr>
          <w:sz w:val="24"/>
          <w:szCs w:val="24"/>
        </w:rPr>
        <w:lastRenderedPageBreak/>
        <w:t>______________________________________________________________________________</w:t>
      </w:r>
    </w:p>
    <w:p w:rsidR="00BA2855" w:rsidRDefault="00BA2855" w:rsidP="00BA2855">
      <w:pPr>
        <w:rPr>
          <w:sz w:val="24"/>
          <w:szCs w:val="24"/>
        </w:rPr>
      </w:pPr>
    </w:p>
    <w:p w:rsidR="00BA2855" w:rsidRDefault="00BA2855" w:rsidP="00BA2855">
      <w:pPr>
        <w:jc w:val="center"/>
        <w:rPr>
          <w:sz w:val="24"/>
          <w:szCs w:val="24"/>
        </w:rPr>
      </w:pPr>
      <w:r>
        <w:rPr>
          <w:sz w:val="24"/>
          <w:szCs w:val="24"/>
        </w:rPr>
        <w:t>MEMORANDUM IN SUPPORT OF</w:t>
      </w:r>
    </w:p>
    <w:p w:rsidR="00BA2855" w:rsidRDefault="00BA2855" w:rsidP="00BA2855">
      <w:pPr>
        <w:jc w:val="center"/>
        <w:rPr>
          <w:sz w:val="24"/>
          <w:szCs w:val="24"/>
        </w:rPr>
      </w:pPr>
      <w:r>
        <w:rPr>
          <w:sz w:val="24"/>
          <w:szCs w:val="24"/>
        </w:rPr>
        <w:t>MOTION TO DISMISS</w:t>
      </w:r>
    </w:p>
    <w:p w:rsidR="00BA2855" w:rsidRDefault="00BA2855" w:rsidP="00BA2855">
      <w:pPr>
        <w:jc w:val="center"/>
        <w:rPr>
          <w:sz w:val="24"/>
          <w:szCs w:val="24"/>
        </w:rPr>
      </w:pPr>
      <w:r>
        <w:rPr>
          <w:sz w:val="24"/>
          <w:szCs w:val="24"/>
        </w:rPr>
        <w:t>______________________________________________________________________________</w:t>
      </w:r>
    </w:p>
    <w:p w:rsidR="00BA2855" w:rsidRPr="00E80855" w:rsidRDefault="00BA2855" w:rsidP="00BA2855">
      <w:pPr>
        <w:rPr>
          <w:sz w:val="24"/>
          <w:szCs w:val="24"/>
        </w:rPr>
      </w:pPr>
    </w:p>
    <w:p w:rsidR="006C399F" w:rsidRDefault="00BA2855" w:rsidP="00BA2855">
      <w:pPr>
        <w:spacing w:line="480" w:lineRule="auto"/>
        <w:rPr>
          <w:sz w:val="24"/>
          <w:szCs w:val="24"/>
        </w:rPr>
      </w:pPr>
      <w:r>
        <w:rPr>
          <w:sz w:val="24"/>
          <w:szCs w:val="24"/>
        </w:rPr>
        <w:tab/>
      </w:r>
      <w:r>
        <w:rPr>
          <w:sz w:val="24"/>
          <w:szCs w:val="24"/>
        </w:rPr>
        <w:tab/>
      </w:r>
      <w:r w:rsidR="005952DB">
        <w:rPr>
          <w:sz w:val="24"/>
          <w:szCs w:val="24"/>
        </w:rPr>
        <w:t xml:space="preserve">Based on the informal complaint which preceded it, </w:t>
      </w:r>
      <w:r w:rsidR="00147DBD">
        <w:rPr>
          <w:sz w:val="24"/>
          <w:szCs w:val="24"/>
        </w:rPr>
        <w:t xml:space="preserve">as reflected in the attachment, </w:t>
      </w:r>
      <w:r w:rsidR="005952DB">
        <w:rPr>
          <w:sz w:val="24"/>
          <w:szCs w:val="24"/>
        </w:rPr>
        <w:t>b</w:t>
      </w:r>
      <w:r w:rsidRPr="00E80855">
        <w:rPr>
          <w:sz w:val="24"/>
          <w:szCs w:val="24"/>
        </w:rPr>
        <w:t xml:space="preserve">y this Complaint, Complainant seeks to have the Commission exercise jurisdiction over </w:t>
      </w:r>
      <w:r w:rsidR="006C399F">
        <w:rPr>
          <w:sz w:val="24"/>
          <w:szCs w:val="24"/>
        </w:rPr>
        <w:t>digital subscriber line ("DSL") service and billing, matters over which both this Commission and the Federal Communications Commission ("FCC") have held are subject to the FCC's exclusive jurisdiction because DSL has been found to be an interstate information service.</w:t>
      </w:r>
      <w:r w:rsidR="00147DBD">
        <w:rPr>
          <w:sz w:val="24"/>
          <w:szCs w:val="24"/>
        </w:rPr>
        <w:t xml:space="preserve">  </w:t>
      </w:r>
      <w:r w:rsidR="006C399F">
        <w:rPr>
          <w:sz w:val="24"/>
          <w:szCs w:val="24"/>
        </w:rPr>
        <w:t>Those precedents require that this complaint be dismissed and that Complainant must, if he seeks to pursue relief, do so at the FCC.</w:t>
      </w:r>
    </w:p>
    <w:p w:rsidR="006C399F" w:rsidRDefault="006C399F" w:rsidP="00BA2855">
      <w:pPr>
        <w:spacing w:line="480" w:lineRule="auto"/>
        <w:rPr>
          <w:sz w:val="24"/>
          <w:szCs w:val="24"/>
        </w:rPr>
      </w:pPr>
    </w:p>
    <w:p w:rsidR="00BA2855" w:rsidRDefault="006C399F" w:rsidP="00BA2855">
      <w:pPr>
        <w:spacing w:line="480" w:lineRule="auto"/>
        <w:rPr>
          <w:sz w:val="24"/>
          <w:szCs w:val="24"/>
        </w:rPr>
      </w:pPr>
      <w:r>
        <w:rPr>
          <w:sz w:val="24"/>
          <w:szCs w:val="24"/>
        </w:rPr>
        <w:tab/>
      </w:r>
      <w:r>
        <w:rPr>
          <w:sz w:val="24"/>
          <w:szCs w:val="24"/>
        </w:rPr>
        <w:tab/>
        <w:t>Since 2005, the FCC has consistently ruled that DSL is an interstate information service that is not subject to state commission jurisdiction.  It has stated as follows:</w:t>
      </w:r>
    </w:p>
    <w:p w:rsidR="006C399F" w:rsidRDefault="006C399F" w:rsidP="006C399F">
      <w:pPr>
        <w:ind w:left="720"/>
        <w:rPr>
          <w:sz w:val="24"/>
          <w:szCs w:val="24"/>
        </w:rPr>
      </w:pPr>
      <w:r w:rsidRPr="006C399F">
        <w:rPr>
          <w:sz w:val="24"/>
          <w:szCs w:val="24"/>
        </w:rPr>
        <w:t>First, we find that we have subject matter jurisdiction over providers of broadband Internet access services.  These services are unquestionably “wire communication” as defined in section 3(52) because they transmit signals by wire or cable, or they are “radio communication” as defined in section 3(33) if they transmit signals by radio.  The Act gives the Commission subject matter jurisdiction over “all interstate and foreign communications by wire or radio . . . and . . . all persons engaged within the United States in such communication” in section 2(a).  Second, with regard to consumer protection obligations, we find that regulations would be “reasonably ancillary” to the Commission’s responsibility to implement sections 222 (customer privacy), 255 (disability access), and 258 (slamming and truth-in-billing), among other provisions, of the Act.  Similarly, network reliability, emergency preparedness, national security, and law enforcement requirements would each be reasonably ancillary to the Commission’s obligation to make available “a rapid, efficient, Nation-wide, and world-wide wire and radio communication service . . . for the purpose of the national defense [and] for the purpose of promoting safety of life and property through the use of wire and radio communication.”</w:t>
      </w:r>
    </w:p>
    <w:p w:rsidR="006C399F" w:rsidRDefault="006C399F" w:rsidP="006C399F">
      <w:pPr>
        <w:ind w:left="720"/>
        <w:rPr>
          <w:sz w:val="24"/>
          <w:szCs w:val="24"/>
        </w:rPr>
      </w:pPr>
    </w:p>
    <w:p w:rsidR="006C399F" w:rsidRDefault="006C399F" w:rsidP="006B4C0B">
      <w:pPr>
        <w:autoSpaceDE w:val="0"/>
        <w:autoSpaceDN w:val="0"/>
        <w:adjustRightInd w:val="0"/>
        <w:spacing w:line="480" w:lineRule="auto"/>
        <w:rPr>
          <w:sz w:val="24"/>
          <w:szCs w:val="24"/>
        </w:rPr>
      </w:pPr>
      <w:r w:rsidRPr="00147DBD">
        <w:rPr>
          <w:i/>
          <w:sz w:val="24"/>
          <w:szCs w:val="24"/>
        </w:rPr>
        <w:lastRenderedPageBreak/>
        <w:t>In the Matter of Appropriate Framework for Broadband Access to the Internet over Wireline Facilities, Report and Order and Notice of Proposed Rulemaking</w:t>
      </w:r>
      <w:r w:rsidRPr="006C399F">
        <w:rPr>
          <w:sz w:val="24"/>
          <w:szCs w:val="24"/>
        </w:rPr>
        <w:t>, FCC 05-150, Released September 23, 2005</w:t>
      </w:r>
      <w:r>
        <w:rPr>
          <w:sz w:val="24"/>
          <w:szCs w:val="24"/>
        </w:rPr>
        <w:t xml:space="preserve">, para. 110 (available at </w:t>
      </w:r>
      <w:hyperlink r:id="rId7" w:history="1">
        <w:r>
          <w:rPr>
            <w:rFonts w:ascii="Arial" w:hAnsi="Arial" w:cs="Arial"/>
            <w:color w:val="0000FF"/>
            <w:u w:val="single"/>
          </w:rPr>
          <w:t>http://hraunfoss.fcc.gov/edocs_public/attachmatch/FCC-05-150A1.pdf</w:t>
        </w:r>
      </w:hyperlink>
      <w:r>
        <w:rPr>
          <w:sz w:val="24"/>
          <w:szCs w:val="24"/>
        </w:rPr>
        <w:t>).</w:t>
      </w:r>
      <w:r w:rsidR="006B4C0B">
        <w:rPr>
          <w:sz w:val="24"/>
          <w:szCs w:val="24"/>
        </w:rPr>
        <w:t xml:space="preserve">  At footnote 333 of the same order, the FCC stated:</w:t>
      </w:r>
    </w:p>
    <w:p w:rsidR="006B4C0B" w:rsidRDefault="006B4C0B" w:rsidP="006B4C0B">
      <w:pPr>
        <w:ind w:left="720"/>
        <w:rPr>
          <w:sz w:val="24"/>
          <w:szCs w:val="24"/>
        </w:rPr>
      </w:pPr>
      <w:r w:rsidRPr="006B4C0B">
        <w:rPr>
          <w:sz w:val="24"/>
          <w:szCs w:val="24"/>
        </w:rPr>
        <w:t>Similarly, in its GTE DSL Order, the Commission found that GTE’s asynchronous DSL (ADSL) service offering was interstate and appropriately tariffed with the Commission.  GTE Telephone Operating Cos. GTOC Tariff No. 1, GTOC Transmittal No. 1148, 13 FCC Rcd 22466, para. 1 (1998) (GTE DSL Order), recon., 17 FCC Rcd 27409 (1999) (GTE DSL Reconsideration Order).</w:t>
      </w:r>
    </w:p>
    <w:p w:rsidR="006B4C0B" w:rsidRPr="006B4C0B" w:rsidRDefault="006B4C0B" w:rsidP="006B4C0B">
      <w:pPr>
        <w:ind w:left="720"/>
        <w:rPr>
          <w:sz w:val="24"/>
          <w:szCs w:val="24"/>
        </w:rPr>
      </w:pPr>
    </w:p>
    <w:p w:rsidR="006B4C0B" w:rsidRPr="006B4C0B" w:rsidRDefault="006B4C0B" w:rsidP="006B4C0B">
      <w:pPr>
        <w:autoSpaceDE w:val="0"/>
        <w:autoSpaceDN w:val="0"/>
        <w:adjustRightInd w:val="0"/>
        <w:spacing w:line="480" w:lineRule="auto"/>
        <w:rPr>
          <w:sz w:val="24"/>
          <w:szCs w:val="24"/>
        </w:rPr>
      </w:pPr>
      <w:r w:rsidRPr="00147DBD">
        <w:rPr>
          <w:sz w:val="24"/>
          <w:szCs w:val="24"/>
          <w:u w:val="single"/>
        </w:rPr>
        <w:t>Id</w:t>
      </w:r>
      <w:r>
        <w:rPr>
          <w:sz w:val="24"/>
          <w:szCs w:val="24"/>
        </w:rPr>
        <w:t>., footnote 333.</w:t>
      </w:r>
    </w:p>
    <w:p w:rsidR="006C399F" w:rsidRDefault="006C399F" w:rsidP="00BA2855">
      <w:pPr>
        <w:spacing w:line="480" w:lineRule="auto"/>
        <w:rPr>
          <w:sz w:val="24"/>
          <w:szCs w:val="24"/>
        </w:rPr>
      </w:pPr>
    </w:p>
    <w:p w:rsidR="004F073F" w:rsidRDefault="006B4C0B" w:rsidP="004F073F">
      <w:pPr>
        <w:spacing w:line="480" w:lineRule="auto"/>
        <w:rPr>
          <w:sz w:val="24"/>
          <w:szCs w:val="24"/>
        </w:rPr>
      </w:pPr>
      <w:r>
        <w:rPr>
          <w:sz w:val="24"/>
          <w:szCs w:val="24"/>
        </w:rPr>
        <w:tab/>
      </w:r>
      <w:r>
        <w:rPr>
          <w:sz w:val="24"/>
          <w:szCs w:val="24"/>
        </w:rPr>
        <w:tab/>
        <w:t>This Commission has</w:t>
      </w:r>
      <w:r w:rsidR="00310DFE">
        <w:rPr>
          <w:sz w:val="24"/>
          <w:szCs w:val="24"/>
        </w:rPr>
        <w:t>, consistently and on numerous occasions,</w:t>
      </w:r>
      <w:r>
        <w:rPr>
          <w:sz w:val="24"/>
          <w:szCs w:val="24"/>
        </w:rPr>
        <w:t xml:space="preserve"> adopted and followed the guidance provided by the FCC.</w:t>
      </w:r>
      <w:r w:rsidR="007D4180">
        <w:rPr>
          <w:sz w:val="24"/>
          <w:szCs w:val="24"/>
        </w:rPr>
        <w:t xml:space="preserve">  </w:t>
      </w:r>
      <w:r w:rsidR="004F073F">
        <w:rPr>
          <w:sz w:val="24"/>
          <w:szCs w:val="24"/>
        </w:rPr>
        <w:t>In</w:t>
      </w:r>
      <w:r w:rsidR="004F073F" w:rsidRPr="004F073F">
        <w:rPr>
          <w:sz w:val="24"/>
          <w:szCs w:val="24"/>
        </w:rPr>
        <w:t xml:space="preserve"> </w:t>
      </w:r>
      <w:r w:rsidR="004F073F" w:rsidRPr="004F073F">
        <w:rPr>
          <w:i/>
          <w:sz w:val="24"/>
          <w:szCs w:val="24"/>
        </w:rPr>
        <w:t>Don Damyanic v. Verizon North Inc.</w:t>
      </w:r>
      <w:r w:rsidR="004F073F" w:rsidRPr="004F073F">
        <w:rPr>
          <w:sz w:val="24"/>
          <w:szCs w:val="24"/>
        </w:rPr>
        <w:t>, PUCO Case No. 06-270-TP-CSS</w:t>
      </w:r>
      <w:r w:rsidR="004F073F">
        <w:rPr>
          <w:sz w:val="24"/>
          <w:szCs w:val="24"/>
        </w:rPr>
        <w:t>, the Commission concluded as follows:</w:t>
      </w:r>
    </w:p>
    <w:p w:rsidR="004F073F" w:rsidRDefault="004F073F" w:rsidP="004F073F">
      <w:pPr>
        <w:ind w:left="720"/>
        <w:rPr>
          <w:sz w:val="24"/>
          <w:szCs w:val="24"/>
        </w:rPr>
      </w:pPr>
      <w:r>
        <w:rPr>
          <w:sz w:val="24"/>
          <w:szCs w:val="24"/>
        </w:rPr>
        <w:t>Verizon's motion to dismiss should be granted.  The Federal Communications Commission has deemed retail DSL service offered by Verizon Online to be an information service.  Therefore, Mr. Damyanic's complaint should be pursued at the federal level.  Thus, this matter should be dismissed and closed of record.</w:t>
      </w:r>
    </w:p>
    <w:p w:rsidR="004F073F" w:rsidRDefault="004F073F" w:rsidP="004F073F">
      <w:pPr>
        <w:ind w:left="720"/>
        <w:rPr>
          <w:sz w:val="24"/>
          <w:szCs w:val="24"/>
        </w:rPr>
      </w:pPr>
    </w:p>
    <w:p w:rsidR="004F073F" w:rsidRPr="004F073F" w:rsidRDefault="004F073F" w:rsidP="004F073F">
      <w:pPr>
        <w:spacing w:line="480" w:lineRule="auto"/>
        <w:rPr>
          <w:sz w:val="24"/>
          <w:szCs w:val="24"/>
        </w:rPr>
      </w:pPr>
      <w:r w:rsidRPr="004F073F">
        <w:rPr>
          <w:sz w:val="24"/>
          <w:szCs w:val="24"/>
        </w:rPr>
        <w:t xml:space="preserve">Entry, </w:t>
      </w:r>
      <w:r>
        <w:rPr>
          <w:sz w:val="24"/>
          <w:szCs w:val="24"/>
        </w:rPr>
        <w:t>April 10, 2006</w:t>
      </w:r>
      <w:r w:rsidRPr="004F073F">
        <w:rPr>
          <w:sz w:val="24"/>
          <w:szCs w:val="24"/>
        </w:rPr>
        <w:t>, p 3</w:t>
      </w:r>
      <w:r w:rsidR="00147DBD">
        <w:rPr>
          <w:sz w:val="24"/>
          <w:szCs w:val="24"/>
        </w:rPr>
        <w:t>.</w:t>
      </w:r>
    </w:p>
    <w:p w:rsidR="006B4C0B" w:rsidRDefault="006B4C0B" w:rsidP="006B4C0B">
      <w:pPr>
        <w:spacing w:line="480" w:lineRule="auto"/>
        <w:rPr>
          <w:sz w:val="24"/>
          <w:szCs w:val="24"/>
        </w:rPr>
      </w:pPr>
    </w:p>
    <w:p w:rsidR="006B4C0B" w:rsidRPr="006B4C0B" w:rsidRDefault="006B4C0B" w:rsidP="006B4C0B">
      <w:pPr>
        <w:spacing w:line="480" w:lineRule="auto"/>
        <w:rPr>
          <w:sz w:val="24"/>
          <w:szCs w:val="24"/>
        </w:rPr>
      </w:pPr>
      <w:r>
        <w:rPr>
          <w:sz w:val="24"/>
          <w:szCs w:val="24"/>
        </w:rPr>
        <w:tab/>
      </w:r>
      <w:r>
        <w:rPr>
          <w:sz w:val="24"/>
          <w:szCs w:val="24"/>
        </w:rPr>
        <w:tab/>
        <w:t xml:space="preserve">In </w:t>
      </w:r>
      <w:r w:rsidRPr="006B4C0B">
        <w:rPr>
          <w:i/>
          <w:sz w:val="24"/>
          <w:szCs w:val="24"/>
        </w:rPr>
        <w:t>Louis Green &amp; Associates v. AT&amp;T Ohio</w:t>
      </w:r>
      <w:r w:rsidRPr="006B4C0B">
        <w:rPr>
          <w:sz w:val="24"/>
          <w:szCs w:val="24"/>
        </w:rPr>
        <w:t>, Case No. 07-108-TP-CSS</w:t>
      </w:r>
      <w:r>
        <w:rPr>
          <w:sz w:val="24"/>
          <w:szCs w:val="24"/>
        </w:rPr>
        <w:t>, the Commission found that the FCC had asserted exclusive jurisdiction over DSL service.  Entry, April 7, 2007.  It reiterated that finding in its Entry adopted August 1, 2007, citing its earlier Entry for the proposition that it "</w:t>
      </w:r>
      <w:r w:rsidRPr="006B4C0B">
        <w:rPr>
          <w:sz w:val="24"/>
          <w:szCs w:val="24"/>
        </w:rPr>
        <w:t>determined that high speed Internet service is an interstate service subject to the exclusive jurisdiction of the Federal Communications Commission (FCC)."</w:t>
      </w:r>
    </w:p>
    <w:p w:rsidR="006C399F" w:rsidRDefault="006C399F" w:rsidP="00BA2855">
      <w:pPr>
        <w:spacing w:line="480" w:lineRule="auto"/>
        <w:rPr>
          <w:sz w:val="24"/>
          <w:szCs w:val="24"/>
        </w:rPr>
      </w:pPr>
    </w:p>
    <w:p w:rsidR="006B4C0B" w:rsidRDefault="006B4C0B" w:rsidP="006B4C0B">
      <w:pPr>
        <w:spacing w:line="480" w:lineRule="auto"/>
        <w:rPr>
          <w:sz w:val="24"/>
          <w:szCs w:val="24"/>
        </w:rPr>
      </w:pPr>
      <w:r>
        <w:rPr>
          <w:sz w:val="24"/>
          <w:szCs w:val="24"/>
        </w:rPr>
        <w:lastRenderedPageBreak/>
        <w:tab/>
      </w:r>
      <w:r>
        <w:rPr>
          <w:sz w:val="24"/>
          <w:szCs w:val="24"/>
        </w:rPr>
        <w:tab/>
        <w:t xml:space="preserve">Most recently, in </w:t>
      </w:r>
      <w:r w:rsidRPr="006B4C0B">
        <w:rPr>
          <w:i/>
          <w:sz w:val="24"/>
          <w:szCs w:val="24"/>
        </w:rPr>
        <w:t>Barbara Gadstka v. AT&amp;T Ohio</w:t>
      </w:r>
      <w:r>
        <w:rPr>
          <w:sz w:val="24"/>
          <w:szCs w:val="24"/>
        </w:rPr>
        <w:t>, Case No. 08-1128-TP-CSS, it was concluded that "</w:t>
      </w:r>
      <w:r w:rsidR="007D4180">
        <w:rPr>
          <w:sz w:val="24"/>
          <w:szCs w:val="24"/>
        </w:rPr>
        <w:t>[t]</w:t>
      </w:r>
      <w:r w:rsidRPr="006B4C0B">
        <w:rPr>
          <w:sz w:val="24"/>
          <w:szCs w:val="24"/>
        </w:rPr>
        <w:t>he Federal Communications Commission has deemed retail</w:t>
      </w:r>
      <w:r w:rsidR="00147DBD">
        <w:rPr>
          <w:sz w:val="24"/>
          <w:szCs w:val="24"/>
        </w:rPr>
        <w:t xml:space="preserve"> </w:t>
      </w:r>
      <w:r w:rsidRPr="006B4C0B">
        <w:rPr>
          <w:sz w:val="24"/>
          <w:szCs w:val="24"/>
        </w:rPr>
        <w:t>DSL service to be an information service. Both DSL service and</w:t>
      </w:r>
      <w:r>
        <w:rPr>
          <w:sz w:val="24"/>
          <w:szCs w:val="24"/>
        </w:rPr>
        <w:t xml:space="preserve"> </w:t>
      </w:r>
      <w:r w:rsidRPr="006B4C0B">
        <w:rPr>
          <w:sz w:val="24"/>
          <w:szCs w:val="24"/>
        </w:rPr>
        <w:t>any charges or credits related to it are matters beyond the</w:t>
      </w:r>
      <w:r>
        <w:rPr>
          <w:sz w:val="24"/>
          <w:szCs w:val="24"/>
        </w:rPr>
        <w:t xml:space="preserve"> </w:t>
      </w:r>
      <w:r w:rsidRPr="006B4C0B">
        <w:rPr>
          <w:sz w:val="24"/>
          <w:szCs w:val="24"/>
        </w:rPr>
        <w:t>Commission's jurisdiction.</w:t>
      </w:r>
      <w:r>
        <w:rPr>
          <w:sz w:val="24"/>
          <w:szCs w:val="24"/>
        </w:rPr>
        <w:t>"  Entry, November 17, 2008, pp. 1-2.</w:t>
      </w:r>
    </w:p>
    <w:p w:rsidR="006B4C0B" w:rsidRDefault="006B4C0B" w:rsidP="00BA2855">
      <w:pPr>
        <w:spacing w:line="480" w:lineRule="auto"/>
        <w:rPr>
          <w:sz w:val="24"/>
          <w:szCs w:val="24"/>
        </w:rPr>
      </w:pPr>
    </w:p>
    <w:p w:rsidR="00BA2855" w:rsidRDefault="00BA2855" w:rsidP="00BA2855">
      <w:pPr>
        <w:spacing w:line="480" w:lineRule="auto"/>
        <w:rPr>
          <w:sz w:val="24"/>
          <w:szCs w:val="24"/>
        </w:rPr>
      </w:pPr>
      <w:r>
        <w:rPr>
          <w:sz w:val="24"/>
          <w:szCs w:val="24"/>
        </w:rPr>
        <w:tab/>
      </w:r>
      <w:r>
        <w:rPr>
          <w:sz w:val="24"/>
          <w:szCs w:val="24"/>
        </w:rPr>
        <w:tab/>
      </w:r>
      <w:r w:rsidRPr="00E80855">
        <w:rPr>
          <w:sz w:val="24"/>
          <w:szCs w:val="24"/>
        </w:rPr>
        <w:t xml:space="preserve">For </w:t>
      </w:r>
      <w:r>
        <w:rPr>
          <w:sz w:val="24"/>
          <w:szCs w:val="24"/>
        </w:rPr>
        <w:t xml:space="preserve">all of the foregoing </w:t>
      </w:r>
      <w:r w:rsidRPr="00E80855">
        <w:rPr>
          <w:sz w:val="24"/>
          <w:szCs w:val="24"/>
        </w:rPr>
        <w:t xml:space="preserve">reasons, </w:t>
      </w:r>
      <w:r w:rsidR="00147DBD">
        <w:rPr>
          <w:sz w:val="24"/>
          <w:szCs w:val="24"/>
        </w:rPr>
        <w:t xml:space="preserve">given that the Complaint appears to relate to DSL service and billing, </w:t>
      </w:r>
      <w:r w:rsidRPr="00E80855">
        <w:rPr>
          <w:sz w:val="24"/>
          <w:szCs w:val="24"/>
        </w:rPr>
        <w:t>the Commission should</w:t>
      </w:r>
      <w:r>
        <w:rPr>
          <w:sz w:val="24"/>
          <w:szCs w:val="24"/>
        </w:rPr>
        <w:t xml:space="preserve"> </w:t>
      </w:r>
      <w:r w:rsidRPr="00E80855">
        <w:rPr>
          <w:sz w:val="24"/>
          <w:szCs w:val="24"/>
        </w:rPr>
        <w:t>dismiss th</w:t>
      </w:r>
      <w:r w:rsidR="00310DFE">
        <w:rPr>
          <w:sz w:val="24"/>
          <w:szCs w:val="24"/>
        </w:rPr>
        <w:t>e</w:t>
      </w:r>
      <w:r w:rsidR="006C399F">
        <w:rPr>
          <w:sz w:val="24"/>
          <w:szCs w:val="24"/>
        </w:rPr>
        <w:t xml:space="preserve"> C</w:t>
      </w:r>
      <w:r w:rsidRPr="00E80855">
        <w:rPr>
          <w:sz w:val="24"/>
          <w:szCs w:val="24"/>
        </w:rPr>
        <w:t>omplaint</w:t>
      </w:r>
      <w:r w:rsidR="006C399F">
        <w:rPr>
          <w:sz w:val="24"/>
          <w:szCs w:val="24"/>
        </w:rPr>
        <w:t xml:space="preserve"> in its entirety.</w:t>
      </w:r>
    </w:p>
    <w:p w:rsidR="00147DBD" w:rsidRDefault="00147DBD" w:rsidP="00BA2855">
      <w:pPr>
        <w:spacing w:line="480" w:lineRule="auto"/>
        <w:rPr>
          <w:sz w:val="24"/>
          <w:szCs w:val="24"/>
        </w:rPr>
      </w:pPr>
    </w:p>
    <w:p w:rsidR="00BA2855" w:rsidRDefault="00BA2855" w:rsidP="00BA2855">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AT&amp;T Ohio</w:t>
      </w:r>
    </w:p>
    <w:p w:rsidR="00BA2855" w:rsidRDefault="00BA2855" w:rsidP="00BA2855">
      <w:pPr>
        <w:tabs>
          <w:tab w:val="left" w:pos="-720"/>
        </w:tabs>
        <w:suppressAutoHyphens/>
        <w:rPr>
          <w:sz w:val="24"/>
        </w:rPr>
      </w:pPr>
    </w:p>
    <w:p w:rsidR="00BA2855" w:rsidRDefault="00BA2855" w:rsidP="00BA2855">
      <w:pPr>
        <w:tabs>
          <w:tab w:val="left" w:pos="-720"/>
        </w:tabs>
        <w:suppressAutoHyphens/>
        <w:rPr>
          <w:sz w:val="24"/>
        </w:rPr>
      </w:pPr>
    </w:p>
    <w:p w:rsidR="00BA2855" w:rsidRDefault="00BA2855" w:rsidP="00BA2855">
      <w:pPr>
        <w:tabs>
          <w:tab w:val="left" w:pos="-720"/>
        </w:tabs>
        <w:suppressAutoHyphens/>
        <w:rPr>
          <w:sz w:val="24"/>
        </w:rPr>
      </w:pPr>
    </w:p>
    <w:p w:rsidR="00BA2855" w:rsidRDefault="00BA2855" w:rsidP="00BA2855">
      <w:pPr>
        <w:tabs>
          <w:tab w:val="left" w:pos="-720"/>
        </w:tabs>
        <w:suppressAutoHyphens/>
        <w:rPr>
          <w:sz w:val="24"/>
        </w:rPr>
      </w:pPr>
      <w:r>
        <w:rPr>
          <w:sz w:val="24"/>
        </w:rPr>
        <w:tab/>
      </w:r>
      <w:r>
        <w:rPr>
          <w:sz w:val="24"/>
        </w:rPr>
        <w:tab/>
      </w:r>
      <w:r>
        <w:rPr>
          <w:sz w:val="24"/>
        </w:rPr>
        <w:tab/>
      </w:r>
      <w:r>
        <w:rPr>
          <w:sz w:val="24"/>
        </w:rPr>
        <w:tab/>
      </w:r>
      <w:r>
        <w:rPr>
          <w:sz w:val="24"/>
        </w:rPr>
        <w:tab/>
      </w:r>
      <w:r>
        <w:rPr>
          <w:sz w:val="24"/>
        </w:rPr>
        <w:tab/>
        <w:t>By:</w:t>
      </w:r>
      <w:r>
        <w:rPr>
          <w:sz w:val="24"/>
        </w:rPr>
        <w:tab/>
        <w:t>_______</w:t>
      </w:r>
      <w:r>
        <w:rPr>
          <w:sz w:val="24"/>
          <w:u w:val="single"/>
        </w:rPr>
        <w:t>/s/ Jon F. Kelly__</w:t>
      </w:r>
      <w:r>
        <w:rPr>
          <w:sz w:val="24"/>
        </w:rPr>
        <w:t>____________</w:t>
      </w:r>
    </w:p>
    <w:p w:rsidR="00BA2855" w:rsidRDefault="00BA2855" w:rsidP="00BA2855">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Jon F. Kelly</w:t>
      </w:r>
    </w:p>
    <w:p w:rsidR="00BA2855" w:rsidRDefault="00BA2855" w:rsidP="00BA2855">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AT&amp;T Services, Inc.</w:t>
      </w:r>
    </w:p>
    <w:p w:rsidR="00BA2855" w:rsidRDefault="00BA2855" w:rsidP="00BA2855">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smartTag w:uri="urn:schemas-microsoft-com:office:smarttags" w:element="Street">
        <w:smartTag w:uri="urn:schemas-microsoft-com:office:smarttags" w:element="address">
          <w:r>
            <w:rPr>
              <w:sz w:val="24"/>
            </w:rPr>
            <w:t>150 E. Gay St.</w:t>
          </w:r>
        </w:smartTag>
      </w:smartTag>
      <w:r>
        <w:rPr>
          <w:sz w:val="24"/>
        </w:rPr>
        <w:t>, Room 4-A</w:t>
      </w:r>
    </w:p>
    <w:p w:rsidR="00BA2855" w:rsidRDefault="00BA2855" w:rsidP="00BA2855">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smartTag w:uri="urn:schemas-microsoft-com:office:smarttags" w:element="place">
        <w:smartTag w:uri="urn:schemas-microsoft-com:office:smarttags" w:element="City">
          <w:r>
            <w:rPr>
              <w:sz w:val="24"/>
            </w:rPr>
            <w:t>Columbus</w:t>
          </w:r>
        </w:smartTag>
        <w:r>
          <w:rPr>
            <w:sz w:val="24"/>
          </w:rPr>
          <w:t xml:space="preserve">, </w:t>
        </w:r>
        <w:smartTag w:uri="urn:schemas-microsoft-com:office:smarttags" w:element="State">
          <w:r>
            <w:rPr>
              <w:sz w:val="24"/>
            </w:rPr>
            <w:t>Ohio</w:t>
          </w:r>
        </w:smartTag>
        <w:r>
          <w:rPr>
            <w:sz w:val="24"/>
          </w:rPr>
          <w:t xml:space="preserve"> </w:t>
        </w:r>
        <w:smartTag w:uri="urn:schemas-microsoft-com:office:smarttags" w:element="PostalCode">
          <w:r>
            <w:rPr>
              <w:sz w:val="24"/>
            </w:rPr>
            <w:t>43215</w:t>
          </w:r>
        </w:smartTag>
      </w:smartTag>
    </w:p>
    <w:p w:rsidR="00BA2855" w:rsidRDefault="00BA2855" w:rsidP="00BA2855">
      <w:pPr>
        <w:tabs>
          <w:tab w:val="left" w:pos="-720"/>
        </w:tabs>
        <w:suppressAutoHyphens/>
        <w:rPr>
          <w:sz w:val="24"/>
        </w:rPr>
      </w:pPr>
    </w:p>
    <w:p w:rsidR="00BA2855" w:rsidRDefault="00BA2855" w:rsidP="00BA2855">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(614) 223-7928</w:t>
      </w:r>
    </w:p>
    <w:p w:rsidR="00BA2855" w:rsidRDefault="00BA2855" w:rsidP="00BA2855">
      <w:pPr>
        <w:tabs>
          <w:tab w:val="left" w:pos="-720"/>
        </w:tabs>
        <w:suppressAutoHyphens/>
        <w:rPr>
          <w:sz w:val="24"/>
        </w:rPr>
      </w:pPr>
    </w:p>
    <w:p w:rsidR="00BA2855" w:rsidRDefault="00BA2855" w:rsidP="00BA2855">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Its Attorney</w:t>
      </w:r>
    </w:p>
    <w:p w:rsidR="00BA2855" w:rsidRDefault="00BA2855" w:rsidP="00BA2855">
      <w:pPr>
        <w:tabs>
          <w:tab w:val="left" w:pos="-720"/>
        </w:tabs>
        <w:suppressAutoHyphens/>
        <w:rPr>
          <w:sz w:val="24"/>
        </w:rPr>
      </w:pPr>
    </w:p>
    <w:p w:rsidR="00BA2855" w:rsidRDefault="006C399F" w:rsidP="00BA2855">
      <w:pPr>
        <w:tabs>
          <w:tab w:val="left" w:pos="-720"/>
        </w:tabs>
        <w:suppressAutoHyphens/>
        <w:rPr>
          <w:sz w:val="16"/>
          <w:szCs w:val="16"/>
        </w:rPr>
      </w:pPr>
      <w:r>
        <w:rPr>
          <w:sz w:val="16"/>
          <w:szCs w:val="16"/>
        </w:rPr>
        <w:t>10</w:t>
      </w:r>
      <w:r w:rsidR="00BA2855">
        <w:rPr>
          <w:sz w:val="16"/>
          <w:szCs w:val="16"/>
        </w:rPr>
        <w:t>-</w:t>
      </w:r>
      <w:r>
        <w:rPr>
          <w:sz w:val="16"/>
          <w:szCs w:val="16"/>
        </w:rPr>
        <w:t>411</w:t>
      </w:r>
      <w:r w:rsidR="00BA2855">
        <w:rPr>
          <w:sz w:val="16"/>
          <w:szCs w:val="16"/>
        </w:rPr>
        <w:t>.motion to dismiss</w:t>
      </w:r>
    </w:p>
    <w:p w:rsidR="00BA2855" w:rsidRDefault="00BA2855" w:rsidP="00BA2855">
      <w:pPr>
        <w:tabs>
          <w:tab w:val="left" w:pos="-720"/>
        </w:tabs>
        <w:suppressAutoHyphens/>
        <w:rPr>
          <w:sz w:val="16"/>
          <w:szCs w:val="16"/>
        </w:rPr>
      </w:pPr>
    </w:p>
    <w:sectPr w:rsidR="00BA2855" w:rsidSect="001008CC">
      <w:footerReference w:type="default" r:id="rId8"/>
      <w:pgSz w:w="12240" w:h="15840" w:code="1"/>
      <w:pgMar w:top="1440" w:right="1440" w:bottom="1440" w:left="1440" w:header="1440" w:footer="144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2BE" w:rsidRDefault="008B12BE">
      <w:r>
        <w:separator/>
      </w:r>
    </w:p>
  </w:endnote>
  <w:endnote w:type="continuationSeparator" w:id="0">
    <w:p w:rsidR="008B12BE" w:rsidRDefault="008B1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7F" w:rsidRDefault="0020757F">
    <w:pPr>
      <w:spacing w:before="140" w:line="100" w:lineRule="exact"/>
      <w:rPr>
        <w:sz w:val="10"/>
      </w:rPr>
    </w:pPr>
  </w:p>
  <w:p w:rsidR="0020757F" w:rsidRDefault="0020757F">
    <w:pPr>
      <w:suppressAutoHyphens/>
    </w:pPr>
  </w:p>
  <w:p w:rsidR="0020757F" w:rsidRDefault="0069714F">
    <w:r>
      <w:rPr>
        <w:noProof/>
      </w:rPr>
      <w:pict>
        <v:rect id="_x0000_s1025" style="position:absolute;margin-left:1in;margin-top:12pt;width:468pt;height:12pt;z-index:251657728;mso-position-horizontal-relative:page" o:allowincell="f" filled="f" stroked="f" strokeweight="0">
          <v:textbox style="mso-next-textbox:#_x0000_s1025" inset="0,0,0,0">
            <w:txbxContent>
              <w:p w:rsidR="0020757F" w:rsidRPr="00276FE2" w:rsidRDefault="0020757F">
                <w:pPr>
                  <w:tabs>
                    <w:tab w:val="center" w:pos="4680"/>
                    <w:tab w:val="right" w:pos="9360"/>
                  </w:tabs>
                  <w:rPr>
                    <w:sz w:val="24"/>
                    <w:szCs w:val="24"/>
                  </w:rPr>
                </w:pPr>
                <w:r w:rsidRPr="00276FE2">
                  <w:rPr>
                    <w:sz w:val="24"/>
                    <w:szCs w:val="24"/>
                  </w:rPr>
                  <w:tab/>
                </w:r>
                <w:r w:rsidR="0069714F" w:rsidRPr="00276FE2">
                  <w:rPr>
                    <w:sz w:val="24"/>
                    <w:szCs w:val="24"/>
                  </w:rPr>
                  <w:fldChar w:fldCharType="begin"/>
                </w:r>
                <w:r w:rsidRPr="00276FE2">
                  <w:rPr>
                    <w:sz w:val="24"/>
                    <w:szCs w:val="24"/>
                  </w:rPr>
                  <w:instrText>page \* arabic</w:instrText>
                </w:r>
                <w:r w:rsidR="0069714F" w:rsidRPr="00276FE2">
                  <w:rPr>
                    <w:sz w:val="24"/>
                    <w:szCs w:val="24"/>
                  </w:rPr>
                  <w:fldChar w:fldCharType="separate"/>
                </w:r>
                <w:r w:rsidR="00CB28B7">
                  <w:rPr>
                    <w:noProof/>
                    <w:sz w:val="24"/>
                    <w:szCs w:val="24"/>
                  </w:rPr>
                  <w:t>4</w:t>
                </w:r>
                <w:r w:rsidR="0069714F" w:rsidRPr="00276FE2">
                  <w:rPr>
                    <w:sz w:val="24"/>
                    <w:szCs w:val="24"/>
                  </w:rP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2BE" w:rsidRDefault="008B12BE">
      <w:r>
        <w:separator/>
      </w:r>
    </w:p>
  </w:footnote>
  <w:footnote w:type="continuationSeparator" w:id="0">
    <w:p w:rsidR="008B12BE" w:rsidRDefault="008B12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F91"/>
    <w:multiLevelType w:val="hybridMultilevel"/>
    <w:tmpl w:val="50C615CE"/>
    <w:lvl w:ilvl="0" w:tplc="7CD2EC1E">
      <w:start w:val="3"/>
      <w:numFmt w:val="decimal"/>
      <w:lvlText w:val="%1."/>
      <w:lvlJc w:val="left"/>
      <w:pPr>
        <w:tabs>
          <w:tab w:val="num" w:pos="1080"/>
        </w:tabs>
        <w:ind w:left="1080" w:hanging="360"/>
      </w:pPr>
      <w:rPr>
        <w:rFonts w:hint="default"/>
      </w:rPr>
    </w:lvl>
    <w:lvl w:ilvl="1" w:tplc="D1DC65B8" w:tentative="1">
      <w:start w:val="1"/>
      <w:numFmt w:val="lowerLetter"/>
      <w:lvlText w:val="%2."/>
      <w:lvlJc w:val="left"/>
      <w:pPr>
        <w:tabs>
          <w:tab w:val="num" w:pos="1800"/>
        </w:tabs>
        <w:ind w:left="1800" w:hanging="360"/>
      </w:pPr>
    </w:lvl>
    <w:lvl w:ilvl="2" w:tplc="D38E8CB2" w:tentative="1">
      <w:start w:val="1"/>
      <w:numFmt w:val="lowerRoman"/>
      <w:lvlText w:val="%3."/>
      <w:lvlJc w:val="right"/>
      <w:pPr>
        <w:tabs>
          <w:tab w:val="num" w:pos="2520"/>
        </w:tabs>
        <w:ind w:left="2520" w:hanging="180"/>
      </w:pPr>
    </w:lvl>
    <w:lvl w:ilvl="3" w:tplc="F6E69F48" w:tentative="1">
      <w:start w:val="1"/>
      <w:numFmt w:val="decimal"/>
      <w:lvlText w:val="%4."/>
      <w:lvlJc w:val="left"/>
      <w:pPr>
        <w:tabs>
          <w:tab w:val="num" w:pos="3240"/>
        </w:tabs>
        <w:ind w:left="3240" w:hanging="360"/>
      </w:pPr>
    </w:lvl>
    <w:lvl w:ilvl="4" w:tplc="2DF09DC0" w:tentative="1">
      <w:start w:val="1"/>
      <w:numFmt w:val="lowerLetter"/>
      <w:lvlText w:val="%5."/>
      <w:lvlJc w:val="left"/>
      <w:pPr>
        <w:tabs>
          <w:tab w:val="num" w:pos="3960"/>
        </w:tabs>
        <w:ind w:left="3960" w:hanging="360"/>
      </w:pPr>
    </w:lvl>
    <w:lvl w:ilvl="5" w:tplc="34564A7E" w:tentative="1">
      <w:start w:val="1"/>
      <w:numFmt w:val="lowerRoman"/>
      <w:lvlText w:val="%6."/>
      <w:lvlJc w:val="right"/>
      <w:pPr>
        <w:tabs>
          <w:tab w:val="num" w:pos="4680"/>
        </w:tabs>
        <w:ind w:left="4680" w:hanging="180"/>
      </w:pPr>
    </w:lvl>
    <w:lvl w:ilvl="6" w:tplc="48B83E76" w:tentative="1">
      <w:start w:val="1"/>
      <w:numFmt w:val="decimal"/>
      <w:lvlText w:val="%7."/>
      <w:lvlJc w:val="left"/>
      <w:pPr>
        <w:tabs>
          <w:tab w:val="num" w:pos="5400"/>
        </w:tabs>
        <w:ind w:left="5400" w:hanging="360"/>
      </w:pPr>
    </w:lvl>
    <w:lvl w:ilvl="7" w:tplc="9ADC866E" w:tentative="1">
      <w:start w:val="1"/>
      <w:numFmt w:val="lowerLetter"/>
      <w:lvlText w:val="%8."/>
      <w:lvlJc w:val="left"/>
      <w:pPr>
        <w:tabs>
          <w:tab w:val="num" w:pos="6120"/>
        </w:tabs>
        <w:ind w:left="6120" w:hanging="360"/>
      </w:pPr>
    </w:lvl>
    <w:lvl w:ilvl="8" w:tplc="BCB86606" w:tentative="1">
      <w:start w:val="1"/>
      <w:numFmt w:val="lowerRoman"/>
      <w:lvlText w:val="%9."/>
      <w:lvlJc w:val="right"/>
      <w:pPr>
        <w:tabs>
          <w:tab w:val="num" w:pos="6840"/>
        </w:tabs>
        <w:ind w:left="6840" w:hanging="180"/>
      </w:pPr>
    </w:lvl>
  </w:abstractNum>
  <w:abstractNum w:abstractNumId="1">
    <w:nsid w:val="052D3B41"/>
    <w:multiLevelType w:val="hybridMultilevel"/>
    <w:tmpl w:val="CB5CFCC8"/>
    <w:lvl w:ilvl="0" w:tplc="65B427B4">
      <w:start w:val="3"/>
      <w:numFmt w:val="decimal"/>
      <w:lvlText w:val="%1."/>
      <w:lvlJc w:val="left"/>
      <w:pPr>
        <w:tabs>
          <w:tab w:val="num" w:pos="1080"/>
        </w:tabs>
        <w:ind w:left="1080" w:hanging="360"/>
      </w:pPr>
      <w:rPr>
        <w:rFonts w:hint="default"/>
      </w:rPr>
    </w:lvl>
    <w:lvl w:ilvl="1" w:tplc="76029458" w:tentative="1">
      <w:start w:val="1"/>
      <w:numFmt w:val="lowerLetter"/>
      <w:lvlText w:val="%2."/>
      <w:lvlJc w:val="left"/>
      <w:pPr>
        <w:tabs>
          <w:tab w:val="num" w:pos="1800"/>
        </w:tabs>
        <w:ind w:left="1800" w:hanging="360"/>
      </w:pPr>
    </w:lvl>
    <w:lvl w:ilvl="2" w:tplc="637C0D92" w:tentative="1">
      <w:start w:val="1"/>
      <w:numFmt w:val="lowerRoman"/>
      <w:lvlText w:val="%3."/>
      <w:lvlJc w:val="right"/>
      <w:pPr>
        <w:tabs>
          <w:tab w:val="num" w:pos="2520"/>
        </w:tabs>
        <w:ind w:left="2520" w:hanging="180"/>
      </w:pPr>
    </w:lvl>
    <w:lvl w:ilvl="3" w:tplc="FC5E4A1A" w:tentative="1">
      <w:start w:val="1"/>
      <w:numFmt w:val="decimal"/>
      <w:lvlText w:val="%4."/>
      <w:lvlJc w:val="left"/>
      <w:pPr>
        <w:tabs>
          <w:tab w:val="num" w:pos="3240"/>
        </w:tabs>
        <w:ind w:left="3240" w:hanging="360"/>
      </w:pPr>
    </w:lvl>
    <w:lvl w:ilvl="4" w:tplc="45D42D44" w:tentative="1">
      <w:start w:val="1"/>
      <w:numFmt w:val="lowerLetter"/>
      <w:lvlText w:val="%5."/>
      <w:lvlJc w:val="left"/>
      <w:pPr>
        <w:tabs>
          <w:tab w:val="num" w:pos="3960"/>
        </w:tabs>
        <w:ind w:left="3960" w:hanging="360"/>
      </w:pPr>
    </w:lvl>
    <w:lvl w:ilvl="5" w:tplc="E2F8F0FE" w:tentative="1">
      <w:start w:val="1"/>
      <w:numFmt w:val="lowerRoman"/>
      <w:lvlText w:val="%6."/>
      <w:lvlJc w:val="right"/>
      <w:pPr>
        <w:tabs>
          <w:tab w:val="num" w:pos="4680"/>
        </w:tabs>
        <w:ind w:left="4680" w:hanging="180"/>
      </w:pPr>
    </w:lvl>
    <w:lvl w:ilvl="6" w:tplc="E854830E" w:tentative="1">
      <w:start w:val="1"/>
      <w:numFmt w:val="decimal"/>
      <w:lvlText w:val="%7."/>
      <w:lvlJc w:val="left"/>
      <w:pPr>
        <w:tabs>
          <w:tab w:val="num" w:pos="5400"/>
        </w:tabs>
        <w:ind w:left="5400" w:hanging="360"/>
      </w:pPr>
    </w:lvl>
    <w:lvl w:ilvl="7" w:tplc="20940DD4" w:tentative="1">
      <w:start w:val="1"/>
      <w:numFmt w:val="lowerLetter"/>
      <w:lvlText w:val="%8."/>
      <w:lvlJc w:val="left"/>
      <w:pPr>
        <w:tabs>
          <w:tab w:val="num" w:pos="6120"/>
        </w:tabs>
        <w:ind w:left="6120" w:hanging="360"/>
      </w:pPr>
    </w:lvl>
    <w:lvl w:ilvl="8" w:tplc="CB1C79DC"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1506"/>
    <o:shapelayout v:ext="edit">
      <o:idmap v:ext="edit" data="1"/>
    </o:shapelayout>
  </w:hdrShapeDefaults>
  <w:footnotePr>
    <w:footnote w:id="-1"/>
    <w:footnote w:id="0"/>
  </w:footnotePr>
  <w:endnotePr>
    <w:endnote w:id="-1"/>
    <w:endnote w:id="0"/>
  </w:endnotePr>
  <w:compat/>
  <w:rsids>
    <w:rsidRoot w:val="00C52208"/>
    <w:rsid w:val="00001489"/>
    <w:rsid w:val="00006786"/>
    <w:rsid w:val="00014049"/>
    <w:rsid w:val="0002098D"/>
    <w:rsid w:val="00021054"/>
    <w:rsid w:val="00021079"/>
    <w:rsid w:val="00034B70"/>
    <w:rsid w:val="00036E5B"/>
    <w:rsid w:val="000870D1"/>
    <w:rsid w:val="00097A52"/>
    <w:rsid w:val="000A3BCB"/>
    <w:rsid w:val="000A4437"/>
    <w:rsid w:val="000B2BDD"/>
    <w:rsid w:val="000E5599"/>
    <w:rsid w:val="000F0627"/>
    <w:rsid w:val="000F4C0B"/>
    <w:rsid w:val="001008CC"/>
    <w:rsid w:val="00105F40"/>
    <w:rsid w:val="00113E21"/>
    <w:rsid w:val="00135884"/>
    <w:rsid w:val="00147DBD"/>
    <w:rsid w:val="00177D9B"/>
    <w:rsid w:val="00194D1E"/>
    <w:rsid w:val="001A5F32"/>
    <w:rsid w:val="001B650A"/>
    <w:rsid w:val="001B6BEF"/>
    <w:rsid w:val="001C271D"/>
    <w:rsid w:val="001E46F1"/>
    <w:rsid w:val="0020757F"/>
    <w:rsid w:val="002117A4"/>
    <w:rsid w:val="00214339"/>
    <w:rsid w:val="002258D5"/>
    <w:rsid w:val="0023237C"/>
    <w:rsid w:val="00236084"/>
    <w:rsid w:val="00240148"/>
    <w:rsid w:val="002425F3"/>
    <w:rsid w:val="00250B78"/>
    <w:rsid w:val="00262F52"/>
    <w:rsid w:val="00276FE2"/>
    <w:rsid w:val="00296918"/>
    <w:rsid w:val="002B3010"/>
    <w:rsid w:val="002E0732"/>
    <w:rsid w:val="00310DFE"/>
    <w:rsid w:val="00315FAF"/>
    <w:rsid w:val="00316A0F"/>
    <w:rsid w:val="0036144A"/>
    <w:rsid w:val="00372907"/>
    <w:rsid w:val="003757DF"/>
    <w:rsid w:val="00381896"/>
    <w:rsid w:val="00387CC7"/>
    <w:rsid w:val="0039506C"/>
    <w:rsid w:val="003A3295"/>
    <w:rsid w:val="003B06B1"/>
    <w:rsid w:val="003B1E49"/>
    <w:rsid w:val="003D3363"/>
    <w:rsid w:val="003E52B8"/>
    <w:rsid w:val="003F785A"/>
    <w:rsid w:val="00452921"/>
    <w:rsid w:val="004737BD"/>
    <w:rsid w:val="004751F1"/>
    <w:rsid w:val="004950C2"/>
    <w:rsid w:val="004963BC"/>
    <w:rsid w:val="00497BDE"/>
    <w:rsid w:val="004A5477"/>
    <w:rsid w:val="004B2B23"/>
    <w:rsid w:val="004B3879"/>
    <w:rsid w:val="004B4501"/>
    <w:rsid w:val="004B5EFE"/>
    <w:rsid w:val="004C7AD0"/>
    <w:rsid w:val="004F073F"/>
    <w:rsid w:val="004F40D9"/>
    <w:rsid w:val="005067FA"/>
    <w:rsid w:val="00507819"/>
    <w:rsid w:val="00524ECD"/>
    <w:rsid w:val="00544489"/>
    <w:rsid w:val="005473E4"/>
    <w:rsid w:val="00551F8A"/>
    <w:rsid w:val="005952DB"/>
    <w:rsid w:val="005A334E"/>
    <w:rsid w:val="005C1A1F"/>
    <w:rsid w:val="005D21EE"/>
    <w:rsid w:val="00610171"/>
    <w:rsid w:val="006101E8"/>
    <w:rsid w:val="0061209D"/>
    <w:rsid w:val="00615A0E"/>
    <w:rsid w:val="00625E89"/>
    <w:rsid w:val="00636FD5"/>
    <w:rsid w:val="006449E0"/>
    <w:rsid w:val="00646E6C"/>
    <w:rsid w:val="006525AF"/>
    <w:rsid w:val="0065598C"/>
    <w:rsid w:val="0065707F"/>
    <w:rsid w:val="00657F2B"/>
    <w:rsid w:val="0066753C"/>
    <w:rsid w:val="0068062C"/>
    <w:rsid w:val="00685BD0"/>
    <w:rsid w:val="00686BA5"/>
    <w:rsid w:val="0069714F"/>
    <w:rsid w:val="006A7B09"/>
    <w:rsid w:val="006B0BB8"/>
    <w:rsid w:val="006B4C0B"/>
    <w:rsid w:val="006C399F"/>
    <w:rsid w:val="006D255B"/>
    <w:rsid w:val="006D5F96"/>
    <w:rsid w:val="006E6A97"/>
    <w:rsid w:val="006F6799"/>
    <w:rsid w:val="00716282"/>
    <w:rsid w:val="00725F87"/>
    <w:rsid w:val="00737B0F"/>
    <w:rsid w:val="007712DE"/>
    <w:rsid w:val="0077230E"/>
    <w:rsid w:val="007776FA"/>
    <w:rsid w:val="007860A1"/>
    <w:rsid w:val="007A4630"/>
    <w:rsid w:val="007A5811"/>
    <w:rsid w:val="007B2594"/>
    <w:rsid w:val="007B76C7"/>
    <w:rsid w:val="007C1369"/>
    <w:rsid w:val="007D4180"/>
    <w:rsid w:val="007D4422"/>
    <w:rsid w:val="007F2BDD"/>
    <w:rsid w:val="00825045"/>
    <w:rsid w:val="0083671B"/>
    <w:rsid w:val="0085029E"/>
    <w:rsid w:val="00856DF8"/>
    <w:rsid w:val="008661E4"/>
    <w:rsid w:val="008918C1"/>
    <w:rsid w:val="008A1930"/>
    <w:rsid w:val="008B12BE"/>
    <w:rsid w:val="008C49F6"/>
    <w:rsid w:val="008E117F"/>
    <w:rsid w:val="008E6A42"/>
    <w:rsid w:val="0090150E"/>
    <w:rsid w:val="00915E26"/>
    <w:rsid w:val="00917CCB"/>
    <w:rsid w:val="009335F3"/>
    <w:rsid w:val="009373E2"/>
    <w:rsid w:val="00952F3D"/>
    <w:rsid w:val="009758CB"/>
    <w:rsid w:val="009C3932"/>
    <w:rsid w:val="009D3700"/>
    <w:rsid w:val="009F2AC9"/>
    <w:rsid w:val="00A04F67"/>
    <w:rsid w:val="00A11737"/>
    <w:rsid w:val="00A12597"/>
    <w:rsid w:val="00A31A91"/>
    <w:rsid w:val="00A3758C"/>
    <w:rsid w:val="00A71113"/>
    <w:rsid w:val="00B4299D"/>
    <w:rsid w:val="00B87903"/>
    <w:rsid w:val="00B95E65"/>
    <w:rsid w:val="00B96609"/>
    <w:rsid w:val="00BA2855"/>
    <w:rsid w:val="00BA5932"/>
    <w:rsid w:val="00BB79B5"/>
    <w:rsid w:val="00BB7C0F"/>
    <w:rsid w:val="00BC0A4F"/>
    <w:rsid w:val="00BD39F1"/>
    <w:rsid w:val="00BD76B4"/>
    <w:rsid w:val="00BE246D"/>
    <w:rsid w:val="00BF16C3"/>
    <w:rsid w:val="00C07B1E"/>
    <w:rsid w:val="00C10666"/>
    <w:rsid w:val="00C52208"/>
    <w:rsid w:val="00C97870"/>
    <w:rsid w:val="00CB2105"/>
    <w:rsid w:val="00CB28B7"/>
    <w:rsid w:val="00CC3048"/>
    <w:rsid w:val="00CD36DB"/>
    <w:rsid w:val="00CF5843"/>
    <w:rsid w:val="00D10CE9"/>
    <w:rsid w:val="00D34865"/>
    <w:rsid w:val="00D35B31"/>
    <w:rsid w:val="00D60285"/>
    <w:rsid w:val="00D61B61"/>
    <w:rsid w:val="00D731AC"/>
    <w:rsid w:val="00D8039E"/>
    <w:rsid w:val="00D94B01"/>
    <w:rsid w:val="00DA34BF"/>
    <w:rsid w:val="00DB5CFB"/>
    <w:rsid w:val="00DD2133"/>
    <w:rsid w:val="00DF51FB"/>
    <w:rsid w:val="00DF5295"/>
    <w:rsid w:val="00E10048"/>
    <w:rsid w:val="00E203E5"/>
    <w:rsid w:val="00E24D6F"/>
    <w:rsid w:val="00E31112"/>
    <w:rsid w:val="00E870F6"/>
    <w:rsid w:val="00E95F61"/>
    <w:rsid w:val="00ED209D"/>
    <w:rsid w:val="00EE54BF"/>
    <w:rsid w:val="00F0292E"/>
    <w:rsid w:val="00F152BF"/>
    <w:rsid w:val="00F251E1"/>
    <w:rsid w:val="00F4486C"/>
    <w:rsid w:val="00F65298"/>
    <w:rsid w:val="00F87837"/>
    <w:rsid w:val="00FB6CD0"/>
    <w:rsid w:val="00FC361B"/>
    <w:rsid w:val="00FC685C"/>
    <w:rsid w:val="00FC6EEA"/>
    <w:rsid w:val="00FC7107"/>
    <w:rsid w:val="00FD6A98"/>
    <w:rsid w:val="00FE2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8CC"/>
  </w:style>
  <w:style w:type="paragraph" w:styleId="Heading1">
    <w:name w:val="heading 1"/>
    <w:basedOn w:val="Normal"/>
    <w:next w:val="Normal"/>
    <w:qFormat/>
    <w:rsid w:val="001008CC"/>
    <w:pPr>
      <w:keepNext/>
      <w:tabs>
        <w:tab w:val="left" w:pos="-720"/>
      </w:tabs>
      <w:suppressAutoHyphen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08CC"/>
    <w:pPr>
      <w:tabs>
        <w:tab w:val="center" w:pos="4320"/>
        <w:tab w:val="right" w:pos="8640"/>
      </w:tabs>
    </w:pPr>
  </w:style>
  <w:style w:type="paragraph" w:styleId="Footer">
    <w:name w:val="footer"/>
    <w:basedOn w:val="Normal"/>
    <w:link w:val="FooterChar"/>
    <w:uiPriority w:val="99"/>
    <w:rsid w:val="001008CC"/>
    <w:pPr>
      <w:tabs>
        <w:tab w:val="center" w:pos="4320"/>
        <w:tab w:val="right" w:pos="8640"/>
      </w:tabs>
    </w:pPr>
  </w:style>
  <w:style w:type="paragraph" w:styleId="FootnoteText">
    <w:name w:val="footnote text"/>
    <w:basedOn w:val="Normal"/>
    <w:semiHidden/>
    <w:rsid w:val="008918C1"/>
  </w:style>
  <w:style w:type="character" w:styleId="FootnoteReference">
    <w:name w:val="footnote reference"/>
    <w:basedOn w:val="DefaultParagraphFont"/>
    <w:semiHidden/>
    <w:rsid w:val="008918C1"/>
    <w:rPr>
      <w:vertAlign w:val="superscript"/>
    </w:rPr>
  </w:style>
  <w:style w:type="paragraph" w:styleId="BalloonText">
    <w:name w:val="Balloon Text"/>
    <w:basedOn w:val="Normal"/>
    <w:semiHidden/>
    <w:rsid w:val="00F65298"/>
    <w:rPr>
      <w:rFonts w:ascii="Tahoma" w:hAnsi="Tahoma" w:cs="Tahoma"/>
      <w:sz w:val="16"/>
      <w:szCs w:val="16"/>
    </w:rPr>
  </w:style>
  <w:style w:type="character" w:customStyle="1" w:styleId="FooterChar">
    <w:name w:val="Footer Char"/>
    <w:basedOn w:val="DefaultParagraphFont"/>
    <w:link w:val="Footer"/>
    <w:uiPriority w:val="99"/>
    <w:rsid w:val="009D37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raunfoss.fcc.gov/edocs_public/attachmatch/FCC-05-150A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4951</Characters>
  <Application>Microsoft Office Word</Application>
  <DocSecurity>2</DocSecurity>
  <Lines>41</Lines>
  <Paragraphs>11</Paragraphs>
  <ScaleCrop>false</ScaleCrop>
  <HeadingPairs>
    <vt:vector size="2" baseType="variant">
      <vt:variant>
        <vt:lpstr>Title</vt:lpstr>
      </vt:variant>
      <vt:variant>
        <vt:i4>1</vt:i4>
      </vt:variant>
    </vt:vector>
  </HeadingPairs>
  <TitlesOfParts>
    <vt:vector size="1" baseType="lpstr">
      <vt:lpstr>BEFORE</vt:lpstr>
    </vt:vector>
  </TitlesOfParts>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subject/>
  <dc:creator/>
  <cp:keywords/>
  <dc:description/>
  <cp:lastModifiedBy/>
  <cp:revision>1</cp:revision>
  <dcterms:created xsi:type="dcterms:W3CDTF">2010-04-16T15:35:00Z</dcterms:created>
  <dcterms:modified xsi:type="dcterms:W3CDTF">2010-04-16T15:35:00Z</dcterms:modified>
</cp:coreProperties>
</file>