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5365F6">
        <w:rPr>
          <w:rFonts w:ascii="Times New Roman" w:eastAsia="Calibri" w:hAnsi="Times New Roman" w:cs="Times New Roman"/>
          <w:b/>
          <w:bCs/>
          <w:sz w:val="24"/>
          <w:szCs w:val="24"/>
        </w:rPr>
        <w:t>BEFORE</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365F6">
        <w:rPr>
          <w:rFonts w:ascii="Times New Roman" w:eastAsia="Calibri" w:hAnsi="Times New Roman" w:cs="Times New Roman"/>
          <w:b/>
          <w:bCs/>
          <w:sz w:val="24"/>
          <w:szCs w:val="24"/>
        </w:rPr>
        <w:t>THE PUBLIC UTILITIES COMMISSION OF OHIO</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204" w:type="dxa"/>
        <w:tblInd w:w="-106" w:type="dxa"/>
        <w:tblLook w:val="01E0"/>
      </w:tblPr>
      <w:tblGrid>
        <w:gridCol w:w="4444"/>
        <w:gridCol w:w="360"/>
        <w:gridCol w:w="4400"/>
      </w:tblGrid>
      <w:tr w:rsidTr="00235F7E">
        <w:tblPrEx>
          <w:tblW w:w="9204" w:type="dxa"/>
          <w:tblInd w:w="-106" w:type="dxa"/>
          <w:tblLook w:val="01E0"/>
        </w:tblPrEx>
        <w:trPr>
          <w:trHeight w:val="807"/>
        </w:trPr>
        <w:tc>
          <w:tcPr>
            <w:tcW w:w="4444" w:type="dxa"/>
          </w:tcPr>
          <w:p w:rsidR="00276B64" w:rsidRPr="005365F6" w:rsidP="00D16856">
            <w:pPr>
              <w:autoSpaceDE w:val="0"/>
              <w:autoSpaceDN w:val="0"/>
              <w:adjustRightInd w:val="0"/>
              <w:spacing w:after="0" w:line="240" w:lineRule="auto"/>
              <w:rPr>
                <w:rFonts w:ascii="Times New Roman" w:eastAsia="Calibri" w:hAnsi="Times New Roman" w:cs="Times New Roman"/>
                <w:sz w:val="24"/>
                <w:szCs w:val="24"/>
              </w:rPr>
            </w:pPr>
            <w:r w:rsidRPr="005365F6">
              <w:rPr>
                <w:rFonts w:ascii="Times New Roman" w:eastAsia="Calibri" w:hAnsi="Times New Roman" w:cs="Times New Roman"/>
                <w:sz w:val="24"/>
                <w:szCs w:val="24"/>
              </w:rPr>
              <w:t xml:space="preserve">In the Matter of the </w:t>
            </w:r>
            <w:r w:rsidR="006D3EFD">
              <w:rPr>
                <w:rFonts w:ascii="Times New Roman" w:eastAsia="Calibri" w:hAnsi="Times New Roman" w:cs="Times New Roman"/>
                <w:sz w:val="24"/>
                <w:szCs w:val="24"/>
              </w:rPr>
              <w:t>Commission’s Investigation of the Financial Impact of the Tax Cuts and Jobs Act of 2017 on Regulated Ohio Utility Companies</w:t>
            </w:r>
            <w:r w:rsidRPr="005365F6" w:rsidR="00BF3EE4">
              <w:rPr>
                <w:rFonts w:ascii="Times New Roman" w:eastAsia="Calibri" w:hAnsi="Times New Roman" w:cs="Times New Roman"/>
                <w:sz w:val="24"/>
                <w:szCs w:val="24"/>
              </w:rPr>
              <w:t>.</w:t>
            </w:r>
          </w:p>
        </w:tc>
        <w:tc>
          <w:tcPr>
            <w:tcW w:w="360" w:type="dxa"/>
            <w:hideMark/>
          </w:tcPr>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3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45"/>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tc>
        <w:tc>
          <w:tcPr>
            <w:tcW w:w="4400" w:type="dxa"/>
          </w:tcPr>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276B64" w:rsidRPr="005365F6" w:rsidP="00BF3EE4">
            <w:pPr>
              <w:autoSpaceDE w:val="0"/>
              <w:autoSpaceDN w:val="0"/>
              <w:adjustRightInd w:val="0"/>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Case No. 1</w:t>
            </w:r>
            <w:r w:rsidR="006D3EFD">
              <w:rPr>
                <w:rFonts w:ascii="Times New Roman" w:eastAsia="Calibri" w:hAnsi="Times New Roman" w:cs="Times New Roman"/>
                <w:sz w:val="24"/>
                <w:szCs w:val="24"/>
              </w:rPr>
              <w:t>8</w:t>
            </w:r>
            <w:r w:rsidRPr="005365F6">
              <w:rPr>
                <w:rFonts w:ascii="Times New Roman" w:eastAsia="Calibri" w:hAnsi="Times New Roman" w:cs="Times New Roman"/>
                <w:sz w:val="24"/>
                <w:szCs w:val="24"/>
              </w:rPr>
              <w:t>-</w:t>
            </w:r>
            <w:r w:rsidR="00344041">
              <w:rPr>
                <w:rFonts w:ascii="Times New Roman" w:eastAsia="Calibri" w:hAnsi="Times New Roman" w:cs="Times New Roman"/>
                <w:sz w:val="24"/>
                <w:szCs w:val="24"/>
              </w:rPr>
              <w:t>00</w:t>
            </w:r>
            <w:r w:rsidR="006D3EFD">
              <w:rPr>
                <w:rFonts w:ascii="Times New Roman" w:eastAsia="Calibri" w:hAnsi="Times New Roman" w:cs="Times New Roman"/>
                <w:sz w:val="24"/>
                <w:szCs w:val="24"/>
              </w:rPr>
              <w:t>47</w:t>
            </w:r>
            <w:r w:rsidRPr="005365F6">
              <w:rPr>
                <w:rFonts w:ascii="Times New Roman" w:eastAsia="Calibri" w:hAnsi="Times New Roman" w:cs="Times New Roman"/>
                <w:sz w:val="24"/>
                <w:szCs w:val="24"/>
              </w:rPr>
              <w:t>-</w:t>
            </w:r>
            <w:r w:rsidR="006D3EFD">
              <w:rPr>
                <w:rFonts w:ascii="Times New Roman" w:eastAsia="Calibri" w:hAnsi="Times New Roman" w:cs="Times New Roman"/>
                <w:sz w:val="24"/>
                <w:szCs w:val="24"/>
              </w:rPr>
              <w:t>AU</w:t>
            </w:r>
            <w:r w:rsidRPr="005365F6">
              <w:rPr>
                <w:rFonts w:ascii="Times New Roman" w:eastAsia="Calibri" w:hAnsi="Times New Roman" w:cs="Times New Roman"/>
                <w:sz w:val="24"/>
                <w:szCs w:val="24"/>
              </w:rPr>
              <w:t>-</w:t>
            </w:r>
            <w:r w:rsidR="006D3EFD">
              <w:rPr>
                <w:rFonts w:ascii="Times New Roman" w:eastAsia="Calibri" w:hAnsi="Times New Roman" w:cs="Times New Roman"/>
                <w:sz w:val="24"/>
                <w:szCs w:val="24"/>
              </w:rPr>
              <w:t>COI</w:t>
            </w:r>
          </w:p>
        </w:tc>
      </w:tr>
    </w:tbl>
    <w:p w:rsidR="00276B64" w:rsidRPr="005365F6" w:rsidP="00276B64">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276B64" w:rsidRPr="005365F6" w:rsidP="00276B64">
      <w:pPr>
        <w:autoSpaceDE w:val="0"/>
        <w:autoSpaceDN w:val="0"/>
        <w:adjustRightInd w:val="0"/>
        <w:spacing w:after="0" w:line="240" w:lineRule="auto"/>
        <w:rPr>
          <w:rFonts w:ascii="Times New Roman" w:eastAsia="Calibri" w:hAnsi="Times New Roman" w:cs="Times New Roman"/>
          <w:sz w:val="20"/>
          <w:szCs w:val="24"/>
        </w:rPr>
      </w:pP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MERIT</w:t>
      </w:r>
      <w:r w:rsidRPr="005365F6" w:rsidR="00980875">
        <w:rPr>
          <w:rFonts w:ascii="Times New Roman" w:eastAsia="Calibri" w:hAnsi="Times New Roman" w:cs="Times New Roman"/>
          <w:b/>
          <w:bCs/>
          <w:sz w:val="24"/>
          <w:szCs w:val="24"/>
        </w:rPr>
        <w:t xml:space="preserve"> BRIEF</w:t>
      </w: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BY</w:t>
      </w: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OFFICE OF THE OHIO CONSUMERS’ COUNSEL</w:t>
      </w:r>
    </w:p>
    <w:p w:rsidR="00276B64" w:rsidRPr="005365F6" w:rsidP="00276B64">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276B64" w:rsidRPr="005365F6" w:rsidP="00276B64">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10A8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410A8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410A8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410A8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0A86" w:rsidP="00235F7E">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10A8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276B64" w:rsidRPr="005365F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BRUCE WESTON (0016973)</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OHIO CONSUMERS’ COUNSEL</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b/>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Healey (0086027</w:t>
      </w:r>
      <w:r w:rsidRPr="005365F6">
        <w:rPr>
          <w:rFonts w:ascii="Times New Roman" w:eastAsia="Times New Roman" w:hAnsi="Times New Roman" w:cs="Times New Roman"/>
          <w:sz w:val="24"/>
          <w:szCs w:val="24"/>
        </w:rPr>
        <w:t>)</w:t>
      </w:r>
    </w:p>
    <w:p w:rsidR="00276B64" w:rsidP="006D3EFD">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Counsel of Record</w:t>
      </w:r>
    </w:p>
    <w:p w:rsidR="00276B64" w:rsidP="006D3EFD">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Bryce McKenney</w:t>
      </w:r>
      <w:r w:rsidRPr="005365F6" w:rsidR="00980875">
        <w:rPr>
          <w:rFonts w:ascii="Times New Roman" w:eastAsia="Times New Roman" w:hAnsi="Times New Roman" w:cs="Times New Roman"/>
          <w:sz w:val="24"/>
          <w:szCs w:val="24"/>
        </w:rPr>
        <w:t xml:space="preserve"> (00</w:t>
      </w:r>
      <w:r w:rsidRPr="005365F6">
        <w:rPr>
          <w:rFonts w:ascii="Times New Roman" w:eastAsia="Times New Roman" w:hAnsi="Times New Roman" w:cs="Times New Roman"/>
          <w:sz w:val="24"/>
          <w:szCs w:val="24"/>
        </w:rPr>
        <w:t>88</w:t>
      </w:r>
      <w:r w:rsidRPr="005365F6" w:rsidR="00980875">
        <w:rPr>
          <w:rFonts w:ascii="Times New Roman" w:eastAsia="Times New Roman" w:hAnsi="Times New Roman" w:cs="Times New Roman"/>
          <w:sz w:val="24"/>
          <w:szCs w:val="24"/>
        </w:rPr>
        <w:t>2</w:t>
      </w:r>
      <w:r w:rsidRPr="005365F6">
        <w:rPr>
          <w:rFonts w:ascii="Times New Roman" w:eastAsia="Times New Roman" w:hAnsi="Times New Roman" w:cs="Times New Roman"/>
          <w:sz w:val="24"/>
          <w:szCs w:val="24"/>
        </w:rPr>
        <w:t>03</w:t>
      </w:r>
      <w:r w:rsidRPr="005365F6" w:rsidR="00980875">
        <w:rPr>
          <w:rFonts w:ascii="Times New Roman" w:eastAsia="Times New Roman" w:hAnsi="Times New Roman" w:cs="Times New Roman"/>
          <w:sz w:val="24"/>
          <w:szCs w:val="24"/>
        </w:rPr>
        <w:t>)</w:t>
      </w:r>
    </w:p>
    <w:p w:rsidR="00235F7E" w:rsidP="006D3EFD">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6D3EFD" w:rsidP="006D3EFD">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Zachary Woltz (</w:t>
      </w:r>
      <w:bookmarkStart w:id="1" w:name="_Hlk520898570"/>
      <w:r w:rsidR="007471C9">
        <w:rPr>
          <w:rFonts w:ascii="Times New Roman" w:eastAsia="Times New Roman" w:hAnsi="Times New Roman" w:cs="Times New Roman"/>
          <w:sz w:val="24"/>
          <w:szCs w:val="24"/>
        </w:rPr>
        <w:t>0096669</w:t>
      </w:r>
      <w:bookmarkEnd w:id="1"/>
      <w:r>
        <w:rPr>
          <w:rFonts w:ascii="Times New Roman" w:eastAsia="Times New Roman" w:hAnsi="Times New Roman" w:cs="Times New Roman"/>
          <w:sz w:val="24"/>
          <w:szCs w:val="24"/>
        </w:rPr>
        <w:t>)</w:t>
      </w:r>
    </w:p>
    <w:p w:rsidR="00235F7E" w:rsidP="006D3EFD">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6D3EFD" w:rsidRPr="005365F6" w:rsidP="006D3EFD">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Amy Botschner-O</w:t>
      </w:r>
      <w:r w:rsidR="00D76507">
        <w:rPr>
          <w:rFonts w:ascii="Times New Roman" w:eastAsia="Times New Roman" w:hAnsi="Times New Roman" w:cs="Times New Roman"/>
          <w:sz w:val="24"/>
          <w:szCs w:val="24"/>
        </w:rPr>
        <w:t>’</w:t>
      </w:r>
      <w:r w:rsidR="00E737C6">
        <w:rPr>
          <w:rFonts w:ascii="Times New Roman" w:eastAsia="Times New Roman" w:hAnsi="Times New Roman" w:cs="Times New Roman"/>
          <w:sz w:val="24"/>
          <w:szCs w:val="24"/>
        </w:rPr>
        <w:t>B</w:t>
      </w:r>
      <w:r>
        <w:rPr>
          <w:rFonts w:ascii="Times New Roman" w:eastAsia="Times New Roman" w:hAnsi="Times New Roman" w:cs="Times New Roman"/>
          <w:sz w:val="24"/>
          <w:szCs w:val="24"/>
        </w:rPr>
        <w:t>rien (</w:t>
      </w:r>
      <w:r w:rsidR="00D76507">
        <w:rPr>
          <w:rFonts w:ascii="Times New Roman" w:eastAsia="Times New Roman" w:hAnsi="Times New Roman" w:cs="Times New Roman"/>
          <w:sz w:val="24"/>
          <w:szCs w:val="24"/>
        </w:rPr>
        <w:t>0074423</w:t>
      </w:r>
      <w:r>
        <w:rPr>
          <w:rFonts w:ascii="Times New Roman" w:eastAsia="Times New Roman" w:hAnsi="Times New Roman" w:cs="Times New Roman"/>
          <w:sz w:val="24"/>
          <w:szCs w:val="24"/>
        </w:rPr>
        <w:t>)</w:t>
      </w:r>
    </w:p>
    <w:p w:rsidR="00235F7E"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b/>
      </w:r>
    </w:p>
    <w:p w:rsidR="00276B64" w:rsidRPr="005365F6" w:rsidP="00276B64">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b/>
          <w:sz w:val="24"/>
          <w:szCs w:val="24"/>
        </w:rPr>
        <w:t>Office of the Ohio Consumers’ Counsel</w:t>
      </w:r>
    </w:p>
    <w:p w:rsidR="00276B64" w:rsidRPr="005365F6" w:rsidP="00276B6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65</w:t>
      </w:r>
      <w:r w:rsidRPr="005365F6" w:rsidR="00980875">
        <w:rPr>
          <w:rFonts w:ascii="Times New Roman" w:eastAsia="Times New Roman" w:hAnsi="Times New Roman" w:cs="Times New Roman"/>
          <w:sz w:val="24"/>
          <w:szCs w:val="24"/>
        </w:rPr>
        <w:t xml:space="preserve"> </w:t>
      </w:r>
      <w:r w:rsidRPr="005365F6">
        <w:rPr>
          <w:rFonts w:ascii="Times New Roman" w:eastAsia="Times New Roman" w:hAnsi="Times New Roman" w:cs="Times New Roman"/>
          <w:sz w:val="24"/>
          <w:szCs w:val="24"/>
        </w:rPr>
        <w:t>East</w:t>
      </w:r>
      <w:r w:rsidRPr="005365F6" w:rsidR="00980875">
        <w:rPr>
          <w:rFonts w:ascii="Times New Roman" w:eastAsia="Times New Roman" w:hAnsi="Times New Roman" w:cs="Times New Roman"/>
          <w:sz w:val="24"/>
          <w:szCs w:val="24"/>
        </w:rPr>
        <w:t xml:space="preserve"> </w:t>
      </w:r>
      <w:r w:rsidRPr="005365F6">
        <w:rPr>
          <w:rFonts w:ascii="Times New Roman" w:eastAsia="Times New Roman" w:hAnsi="Times New Roman" w:cs="Times New Roman"/>
          <w:sz w:val="24"/>
          <w:szCs w:val="24"/>
        </w:rPr>
        <w:t xml:space="preserve">State Street, </w:t>
      </w:r>
      <w:r w:rsidR="00410A86">
        <w:rPr>
          <w:rFonts w:ascii="Times New Roman" w:eastAsia="Times New Roman" w:hAnsi="Times New Roman" w:cs="Times New Roman"/>
          <w:sz w:val="24"/>
          <w:szCs w:val="24"/>
        </w:rPr>
        <w:t>7</w:t>
      </w:r>
      <w:r w:rsidRPr="00410A86" w:rsidR="00410A86">
        <w:rPr>
          <w:rFonts w:ascii="Times New Roman" w:eastAsia="Times New Roman" w:hAnsi="Times New Roman" w:cs="Times New Roman"/>
          <w:sz w:val="24"/>
          <w:szCs w:val="24"/>
          <w:vertAlign w:val="superscript"/>
        </w:rPr>
        <w:t>th</w:t>
      </w:r>
      <w:r w:rsidR="00410A86">
        <w:rPr>
          <w:rFonts w:ascii="Times New Roman" w:eastAsia="Times New Roman" w:hAnsi="Times New Roman" w:cs="Times New Roman"/>
          <w:sz w:val="24"/>
          <w:szCs w:val="24"/>
        </w:rPr>
        <w:t xml:space="preserve"> Floor</w:t>
      </w:r>
    </w:p>
    <w:p w:rsidR="00276B64" w:rsidRPr="005365F6" w:rsidP="00276B64">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sz w:val="24"/>
          <w:szCs w:val="24"/>
        </w:rPr>
        <w:t>Columbus, Ohio 43215</w:t>
      </w:r>
      <w:r w:rsidR="00344041">
        <w:rPr>
          <w:rFonts w:ascii="Times New Roman" w:eastAsia="Times New Roman" w:hAnsi="Times New Roman" w:cs="Times New Roman"/>
          <w:sz w:val="24"/>
          <w:szCs w:val="24"/>
        </w:rPr>
        <w:t>-4213</w:t>
      </w:r>
    </w:p>
    <w:p w:rsidR="00276B64" w:rsidRPr="005365F6" w:rsidP="00BF3EE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Telephone: [</w:t>
      </w:r>
      <w:r w:rsidRPr="005365F6" w:rsidR="00BF3EE4">
        <w:rPr>
          <w:rFonts w:ascii="Times New Roman" w:eastAsia="Times New Roman" w:hAnsi="Times New Roman" w:cs="Times New Roman"/>
          <w:sz w:val="24"/>
          <w:szCs w:val="24"/>
        </w:rPr>
        <w:t>Healey</w:t>
      </w:r>
      <w:r w:rsidRPr="005365F6">
        <w:rPr>
          <w:rFonts w:ascii="Times New Roman" w:eastAsia="Times New Roman" w:hAnsi="Times New Roman" w:cs="Times New Roman"/>
          <w:sz w:val="24"/>
          <w:szCs w:val="24"/>
        </w:rPr>
        <w:t xml:space="preserve">] (614) </w:t>
      </w:r>
      <w:r w:rsidR="00287DF9">
        <w:rPr>
          <w:rFonts w:ascii="Times New Roman" w:eastAsia="Times New Roman" w:hAnsi="Times New Roman" w:cs="Times New Roman"/>
          <w:sz w:val="24"/>
          <w:szCs w:val="24"/>
        </w:rPr>
        <w:t>466</w:t>
      </w:r>
      <w:r w:rsidRPr="005365F6">
        <w:rPr>
          <w:rFonts w:ascii="Times New Roman" w:eastAsia="Times New Roman" w:hAnsi="Times New Roman" w:cs="Times New Roman"/>
          <w:sz w:val="24"/>
          <w:szCs w:val="24"/>
        </w:rPr>
        <w:t>-</w:t>
      </w:r>
      <w:r w:rsidR="00287DF9">
        <w:rPr>
          <w:rFonts w:ascii="Times New Roman" w:eastAsia="Times New Roman" w:hAnsi="Times New Roman" w:cs="Times New Roman"/>
          <w:sz w:val="24"/>
          <w:szCs w:val="24"/>
        </w:rPr>
        <w:t>9571</w:t>
      </w:r>
    </w:p>
    <w:p w:rsidR="00276B64" w:rsidP="00276B6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Telephone: [McKenney</w:t>
      </w:r>
      <w:r w:rsidRPr="005365F6" w:rsidR="00980875">
        <w:rPr>
          <w:rFonts w:ascii="Times New Roman" w:eastAsia="Times New Roman" w:hAnsi="Times New Roman" w:cs="Times New Roman"/>
          <w:sz w:val="24"/>
          <w:szCs w:val="24"/>
        </w:rPr>
        <w:t>] (61</w:t>
      </w:r>
      <w:r w:rsidRPr="005365F6">
        <w:rPr>
          <w:rFonts w:ascii="Times New Roman" w:eastAsia="Times New Roman" w:hAnsi="Times New Roman" w:cs="Times New Roman"/>
          <w:sz w:val="24"/>
          <w:szCs w:val="24"/>
        </w:rPr>
        <w:t>4) 466-9585</w:t>
      </w:r>
    </w:p>
    <w:p w:rsidR="006D3EFD" w:rsidP="00276B64">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[Woltz] (614) </w:t>
      </w:r>
      <w:r w:rsidR="007471C9">
        <w:rPr>
          <w:rFonts w:ascii="Times New Roman" w:eastAsia="Times New Roman" w:hAnsi="Times New Roman" w:cs="Times New Roman"/>
          <w:sz w:val="24"/>
          <w:szCs w:val="24"/>
        </w:rPr>
        <w:t>466-9565</w:t>
      </w:r>
    </w:p>
    <w:p w:rsidR="006D3EFD" w:rsidRPr="005365F6" w:rsidP="00276B64">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[O</w:t>
      </w:r>
      <w:r w:rsidR="00D76507">
        <w:rPr>
          <w:rFonts w:ascii="Times New Roman" w:eastAsia="Times New Roman" w:hAnsi="Times New Roman" w:cs="Times New Roman"/>
          <w:sz w:val="24"/>
          <w:szCs w:val="24"/>
        </w:rPr>
        <w:t>’</w:t>
      </w:r>
      <w:r w:rsidR="007A13F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rien] (614) </w:t>
      </w:r>
      <w:r w:rsidR="00D76507">
        <w:rPr>
          <w:rFonts w:ascii="Times New Roman" w:eastAsia="Times New Roman" w:hAnsi="Times New Roman" w:cs="Times New Roman"/>
          <w:sz w:val="24"/>
          <w:szCs w:val="24"/>
        </w:rPr>
        <w:t>466</w:t>
      </w:r>
      <w:r>
        <w:rPr>
          <w:rFonts w:ascii="Times New Roman" w:eastAsia="Times New Roman" w:hAnsi="Times New Roman" w:cs="Times New Roman"/>
          <w:sz w:val="24"/>
          <w:szCs w:val="24"/>
        </w:rPr>
        <w:t>-</w:t>
      </w:r>
      <w:r w:rsidR="00D76507">
        <w:rPr>
          <w:rFonts w:ascii="Times New Roman" w:eastAsia="Times New Roman" w:hAnsi="Times New Roman" w:cs="Times New Roman"/>
          <w:sz w:val="24"/>
          <w:szCs w:val="24"/>
        </w:rPr>
        <w:t>9575</w:t>
      </w:r>
    </w:p>
    <w:p w:rsidR="00276B64" w:rsidRPr="008E5232" w:rsidP="00276B64">
      <w:pPr>
        <w:spacing w:after="0" w:line="240" w:lineRule="auto"/>
        <w:ind w:left="4320"/>
        <w:rPr>
          <w:rFonts w:ascii="Times New Roman" w:eastAsia="Times New Roman" w:hAnsi="Times New Roman" w:cs="Times New Roman"/>
          <w:sz w:val="24"/>
          <w:szCs w:val="24"/>
        </w:rPr>
      </w:pPr>
      <w:r w:rsidRPr="008E5232">
        <w:rPr>
          <w:rFonts w:ascii="Times New Roman" w:eastAsia="Times New Roman" w:hAnsi="Times New Roman" w:cs="Times New Roman"/>
          <w:sz w:val="24"/>
          <w:szCs w:val="24"/>
        </w:rPr>
        <w:t>christopher</w:t>
      </w:r>
      <w:r w:rsidRPr="008E5232" w:rsidR="00980875">
        <w:rPr>
          <w:rFonts w:ascii="Times New Roman" w:eastAsia="Times New Roman" w:hAnsi="Times New Roman" w:cs="Times New Roman"/>
          <w:sz w:val="24"/>
          <w:szCs w:val="24"/>
        </w:rPr>
        <w:t>.</w:t>
      </w:r>
      <w:r w:rsidRPr="008E5232" w:rsidR="00BF3EE4">
        <w:rPr>
          <w:rFonts w:ascii="Times New Roman" w:eastAsia="Times New Roman" w:hAnsi="Times New Roman" w:cs="Times New Roman"/>
          <w:sz w:val="24"/>
          <w:szCs w:val="24"/>
        </w:rPr>
        <w:t>healey</w:t>
      </w:r>
      <w:r w:rsidRPr="008E5232" w:rsidR="00980875">
        <w:rPr>
          <w:rFonts w:ascii="Times New Roman" w:eastAsia="Times New Roman" w:hAnsi="Times New Roman" w:cs="Times New Roman"/>
          <w:sz w:val="24"/>
          <w:szCs w:val="24"/>
        </w:rPr>
        <w:t>@occ.ohio.gov</w:t>
      </w:r>
    </w:p>
    <w:p w:rsidR="00276B64" w:rsidRPr="008E5232" w:rsidP="00BF3EE4">
      <w:pPr>
        <w:spacing w:after="0" w:line="240" w:lineRule="auto"/>
        <w:ind w:left="4320"/>
        <w:rPr>
          <w:rFonts w:ascii="Times New Roman" w:eastAsia="Times New Roman" w:hAnsi="Times New Roman" w:cs="Times New Roman"/>
          <w:sz w:val="24"/>
          <w:szCs w:val="24"/>
        </w:rPr>
      </w:pPr>
      <w:r w:rsidRPr="008E5232" w:rsidR="006D3EFD">
        <w:rPr>
          <w:rStyle w:val="DefaultParagraphFont"/>
          <w:rFonts w:ascii="Times New Roman" w:eastAsia="Times New Roman" w:hAnsi="Times New Roman" w:cs="Times New Roman"/>
          <w:color w:val="auto"/>
          <w:sz w:val="24"/>
          <w:szCs w:val="24"/>
          <w:u w:val="none"/>
        </w:rPr>
        <w:t>bryce.mckenney@occ.ohio.gov</w:t>
      </w:r>
    </w:p>
    <w:p w:rsidR="006D3EFD" w:rsidRPr="008E5232" w:rsidP="00BF3EE4">
      <w:pPr>
        <w:spacing w:after="0" w:line="240" w:lineRule="auto"/>
        <w:ind w:left="4320"/>
        <w:rPr>
          <w:rFonts w:ascii="Times New Roman" w:eastAsia="Times New Roman" w:hAnsi="Times New Roman" w:cs="Times New Roman"/>
          <w:sz w:val="24"/>
          <w:szCs w:val="24"/>
        </w:rPr>
      </w:pPr>
      <w:r w:rsidRPr="008E5232" w:rsidR="007471C9">
        <w:rPr>
          <w:rStyle w:val="DefaultParagraphFont"/>
          <w:rFonts w:ascii="Times New Roman" w:eastAsia="Times New Roman" w:hAnsi="Times New Roman" w:cs="Times New Roman"/>
          <w:color w:val="auto"/>
          <w:sz w:val="24"/>
          <w:szCs w:val="24"/>
          <w:u w:val="none"/>
        </w:rPr>
        <w:t>zachary.woltz@occ.ohio.gov</w:t>
      </w:r>
      <w:r w:rsidRPr="008E5232" w:rsidR="007471C9">
        <w:rPr>
          <w:rFonts w:ascii="Times New Roman" w:eastAsia="Times New Roman" w:hAnsi="Times New Roman" w:cs="Times New Roman"/>
          <w:sz w:val="24"/>
          <w:szCs w:val="24"/>
        </w:rPr>
        <w:t xml:space="preserve"> </w:t>
      </w:r>
    </w:p>
    <w:p w:rsidR="006D3EFD" w:rsidRPr="008E5232" w:rsidP="00BF3EE4">
      <w:pPr>
        <w:spacing w:after="0" w:line="240" w:lineRule="auto"/>
        <w:ind w:left="4320"/>
        <w:rPr>
          <w:rFonts w:ascii="Times New Roman" w:eastAsia="Times New Roman" w:hAnsi="Times New Roman" w:cs="Times New Roman"/>
          <w:sz w:val="24"/>
          <w:szCs w:val="24"/>
        </w:rPr>
      </w:pPr>
      <w:r w:rsidRPr="008E5232" w:rsidR="00D76507">
        <w:rPr>
          <w:rStyle w:val="DefaultParagraphFont"/>
          <w:rFonts w:ascii="Times New Roman" w:eastAsia="Times New Roman" w:hAnsi="Times New Roman" w:cs="Times New Roman"/>
          <w:color w:val="auto"/>
          <w:sz w:val="24"/>
          <w:szCs w:val="24"/>
          <w:u w:val="none"/>
        </w:rPr>
        <w:t>Amy.botschner.obrien@occ.ohio.gov</w:t>
      </w:r>
    </w:p>
    <w:p w:rsidR="00235F7E" w:rsidP="00276B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 xml:space="preserve">(All willing </w:t>
      </w:r>
      <w:r>
        <w:rPr>
          <w:rFonts w:ascii="Times New Roman" w:eastAsia="Times New Roman" w:hAnsi="Times New Roman" w:cs="Times New Roman"/>
          <w:sz w:val="24"/>
          <w:szCs w:val="24"/>
        </w:rPr>
        <w:t xml:space="preserve">to </w:t>
      </w:r>
      <w:r w:rsidRPr="005365F6">
        <w:rPr>
          <w:rFonts w:ascii="Times New Roman" w:eastAsia="Times New Roman" w:hAnsi="Times New Roman" w:cs="Times New Roman"/>
          <w:sz w:val="24"/>
          <w:szCs w:val="24"/>
        </w:rPr>
        <w:t>accept service by email)</w:t>
      </w:r>
    </w:p>
    <w:p w:rsidR="00235F7E" w:rsidP="00276B64">
      <w:pPr>
        <w:spacing w:after="0" w:line="240" w:lineRule="auto"/>
        <w:rPr>
          <w:rFonts w:ascii="Times New Roman" w:eastAsia="Times New Roman" w:hAnsi="Times New Roman" w:cs="Times New Roman"/>
          <w:sz w:val="24"/>
          <w:szCs w:val="24"/>
        </w:rPr>
      </w:pPr>
    </w:p>
    <w:p w:rsidR="00276B64" w:rsidRPr="005365F6" w:rsidP="00276B64">
      <w:pPr>
        <w:spacing w:after="0" w:line="240" w:lineRule="auto"/>
        <w:rPr>
          <w:rFonts w:ascii="Times New Roman" w:eastAsia="Times New Roman" w:hAnsi="Times New Roman" w:cs="Times New Roman"/>
          <w:sz w:val="24"/>
          <w:szCs w:val="24"/>
        </w:rPr>
        <w:sectPr w:rsidSect="00276B64">
          <w:pgSz w:w="12240" w:h="15840"/>
          <w:pgMar w:top="1440" w:right="1800" w:bottom="1440" w:left="1800" w:header="720" w:footer="720" w:gutter="0"/>
          <w:pgNumType w:fmt="lowerRoman" w:start="1"/>
          <w:cols w:space="720"/>
          <w:docGrid w:linePitch="360"/>
        </w:sectPr>
      </w:pPr>
      <w:r>
        <w:rPr>
          <w:rFonts w:ascii="Times New Roman" w:eastAsia="Times New Roman" w:hAnsi="Times New Roman" w:cs="Times New Roman"/>
          <w:sz w:val="24"/>
          <w:szCs w:val="24"/>
        </w:rPr>
        <w:t>August 13</w:t>
      </w:r>
      <w:r w:rsidRPr="005365F6" w:rsidR="00BF3EE4">
        <w:rPr>
          <w:rFonts w:ascii="Times New Roman" w:eastAsia="Times New Roman" w:hAnsi="Times New Roman" w:cs="Times New Roman"/>
          <w:sz w:val="24"/>
          <w:szCs w:val="24"/>
        </w:rPr>
        <w:t xml:space="preserve">, 2018     </w:t>
      </w:r>
      <w:r w:rsidR="008E5232">
        <w:rPr>
          <w:rFonts w:ascii="Times New Roman" w:eastAsia="Times New Roman" w:hAnsi="Times New Roman" w:cs="Times New Roman"/>
          <w:sz w:val="24"/>
          <w:szCs w:val="24"/>
        </w:rPr>
        <w:tab/>
      </w:r>
      <w:r w:rsidR="008E5232">
        <w:rPr>
          <w:rFonts w:ascii="Times New Roman" w:eastAsia="Times New Roman" w:hAnsi="Times New Roman" w:cs="Times New Roman"/>
          <w:sz w:val="24"/>
          <w:szCs w:val="24"/>
        </w:rPr>
        <w:tab/>
      </w:r>
      <w:r w:rsidR="008E5232">
        <w:rPr>
          <w:rFonts w:ascii="Times New Roman" w:eastAsia="Times New Roman" w:hAnsi="Times New Roman" w:cs="Times New Roman"/>
          <w:sz w:val="24"/>
          <w:szCs w:val="24"/>
        </w:rPr>
        <w:tab/>
      </w:r>
    </w:p>
    <w:p w:rsidR="00276B64" w:rsidRPr="005365F6" w:rsidP="00276B64">
      <w:pPr>
        <w:spacing w:after="0" w:line="240" w:lineRule="auto"/>
        <w:jc w:val="center"/>
        <w:rPr>
          <w:rFonts w:ascii="Times New Roman" w:eastAsia="Times New Roman" w:hAnsi="Times New Roman" w:cs="Times New Roman"/>
          <w:b/>
          <w:sz w:val="24"/>
          <w:szCs w:val="24"/>
        </w:rPr>
      </w:pPr>
      <w:r w:rsidRPr="005365F6">
        <w:rPr>
          <w:rFonts w:ascii="Times New Roman" w:eastAsia="Times New Roman" w:hAnsi="Times New Roman" w:cs="Times New Roman"/>
          <w:b/>
          <w:sz w:val="24"/>
          <w:szCs w:val="24"/>
        </w:rPr>
        <w:t>TABLE OF CONTENTS</w:t>
      </w:r>
    </w:p>
    <w:p w:rsidR="00276B64" w:rsidRPr="005365F6" w:rsidP="00276B64">
      <w:pPr>
        <w:spacing w:after="0" w:line="240" w:lineRule="auto"/>
        <w:jc w:val="center"/>
        <w:rPr>
          <w:rFonts w:ascii="Times New Roman" w:eastAsia="Times New Roman" w:hAnsi="Times New Roman" w:cs="Times New Roman"/>
          <w:sz w:val="24"/>
          <w:szCs w:val="24"/>
        </w:rPr>
      </w:pPr>
    </w:p>
    <w:p w:rsidR="00276B64" w:rsidRPr="005365F6" w:rsidP="00276B64">
      <w:pPr>
        <w:spacing w:after="0" w:line="240" w:lineRule="auto"/>
        <w:jc w:val="center"/>
        <w:rPr>
          <w:rFonts w:ascii="Times New Roman" w:eastAsia="Times New Roman" w:hAnsi="Times New Roman" w:cs="Times New Roman"/>
          <w:b/>
          <w:sz w:val="24"/>
          <w:szCs w:val="24"/>
        </w:rPr>
      </w:pP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b/>
          <w:sz w:val="24"/>
          <w:szCs w:val="24"/>
        </w:rPr>
        <w:t>PAGE</w:t>
      </w:r>
    </w:p>
    <w:p w:rsidR="00276B64" w:rsidRPr="005365F6" w:rsidP="00276B64">
      <w:pPr>
        <w:spacing w:after="0" w:line="240" w:lineRule="auto"/>
        <w:jc w:val="center"/>
        <w:rPr>
          <w:rFonts w:ascii="Times New Roman" w:eastAsia="Times New Roman" w:hAnsi="Times New Roman" w:cs="Times New Roman"/>
          <w:b/>
          <w:sz w:val="24"/>
          <w:szCs w:val="24"/>
        </w:rPr>
      </w:pPr>
    </w:p>
    <w:p w:rsidR="00235F7E">
      <w:pPr>
        <w:pStyle w:val="TOC1"/>
        <w:tabs>
          <w:tab w:val="right" w:leader="dot" w:pos="8630"/>
        </w:tabs>
        <w:rPr>
          <w:rFonts w:asciiTheme="minorHAnsi" w:eastAsiaTheme="minorEastAsia" w:hAnsiTheme="minorHAnsi"/>
          <w:noProof/>
          <w:sz w:val="22"/>
          <w:lang w:bidi="he-IL"/>
        </w:rPr>
      </w:pPr>
      <w:r w:rsidRPr="005365F6">
        <w:rPr>
          <w:rFonts w:eastAsia="Calibri" w:cs="Times New Roman"/>
          <w:b/>
          <w:bCs/>
          <w:szCs w:val="24"/>
        </w:rPr>
        <w:fldChar w:fldCharType="begin"/>
      </w:r>
      <w:r w:rsidRPr="005365F6" w:rsidR="00980875">
        <w:rPr>
          <w:rFonts w:eastAsia="Calibri" w:cs="Times New Roman"/>
          <w:b/>
          <w:bCs/>
          <w:szCs w:val="24"/>
        </w:rPr>
        <w:instrText xml:space="preserve"> TOC \o "1-3" \h \z \u </w:instrText>
      </w:r>
      <w:r w:rsidRPr="005365F6">
        <w:rPr>
          <w:rFonts w:eastAsia="Calibri" w:cs="Times New Roman"/>
          <w:b/>
          <w:bCs/>
          <w:szCs w:val="24"/>
        </w:rPr>
        <w:fldChar w:fldCharType="separate"/>
      </w:r>
      <w:r>
        <w:fldChar w:fldCharType="begin"/>
      </w:r>
      <w:r>
        <w:instrText xml:space="preserve"> HYPERLINK \l "_Toc521941227" </w:instrText>
      </w:r>
      <w:r>
        <w:fldChar w:fldCharType="separate"/>
      </w:r>
      <w:r w:rsidRPr="005E58C3">
        <w:rPr>
          <w:rStyle w:val="Hyperlink"/>
          <w:noProof/>
        </w:rPr>
        <w:t>I.</w:t>
      </w:r>
      <w:r>
        <w:rPr>
          <w:rFonts w:asciiTheme="minorHAnsi" w:eastAsiaTheme="minorEastAsia" w:hAnsiTheme="minorHAnsi"/>
          <w:noProof/>
          <w:sz w:val="22"/>
          <w:lang w:bidi="he-IL"/>
        </w:rPr>
        <w:tab/>
      </w:r>
      <w:r w:rsidRPr="005E58C3">
        <w:rPr>
          <w:rStyle w:val="Hyperlink"/>
          <w:noProof/>
        </w:rPr>
        <w:t>INTRODUCTION</w:t>
      </w:r>
      <w:r>
        <w:rPr>
          <w:noProof/>
          <w:webHidden/>
        </w:rPr>
        <w:tab/>
      </w:r>
      <w:r>
        <w:rPr>
          <w:noProof/>
          <w:webHidden/>
        </w:rPr>
        <w:fldChar w:fldCharType="begin"/>
      </w:r>
      <w:r>
        <w:rPr>
          <w:noProof/>
          <w:webHidden/>
        </w:rPr>
        <w:instrText xml:space="preserve"> PAGEREF _Toc521941227 \h </w:instrText>
      </w:r>
      <w:r>
        <w:rPr>
          <w:noProof/>
          <w:webHidden/>
        </w:rPr>
        <w:fldChar w:fldCharType="separate"/>
      </w:r>
      <w:r>
        <w:rPr>
          <w:noProof/>
          <w:webHidden/>
        </w:rPr>
        <w:t>1</w:t>
      </w:r>
      <w:r>
        <w:rPr>
          <w:noProof/>
          <w:webHidden/>
        </w:rPr>
        <w:fldChar w:fldCharType="end"/>
      </w:r>
      <w:r>
        <w:fldChar w:fldCharType="end"/>
      </w:r>
    </w:p>
    <w:p w:rsidR="00235F7E">
      <w:pPr>
        <w:pStyle w:val="TOC1"/>
        <w:tabs>
          <w:tab w:val="right" w:leader="dot" w:pos="8630"/>
        </w:tabs>
        <w:rPr>
          <w:rFonts w:asciiTheme="minorHAnsi" w:eastAsiaTheme="minorEastAsia" w:hAnsiTheme="minorHAnsi"/>
          <w:noProof/>
          <w:sz w:val="22"/>
          <w:lang w:bidi="he-IL"/>
        </w:rPr>
      </w:pPr>
      <w:r>
        <w:fldChar w:fldCharType="begin"/>
      </w:r>
      <w:r>
        <w:instrText xml:space="preserve"> HYPERLINK \l "_Toc521941228" </w:instrText>
      </w:r>
      <w:r>
        <w:fldChar w:fldCharType="separate"/>
      </w:r>
      <w:r w:rsidRPr="005E58C3">
        <w:rPr>
          <w:rStyle w:val="Hyperlink"/>
          <w:noProof/>
        </w:rPr>
        <w:t>II.</w:t>
      </w:r>
      <w:r>
        <w:rPr>
          <w:rFonts w:asciiTheme="minorHAnsi" w:eastAsiaTheme="minorEastAsia" w:hAnsiTheme="minorHAnsi"/>
          <w:noProof/>
          <w:sz w:val="22"/>
          <w:lang w:bidi="he-IL"/>
        </w:rPr>
        <w:tab/>
      </w:r>
      <w:r w:rsidRPr="005E58C3">
        <w:rPr>
          <w:rStyle w:val="Hyperlink"/>
          <w:noProof/>
        </w:rPr>
        <w:t>BACKGROUND AND PROCEDURAL HISTORY</w:t>
      </w:r>
      <w:r>
        <w:rPr>
          <w:noProof/>
          <w:webHidden/>
        </w:rPr>
        <w:tab/>
      </w:r>
      <w:r>
        <w:rPr>
          <w:noProof/>
          <w:webHidden/>
        </w:rPr>
        <w:fldChar w:fldCharType="begin"/>
      </w:r>
      <w:r>
        <w:rPr>
          <w:noProof/>
          <w:webHidden/>
        </w:rPr>
        <w:instrText xml:space="preserve"> PAGEREF _Toc521941228 \h </w:instrText>
      </w:r>
      <w:r>
        <w:rPr>
          <w:noProof/>
          <w:webHidden/>
        </w:rPr>
        <w:fldChar w:fldCharType="separate"/>
      </w:r>
      <w:r>
        <w:rPr>
          <w:noProof/>
          <w:webHidden/>
        </w:rPr>
        <w:t>1</w:t>
      </w:r>
      <w:r>
        <w:rPr>
          <w:noProof/>
          <w:webHidden/>
        </w:rPr>
        <w:fldChar w:fldCharType="end"/>
      </w:r>
      <w:r>
        <w:fldChar w:fldCharType="end"/>
      </w:r>
    </w:p>
    <w:p w:rsidR="00235F7E">
      <w:pPr>
        <w:pStyle w:val="TOC1"/>
        <w:tabs>
          <w:tab w:val="right" w:leader="dot" w:pos="8630"/>
        </w:tabs>
        <w:rPr>
          <w:rFonts w:asciiTheme="minorHAnsi" w:eastAsiaTheme="minorEastAsia" w:hAnsiTheme="minorHAnsi"/>
          <w:noProof/>
          <w:sz w:val="22"/>
          <w:lang w:bidi="he-IL"/>
        </w:rPr>
      </w:pPr>
      <w:r>
        <w:fldChar w:fldCharType="begin"/>
      </w:r>
      <w:r>
        <w:instrText xml:space="preserve"> HYPERLINK \l "_Toc521941229" </w:instrText>
      </w:r>
      <w:r>
        <w:fldChar w:fldCharType="separate"/>
      </w:r>
      <w:r w:rsidRPr="005E58C3">
        <w:rPr>
          <w:rStyle w:val="Hyperlink"/>
          <w:noProof/>
        </w:rPr>
        <w:t>III.</w:t>
      </w:r>
      <w:r>
        <w:rPr>
          <w:rFonts w:asciiTheme="minorHAnsi" w:eastAsiaTheme="minorEastAsia" w:hAnsiTheme="minorHAnsi"/>
          <w:noProof/>
          <w:sz w:val="22"/>
          <w:lang w:bidi="he-IL"/>
        </w:rPr>
        <w:tab/>
      </w:r>
      <w:r w:rsidRPr="005E58C3">
        <w:rPr>
          <w:rStyle w:val="Hyperlink"/>
          <w:noProof/>
        </w:rPr>
        <w:t>STANDARD OF REVIEW</w:t>
      </w:r>
      <w:r>
        <w:rPr>
          <w:noProof/>
          <w:webHidden/>
        </w:rPr>
        <w:tab/>
      </w:r>
      <w:r>
        <w:rPr>
          <w:noProof/>
          <w:webHidden/>
        </w:rPr>
        <w:fldChar w:fldCharType="begin"/>
      </w:r>
      <w:r>
        <w:rPr>
          <w:noProof/>
          <w:webHidden/>
        </w:rPr>
        <w:instrText xml:space="preserve"> PAGEREF _Toc521941229 \h </w:instrText>
      </w:r>
      <w:r>
        <w:rPr>
          <w:noProof/>
          <w:webHidden/>
        </w:rPr>
        <w:fldChar w:fldCharType="separate"/>
      </w:r>
      <w:r>
        <w:rPr>
          <w:noProof/>
          <w:webHidden/>
        </w:rPr>
        <w:t>3</w:t>
      </w:r>
      <w:r>
        <w:rPr>
          <w:noProof/>
          <w:webHidden/>
        </w:rPr>
        <w:fldChar w:fldCharType="end"/>
      </w:r>
      <w:r>
        <w:fldChar w:fldCharType="end"/>
      </w:r>
    </w:p>
    <w:p w:rsidR="00235F7E">
      <w:pPr>
        <w:pStyle w:val="TOC1"/>
        <w:tabs>
          <w:tab w:val="right" w:leader="dot" w:pos="8630"/>
        </w:tabs>
        <w:rPr>
          <w:rFonts w:asciiTheme="minorHAnsi" w:eastAsiaTheme="minorEastAsia" w:hAnsiTheme="minorHAnsi"/>
          <w:noProof/>
          <w:sz w:val="22"/>
          <w:lang w:bidi="he-IL"/>
        </w:rPr>
      </w:pPr>
      <w:r>
        <w:fldChar w:fldCharType="begin"/>
      </w:r>
      <w:r>
        <w:instrText xml:space="preserve"> HYPERLINK \l "_Toc521941230" </w:instrText>
      </w:r>
      <w:r>
        <w:fldChar w:fldCharType="separate"/>
      </w:r>
      <w:r w:rsidRPr="005E58C3">
        <w:rPr>
          <w:rStyle w:val="Hyperlink"/>
          <w:noProof/>
        </w:rPr>
        <w:t>IV.</w:t>
      </w:r>
      <w:r>
        <w:rPr>
          <w:rFonts w:asciiTheme="minorHAnsi" w:eastAsiaTheme="minorEastAsia" w:hAnsiTheme="minorHAnsi"/>
          <w:noProof/>
          <w:sz w:val="22"/>
          <w:lang w:bidi="he-IL"/>
        </w:rPr>
        <w:tab/>
      </w:r>
      <w:r w:rsidRPr="005E58C3">
        <w:rPr>
          <w:rStyle w:val="Hyperlink"/>
          <w:noProof/>
        </w:rPr>
        <w:t>RECOMMENDATIONS</w:t>
      </w:r>
      <w:r>
        <w:rPr>
          <w:noProof/>
          <w:webHidden/>
        </w:rPr>
        <w:tab/>
      </w:r>
      <w:r>
        <w:rPr>
          <w:noProof/>
          <w:webHidden/>
        </w:rPr>
        <w:fldChar w:fldCharType="begin"/>
      </w:r>
      <w:r>
        <w:rPr>
          <w:noProof/>
          <w:webHidden/>
        </w:rPr>
        <w:instrText xml:space="preserve"> PAGEREF _Toc521941230 \h </w:instrText>
      </w:r>
      <w:r>
        <w:rPr>
          <w:noProof/>
          <w:webHidden/>
        </w:rPr>
        <w:fldChar w:fldCharType="separate"/>
      </w:r>
      <w:r>
        <w:rPr>
          <w:noProof/>
          <w:webHidden/>
        </w:rPr>
        <w:t>4</w:t>
      </w:r>
      <w:r>
        <w:rPr>
          <w:noProof/>
          <w:webHidden/>
        </w:rPr>
        <w:fldChar w:fldCharType="end"/>
      </w:r>
      <w:r>
        <w:fldChar w:fldCharType="end"/>
      </w:r>
    </w:p>
    <w:p w:rsidR="00235F7E">
      <w:pPr>
        <w:pStyle w:val="TOC2"/>
        <w:tabs>
          <w:tab w:val="left" w:pos="1440"/>
          <w:tab w:val="right" w:leader="dot" w:pos="8630"/>
        </w:tabs>
        <w:rPr>
          <w:rFonts w:asciiTheme="minorHAnsi" w:eastAsiaTheme="minorEastAsia" w:hAnsiTheme="minorHAnsi"/>
          <w:noProof/>
          <w:sz w:val="22"/>
          <w:lang w:bidi="he-IL"/>
        </w:rPr>
      </w:pPr>
      <w:r>
        <w:fldChar w:fldCharType="begin"/>
      </w:r>
      <w:r>
        <w:instrText xml:space="preserve"> HYPERLINK \l "_Toc521941231" </w:instrText>
      </w:r>
      <w:r>
        <w:fldChar w:fldCharType="separate"/>
      </w:r>
      <w:r w:rsidRPr="005E58C3">
        <w:rPr>
          <w:rStyle w:val="Hyperlink"/>
          <w:noProof/>
        </w:rPr>
        <w:t>A.</w:t>
      </w:r>
      <w:r>
        <w:rPr>
          <w:rFonts w:asciiTheme="minorHAnsi" w:eastAsiaTheme="minorEastAsia" w:hAnsiTheme="minorHAnsi"/>
          <w:noProof/>
          <w:sz w:val="22"/>
          <w:lang w:bidi="he-IL"/>
        </w:rPr>
        <w:tab/>
      </w:r>
      <w:r w:rsidRPr="005E58C3">
        <w:rPr>
          <w:rStyle w:val="Hyperlink"/>
          <w:noProof/>
        </w:rPr>
        <w:t>The PUCO has broad authority under R.C. 4905.13 to require Ohio’s utilities to establish a deferred tax liability.</w:t>
      </w:r>
      <w:r>
        <w:rPr>
          <w:noProof/>
          <w:webHidden/>
        </w:rPr>
        <w:tab/>
      </w:r>
      <w:r>
        <w:rPr>
          <w:noProof/>
          <w:webHidden/>
        </w:rPr>
        <w:fldChar w:fldCharType="begin"/>
      </w:r>
      <w:r>
        <w:rPr>
          <w:noProof/>
          <w:webHidden/>
        </w:rPr>
        <w:instrText xml:space="preserve"> PAGEREF _Toc521941231 \h </w:instrText>
      </w:r>
      <w:r>
        <w:rPr>
          <w:noProof/>
          <w:webHidden/>
        </w:rPr>
        <w:fldChar w:fldCharType="separate"/>
      </w:r>
      <w:r>
        <w:rPr>
          <w:noProof/>
          <w:webHidden/>
        </w:rPr>
        <w:t>5</w:t>
      </w:r>
      <w:r>
        <w:rPr>
          <w:noProof/>
          <w:webHidden/>
        </w:rPr>
        <w:fldChar w:fldCharType="end"/>
      </w:r>
      <w:r>
        <w:fldChar w:fldCharType="end"/>
      </w:r>
    </w:p>
    <w:p w:rsidR="00235F7E">
      <w:pPr>
        <w:pStyle w:val="TOC2"/>
        <w:tabs>
          <w:tab w:val="left" w:pos="1440"/>
          <w:tab w:val="right" w:leader="dot" w:pos="8630"/>
        </w:tabs>
        <w:rPr>
          <w:rFonts w:asciiTheme="minorHAnsi" w:eastAsiaTheme="minorEastAsia" w:hAnsiTheme="minorHAnsi"/>
          <w:noProof/>
          <w:sz w:val="22"/>
          <w:lang w:bidi="he-IL"/>
        </w:rPr>
      </w:pPr>
      <w:r>
        <w:fldChar w:fldCharType="begin"/>
      </w:r>
      <w:r>
        <w:instrText xml:space="preserve"> HYPERLINK \l "_Toc521941232" </w:instrText>
      </w:r>
      <w:r>
        <w:fldChar w:fldCharType="separate"/>
      </w:r>
      <w:r w:rsidRPr="005E58C3">
        <w:rPr>
          <w:rStyle w:val="Hyperlink"/>
          <w:noProof/>
        </w:rPr>
        <w:t>B.</w:t>
      </w:r>
      <w:r>
        <w:rPr>
          <w:rFonts w:asciiTheme="minorHAnsi" w:eastAsiaTheme="minorEastAsia" w:hAnsiTheme="minorHAnsi"/>
          <w:noProof/>
          <w:sz w:val="22"/>
          <w:lang w:bidi="he-IL"/>
        </w:rPr>
        <w:tab/>
      </w:r>
      <w:r w:rsidRPr="005E58C3">
        <w:rPr>
          <w:rStyle w:val="Hyperlink"/>
          <w:noProof/>
        </w:rPr>
        <w:t>Utilities must be required to establish a deferred tax liability so that customers receive the full benefits of the TCJA.</w:t>
      </w:r>
      <w:r>
        <w:rPr>
          <w:noProof/>
          <w:webHidden/>
        </w:rPr>
        <w:tab/>
      </w:r>
      <w:r>
        <w:rPr>
          <w:noProof/>
          <w:webHidden/>
        </w:rPr>
        <w:fldChar w:fldCharType="begin"/>
      </w:r>
      <w:r>
        <w:rPr>
          <w:noProof/>
          <w:webHidden/>
        </w:rPr>
        <w:instrText xml:space="preserve"> PAGEREF _Toc521941232 \h </w:instrText>
      </w:r>
      <w:r>
        <w:rPr>
          <w:noProof/>
          <w:webHidden/>
        </w:rPr>
        <w:fldChar w:fldCharType="separate"/>
      </w:r>
      <w:r>
        <w:rPr>
          <w:noProof/>
          <w:webHidden/>
        </w:rPr>
        <w:t>6</w:t>
      </w:r>
      <w:r>
        <w:rPr>
          <w:noProof/>
          <w:webHidden/>
        </w:rPr>
        <w:fldChar w:fldCharType="end"/>
      </w:r>
      <w:r>
        <w:fldChar w:fldCharType="end"/>
      </w:r>
    </w:p>
    <w:p w:rsidR="00235F7E">
      <w:pPr>
        <w:pStyle w:val="TOC2"/>
        <w:tabs>
          <w:tab w:val="left" w:pos="1440"/>
          <w:tab w:val="right" w:leader="dot" w:pos="8630"/>
        </w:tabs>
        <w:rPr>
          <w:rFonts w:asciiTheme="minorHAnsi" w:eastAsiaTheme="minorEastAsia" w:hAnsiTheme="minorHAnsi"/>
          <w:noProof/>
          <w:sz w:val="22"/>
          <w:lang w:bidi="he-IL"/>
        </w:rPr>
      </w:pPr>
      <w:r>
        <w:fldChar w:fldCharType="begin"/>
      </w:r>
      <w:r>
        <w:instrText xml:space="preserve"> HYPERLINK \l "_Toc521941233" </w:instrText>
      </w:r>
      <w:r>
        <w:fldChar w:fldCharType="separate"/>
      </w:r>
      <w:r w:rsidRPr="005E58C3">
        <w:rPr>
          <w:rStyle w:val="Hyperlink"/>
          <w:noProof/>
        </w:rPr>
        <w:t>C.</w:t>
      </w:r>
      <w:r>
        <w:rPr>
          <w:rFonts w:asciiTheme="minorHAnsi" w:eastAsiaTheme="minorEastAsia" w:hAnsiTheme="minorHAnsi"/>
          <w:noProof/>
          <w:sz w:val="22"/>
          <w:lang w:bidi="he-IL"/>
        </w:rPr>
        <w:tab/>
      </w:r>
      <w:r w:rsidRPr="005E58C3">
        <w:rPr>
          <w:rStyle w:val="Hyperlink"/>
          <w:noProof/>
        </w:rPr>
        <w:t>If the PUCO applies the six-factor test in this case, it should find that each factor supports requiring Ohio’s utilities to continue to maintain a deferred tax liability, effective January 1, 2018.</w:t>
      </w:r>
      <w:r>
        <w:rPr>
          <w:noProof/>
          <w:webHidden/>
        </w:rPr>
        <w:tab/>
      </w:r>
      <w:r>
        <w:rPr>
          <w:noProof/>
          <w:webHidden/>
        </w:rPr>
        <w:fldChar w:fldCharType="begin"/>
      </w:r>
      <w:r>
        <w:rPr>
          <w:noProof/>
          <w:webHidden/>
        </w:rPr>
        <w:instrText xml:space="preserve"> PAGEREF _Toc521941233 \h </w:instrText>
      </w:r>
      <w:r>
        <w:rPr>
          <w:noProof/>
          <w:webHidden/>
        </w:rPr>
        <w:fldChar w:fldCharType="separate"/>
      </w:r>
      <w:r>
        <w:rPr>
          <w:noProof/>
          <w:webHidden/>
        </w:rPr>
        <w:t>7</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"_Toc521941234" </w:instrText>
      </w:r>
      <w:r>
        <w:fldChar w:fldCharType="separate"/>
      </w:r>
      <w:r w:rsidRPr="005E58C3">
        <w:rPr>
          <w:rStyle w:val="Hyperlink"/>
          <w:noProof/>
        </w:rPr>
        <w:t>1.</w:t>
      </w:r>
      <w:r>
        <w:rPr>
          <w:rFonts w:asciiTheme="minorHAnsi" w:eastAsiaTheme="minorEastAsia" w:hAnsiTheme="minorHAnsi"/>
          <w:noProof/>
          <w:sz w:val="22"/>
          <w:lang w:bidi="he-IL"/>
        </w:rPr>
        <w:tab/>
      </w:r>
      <w:r w:rsidRPr="005E58C3">
        <w:rPr>
          <w:rStyle w:val="Hyperlink"/>
          <w:noProof/>
        </w:rPr>
        <w:t>The current rates or revenues that Ohio’s utilities collect from customers will be sufficient to cover the costs associated with the deferred tax liability.</w:t>
      </w:r>
      <w:r>
        <w:rPr>
          <w:noProof/>
          <w:webHidden/>
        </w:rPr>
        <w:tab/>
      </w:r>
      <w:r>
        <w:rPr>
          <w:noProof/>
          <w:webHidden/>
        </w:rPr>
        <w:fldChar w:fldCharType="begin"/>
      </w:r>
      <w:r>
        <w:rPr>
          <w:noProof/>
          <w:webHidden/>
        </w:rPr>
        <w:instrText xml:space="preserve"> PAGEREF _Toc521941234 \h </w:instrText>
      </w:r>
      <w:r>
        <w:rPr>
          <w:noProof/>
          <w:webHidden/>
        </w:rPr>
        <w:fldChar w:fldCharType="separate"/>
      </w:r>
      <w:r>
        <w:rPr>
          <w:noProof/>
          <w:webHidden/>
        </w:rPr>
        <w:t>8</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"_Toc521941235" </w:instrText>
      </w:r>
      <w:r>
        <w:fldChar w:fldCharType="separate"/>
      </w:r>
      <w:r w:rsidRPr="005E58C3">
        <w:rPr>
          <w:rStyle w:val="Hyperlink"/>
          <w:noProof/>
        </w:rPr>
        <w:t>2.</w:t>
      </w:r>
      <w:r>
        <w:rPr>
          <w:rFonts w:asciiTheme="minorHAnsi" w:eastAsiaTheme="minorEastAsia" w:hAnsiTheme="minorHAnsi"/>
          <w:noProof/>
          <w:sz w:val="22"/>
          <w:lang w:bidi="he-IL"/>
        </w:rPr>
        <w:tab/>
      </w:r>
      <w:r w:rsidRPr="005E58C3">
        <w:rPr>
          <w:rStyle w:val="Hyperlink"/>
          <w:noProof/>
        </w:rPr>
        <w:t>The reduction of the federal corporate tax rate is a material change warranting the establishment of a deferred tax liability, effective January 1, 2018.</w:t>
      </w:r>
      <w:r>
        <w:rPr>
          <w:noProof/>
          <w:webHidden/>
        </w:rPr>
        <w:tab/>
      </w:r>
      <w:r>
        <w:rPr>
          <w:noProof/>
          <w:webHidden/>
        </w:rPr>
        <w:fldChar w:fldCharType="begin"/>
      </w:r>
      <w:r>
        <w:rPr>
          <w:noProof/>
          <w:webHidden/>
        </w:rPr>
        <w:instrText xml:space="preserve"> PAGEREF _Toc521941235 \h </w:instrText>
      </w:r>
      <w:r>
        <w:rPr>
          <w:noProof/>
          <w:webHidden/>
        </w:rPr>
        <w:fldChar w:fldCharType="separate"/>
      </w:r>
      <w:r>
        <w:rPr>
          <w:noProof/>
          <w:webHidden/>
        </w:rPr>
        <w:t>9</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"_Toc521941236" </w:instrText>
      </w:r>
      <w:r>
        <w:fldChar w:fldCharType="separate"/>
      </w:r>
      <w:r w:rsidRPr="005E58C3">
        <w:rPr>
          <w:rStyle w:val="Hyperlink"/>
          <w:noProof/>
        </w:rPr>
        <w:t>3.</w:t>
      </w:r>
      <w:r>
        <w:rPr>
          <w:rFonts w:asciiTheme="minorHAnsi" w:eastAsiaTheme="minorEastAsia" w:hAnsiTheme="minorHAnsi"/>
          <w:noProof/>
          <w:sz w:val="22"/>
          <w:lang w:bidi="he-IL"/>
        </w:rPr>
        <w:tab/>
      </w:r>
      <w:r w:rsidRPr="005E58C3">
        <w:rPr>
          <w:rStyle w:val="Hyperlink"/>
          <w:noProof/>
        </w:rPr>
        <w:t>The reason for the deferral is outside the utility’s control.</w:t>
      </w:r>
      <w:r>
        <w:rPr>
          <w:noProof/>
          <w:webHidden/>
        </w:rPr>
        <w:tab/>
      </w:r>
      <w:r>
        <w:rPr>
          <w:noProof/>
          <w:webHidden/>
        </w:rPr>
        <w:fldChar w:fldCharType="begin"/>
      </w:r>
      <w:r>
        <w:rPr>
          <w:noProof/>
          <w:webHidden/>
        </w:rPr>
        <w:instrText xml:space="preserve"> PAGEREF _Toc521941236 \h </w:instrText>
      </w:r>
      <w:r>
        <w:rPr>
          <w:noProof/>
          <w:webHidden/>
        </w:rPr>
        <w:fldChar w:fldCharType="separate"/>
      </w:r>
      <w:r>
        <w:rPr>
          <w:noProof/>
          <w:webHidden/>
        </w:rPr>
        <w:t>9</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"_Toc521941237" </w:instrText>
      </w:r>
      <w:r>
        <w:fldChar w:fldCharType="separate"/>
      </w:r>
      <w:r w:rsidRPr="005E58C3">
        <w:rPr>
          <w:rStyle w:val="Hyperlink"/>
          <w:noProof/>
        </w:rPr>
        <w:t>4.</w:t>
      </w:r>
      <w:r>
        <w:rPr>
          <w:rFonts w:asciiTheme="minorHAnsi" w:eastAsiaTheme="minorEastAsia" w:hAnsiTheme="minorHAnsi"/>
          <w:noProof/>
          <w:sz w:val="22"/>
          <w:lang w:bidi="he-IL"/>
        </w:rPr>
        <w:tab/>
      </w:r>
      <w:r w:rsidRPr="005E58C3">
        <w:rPr>
          <w:rStyle w:val="Hyperlink"/>
          <w:noProof/>
        </w:rPr>
        <w:t>The expense reductions are atypical and infrequent.</w:t>
      </w:r>
      <w:r>
        <w:rPr>
          <w:noProof/>
          <w:webHidden/>
        </w:rPr>
        <w:tab/>
      </w:r>
      <w:r>
        <w:rPr>
          <w:noProof/>
          <w:webHidden/>
        </w:rPr>
        <w:fldChar w:fldCharType="begin"/>
      </w:r>
      <w:r>
        <w:rPr>
          <w:noProof/>
          <w:webHidden/>
        </w:rPr>
        <w:instrText xml:space="preserve"> PAGEREF _Toc521941237 \h </w:instrText>
      </w:r>
      <w:r>
        <w:rPr>
          <w:noProof/>
          <w:webHidden/>
        </w:rPr>
        <w:fldChar w:fldCharType="separate"/>
      </w:r>
      <w:r>
        <w:rPr>
          <w:noProof/>
          <w:webHidden/>
        </w:rPr>
        <w:t>10</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"_Toc521941238" </w:instrText>
      </w:r>
      <w:r>
        <w:fldChar w:fldCharType="separate"/>
      </w:r>
      <w:r w:rsidRPr="005E58C3">
        <w:rPr>
          <w:rStyle w:val="Hyperlink"/>
          <w:noProof/>
        </w:rPr>
        <w:t>5.</w:t>
      </w:r>
      <w:r>
        <w:rPr>
          <w:rFonts w:asciiTheme="minorHAnsi" w:eastAsiaTheme="minorEastAsia" w:hAnsiTheme="minorHAnsi"/>
          <w:noProof/>
          <w:sz w:val="22"/>
          <w:lang w:bidi="he-IL"/>
        </w:rPr>
        <w:tab/>
      </w:r>
      <w:r w:rsidRPr="005E58C3">
        <w:rPr>
          <w:rStyle w:val="Hyperlink"/>
          <w:noProof/>
        </w:rPr>
        <w:t>Customers will be significantly and adversely harmed if the PUCO does not require Ohio’s utilities to establish a deferred tax liability, effective January 1, 2018.</w:t>
      </w:r>
      <w:r>
        <w:rPr>
          <w:noProof/>
          <w:webHidden/>
        </w:rPr>
        <w:tab/>
      </w:r>
      <w:r>
        <w:rPr>
          <w:noProof/>
          <w:webHidden/>
        </w:rPr>
        <w:fldChar w:fldCharType="begin"/>
      </w:r>
      <w:r>
        <w:rPr>
          <w:noProof/>
          <w:webHidden/>
        </w:rPr>
        <w:instrText xml:space="preserve"> PAGEREF _Toc521941238 \h </w:instrText>
      </w:r>
      <w:r>
        <w:rPr>
          <w:noProof/>
          <w:webHidden/>
        </w:rPr>
        <w:fldChar w:fldCharType="separate"/>
      </w:r>
      <w:r>
        <w:rPr>
          <w:noProof/>
          <w:webHidden/>
        </w:rPr>
        <w:t>10</w:t>
      </w:r>
      <w:r>
        <w:rPr>
          <w:noProof/>
          <w:webHidden/>
        </w:rPr>
        <w:fldChar w:fldCharType="end"/>
      </w:r>
      <w:r>
        <w:fldChar w:fldCharType="end"/>
      </w:r>
    </w:p>
    <w:p w:rsidR="00235F7E">
      <w:pPr>
        <w:pStyle w:val="TOC3"/>
        <w:tabs>
          <w:tab w:val="left" w:pos="2160"/>
          <w:tab w:val="right" w:leader="dot" w:pos="8630"/>
        </w:tabs>
        <w:rPr>
          <w:rFonts w:asciiTheme="minorHAnsi" w:eastAsiaTheme="minorEastAsia" w:hAnsiTheme="minorHAnsi"/>
          <w:noProof/>
          <w:sz w:val="22"/>
          <w:lang w:bidi="he-IL"/>
        </w:rPr>
      </w:pPr>
      <w:r>
        <w:fldChar w:fldCharType="begin"/>
      </w:r>
      <w:r>
        <w:instrText xml:space="preserve"> HYPERLINK \l "_Toc521941239" </w:instrText>
      </w:r>
      <w:r>
        <w:fldChar w:fldCharType="separate"/>
      </w:r>
      <w:r w:rsidRPr="005E58C3">
        <w:rPr>
          <w:rStyle w:val="Hyperlink"/>
          <w:noProof/>
        </w:rPr>
        <w:t>6.</w:t>
      </w:r>
      <w:r>
        <w:rPr>
          <w:rFonts w:asciiTheme="minorHAnsi" w:eastAsiaTheme="minorEastAsia" w:hAnsiTheme="minorHAnsi"/>
          <w:noProof/>
          <w:sz w:val="22"/>
          <w:lang w:bidi="he-IL"/>
        </w:rPr>
        <w:tab/>
      </w:r>
      <w:r w:rsidRPr="005E58C3">
        <w:rPr>
          <w:rStyle w:val="Hyperlink"/>
          <w:noProof/>
        </w:rPr>
        <w:t>The PUCO can ensure that Ohio utilities return to customers the money that customers have overpaid (and will pay) for the utilities’ federal corporate tax obligations.</w:t>
      </w:r>
      <w:r>
        <w:rPr>
          <w:noProof/>
          <w:webHidden/>
        </w:rPr>
        <w:tab/>
      </w:r>
      <w:r>
        <w:rPr>
          <w:noProof/>
          <w:webHidden/>
        </w:rPr>
        <w:fldChar w:fldCharType="begin"/>
      </w:r>
      <w:r>
        <w:rPr>
          <w:noProof/>
          <w:webHidden/>
        </w:rPr>
        <w:instrText xml:space="preserve"> PAGEREF _Toc521941239 \h </w:instrText>
      </w:r>
      <w:r>
        <w:rPr>
          <w:noProof/>
          <w:webHidden/>
        </w:rPr>
        <w:fldChar w:fldCharType="separate"/>
      </w:r>
      <w:r>
        <w:rPr>
          <w:noProof/>
          <w:webHidden/>
        </w:rPr>
        <w:t>12</w:t>
      </w:r>
      <w:r>
        <w:rPr>
          <w:noProof/>
          <w:webHidden/>
        </w:rPr>
        <w:fldChar w:fldCharType="end"/>
      </w:r>
      <w:r>
        <w:fldChar w:fldCharType="end"/>
      </w:r>
    </w:p>
    <w:p w:rsidR="00235F7E">
      <w:pPr>
        <w:pStyle w:val="TOC1"/>
        <w:tabs>
          <w:tab w:val="right" w:leader="dot" w:pos="8630"/>
        </w:tabs>
        <w:rPr>
          <w:rFonts w:asciiTheme="minorHAnsi" w:eastAsiaTheme="minorEastAsia" w:hAnsiTheme="minorHAnsi"/>
          <w:noProof/>
          <w:sz w:val="22"/>
          <w:lang w:bidi="he-IL"/>
        </w:rPr>
      </w:pPr>
      <w:r>
        <w:fldChar w:fldCharType="begin"/>
      </w:r>
      <w:r>
        <w:instrText xml:space="preserve"> HYPERLINK \l "_Toc521941240" </w:instrText>
      </w:r>
      <w:r>
        <w:fldChar w:fldCharType="separate"/>
      </w:r>
      <w:r w:rsidRPr="005E58C3">
        <w:rPr>
          <w:rStyle w:val="Hyperlink"/>
          <w:noProof/>
        </w:rPr>
        <w:t>V.</w:t>
      </w:r>
      <w:r>
        <w:rPr>
          <w:rFonts w:asciiTheme="minorHAnsi" w:eastAsiaTheme="minorEastAsia" w:hAnsiTheme="minorHAnsi"/>
          <w:noProof/>
          <w:sz w:val="22"/>
          <w:lang w:bidi="he-IL"/>
        </w:rPr>
        <w:tab/>
      </w:r>
      <w:r w:rsidRPr="005E58C3">
        <w:rPr>
          <w:rStyle w:val="Hyperlink"/>
          <w:noProof/>
        </w:rPr>
        <w:t>CONCLUSION</w:t>
      </w:r>
      <w:r>
        <w:rPr>
          <w:noProof/>
          <w:webHidden/>
        </w:rPr>
        <w:tab/>
      </w:r>
      <w:r>
        <w:rPr>
          <w:noProof/>
          <w:webHidden/>
        </w:rPr>
        <w:fldChar w:fldCharType="begin"/>
      </w:r>
      <w:r>
        <w:rPr>
          <w:noProof/>
          <w:webHidden/>
        </w:rPr>
        <w:instrText xml:space="preserve"> PAGEREF _Toc521941240 \h </w:instrText>
      </w:r>
      <w:r>
        <w:rPr>
          <w:noProof/>
          <w:webHidden/>
        </w:rPr>
        <w:fldChar w:fldCharType="separate"/>
      </w:r>
      <w:r>
        <w:rPr>
          <w:noProof/>
          <w:webHidden/>
        </w:rPr>
        <w:t>12</w:t>
      </w:r>
      <w:r>
        <w:rPr>
          <w:noProof/>
          <w:webHidden/>
        </w:rPr>
        <w:fldChar w:fldCharType="end"/>
      </w:r>
      <w:r>
        <w:fldChar w:fldCharType="end"/>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fldChar w:fldCharType="end"/>
      </w:r>
    </w:p>
    <w:p w:rsidR="002D25F7">
      <w:pPr>
        <w:rPr>
          <w:rFonts w:ascii="Times New Roman" w:eastAsia="Calibri" w:hAnsi="Times New Roman" w:cs="Times New Roman"/>
          <w:b/>
          <w:bCs/>
          <w:sz w:val="24"/>
          <w:szCs w:val="24"/>
        </w:rPr>
        <w:sectPr w:rsidSect="00276B64">
          <w:footerReference w:type="default" r:id="rId5"/>
          <w:pgSz w:w="12240" w:h="15840"/>
          <w:pgMar w:top="1440" w:right="1800" w:bottom="1440" w:left="1800" w:header="720" w:footer="720" w:gutter="0"/>
          <w:pgNumType w:fmt="lowerRoman" w:start="1"/>
          <w:cols w:space="720"/>
          <w:docGrid w:linePitch="360"/>
        </w:sectPr>
      </w:pP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BEFORE</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365F6">
        <w:rPr>
          <w:rFonts w:ascii="Times New Roman" w:eastAsia="Calibri" w:hAnsi="Times New Roman" w:cs="Times New Roman"/>
          <w:b/>
          <w:bCs/>
          <w:sz w:val="24"/>
          <w:szCs w:val="24"/>
        </w:rPr>
        <w:t>THE PUBLIC UTILITIES COMMISSION OF OHIO</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204" w:type="dxa"/>
        <w:tblInd w:w="-106" w:type="dxa"/>
        <w:tblLook w:val="01E0"/>
      </w:tblPr>
      <w:tblGrid>
        <w:gridCol w:w="4444"/>
        <w:gridCol w:w="360"/>
        <w:gridCol w:w="4400"/>
      </w:tblGrid>
      <w:tr w:rsidTr="00235F7E">
        <w:tblPrEx>
          <w:tblW w:w="9204" w:type="dxa"/>
          <w:tblInd w:w="-106" w:type="dxa"/>
          <w:tblLook w:val="01E0"/>
        </w:tblPrEx>
        <w:trPr>
          <w:trHeight w:val="807"/>
        </w:trPr>
        <w:tc>
          <w:tcPr>
            <w:tcW w:w="4444" w:type="dxa"/>
          </w:tcPr>
          <w:p w:rsidR="00276B64" w:rsidRPr="005365F6" w:rsidP="00D16856">
            <w:pPr>
              <w:autoSpaceDE w:val="0"/>
              <w:autoSpaceDN w:val="0"/>
              <w:adjustRightInd w:val="0"/>
              <w:spacing w:after="0" w:line="240" w:lineRule="auto"/>
              <w:rPr>
                <w:rFonts w:ascii="Times New Roman" w:eastAsia="Calibri" w:hAnsi="Times New Roman" w:cs="Times New Roman"/>
                <w:sz w:val="24"/>
                <w:szCs w:val="24"/>
              </w:rPr>
            </w:pPr>
            <w:r w:rsidRPr="005365F6">
              <w:rPr>
                <w:rFonts w:ascii="Times New Roman" w:eastAsia="Calibri" w:hAnsi="Times New Roman" w:cs="Times New Roman"/>
                <w:sz w:val="24"/>
                <w:szCs w:val="24"/>
              </w:rPr>
              <w:t>In t</w:t>
            </w:r>
            <w:r w:rsidRPr="005365F6" w:rsidR="00BF3EE4">
              <w:rPr>
                <w:rFonts w:ascii="Times New Roman" w:eastAsia="Calibri" w:hAnsi="Times New Roman" w:cs="Times New Roman"/>
                <w:sz w:val="24"/>
                <w:szCs w:val="24"/>
              </w:rPr>
              <w:t xml:space="preserve">he Matter of the </w:t>
            </w:r>
            <w:r w:rsidR="006D3EFD">
              <w:rPr>
                <w:rFonts w:ascii="Times New Roman" w:eastAsia="Calibri" w:hAnsi="Times New Roman" w:cs="Times New Roman"/>
                <w:sz w:val="24"/>
                <w:szCs w:val="24"/>
              </w:rPr>
              <w:t>Commission’s Investigation of the Financial Impact of the Tax Cuts and Jobs Act of 2017 on Regulated Ohio Utility Companies</w:t>
            </w:r>
            <w:r w:rsidRPr="005365F6" w:rsidR="00BF3EE4">
              <w:rPr>
                <w:rFonts w:ascii="Times New Roman" w:eastAsia="Calibri" w:hAnsi="Times New Roman" w:cs="Times New Roman"/>
                <w:sz w:val="24"/>
                <w:szCs w:val="24"/>
              </w:rPr>
              <w:t>.</w:t>
            </w:r>
          </w:p>
        </w:tc>
        <w:tc>
          <w:tcPr>
            <w:tcW w:w="360" w:type="dxa"/>
            <w:hideMark/>
          </w:tcPr>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tc>
        <w:tc>
          <w:tcPr>
            <w:tcW w:w="4400" w:type="dxa"/>
          </w:tcPr>
          <w:p w:rsidR="00276B64" w:rsidRPr="005365F6" w:rsidP="00276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276B64" w:rsidRPr="005365F6" w:rsidP="00276B64">
            <w:pPr>
              <w:autoSpaceDE w:val="0"/>
              <w:autoSpaceDN w:val="0"/>
              <w:adjustRightInd w:val="0"/>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Case No. 1</w:t>
            </w:r>
            <w:r w:rsidR="006D3EFD">
              <w:rPr>
                <w:rFonts w:ascii="Times New Roman" w:eastAsia="Calibri" w:hAnsi="Times New Roman" w:cs="Times New Roman"/>
                <w:sz w:val="24"/>
                <w:szCs w:val="24"/>
              </w:rPr>
              <w:t>8</w:t>
            </w:r>
            <w:r w:rsidRPr="005365F6">
              <w:rPr>
                <w:rFonts w:ascii="Times New Roman" w:eastAsia="Calibri" w:hAnsi="Times New Roman" w:cs="Times New Roman"/>
                <w:sz w:val="24"/>
                <w:szCs w:val="24"/>
              </w:rPr>
              <w:t>-</w:t>
            </w:r>
            <w:r w:rsidR="00235F7E">
              <w:rPr>
                <w:rFonts w:ascii="Times New Roman" w:eastAsia="Calibri" w:hAnsi="Times New Roman" w:cs="Times New Roman"/>
                <w:sz w:val="24"/>
                <w:szCs w:val="24"/>
              </w:rPr>
              <w:t>00</w:t>
            </w:r>
            <w:r w:rsidR="006D3EFD">
              <w:rPr>
                <w:rFonts w:ascii="Times New Roman" w:eastAsia="Calibri" w:hAnsi="Times New Roman" w:cs="Times New Roman"/>
                <w:sz w:val="24"/>
                <w:szCs w:val="24"/>
              </w:rPr>
              <w:t>47</w:t>
            </w:r>
            <w:r w:rsidRPr="005365F6">
              <w:rPr>
                <w:rFonts w:ascii="Times New Roman" w:eastAsia="Calibri" w:hAnsi="Times New Roman" w:cs="Times New Roman"/>
                <w:sz w:val="24"/>
                <w:szCs w:val="24"/>
              </w:rPr>
              <w:t>-</w:t>
            </w:r>
            <w:r w:rsidR="006D3EFD">
              <w:rPr>
                <w:rFonts w:ascii="Times New Roman" w:eastAsia="Calibri" w:hAnsi="Times New Roman" w:cs="Times New Roman"/>
                <w:sz w:val="24"/>
                <w:szCs w:val="24"/>
              </w:rPr>
              <w:t>AU</w:t>
            </w:r>
            <w:r w:rsidRPr="005365F6">
              <w:rPr>
                <w:rFonts w:ascii="Times New Roman" w:eastAsia="Calibri" w:hAnsi="Times New Roman" w:cs="Times New Roman"/>
                <w:sz w:val="24"/>
                <w:szCs w:val="24"/>
              </w:rPr>
              <w:t>-C</w:t>
            </w:r>
            <w:r w:rsidR="006D3EFD">
              <w:rPr>
                <w:rFonts w:ascii="Times New Roman" w:eastAsia="Calibri" w:hAnsi="Times New Roman" w:cs="Times New Roman"/>
                <w:sz w:val="24"/>
                <w:szCs w:val="24"/>
              </w:rPr>
              <w:t>OI</w:t>
            </w:r>
          </w:p>
          <w:p w:rsidR="00276B64" w:rsidRPr="005365F6" w:rsidP="00BF3EE4">
            <w:pPr>
              <w:autoSpaceDE w:val="0"/>
              <w:autoSpaceDN w:val="0"/>
              <w:adjustRightInd w:val="0"/>
              <w:spacing w:after="0"/>
              <w:rPr>
                <w:rFonts w:ascii="Times New Roman" w:eastAsia="Calibri" w:hAnsi="Times New Roman" w:cs="Times New Roman"/>
                <w:sz w:val="24"/>
                <w:szCs w:val="24"/>
              </w:rPr>
            </w:pPr>
          </w:p>
        </w:tc>
      </w:tr>
    </w:tbl>
    <w:p w:rsidR="00276B64" w:rsidRPr="005365F6" w:rsidP="00276B64">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276B64" w:rsidRPr="005365F6" w:rsidP="00276B64">
      <w:pPr>
        <w:autoSpaceDE w:val="0"/>
        <w:autoSpaceDN w:val="0"/>
        <w:adjustRightInd w:val="0"/>
        <w:spacing w:after="0" w:line="240" w:lineRule="auto"/>
        <w:rPr>
          <w:rFonts w:ascii="Times New Roman" w:eastAsia="Calibri" w:hAnsi="Times New Roman" w:cs="Times New Roman"/>
          <w:sz w:val="20"/>
          <w:szCs w:val="24"/>
        </w:rPr>
      </w:pP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MERIT</w:t>
      </w:r>
      <w:r w:rsidRPr="005365F6" w:rsidR="00980875">
        <w:rPr>
          <w:rFonts w:ascii="Times New Roman" w:eastAsia="Calibri" w:hAnsi="Times New Roman" w:cs="Times New Roman"/>
          <w:b/>
          <w:bCs/>
          <w:sz w:val="24"/>
          <w:szCs w:val="24"/>
        </w:rPr>
        <w:t xml:space="preserve"> BRIEF</w:t>
      </w: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BY</w:t>
      </w:r>
    </w:p>
    <w:p w:rsidR="00276B64" w:rsidRPr="005365F6" w:rsidP="00276B64">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OFFICE OF THE OHIO CONSUMERS’ COUNSEL</w:t>
      </w:r>
    </w:p>
    <w:p w:rsidR="00276B64" w:rsidRPr="005365F6" w:rsidP="00276B64">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276B64" w:rsidRPr="005365F6" w:rsidP="00276B64">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76B64" w:rsidRPr="005365F6" w:rsidP="00235F7E">
      <w:pPr>
        <w:pStyle w:val="Heading1"/>
      </w:pPr>
      <w:bookmarkStart w:id="2" w:name="_Toc521941227"/>
      <w:r>
        <w:t>I.</w:t>
      </w:r>
      <w:r>
        <w:tab/>
      </w:r>
      <w:r w:rsidRPr="005365F6" w:rsidR="00980875">
        <w:t>INTRODUCTION</w:t>
      </w:r>
      <w:bookmarkEnd w:id="2"/>
      <w:r w:rsidRPr="005365F6" w:rsidR="00980875">
        <w:t xml:space="preserve"> </w:t>
      </w:r>
    </w:p>
    <w:p w:rsidR="00D64ACD" w:rsidP="00191B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w:t>
      </w:r>
      <w:r w:rsidR="00663BDB">
        <w:rPr>
          <w:rFonts w:ascii="Times New Roman" w:hAnsi="Times New Roman" w:cs="Times New Roman"/>
          <w:sz w:val="24"/>
          <w:szCs w:val="24"/>
        </w:rPr>
        <w:t xml:space="preserve">a </w:t>
      </w:r>
      <w:r>
        <w:rPr>
          <w:rFonts w:ascii="Times New Roman" w:hAnsi="Times New Roman" w:cs="Times New Roman"/>
          <w:sz w:val="24"/>
          <w:szCs w:val="24"/>
        </w:rPr>
        <w:t xml:space="preserve">case that should be focused on </w:t>
      </w:r>
      <w:r w:rsidR="00815FD3">
        <w:rPr>
          <w:rFonts w:ascii="Times New Roman" w:hAnsi="Times New Roman" w:cs="Times New Roman"/>
          <w:sz w:val="24"/>
          <w:szCs w:val="24"/>
        </w:rPr>
        <w:t xml:space="preserve">protecting consumers by </w:t>
      </w:r>
      <w:r w:rsidR="00C36389">
        <w:rPr>
          <w:rFonts w:ascii="Times New Roman" w:hAnsi="Times New Roman" w:cs="Times New Roman"/>
          <w:sz w:val="24"/>
          <w:szCs w:val="24"/>
        </w:rPr>
        <w:t>fully and promptly</w:t>
      </w:r>
      <w:r w:rsidR="00663BDB">
        <w:rPr>
          <w:rFonts w:ascii="Times New Roman" w:hAnsi="Times New Roman" w:cs="Times New Roman"/>
          <w:sz w:val="24"/>
          <w:szCs w:val="24"/>
        </w:rPr>
        <w:t xml:space="preserve"> </w:t>
      </w:r>
      <w:r>
        <w:rPr>
          <w:rFonts w:ascii="Times New Roman" w:hAnsi="Times New Roman" w:cs="Times New Roman"/>
          <w:sz w:val="24"/>
          <w:szCs w:val="24"/>
        </w:rPr>
        <w:t xml:space="preserve">returning tax savings to </w:t>
      </w:r>
      <w:r w:rsidR="00815FD3">
        <w:rPr>
          <w:rFonts w:ascii="Times New Roman" w:hAnsi="Times New Roman" w:cs="Times New Roman"/>
          <w:sz w:val="24"/>
          <w:szCs w:val="24"/>
        </w:rPr>
        <w:t>them</w:t>
      </w:r>
      <w:r>
        <w:rPr>
          <w:rFonts w:ascii="Times New Roman" w:hAnsi="Times New Roman" w:cs="Times New Roman"/>
          <w:sz w:val="24"/>
          <w:szCs w:val="24"/>
        </w:rPr>
        <w:t xml:space="preserve"> through </w:t>
      </w:r>
      <w:r w:rsidR="00663BDB">
        <w:rPr>
          <w:rFonts w:ascii="Times New Roman" w:hAnsi="Times New Roman" w:cs="Times New Roman"/>
          <w:sz w:val="24"/>
          <w:szCs w:val="24"/>
        </w:rPr>
        <w:t xml:space="preserve">direct reductions to </w:t>
      </w:r>
      <w:r w:rsidR="00815FD3">
        <w:rPr>
          <w:rFonts w:ascii="Times New Roman" w:hAnsi="Times New Roman" w:cs="Times New Roman"/>
          <w:sz w:val="24"/>
          <w:szCs w:val="24"/>
        </w:rPr>
        <w:t xml:space="preserve">their </w:t>
      </w:r>
      <w:r w:rsidR="00663BDB">
        <w:rPr>
          <w:rFonts w:ascii="Times New Roman" w:hAnsi="Times New Roman" w:cs="Times New Roman"/>
          <w:sz w:val="24"/>
          <w:szCs w:val="24"/>
        </w:rPr>
        <w:t>utility bills. But in</w:t>
      </w:r>
      <w:r>
        <w:rPr>
          <w:rFonts w:ascii="Times New Roman" w:hAnsi="Times New Roman" w:cs="Times New Roman"/>
          <w:sz w:val="24"/>
          <w:szCs w:val="24"/>
        </w:rPr>
        <w:t xml:space="preserve">stead, some </w:t>
      </w:r>
      <w:r w:rsidR="00836578">
        <w:rPr>
          <w:rFonts w:ascii="Times New Roman" w:hAnsi="Times New Roman" w:cs="Times New Roman"/>
          <w:sz w:val="24"/>
          <w:szCs w:val="24"/>
        </w:rPr>
        <w:t xml:space="preserve">Ohio utilities </w:t>
      </w:r>
      <w:r w:rsidR="006E612A">
        <w:rPr>
          <w:rFonts w:ascii="Times New Roman" w:hAnsi="Times New Roman" w:cs="Times New Roman"/>
          <w:sz w:val="24"/>
          <w:szCs w:val="24"/>
        </w:rPr>
        <w:t>are trying to</w:t>
      </w:r>
      <w:r w:rsidR="00663BDB">
        <w:rPr>
          <w:rFonts w:ascii="Times New Roman" w:hAnsi="Times New Roman" w:cs="Times New Roman"/>
          <w:sz w:val="24"/>
          <w:szCs w:val="24"/>
        </w:rPr>
        <w:t xml:space="preserve"> </w:t>
      </w:r>
      <w:r w:rsidR="00815FD3">
        <w:rPr>
          <w:rFonts w:ascii="Times New Roman" w:hAnsi="Times New Roman" w:cs="Times New Roman"/>
          <w:sz w:val="24"/>
          <w:szCs w:val="24"/>
        </w:rPr>
        <w:t>turn this into an opportunity to enrich their shareholders by keeping t</w:t>
      </w:r>
      <w:r>
        <w:rPr>
          <w:rFonts w:ascii="Times New Roman" w:hAnsi="Times New Roman" w:cs="Times New Roman"/>
          <w:sz w:val="24"/>
          <w:szCs w:val="24"/>
        </w:rPr>
        <w:t xml:space="preserve">he </w:t>
      </w:r>
      <w:r w:rsidR="00663BDB">
        <w:rPr>
          <w:rFonts w:ascii="Times New Roman" w:hAnsi="Times New Roman" w:cs="Times New Roman"/>
          <w:sz w:val="24"/>
          <w:szCs w:val="24"/>
        </w:rPr>
        <w:t xml:space="preserve">tax </w:t>
      </w:r>
      <w:r>
        <w:rPr>
          <w:rFonts w:ascii="Times New Roman" w:hAnsi="Times New Roman" w:cs="Times New Roman"/>
          <w:sz w:val="24"/>
          <w:szCs w:val="24"/>
        </w:rPr>
        <w:t>savings for themselves</w:t>
      </w:r>
      <w:r w:rsidR="00815FD3">
        <w:rPr>
          <w:rFonts w:ascii="Times New Roman" w:hAnsi="Times New Roman" w:cs="Times New Roman"/>
          <w:sz w:val="24"/>
          <w:szCs w:val="24"/>
        </w:rPr>
        <w:t xml:space="preserve">. </w:t>
      </w:r>
      <w:r w:rsidR="00CD42B8">
        <w:rPr>
          <w:rFonts w:ascii="Times New Roman" w:hAnsi="Times New Roman" w:cs="Times New Roman"/>
          <w:sz w:val="24"/>
          <w:szCs w:val="24"/>
        </w:rPr>
        <w:t>As OCC witness</w:t>
      </w:r>
      <w:r w:rsidR="00AA75D9">
        <w:rPr>
          <w:rFonts w:ascii="Times New Roman" w:hAnsi="Times New Roman" w:cs="Times New Roman"/>
          <w:sz w:val="24"/>
          <w:szCs w:val="24"/>
        </w:rPr>
        <w:t xml:space="preserve"> Ross</w:t>
      </w:r>
      <w:r w:rsidR="00CD42B8">
        <w:rPr>
          <w:rFonts w:ascii="Times New Roman" w:hAnsi="Times New Roman" w:cs="Times New Roman"/>
          <w:sz w:val="24"/>
          <w:szCs w:val="24"/>
        </w:rPr>
        <w:t xml:space="preserve"> Willis stated: “If utilities are not required to return the deferred tax liability for these amounts, the utilities (and their shareholders) would receive an unjust and unreasonable windfall funded by customers because of the TCJA.”</w:t>
      </w:r>
      <w:r>
        <w:rPr>
          <w:rStyle w:val="FootnoteReference"/>
          <w:rFonts w:ascii="Times New Roman" w:hAnsi="Times New Roman" w:cs="Times New Roman"/>
          <w:sz w:val="24"/>
          <w:szCs w:val="24"/>
        </w:rPr>
        <w:footnoteReference w:id="2"/>
      </w:r>
      <w:r w:rsidR="00CD42B8">
        <w:rPr>
          <w:rFonts w:ascii="Times New Roman" w:hAnsi="Times New Roman" w:cs="Times New Roman"/>
          <w:sz w:val="24"/>
          <w:szCs w:val="24"/>
        </w:rPr>
        <w:t xml:space="preserve"> </w:t>
      </w:r>
      <w:r>
        <w:rPr>
          <w:rFonts w:ascii="Times New Roman" w:hAnsi="Times New Roman" w:cs="Times New Roman"/>
          <w:sz w:val="24"/>
          <w:szCs w:val="24"/>
        </w:rPr>
        <w:t xml:space="preserve">Customers </w:t>
      </w:r>
      <w:r w:rsidR="00C36389">
        <w:rPr>
          <w:rFonts w:ascii="Times New Roman" w:hAnsi="Times New Roman" w:cs="Times New Roman"/>
          <w:sz w:val="24"/>
          <w:szCs w:val="24"/>
        </w:rPr>
        <w:t xml:space="preserve">in Ohio </w:t>
      </w:r>
      <w:r>
        <w:rPr>
          <w:rFonts w:ascii="Times New Roman" w:hAnsi="Times New Roman" w:cs="Times New Roman"/>
          <w:sz w:val="24"/>
          <w:szCs w:val="24"/>
        </w:rPr>
        <w:t>deserve better</w:t>
      </w:r>
      <w:r w:rsidR="00A20644">
        <w:rPr>
          <w:rFonts w:ascii="Times New Roman" w:hAnsi="Times New Roman" w:cs="Times New Roman"/>
          <w:sz w:val="24"/>
          <w:szCs w:val="24"/>
        </w:rPr>
        <w:t>.</w:t>
      </w:r>
    </w:p>
    <w:p w:rsidR="00235F7E" w:rsidP="00235F7E">
      <w:pPr>
        <w:spacing w:after="0" w:line="240" w:lineRule="auto"/>
        <w:ind w:firstLine="720"/>
        <w:rPr>
          <w:rFonts w:ascii="Times New Roman" w:hAnsi="Times New Roman" w:cs="Times New Roman"/>
          <w:sz w:val="24"/>
          <w:szCs w:val="24"/>
        </w:rPr>
      </w:pPr>
    </w:p>
    <w:p w:rsidR="006E612A" w:rsidRPr="00AA75D9" w:rsidP="00235F7E">
      <w:pPr>
        <w:pStyle w:val="Heading1"/>
      </w:pPr>
      <w:bookmarkStart w:id="3" w:name="_Toc521941228"/>
      <w:r>
        <w:t>II.</w:t>
      </w:r>
      <w:r>
        <w:tab/>
        <w:t>BACKGROUND AND PROCEDURAL HISTORY</w:t>
      </w:r>
      <w:bookmarkEnd w:id="3"/>
    </w:p>
    <w:p w:rsidR="00410A86" w:rsidP="00191B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January 1, 2018, the Tax Cuts and Jobs Act of 2017 (“TCJA”) lowered the federal corporate </w:t>
      </w:r>
      <w:r w:rsidR="007A13F0">
        <w:rPr>
          <w:rFonts w:ascii="Times New Roman" w:hAnsi="Times New Roman" w:cs="Times New Roman"/>
          <w:sz w:val="24"/>
          <w:szCs w:val="24"/>
        </w:rPr>
        <w:t xml:space="preserve">income </w:t>
      </w:r>
      <w:r>
        <w:rPr>
          <w:rFonts w:ascii="Times New Roman" w:hAnsi="Times New Roman" w:cs="Times New Roman"/>
          <w:sz w:val="24"/>
          <w:szCs w:val="24"/>
        </w:rPr>
        <w:t>tax rate to 21%. Accordingly, on January 10, 2018, the Public Utilities Commission of Ohio (“PUCO”) opened this proceeding “to study the impacts of the TCJA on the Commission’s jurisdictional rate-regulated utilities</w:t>
      </w:r>
      <w:r w:rsidR="007A13F0">
        <w:rPr>
          <w:rFonts w:ascii="Times New Roman" w:hAnsi="Times New Roman" w:cs="Times New Roman"/>
          <w:sz w:val="24"/>
          <w:szCs w:val="24"/>
        </w:rPr>
        <w:t>,</w:t>
      </w:r>
      <w:r>
        <w:rPr>
          <w:rFonts w:ascii="Times New Roman" w:hAnsi="Times New Roman" w:cs="Times New Roman"/>
          <w:sz w:val="24"/>
          <w:szCs w:val="24"/>
        </w:rPr>
        <w:t xml:space="preserve"> and determine the appropriate course of action to pass benefits on to ratepayers.”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PUCO also </w:t>
      </w:r>
      <w:r w:rsidR="006E6AED">
        <w:rPr>
          <w:rFonts w:ascii="Times New Roman" w:hAnsi="Times New Roman" w:cs="Times New Roman"/>
          <w:sz w:val="24"/>
          <w:szCs w:val="24"/>
        </w:rPr>
        <w:t xml:space="preserve">directed </w:t>
      </w:r>
      <w:r>
        <w:rPr>
          <w:rFonts w:ascii="Times New Roman" w:hAnsi="Times New Roman" w:cs="Times New Roman"/>
          <w:sz w:val="24"/>
          <w:szCs w:val="24"/>
        </w:rPr>
        <w:t>all utilities</w:t>
      </w:r>
      <w:r w:rsidR="006E6AED">
        <w:rPr>
          <w:rFonts w:ascii="Times New Roman" w:hAnsi="Times New Roman" w:cs="Times New Roman"/>
          <w:sz w:val="24"/>
          <w:szCs w:val="24"/>
        </w:rPr>
        <w:t xml:space="preserve"> “to record on their books as a deferred liability, in an appropriate </w:t>
      </w:r>
      <w:r w:rsidR="007A13F0">
        <w:rPr>
          <w:rFonts w:ascii="Times New Roman" w:hAnsi="Times New Roman" w:cs="Times New Roman"/>
          <w:sz w:val="24"/>
          <w:szCs w:val="24"/>
        </w:rPr>
        <w:t>account</w:t>
      </w:r>
      <w:r w:rsidR="006E6AED">
        <w:rPr>
          <w:rFonts w:ascii="Times New Roman" w:hAnsi="Times New Roman" w:cs="Times New Roman"/>
          <w:sz w:val="24"/>
          <w:szCs w:val="24"/>
        </w:rPr>
        <w:t>, the estimated reduction in federal income tax resulting from the TCJA.”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D3160F" w:rsidP="00191B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Ohio’s electric distribution utilities (the “Electric Utilities”</w:t>
      </w:r>
      <w:r>
        <w:rPr>
          <w:rStyle w:val="FootnoteReference"/>
          <w:rFonts w:ascii="Times New Roman" w:hAnsi="Times New Roman" w:cs="Times New Roman"/>
          <w:sz w:val="24"/>
          <w:szCs w:val="24"/>
        </w:rPr>
        <w:footnoteReference w:id="5"/>
      </w:r>
      <w:r w:rsidR="003F3732">
        <w:rPr>
          <w:rFonts w:ascii="Times New Roman" w:hAnsi="Times New Roman" w:cs="Times New Roman"/>
          <w:sz w:val="24"/>
          <w:szCs w:val="24"/>
        </w:rPr>
        <w:t>)</w:t>
      </w:r>
      <w:r>
        <w:rPr>
          <w:rFonts w:ascii="Times New Roman" w:hAnsi="Times New Roman" w:cs="Times New Roman"/>
          <w:sz w:val="24"/>
          <w:szCs w:val="24"/>
        </w:rPr>
        <w:t xml:space="preserve"> </w:t>
      </w:r>
      <w:r w:rsidR="006E612A">
        <w:rPr>
          <w:rFonts w:ascii="Times New Roman" w:hAnsi="Times New Roman" w:cs="Times New Roman"/>
          <w:sz w:val="24"/>
          <w:szCs w:val="24"/>
        </w:rPr>
        <w:t>challenged the PUCO’s ruling in a joint application for rehearing.</w:t>
      </w:r>
      <w:r>
        <w:rPr>
          <w:rStyle w:val="FootnoteReference"/>
          <w:rFonts w:ascii="Times New Roman" w:hAnsi="Times New Roman" w:cs="Times New Roman"/>
          <w:sz w:val="24"/>
          <w:szCs w:val="24"/>
        </w:rPr>
        <w:footnoteReference w:id="6"/>
      </w:r>
      <w:r w:rsidR="006E612A">
        <w:rPr>
          <w:rFonts w:ascii="Times New Roman" w:hAnsi="Times New Roman" w:cs="Times New Roman"/>
          <w:sz w:val="24"/>
          <w:szCs w:val="24"/>
        </w:rPr>
        <w:t xml:space="preserve"> In short, the Electric Utilities are looking for ways to keep the tax savings from the TCJA for themselves, or at a minimum, substantially delay returning that money to customers.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E05F55">
        <w:rPr>
          <w:rFonts w:ascii="Times New Roman" w:hAnsi="Times New Roman" w:cs="Times New Roman"/>
          <w:sz w:val="24"/>
          <w:szCs w:val="24"/>
        </w:rPr>
        <w:t xml:space="preserve">To date, the PUCO has </w:t>
      </w:r>
      <w:r w:rsidR="00663BDB">
        <w:rPr>
          <w:rFonts w:ascii="Times New Roman" w:hAnsi="Times New Roman" w:cs="Times New Roman"/>
          <w:sz w:val="24"/>
          <w:szCs w:val="24"/>
        </w:rPr>
        <w:t>wisely</w:t>
      </w:r>
      <w:r w:rsidR="00E05F55">
        <w:rPr>
          <w:rFonts w:ascii="Times New Roman" w:hAnsi="Times New Roman" w:cs="Times New Roman"/>
          <w:sz w:val="24"/>
          <w:szCs w:val="24"/>
        </w:rPr>
        <w:t xml:space="preserve"> rejected that view and </w:t>
      </w:r>
      <w:r w:rsidR="003F3732">
        <w:rPr>
          <w:rFonts w:ascii="Times New Roman" w:hAnsi="Times New Roman" w:cs="Times New Roman"/>
          <w:sz w:val="24"/>
          <w:szCs w:val="24"/>
        </w:rPr>
        <w:t>declared</w:t>
      </w:r>
      <w:r w:rsidR="00E05F55">
        <w:rPr>
          <w:rFonts w:ascii="Times New Roman" w:hAnsi="Times New Roman" w:cs="Times New Roman"/>
          <w:sz w:val="24"/>
          <w:szCs w:val="24"/>
        </w:rPr>
        <w:t xml:space="preserve"> that the tax savings belong to customers:</w:t>
      </w:r>
    </w:p>
    <w:p w:rsidR="00E05F55" w:rsidP="00235F7E">
      <w:pPr>
        <w:pStyle w:val="ListParagraph"/>
        <w:keepLines/>
        <w:numPr>
          <w:ilvl w:val="0"/>
          <w:numId w:val="12"/>
        </w:numPr>
        <w:spacing w:after="240" w:line="240" w:lineRule="auto"/>
        <w:ind w:right="720" w:hanging="720"/>
        <w:contextualSpacing w:val="0"/>
        <w:rPr>
          <w:rFonts w:ascii="Times New Roman" w:hAnsi="Times New Roman" w:cs="Times New Roman"/>
          <w:sz w:val="24"/>
          <w:szCs w:val="24"/>
        </w:rPr>
      </w:pPr>
      <w:r>
        <w:rPr>
          <w:rFonts w:ascii="Times New Roman" w:hAnsi="Times New Roman" w:cs="Times New Roman"/>
          <w:sz w:val="24"/>
          <w:szCs w:val="24"/>
        </w:rPr>
        <w:t xml:space="preserve">“[T]he Commission intends that all tax impacts resulting from the TCJA </w:t>
      </w:r>
      <w:r w:rsidRPr="00D16856">
        <w:rPr>
          <w:rFonts w:ascii="Times New Roman" w:hAnsi="Times New Roman" w:cs="Times New Roman"/>
          <w:i/>
          <w:sz w:val="24"/>
          <w:szCs w:val="24"/>
        </w:rPr>
        <w:t>will be</w:t>
      </w:r>
      <w:r>
        <w:rPr>
          <w:rFonts w:ascii="Times New Roman" w:hAnsi="Times New Roman" w:cs="Times New Roman"/>
          <w:sz w:val="24"/>
          <w:szCs w:val="24"/>
        </w:rPr>
        <w:t xml:space="preserve"> returned to customers, whether through this proceeding or through a case-by-case determination for each affected utility; and the deferred liability for each utility should remain in place until this has been accomplished.”</w:t>
      </w:r>
      <w:r>
        <w:rPr>
          <w:rStyle w:val="FootnoteReference"/>
          <w:rFonts w:ascii="Times New Roman" w:hAnsi="Times New Roman" w:cs="Times New Roman"/>
          <w:sz w:val="24"/>
          <w:szCs w:val="24"/>
        </w:rPr>
        <w:footnoteReference w:id="8"/>
      </w:r>
    </w:p>
    <w:p w:rsidR="00E05F55" w:rsidP="00235F7E">
      <w:pPr>
        <w:pStyle w:val="ListParagraph"/>
        <w:keepLines/>
        <w:numPr>
          <w:ilvl w:val="0"/>
          <w:numId w:val="12"/>
        </w:numPr>
        <w:spacing w:after="240" w:line="240" w:lineRule="auto"/>
        <w:ind w:right="720" w:hanging="720"/>
        <w:contextualSpacing w:val="0"/>
        <w:rPr>
          <w:rFonts w:ascii="Times New Roman" w:hAnsi="Times New Roman" w:cs="Times New Roman"/>
          <w:sz w:val="24"/>
          <w:szCs w:val="24"/>
        </w:rPr>
      </w:pPr>
      <w:r>
        <w:rPr>
          <w:rFonts w:ascii="Times New Roman" w:hAnsi="Times New Roman" w:cs="Times New Roman"/>
          <w:sz w:val="24"/>
          <w:szCs w:val="24"/>
        </w:rPr>
        <w:t>“[I]rrespective of whether the final determination is made in this proceeding, or on a case-by-case basis in other proceedings, we will be guided by one central principle: all tax savings resulting from the TCJA should be returned to the ratepayers.”</w:t>
      </w:r>
      <w:r>
        <w:rPr>
          <w:rStyle w:val="FootnoteReference"/>
          <w:rFonts w:ascii="Times New Roman" w:hAnsi="Times New Roman" w:cs="Times New Roman"/>
          <w:sz w:val="24"/>
          <w:szCs w:val="24"/>
        </w:rPr>
        <w:footnoteReference w:id="9"/>
      </w:r>
    </w:p>
    <w:p w:rsidR="00AA75D9" w:rsidP="00191B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same time, however, the PUCO granted the Electric Utilities’ Application for Rehearing in part</w:t>
      </w:r>
      <w:r w:rsidR="00910EA4">
        <w:rPr>
          <w:rFonts w:ascii="Times New Roman" w:hAnsi="Times New Roman" w:cs="Times New Roman"/>
          <w:sz w:val="24"/>
          <w:szCs w:val="24"/>
        </w:rPr>
        <w:t xml:space="preserve"> with respect to the Accounting Directive</w:t>
      </w:r>
      <w:r>
        <w:rPr>
          <w:rFonts w:ascii="Times New Roman" w:hAnsi="Times New Roman" w:cs="Times New Roman"/>
          <w:sz w:val="24"/>
          <w:szCs w:val="24"/>
        </w:rPr>
        <w:t xml:space="preserve">. The PUCO found that although the Electric Utilities are not </w:t>
      </w:r>
      <w:r>
        <w:rPr>
          <w:rFonts w:ascii="Times New Roman" w:hAnsi="Times New Roman" w:cs="Times New Roman"/>
          <w:i/>
          <w:sz w:val="24"/>
          <w:szCs w:val="24"/>
        </w:rPr>
        <w:t>entitled</w:t>
      </w:r>
      <w:r>
        <w:rPr>
          <w:rFonts w:ascii="Times New Roman" w:hAnsi="Times New Roman" w:cs="Times New Roman"/>
          <w:sz w:val="24"/>
          <w:szCs w:val="24"/>
        </w:rPr>
        <w:t xml:space="preserve"> to a hearing </w:t>
      </w:r>
      <w:r w:rsidR="00910EA4">
        <w:rPr>
          <w:rFonts w:ascii="Times New Roman" w:hAnsi="Times New Roman" w:cs="Times New Roman"/>
          <w:sz w:val="24"/>
          <w:szCs w:val="24"/>
        </w:rPr>
        <w:t>on the Accounting Directive, the PUCO has the discretion to hold a hearing on the issue.</w:t>
      </w:r>
      <w:r>
        <w:rPr>
          <w:rStyle w:val="FootnoteReference"/>
          <w:rFonts w:ascii="Times New Roman" w:hAnsi="Times New Roman" w:cs="Times New Roman"/>
          <w:sz w:val="24"/>
          <w:szCs w:val="24"/>
        </w:rPr>
        <w:footnoteReference w:id="10"/>
      </w:r>
      <w:r w:rsidR="00910EA4">
        <w:rPr>
          <w:rFonts w:ascii="Times New Roman" w:hAnsi="Times New Roman" w:cs="Times New Roman"/>
          <w:sz w:val="24"/>
          <w:szCs w:val="24"/>
        </w:rPr>
        <w:t xml:space="preserve"> Thus, it ordered all utilities to continue complying with the Accounting Directive, but also directed the Attorney Examiner to schedule a hearing on</w:t>
      </w:r>
      <w:r w:rsidR="00386312">
        <w:rPr>
          <w:rFonts w:ascii="Times New Roman" w:hAnsi="Times New Roman" w:cs="Times New Roman"/>
          <w:sz w:val="24"/>
          <w:szCs w:val="24"/>
        </w:rPr>
        <w:t xml:space="preserve"> the “narrow question of whether the utilities should be required to establish a deferred tax liability, effective January 1, 2018.”</w:t>
      </w:r>
      <w:r>
        <w:rPr>
          <w:rStyle w:val="FootnoteReference"/>
          <w:rFonts w:ascii="Times New Roman" w:hAnsi="Times New Roman" w:cs="Times New Roman"/>
          <w:sz w:val="24"/>
          <w:szCs w:val="24"/>
        </w:rPr>
        <w:footnoteReference w:id="11"/>
      </w:r>
      <w:r w:rsidR="00386312">
        <w:rPr>
          <w:rFonts w:ascii="Times New Roman" w:hAnsi="Times New Roman" w:cs="Times New Roman"/>
          <w:sz w:val="24"/>
          <w:szCs w:val="24"/>
        </w:rPr>
        <w:t xml:space="preserve"> </w:t>
      </w:r>
    </w:p>
    <w:p w:rsidR="00386312" w:rsidP="00191B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answer to that question is yes. Utilities should be required to establish a deferred tax liability because that will facilitate </w:t>
      </w:r>
      <w:r>
        <w:rPr>
          <w:rFonts w:ascii="Times New Roman" w:hAnsi="Times New Roman" w:cs="Times New Roman"/>
          <w:sz w:val="24"/>
          <w:szCs w:val="24"/>
        </w:rPr>
        <w:t>the PUCO’s stated goal of passing all TCJA tax savings to customers</w:t>
      </w:r>
      <w:r w:rsidR="00A20644">
        <w:rPr>
          <w:rFonts w:ascii="Times New Roman" w:hAnsi="Times New Roman" w:cs="Times New Roman"/>
          <w:sz w:val="24"/>
          <w:szCs w:val="24"/>
        </w:rPr>
        <w:t>.</w:t>
      </w:r>
      <w:r>
        <w:rPr>
          <w:rFonts w:ascii="Times New Roman" w:hAnsi="Times New Roman" w:cs="Times New Roman"/>
          <w:sz w:val="24"/>
          <w:szCs w:val="24"/>
        </w:rPr>
        <w:t xml:space="preserve"> This is </w:t>
      </w:r>
      <w:r w:rsidR="00AA75D9">
        <w:rPr>
          <w:rFonts w:ascii="Times New Roman" w:hAnsi="Times New Roman" w:cs="Times New Roman"/>
          <w:sz w:val="24"/>
          <w:szCs w:val="24"/>
        </w:rPr>
        <w:t>the</w:t>
      </w:r>
      <w:r>
        <w:rPr>
          <w:rFonts w:ascii="Times New Roman" w:hAnsi="Times New Roman" w:cs="Times New Roman"/>
          <w:sz w:val="24"/>
          <w:szCs w:val="24"/>
        </w:rPr>
        <w:t xml:space="preserve"> just and reasonable result for consumers.</w:t>
      </w:r>
    </w:p>
    <w:p w:rsidR="00235F7E" w:rsidP="00235F7E">
      <w:pPr>
        <w:spacing w:after="0" w:line="240" w:lineRule="auto"/>
        <w:ind w:firstLine="720"/>
        <w:rPr>
          <w:rFonts w:ascii="Times New Roman" w:hAnsi="Times New Roman" w:cs="Times New Roman"/>
          <w:sz w:val="24"/>
          <w:szCs w:val="24"/>
        </w:rPr>
      </w:pPr>
    </w:p>
    <w:p w:rsidR="00D4163B" w:rsidRPr="005365F6" w:rsidP="00235F7E">
      <w:pPr>
        <w:pStyle w:val="Heading1"/>
      </w:pPr>
      <w:bookmarkStart w:id="4" w:name="_Toc521941229"/>
      <w:r>
        <w:t>III.</w:t>
      </w:r>
      <w:r>
        <w:tab/>
      </w:r>
      <w:r w:rsidRPr="005365F6">
        <w:t xml:space="preserve">STANDARD </w:t>
      </w:r>
      <w:r w:rsidRPr="00235F7E">
        <w:t>OF</w:t>
      </w:r>
      <w:r w:rsidRPr="005365F6">
        <w:t xml:space="preserve"> REVIEW</w:t>
      </w:r>
      <w:bookmarkEnd w:id="4"/>
    </w:p>
    <w:p w:rsidR="00573D10" w:rsidP="00573D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Generally, the PUCO will approve deferrals whe</w:t>
      </w:r>
      <w:r w:rsidR="00F73186">
        <w:rPr>
          <w:rFonts w:ascii="Times New Roman" w:hAnsi="Times New Roman" w:cs="Times New Roman"/>
          <w:sz w:val="24"/>
          <w:szCs w:val="24"/>
        </w:rPr>
        <w:t>n</w:t>
      </w:r>
      <w:r>
        <w:rPr>
          <w:rFonts w:ascii="Times New Roman" w:hAnsi="Times New Roman" w:cs="Times New Roman"/>
          <w:sz w:val="24"/>
          <w:szCs w:val="24"/>
        </w:rPr>
        <w:t xml:space="preserve"> </w:t>
      </w:r>
      <w:r w:rsidR="00F73186">
        <w:rPr>
          <w:rFonts w:ascii="Times New Roman" w:hAnsi="Times New Roman" w:cs="Times New Roman"/>
          <w:sz w:val="24"/>
          <w:szCs w:val="24"/>
        </w:rPr>
        <w:t xml:space="preserve">it </w:t>
      </w:r>
      <w:r w:rsidR="00540992">
        <w:rPr>
          <w:rFonts w:ascii="Times New Roman" w:hAnsi="Times New Roman" w:cs="Times New Roman"/>
          <w:sz w:val="24"/>
          <w:szCs w:val="24"/>
        </w:rPr>
        <w:t>finds</w:t>
      </w:r>
      <w:r>
        <w:rPr>
          <w:rFonts w:ascii="Times New Roman" w:hAnsi="Times New Roman" w:cs="Times New Roman"/>
          <w:sz w:val="24"/>
          <w:szCs w:val="24"/>
        </w:rPr>
        <w:t xml:space="preserve"> </w:t>
      </w:r>
      <w:r w:rsidR="00540992">
        <w:rPr>
          <w:rFonts w:ascii="Times New Roman" w:hAnsi="Times New Roman" w:cs="Times New Roman"/>
          <w:sz w:val="24"/>
          <w:szCs w:val="24"/>
        </w:rPr>
        <w:t xml:space="preserve">that </w:t>
      </w:r>
      <w:r>
        <w:rPr>
          <w:rFonts w:ascii="Times New Roman" w:hAnsi="Times New Roman" w:cs="Times New Roman"/>
          <w:sz w:val="24"/>
          <w:szCs w:val="24"/>
        </w:rPr>
        <w:t xml:space="preserve">there are </w:t>
      </w:r>
      <w:r w:rsidR="0022298B">
        <w:rPr>
          <w:rFonts w:ascii="Times New Roman" w:hAnsi="Times New Roman" w:cs="Times New Roman"/>
          <w:sz w:val="24"/>
          <w:szCs w:val="24"/>
        </w:rPr>
        <w:t>“</w:t>
      </w:r>
      <w:r>
        <w:rPr>
          <w:rFonts w:ascii="Times New Roman" w:hAnsi="Times New Roman" w:cs="Times New Roman"/>
          <w:sz w:val="24"/>
          <w:szCs w:val="24"/>
        </w:rPr>
        <w:t>both exigent circumstances and good reason demonstrate</w:t>
      </w:r>
      <w:r w:rsidR="0022298B">
        <w:rPr>
          <w:rFonts w:ascii="Times New Roman" w:hAnsi="Times New Roman" w:cs="Times New Roman"/>
          <w:sz w:val="24"/>
          <w:szCs w:val="24"/>
        </w:rPr>
        <w:t>d</w:t>
      </w:r>
      <w:r>
        <w:rPr>
          <w:rFonts w:ascii="Times New Roman" w:hAnsi="Times New Roman" w:cs="Times New Roman"/>
          <w:sz w:val="24"/>
          <w:szCs w:val="24"/>
        </w:rPr>
        <w:t xml:space="preserve"> before such amounts should be treated differently from ordinary utility expenses.”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18010D">
        <w:rPr>
          <w:rFonts w:ascii="Times New Roman" w:hAnsi="Times New Roman" w:cs="Times New Roman"/>
          <w:sz w:val="24"/>
          <w:szCs w:val="24"/>
        </w:rPr>
        <w:t>To accomplish this</w:t>
      </w:r>
      <w:r w:rsidR="0022298B">
        <w:rPr>
          <w:rFonts w:ascii="Times New Roman" w:hAnsi="Times New Roman" w:cs="Times New Roman"/>
          <w:sz w:val="24"/>
          <w:szCs w:val="24"/>
        </w:rPr>
        <w:t>,</w:t>
      </w:r>
      <w:r w:rsidR="0018010D">
        <w:rPr>
          <w:rFonts w:ascii="Times New Roman" w:hAnsi="Times New Roman" w:cs="Times New Roman"/>
          <w:sz w:val="24"/>
          <w:szCs w:val="24"/>
        </w:rPr>
        <w:t xml:space="preserve"> the </w:t>
      </w:r>
      <w:r w:rsidR="00261A23">
        <w:rPr>
          <w:rFonts w:ascii="Times New Roman" w:hAnsi="Times New Roman" w:cs="Times New Roman"/>
          <w:sz w:val="24"/>
          <w:szCs w:val="24"/>
        </w:rPr>
        <w:t>PUCO has used a number of factors to determine whether to authorize a utility to defer a regulatory asset. While no factor is determinative, the PUCO has applied these factors over its history of considering deferral</w:t>
      </w:r>
      <w:r w:rsidR="00072BE3">
        <w:rPr>
          <w:rFonts w:ascii="Times New Roman" w:hAnsi="Times New Roman" w:cs="Times New Roman"/>
          <w:sz w:val="24"/>
          <w:szCs w:val="24"/>
        </w:rPr>
        <w:t>s</w:t>
      </w:r>
      <w:r w:rsidR="00261A23">
        <w:rPr>
          <w:rFonts w:ascii="Times New Roman" w:hAnsi="Times New Roman" w:cs="Times New Roman"/>
          <w:sz w:val="24"/>
          <w:szCs w:val="24"/>
        </w:rPr>
        <w:t xml:space="preserve">. </w:t>
      </w:r>
      <w:r>
        <w:rPr>
          <w:rFonts w:ascii="Times New Roman" w:hAnsi="Times New Roman" w:cs="Times New Roman"/>
          <w:sz w:val="24"/>
          <w:szCs w:val="24"/>
        </w:rPr>
        <w:t>The factors</w:t>
      </w:r>
      <w:r w:rsidR="00910EA4">
        <w:rPr>
          <w:rFonts w:ascii="Times New Roman" w:hAnsi="Times New Roman" w:cs="Times New Roman"/>
          <w:sz w:val="24"/>
          <w:szCs w:val="24"/>
        </w:rPr>
        <w:t>—</w:t>
      </w:r>
      <w:r>
        <w:rPr>
          <w:rFonts w:ascii="Times New Roman" w:hAnsi="Times New Roman" w:cs="Times New Roman"/>
          <w:sz w:val="24"/>
          <w:szCs w:val="24"/>
        </w:rPr>
        <w:t xml:space="preserve">adjusted to reflect </w:t>
      </w:r>
      <w:r w:rsidR="00373263">
        <w:rPr>
          <w:rFonts w:ascii="Times New Roman" w:hAnsi="Times New Roman" w:cs="Times New Roman"/>
          <w:sz w:val="24"/>
          <w:szCs w:val="24"/>
        </w:rPr>
        <w:t xml:space="preserve">that this case is for </w:t>
      </w:r>
      <w:r>
        <w:rPr>
          <w:rFonts w:ascii="Times New Roman" w:hAnsi="Times New Roman" w:cs="Times New Roman"/>
          <w:sz w:val="24"/>
          <w:szCs w:val="24"/>
        </w:rPr>
        <w:t>a regulatory liability</w:t>
      </w:r>
      <w:r w:rsidR="00373263">
        <w:rPr>
          <w:rFonts w:ascii="Times New Roman" w:hAnsi="Times New Roman" w:cs="Times New Roman"/>
          <w:sz w:val="24"/>
          <w:szCs w:val="24"/>
        </w:rPr>
        <w:t xml:space="preserve"> </w:t>
      </w:r>
      <w:r w:rsidR="00C36389">
        <w:rPr>
          <w:rFonts w:ascii="Times New Roman" w:hAnsi="Times New Roman" w:cs="Times New Roman"/>
          <w:sz w:val="24"/>
          <w:szCs w:val="24"/>
        </w:rPr>
        <w:t xml:space="preserve">(which protects consumers) </w:t>
      </w:r>
      <w:r w:rsidR="00373263">
        <w:rPr>
          <w:rFonts w:ascii="Times New Roman" w:hAnsi="Times New Roman" w:cs="Times New Roman"/>
          <w:sz w:val="24"/>
          <w:szCs w:val="24"/>
        </w:rPr>
        <w:t>as opposed to a regulatory asset</w:t>
      </w:r>
      <w:r w:rsidR="00C36389">
        <w:rPr>
          <w:rFonts w:ascii="Times New Roman" w:hAnsi="Times New Roman" w:cs="Times New Roman"/>
          <w:sz w:val="24"/>
          <w:szCs w:val="24"/>
        </w:rPr>
        <w:t xml:space="preserve"> (</w:t>
      </w:r>
      <w:r w:rsidR="00910EA4">
        <w:rPr>
          <w:rFonts w:ascii="Times New Roman" w:hAnsi="Times New Roman" w:cs="Times New Roman"/>
          <w:sz w:val="24"/>
          <w:szCs w:val="24"/>
        </w:rPr>
        <w:t>which</w:t>
      </w:r>
      <w:r w:rsidR="00C36389">
        <w:rPr>
          <w:rFonts w:ascii="Times New Roman" w:hAnsi="Times New Roman" w:cs="Times New Roman"/>
          <w:sz w:val="24"/>
          <w:szCs w:val="24"/>
        </w:rPr>
        <w:t xml:space="preserve"> benefits utilities)</w:t>
      </w:r>
      <w:r w:rsidR="00910EA4">
        <w:rPr>
          <w:rFonts w:ascii="Times New Roman" w:hAnsi="Times New Roman" w:cs="Times New Roman"/>
          <w:sz w:val="24"/>
          <w:szCs w:val="24"/>
        </w:rPr>
        <w:t>—a</w:t>
      </w:r>
      <w:r>
        <w:rPr>
          <w:rFonts w:ascii="Times New Roman" w:hAnsi="Times New Roman" w:cs="Times New Roman"/>
          <w:sz w:val="24"/>
          <w:szCs w:val="24"/>
        </w:rPr>
        <w:t>re as follows:</w:t>
      </w:r>
    </w:p>
    <w:p w:rsid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bookmarkStart w:id="5" w:name="_Hlk520979601"/>
      <w:r w:rsidRPr="00A20644">
        <w:rPr>
          <w:rFonts w:ascii="Times New Roman" w:hAnsi="Times New Roman" w:cs="Times New Roman"/>
          <w:sz w:val="24"/>
          <w:szCs w:val="24"/>
        </w:rPr>
        <w:t>Whether the utility’s current rates or revenues are insufficient to cover the costs associated with the deferral</w:t>
      </w:r>
      <w:bookmarkEnd w:id="5"/>
      <w:r w:rsidRPr="00A20644">
        <w:rPr>
          <w:rFonts w:ascii="Times New Roman" w:hAnsi="Times New Roman" w:cs="Times New Roman"/>
          <w:sz w:val="24"/>
          <w:szCs w:val="24"/>
        </w:rPr>
        <w:t>;</w:t>
      </w:r>
    </w:p>
    <w:p w:rsid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r w:rsidRPr="00A20644">
        <w:rPr>
          <w:rFonts w:ascii="Times New Roman" w:hAnsi="Times New Roman" w:cs="Times New Roman"/>
          <w:sz w:val="24"/>
          <w:szCs w:val="24"/>
        </w:rPr>
        <w:t>Whether the expense reductions are material;</w:t>
      </w:r>
    </w:p>
    <w:p w:rsid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r w:rsidRPr="00A20644">
        <w:rPr>
          <w:rFonts w:ascii="Times New Roman" w:hAnsi="Times New Roman" w:cs="Times New Roman"/>
          <w:sz w:val="24"/>
          <w:szCs w:val="24"/>
        </w:rPr>
        <w:t>Whether the reason for the deferral is outside the utility’s control;</w:t>
      </w:r>
    </w:p>
    <w:p w:rsid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r w:rsidRPr="00A20644">
        <w:rPr>
          <w:rFonts w:ascii="Times New Roman" w:hAnsi="Times New Roman" w:cs="Times New Roman"/>
          <w:sz w:val="24"/>
          <w:szCs w:val="24"/>
        </w:rPr>
        <w:t>Whether the expense reductions are atypical and infrequent;</w:t>
      </w:r>
    </w:p>
    <w:p w:rsid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r w:rsidRPr="00A20644">
        <w:rPr>
          <w:rFonts w:ascii="Times New Roman" w:hAnsi="Times New Roman" w:cs="Times New Roman"/>
          <w:sz w:val="24"/>
          <w:szCs w:val="24"/>
        </w:rPr>
        <w:t xml:space="preserve">Whether the financial </w:t>
      </w:r>
      <w:r w:rsidRPr="00A20644" w:rsidR="00373263">
        <w:rPr>
          <w:rFonts w:ascii="Times New Roman" w:hAnsi="Times New Roman" w:cs="Times New Roman"/>
          <w:sz w:val="24"/>
          <w:szCs w:val="24"/>
        </w:rPr>
        <w:t xml:space="preserve">well-being </w:t>
      </w:r>
      <w:r w:rsidRPr="00A20644" w:rsidR="00CB0AD7">
        <w:rPr>
          <w:rFonts w:ascii="Times New Roman" w:hAnsi="Times New Roman" w:cs="Times New Roman"/>
          <w:sz w:val="24"/>
          <w:szCs w:val="24"/>
        </w:rPr>
        <w:t>of customers</w:t>
      </w:r>
      <w:r>
        <w:rPr>
          <w:rStyle w:val="FootnoteReference"/>
          <w:rFonts w:ascii="Times New Roman" w:hAnsi="Times New Roman" w:cs="Times New Roman"/>
          <w:sz w:val="24"/>
          <w:szCs w:val="24"/>
        </w:rPr>
        <w:footnoteReference w:id="13"/>
      </w:r>
      <w:r w:rsidRPr="00A20644" w:rsidR="00D10D49">
        <w:rPr>
          <w:rFonts w:ascii="Times New Roman" w:hAnsi="Times New Roman" w:cs="Times New Roman"/>
          <w:sz w:val="24"/>
          <w:szCs w:val="24"/>
        </w:rPr>
        <w:t xml:space="preserve"> </w:t>
      </w:r>
      <w:r w:rsidRPr="00A20644">
        <w:rPr>
          <w:rFonts w:ascii="Times New Roman" w:hAnsi="Times New Roman" w:cs="Times New Roman"/>
          <w:sz w:val="24"/>
          <w:szCs w:val="24"/>
        </w:rPr>
        <w:t xml:space="preserve">will be significantly and adversely affected if the deferral is </w:t>
      </w:r>
      <w:r w:rsidRPr="00A20644" w:rsidR="00CB0AD7">
        <w:rPr>
          <w:rFonts w:ascii="Times New Roman" w:hAnsi="Times New Roman" w:cs="Times New Roman"/>
          <w:sz w:val="24"/>
          <w:szCs w:val="24"/>
        </w:rPr>
        <w:t xml:space="preserve">not </w:t>
      </w:r>
      <w:r w:rsidRPr="00A20644">
        <w:rPr>
          <w:rFonts w:ascii="Times New Roman" w:hAnsi="Times New Roman" w:cs="Times New Roman"/>
          <w:sz w:val="24"/>
          <w:szCs w:val="24"/>
        </w:rPr>
        <w:t>required; and</w:t>
      </w:r>
    </w:p>
    <w:p w:rsidR="00573D10" w:rsidRPr="00A20644" w:rsidP="00A20644">
      <w:pPr>
        <w:pStyle w:val="ListParagraph"/>
        <w:numPr>
          <w:ilvl w:val="0"/>
          <w:numId w:val="14"/>
        </w:numPr>
        <w:spacing w:after="240" w:line="240" w:lineRule="auto"/>
        <w:ind w:right="720" w:hanging="720"/>
        <w:contextualSpacing w:val="0"/>
        <w:rPr>
          <w:rFonts w:ascii="Times New Roman" w:hAnsi="Times New Roman" w:cs="Times New Roman"/>
          <w:sz w:val="24"/>
          <w:szCs w:val="24"/>
        </w:rPr>
      </w:pPr>
      <w:r w:rsidRPr="00A20644">
        <w:rPr>
          <w:rFonts w:ascii="Times New Roman" w:hAnsi="Times New Roman" w:cs="Times New Roman"/>
          <w:sz w:val="24"/>
          <w:szCs w:val="24"/>
        </w:rPr>
        <w:t xml:space="preserve">Whether the </w:t>
      </w:r>
      <w:r w:rsidRPr="00A20644" w:rsidR="00373263">
        <w:rPr>
          <w:rFonts w:ascii="Times New Roman" w:hAnsi="Times New Roman" w:cs="Times New Roman"/>
          <w:sz w:val="24"/>
          <w:szCs w:val="24"/>
        </w:rPr>
        <w:t xml:space="preserve">PUCO </w:t>
      </w:r>
      <w:r w:rsidRPr="00A20644">
        <w:rPr>
          <w:rFonts w:ascii="Times New Roman" w:hAnsi="Times New Roman" w:cs="Times New Roman"/>
          <w:sz w:val="24"/>
          <w:szCs w:val="24"/>
        </w:rPr>
        <w:t>can encourage the utility to do something it would not otherwise do by requiring a deferral.</w:t>
      </w:r>
      <w:r>
        <w:rPr>
          <w:rStyle w:val="FootnoteReference"/>
          <w:rFonts w:ascii="Times New Roman" w:hAnsi="Times New Roman" w:cs="Times New Roman"/>
          <w:sz w:val="24"/>
          <w:szCs w:val="24"/>
        </w:rPr>
        <w:footnoteReference w:id="14"/>
      </w:r>
    </w:p>
    <w:p w:rsidR="00261A23" w:rsidP="00573D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w:t>
      </w:r>
      <w:r>
        <w:rPr>
          <w:rFonts w:ascii="Times New Roman" w:hAnsi="Times New Roman" w:cs="Times New Roman"/>
          <w:sz w:val="24"/>
          <w:szCs w:val="24"/>
        </w:rPr>
        <w:t xml:space="preserve">PUCO </w:t>
      </w:r>
      <w:r w:rsidR="00386312">
        <w:rPr>
          <w:rFonts w:ascii="Times New Roman" w:hAnsi="Times New Roman" w:cs="Times New Roman"/>
          <w:sz w:val="24"/>
          <w:szCs w:val="24"/>
        </w:rPr>
        <w:t xml:space="preserve">can </w:t>
      </w:r>
      <w:r w:rsidR="00C358C6">
        <w:rPr>
          <w:rFonts w:ascii="Times New Roman" w:hAnsi="Times New Roman" w:cs="Times New Roman"/>
          <w:sz w:val="24"/>
          <w:szCs w:val="24"/>
        </w:rPr>
        <w:t>use these factors as a framework to consider whether Ohio’s utilities should be required to record a deferred tax liability</w:t>
      </w:r>
      <w:r>
        <w:rPr>
          <w:rFonts w:ascii="Times New Roman" w:hAnsi="Times New Roman" w:cs="Times New Roman"/>
          <w:sz w:val="24"/>
          <w:szCs w:val="24"/>
        </w:rPr>
        <w:t xml:space="preserve">, the guiding principle in </w:t>
      </w:r>
      <w:r w:rsidRPr="00D16856">
        <w:rPr>
          <w:rFonts w:ascii="Times New Roman" w:hAnsi="Times New Roman" w:cs="Times New Roman"/>
          <w:i/>
          <w:sz w:val="24"/>
          <w:szCs w:val="24"/>
        </w:rPr>
        <w:t>this case</w:t>
      </w:r>
      <w:r>
        <w:rPr>
          <w:rFonts w:ascii="Times New Roman" w:hAnsi="Times New Roman" w:cs="Times New Roman"/>
          <w:sz w:val="24"/>
          <w:szCs w:val="24"/>
        </w:rPr>
        <w:t xml:space="preserve"> is whether the deferral is necessary to protect customers and guarantee that any tax savings from the TCJA will be passed back to them</w:t>
      </w:r>
      <w:r w:rsidR="00C358C6">
        <w:rPr>
          <w:rFonts w:ascii="Times New Roman" w:hAnsi="Times New Roman" w:cs="Times New Roman"/>
          <w:sz w:val="24"/>
          <w:szCs w:val="24"/>
        </w:rPr>
        <w:t>.</w:t>
      </w:r>
      <w:r>
        <w:rPr>
          <w:rFonts w:ascii="Times New Roman" w:hAnsi="Times New Roman" w:cs="Times New Roman"/>
          <w:sz w:val="24"/>
          <w:szCs w:val="24"/>
        </w:rPr>
        <w:t xml:space="preserve"> </w:t>
      </w:r>
      <w:r w:rsidR="00D10D49">
        <w:rPr>
          <w:rFonts w:ascii="Times New Roman" w:hAnsi="Times New Roman" w:cs="Times New Roman"/>
          <w:sz w:val="24"/>
          <w:szCs w:val="24"/>
        </w:rPr>
        <w:t xml:space="preserve">In particular, </w:t>
      </w:r>
      <w:r w:rsidR="001813BF">
        <w:rPr>
          <w:rFonts w:ascii="Times New Roman" w:hAnsi="Times New Roman" w:cs="Times New Roman"/>
          <w:sz w:val="24"/>
          <w:szCs w:val="24"/>
        </w:rPr>
        <w:t>here</w:t>
      </w:r>
      <w:r w:rsidR="00D10D49">
        <w:rPr>
          <w:rFonts w:ascii="Times New Roman" w:hAnsi="Times New Roman" w:cs="Times New Roman"/>
          <w:sz w:val="24"/>
          <w:szCs w:val="24"/>
        </w:rPr>
        <w:t xml:space="preserve"> the PUCO should adjust factor 5 to focus on the financial well-being of customers as opposed to the financial integrity of the utility. </w:t>
      </w:r>
      <w:r>
        <w:rPr>
          <w:rFonts w:ascii="Times New Roman" w:hAnsi="Times New Roman" w:cs="Times New Roman"/>
          <w:sz w:val="24"/>
          <w:szCs w:val="24"/>
        </w:rPr>
        <w:t>Because the deferred liability will protect customers</w:t>
      </w:r>
      <w:r w:rsidR="00072BE3">
        <w:rPr>
          <w:rFonts w:ascii="Times New Roman" w:hAnsi="Times New Roman" w:cs="Times New Roman"/>
          <w:sz w:val="24"/>
          <w:szCs w:val="24"/>
        </w:rPr>
        <w:t xml:space="preserve"> and facilitate the return to customers of the tax savings</w:t>
      </w:r>
      <w:r>
        <w:rPr>
          <w:rFonts w:ascii="Times New Roman" w:hAnsi="Times New Roman" w:cs="Times New Roman"/>
          <w:sz w:val="24"/>
          <w:szCs w:val="24"/>
        </w:rPr>
        <w:t xml:space="preserve">, the PUCO should continue to require Ohio utilities to comply with its January 10, 2018 Entry requiring the deferral. </w:t>
      </w:r>
    </w:p>
    <w:p w:rsidR="00344041" w:rsidRPr="005365F6" w:rsidP="00344041">
      <w:pPr>
        <w:spacing w:after="0" w:line="240" w:lineRule="auto"/>
        <w:ind w:firstLine="720"/>
        <w:rPr>
          <w:rFonts w:ascii="Times New Roman" w:hAnsi="Times New Roman" w:cs="Times New Roman"/>
          <w:sz w:val="24"/>
          <w:szCs w:val="24"/>
        </w:rPr>
      </w:pPr>
    </w:p>
    <w:p w:rsidR="00642B90" w:rsidRPr="00EC71A7" w:rsidP="00235F7E">
      <w:pPr>
        <w:pStyle w:val="Heading1"/>
      </w:pPr>
      <w:bookmarkStart w:id="6" w:name="_Toc521941230"/>
      <w:r>
        <w:t>IV.</w:t>
      </w:r>
      <w:r>
        <w:tab/>
      </w:r>
      <w:r w:rsidR="00F80754">
        <w:t>RECOMMENDATIONS</w:t>
      </w:r>
      <w:bookmarkEnd w:id="6"/>
    </w:p>
    <w:p w:rsidR="00005492" w:rsidP="001E12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Ohio’s rate-regulated utilities should </w:t>
      </w:r>
      <w:r w:rsidR="00732113">
        <w:rPr>
          <w:rFonts w:ascii="Times New Roman" w:hAnsi="Times New Roman" w:cs="Times New Roman"/>
          <w:sz w:val="24"/>
          <w:szCs w:val="24"/>
        </w:rPr>
        <w:t xml:space="preserve">be required to </w:t>
      </w:r>
      <w:r>
        <w:rPr>
          <w:rFonts w:ascii="Times New Roman" w:hAnsi="Times New Roman" w:cs="Times New Roman"/>
          <w:sz w:val="24"/>
          <w:szCs w:val="24"/>
        </w:rPr>
        <w:t xml:space="preserve">record a </w:t>
      </w:r>
      <w:r w:rsidR="00540992">
        <w:rPr>
          <w:rFonts w:ascii="Times New Roman" w:hAnsi="Times New Roman" w:cs="Times New Roman"/>
          <w:sz w:val="24"/>
          <w:szCs w:val="24"/>
        </w:rPr>
        <w:t>deferred tax</w:t>
      </w:r>
      <w:r>
        <w:rPr>
          <w:rFonts w:ascii="Times New Roman" w:hAnsi="Times New Roman" w:cs="Times New Roman"/>
          <w:sz w:val="24"/>
          <w:szCs w:val="24"/>
        </w:rPr>
        <w:t xml:space="preserve"> liability. </w:t>
      </w:r>
      <w:r w:rsidR="00540992">
        <w:rPr>
          <w:rFonts w:ascii="Times New Roman" w:hAnsi="Times New Roman" w:cs="Times New Roman"/>
          <w:sz w:val="24"/>
          <w:szCs w:val="24"/>
        </w:rPr>
        <w:t xml:space="preserve">The PUCO has broad authority under </w:t>
      </w:r>
      <w:r w:rsidR="006E6AED">
        <w:rPr>
          <w:rFonts w:ascii="Times New Roman" w:hAnsi="Times New Roman" w:cs="Times New Roman"/>
          <w:sz w:val="24"/>
          <w:szCs w:val="24"/>
        </w:rPr>
        <w:t xml:space="preserve">Title 49 of </w:t>
      </w:r>
      <w:r w:rsidR="00540992">
        <w:rPr>
          <w:rFonts w:ascii="Times New Roman" w:hAnsi="Times New Roman" w:cs="Times New Roman"/>
          <w:sz w:val="24"/>
          <w:szCs w:val="24"/>
        </w:rPr>
        <w:t xml:space="preserve">the Ohio Revised Code to require utilities to conduct the accounting treatment necessary to </w:t>
      </w:r>
      <w:r w:rsidR="0022298B">
        <w:rPr>
          <w:rFonts w:ascii="Times New Roman" w:hAnsi="Times New Roman" w:cs="Times New Roman"/>
          <w:sz w:val="24"/>
          <w:szCs w:val="24"/>
        </w:rPr>
        <w:t xml:space="preserve">record </w:t>
      </w:r>
      <w:r w:rsidR="00540992">
        <w:rPr>
          <w:rFonts w:ascii="Times New Roman" w:hAnsi="Times New Roman" w:cs="Times New Roman"/>
          <w:sz w:val="24"/>
          <w:szCs w:val="24"/>
        </w:rPr>
        <w:t>th</w:t>
      </w:r>
      <w:r w:rsidR="0022298B">
        <w:rPr>
          <w:rFonts w:ascii="Times New Roman" w:hAnsi="Times New Roman" w:cs="Times New Roman"/>
          <w:sz w:val="24"/>
          <w:szCs w:val="24"/>
        </w:rPr>
        <w:t>e</w:t>
      </w:r>
      <w:r w:rsidR="00540992">
        <w:rPr>
          <w:rFonts w:ascii="Times New Roman" w:hAnsi="Times New Roman" w:cs="Times New Roman"/>
          <w:sz w:val="24"/>
          <w:szCs w:val="24"/>
        </w:rPr>
        <w:t xml:space="preserve"> amounts that have been</w:t>
      </w:r>
      <w:r w:rsidR="0022298B">
        <w:rPr>
          <w:rFonts w:ascii="Times New Roman" w:hAnsi="Times New Roman" w:cs="Times New Roman"/>
          <w:sz w:val="24"/>
          <w:szCs w:val="24"/>
        </w:rPr>
        <w:t xml:space="preserve"> and will be</w:t>
      </w:r>
      <w:r w:rsidR="00540992">
        <w:rPr>
          <w:rFonts w:ascii="Times New Roman" w:hAnsi="Times New Roman" w:cs="Times New Roman"/>
          <w:sz w:val="24"/>
          <w:szCs w:val="24"/>
        </w:rPr>
        <w:t xml:space="preserve"> collected under the former 35% tax rate. </w:t>
      </w:r>
      <w:r w:rsidR="00AA75D9">
        <w:rPr>
          <w:rFonts w:ascii="Times New Roman" w:hAnsi="Times New Roman" w:cs="Times New Roman"/>
          <w:sz w:val="24"/>
          <w:szCs w:val="24"/>
        </w:rPr>
        <w:t xml:space="preserve">As </w:t>
      </w:r>
      <w:r>
        <w:rPr>
          <w:rFonts w:ascii="Times New Roman" w:hAnsi="Times New Roman" w:cs="Times New Roman"/>
          <w:sz w:val="24"/>
          <w:szCs w:val="24"/>
        </w:rPr>
        <w:t xml:space="preserve">OCC witness Willis stated: “By lowering the corporate FIT rate from 35% to 21%, customers should save money </w:t>
      </w:r>
      <w:r w:rsidR="00A20644">
        <w:rPr>
          <w:rFonts w:ascii="Times New Roman" w:hAnsi="Times New Roman" w:cs="Times New Roman"/>
          <w:sz w:val="24"/>
          <w:szCs w:val="24"/>
        </w:rPr>
        <w:t>. . .</w:t>
      </w:r>
      <w:r>
        <w:rPr>
          <w:rFonts w:ascii="Times New Roman" w:hAnsi="Times New Roman" w:cs="Times New Roman"/>
          <w:sz w:val="24"/>
          <w:szCs w:val="24"/>
        </w:rPr>
        <w:t xml:space="preserve"> which should be accounted for in the deferred tax liability.”</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corporate income tax rate reduction has far-reaching implications</w:t>
      </w:r>
      <w:r w:rsidR="00AA75D9">
        <w:rPr>
          <w:rFonts w:ascii="Times New Roman" w:hAnsi="Times New Roman" w:cs="Times New Roman"/>
          <w:sz w:val="24"/>
          <w:szCs w:val="24"/>
        </w:rPr>
        <w:t>,</w:t>
      </w:r>
      <w:r>
        <w:rPr>
          <w:rFonts w:ascii="Times New Roman" w:hAnsi="Times New Roman" w:cs="Times New Roman"/>
          <w:sz w:val="24"/>
          <w:szCs w:val="24"/>
        </w:rPr>
        <w:t xml:space="preserve"> and the PUCO</w:t>
      </w:r>
      <w:r w:rsidR="00AA75D9">
        <w:rPr>
          <w:rFonts w:ascii="Times New Roman" w:hAnsi="Times New Roman" w:cs="Times New Roman"/>
          <w:sz w:val="24"/>
          <w:szCs w:val="24"/>
        </w:rPr>
        <w:t>,</w:t>
      </w:r>
      <w:r>
        <w:rPr>
          <w:rFonts w:ascii="Times New Roman" w:hAnsi="Times New Roman" w:cs="Times New Roman"/>
          <w:sz w:val="24"/>
          <w:szCs w:val="24"/>
        </w:rPr>
        <w:t xml:space="preserve"> by ordering the deferred liability tax treatment</w:t>
      </w:r>
      <w:r w:rsidR="00AA75D9">
        <w:rPr>
          <w:rFonts w:ascii="Times New Roman" w:hAnsi="Times New Roman" w:cs="Times New Roman"/>
          <w:sz w:val="24"/>
          <w:szCs w:val="24"/>
        </w:rPr>
        <w:t>,</w:t>
      </w:r>
      <w:r>
        <w:rPr>
          <w:rFonts w:ascii="Times New Roman" w:hAnsi="Times New Roman" w:cs="Times New Roman"/>
          <w:sz w:val="24"/>
          <w:szCs w:val="24"/>
        </w:rPr>
        <w:t xml:space="preserve"> has taken steps to protect consumers from the effective date of the tax rate reduction.</w:t>
      </w:r>
    </w:p>
    <w:p w:rsidR="002D25F7" w:rsidP="001E12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the rate has changed to 21%, the utilities have an excess amount of accumulated deferred income tax (“ADIT”) on their books. </w:t>
      </w:r>
      <w:r w:rsidR="0022298B">
        <w:rPr>
          <w:rFonts w:ascii="Times New Roman" w:hAnsi="Times New Roman" w:cs="Times New Roman"/>
          <w:sz w:val="24"/>
          <w:szCs w:val="24"/>
        </w:rPr>
        <w:t>Utilities also need to adjust their</w:t>
      </w:r>
      <w:r w:rsidR="00466800">
        <w:rPr>
          <w:rFonts w:ascii="Times New Roman" w:hAnsi="Times New Roman" w:cs="Times New Roman"/>
          <w:sz w:val="24"/>
          <w:szCs w:val="24"/>
        </w:rPr>
        <w:t xml:space="preserve"> existing</w:t>
      </w:r>
      <w:r w:rsidR="0022298B">
        <w:rPr>
          <w:rFonts w:ascii="Times New Roman" w:hAnsi="Times New Roman" w:cs="Times New Roman"/>
          <w:sz w:val="24"/>
          <w:szCs w:val="24"/>
        </w:rPr>
        <w:t xml:space="preserve"> rates and riders so that they charge customers at the lower 21% rate</w:t>
      </w:r>
      <w:r w:rsidR="00F80754">
        <w:rPr>
          <w:rFonts w:ascii="Times New Roman" w:hAnsi="Times New Roman" w:cs="Times New Roman"/>
          <w:sz w:val="24"/>
          <w:szCs w:val="24"/>
        </w:rPr>
        <w:t xml:space="preserve"> beginning January 1, 2018 (the effective date of the TCJA)</w:t>
      </w:r>
      <w:r w:rsidR="0022298B">
        <w:rPr>
          <w:rFonts w:ascii="Times New Roman" w:hAnsi="Times New Roman" w:cs="Times New Roman"/>
          <w:sz w:val="24"/>
          <w:szCs w:val="24"/>
        </w:rPr>
        <w:t xml:space="preserve">. </w:t>
      </w:r>
      <w:r w:rsidR="006E6AED">
        <w:rPr>
          <w:rFonts w:ascii="Times New Roman" w:hAnsi="Times New Roman" w:cs="Times New Roman"/>
          <w:sz w:val="24"/>
          <w:szCs w:val="24"/>
        </w:rPr>
        <w:t xml:space="preserve">For such amounts to eventually be returned the customers, the PUCO </w:t>
      </w:r>
      <w:r w:rsidR="00072BE3">
        <w:rPr>
          <w:rFonts w:ascii="Times New Roman" w:hAnsi="Times New Roman" w:cs="Times New Roman"/>
          <w:sz w:val="24"/>
          <w:szCs w:val="24"/>
        </w:rPr>
        <w:t xml:space="preserve">should </w:t>
      </w:r>
      <w:r w:rsidR="006E6AED">
        <w:rPr>
          <w:rFonts w:ascii="Times New Roman" w:hAnsi="Times New Roman" w:cs="Times New Roman"/>
          <w:sz w:val="24"/>
          <w:szCs w:val="24"/>
        </w:rPr>
        <w:t>require the utilities</w:t>
      </w:r>
      <w:r w:rsidR="00A97A0A">
        <w:rPr>
          <w:rFonts w:ascii="Times New Roman" w:hAnsi="Times New Roman" w:cs="Times New Roman"/>
          <w:sz w:val="24"/>
          <w:szCs w:val="24"/>
        </w:rPr>
        <w:t xml:space="preserve"> to</w:t>
      </w:r>
      <w:r>
        <w:rPr>
          <w:rFonts w:ascii="Times New Roman" w:hAnsi="Times New Roman" w:cs="Times New Roman"/>
          <w:sz w:val="24"/>
          <w:szCs w:val="24"/>
        </w:rPr>
        <w:t xml:space="preserve"> </w:t>
      </w:r>
      <w:r w:rsidR="006E6AED">
        <w:rPr>
          <w:rFonts w:ascii="Times New Roman" w:hAnsi="Times New Roman" w:cs="Times New Roman"/>
          <w:sz w:val="24"/>
          <w:szCs w:val="24"/>
        </w:rPr>
        <w:t xml:space="preserve">establish </w:t>
      </w:r>
      <w:r>
        <w:rPr>
          <w:rFonts w:ascii="Times New Roman" w:hAnsi="Times New Roman" w:cs="Times New Roman"/>
          <w:sz w:val="24"/>
          <w:szCs w:val="24"/>
        </w:rPr>
        <w:t xml:space="preserve">a deferred tax liability. </w:t>
      </w:r>
    </w:p>
    <w:p w:rsidR="00CE0743" w:rsidP="00235F7E">
      <w:pPr>
        <w:pStyle w:val="Heading2"/>
      </w:pPr>
      <w:bookmarkStart w:id="7" w:name="_Toc521941231"/>
      <w:r>
        <w:t xml:space="preserve">The PUCO has broad authority under R.C. 4905.13 to </w:t>
      </w:r>
      <w:r w:rsidR="00540992">
        <w:t xml:space="preserve">require Ohio’s utilities to </w:t>
      </w:r>
      <w:r>
        <w:t xml:space="preserve">establish </w:t>
      </w:r>
      <w:r w:rsidR="00540992">
        <w:t xml:space="preserve">a </w:t>
      </w:r>
      <w:r>
        <w:t xml:space="preserve">deferred </w:t>
      </w:r>
      <w:r w:rsidR="00540992">
        <w:t xml:space="preserve">tax </w:t>
      </w:r>
      <w:r>
        <w:t>liabilit</w:t>
      </w:r>
      <w:r w:rsidR="00540992">
        <w:t>y</w:t>
      </w:r>
      <w:r>
        <w:t>.</w:t>
      </w:r>
      <w:bookmarkEnd w:id="7"/>
      <w:r>
        <w:t xml:space="preserve"> </w:t>
      </w:r>
    </w:p>
    <w:p w:rsidR="00A97A0A" w:rsidP="00540992">
      <w:pPr>
        <w:spacing w:after="0" w:line="480" w:lineRule="auto"/>
        <w:ind w:firstLine="720"/>
        <w:rPr>
          <w:rFonts w:ascii="Times New Roman" w:hAnsi="Times New Roman" w:cs="Times New Roman"/>
          <w:sz w:val="24"/>
        </w:rPr>
      </w:pPr>
      <w:r>
        <w:rPr>
          <w:rFonts w:ascii="Times New Roman" w:hAnsi="Times New Roman" w:cs="Times New Roman"/>
          <w:sz w:val="24"/>
        </w:rPr>
        <w:t xml:space="preserve">In its January 10, 2018 </w:t>
      </w:r>
      <w:r w:rsidR="006527DD">
        <w:rPr>
          <w:rFonts w:ascii="Times New Roman" w:hAnsi="Times New Roman" w:cs="Times New Roman"/>
          <w:sz w:val="24"/>
        </w:rPr>
        <w:t>Entry</w:t>
      </w:r>
      <w:r>
        <w:rPr>
          <w:rFonts w:ascii="Times New Roman" w:hAnsi="Times New Roman" w:cs="Times New Roman"/>
          <w:sz w:val="24"/>
        </w:rPr>
        <w:t>, the PUCO directed the public utilities</w:t>
      </w:r>
      <w:r w:rsidR="00466800">
        <w:rPr>
          <w:rFonts w:ascii="Times New Roman" w:hAnsi="Times New Roman" w:cs="Times New Roman"/>
          <w:sz w:val="24"/>
        </w:rPr>
        <w:t xml:space="preserve"> in Ohio</w:t>
      </w:r>
      <w:r>
        <w:rPr>
          <w:rFonts w:ascii="Times New Roman" w:hAnsi="Times New Roman" w:cs="Times New Roman"/>
          <w:sz w:val="24"/>
        </w:rPr>
        <w:t xml:space="preserve"> to record a deferred liability under R.C. 4905.13. Under </w:t>
      </w:r>
      <w:r w:rsidRPr="00540992" w:rsidR="00CE0743">
        <w:rPr>
          <w:rFonts w:ascii="Times New Roman" w:hAnsi="Times New Roman" w:cs="Times New Roman"/>
          <w:sz w:val="24"/>
        </w:rPr>
        <w:t>R.C. 4905.13</w:t>
      </w:r>
      <w:r>
        <w:rPr>
          <w:rFonts w:ascii="Times New Roman" w:hAnsi="Times New Roman" w:cs="Times New Roman"/>
          <w:sz w:val="24"/>
        </w:rPr>
        <w:t xml:space="preserve">, </w:t>
      </w:r>
      <w:r w:rsidRPr="00540992" w:rsidR="00CE0743">
        <w:rPr>
          <w:rFonts w:ascii="Times New Roman" w:hAnsi="Times New Roman" w:cs="Times New Roman"/>
          <w:sz w:val="24"/>
        </w:rPr>
        <w:t xml:space="preserve">the PUCO </w:t>
      </w:r>
      <w:r>
        <w:rPr>
          <w:rFonts w:ascii="Times New Roman" w:hAnsi="Times New Roman" w:cs="Times New Roman"/>
          <w:sz w:val="24"/>
        </w:rPr>
        <w:t xml:space="preserve">is vested with the power </w:t>
      </w:r>
      <w:r w:rsidRPr="00540992" w:rsidR="00CE0743">
        <w:rPr>
          <w:rFonts w:ascii="Times New Roman" w:hAnsi="Times New Roman" w:cs="Times New Roman"/>
          <w:sz w:val="24"/>
        </w:rPr>
        <w:t>to establish a system of accounts for public utilities.</w:t>
      </w:r>
      <w:r>
        <w:rPr>
          <w:rStyle w:val="FootnoteReference"/>
          <w:rFonts w:ascii="Times New Roman" w:hAnsi="Times New Roman" w:cs="Times New Roman"/>
          <w:sz w:val="24"/>
        </w:rPr>
        <w:footnoteReference w:id="16"/>
      </w:r>
      <w:r w:rsidRPr="00540992" w:rsidR="00930120">
        <w:rPr>
          <w:rFonts w:ascii="Times New Roman" w:hAnsi="Times New Roman" w:cs="Times New Roman"/>
          <w:sz w:val="24"/>
        </w:rPr>
        <w:t xml:space="preserve"> The Supreme Court of Ohio has held that R.C. 4905.13 </w:t>
      </w:r>
      <w:r>
        <w:rPr>
          <w:rFonts w:ascii="Times New Roman" w:hAnsi="Times New Roman" w:cs="Times New Roman"/>
          <w:sz w:val="24"/>
        </w:rPr>
        <w:t>provides</w:t>
      </w:r>
      <w:r w:rsidRPr="00540992">
        <w:rPr>
          <w:rFonts w:ascii="Times New Roman" w:hAnsi="Times New Roman" w:cs="Times New Roman"/>
          <w:sz w:val="24"/>
        </w:rPr>
        <w:t xml:space="preserve"> </w:t>
      </w:r>
      <w:r w:rsidRPr="00540992" w:rsidR="00930120">
        <w:rPr>
          <w:rFonts w:ascii="Times New Roman" w:hAnsi="Times New Roman" w:cs="Times New Roman"/>
          <w:sz w:val="24"/>
        </w:rPr>
        <w:t>the PUCO with broad discretion</w:t>
      </w:r>
      <w:r>
        <w:rPr>
          <w:rFonts w:ascii="Times New Roman" w:hAnsi="Times New Roman" w:cs="Times New Roman"/>
          <w:sz w:val="24"/>
        </w:rPr>
        <w:t xml:space="preserve"> to establish the system of accounts for utilities and to prescribe the manner in which the accounts must be kept</w:t>
      </w:r>
      <w:r w:rsidRPr="00540992" w:rsidR="00930120">
        <w:rPr>
          <w:rFonts w:ascii="Times New Roman" w:hAnsi="Times New Roman" w:cs="Times New Roman"/>
          <w:sz w:val="24"/>
        </w:rPr>
        <w:t>.</w:t>
      </w:r>
      <w:r>
        <w:rPr>
          <w:rStyle w:val="FootnoteReference"/>
          <w:rFonts w:ascii="Times New Roman" w:hAnsi="Times New Roman" w:cs="Times New Roman"/>
          <w:sz w:val="24"/>
        </w:rPr>
        <w:footnoteReference w:id="17"/>
      </w:r>
      <w:r w:rsidRPr="00540992" w:rsidR="00930120">
        <w:rPr>
          <w:rFonts w:ascii="Times New Roman" w:hAnsi="Times New Roman" w:cs="Times New Roman"/>
          <w:sz w:val="24"/>
        </w:rPr>
        <w:t xml:space="preserve"> </w:t>
      </w:r>
      <w:r>
        <w:rPr>
          <w:rFonts w:ascii="Times New Roman" w:hAnsi="Times New Roman" w:cs="Times New Roman"/>
          <w:sz w:val="24"/>
        </w:rPr>
        <w:t xml:space="preserve">In </w:t>
      </w:r>
      <w:r w:rsidRPr="00A97A0A">
        <w:rPr>
          <w:rFonts w:ascii="Times New Roman" w:hAnsi="Times New Roman" w:cs="Times New Roman"/>
          <w:i/>
          <w:sz w:val="24"/>
        </w:rPr>
        <w:t>Elyria Foundry Co</w:t>
      </w:r>
      <w:r>
        <w:rPr>
          <w:rFonts w:ascii="Times New Roman" w:hAnsi="Times New Roman" w:cs="Times New Roman"/>
          <w:sz w:val="24"/>
        </w:rPr>
        <w:t>.</w:t>
      </w:r>
      <w:r w:rsidR="006527DD">
        <w:rPr>
          <w:rFonts w:ascii="Times New Roman" w:hAnsi="Times New Roman" w:cs="Times New Roman"/>
          <w:i/>
          <w:sz w:val="24"/>
        </w:rPr>
        <w:t xml:space="preserve"> v. Public Utilities Commission</w:t>
      </w:r>
      <w:r>
        <w:rPr>
          <w:rFonts w:ascii="Times New Roman" w:hAnsi="Times New Roman" w:cs="Times New Roman"/>
          <w:sz w:val="24"/>
        </w:rPr>
        <w:t>, t</w:t>
      </w:r>
      <w:r w:rsidRPr="00540992" w:rsidR="00930120">
        <w:rPr>
          <w:rFonts w:ascii="Times New Roman" w:hAnsi="Times New Roman" w:cs="Times New Roman"/>
          <w:sz w:val="24"/>
        </w:rPr>
        <w:t>he Court determined that the PUCO’s accounting practices are distinct from the ratemaking statutes</w:t>
      </w:r>
      <w:r>
        <w:rPr>
          <w:rFonts w:ascii="Times New Roman" w:hAnsi="Times New Roman" w:cs="Times New Roman"/>
          <w:sz w:val="24"/>
        </w:rPr>
        <w:t xml:space="preserve"> and that PUCO has broad discretion over utility accounting practices</w:t>
      </w:r>
      <w:r w:rsidRPr="00540992" w:rsidR="00930120">
        <w:rPr>
          <w:rFonts w:ascii="Times New Roman" w:hAnsi="Times New Roman" w:cs="Times New Roman"/>
          <w:sz w:val="24"/>
        </w:rPr>
        <w:t>.</w:t>
      </w:r>
      <w:r>
        <w:rPr>
          <w:rStyle w:val="FootnoteReference"/>
          <w:rFonts w:ascii="Times New Roman" w:hAnsi="Times New Roman" w:cs="Times New Roman"/>
          <w:sz w:val="24"/>
        </w:rPr>
        <w:footnoteReference w:id="18"/>
      </w:r>
      <w:r w:rsidRPr="00540992" w:rsidR="00930120">
        <w:rPr>
          <w:rFonts w:ascii="Times New Roman" w:hAnsi="Times New Roman" w:cs="Times New Roman"/>
          <w:sz w:val="24"/>
        </w:rPr>
        <w:t xml:space="preserve"> The Court relied upon its precedent to uphold PUCO accounting orders that do not affect current rates and </w:t>
      </w:r>
      <w:r>
        <w:rPr>
          <w:rFonts w:ascii="Times New Roman" w:hAnsi="Times New Roman" w:cs="Times New Roman"/>
          <w:sz w:val="24"/>
        </w:rPr>
        <w:t xml:space="preserve">where </w:t>
      </w:r>
      <w:r w:rsidRPr="00540992" w:rsidR="00930120">
        <w:rPr>
          <w:rFonts w:ascii="Times New Roman" w:hAnsi="Times New Roman" w:cs="Times New Roman"/>
          <w:sz w:val="24"/>
        </w:rPr>
        <w:t>any ratemaking effect will be reviewed in a later proceeding.</w:t>
      </w:r>
      <w:r>
        <w:rPr>
          <w:rStyle w:val="FootnoteReference"/>
          <w:rFonts w:ascii="Times New Roman" w:hAnsi="Times New Roman" w:cs="Times New Roman"/>
          <w:sz w:val="24"/>
        </w:rPr>
        <w:footnoteReference w:id="19"/>
      </w:r>
      <w:r w:rsidRPr="00540992" w:rsidR="00930120">
        <w:rPr>
          <w:rFonts w:ascii="Times New Roman" w:hAnsi="Times New Roman" w:cs="Times New Roman"/>
          <w:sz w:val="24"/>
        </w:rPr>
        <w:t xml:space="preserve"> </w:t>
      </w:r>
    </w:p>
    <w:p w:rsidR="00CE0743" w:rsidRPr="00540992" w:rsidP="00540992">
      <w:pPr>
        <w:spacing w:after="0" w:line="480" w:lineRule="auto"/>
        <w:ind w:firstLine="720"/>
        <w:rPr>
          <w:rFonts w:ascii="Times New Roman" w:hAnsi="Times New Roman" w:cs="Times New Roman"/>
          <w:sz w:val="24"/>
        </w:rPr>
      </w:pPr>
      <w:r>
        <w:rPr>
          <w:rFonts w:ascii="Times New Roman" w:hAnsi="Times New Roman" w:cs="Times New Roman"/>
          <w:sz w:val="24"/>
        </w:rPr>
        <w:t>In this case,</w:t>
      </w:r>
      <w:r w:rsidRPr="00540992">
        <w:rPr>
          <w:rFonts w:ascii="Times New Roman" w:hAnsi="Times New Roman" w:cs="Times New Roman"/>
          <w:sz w:val="24"/>
        </w:rPr>
        <w:t xml:space="preserve"> </w:t>
      </w:r>
      <w:r w:rsidRPr="00540992" w:rsidR="00930120">
        <w:rPr>
          <w:rFonts w:ascii="Times New Roman" w:hAnsi="Times New Roman" w:cs="Times New Roman"/>
          <w:sz w:val="24"/>
        </w:rPr>
        <w:t xml:space="preserve">the PUCO ordered </w:t>
      </w:r>
      <w:r>
        <w:rPr>
          <w:rFonts w:ascii="Times New Roman" w:hAnsi="Times New Roman" w:cs="Times New Roman"/>
          <w:sz w:val="24"/>
        </w:rPr>
        <w:t>Ohio’s rate-</w:t>
      </w:r>
      <w:r w:rsidRPr="00540992" w:rsidR="00930120">
        <w:rPr>
          <w:rFonts w:ascii="Times New Roman" w:hAnsi="Times New Roman" w:cs="Times New Roman"/>
          <w:sz w:val="24"/>
        </w:rPr>
        <w:t>regulated utilities to create an accounting deferral</w:t>
      </w:r>
      <w:r>
        <w:rPr>
          <w:rFonts w:ascii="Times New Roman" w:hAnsi="Times New Roman" w:cs="Times New Roman"/>
          <w:sz w:val="24"/>
        </w:rPr>
        <w:t xml:space="preserve"> to record their deferred tax liability</w:t>
      </w:r>
      <w:r w:rsidRPr="00540992" w:rsidR="00930120">
        <w:rPr>
          <w:rFonts w:ascii="Times New Roman" w:hAnsi="Times New Roman" w:cs="Times New Roman"/>
          <w:sz w:val="24"/>
        </w:rPr>
        <w:t>.</w:t>
      </w:r>
      <w:r>
        <w:rPr>
          <w:rStyle w:val="FootnoteReference"/>
          <w:rFonts w:ascii="Times New Roman" w:hAnsi="Times New Roman" w:cs="Times New Roman"/>
          <w:sz w:val="24"/>
        </w:rPr>
        <w:footnoteReference w:id="20"/>
      </w:r>
      <w:r w:rsidRPr="00540992" w:rsidR="00930120">
        <w:rPr>
          <w:rFonts w:ascii="Times New Roman" w:hAnsi="Times New Roman" w:cs="Times New Roman"/>
          <w:sz w:val="24"/>
        </w:rPr>
        <w:t xml:space="preserve"> This deferral does not affect current rates being </w:t>
      </w:r>
      <w:r>
        <w:rPr>
          <w:rFonts w:ascii="Times New Roman" w:hAnsi="Times New Roman" w:cs="Times New Roman"/>
          <w:sz w:val="24"/>
        </w:rPr>
        <w:t>charged to</w:t>
      </w:r>
      <w:r w:rsidRPr="00540992" w:rsidR="00930120">
        <w:rPr>
          <w:rFonts w:ascii="Times New Roman" w:hAnsi="Times New Roman" w:cs="Times New Roman"/>
          <w:sz w:val="24"/>
        </w:rPr>
        <w:t xml:space="preserve"> customers. Additionally, the ratemaking effect of this deferral will be reviewed in this proceeding. Thus, the PUCO is vested with broad authority to establish </w:t>
      </w:r>
      <w:r w:rsidRPr="00540992" w:rsidR="0071647D">
        <w:rPr>
          <w:rFonts w:ascii="Times New Roman" w:hAnsi="Times New Roman" w:cs="Times New Roman"/>
          <w:sz w:val="24"/>
        </w:rPr>
        <w:t xml:space="preserve">a deferred tax liability account. </w:t>
      </w:r>
    </w:p>
    <w:p w:rsidR="00276B64" w:rsidRPr="005365F6" w:rsidP="00235F7E">
      <w:pPr>
        <w:pStyle w:val="Heading2"/>
      </w:pPr>
      <w:bookmarkStart w:id="8" w:name="_Toc521941232"/>
      <w:r>
        <w:t>Utilities must be required to establish a deferred tax liability so that customers receive the full ben</w:t>
      </w:r>
      <w:r w:rsidR="00540992">
        <w:t>efit</w:t>
      </w:r>
      <w:r>
        <w:t>s of the TCJA.</w:t>
      </w:r>
      <w:bookmarkEnd w:id="8"/>
      <w:r w:rsidRPr="005365F6" w:rsidR="00980875">
        <w:t xml:space="preserve"> </w:t>
      </w:r>
    </w:p>
    <w:p w:rsidR="00172FB4" w:rsidP="00AE6CA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AE6CAF">
        <w:rPr>
          <w:rFonts w:ascii="Times New Roman" w:hAnsi="Times New Roman" w:cs="Times New Roman"/>
          <w:sz w:val="24"/>
          <w:szCs w:val="24"/>
        </w:rPr>
        <w:t xml:space="preserve">nder R.C. 4905.22, utilities are required to charge just and reasonable rates. </w:t>
      </w:r>
      <w:r>
        <w:rPr>
          <w:rFonts w:ascii="Times New Roman" w:hAnsi="Times New Roman" w:cs="Times New Roman"/>
          <w:sz w:val="24"/>
          <w:szCs w:val="24"/>
        </w:rPr>
        <w:t>Additionally, u</w:t>
      </w:r>
      <w:r w:rsidR="001F71DB">
        <w:rPr>
          <w:rFonts w:ascii="Times New Roman" w:hAnsi="Times New Roman" w:cs="Times New Roman"/>
          <w:sz w:val="24"/>
          <w:szCs w:val="24"/>
        </w:rPr>
        <w:t>nder R.C. 4905.26, the PUCO can investigate any situation where the PUCO believes “that any rate, fare, charge, toll, rental, schedule</w:t>
      </w:r>
      <w:r w:rsidR="00A94C92">
        <w:rPr>
          <w:rFonts w:ascii="Times New Roman" w:hAnsi="Times New Roman" w:cs="Times New Roman"/>
          <w:sz w:val="24"/>
          <w:szCs w:val="24"/>
        </w:rPr>
        <w:t>,</w:t>
      </w:r>
      <w:r w:rsidR="001F71DB">
        <w:rPr>
          <w:rFonts w:ascii="Times New Roman" w:hAnsi="Times New Roman" w:cs="Times New Roman"/>
          <w:sz w:val="24"/>
          <w:szCs w:val="24"/>
        </w:rPr>
        <w:t xml:space="preserve"> classification, or service . . . is in any respect unjust, unreasonable, unjustly discriminatory, unjustly preferential, or in violation of law . . .</w:t>
      </w:r>
      <w:r w:rsidR="00AA75D9">
        <w:rPr>
          <w:rFonts w:ascii="Times New Roman" w:hAnsi="Times New Roman" w:cs="Times New Roman"/>
          <w:sz w:val="24"/>
          <w:szCs w:val="24"/>
        </w:rPr>
        <w:t xml:space="preserve"> .</w:t>
      </w:r>
      <w:r w:rsidR="001F71DB">
        <w:rPr>
          <w:rFonts w:ascii="Times New Roman" w:hAnsi="Times New Roman" w:cs="Times New Roman"/>
          <w:sz w:val="24"/>
          <w:szCs w:val="24"/>
        </w:rPr>
        <w:t>” And in response to any such investigation, the PUCO can modify rates to prevent them from continuing to be unjust and unreasonable.</w:t>
      </w:r>
      <w:r>
        <w:rPr>
          <w:rStyle w:val="FootnoteReference"/>
          <w:rFonts w:ascii="Times New Roman" w:hAnsi="Times New Roman" w:cs="Times New Roman"/>
          <w:sz w:val="24"/>
          <w:szCs w:val="24"/>
        </w:rPr>
        <w:footnoteReference w:id="21"/>
      </w:r>
      <w:r w:rsidR="001F71DB">
        <w:rPr>
          <w:rFonts w:ascii="Times New Roman" w:hAnsi="Times New Roman" w:cs="Times New Roman"/>
          <w:sz w:val="24"/>
          <w:szCs w:val="24"/>
        </w:rPr>
        <w:t xml:space="preserve"> As the Court has determined: “If, after an investigation</w:t>
      </w:r>
      <w:r w:rsidR="0052786C">
        <w:rPr>
          <w:rFonts w:ascii="Times New Roman" w:hAnsi="Times New Roman" w:cs="Times New Roman"/>
          <w:sz w:val="24"/>
          <w:szCs w:val="24"/>
        </w:rPr>
        <w:t xml:space="preserve"> and hearing pursuant to [R.C. 4905.26], the commission determines that existing rates are unjust and unreasonable, it must follow that the commission can then remedy the situation by ordering that new rates be put in effect.”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In this case, the utilities must be required to establish a deferred tax liability for new rates to be put in effect if </w:t>
      </w:r>
      <w:r w:rsidR="00466800">
        <w:rPr>
          <w:rFonts w:ascii="Times New Roman" w:hAnsi="Times New Roman" w:cs="Times New Roman"/>
          <w:sz w:val="24"/>
          <w:szCs w:val="24"/>
        </w:rPr>
        <w:t xml:space="preserve">existing </w:t>
      </w:r>
      <w:r w:rsidR="00072BE3">
        <w:rPr>
          <w:rFonts w:ascii="Times New Roman" w:hAnsi="Times New Roman" w:cs="Times New Roman"/>
          <w:sz w:val="24"/>
          <w:szCs w:val="24"/>
        </w:rPr>
        <w:t>rates</w:t>
      </w:r>
      <w:r>
        <w:rPr>
          <w:rFonts w:ascii="Times New Roman" w:hAnsi="Times New Roman" w:cs="Times New Roman"/>
          <w:sz w:val="24"/>
          <w:szCs w:val="24"/>
        </w:rPr>
        <w:t xml:space="preserve"> are found to be unjust and unreasonable.</w:t>
      </w:r>
    </w:p>
    <w:p w:rsidR="001E2E26" w:rsidP="0066704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under R.C. 4909.16, the PUCO has authority to temporarily amend any existing rates when it “deems it necessary to prevent injury to the . . . interest of the public</w:t>
      </w:r>
      <w:r w:rsidR="00172FB4">
        <w:rPr>
          <w:rFonts w:ascii="Times New Roman" w:hAnsi="Times New Roman" w:cs="Times New Roman"/>
          <w:sz w:val="24"/>
          <w:szCs w:val="24"/>
        </w:rPr>
        <w:t>.</w:t>
      </w:r>
      <w:r>
        <w:rPr>
          <w:rFonts w:ascii="Times New Roman" w:hAnsi="Times New Roman" w:cs="Times New Roman"/>
          <w:sz w:val="24"/>
          <w:szCs w:val="24"/>
        </w:rPr>
        <w:t xml:space="preserve">” </w:t>
      </w:r>
      <w:r w:rsidR="006C5D4D">
        <w:rPr>
          <w:rFonts w:ascii="Times New Roman" w:hAnsi="Times New Roman" w:cs="Times New Roman"/>
          <w:sz w:val="24"/>
          <w:szCs w:val="24"/>
        </w:rPr>
        <w:t>W</w:t>
      </w:r>
      <w:r>
        <w:rPr>
          <w:rFonts w:ascii="Times New Roman" w:hAnsi="Times New Roman" w:cs="Times New Roman"/>
          <w:sz w:val="24"/>
          <w:szCs w:val="24"/>
        </w:rPr>
        <w:t xml:space="preserve">hether it is necessary to amend rates under R.C. 4909.16 is </w:t>
      </w:r>
      <w:r w:rsidR="00100190">
        <w:rPr>
          <w:rFonts w:ascii="Times New Roman" w:hAnsi="Times New Roman" w:cs="Times New Roman"/>
          <w:sz w:val="24"/>
          <w:szCs w:val="24"/>
        </w:rPr>
        <w:t>“</w:t>
      </w:r>
      <w:r>
        <w:rPr>
          <w:rFonts w:ascii="Times New Roman" w:hAnsi="Times New Roman" w:cs="Times New Roman"/>
          <w:sz w:val="24"/>
          <w:szCs w:val="24"/>
        </w:rPr>
        <w:t>within the sound discretion of the commission.”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6C5D4D">
        <w:rPr>
          <w:rFonts w:ascii="Times New Roman" w:hAnsi="Times New Roman" w:cs="Times New Roman"/>
          <w:sz w:val="24"/>
          <w:szCs w:val="24"/>
        </w:rPr>
        <w:t>Notably</w:t>
      </w:r>
      <w:r>
        <w:rPr>
          <w:rFonts w:ascii="Times New Roman" w:hAnsi="Times New Roman" w:cs="Times New Roman"/>
          <w:sz w:val="24"/>
          <w:szCs w:val="24"/>
        </w:rPr>
        <w:t>, the statute broadly allows the PUCO to reduce “</w:t>
      </w:r>
      <w:r w:rsidRPr="00D16856">
        <w:rPr>
          <w:rFonts w:ascii="Times New Roman" w:hAnsi="Times New Roman" w:cs="Times New Roman"/>
          <w:i/>
          <w:sz w:val="24"/>
          <w:szCs w:val="24"/>
        </w:rPr>
        <w:t>any</w:t>
      </w:r>
      <w:r>
        <w:rPr>
          <w:rFonts w:ascii="Times New Roman" w:hAnsi="Times New Roman" w:cs="Times New Roman"/>
          <w:sz w:val="24"/>
          <w:szCs w:val="24"/>
        </w:rPr>
        <w:t xml:space="preserve"> existing rates.”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This means the PUCO can rely on R.C. 4909.16 to reduce base rates and rider rates, including </w:t>
      </w:r>
      <w:r w:rsidR="00A97A0A">
        <w:rPr>
          <w:rFonts w:ascii="Times New Roman" w:hAnsi="Times New Roman" w:cs="Times New Roman"/>
          <w:sz w:val="24"/>
          <w:szCs w:val="24"/>
        </w:rPr>
        <w:t xml:space="preserve">electric utilities’ </w:t>
      </w:r>
      <w:r>
        <w:rPr>
          <w:rFonts w:ascii="Times New Roman" w:hAnsi="Times New Roman" w:cs="Times New Roman"/>
          <w:sz w:val="24"/>
          <w:szCs w:val="24"/>
        </w:rPr>
        <w:t>distribution riders approved as part of an electric security plan.</w:t>
      </w:r>
      <w:r w:rsidR="006C5D4D">
        <w:rPr>
          <w:rFonts w:ascii="Times New Roman" w:hAnsi="Times New Roman" w:cs="Times New Roman"/>
          <w:sz w:val="24"/>
          <w:szCs w:val="24"/>
        </w:rPr>
        <w:t xml:space="preserve"> But to </w:t>
      </w:r>
      <w:r w:rsidR="00F7526A">
        <w:rPr>
          <w:rFonts w:ascii="Times New Roman" w:hAnsi="Times New Roman" w:cs="Times New Roman"/>
          <w:sz w:val="24"/>
          <w:szCs w:val="24"/>
        </w:rPr>
        <w:t>ensure that customers receive the benefits of these reductions from the effective date of the TCJA (January 1, 2018)</w:t>
      </w:r>
      <w:r w:rsidR="006C5D4D">
        <w:rPr>
          <w:rFonts w:ascii="Times New Roman" w:hAnsi="Times New Roman" w:cs="Times New Roman"/>
          <w:sz w:val="24"/>
          <w:szCs w:val="24"/>
        </w:rPr>
        <w:t>, the PUCO must require utilities to establish a deferred tax liability</w:t>
      </w:r>
      <w:r w:rsidR="00F7526A">
        <w:rPr>
          <w:rFonts w:ascii="Times New Roman" w:hAnsi="Times New Roman" w:cs="Times New Roman"/>
          <w:sz w:val="24"/>
          <w:szCs w:val="24"/>
        </w:rPr>
        <w:t xml:space="preserve"> as of that date</w:t>
      </w:r>
      <w:r w:rsidR="006C5D4D">
        <w:rPr>
          <w:rFonts w:ascii="Times New Roman" w:hAnsi="Times New Roman" w:cs="Times New Roman"/>
          <w:sz w:val="24"/>
          <w:szCs w:val="24"/>
        </w:rPr>
        <w:t>.</w:t>
      </w:r>
      <w:r w:rsidR="00F7526A">
        <w:rPr>
          <w:rFonts w:ascii="Times New Roman" w:hAnsi="Times New Roman" w:cs="Times New Roman"/>
          <w:sz w:val="24"/>
          <w:szCs w:val="24"/>
        </w:rPr>
        <w:t xml:space="preserve"> </w:t>
      </w:r>
    </w:p>
    <w:p w:rsidR="00276B64" w:rsidRPr="005365F6" w:rsidP="00235F7E">
      <w:pPr>
        <w:pStyle w:val="Heading2"/>
      </w:pPr>
      <w:bookmarkStart w:id="9" w:name="_Toc521941233"/>
      <w:r>
        <w:t>If the PUCO applies the six</w:t>
      </w:r>
      <w:r w:rsidR="00A61151">
        <w:t>-factor</w:t>
      </w:r>
      <w:r>
        <w:t xml:space="preserve"> test in this case, it should find that each factor supports requiring </w:t>
      </w:r>
      <w:r w:rsidR="00BF2240">
        <w:t xml:space="preserve">Ohio’s utilities to </w:t>
      </w:r>
      <w:r>
        <w:t xml:space="preserve">continue to maintain </w:t>
      </w:r>
      <w:r w:rsidR="00BF2240">
        <w:t>a deferred tax liability, effective January 1, 2018.</w:t>
      </w:r>
      <w:bookmarkEnd w:id="9"/>
      <w:r w:rsidR="00687606">
        <w:t xml:space="preserve"> </w:t>
      </w:r>
    </w:p>
    <w:p w:rsidR="00C14B0E" w:rsidP="00E207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Consistent with PUCO precedent, the PUCO Staff has recommended that the PUCO analyze six primary factors </w:t>
      </w:r>
      <w:r w:rsidR="00AE6CAF">
        <w:rPr>
          <w:rFonts w:ascii="Times New Roman" w:hAnsi="Times New Roman" w:cs="Times New Roman"/>
          <w:sz w:val="24"/>
          <w:szCs w:val="24"/>
        </w:rPr>
        <w:t xml:space="preserve">when determining whether to authorize a utility to </w:t>
      </w:r>
      <w:r w:rsidR="00E30E25">
        <w:rPr>
          <w:rFonts w:ascii="Times New Roman" w:hAnsi="Times New Roman" w:cs="Times New Roman"/>
          <w:sz w:val="24"/>
          <w:szCs w:val="24"/>
        </w:rPr>
        <w:t>defer</w:t>
      </w:r>
      <w:r w:rsidR="00AE6CAF">
        <w:rPr>
          <w:rFonts w:ascii="Times New Roman" w:hAnsi="Times New Roman" w:cs="Times New Roman"/>
          <w:sz w:val="24"/>
          <w:szCs w:val="24"/>
        </w:rPr>
        <w:t xml:space="preserve"> a regulatory </w:t>
      </w:r>
      <w:r>
        <w:rPr>
          <w:rFonts w:ascii="Times New Roman" w:hAnsi="Times New Roman" w:cs="Times New Roman"/>
          <w:sz w:val="24"/>
          <w:szCs w:val="24"/>
        </w:rPr>
        <w:t>liability in this case</w:t>
      </w:r>
      <w:r w:rsidR="00AE6CAF">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00AE6CAF">
        <w:rPr>
          <w:rFonts w:ascii="Times New Roman" w:hAnsi="Times New Roman" w:cs="Times New Roman"/>
          <w:sz w:val="24"/>
          <w:szCs w:val="24"/>
        </w:rPr>
        <w:t xml:space="preserve"> </w:t>
      </w:r>
      <w:r w:rsidR="00DC550C">
        <w:rPr>
          <w:rFonts w:ascii="Times New Roman" w:hAnsi="Times New Roman" w:cs="Times New Roman"/>
          <w:sz w:val="24"/>
          <w:szCs w:val="24"/>
        </w:rPr>
        <w:t>T</w:t>
      </w:r>
      <w:r w:rsidR="00E2077C">
        <w:rPr>
          <w:rFonts w:ascii="Times New Roman" w:hAnsi="Times New Roman" w:cs="Times New Roman"/>
          <w:sz w:val="24"/>
          <w:szCs w:val="24"/>
        </w:rPr>
        <w:t>hese factors</w:t>
      </w:r>
      <w:r w:rsidR="00DC550C">
        <w:rPr>
          <w:rFonts w:ascii="Times New Roman" w:hAnsi="Times New Roman" w:cs="Times New Roman"/>
          <w:sz w:val="24"/>
          <w:szCs w:val="24"/>
        </w:rPr>
        <w:t xml:space="preserve"> are not determinative,</w:t>
      </w:r>
      <w:r>
        <w:rPr>
          <w:rStyle w:val="FootnoteReference"/>
          <w:rFonts w:ascii="Times New Roman" w:hAnsi="Times New Roman" w:cs="Times New Roman"/>
          <w:sz w:val="24"/>
          <w:szCs w:val="24"/>
        </w:rPr>
        <w:footnoteReference w:id="26"/>
      </w:r>
      <w:r w:rsidR="00DC550C">
        <w:rPr>
          <w:rFonts w:ascii="Times New Roman" w:hAnsi="Times New Roman" w:cs="Times New Roman"/>
          <w:sz w:val="24"/>
          <w:szCs w:val="24"/>
        </w:rPr>
        <w:t xml:space="preserve"> and ultimately, the PUCO must do what is just and reasonable for consumers. </w:t>
      </w:r>
    </w:p>
    <w:p w:rsidR="00072BE3" w:rsidP="00D765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continue to consider these factors as a framework and not a strict test.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As applied, t</w:t>
      </w:r>
      <w:r w:rsidR="0018549B">
        <w:rPr>
          <w:rFonts w:ascii="Times New Roman" w:hAnsi="Times New Roman" w:cs="Times New Roman"/>
          <w:sz w:val="24"/>
          <w:szCs w:val="24"/>
        </w:rPr>
        <w:t xml:space="preserve">he factors </w:t>
      </w:r>
      <w:r>
        <w:rPr>
          <w:rFonts w:ascii="Times New Roman" w:hAnsi="Times New Roman" w:cs="Times New Roman"/>
          <w:sz w:val="24"/>
          <w:szCs w:val="24"/>
        </w:rPr>
        <w:t xml:space="preserve">in this case </w:t>
      </w:r>
      <w:r w:rsidR="00382EA5">
        <w:rPr>
          <w:rFonts w:ascii="Times New Roman" w:hAnsi="Times New Roman" w:cs="Times New Roman"/>
          <w:sz w:val="24"/>
          <w:szCs w:val="24"/>
        </w:rPr>
        <w:t xml:space="preserve">demonstrate that </w:t>
      </w:r>
      <w:r>
        <w:rPr>
          <w:rFonts w:ascii="Times New Roman" w:hAnsi="Times New Roman" w:cs="Times New Roman"/>
          <w:sz w:val="24"/>
          <w:szCs w:val="24"/>
        </w:rPr>
        <w:t xml:space="preserve">the PUCO should require </w:t>
      </w:r>
      <w:r w:rsidR="00382EA5">
        <w:rPr>
          <w:rFonts w:ascii="Times New Roman" w:hAnsi="Times New Roman" w:cs="Times New Roman"/>
          <w:sz w:val="24"/>
          <w:szCs w:val="24"/>
        </w:rPr>
        <w:t xml:space="preserve">Ohio’s rate-regulated utilities to establish a deferred tax liability, effective January 1, 2018. </w:t>
      </w:r>
    </w:p>
    <w:p w:rsidR="00024569" w:rsidP="00D76507">
      <w:pPr>
        <w:spacing w:after="0" w:line="480" w:lineRule="auto"/>
        <w:ind w:firstLine="720"/>
        <w:rPr>
          <w:rFonts w:ascii="Times New Roman" w:hAnsi="Times New Roman" w:cs="Times New Roman"/>
          <w:sz w:val="24"/>
          <w:szCs w:val="24"/>
        </w:rPr>
      </w:pPr>
      <w:r w:rsidRPr="00BF2240">
        <w:rPr>
          <w:rFonts w:ascii="Times New Roman" w:hAnsi="Times New Roman" w:cs="Times New Roman"/>
          <w:sz w:val="24"/>
          <w:szCs w:val="24"/>
        </w:rPr>
        <w:t>This is not the first time a tax cut has been passed affecting utility rates. Nor is it the first time the PUCO has considered whether it has the authority to adjust rates to account for a change in taxes.</w:t>
      </w:r>
      <w:r>
        <w:rPr>
          <w:rFonts w:ascii="Times New Roman" w:hAnsi="Times New Roman" w:cs="Times New Roman"/>
          <w:sz w:val="24"/>
          <w:szCs w:val="24"/>
          <w:vertAlign w:val="superscript"/>
        </w:rPr>
        <w:footnoteReference w:id="28"/>
      </w:r>
      <w:r w:rsidRPr="00BF2240">
        <w:rPr>
          <w:rFonts w:ascii="Times New Roman" w:hAnsi="Times New Roman" w:cs="Times New Roman"/>
          <w:sz w:val="24"/>
          <w:szCs w:val="24"/>
        </w:rPr>
        <w:t xml:space="preserve"> The Court has held that the PUCO has a duty to consider the tax rate that utilities will actually be assessed.</w:t>
      </w:r>
      <w:r>
        <w:rPr>
          <w:rFonts w:ascii="Times New Roman" w:hAnsi="Times New Roman" w:cs="Times New Roman"/>
          <w:sz w:val="24"/>
          <w:szCs w:val="24"/>
          <w:vertAlign w:val="superscript"/>
        </w:rPr>
        <w:footnoteReference w:id="29"/>
      </w:r>
      <w:r w:rsidRPr="00BF2240">
        <w:rPr>
          <w:rFonts w:ascii="Times New Roman" w:hAnsi="Times New Roman" w:cs="Times New Roman"/>
          <w:sz w:val="24"/>
          <w:szCs w:val="24"/>
        </w:rPr>
        <w:t xml:space="preserve"> </w:t>
      </w:r>
      <w:r>
        <w:rPr>
          <w:rFonts w:ascii="Times New Roman" w:hAnsi="Times New Roman" w:cs="Times New Roman"/>
          <w:sz w:val="24"/>
          <w:szCs w:val="24"/>
        </w:rPr>
        <w:t>T</w:t>
      </w:r>
      <w:r w:rsidRPr="00BF2240">
        <w:rPr>
          <w:rFonts w:ascii="Times New Roman" w:hAnsi="Times New Roman" w:cs="Times New Roman"/>
          <w:sz w:val="24"/>
          <w:szCs w:val="24"/>
        </w:rPr>
        <w:t>he PUCO has a duty to ensure that utilities are not over-collecting from customers for taxes that the utility will not actually pay.</w:t>
      </w:r>
      <w:r>
        <w:rPr>
          <w:rFonts w:ascii="Times New Roman" w:hAnsi="Times New Roman" w:cs="Times New Roman"/>
          <w:sz w:val="24"/>
          <w:szCs w:val="24"/>
          <w:vertAlign w:val="superscript"/>
        </w:rPr>
        <w:footnoteReference w:id="30"/>
      </w:r>
      <w:r w:rsidRPr="00BF2240">
        <w:rPr>
          <w:rFonts w:ascii="Times New Roman" w:hAnsi="Times New Roman" w:cs="Times New Roman"/>
          <w:sz w:val="24"/>
          <w:szCs w:val="24"/>
        </w:rPr>
        <w:t xml:space="preserve"> </w:t>
      </w:r>
    </w:p>
    <w:p w:rsidR="00AE6CAF" w:rsidRPr="00140435" w:rsidP="00235F7E">
      <w:pPr>
        <w:pStyle w:val="Heading3"/>
      </w:pPr>
      <w:bookmarkStart w:id="10" w:name="_Hlk520807715"/>
      <w:bookmarkStart w:id="11" w:name="_Toc521941234"/>
      <w:r w:rsidRPr="00140435">
        <w:t>The</w:t>
      </w:r>
      <w:r w:rsidRPr="00140435">
        <w:t xml:space="preserve"> current rates or revenues </w:t>
      </w:r>
      <w:r w:rsidR="00F7526A">
        <w:t>that</w:t>
      </w:r>
      <w:r w:rsidRPr="00140435" w:rsidR="00F7526A">
        <w:t xml:space="preserve"> </w:t>
      </w:r>
      <w:r w:rsidRPr="00140435">
        <w:t>Ohio’s utilities</w:t>
      </w:r>
      <w:r w:rsidR="00F6111A">
        <w:t xml:space="preserve"> collect from customers</w:t>
      </w:r>
      <w:r w:rsidRPr="00140435">
        <w:t xml:space="preserve"> will be sufficient</w:t>
      </w:r>
      <w:r w:rsidRPr="00140435">
        <w:t xml:space="preserve"> to cover the costs associated with the d</w:t>
      </w:r>
      <w:r>
        <w:t>eferred tax liability</w:t>
      </w:r>
      <w:bookmarkEnd w:id="10"/>
      <w:r>
        <w:t>.</w:t>
      </w:r>
      <w:bookmarkEnd w:id="11"/>
    </w:p>
    <w:p w:rsidR="000D47DC" w:rsidP="000D47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Ohio</w:t>
      </w:r>
      <w:r w:rsidR="00213BE1">
        <w:rPr>
          <w:rFonts w:ascii="Times New Roman" w:hAnsi="Times New Roman" w:cs="Times New Roman"/>
          <w:sz w:val="24"/>
          <w:szCs w:val="24"/>
        </w:rPr>
        <w:t xml:space="preserve"> </w:t>
      </w:r>
      <w:r>
        <w:rPr>
          <w:rFonts w:ascii="Times New Roman" w:hAnsi="Times New Roman" w:cs="Times New Roman"/>
          <w:sz w:val="24"/>
          <w:szCs w:val="24"/>
        </w:rPr>
        <w:t>utilities have</w:t>
      </w:r>
      <w:r w:rsidR="00213BE1">
        <w:rPr>
          <w:rFonts w:ascii="Times New Roman" w:hAnsi="Times New Roman" w:cs="Times New Roman"/>
          <w:sz w:val="24"/>
          <w:szCs w:val="24"/>
        </w:rPr>
        <w:t xml:space="preserve"> </w:t>
      </w:r>
      <w:r w:rsidR="003E0FEE">
        <w:rPr>
          <w:rFonts w:ascii="Times New Roman" w:hAnsi="Times New Roman" w:cs="Times New Roman"/>
          <w:sz w:val="24"/>
          <w:szCs w:val="24"/>
        </w:rPr>
        <w:t>been charging and continue to charge customers</w:t>
      </w:r>
      <w:r>
        <w:rPr>
          <w:rFonts w:ascii="Times New Roman" w:hAnsi="Times New Roman" w:cs="Times New Roman"/>
          <w:sz w:val="24"/>
          <w:szCs w:val="24"/>
        </w:rPr>
        <w:t xml:space="preserve"> rates based on a </w:t>
      </w:r>
      <w:r w:rsidR="00325ACA">
        <w:rPr>
          <w:rFonts w:ascii="Times New Roman" w:hAnsi="Times New Roman" w:cs="Times New Roman"/>
          <w:sz w:val="24"/>
          <w:szCs w:val="24"/>
        </w:rPr>
        <w:t xml:space="preserve">35% </w:t>
      </w:r>
      <w:r>
        <w:rPr>
          <w:rFonts w:ascii="Times New Roman" w:hAnsi="Times New Roman" w:cs="Times New Roman"/>
          <w:sz w:val="24"/>
          <w:szCs w:val="24"/>
        </w:rPr>
        <w:t>federal corporate income tax rate.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Pr="00AA75D9" w:rsidR="00A54231">
        <w:rPr>
          <w:rFonts w:ascii="Times New Roman" w:hAnsi="Times New Roman" w:cs="Times New Roman"/>
          <w:sz w:val="24"/>
          <w:szCs w:val="24"/>
        </w:rPr>
        <w:t>U</w:t>
      </w:r>
      <w:r w:rsidRPr="00A54231">
        <w:rPr>
          <w:rFonts w:ascii="Times New Roman" w:hAnsi="Times New Roman" w:cs="Times New Roman"/>
          <w:sz w:val="24"/>
          <w:szCs w:val="24"/>
        </w:rPr>
        <w:t xml:space="preserve">tility rates </w:t>
      </w:r>
      <w:r w:rsidRPr="00A54231" w:rsidR="00213BE1">
        <w:rPr>
          <w:rFonts w:ascii="Times New Roman" w:hAnsi="Times New Roman" w:cs="Times New Roman"/>
          <w:sz w:val="24"/>
          <w:szCs w:val="24"/>
        </w:rPr>
        <w:t>should be</w:t>
      </w:r>
      <w:r w:rsidRPr="00A54231">
        <w:rPr>
          <w:rFonts w:ascii="Times New Roman" w:hAnsi="Times New Roman" w:cs="Times New Roman"/>
          <w:sz w:val="24"/>
          <w:szCs w:val="24"/>
        </w:rPr>
        <w:t xml:space="preserve"> sufficient to cover the deferral associated with the reduction of the federal corporate tax rate to 21%.</w:t>
      </w:r>
      <w:r>
        <w:rPr>
          <w:rStyle w:val="FootnoteReference"/>
          <w:rFonts w:ascii="Times New Roman" w:hAnsi="Times New Roman" w:cs="Times New Roman"/>
          <w:sz w:val="24"/>
          <w:szCs w:val="24"/>
        </w:rPr>
        <w:footnoteReference w:id="32"/>
      </w:r>
      <w:r w:rsidR="00213BE1">
        <w:rPr>
          <w:rFonts w:ascii="Times New Roman" w:hAnsi="Times New Roman" w:cs="Times New Roman"/>
          <w:sz w:val="24"/>
          <w:szCs w:val="24"/>
        </w:rPr>
        <w:t xml:space="preserve"> I</w:t>
      </w:r>
      <w:r>
        <w:rPr>
          <w:rFonts w:ascii="Times New Roman" w:hAnsi="Times New Roman" w:cs="Times New Roman"/>
          <w:sz w:val="24"/>
          <w:szCs w:val="24"/>
        </w:rPr>
        <w:t xml:space="preserve">f </w:t>
      </w:r>
      <w:r>
        <w:rPr>
          <w:rFonts w:ascii="Times New Roman" w:hAnsi="Times New Roman" w:cs="Times New Roman"/>
          <w:sz w:val="24"/>
          <w:szCs w:val="24"/>
        </w:rPr>
        <w:t xml:space="preserve">a utility’s </w:t>
      </w:r>
      <w:r>
        <w:rPr>
          <w:rFonts w:ascii="Times New Roman" w:hAnsi="Times New Roman" w:cs="Times New Roman"/>
          <w:sz w:val="24"/>
          <w:szCs w:val="24"/>
        </w:rPr>
        <w:t xml:space="preserve">rates are not sufficient to cover the costs associated with the deferred tax liability, then </w:t>
      </w:r>
      <w:r>
        <w:rPr>
          <w:rFonts w:ascii="Times New Roman" w:hAnsi="Times New Roman" w:cs="Times New Roman"/>
          <w:sz w:val="24"/>
          <w:szCs w:val="24"/>
        </w:rPr>
        <w:t>that utility can</w:t>
      </w:r>
      <w:r>
        <w:rPr>
          <w:rFonts w:ascii="Times New Roman" w:hAnsi="Times New Roman" w:cs="Times New Roman"/>
          <w:sz w:val="24"/>
          <w:szCs w:val="24"/>
        </w:rPr>
        <w:t xml:space="preserve"> file a rate case</w:t>
      </w:r>
      <w:r w:rsidR="00213BE1">
        <w:rPr>
          <w:rFonts w:ascii="Times New Roman" w:hAnsi="Times New Roman" w:cs="Times New Roman"/>
          <w:sz w:val="24"/>
          <w:szCs w:val="24"/>
        </w:rPr>
        <w:t xml:space="preserve"> under R.C. Chapter 4909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Pr>
          <w:rFonts w:ascii="Times New Roman" w:hAnsi="Times New Roman" w:cs="Times New Roman"/>
          <w:sz w:val="24"/>
          <w:szCs w:val="24"/>
        </w:rPr>
        <w:t xml:space="preserve">It is not the PUCO’s responsibility to determine (outside of a rate </w:t>
      </w:r>
      <w:r w:rsidR="00CB31B2">
        <w:rPr>
          <w:rFonts w:ascii="Times New Roman" w:hAnsi="Times New Roman" w:cs="Times New Roman"/>
          <w:sz w:val="24"/>
          <w:szCs w:val="24"/>
        </w:rPr>
        <w:t xml:space="preserve">or complaint case </w:t>
      </w:r>
      <w:r>
        <w:rPr>
          <w:rFonts w:ascii="Times New Roman" w:hAnsi="Times New Roman" w:cs="Times New Roman"/>
          <w:sz w:val="24"/>
          <w:szCs w:val="24"/>
        </w:rPr>
        <w:t>) if each utility’s current revenues are sufficient or insufficient.</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PUCO already determined in each utility’s most recent base rate case that revenues sufficiently cover expenses and provide </w:t>
      </w:r>
      <w:r w:rsidR="003E0FEE">
        <w:rPr>
          <w:rFonts w:ascii="Times New Roman" w:hAnsi="Times New Roman" w:cs="Times New Roman"/>
          <w:sz w:val="24"/>
          <w:szCs w:val="24"/>
        </w:rPr>
        <w:t xml:space="preserve">an opportunity </w:t>
      </w:r>
      <w:r>
        <w:rPr>
          <w:rFonts w:ascii="Times New Roman" w:hAnsi="Times New Roman" w:cs="Times New Roman"/>
          <w:sz w:val="24"/>
          <w:szCs w:val="24"/>
        </w:rPr>
        <w:t>for a reasonable return on investment.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AE6CAF" w:rsidRPr="005C3E85" w:rsidP="00235F7E">
      <w:pPr>
        <w:pStyle w:val="Heading3"/>
      </w:pPr>
      <w:bookmarkStart w:id="12" w:name="_Toc521941235"/>
      <w:r>
        <w:t>T</w:t>
      </w:r>
      <w:r w:rsidRPr="005C3E85">
        <w:t xml:space="preserve">he </w:t>
      </w:r>
      <w:r w:rsidR="0045679D">
        <w:t xml:space="preserve">reduction of the federal </w:t>
      </w:r>
      <w:r>
        <w:t>corporate tax rate</w:t>
      </w:r>
      <w:r w:rsidR="0045679D">
        <w:t xml:space="preserve"> </w:t>
      </w:r>
      <w:r>
        <w:t>is a material change warranting the establishment of a deferred tax liability, effective January 1, 2018.</w:t>
      </w:r>
      <w:bookmarkEnd w:id="12"/>
    </w:p>
    <w:p w:rsidR="006A545D" w:rsidP="0045679D">
      <w:pPr>
        <w:spacing w:after="0" w:line="480" w:lineRule="auto"/>
        <w:ind w:firstLine="720"/>
        <w:rPr>
          <w:rFonts w:ascii="Times New Roman" w:hAnsi="Times New Roman" w:cs="Times New Roman"/>
          <w:sz w:val="24"/>
          <w:szCs w:val="24"/>
        </w:rPr>
      </w:pPr>
      <w:r w:rsidRPr="00EF217C">
        <w:rPr>
          <w:rFonts w:ascii="Times New Roman" w:hAnsi="Times New Roman" w:cs="Times New Roman"/>
          <w:sz w:val="24"/>
          <w:szCs w:val="24"/>
        </w:rPr>
        <w:t>Ohio’s ratemaking formula allows federal income taxes to be recovered on a dollar-for-dollar basis in the revenue requirements of</w:t>
      </w:r>
      <w:r w:rsidRPr="00EF217C" w:rsidR="00312A4F">
        <w:rPr>
          <w:rFonts w:ascii="Times New Roman" w:hAnsi="Times New Roman" w:cs="Times New Roman"/>
          <w:sz w:val="24"/>
          <w:szCs w:val="24"/>
        </w:rPr>
        <w:t xml:space="preserve"> each utility’s</w:t>
      </w:r>
      <w:r w:rsidRPr="00EF217C">
        <w:rPr>
          <w:rFonts w:ascii="Times New Roman" w:hAnsi="Times New Roman" w:cs="Times New Roman"/>
          <w:sz w:val="24"/>
          <w:szCs w:val="24"/>
        </w:rPr>
        <w:t xml:space="preserve"> base rates and riders</w:t>
      </w:r>
      <w:r>
        <w:rPr>
          <w:rFonts w:ascii="Times New Roman" w:hAnsi="Times New Roman" w:cs="Times New Roman"/>
          <w:sz w:val="24"/>
          <w:szCs w:val="24"/>
        </w:rPr>
        <w:t>.</w:t>
      </w:r>
      <w:r w:rsidR="00491590">
        <w:rPr>
          <w:rFonts w:ascii="Times New Roman" w:hAnsi="Times New Roman" w:cs="Times New Roman"/>
          <w:sz w:val="24"/>
          <w:szCs w:val="24"/>
        </w:rPr>
        <w:t xml:space="preserve"> </w:t>
      </w:r>
      <w:r w:rsidR="008F7D7F">
        <w:rPr>
          <w:rFonts w:ascii="Times New Roman" w:hAnsi="Times New Roman" w:cs="Times New Roman"/>
          <w:sz w:val="24"/>
          <w:szCs w:val="24"/>
        </w:rPr>
        <w:t>For base rates,</w:t>
      </w:r>
      <w:r w:rsidRPr="00AA75D9" w:rsidR="00EF217C">
        <w:rPr>
          <w:rFonts w:ascii="Times New Roman" w:hAnsi="Times New Roman" w:cs="Times New Roman"/>
          <w:sz w:val="24"/>
          <w:szCs w:val="24"/>
        </w:rPr>
        <w:t xml:space="preserve"> </w:t>
      </w:r>
      <w:r w:rsidR="008F7D7F">
        <w:rPr>
          <w:rFonts w:ascii="Times New Roman" w:hAnsi="Times New Roman" w:cs="Times New Roman"/>
          <w:sz w:val="24"/>
          <w:szCs w:val="24"/>
        </w:rPr>
        <w:t xml:space="preserve">however, </w:t>
      </w:r>
      <w:r w:rsidRPr="00AA75D9" w:rsidR="00EF217C">
        <w:rPr>
          <w:rFonts w:ascii="Times New Roman" w:hAnsi="Times New Roman" w:cs="Times New Roman"/>
          <w:sz w:val="24"/>
          <w:szCs w:val="24"/>
        </w:rPr>
        <w:t>that rate setting is prospective in nature</w:t>
      </w:r>
      <w:r w:rsidR="00AA75D9">
        <w:rPr>
          <w:rFonts w:ascii="Times New Roman" w:hAnsi="Times New Roman" w:cs="Times New Roman"/>
          <w:sz w:val="24"/>
          <w:szCs w:val="24"/>
        </w:rPr>
        <w:t>, m</w:t>
      </w:r>
      <w:r w:rsidRPr="00AA75D9" w:rsidR="00EF217C">
        <w:rPr>
          <w:rFonts w:ascii="Times New Roman" w:hAnsi="Times New Roman" w:cs="Times New Roman"/>
          <w:sz w:val="24"/>
          <w:szCs w:val="24"/>
        </w:rPr>
        <w:t xml:space="preserve">eaning that rates set today are a proxy intended to collect future costs of service (including income tax costs) from the utility’s customers. </w:t>
      </w:r>
      <w:r w:rsidR="00EF217C">
        <w:rPr>
          <w:rFonts w:ascii="Times New Roman" w:hAnsi="Times New Roman" w:cs="Times New Roman"/>
          <w:sz w:val="24"/>
          <w:szCs w:val="24"/>
        </w:rPr>
        <w:t>Nevertheless, c</w:t>
      </w:r>
      <w:r w:rsidR="00491590">
        <w:rPr>
          <w:rFonts w:ascii="Times New Roman" w:hAnsi="Times New Roman" w:cs="Times New Roman"/>
          <w:sz w:val="24"/>
          <w:szCs w:val="24"/>
        </w:rPr>
        <w:t>urrent and deferred income taxes are directly affected by the federal corporate tax rate</w:t>
      </w:r>
      <w:r w:rsidR="009B1CA5">
        <w:rPr>
          <w:rFonts w:ascii="Times New Roman" w:hAnsi="Times New Roman" w:cs="Times New Roman"/>
          <w:sz w:val="24"/>
          <w:szCs w:val="24"/>
        </w:rPr>
        <w:t>,</w:t>
      </w:r>
      <w:r w:rsidR="00312A4F">
        <w:rPr>
          <w:rFonts w:ascii="Times New Roman" w:hAnsi="Times New Roman" w:cs="Times New Roman"/>
          <w:sz w:val="24"/>
          <w:szCs w:val="24"/>
        </w:rPr>
        <w:t xml:space="preserve"> which </w:t>
      </w:r>
      <w:r w:rsidR="00074FE5">
        <w:rPr>
          <w:rFonts w:ascii="Times New Roman" w:hAnsi="Times New Roman" w:cs="Times New Roman"/>
          <w:sz w:val="24"/>
          <w:szCs w:val="24"/>
        </w:rPr>
        <w:t>decreased by</w:t>
      </w:r>
      <w:r w:rsidR="00491590">
        <w:rPr>
          <w:rFonts w:ascii="Times New Roman" w:hAnsi="Times New Roman" w:cs="Times New Roman"/>
          <w:sz w:val="24"/>
          <w:szCs w:val="24"/>
        </w:rPr>
        <w:t xml:space="preserve"> 40%.</w:t>
      </w:r>
      <w:r>
        <w:rPr>
          <w:rStyle w:val="FootnoteReference"/>
          <w:rFonts w:ascii="Times New Roman" w:hAnsi="Times New Roman" w:cs="Times New Roman"/>
          <w:sz w:val="24"/>
          <w:szCs w:val="24"/>
        </w:rPr>
        <w:footnoteReference w:id="36"/>
      </w:r>
    </w:p>
    <w:p w:rsidR="005C3E85" w:rsidRPr="00074FE5" w:rsidP="00074F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utilities </w:t>
      </w:r>
      <w:r w:rsidR="00312A4F">
        <w:rPr>
          <w:rFonts w:ascii="Times New Roman" w:hAnsi="Times New Roman" w:cs="Times New Roman"/>
          <w:sz w:val="24"/>
          <w:szCs w:val="24"/>
        </w:rPr>
        <w:t xml:space="preserve">are holding a </w:t>
      </w:r>
      <w:r>
        <w:rPr>
          <w:rFonts w:ascii="Times New Roman" w:hAnsi="Times New Roman" w:cs="Times New Roman"/>
          <w:sz w:val="24"/>
          <w:szCs w:val="24"/>
        </w:rPr>
        <w:t xml:space="preserve">significant </w:t>
      </w:r>
      <w:r w:rsidR="00312A4F">
        <w:rPr>
          <w:rFonts w:ascii="Times New Roman" w:hAnsi="Times New Roman" w:cs="Times New Roman"/>
          <w:sz w:val="24"/>
          <w:szCs w:val="24"/>
        </w:rPr>
        <w:t xml:space="preserve">amount of money as </w:t>
      </w:r>
      <w:r>
        <w:rPr>
          <w:rFonts w:ascii="Times New Roman" w:hAnsi="Times New Roman" w:cs="Times New Roman"/>
          <w:sz w:val="24"/>
          <w:szCs w:val="24"/>
        </w:rPr>
        <w:t>excess ADIT. This excess ADIT can exceed tens or hundreds of millions of dollars.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sidR="00312A4F">
        <w:rPr>
          <w:rFonts w:ascii="Times New Roman" w:hAnsi="Times New Roman" w:cs="Times New Roman"/>
          <w:sz w:val="24"/>
          <w:szCs w:val="24"/>
        </w:rPr>
        <w:t>This is a material amount. And a</w:t>
      </w:r>
      <w:r>
        <w:rPr>
          <w:rFonts w:ascii="Times New Roman" w:hAnsi="Times New Roman" w:cs="Times New Roman"/>
          <w:sz w:val="24"/>
          <w:szCs w:val="24"/>
        </w:rPr>
        <w:t xml:space="preserve"> deferred tax liability in the tens or hundreds of millions of dollars is a material </w:t>
      </w:r>
      <w:r w:rsidR="00312A4F">
        <w:rPr>
          <w:rFonts w:ascii="Times New Roman" w:hAnsi="Times New Roman" w:cs="Times New Roman"/>
          <w:sz w:val="24"/>
          <w:szCs w:val="24"/>
        </w:rPr>
        <w:t>change</w:t>
      </w:r>
      <w:r>
        <w:rPr>
          <w:rFonts w:ascii="Times New Roman" w:hAnsi="Times New Roman" w:cs="Times New Roman"/>
          <w:sz w:val="24"/>
          <w:szCs w:val="24"/>
        </w:rPr>
        <w:t>.</w:t>
      </w:r>
      <w:r w:rsidR="00312A4F">
        <w:rPr>
          <w:rFonts w:ascii="Times New Roman" w:hAnsi="Times New Roman" w:cs="Times New Roman"/>
          <w:sz w:val="24"/>
          <w:szCs w:val="24"/>
        </w:rPr>
        <w:t xml:space="preserve"> This factor of the PUCO’s framework for considering whether to authorize or require a deferral is met.</w:t>
      </w:r>
    </w:p>
    <w:p w:rsidR="006A545D" w:rsidRPr="00074FE5" w:rsidP="00235F7E">
      <w:pPr>
        <w:pStyle w:val="Heading3"/>
      </w:pPr>
      <w:bookmarkStart w:id="13" w:name="_Toc521941236"/>
      <w:r w:rsidRPr="00074FE5">
        <w:t>T</w:t>
      </w:r>
      <w:r w:rsidRPr="00074FE5" w:rsidR="00AE6CAF">
        <w:t>he reason for the deferral is outside the utility’s control</w:t>
      </w:r>
      <w:r w:rsidRPr="00074FE5">
        <w:t>.</w:t>
      </w:r>
      <w:bookmarkEnd w:id="13"/>
    </w:p>
    <w:p w:rsidR="00074FE5" w:rsidRPr="00074FE5" w:rsidP="00074F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reason for the deferral is the lowering of the federal corporate tax rate from 35% to 21% under the TCJA. </w:t>
      </w:r>
      <w:r>
        <w:rPr>
          <w:rFonts w:ascii="Times New Roman" w:hAnsi="Times New Roman" w:cs="Times New Roman"/>
          <w:sz w:val="24"/>
          <w:szCs w:val="24"/>
        </w:rPr>
        <w:t xml:space="preserve">Congress </w:t>
      </w:r>
      <w:r w:rsidR="00493DFC">
        <w:rPr>
          <w:rFonts w:ascii="Times New Roman" w:hAnsi="Times New Roman" w:cs="Times New Roman"/>
          <w:sz w:val="24"/>
          <w:szCs w:val="24"/>
        </w:rPr>
        <w:t xml:space="preserve">passed, and the President signed, </w:t>
      </w:r>
      <w:r>
        <w:rPr>
          <w:rFonts w:ascii="Times New Roman" w:hAnsi="Times New Roman" w:cs="Times New Roman"/>
          <w:sz w:val="24"/>
          <w:szCs w:val="24"/>
        </w:rPr>
        <w:t>the TCJA in</w:t>
      </w:r>
      <w:r w:rsidR="00493DFC">
        <w:rPr>
          <w:rFonts w:ascii="Times New Roman" w:hAnsi="Times New Roman" w:cs="Times New Roman"/>
          <w:sz w:val="24"/>
          <w:szCs w:val="24"/>
        </w:rPr>
        <w:t>to law in</w:t>
      </w:r>
      <w:r>
        <w:rPr>
          <w:rFonts w:ascii="Times New Roman" w:hAnsi="Times New Roman" w:cs="Times New Roman"/>
          <w:sz w:val="24"/>
          <w:szCs w:val="24"/>
        </w:rPr>
        <w:t xml:space="preserve"> December 2017</w:t>
      </w:r>
      <w:r w:rsidR="00493DFC">
        <w:rPr>
          <w:rFonts w:ascii="Times New Roman" w:hAnsi="Times New Roman" w:cs="Times New Roman"/>
          <w:sz w:val="24"/>
          <w:szCs w:val="24"/>
        </w:rPr>
        <w:t>. The TCJA</w:t>
      </w:r>
      <w:r>
        <w:rPr>
          <w:rFonts w:ascii="Times New Roman" w:hAnsi="Times New Roman" w:cs="Times New Roman"/>
          <w:sz w:val="24"/>
          <w:szCs w:val="24"/>
        </w:rPr>
        <w:t xml:space="preserve"> </w:t>
      </w:r>
      <w:r>
        <w:rPr>
          <w:rFonts w:ascii="Times New Roman" w:hAnsi="Times New Roman" w:cs="Times New Roman"/>
          <w:sz w:val="24"/>
          <w:szCs w:val="24"/>
        </w:rPr>
        <w:t>became effective</w:t>
      </w:r>
      <w:r w:rsidR="00667E19">
        <w:rPr>
          <w:rFonts w:ascii="Times New Roman" w:hAnsi="Times New Roman" w:cs="Times New Roman"/>
          <w:sz w:val="24"/>
          <w:szCs w:val="24"/>
        </w:rPr>
        <w:t xml:space="preserve"> on</w:t>
      </w:r>
      <w:r>
        <w:rPr>
          <w:rFonts w:ascii="Times New Roman" w:hAnsi="Times New Roman" w:cs="Times New Roman"/>
          <w:sz w:val="24"/>
          <w:szCs w:val="24"/>
        </w:rPr>
        <w:t xml:space="preserve"> January 1, 2018.</w:t>
      </w:r>
      <w:r w:rsidR="00D813E0">
        <w:rPr>
          <w:rFonts w:ascii="Times New Roman" w:hAnsi="Times New Roman" w:cs="Times New Roman"/>
          <w:sz w:val="24"/>
          <w:szCs w:val="24"/>
        </w:rPr>
        <w:t xml:space="preserve"> Neither the utilities nor their customers had any control </w:t>
      </w:r>
      <w:r>
        <w:rPr>
          <w:rFonts w:ascii="Times New Roman" w:hAnsi="Times New Roman" w:cs="Times New Roman"/>
          <w:sz w:val="24"/>
          <w:szCs w:val="24"/>
        </w:rPr>
        <w:t>over the federal corporate tax rate or passage of</w:t>
      </w:r>
      <w:r w:rsidR="00D813E0">
        <w:rPr>
          <w:rFonts w:ascii="Times New Roman" w:hAnsi="Times New Roman" w:cs="Times New Roman"/>
          <w:sz w:val="24"/>
          <w:szCs w:val="24"/>
        </w:rPr>
        <w:t xml:space="preserve"> the TCJA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sidR="00D813E0">
        <w:rPr>
          <w:rFonts w:ascii="Times New Roman" w:hAnsi="Times New Roman" w:cs="Times New Roman"/>
          <w:sz w:val="24"/>
          <w:szCs w:val="24"/>
        </w:rPr>
        <w:t xml:space="preserve"> </w:t>
      </w:r>
      <w:r w:rsidR="00F6111A">
        <w:rPr>
          <w:rFonts w:ascii="Times New Roman" w:hAnsi="Times New Roman" w:cs="Times New Roman"/>
          <w:sz w:val="24"/>
          <w:szCs w:val="24"/>
        </w:rPr>
        <w:t>But proper accounting treatment is necessary to protect consumers from being over-charged and shareholders from being unjustly enriched.</w:t>
      </w:r>
    </w:p>
    <w:p w:rsidR="00D813E0" w:rsidRPr="00D813E0" w:rsidP="00235F7E">
      <w:pPr>
        <w:pStyle w:val="Heading3"/>
      </w:pPr>
      <w:bookmarkStart w:id="14" w:name="_Toc521941237"/>
      <w:r w:rsidRPr="00D813E0">
        <w:t>T</w:t>
      </w:r>
      <w:r w:rsidRPr="00D813E0" w:rsidR="00AE6CAF">
        <w:t>he expense</w:t>
      </w:r>
      <w:r w:rsidRPr="00D813E0" w:rsidR="006A545D">
        <w:t xml:space="preserve"> reductions</w:t>
      </w:r>
      <w:r w:rsidRPr="00D813E0" w:rsidR="00AE6CAF">
        <w:t xml:space="preserve"> are atypical and infrequent</w:t>
      </w:r>
      <w:r w:rsidRPr="00D813E0">
        <w:t>.</w:t>
      </w:r>
      <w:bookmarkEnd w:id="14"/>
    </w:p>
    <w:p w:rsidR="00887A74" w:rsidRPr="00DE1304" w:rsidP="00B12CE4">
      <w:pPr>
        <w:spacing w:after="0" w:line="480" w:lineRule="auto"/>
        <w:ind w:firstLine="720"/>
        <w:rPr>
          <w:rFonts w:ascii="Times New Roman" w:hAnsi="Times New Roman" w:cs="Times New Roman"/>
          <w:sz w:val="24"/>
          <w:szCs w:val="24"/>
        </w:rPr>
      </w:pPr>
      <w:r w:rsidRPr="00D813E0">
        <w:rPr>
          <w:rFonts w:ascii="Times New Roman" w:hAnsi="Times New Roman" w:cs="Times New Roman"/>
          <w:sz w:val="24"/>
          <w:szCs w:val="24"/>
        </w:rPr>
        <w:t>The expense reductions associated with the TCJA are both atypical and infrequent.</w:t>
      </w:r>
      <w:r>
        <w:rPr>
          <w:rFonts w:ascii="Times New Roman" w:hAnsi="Times New Roman" w:cs="Times New Roman"/>
          <w:sz w:val="24"/>
          <w:szCs w:val="24"/>
        </w:rPr>
        <w:t xml:space="preserve"> </w:t>
      </w:r>
      <w:r w:rsidR="000A76A4">
        <w:rPr>
          <w:rFonts w:ascii="Times New Roman" w:hAnsi="Times New Roman" w:cs="Times New Roman"/>
          <w:sz w:val="24"/>
          <w:szCs w:val="24"/>
        </w:rPr>
        <w:t xml:space="preserve">As noted by </w:t>
      </w:r>
      <w:r w:rsidR="002171AE">
        <w:rPr>
          <w:rFonts w:ascii="Times New Roman" w:hAnsi="Times New Roman" w:cs="Times New Roman"/>
          <w:sz w:val="24"/>
          <w:szCs w:val="24"/>
        </w:rPr>
        <w:t xml:space="preserve">PUCO </w:t>
      </w:r>
      <w:r w:rsidR="000A76A4">
        <w:rPr>
          <w:rFonts w:ascii="Times New Roman" w:hAnsi="Times New Roman" w:cs="Times New Roman"/>
          <w:sz w:val="24"/>
          <w:szCs w:val="24"/>
        </w:rPr>
        <w:t xml:space="preserve">Staff </w:t>
      </w:r>
      <w:r w:rsidR="002171AE">
        <w:rPr>
          <w:rFonts w:ascii="Times New Roman" w:hAnsi="Times New Roman" w:cs="Times New Roman"/>
          <w:sz w:val="24"/>
          <w:szCs w:val="24"/>
        </w:rPr>
        <w:t>w</w:t>
      </w:r>
      <w:r w:rsidR="000A76A4">
        <w:rPr>
          <w:rFonts w:ascii="Times New Roman" w:hAnsi="Times New Roman" w:cs="Times New Roman"/>
          <w:sz w:val="24"/>
          <w:szCs w:val="24"/>
        </w:rPr>
        <w:t>itness Borer, major overhauls to the federal income tax rate are quite rare.</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B12CE4">
        <w:rPr>
          <w:rFonts w:ascii="Times New Roman" w:hAnsi="Times New Roman" w:cs="Times New Roman"/>
          <w:sz w:val="24"/>
          <w:szCs w:val="24"/>
        </w:rPr>
        <w:t>The last major change to the corporate tax rate occurred in 1986.</w:t>
      </w:r>
      <w:r>
        <w:rPr>
          <w:rStyle w:val="FootnoteReference"/>
          <w:rFonts w:ascii="Times New Roman" w:hAnsi="Times New Roman" w:cs="Times New Roman"/>
          <w:sz w:val="24"/>
          <w:szCs w:val="24"/>
        </w:rPr>
        <w:footnoteReference w:id="40"/>
      </w:r>
      <w:r w:rsidR="00B12CE4">
        <w:rPr>
          <w:rFonts w:ascii="Times New Roman" w:hAnsi="Times New Roman" w:cs="Times New Roman"/>
          <w:sz w:val="24"/>
          <w:szCs w:val="24"/>
        </w:rPr>
        <w:t xml:space="preserve"> An event that occurs every 30 years is neither typical nor frequent.</w:t>
      </w:r>
      <w:r w:rsidR="00DB6EFD">
        <w:rPr>
          <w:rFonts w:ascii="Times New Roman" w:hAnsi="Times New Roman" w:cs="Times New Roman"/>
          <w:sz w:val="24"/>
          <w:szCs w:val="24"/>
        </w:rPr>
        <w:t xml:space="preserve"> The PUCO acted promptly to protect consumers by ordering Ohio utilities to capture the tax reduction benefits for consumers from the effective date of the TCJA, January 1, 2018. It is action the PUCO has taken many times before when a utility’s expenses atypically or infrequently increased rather than decreased.</w:t>
      </w:r>
      <w:r>
        <w:rPr>
          <w:rStyle w:val="FootnoteReference"/>
          <w:rFonts w:ascii="Times New Roman" w:hAnsi="Times New Roman" w:cs="Times New Roman"/>
          <w:sz w:val="24"/>
          <w:szCs w:val="24"/>
        </w:rPr>
        <w:footnoteReference w:id="41"/>
      </w:r>
      <w:r w:rsidR="00DB6EFD">
        <w:rPr>
          <w:rFonts w:ascii="Times New Roman" w:hAnsi="Times New Roman" w:cs="Times New Roman"/>
          <w:sz w:val="24"/>
          <w:szCs w:val="24"/>
        </w:rPr>
        <w:t xml:space="preserve"> The PUCO’s authority to establish deferral accounting in this case should not be questioned because it was exercised to protect and benefit consumers rather than the utility.</w:t>
      </w:r>
    </w:p>
    <w:p w:rsidR="006A545D" w:rsidRPr="00DE1304" w:rsidP="00235F7E">
      <w:pPr>
        <w:pStyle w:val="Heading3"/>
      </w:pPr>
      <w:bookmarkStart w:id="15" w:name="_Toc521941238"/>
      <w:r>
        <w:t>Customers</w:t>
      </w:r>
      <w:r w:rsidRPr="00DE1304" w:rsidR="00AE6CAF">
        <w:t xml:space="preserve"> will be significantly and adversely </w:t>
      </w:r>
      <w:r>
        <w:t xml:space="preserve">harmed if the PUCO does not require </w:t>
      </w:r>
      <w:r w:rsidR="00FF5176">
        <w:t xml:space="preserve">Ohio’s </w:t>
      </w:r>
      <w:r>
        <w:t>utilities to establish a deferred tax liability, effective January 1, 2018.</w:t>
      </w:r>
      <w:bookmarkEnd w:id="15"/>
    </w:p>
    <w:p w:rsidR="00CB31B2" w:rsidP="00356A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Customers will be significantly and adversely harmed if the PUCO does not require utilities to establish a deferred tax liability, effective January 1, 2018.</w:t>
      </w:r>
      <w:r w:rsidR="00FA7EB1">
        <w:rPr>
          <w:rFonts w:ascii="Times New Roman" w:hAnsi="Times New Roman" w:cs="Times New Roman"/>
          <w:sz w:val="24"/>
          <w:szCs w:val="24"/>
        </w:rPr>
        <w:t xml:space="preserve"> </w:t>
      </w:r>
      <w:r w:rsidR="003A7FA7">
        <w:rPr>
          <w:rFonts w:ascii="Times New Roman" w:hAnsi="Times New Roman" w:cs="Times New Roman"/>
          <w:sz w:val="24"/>
          <w:szCs w:val="24"/>
        </w:rPr>
        <w:t>Customers should save money resulting from the TCJA in four ways: (1) reduction in utilities’ federal income tax expense</w:t>
      </w:r>
      <w:r w:rsidR="009B1CA5">
        <w:rPr>
          <w:rFonts w:ascii="Times New Roman" w:hAnsi="Times New Roman" w:cs="Times New Roman"/>
          <w:sz w:val="24"/>
          <w:szCs w:val="24"/>
        </w:rPr>
        <w:t>, which reduces rates</w:t>
      </w:r>
      <w:r w:rsidR="003A7FA7">
        <w:rPr>
          <w:rFonts w:ascii="Times New Roman" w:hAnsi="Times New Roman" w:cs="Times New Roman"/>
          <w:sz w:val="24"/>
          <w:szCs w:val="24"/>
        </w:rPr>
        <w:t>, (2) return of excess ADIT, (3)</w:t>
      </w:r>
      <w:r w:rsidR="009B1CA5">
        <w:rPr>
          <w:rFonts w:ascii="Times New Roman" w:hAnsi="Times New Roman" w:cs="Times New Roman"/>
          <w:sz w:val="24"/>
          <w:szCs w:val="24"/>
        </w:rPr>
        <w:t xml:space="preserve"> lower gross revenue conversion factor </w:t>
      </w:r>
      <w:r w:rsidR="003A7FA7">
        <w:rPr>
          <w:rFonts w:ascii="Times New Roman" w:hAnsi="Times New Roman" w:cs="Times New Roman"/>
          <w:sz w:val="24"/>
          <w:szCs w:val="24"/>
        </w:rPr>
        <w:t>adjustments to revenue requirements for base rates and riders, and (4) lower charges for riders containing a pre-tax rate of return.</w:t>
      </w:r>
      <w:r>
        <w:rPr>
          <w:rStyle w:val="FootnoteReference"/>
          <w:rFonts w:ascii="Times New Roman" w:hAnsi="Times New Roman" w:cs="Times New Roman"/>
          <w:sz w:val="24"/>
          <w:szCs w:val="24"/>
        </w:rPr>
        <w:footnoteReference w:id="42"/>
      </w:r>
      <w:r w:rsidRPr="00977397" w:rsidR="00977397">
        <w:rPr>
          <w:rFonts w:ascii="Times New Roman" w:hAnsi="Times New Roman" w:cs="Times New Roman"/>
          <w:sz w:val="24"/>
          <w:szCs w:val="24"/>
        </w:rPr>
        <w:t xml:space="preserve"> </w:t>
      </w:r>
      <w:r w:rsidR="00977397">
        <w:rPr>
          <w:rFonts w:ascii="Times New Roman" w:hAnsi="Times New Roman" w:cs="Times New Roman"/>
          <w:sz w:val="24"/>
          <w:szCs w:val="24"/>
        </w:rPr>
        <w:t>If the PUCO does not require Ohio’s rate-regulated utilities to establish a deferred tax liability, customers</w:t>
      </w:r>
      <w:r w:rsidR="00732113">
        <w:rPr>
          <w:rFonts w:ascii="Times New Roman" w:hAnsi="Times New Roman" w:cs="Times New Roman"/>
          <w:sz w:val="24"/>
          <w:szCs w:val="24"/>
        </w:rPr>
        <w:t xml:space="preserve"> may</w:t>
      </w:r>
      <w:r w:rsidR="00977397">
        <w:rPr>
          <w:rFonts w:ascii="Times New Roman" w:hAnsi="Times New Roman" w:cs="Times New Roman"/>
          <w:sz w:val="24"/>
          <w:szCs w:val="24"/>
        </w:rPr>
        <w:t xml:space="preserve"> not see the</w:t>
      </w:r>
      <w:r w:rsidR="004B0043">
        <w:rPr>
          <w:rFonts w:ascii="Times New Roman" w:hAnsi="Times New Roman" w:cs="Times New Roman"/>
          <w:sz w:val="24"/>
          <w:szCs w:val="24"/>
        </w:rPr>
        <w:t xml:space="preserve"> full</w:t>
      </w:r>
      <w:r w:rsidR="00977397">
        <w:rPr>
          <w:rFonts w:ascii="Times New Roman" w:hAnsi="Times New Roman" w:cs="Times New Roman"/>
          <w:sz w:val="24"/>
          <w:szCs w:val="24"/>
        </w:rPr>
        <w:t xml:space="preserve"> benefits</w:t>
      </w:r>
      <w:r w:rsidR="00CC04DA">
        <w:rPr>
          <w:rFonts w:ascii="Times New Roman" w:hAnsi="Times New Roman" w:cs="Times New Roman"/>
          <w:sz w:val="24"/>
          <w:szCs w:val="24"/>
        </w:rPr>
        <w:t xml:space="preserve"> of</w:t>
      </w:r>
      <w:r w:rsidR="00977397">
        <w:rPr>
          <w:rFonts w:ascii="Times New Roman" w:hAnsi="Times New Roman" w:cs="Times New Roman"/>
          <w:sz w:val="24"/>
          <w:szCs w:val="24"/>
        </w:rPr>
        <w:t xml:space="preserve"> the tax cuts.</w:t>
      </w:r>
    </w:p>
    <w:p w:rsidR="00356AF6" w:rsidP="00356A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even if the PUCO requires utilities to establish a deferred tax liability, customers will be harmed if the PUCO does not also including a carrying cost component to the deferred tax liability.</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The deferred tax liability is a customer-supplied source of funds for utilities.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Therefore, utilities should be required to compensate customers for the use </w:t>
      </w:r>
      <w:r w:rsidR="007762CF">
        <w:rPr>
          <w:rFonts w:ascii="Times New Roman" w:hAnsi="Times New Roman" w:cs="Times New Roman"/>
          <w:sz w:val="24"/>
          <w:szCs w:val="24"/>
        </w:rPr>
        <w:t xml:space="preserve">of </w:t>
      </w:r>
      <w:r>
        <w:rPr>
          <w:rFonts w:ascii="Times New Roman" w:hAnsi="Times New Roman" w:cs="Times New Roman"/>
          <w:sz w:val="24"/>
          <w:szCs w:val="24"/>
        </w:rPr>
        <w:t>their money until the full amount of the deferred tax liability is returned.</w:t>
      </w:r>
      <w:r>
        <w:rPr>
          <w:rStyle w:val="FootnoteReference"/>
          <w:rFonts w:ascii="Times New Roman" w:hAnsi="Times New Roman" w:cs="Times New Roman"/>
          <w:sz w:val="24"/>
          <w:szCs w:val="24"/>
        </w:rPr>
        <w:footnoteReference w:id="45"/>
      </w:r>
    </w:p>
    <w:p w:rsidR="00FA7EB1" w:rsidRPr="00DE1304" w:rsidP="00AA75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PUCO </w:t>
      </w:r>
      <w:r>
        <w:rPr>
          <w:rFonts w:ascii="Times New Roman" w:hAnsi="Times New Roman" w:cs="Times New Roman"/>
          <w:sz w:val="24"/>
          <w:szCs w:val="24"/>
        </w:rPr>
        <w:t>Staff</w:t>
      </w:r>
      <w:r>
        <w:rPr>
          <w:rFonts w:ascii="Times New Roman" w:hAnsi="Times New Roman" w:cs="Times New Roman"/>
          <w:sz w:val="24"/>
          <w:szCs w:val="24"/>
        </w:rPr>
        <w:t xml:space="preserve"> w</w:t>
      </w:r>
      <w:r>
        <w:rPr>
          <w:rFonts w:ascii="Times New Roman" w:hAnsi="Times New Roman" w:cs="Times New Roman"/>
          <w:sz w:val="24"/>
          <w:szCs w:val="24"/>
        </w:rPr>
        <w:t xml:space="preserve">itness Borer proposes that this factor be whether “the financial integrity of </w:t>
      </w:r>
      <w:r w:rsidRPr="00FA7EB1">
        <w:rPr>
          <w:rFonts w:ascii="Times New Roman" w:hAnsi="Times New Roman" w:cs="Times New Roman"/>
          <w:i/>
          <w:sz w:val="24"/>
          <w:szCs w:val="24"/>
        </w:rPr>
        <w:t>the utility</w:t>
      </w:r>
      <w:r>
        <w:rPr>
          <w:rFonts w:ascii="Times New Roman" w:hAnsi="Times New Roman" w:cs="Times New Roman"/>
          <w:sz w:val="24"/>
          <w:szCs w:val="24"/>
        </w:rPr>
        <w:t xml:space="preserve"> [will] be significantly and adversely affected if the deferral is </w:t>
      </w:r>
      <w:r w:rsidRPr="00FA7EB1">
        <w:rPr>
          <w:rFonts w:ascii="Times New Roman" w:hAnsi="Times New Roman" w:cs="Times New Roman"/>
          <w:sz w:val="24"/>
          <w:szCs w:val="24"/>
        </w:rPr>
        <w:t>required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00D10D49">
        <w:rPr>
          <w:rFonts w:ascii="Times New Roman" w:hAnsi="Times New Roman" w:cs="Times New Roman"/>
          <w:sz w:val="24"/>
          <w:szCs w:val="24"/>
        </w:rPr>
        <w:t xml:space="preserve">But in this case, where the PUCO’s focus is on ensuring that customers receive the benefits of the reduction in federal income tax rates, this factor should focus on customers. </w:t>
      </w:r>
      <w:r w:rsidR="001D7D5F">
        <w:rPr>
          <w:rFonts w:ascii="Times New Roman" w:hAnsi="Times New Roman" w:cs="Times New Roman"/>
          <w:sz w:val="24"/>
          <w:szCs w:val="24"/>
        </w:rPr>
        <w:t>As OCC witness Willis stated: “Certainly, these tax savings resulting</w:t>
      </w:r>
      <w:r w:rsidR="00AA75D9">
        <w:rPr>
          <w:rFonts w:ascii="Times New Roman" w:hAnsi="Times New Roman" w:cs="Times New Roman"/>
          <w:sz w:val="24"/>
          <w:szCs w:val="24"/>
        </w:rPr>
        <w:t xml:space="preserve"> </w:t>
      </w:r>
      <w:r w:rsidR="001D7D5F">
        <w:rPr>
          <w:rFonts w:ascii="Times New Roman" w:hAnsi="Times New Roman" w:cs="Times New Roman"/>
          <w:sz w:val="24"/>
          <w:szCs w:val="24"/>
        </w:rPr>
        <w:t>from the TCJA should not be used to boost earnings at customer expense.”</w:t>
      </w:r>
      <w:r>
        <w:rPr>
          <w:rStyle w:val="FootnoteReference"/>
          <w:rFonts w:ascii="Times New Roman" w:hAnsi="Times New Roman" w:cs="Times New Roman"/>
          <w:sz w:val="24"/>
          <w:szCs w:val="24"/>
        </w:rPr>
        <w:footnoteReference w:id="47"/>
      </w:r>
      <w:r w:rsidR="001D7D5F">
        <w:rPr>
          <w:rFonts w:ascii="Times New Roman" w:hAnsi="Times New Roman" w:cs="Times New Roman"/>
          <w:sz w:val="24"/>
          <w:szCs w:val="24"/>
        </w:rPr>
        <w:t xml:space="preserve"> </w:t>
      </w:r>
      <w:r w:rsidR="00D10D49">
        <w:rPr>
          <w:rFonts w:ascii="Times New Roman" w:hAnsi="Times New Roman" w:cs="Times New Roman"/>
          <w:sz w:val="24"/>
          <w:szCs w:val="24"/>
        </w:rPr>
        <w:t>Here, there is no doubt that customers will be harmed if utilities are not required to enter a deferred liability because it could prevent them from ultimately receiving the benefits of lower tax rates under the TCJA.</w:t>
      </w:r>
      <w:r>
        <w:rPr>
          <w:rStyle w:val="FootnoteReference"/>
          <w:rFonts w:ascii="Times New Roman" w:hAnsi="Times New Roman" w:cs="Times New Roman"/>
          <w:sz w:val="24"/>
          <w:szCs w:val="24"/>
        </w:rPr>
        <w:footnoteReference w:id="48"/>
      </w:r>
      <w:r w:rsidR="00D10D49">
        <w:rPr>
          <w:rFonts w:ascii="Times New Roman" w:hAnsi="Times New Roman" w:cs="Times New Roman"/>
          <w:sz w:val="24"/>
          <w:szCs w:val="24"/>
        </w:rPr>
        <w:t xml:space="preserve"> </w:t>
      </w:r>
    </w:p>
    <w:p w:rsidR="00AE6CAF" w:rsidRPr="00DE1304" w:rsidP="00235F7E">
      <w:pPr>
        <w:pStyle w:val="Heading3"/>
      </w:pPr>
      <w:bookmarkStart w:id="16" w:name="_Toc521941239"/>
      <w:r w:rsidRPr="00DE1304">
        <w:t>T</w:t>
      </w:r>
      <w:r w:rsidRPr="00DE1304">
        <w:t xml:space="preserve">he </w:t>
      </w:r>
      <w:r w:rsidRPr="00DE1304">
        <w:t>PUCO</w:t>
      </w:r>
      <w:r w:rsidRPr="00DE1304">
        <w:t xml:space="preserve"> c</w:t>
      </w:r>
      <w:r w:rsidRPr="00DE1304" w:rsidR="006A545D">
        <w:t>an</w:t>
      </w:r>
      <w:r w:rsidRPr="00DE1304">
        <w:t xml:space="preserve"> </w:t>
      </w:r>
      <w:r w:rsidRPr="00DE1304">
        <w:t>ensure that</w:t>
      </w:r>
      <w:r w:rsidRPr="00DE1304">
        <w:t xml:space="preserve"> </w:t>
      </w:r>
      <w:r w:rsidRPr="00DE1304">
        <w:t>Ohio</w:t>
      </w:r>
      <w:r w:rsidR="00D10D49">
        <w:t xml:space="preserve"> </w:t>
      </w:r>
      <w:r w:rsidRPr="00DE1304">
        <w:t>utilities</w:t>
      </w:r>
      <w:r w:rsidRPr="00DE1304">
        <w:t xml:space="preserve"> </w:t>
      </w:r>
      <w:r w:rsidRPr="00DE1304">
        <w:t>return to</w:t>
      </w:r>
      <w:r w:rsidR="00646B2B">
        <w:t xml:space="preserve"> </w:t>
      </w:r>
      <w:r w:rsidRPr="00DE1304">
        <w:t xml:space="preserve">customers the money </w:t>
      </w:r>
      <w:r w:rsidR="00646B2B">
        <w:t xml:space="preserve">that </w:t>
      </w:r>
      <w:r w:rsidRPr="00DE1304">
        <w:t xml:space="preserve">customers </w:t>
      </w:r>
      <w:r w:rsidR="00646B2B">
        <w:t xml:space="preserve">have </w:t>
      </w:r>
      <w:r w:rsidR="009F4BEC">
        <w:t>over</w:t>
      </w:r>
      <w:r w:rsidRPr="00DE1304">
        <w:t xml:space="preserve">paid </w:t>
      </w:r>
      <w:r w:rsidR="00646B2B">
        <w:t xml:space="preserve">(and will pay) </w:t>
      </w:r>
      <w:r w:rsidRPr="00DE1304">
        <w:t>for the utilit</w:t>
      </w:r>
      <w:r w:rsidR="00646B2B">
        <w:t>ies’</w:t>
      </w:r>
      <w:r w:rsidRPr="00DE1304">
        <w:t xml:space="preserve"> federal corporate tax obligation</w:t>
      </w:r>
      <w:r w:rsidR="00646B2B">
        <w:t>s</w:t>
      </w:r>
      <w:r w:rsidRPr="00DE1304">
        <w:t>.</w:t>
      </w:r>
      <w:bookmarkEnd w:id="16"/>
      <w:r w:rsidRPr="00DE1304">
        <w:t xml:space="preserve"> </w:t>
      </w:r>
    </w:p>
    <w:p w:rsidR="00DE1304" w:rsidP="00B131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has</w:t>
      </w:r>
      <w:r w:rsidR="00B131EA">
        <w:rPr>
          <w:rFonts w:ascii="Times New Roman" w:hAnsi="Times New Roman" w:cs="Times New Roman"/>
          <w:sz w:val="24"/>
          <w:szCs w:val="24"/>
        </w:rPr>
        <w:t xml:space="preserve"> previously considered whether to authorize a utility to defer a regulatory asset based upon whether </w:t>
      </w:r>
      <w:r w:rsidR="00C70982">
        <w:rPr>
          <w:rFonts w:ascii="Times New Roman" w:hAnsi="Times New Roman" w:cs="Times New Roman"/>
          <w:sz w:val="24"/>
          <w:szCs w:val="24"/>
        </w:rPr>
        <w:t>the PUCO</w:t>
      </w:r>
      <w:r w:rsidR="00B131EA">
        <w:rPr>
          <w:rFonts w:ascii="Times New Roman" w:hAnsi="Times New Roman" w:cs="Times New Roman"/>
          <w:sz w:val="24"/>
          <w:szCs w:val="24"/>
        </w:rPr>
        <w:t xml:space="preserve"> </w:t>
      </w:r>
      <w:r w:rsidR="00C70982">
        <w:rPr>
          <w:rFonts w:ascii="Times New Roman" w:hAnsi="Times New Roman" w:cs="Times New Roman"/>
          <w:sz w:val="24"/>
          <w:szCs w:val="24"/>
        </w:rPr>
        <w:t>“</w:t>
      </w:r>
      <w:r w:rsidR="00B131EA">
        <w:rPr>
          <w:rFonts w:ascii="Times New Roman" w:hAnsi="Times New Roman" w:cs="Times New Roman"/>
          <w:sz w:val="24"/>
          <w:szCs w:val="24"/>
        </w:rPr>
        <w:t>could encourage the utility to do something it would not otherwise do through the granting of deferral authority.”</w:t>
      </w:r>
      <w:r>
        <w:rPr>
          <w:rStyle w:val="FootnoteReference"/>
          <w:rFonts w:ascii="Times New Roman" w:hAnsi="Times New Roman" w:cs="Times New Roman"/>
          <w:sz w:val="24"/>
          <w:szCs w:val="24"/>
        </w:rPr>
        <w:footnoteReference w:id="49"/>
      </w:r>
      <w:r w:rsidR="00C70982">
        <w:rPr>
          <w:rFonts w:ascii="Times New Roman" w:hAnsi="Times New Roman" w:cs="Times New Roman"/>
          <w:sz w:val="24"/>
          <w:szCs w:val="24"/>
        </w:rPr>
        <w:t xml:space="preserve"> </w:t>
      </w:r>
      <w:r w:rsidR="00D10D49">
        <w:rPr>
          <w:rFonts w:ascii="Times New Roman" w:hAnsi="Times New Roman" w:cs="Times New Roman"/>
          <w:sz w:val="24"/>
          <w:szCs w:val="24"/>
        </w:rPr>
        <w:t>Without a PUCO order, some Ohio utilities will simply keep the tax savings for themselves</w:t>
      </w:r>
      <w:r w:rsidR="00DB6EFD">
        <w:rPr>
          <w:rFonts w:ascii="Times New Roman" w:hAnsi="Times New Roman" w:cs="Times New Roman"/>
          <w:sz w:val="24"/>
          <w:szCs w:val="24"/>
        </w:rPr>
        <w:t xml:space="preserve"> and their shareholders</w:t>
      </w:r>
      <w:r w:rsidR="00D10D49">
        <w:rPr>
          <w:rFonts w:ascii="Times New Roman" w:hAnsi="Times New Roman" w:cs="Times New Roman"/>
          <w:sz w:val="24"/>
          <w:szCs w:val="24"/>
        </w:rPr>
        <w:t xml:space="preserve">. </w:t>
      </w:r>
      <w:r w:rsidR="00C70982">
        <w:rPr>
          <w:rFonts w:ascii="Times New Roman" w:hAnsi="Times New Roman" w:cs="Times New Roman"/>
          <w:sz w:val="24"/>
          <w:szCs w:val="24"/>
        </w:rPr>
        <w:t>In this case, the PUCO can encourage and require Ohio</w:t>
      </w:r>
      <w:r w:rsidR="00D10D49">
        <w:rPr>
          <w:rFonts w:ascii="Times New Roman" w:hAnsi="Times New Roman" w:cs="Times New Roman"/>
          <w:sz w:val="24"/>
          <w:szCs w:val="24"/>
        </w:rPr>
        <w:t xml:space="preserve"> </w:t>
      </w:r>
      <w:r w:rsidR="00C70982">
        <w:rPr>
          <w:rFonts w:ascii="Times New Roman" w:hAnsi="Times New Roman" w:cs="Times New Roman"/>
          <w:sz w:val="24"/>
          <w:szCs w:val="24"/>
        </w:rPr>
        <w:t xml:space="preserve">utilities to return to customers </w:t>
      </w:r>
      <w:r w:rsidR="001813BF">
        <w:rPr>
          <w:rFonts w:ascii="Times New Roman" w:hAnsi="Times New Roman" w:cs="Times New Roman"/>
          <w:sz w:val="24"/>
          <w:szCs w:val="24"/>
        </w:rPr>
        <w:t xml:space="preserve">tax </w:t>
      </w:r>
      <w:r w:rsidR="00C70982">
        <w:rPr>
          <w:rFonts w:ascii="Times New Roman" w:hAnsi="Times New Roman" w:cs="Times New Roman"/>
          <w:sz w:val="24"/>
          <w:szCs w:val="24"/>
        </w:rPr>
        <w:t>money th</w:t>
      </w:r>
      <w:r w:rsidR="001813BF">
        <w:rPr>
          <w:rFonts w:ascii="Times New Roman" w:hAnsi="Times New Roman" w:cs="Times New Roman"/>
          <w:sz w:val="24"/>
          <w:szCs w:val="24"/>
        </w:rPr>
        <w:t xml:space="preserve">at is </w:t>
      </w:r>
      <w:r w:rsidR="00C70982">
        <w:rPr>
          <w:rFonts w:ascii="Times New Roman" w:hAnsi="Times New Roman" w:cs="Times New Roman"/>
          <w:sz w:val="24"/>
          <w:szCs w:val="24"/>
        </w:rPr>
        <w:t xml:space="preserve">rightfully </w:t>
      </w:r>
      <w:r w:rsidR="001813BF">
        <w:rPr>
          <w:rFonts w:ascii="Times New Roman" w:hAnsi="Times New Roman" w:cs="Times New Roman"/>
          <w:sz w:val="24"/>
          <w:szCs w:val="24"/>
        </w:rPr>
        <w:t>theirs</w:t>
      </w:r>
      <w:r w:rsidR="001615BF">
        <w:rPr>
          <w:rFonts w:ascii="Times New Roman" w:hAnsi="Times New Roman" w:cs="Times New Roman"/>
          <w:sz w:val="24"/>
          <w:szCs w:val="24"/>
        </w:rPr>
        <w:t xml:space="preserve"> and not allow it to be used to fund a utility program or project</w:t>
      </w:r>
      <w:r w:rsidR="00C70982">
        <w:rPr>
          <w:rFonts w:ascii="Times New Roman" w:hAnsi="Times New Roman" w:cs="Times New Roman"/>
          <w:sz w:val="24"/>
          <w:szCs w:val="24"/>
        </w:rPr>
        <w:t xml:space="preserve">. </w:t>
      </w:r>
      <w:r w:rsidR="0004129D">
        <w:rPr>
          <w:rFonts w:ascii="Times New Roman" w:hAnsi="Times New Roman" w:cs="Times New Roman"/>
          <w:sz w:val="24"/>
          <w:szCs w:val="24"/>
        </w:rPr>
        <w:t>Customers deserve the benefits of the TCJA</w:t>
      </w:r>
      <w:r w:rsidR="00C70982">
        <w:rPr>
          <w:rFonts w:ascii="Times New Roman" w:hAnsi="Times New Roman" w:cs="Times New Roman"/>
          <w:sz w:val="24"/>
          <w:szCs w:val="24"/>
        </w:rPr>
        <w:t>, including</w:t>
      </w:r>
      <w:r w:rsidR="0004129D">
        <w:rPr>
          <w:rFonts w:ascii="Times New Roman" w:hAnsi="Times New Roman" w:cs="Times New Roman"/>
          <w:sz w:val="24"/>
          <w:szCs w:val="24"/>
        </w:rPr>
        <w:t xml:space="preserve"> </w:t>
      </w:r>
      <w:r w:rsidR="001813BF">
        <w:rPr>
          <w:rFonts w:ascii="Times New Roman" w:hAnsi="Times New Roman" w:cs="Times New Roman"/>
          <w:sz w:val="24"/>
          <w:szCs w:val="24"/>
        </w:rPr>
        <w:t>reduced</w:t>
      </w:r>
      <w:r w:rsidR="00C70982">
        <w:rPr>
          <w:rFonts w:ascii="Times New Roman" w:hAnsi="Times New Roman" w:cs="Times New Roman"/>
          <w:sz w:val="24"/>
          <w:szCs w:val="24"/>
        </w:rPr>
        <w:t xml:space="preserve"> federal income tax expense</w:t>
      </w:r>
      <w:r w:rsidR="001813BF">
        <w:rPr>
          <w:rFonts w:ascii="Times New Roman" w:hAnsi="Times New Roman" w:cs="Times New Roman"/>
          <w:sz w:val="24"/>
          <w:szCs w:val="24"/>
        </w:rPr>
        <w:t>s</w:t>
      </w:r>
      <w:r w:rsidR="00C70982">
        <w:rPr>
          <w:rFonts w:ascii="Times New Roman" w:hAnsi="Times New Roman" w:cs="Times New Roman"/>
          <w:sz w:val="24"/>
          <w:szCs w:val="24"/>
        </w:rPr>
        <w:t xml:space="preserve">, excess ADIT, </w:t>
      </w:r>
      <w:r w:rsidR="001813BF">
        <w:rPr>
          <w:rFonts w:ascii="Times New Roman" w:hAnsi="Times New Roman" w:cs="Times New Roman"/>
          <w:sz w:val="24"/>
          <w:szCs w:val="24"/>
        </w:rPr>
        <w:t xml:space="preserve">gross revenue conversion factor </w:t>
      </w:r>
      <w:r w:rsidR="00C70982">
        <w:rPr>
          <w:rFonts w:ascii="Times New Roman" w:hAnsi="Times New Roman" w:cs="Times New Roman"/>
          <w:sz w:val="24"/>
          <w:szCs w:val="24"/>
        </w:rPr>
        <w:t xml:space="preserve">reduction, and </w:t>
      </w:r>
      <w:r w:rsidR="006C1F84">
        <w:rPr>
          <w:rFonts w:ascii="Times New Roman" w:hAnsi="Times New Roman" w:cs="Times New Roman"/>
          <w:sz w:val="24"/>
          <w:szCs w:val="24"/>
        </w:rPr>
        <w:t>adjustment</w:t>
      </w:r>
      <w:r w:rsidR="001813BF">
        <w:rPr>
          <w:rFonts w:ascii="Times New Roman" w:hAnsi="Times New Roman" w:cs="Times New Roman"/>
          <w:sz w:val="24"/>
          <w:szCs w:val="24"/>
        </w:rPr>
        <w:t>s</w:t>
      </w:r>
      <w:r w:rsidR="006C1F84">
        <w:rPr>
          <w:rFonts w:ascii="Times New Roman" w:hAnsi="Times New Roman" w:cs="Times New Roman"/>
          <w:sz w:val="24"/>
          <w:szCs w:val="24"/>
        </w:rPr>
        <w:t xml:space="preserve"> to </w:t>
      </w:r>
      <w:r w:rsidR="00C70982">
        <w:rPr>
          <w:rFonts w:ascii="Times New Roman" w:hAnsi="Times New Roman" w:cs="Times New Roman"/>
          <w:sz w:val="24"/>
          <w:szCs w:val="24"/>
        </w:rPr>
        <w:t xml:space="preserve">the tax </w:t>
      </w:r>
      <w:r w:rsidR="001813BF">
        <w:rPr>
          <w:rFonts w:ascii="Times New Roman" w:hAnsi="Times New Roman" w:cs="Times New Roman"/>
          <w:sz w:val="24"/>
          <w:szCs w:val="24"/>
        </w:rPr>
        <w:t>components of</w:t>
      </w:r>
      <w:r w:rsidR="00C70982">
        <w:rPr>
          <w:rFonts w:ascii="Times New Roman" w:hAnsi="Times New Roman" w:cs="Times New Roman"/>
          <w:sz w:val="24"/>
          <w:szCs w:val="24"/>
        </w:rPr>
        <w:t xml:space="preserve"> all </w:t>
      </w:r>
      <w:r w:rsidR="001615BF">
        <w:rPr>
          <w:rFonts w:ascii="Times New Roman" w:hAnsi="Times New Roman" w:cs="Times New Roman"/>
          <w:sz w:val="24"/>
          <w:szCs w:val="24"/>
        </w:rPr>
        <w:t xml:space="preserve">existing rates and </w:t>
      </w:r>
      <w:r w:rsidR="00C70982">
        <w:rPr>
          <w:rFonts w:ascii="Times New Roman" w:hAnsi="Times New Roman" w:cs="Times New Roman"/>
          <w:sz w:val="24"/>
          <w:szCs w:val="24"/>
        </w:rPr>
        <w:t>utility riders.</w:t>
      </w:r>
      <w:r>
        <w:rPr>
          <w:rStyle w:val="FootnoteReference"/>
          <w:rFonts w:ascii="Times New Roman" w:hAnsi="Times New Roman" w:cs="Times New Roman"/>
          <w:sz w:val="24"/>
          <w:szCs w:val="24"/>
        </w:rPr>
        <w:footnoteReference w:id="50"/>
      </w:r>
      <w:r w:rsidR="00C70982">
        <w:rPr>
          <w:rFonts w:ascii="Times New Roman" w:hAnsi="Times New Roman" w:cs="Times New Roman"/>
          <w:sz w:val="24"/>
          <w:szCs w:val="24"/>
        </w:rPr>
        <w:t xml:space="preserve"> This money belongs to customers, not the utilities. It should be returned to customers</w:t>
      </w:r>
      <w:r w:rsidR="00DB6EFD">
        <w:rPr>
          <w:rFonts w:ascii="Times New Roman" w:hAnsi="Times New Roman" w:cs="Times New Roman"/>
          <w:sz w:val="24"/>
          <w:szCs w:val="24"/>
        </w:rPr>
        <w:t xml:space="preserve"> without further delay</w:t>
      </w:r>
      <w:r w:rsidR="00C70982">
        <w:rPr>
          <w:rFonts w:ascii="Times New Roman" w:hAnsi="Times New Roman" w:cs="Times New Roman"/>
          <w:sz w:val="24"/>
          <w:szCs w:val="24"/>
        </w:rPr>
        <w:t>.</w:t>
      </w:r>
    </w:p>
    <w:p w:rsidR="00235F7E" w:rsidP="00235F7E">
      <w:pPr>
        <w:spacing w:after="0" w:line="240" w:lineRule="auto"/>
        <w:ind w:firstLine="720"/>
        <w:rPr>
          <w:rFonts w:ascii="Times New Roman" w:hAnsi="Times New Roman" w:cs="Times New Roman"/>
          <w:sz w:val="24"/>
          <w:szCs w:val="24"/>
        </w:rPr>
      </w:pPr>
    </w:p>
    <w:p w:rsidR="00276B64" w:rsidRPr="005365F6" w:rsidP="00235F7E">
      <w:pPr>
        <w:pStyle w:val="Heading1"/>
      </w:pPr>
      <w:bookmarkStart w:id="17" w:name="_Toc521941240"/>
      <w:r>
        <w:t>V.</w:t>
      </w:r>
      <w:r>
        <w:tab/>
      </w:r>
      <w:r w:rsidRPr="005365F6" w:rsidR="00980875">
        <w:t>CONCLUSION</w:t>
      </w:r>
      <w:bookmarkEnd w:id="17"/>
    </w:p>
    <w:p w:rsidR="002D25F7" w:rsidP="000957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w:t>
      </w:r>
      <w:r w:rsidR="001813BF">
        <w:rPr>
          <w:rFonts w:ascii="Times New Roman" w:hAnsi="Times New Roman" w:cs="Times New Roman"/>
          <w:sz w:val="24"/>
          <w:szCs w:val="24"/>
        </w:rPr>
        <w:t xml:space="preserve">has </w:t>
      </w:r>
      <w:r>
        <w:rPr>
          <w:rFonts w:ascii="Times New Roman" w:hAnsi="Times New Roman" w:cs="Times New Roman"/>
          <w:sz w:val="24"/>
          <w:szCs w:val="24"/>
        </w:rPr>
        <w:t>require</w:t>
      </w:r>
      <w:r w:rsidR="001813BF">
        <w:rPr>
          <w:rFonts w:ascii="Times New Roman" w:hAnsi="Times New Roman" w:cs="Times New Roman"/>
          <w:sz w:val="24"/>
          <w:szCs w:val="24"/>
        </w:rPr>
        <w:t>d</w:t>
      </w:r>
      <w:r>
        <w:rPr>
          <w:rFonts w:ascii="Times New Roman" w:hAnsi="Times New Roman" w:cs="Times New Roman"/>
          <w:sz w:val="24"/>
          <w:szCs w:val="24"/>
        </w:rPr>
        <w:t xml:space="preserve"> Ohio</w:t>
      </w:r>
      <w:r w:rsidR="00280A80">
        <w:rPr>
          <w:rFonts w:ascii="Times New Roman" w:hAnsi="Times New Roman" w:cs="Times New Roman"/>
          <w:sz w:val="24"/>
          <w:szCs w:val="24"/>
        </w:rPr>
        <w:t xml:space="preserve"> </w:t>
      </w:r>
      <w:r>
        <w:rPr>
          <w:rFonts w:ascii="Times New Roman" w:hAnsi="Times New Roman" w:cs="Times New Roman"/>
          <w:sz w:val="24"/>
          <w:szCs w:val="24"/>
        </w:rPr>
        <w:t>utilities to establish a deferred tax liability, effective January 1, 2018.</w:t>
      </w:r>
      <w:r w:rsidR="00042FDD">
        <w:rPr>
          <w:rFonts w:ascii="Times New Roman" w:hAnsi="Times New Roman" w:cs="Times New Roman"/>
          <w:sz w:val="24"/>
          <w:szCs w:val="24"/>
        </w:rPr>
        <w:t xml:space="preserve"> </w:t>
      </w:r>
      <w:r w:rsidR="001813BF">
        <w:rPr>
          <w:rFonts w:ascii="Times New Roman" w:hAnsi="Times New Roman" w:cs="Times New Roman"/>
          <w:sz w:val="24"/>
          <w:szCs w:val="24"/>
        </w:rPr>
        <w:t>It should reaffirm that holding here. The PUCO has also repeatedly stated its intent to return to customers all tax savings under the TCJA. Requiring Ohio utilities to continue recording a regulatory liability for those savings is a necessary step toward achieving that goal. The PUCO should reject utilities’ attempts to keep customers’ money for themselves.</w:t>
      </w:r>
      <w:r w:rsidR="00005492">
        <w:rPr>
          <w:rFonts w:ascii="Times New Roman" w:hAnsi="Times New Roman" w:cs="Times New Roman"/>
          <w:sz w:val="24"/>
          <w:szCs w:val="24"/>
        </w:rPr>
        <w:t xml:space="preserve"> If utilities are not required to return the deferred tax liability for these amounts, the utilities (and their shareholders) would receive an unjust and unreasonable windfall funded by customers because of the TCJA.  </w:t>
      </w:r>
    </w:p>
    <w:p w:rsidR="008F7D7F" w:rsidP="00276B64">
      <w:pPr>
        <w:autoSpaceDE w:val="0"/>
        <w:autoSpaceDN w:val="0"/>
        <w:adjustRightInd w:val="0"/>
        <w:spacing w:after="0" w:line="480" w:lineRule="auto"/>
        <w:ind w:firstLine="4320"/>
        <w:rPr>
          <w:rFonts w:ascii="Times New Roman" w:hAnsi="Times New Roman" w:cs="Times New Roman"/>
          <w:sz w:val="24"/>
          <w:szCs w:val="24"/>
        </w:rPr>
      </w:pPr>
    </w:p>
    <w:p w:rsidR="00276B64" w:rsidRPr="005365F6" w:rsidP="00276B64">
      <w:pPr>
        <w:autoSpaceDE w:val="0"/>
        <w:autoSpaceDN w:val="0"/>
        <w:adjustRightInd w:val="0"/>
        <w:spacing w:after="0" w:line="480" w:lineRule="auto"/>
        <w:ind w:firstLine="4320"/>
        <w:rPr>
          <w:rFonts w:ascii="Times New Roman" w:hAnsi="Times New Roman" w:cs="Times New Roman"/>
          <w:sz w:val="24"/>
          <w:szCs w:val="24"/>
        </w:rPr>
      </w:pPr>
      <w:r w:rsidRPr="005365F6">
        <w:rPr>
          <w:rFonts w:ascii="Times New Roman" w:hAnsi="Times New Roman" w:cs="Times New Roman"/>
          <w:sz w:val="24"/>
          <w:szCs w:val="24"/>
        </w:rPr>
        <w:t>Respectfully submitted,</w:t>
      </w:r>
    </w:p>
    <w:p w:rsidR="00276B64" w:rsidRPr="005365F6" w:rsidP="00276B64">
      <w:pPr>
        <w:autoSpaceDE w:val="0"/>
        <w:autoSpaceDN w:val="0"/>
        <w:adjustRightInd w:val="0"/>
        <w:spacing w:after="0" w:line="240" w:lineRule="auto"/>
        <w:ind w:firstLine="4320"/>
        <w:rPr>
          <w:rFonts w:ascii="Times New Roman" w:hAnsi="Times New Roman" w:cs="Times New Roman"/>
          <w:sz w:val="24"/>
          <w:szCs w:val="24"/>
        </w:rPr>
      </w:pPr>
    </w:p>
    <w:p w:rsidR="00276B64" w:rsidRPr="005365F6" w:rsidP="00276B64">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BRUCE WESTON (0016973)</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OHIO CONSUMERS’ COUNSEL</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p>
    <w:p w:rsidR="00276B64" w:rsidRPr="005365F6" w:rsidP="00095711">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i/>
          <w:sz w:val="24"/>
          <w:szCs w:val="24"/>
          <w:u w:val="single"/>
        </w:rPr>
        <w:t xml:space="preserve">/s/ </w:t>
      </w:r>
      <w:r w:rsidRPr="00837E49" w:rsidR="00095711">
        <w:rPr>
          <w:rFonts w:ascii="Times New Roman" w:eastAsia="Times New Roman" w:hAnsi="Times New Roman" w:cs="Times New Roman"/>
          <w:i/>
          <w:sz w:val="24"/>
          <w:szCs w:val="24"/>
          <w:u w:val="single"/>
        </w:rPr>
        <w:t>Christopher Healey</w:t>
      </w:r>
      <w:r w:rsidR="00235F7E">
        <w:rPr>
          <w:rFonts w:ascii="Times New Roman" w:eastAsia="Times New Roman" w:hAnsi="Times New Roman" w:cs="Times New Roman"/>
          <w:sz w:val="24"/>
          <w:szCs w:val="24"/>
          <w:u w:val="single"/>
        </w:rPr>
        <w:tab/>
      </w:r>
      <w:r w:rsidR="001813BF">
        <w:rPr>
          <w:rFonts w:ascii="Times New Roman" w:eastAsia="Times New Roman" w:hAnsi="Times New Roman" w:cs="Times New Roman"/>
          <w:sz w:val="24"/>
          <w:szCs w:val="24"/>
          <w:u w:val="single"/>
        </w:rPr>
        <w:tab/>
      </w:r>
    </w:p>
    <w:p w:rsidR="00276B64"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Healey (0086027</w:t>
      </w:r>
      <w:r w:rsidRPr="005365F6" w:rsidR="00980875">
        <w:rPr>
          <w:rFonts w:ascii="Times New Roman" w:eastAsia="Times New Roman" w:hAnsi="Times New Roman" w:cs="Times New Roman"/>
          <w:sz w:val="24"/>
          <w:szCs w:val="24"/>
        </w:rPr>
        <w:t>)</w:t>
      </w:r>
    </w:p>
    <w:p w:rsidR="00095711" w:rsidRPr="005365F6"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Counsel of Record</w:t>
      </w:r>
    </w:p>
    <w:p w:rsidR="00276B64"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Bryce McKenney</w:t>
      </w:r>
      <w:r w:rsidRPr="005365F6" w:rsidR="00980875">
        <w:rPr>
          <w:rFonts w:ascii="Times New Roman" w:eastAsia="Times New Roman" w:hAnsi="Times New Roman" w:cs="Times New Roman"/>
          <w:sz w:val="24"/>
          <w:szCs w:val="24"/>
        </w:rPr>
        <w:t xml:space="preserve"> (00</w:t>
      </w:r>
      <w:r w:rsidRPr="005365F6">
        <w:rPr>
          <w:rFonts w:ascii="Times New Roman" w:eastAsia="Times New Roman" w:hAnsi="Times New Roman" w:cs="Times New Roman"/>
          <w:sz w:val="24"/>
          <w:szCs w:val="24"/>
        </w:rPr>
        <w:t>88203</w:t>
      </w:r>
      <w:r w:rsidRPr="005365F6" w:rsidR="00980875">
        <w:rPr>
          <w:rFonts w:ascii="Times New Roman" w:eastAsia="Times New Roman" w:hAnsi="Times New Roman" w:cs="Times New Roman"/>
          <w:sz w:val="24"/>
          <w:szCs w:val="24"/>
        </w:rPr>
        <w:t>)</w:t>
      </w:r>
    </w:p>
    <w:p w:rsidR="00235F7E"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095711"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Zac</w:t>
      </w:r>
      <w:r w:rsidR="00D76507">
        <w:rPr>
          <w:rFonts w:ascii="Times New Roman" w:eastAsia="Times New Roman" w:hAnsi="Times New Roman" w:cs="Times New Roman"/>
          <w:sz w:val="24"/>
          <w:szCs w:val="24"/>
        </w:rPr>
        <w:t>hary</w:t>
      </w:r>
      <w:r>
        <w:rPr>
          <w:rFonts w:ascii="Times New Roman" w:eastAsia="Times New Roman" w:hAnsi="Times New Roman" w:cs="Times New Roman"/>
          <w:sz w:val="24"/>
          <w:szCs w:val="24"/>
        </w:rPr>
        <w:t xml:space="preserve"> Woltz</w:t>
      </w:r>
      <w:r w:rsidR="00D76507">
        <w:rPr>
          <w:rFonts w:ascii="Times New Roman" w:eastAsia="Times New Roman" w:hAnsi="Times New Roman" w:cs="Times New Roman"/>
          <w:sz w:val="24"/>
          <w:szCs w:val="24"/>
        </w:rPr>
        <w:t xml:space="preserve"> (0096669)</w:t>
      </w:r>
    </w:p>
    <w:p w:rsidR="00235F7E"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095711" w:rsidRPr="005365F6"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Amy Botschner-O’Brien</w:t>
      </w:r>
      <w:r w:rsidR="00D76507">
        <w:rPr>
          <w:rFonts w:ascii="Times New Roman" w:eastAsia="Times New Roman" w:hAnsi="Times New Roman" w:cs="Times New Roman"/>
          <w:sz w:val="24"/>
          <w:szCs w:val="24"/>
        </w:rPr>
        <w:t xml:space="preserve"> (0074423)</w:t>
      </w:r>
    </w:p>
    <w:p w:rsidR="00235F7E" w:rsidP="00276B64">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Consumers’ Counsel</w:t>
      </w:r>
    </w:p>
    <w:p w:rsidR="00276B64" w:rsidRPr="005365F6" w:rsidP="00276B64">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b/>
      </w:r>
    </w:p>
    <w:p w:rsidR="00276B64" w:rsidRPr="005365F6" w:rsidP="00276B64">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b/>
          <w:sz w:val="24"/>
          <w:szCs w:val="24"/>
        </w:rPr>
        <w:t>Office of the Ohio Consumers’ Counsel</w:t>
      </w:r>
    </w:p>
    <w:p w:rsidR="00276B64" w:rsidRPr="005365F6" w:rsidP="00276B6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65</w:t>
      </w:r>
      <w:r w:rsidRPr="005365F6" w:rsidR="00980875">
        <w:rPr>
          <w:rFonts w:ascii="Times New Roman" w:eastAsia="Times New Roman" w:hAnsi="Times New Roman" w:cs="Times New Roman"/>
          <w:sz w:val="24"/>
          <w:szCs w:val="24"/>
        </w:rPr>
        <w:t xml:space="preserve"> </w:t>
      </w:r>
      <w:r w:rsidRPr="005365F6">
        <w:rPr>
          <w:rFonts w:ascii="Times New Roman" w:eastAsia="Times New Roman" w:hAnsi="Times New Roman" w:cs="Times New Roman"/>
          <w:sz w:val="24"/>
          <w:szCs w:val="24"/>
        </w:rPr>
        <w:t>Ea</w:t>
      </w:r>
      <w:r w:rsidRPr="005365F6" w:rsidR="00980875">
        <w:rPr>
          <w:rFonts w:ascii="Times New Roman" w:eastAsia="Times New Roman" w:hAnsi="Times New Roman" w:cs="Times New Roman"/>
          <w:sz w:val="24"/>
          <w:szCs w:val="24"/>
        </w:rPr>
        <w:t xml:space="preserve">st </w:t>
      </w:r>
      <w:r w:rsidRPr="005365F6">
        <w:rPr>
          <w:rFonts w:ascii="Times New Roman" w:eastAsia="Times New Roman" w:hAnsi="Times New Roman" w:cs="Times New Roman"/>
          <w:sz w:val="24"/>
          <w:szCs w:val="24"/>
        </w:rPr>
        <w:t>State</w:t>
      </w:r>
      <w:r w:rsidRPr="005365F6" w:rsidR="00980875">
        <w:rPr>
          <w:rFonts w:ascii="Times New Roman" w:eastAsia="Times New Roman" w:hAnsi="Times New Roman" w:cs="Times New Roman"/>
          <w:sz w:val="24"/>
          <w:szCs w:val="24"/>
        </w:rPr>
        <w:t xml:space="preserve"> Street, </w:t>
      </w:r>
      <w:r w:rsidR="002D25F7">
        <w:rPr>
          <w:rFonts w:ascii="Times New Roman" w:eastAsia="Times New Roman" w:hAnsi="Times New Roman" w:cs="Times New Roman"/>
          <w:sz w:val="24"/>
          <w:szCs w:val="24"/>
        </w:rPr>
        <w:t>7</w:t>
      </w:r>
      <w:r w:rsidRPr="002D25F7" w:rsidR="002D25F7">
        <w:rPr>
          <w:rFonts w:ascii="Times New Roman" w:eastAsia="Times New Roman" w:hAnsi="Times New Roman" w:cs="Times New Roman"/>
          <w:sz w:val="24"/>
          <w:szCs w:val="24"/>
          <w:vertAlign w:val="superscript"/>
        </w:rPr>
        <w:t>th</w:t>
      </w:r>
      <w:r w:rsidR="002D25F7">
        <w:rPr>
          <w:rFonts w:ascii="Times New Roman" w:eastAsia="Times New Roman" w:hAnsi="Times New Roman" w:cs="Times New Roman"/>
          <w:sz w:val="24"/>
          <w:szCs w:val="24"/>
        </w:rPr>
        <w:t xml:space="preserve"> Floor</w:t>
      </w:r>
    </w:p>
    <w:p w:rsidR="00276B64" w:rsidRPr="005365F6" w:rsidP="00276B64">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sz w:val="24"/>
          <w:szCs w:val="24"/>
        </w:rPr>
        <w:t>Columbus, Ohio 43215</w:t>
      </w:r>
    </w:p>
    <w:p w:rsidR="00276B64" w:rsidRPr="005365F6" w:rsidP="00276B6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Telephone:</w:t>
      </w:r>
      <w:r w:rsidRPr="005365F6" w:rsidR="005009EC">
        <w:rPr>
          <w:rFonts w:ascii="Times New Roman" w:eastAsia="Times New Roman" w:hAnsi="Times New Roman" w:cs="Times New Roman"/>
          <w:sz w:val="24"/>
          <w:szCs w:val="24"/>
        </w:rPr>
        <w:t xml:space="preserve"> [Healey</w:t>
      </w:r>
      <w:r w:rsidRPr="005365F6">
        <w:rPr>
          <w:rFonts w:ascii="Times New Roman" w:eastAsia="Times New Roman" w:hAnsi="Times New Roman" w:cs="Times New Roman"/>
          <w:sz w:val="24"/>
          <w:szCs w:val="24"/>
        </w:rPr>
        <w:t xml:space="preserve">] (614) </w:t>
      </w:r>
      <w:r w:rsidR="00287DF9">
        <w:rPr>
          <w:rFonts w:ascii="Times New Roman" w:eastAsia="Times New Roman" w:hAnsi="Times New Roman" w:cs="Times New Roman"/>
          <w:sz w:val="24"/>
          <w:szCs w:val="24"/>
        </w:rPr>
        <w:t>466</w:t>
      </w:r>
      <w:r w:rsidRPr="005365F6">
        <w:rPr>
          <w:rFonts w:ascii="Times New Roman" w:eastAsia="Times New Roman" w:hAnsi="Times New Roman" w:cs="Times New Roman"/>
          <w:sz w:val="24"/>
          <w:szCs w:val="24"/>
        </w:rPr>
        <w:t>-</w:t>
      </w:r>
      <w:r w:rsidR="00287DF9">
        <w:rPr>
          <w:rFonts w:ascii="Times New Roman" w:eastAsia="Times New Roman" w:hAnsi="Times New Roman" w:cs="Times New Roman"/>
          <w:sz w:val="24"/>
          <w:szCs w:val="24"/>
        </w:rPr>
        <w:t>9571</w:t>
      </w:r>
    </w:p>
    <w:p w:rsidR="00276B64" w:rsidP="00276B64">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T</w:t>
      </w:r>
      <w:r w:rsidRPr="005365F6" w:rsidR="005009EC">
        <w:rPr>
          <w:rFonts w:ascii="Times New Roman" w:eastAsia="Times New Roman" w:hAnsi="Times New Roman" w:cs="Times New Roman"/>
          <w:sz w:val="24"/>
          <w:szCs w:val="24"/>
        </w:rPr>
        <w:t>elephone: [McKenney] (614) 466-9589</w:t>
      </w:r>
    </w:p>
    <w:p w:rsidR="00D76507" w:rsidP="00276B64">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[Woltz] (614) 466-9565</w:t>
      </w:r>
    </w:p>
    <w:p w:rsidR="00D76507" w:rsidRPr="005365F6" w:rsidP="00D76507">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[O’Brien] (614) 466-9575</w:t>
      </w:r>
    </w:p>
    <w:p w:rsidR="00276B64" w:rsidRPr="00344041" w:rsidP="00276B64">
      <w:pPr>
        <w:spacing w:after="0" w:line="240" w:lineRule="auto"/>
        <w:ind w:left="4320"/>
        <w:rPr>
          <w:rFonts w:ascii="Times New Roman" w:eastAsia="Times New Roman" w:hAnsi="Times New Roman" w:cs="Times New Roman"/>
          <w:sz w:val="24"/>
          <w:szCs w:val="24"/>
        </w:rPr>
      </w:pPr>
      <w:r w:rsidRPr="00344041">
        <w:rPr>
          <w:rFonts w:ascii="Times New Roman" w:eastAsia="Times New Roman" w:hAnsi="Times New Roman" w:cs="Times New Roman"/>
          <w:sz w:val="24"/>
          <w:szCs w:val="24"/>
        </w:rPr>
        <w:t>christopher</w:t>
      </w:r>
      <w:r w:rsidRPr="00344041" w:rsidR="00980875">
        <w:rPr>
          <w:rFonts w:ascii="Times New Roman" w:eastAsia="Times New Roman" w:hAnsi="Times New Roman" w:cs="Times New Roman"/>
          <w:sz w:val="24"/>
          <w:szCs w:val="24"/>
        </w:rPr>
        <w:t>.</w:t>
      </w:r>
      <w:r w:rsidRPr="00344041">
        <w:rPr>
          <w:rFonts w:ascii="Times New Roman" w:eastAsia="Times New Roman" w:hAnsi="Times New Roman" w:cs="Times New Roman"/>
          <w:sz w:val="24"/>
          <w:szCs w:val="24"/>
        </w:rPr>
        <w:t>healey</w:t>
      </w:r>
      <w:r w:rsidRPr="00344041" w:rsidR="00980875">
        <w:rPr>
          <w:rFonts w:ascii="Times New Roman" w:eastAsia="Times New Roman" w:hAnsi="Times New Roman" w:cs="Times New Roman"/>
          <w:sz w:val="24"/>
          <w:szCs w:val="24"/>
        </w:rPr>
        <w:t>@occ.ohio.gov</w:t>
      </w:r>
    </w:p>
    <w:p w:rsidR="00276B64" w:rsidRPr="00344041" w:rsidP="005009EC">
      <w:pPr>
        <w:spacing w:after="0" w:line="240" w:lineRule="auto"/>
        <w:ind w:left="4320"/>
        <w:rPr>
          <w:rFonts w:ascii="Times New Roman" w:eastAsia="Times New Roman" w:hAnsi="Times New Roman" w:cs="Times New Roman"/>
          <w:sz w:val="24"/>
          <w:szCs w:val="24"/>
        </w:rPr>
      </w:pPr>
      <w:r w:rsidRPr="00344041" w:rsidR="00D76507">
        <w:rPr>
          <w:rStyle w:val="DefaultParagraphFont"/>
          <w:rFonts w:ascii="Times New Roman" w:eastAsia="Times New Roman" w:hAnsi="Times New Roman" w:cs="Times New Roman"/>
          <w:color w:val="auto"/>
          <w:sz w:val="24"/>
          <w:szCs w:val="24"/>
          <w:u w:val="none"/>
        </w:rPr>
        <w:t>Bryce.mckenney@occ.ohio.gov</w:t>
      </w:r>
    </w:p>
    <w:p w:rsidR="00D76507" w:rsidRPr="00344041" w:rsidP="005009EC">
      <w:pPr>
        <w:spacing w:after="0" w:line="240" w:lineRule="auto"/>
        <w:ind w:left="4320"/>
        <w:rPr>
          <w:rFonts w:ascii="Times New Roman" w:eastAsia="Times New Roman" w:hAnsi="Times New Roman" w:cs="Times New Roman"/>
          <w:sz w:val="24"/>
          <w:szCs w:val="24"/>
        </w:rPr>
      </w:pPr>
      <w:r w:rsidRPr="00344041">
        <w:rPr>
          <w:rStyle w:val="DefaultParagraphFont"/>
          <w:rFonts w:ascii="Times New Roman" w:eastAsia="Times New Roman" w:hAnsi="Times New Roman" w:cs="Times New Roman"/>
          <w:color w:val="auto"/>
          <w:sz w:val="24"/>
          <w:szCs w:val="24"/>
          <w:u w:val="none"/>
        </w:rPr>
        <w:t>Zachary.woltz@occ.ohio.gov</w:t>
      </w:r>
    </w:p>
    <w:p w:rsidR="00D76507" w:rsidRPr="00344041" w:rsidP="005009EC">
      <w:pPr>
        <w:spacing w:after="0" w:line="240" w:lineRule="auto"/>
        <w:ind w:left="4320"/>
        <w:rPr>
          <w:rFonts w:ascii="Times New Roman" w:eastAsia="Times New Roman" w:hAnsi="Times New Roman" w:cs="Times New Roman"/>
          <w:sz w:val="24"/>
          <w:szCs w:val="24"/>
        </w:rPr>
      </w:pPr>
      <w:r w:rsidRPr="00344041">
        <w:rPr>
          <w:rStyle w:val="DefaultParagraphFont"/>
          <w:rFonts w:ascii="Times New Roman" w:eastAsia="Times New Roman" w:hAnsi="Times New Roman" w:cs="Times New Roman"/>
          <w:color w:val="auto"/>
          <w:sz w:val="24"/>
          <w:szCs w:val="24"/>
          <w:u w:val="none"/>
        </w:rPr>
        <w:t>Amy.botschner.obrien@occ.ohio.gov</w:t>
      </w:r>
    </w:p>
    <w:p w:rsidR="00276B64" w:rsidRPr="005365F6" w:rsidP="00276B64">
      <w:pPr>
        <w:spacing w:after="0" w:line="240" w:lineRule="auto"/>
        <w:rPr>
          <w:rFonts w:ascii="Times New Roman" w:eastAsia="Times New Roman" w:hAnsi="Times New Roman" w:cs="Times New Roman"/>
          <w:sz w:val="24"/>
          <w:szCs w:val="24"/>
        </w:rPr>
        <w:sectPr w:rsidSect="002D25F7">
          <w:headerReference w:type="default" r:id="rId6"/>
          <w:footerReference w:type="default" r:id="rId7"/>
          <w:pgSz w:w="12240" w:h="15840"/>
          <w:pgMar w:top="1440" w:right="1800" w:bottom="1440" w:left="1800" w:header="720" w:footer="720" w:gutter="0"/>
          <w:pgNumType w:start="1"/>
          <w:cols w:space="720"/>
          <w:docGrid w:linePitch="360"/>
        </w:sectPr>
      </w:pP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t xml:space="preserve">            (All will</w:t>
      </w:r>
      <w:r w:rsidR="001813BF">
        <w:rPr>
          <w:rFonts w:ascii="Times New Roman" w:eastAsia="Times New Roman" w:hAnsi="Times New Roman" w:cs="Times New Roman"/>
          <w:sz w:val="24"/>
          <w:szCs w:val="24"/>
        </w:rPr>
        <w:t>ing to</w:t>
      </w:r>
      <w:r w:rsidRPr="005365F6">
        <w:rPr>
          <w:rFonts w:ascii="Times New Roman" w:eastAsia="Times New Roman" w:hAnsi="Times New Roman" w:cs="Times New Roman"/>
          <w:sz w:val="24"/>
          <w:szCs w:val="24"/>
        </w:rPr>
        <w:t xml:space="preserve"> accept service </w:t>
      </w:r>
      <w:r w:rsidR="001813BF">
        <w:rPr>
          <w:rFonts w:ascii="Times New Roman" w:eastAsia="Times New Roman" w:hAnsi="Times New Roman" w:cs="Times New Roman"/>
          <w:sz w:val="24"/>
          <w:szCs w:val="24"/>
        </w:rPr>
        <w:t>by</w:t>
      </w:r>
      <w:r w:rsidRPr="005365F6" w:rsidR="001813BF">
        <w:rPr>
          <w:rFonts w:ascii="Times New Roman" w:eastAsia="Times New Roman" w:hAnsi="Times New Roman" w:cs="Times New Roman"/>
          <w:sz w:val="24"/>
          <w:szCs w:val="24"/>
        </w:rPr>
        <w:t xml:space="preserve"> </w:t>
      </w:r>
      <w:r w:rsidRPr="005365F6">
        <w:rPr>
          <w:rFonts w:ascii="Times New Roman" w:eastAsia="Times New Roman" w:hAnsi="Times New Roman" w:cs="Times New Roman"/>
          <w:sz w:val="24"/>
          <w:szCs w:val="24"/>
        </w:rPr>
        <w:t>email)</w:t>
      </w:r>
    </w:p>
    <w:p w:rsidR="00276B64" w:rsidRPr="005365F6" w:rsidP="00276B64">
      <w:pPr>
        <w:spacing w:after="0" w:line="240" w:lineRule="auto"/>
        <w:jc w:val="center"/>
        <w:rPr>
          <w:rFonts w:ascii="Times New Roman" w:eastAsia="Calibri" w:hAnsi="Times New Roman" w:cs="Times New Roman"/>
          <w:b/>
          <w:bCs/>
          <w:sz w:val="24"/>
          <w:szCs w:val="24"/>
          <w:u w:val="single"/>
        </w:rPr>
      </w:pPr>
      <w:r w:rsidRPr="005365F6">
        <w:rPr>
          <w:rFonts w:ascii="Times New Roman" w:eastAsia="Calibri" w:hAnsi="Times New Roman" w:cs="Times New Roman"/>
          <w:b/>
          <w:bCs/>
          <w:sz w:val="24"/>
          <w:szCs w:val="24"/>
          <w:u w:val="single"/>
        </w:rPr>
        <w:t>CERTIFICATE OF SERVICE</w:t>
      </w:r>
    </w:p>
    <w:p w:rsidR="00276B64" w:rsidRPr="005365F6" w:rsidP="00276B64">
      <w:pPr>
        <w:spacing w:after="0" w:line="480" w:lineRule="atLeast"/>
        <w:ind w:firstLine="720"/>
        <w:rPr>
          <w:rFonts w:ascii="Times New Roman" w:eastAsia="Calibri" w:hAnsi="Times New Roman" w:cs="Times New Roman"/>
          <w:sz w:val="24"/>
          <w:szCs w:val="24"/>
        </w:rPr>
      </w:pPr>
      <w:r w:rsidRPr="005365F6">
        <w:rPr>
          <w:rFonts w:ascii="Times New Roman" w:eastAsia="Calibri" w:hAnsi="Times New Roman" w:cs="Times New Roman"/>
          <w:sz w:val="24"/>
          <w:szCs w:val="24"/>
        </w:rPr>
        <w:t xml:space="preserve">I hereby certify that a copy of this </w:t>
      </w:r>
      <w:r w:rsidR="008F7D7F">
        <w:rPr>
          <w:rFonts w:ascii="Times New Roman" w:eastAsia="Calibri" w:hAnsi="Times New Roman" w:cs="Times New Roman"/>
          <w:sz w:val="24"/>
          <w:szCs w:val="24"/>
        </w:rPr>
        <w:t>Merit</w:t>
      </w:r>
      <w:r w:rsidRPr="005365F6">
        <w:rPr>
          <w:rFonts w:ascii="Times New Roman" w:eastAsia="Calibri" w:hAnsi="Times New Roman" w:cs="Times New Roman"/>
          <w:sz w:val="24"/>
          <w:szCs w:val="24"/>
        </w:rPr>
        <w:t xml:space="preserve"> Brief was served on the persons stated below</w:t>
      </w:r>
      <w:r w:rsidRPr="005365F6" w:rsidR="005009EC">
        <w:rPr>
          <w:rFonts w:ascii="Times New Roman" w:eastAsia="Calibri" w:hAnsi="Times New Roman" w:cs="Times New Roman"/>
          <w:sz w:val="24"/>
          <w:szCs w:val="24"/>
        </w:rPr>
        <w:t xml:space="preserve"> via electronic service, this </w:t>
      </w:r>
      <w:r w:rsidR="001813BF">
        <w:rPr>
          <w:rFonts w:ascii="Times New Roman" w:eastAsia="Calibri" w:hAnsi="Times New Roman" w:cs="Times New Roman"/>
          <w:sz w:val="24"/>
          <w:szCs w:val="24"/>
        </w:rPr>
        <w:t>13th</w:t>
      </w:r>
      <w:r w:rsidRPr="005365F6">
        <w:rPr>
          <w:rFonts w:ascii="Times New Roman" w:eastAsia="Calibri" w:hAnsi="Times New Roman" w:cs="Times New Roman"/>
          <w:sz w:val="24"/>
          <w:szCs w:val="24"/>
        </w:rPr>
        <w:t xml:space="preserve"> </w:t>
      </w:r>
      <w:r w:rsidRPr="005365F6" w:rsidR="005009EC">
        <w:rPr>
          <w:rFonts w:ascii="Times New Roman" w:eastAsia="Calibri" w:hAnsi="Times New Roman" w:cs="Times New Roman"/>
          <w:sz w:val="24"/>
          <w:szCs w:val="24"/>
        </w:rPr>
        <w:t xml:space="preserve">day of </w:t>
      </w:r>
      <w:r w:rsidR="00A63E18">
        <w:rPr>
          <w:rFonts w:ascii="Times New Roman" w:eastAsia="Calibri" w:hAnsi="Times New Roman" w:cs="Times New Roman"/>
          <w:sz w:val="24"/>
          <w:szCs w:val="24"/>
        </w:rPr>
        <w:t>August</w:t>
      </w:r>
      <w:r w:rsidRPr="005365F6" w:rsidR="005009EC">
        <w:rPr>
          <w:rFonts w:ascii="Times New Roman" w:eastAsia="Calibri" w:hAnsi="Times New Roman" w:cs="Times New Roman"/>
          <w:sz w:val="24"/>
          <w:szCs w:val="24"/>
        </w:rPr>
        <w:t xml:space="preserve"> 2018</w:t>
      </w:r>
      <w:r w:rsidRPr="005365F6">
        <w:rPr>
          <w:rFonts w:ascii="Times New Roman" w:eastAsia="Calibri" w:hAnsi="Times New Roman" w:cs="Times New Roman"/>
          <w:sz w:val="24"/>
          <w:szCs w:val="24"/>
        </w:rPr>
        <w:t>.</w:t>
      </w:r>
    </w:p>
    <w:p w:rsidR="00276B64" w:rsidRPr="005365F6" w:rsidP="00276B64">
      <w:pPr>
        <w:spacing w:after="0" w:line="240" w:lineRule="auto"/>
        <w:rPr>
          <w:rFonts w:ascii="Times New Roman" w:eastAsia="Calibri" w:hAnsi="Times New Roman" w:cs="Times New Roman"/>
          <w:sz w:val="24"/>
          <w:szCs w:val="24"/>
        </w:rPr>
      </w:pPr>
    </w:p>
    <w:p w:rsidR="00276B64" w:rsidRPr="005365F6" w:rsidP="00276B64">
      <w:pPr>
        <w:tabs>
          <w:tab w:val="left" w:pos="4320"/>
        </w:tabs>
        <w:spacing w:after="0" w:line="240" w:lineRule="auto"/>
        <w:rPr>
          <w:rFonts w:ascii="Times New Roman" w:eastAsia="Calibri" w:hAnsi="Times New Roman" w:cs="Times New Roman"/>
          <w:iCs/>
          <w:sz w:val="24"/>
          <w:szCs w:val="24"/>
          <w:u w:val="single"/>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u w:val="single"/>
        </w:rPr>
        <w:t xml:space="preserve">/s/ </w:t>
      </w:r>
      <w:r w:rsidRPr="00837E49" w:rsidR="00A63E18">
        <w:rPr>
          <w:rFonts w:ascii="Times New Roman" w:eastAsia="Calibri" w:hAnsi="Times New Roman" w:cs="Times New Roman"/>
          <w:i/>
          <w:iCs/>
          <w:sz w:val="24"/>
          <w:szCs w:val="24"/>
          <w:u w:val="single"/>
        </w:rPr>
        <w:t>Christopher Healey</w:t>
      </w:r>
      <w:r w:rsidR="001813BF">
        <w:rPr>
          <w:rFonts w:ascii="Times New Roman" w:eastAsia="Calibri" w:hAnsi="Times New Roman" w:cs="Times New Roman"/>
          <w:i/>
          <w:iCs/>
          <w:sz w:val="24"/>
          <w:szCs w:val="24"/>
          <w:u w:val="single"/>
        </w:rPr>
        <w:tab/>
      </w:r>
    </w:p>
    <w:p w:rsidR="00276B64" w:rsidRPr="005365F6" w:rsidP="00276B64">
      <w:pPr>
        <w:tabs>
          <w:tab w:val="left" w:pos="4320"/>
        </w:tabs>
        <w:spacing w:after="0" w:line="240" w:lineRule="auto"/>
        <w:rPr>
          <w:rFonts w:ascii="Times New Roman" w:eastAsia="Calibri" w:hAnsi="Times New Roman" w:cs="Times New Roman"/>
          <w:iCs/>
          <w:sz w:val="24"/>
          <w:szCs w:val="24"/>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r>
      <w:r w:rsidR="00A63E18">
        <w:rPr>
          <w:rFonts w:ascii="Times New Roman" w:eastAsia="Calibri" w:hAnsi="Times New Roman" w:cs="Times New Roman"/>
          <w:iCs/>
          <w:sz w:val="24"/>
          <w:szCs w:val="24"/>
        </w:rPr>
        <w:t>Christopher Healey</w:t>
      </w:r>
    </w:p>
    <w:p w:rsidR="00276B64" w:rsidP="00276B64">
      <w:pPr>
        <w:tabs>
          <w:tab w:val="left" w:pos="4320"/>
        </w:tabs>
        <w:spacing w:after="0" w:line="240" w:lineRule="auto"/>
        <w:rPr>
          <w:rFonts w:ascii="Times New Roman" w:eastAsia="Calibri" w:hAnsi="Times New Roman" w:cs="Times New Roman"/>
          <w:iCs/>
          <w:sz w:val="24"/>
          <w:szCs w:val="24"/>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t>Assistant Consumers’ Counsel</w:t>
      </w:r>
    </w:p>
    <w:p w:rsidR="00344041" w:rsidRPr="005365F6" w:rsidP="00276B64">
      <w:pPr>
        <w:tabs>
          <w:tab w:val="left" w:pos="4320"/>
        </w:tabs>
        <w:spacing w:after="0" w:line="240" w:lineRule="auto"/>
        <w:rPr>
          <w:rFonts w:ascii="Times New Roman" w:eastAsia="Calibri" w:hAnsi="Times New Roman" w:cs="Times New Roman"/>
          <w:iCs/>
          <w:sz w:val="24"/>
          <w:szCs w:val="24"/>
        </w:rPr>
      </w:pPr>
    </w:p>
    <w:p w:rsidR="00276B64" w:rsidRPr="005365F6" w:rsidP="00276B64">
      <w:pPr>
        <w:spacing w:after="0" w:line="240" w:lineRule="auto"/>
        <w:rPr>
          <w:rFonts w:ascii="Times New Roman" w:eastAsia="Times New Roman" w:hAnsi="Times New Roman" w:cs="Times New Roman"/>
          <w:sz w:val="24"/>
          <w:szCs w:val="24"/>
        </w:rPr>
      </w:pPr>
    </w:p>
    <w:p w:rsidR="00276B64" w:rsidP="005009EC">
      <w:pPr>
        <w:spacing w:after="0" w:line="240" w:lineRule="auto"/>
        <w:jc w:val="center"/>
        <w:rPr>
          <w:rFonts w:ascii="Times New Roman" w:eastAsia="Times New Roman" w:hAnsi="Times New Roman" w:cs="Times New Roman"/>
          <w:b/>
          <w:bCs/>
          <w:sz w:val="24"/>
          <w:szCs w:val="24"/>
          <w:u w:val="single"/>
        </w:rPr>
      </w:pPr>
      <w:r w:rsidRPr="005365F6">
        <w:rPr>
          <w:rFonts w:ascii="Times New Roman" w:eastAsia="Times New Roman" w:hAnsi="Times New Roman" w:cs="Times New Roman"/>
          <w:b/>
          <w:bCs/>
          <w:sz w:val="24"/>
          <w:szCs w:val="24"/>
          <w:u w:val="single"/>
        </w:rPr>
        <w:t>SERVICE LIST</w:t>
      </w:r>
    </w:p>
    <w:p w:rsidR="00344041" w:rsidP="005009EC">
      <w:pPr>
        <w:spacing w:after="0" w:line="240" w:lineRule="auto"/>
        <w:jc w:val="center"/>
        <w:rPr>
          <w:rFonts w:ascii="Times New Roman" w:eastAsia="Times New Roman" w:hAnsi="Times New Roman" w:cs="Times New Roman"/>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6E61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44041" w:rsidRPr="00453004" w:rsidP="006E612A">
            <w:pPr>
              <w:pStyle w:val="BodyText"/>
              <w:spacing w:after="0"/>
              <w:rPr>
                <w:b/>
                <w:bCs/>
              </w:rPr>
            </w:pPr>
            <w:r w:rsidRPr="00453004">
              <w:t>William.wright@ohioattorneygeneral.gov</w:t>
            </w:r>
            <w:r w:rsidRPr="00453004">
              <w:rPr>
                <w:b/>
                <w:bCs/>
              </w:rPr>
              <w:t xml:space="preserve"> </w:t>
            </w:r>
          </w:p>
          <w:p w:rsidR="00344041" w:rsidRPr="00453004" w:rsidP="006E612A">
            <w:pPr>
              <w:pStyle w:val="BodyText"/>
              <w:spacing w:after="0"/>
              <w:rPr>
                <w:b/>
                <w:bCs/>
              </w:rPr>
            </w:pPr>
          </w:p>
          <w:p w:rsidR="00344041" w:rsidRPr="00453004" w:rsidP="006E612A">
            <w:pPr>
              <w:pStyle w:val="BodyText"/>
              <w:spacing w:after="0"/>
              <w:rPr>
                <w:bCs/>
              </w:rPr>
            </w:pPr>
            <w:r w:rsidRPr="00453004">
              <w:rPr>
                <w:bCs/>
              </w:rPr>
              <w:t>Attorney Examiner:</w:t>
            </w:r>
          </w:p>
          <w:p w:rsidR="00344041" w:rsidRPr="00453004" w:rsidP="006E612A">
            <w:pPr>
              <w:pStyle w:val="BodyText"/>
              <w:spacing w:after="0"/>
              <w:rPr>
                <w:b/>
                <w:bCs/>
              </w:rPr>
            </w:pPr>
            <w:r w:rsidRPr="00453004">
              <w:t>Megan.addison@puc.state.oh.us</w:t>
            </w:r>
            <w:r w:rsidRPr="00453004">
              <w:rPr>
                <w:b/>
                <w:bCs/>
              </w:rPr>
              <w:t xml:space="preserve"> </w:t>
            </w:r>
          </w:p>
        </w:tc>
        <w:tc>
          <w:tcPr>
            <w:tcW w:w="4315" w:type="dxa"/>
          </w:tcPr>
          <w:p w:rsidR="00344041" w:rsidRPr="00453004" w:rsidP="006E612A">
            <w:pPr>
              <w:pStyle w:val="BodyText"/>
              <w:spacing w:after="0"/>
              <w:rPr>
                <w:b/>
                <w:bCs/>
              </w:rPr>
            </w:pPr>
            <w:r w:rsidRPr="00453004">
              <w:t>cmooney@ohiopartners.org</w:t>
            </w:r>
            <w:r w:rsidRPr="00453004">
              <w:rPr>
                <w:b/>
                <w:bCs/>
              </w:rPr>
              <w:t xml:space="preserve"> </w:t>
            </w:r>
          </w:p>
          <w:p w:rsidR="00344041" w:rsidRPr="00453004" w:rsidP="006E612A">
            <w:pPr>
              <w:pStyle w:val="BodyText"/>
              <w:spacing w:after="0"/>
              <w:rPr>
                <w:b/>
                <w:bCs/>
              </w:rPr>
            </w:pPr>
            <w:r w:rsidRPr="00453004">
              <w:t>mkurtz@bkllawfirm.com</w:t>
            </w:r>
          </w:p>
          <w:p w:rsidR="00344041" w:rsidRPr="00453004" w:rsidP="006E612A">
            <w:pPr>
              <w:pStyle w:val="BodyText"/>
              <w:spacing w:after="0"/>
              <w:rPr>
                <w:b/>
                <w:bCs/>
              </w:rPr>
            </w:pPr>
            <w:r w:rsidRPr="00453004">
              <w:t>kboehm@bkllawfirm.com</w:t>
            </w:r>
          </w:p>
          <w:p w:rsidR="00344041" w:rsidRPr="00453004" w:rsidP="006E612A">
            <w:pPr>
              <w:pStyle w:val="BodyText"/>
              <w:spacing w:after="0"/>
              <w:rPr>
                <w:b/>
                <w:bCs/>
              </w:rPr>
            </w:pPr>
            <w:r w:rsidRPr="00453004">
              <w:t>jkylercohn@bkllawfirm.com</w:t>
            </w:r>
          </w:p>
          <w:p w:rsidR="00344041" w:rsidRPr="00453004" w:rsidP="006E612A">
            <w:pPr>
              <w:pStyle w:val="BodyText"/>
              <w:spacing w:after="0"/>
              <w:rPr>
                <w:b/>
                <w:bCs/>
              </w:rPr>
            </w:pPr>
            <w:r w:rsidRPr="00453004">
              <w:t>joliker@igsenergy.com</w:t>
            </w:r>
          </w:p>
          <w:p w:rsidR="00344041" w:rsidRPr="00453004" w:rsidP="006E612A">
            <w:pPr>
              <w:pStyle w:val="BodyText"/>
              <w:spacing w:after="0"/>
              <w:rPr>
                <w:b/>
                <w:bCs/>
              </w:rPr>
            </w:pPr>
            <w:r w:rsidRPr="00453004">
              <w:t>mnugent@igsenergy.com</w:t>
            </w:r>
            <w:r w:rsidRPr="00453004">
              <w:rPr>
                <w:b/>
                <w:bCs/>
              </w:rPr>
              <w:t xml:space="preserve"> </w:t>
            </w:r>
          </w:p>
          <w:p w:rsidR="00344041" w:rsidRPr="00453004" w:rsidP="006E612A">
            <w:pPr>
              <w:pStyle w:val="BodyText"/>
              <w:spacing w:after="0"/>
              <w:rPr>
                <w:bCs/>
              </w:rPr>
            </w:pPr>
            <w:r w:rsidRPr="00453004">
              <w:t>rocco.dascenzo@duke-energy.com</w:t>
            </w:r>
            <w:r w:rsidRPr="00453004">
              <w:rPr>
                <w:bCs/>
              </w:rPr>
              <w:t xml:space="preserve">  </w:t>
            </w:r>
          </w:p>
          <w:p w:rsidR="00344041" w:rsidRPr="00453004" w:rsidP="006E612A">
            <w:pPr>
              <w:pStyle w:val="BodyText"/>
              <w:spacing w:after="0"/>
              <w:rPr>
                <w:b/>
                <w:bCs/>
              </w:rPr>
            </w:pPr>
            <w:r w:rsidRPr="00453004">
              <w:t>Jeanne.kingery@duke-energy.com</w:t>
            </w:r>
          </w:p>
          <w:p w:rsidR="00344041" w:rsidRPr="00453004" w:rsidP="006E612A">
            <w:pPr>
              <w:pStyle w:val="BodyText"/>
              <w:spacing w:after="0"/>
              <w:rPr>
                <w:b/>
                <w:bCs/>
              </w:rPr>
            </w:pPr>
            <w:r w:rsidRPr="00453004">
              <w:t>gkrassen@bricker.com</w:t>
            </w:r>
          </w:p>
          <w:p w:rsidR="00344041" w:rsidRPr="00453004" w:rsidP="006E612A">
            <w:pPr>
              <w:pStyle w:val="BodyText"/>
              <w:spacing w:after="0"/>
              <w:rPr>
                <w:b/>
                <w:bCs/>
              </w:rPr>
            </w:pPr>
            <w:r w:rsidRPr="00453004">
              <w:t>dstinson@bricker.com</w:t>
            </w:r>
            <w:r w:rsidRPr="00453004">
              <w:rPr>
                <w:b/>
                <w:bCs/>
              </w:rPr>
              <w:t xml:space="preserve"> </w:t>
            </w:r>
          </w:p>
          <w:p w:rsidR="00344041" w:rsidRPr="00453004" w:rsidP="006E612A">
            <w:pPr>
              <w:autoSpaceDE w:val="0"/>
              <w:autoSpaceDN w:val="0"/>
              <w:adjustRightInd w:val="0"/>
              <w:rPr>
                <w:sz w:val="24"/>
                <w:szCs w:val="24"/>
              </w:rPr>
            </w:pPr>
            <w:r w:rsidRPr="00453004">
              <w:rPr>
                <w:sz w:val="24"/>
                <w:szCs w:val="24"/>
              </w:rPr>
              <w:t xml:space="preserve">whitt@whitt-sturtevant.com </w:t>
            </w:r>
          </w:p>
          <w:p w:rsidR="00344041" w:rsidRPr="00453004" w:rsidP="006E612A">
            <w:pPr>
              <w:autoSpaceDE w:val="0"/>
              <w:autoSpaceDN w:val="0"/>
              <w:adjustRightInd w:val="0"/>
              <w:rPr>
                <w:sz w:val="24"/>
                <w:szCs w:val="24"/>
              </w:rPr>
            </w:pPr>
            <w:r w:rsidRPr="00453004">
              <w:rPr>
                <w:sz w:val="24"/>
                <w:szCs w:val="24"/>
              </w:rPr>
              <w:t xml:space="preserve">campbell@whitt-sturtevant.com </w:t>
            </w:r>
          </w:p>
          <w:p w:rsidR="00344041" w:rsidRPr="00453004" w:rsidP="006E612A">
            <w:pPr>
              <w:pStyle w:val="BodyText"/>
              <w:spacing w:after="0"/>
            </w:pPr>
            <w:r w:rsidRPr="00453004">
              <w:t xml:space="preserve">glover@whitt-sturtevant.com </w:t>
            </w:r>
          </w:p>
          <w:p w:rsidR="00344041" w:rsidRPr="00453004" w:rsidP="006E612A">
            <w:pPr>
              <w:pStyle w:val="BodyText"/>
              <w:spacing w:after="0"/>
            </w:pPr>
            <w:r w:rsidRPr="00453004">
              <w:t xml:space="preserve">cdunn@firstenergycorp.com michael.schuler@aes.com </w:t>
            </w:r>
          </w:p>
          <w:p w:rsidR="00344041" w:rsidRPr="00453004" w:rsidP="006E612A">
            <w:pPr>
              <w:pStyle w:val="BodyText"/>
              <w:spacing w:after="0"/>
            </w:pPr>
            <w:r w:rsidRPr="00453004">
              <w:t xml:space="preserve">randall.griffin@aes.com </w:t>
            </w:r>
          </w:p>
          <w:p w:rsidR="00344041" w:rsidRPr="00453004" w:rsidP="006E612A">
            <w:pPr>
              <w:pStyle w:val="BodyText"/>
              <w:spacing w:after="0"/>
              <w:rPr>
                <w:color w:val="0000FF"/>
              </w:rPr>
            </w:pPr>
            <w:r w:rsidRPr="00453004">
              <w:t>mwhelan@egas.net</w:t>
            </w:r>
          </w:p>
          <w:p w:rsidR="00344041" w:rsidRPr="00453004" w:rsidP="006E612A">
            <w:pPr>
              <w:pStyle w:val="BodyText"/>
              <w:spacing w:after="0"/>
              <w:rPr>
                <w:color w:val="0563C2"/>
              </w:rPr>
            </w:pPr>
            <w:r w:rsidRPr="00453004">
              <w:t>jfinnigan@edf.org</w:t>
            </w:r>
          </w:p>
          <w:p w:rsidR="00344041" w:rsidRPr="00453004" w:rsidP="006E612A">
            <w:pPr>
              <w:pStyle w:val="BodyText"/>
              <w:spacing w:after="0"/>
              <w:rPr>
                <w:color w:val="0563C2"/>
              </w:rPr>
            </w:pPr>
            <w:r w:rsidRPr="00453004">
              <w:t>dsawmiller@nrdc.org</w:t>
            </w:r>
          </w:p>
          <w:p w:rsidR="00344041" w:rsidRPr="00453004" w:rsidP="006E612A">
            <w:pPr>
              <w:pStyle w:val="BodyText"/>
              <w:spacing w:after="0"/>
              <w:rPr>
                <w:color w:val="0563C2"/>
              </w:rPr>
            </w:pPr>
            <w:r w:rsidRPr="00453004">
              <w:t>mleppla@theoec.org</w:t>
            </w:r>
          </w:p>
          <w:p w:rsidR="00344041" w:rsidRPr="00453004" w:rsidP="006E612A">
            <w:pPr>
              <w:pStyle w:val="BodyText"/>
              <w:spacing w:after="0"/>
              <w:rPr>
                <w:color w:val="0563C2"/>
              </w:rPr>
            </w:pPr>
            <w:r w:rsidRPr="00453004">
              <w:t>neil.waggoner@sierraclub.org</w:t>
            </w:r>
          </w:p>
          <w:p w:rsidR="00344041" w:rsidRPr="00453004" w:rsidP="006E612A">
            <w:pPr>
              <w:pStyle w:val="BodyText"/>
              <w:spacing w:after="0"/>
              <w:rPr>
                <w:color w:val="0563C2"/>
              </w:rPr>
            </w:pPr>
            <w:r w:rsidRPr="00453004">
              <w:t>mfleisher@elpc.org</w:t>
            </w:r>
          </w:p>
          <w:p w:rsidR="00344041" w:rsidRPr="00453004" w:rsidP="006E612A">
            <w:pPr>
              <w:autoSpaceDE w:val="0"/>
              <w:autoSpaceDN w:val="0"/>
              <w:adjustRightInd w:val="0"/>
              <w:rPr>
                <w:color w:val="0563C2"/>
                <w:sz w:val="24"/>
                <w:szCs w:val="24"/>
              </w:rPr>
            </w:pPr>
            <w:r w:rsidRPr="00453004">
              <w:rPr>
                <w:sz w:val="24"/>
                <w:szCs w:val="24"/>
              </w:rPr>
              <w:t>stnourse@aep.com</w:t>
            </w:r>
            <w:r w:rsidRPr="00453004">
              <w:rPr>
                <w:color w:val="0563C2"/>
                <w:sz w:val="24"/>
                <w:szCs w:val="24"/>
              </w:rPr>
              <w:t xml:space="preserve"> </w:t>
            </w:r>
          </w:p>
          <w:p w:rsidR="00344041" w:rsidRPr="00453004" w:rsidP="006E612A">
            <w:pPr>
              <w:pStyle w:val="BodyText"/>
              <w:spacing w:after="0"/>
              <w:rPr>
                <w:color w:val="0563C2"/>
              </w:rPr>
            </w:pPr>
            <w:r w:rsidRPr="00453004">
              <w:t>cmblend@aep.com</w:t>
            </w:r>
          </w:p>
          <w:p w:rsidR="00344041" w:rsidRPr="00453004" w:rsidP="006E612A">
            <w:pPr>
              <w:pStyle w:val="BodyText"/>
              <w:spacing w:after="0"/>
            </w:pPr>
            <w:r w:rsidRPr="00453004">
              <w:t>selisar@mwncmh.com</w:t>
            </w:r>
          </w:p>
          <w:p w:rsidR="00344041" w:rsidRPr="00453004" w:rsidP="006E612A">
            <w:pPr>
              <w:pStyle w:val="BodyText"/>
              <w:spacing w:after="0"/>
            </w:pPr>
            <w:r w:rsidRPr="00453004">
              <w:t>mpritchard@mwncmh.com</w:t>
            </w:r>
          </w:p>
          <w:p w:rsidR="00344041" w:rsidRPr="00453004" w:rsidP="006E612A">
            <w:pPr>
              <w:pStyle w:val="BodyText"/>
              <w:spacing w:after="0"/>
            </w:pPr>
            <w:r w:rsidRPr="00453004">
              <w:t xml:space="preserve">fdarr@mwncmh.com </w:t>
            </w:r>
          </w:p>
          <w:p w:rsidR="00344041" w:rsidRPr="00453004" w:rsidP="006E612A">
            <w:pPr>
              <w:autoSpaceDE w:val="0"/>
              <w:autoSpaceDN w:val="0"/>
              <w:adjustRightInd w:val="0"/>
              <w:rPr>
                <w:sz w:val="24"/>
                <w:szCs w:val="24"/>
              </w:rPr>
            </w:pPr>
            <w:r w:rsidRPr="00453004">
              <w:rPr>
                <w:sz w:val="24"/>
                <w:szCs w:val="24"/>
              </w:rPr>
              <w:t xml:space="preserve">sseiple@nisource.com </w:t>
            </w:r>
          </w:p>
          <w:p w:rsidR="00344041" w:rsidRPr="00453004" w:rsidP="006E612A">
            <w:pPr>
              <w:pStyle w:val="BodyText"/>
              <w:spacing w:after="0"/>
              <w:rPr>
                <w:b/>
                <w:bCs/>
              </w:rPr>
            </w:pPr>
            <w:r w:rsidRPr="00453004">
              <w:t xml:space="preserve">josephclark@nisource.com </w:t>
            </w:r>
          </w:p>
          <w:p w:rsidR="00344041" w:rsidRPr="00453004" w:rsidP="006E612A">
            <w:pPr>
              <w:pStyle w:val="BodyText"/>
              <w:spacing w:after="0"/>
            </w:pPr>
            <w:r w:rsidRPr="00453004">
              <w:t xml:space="preserve">mlozich@securustechnologies.com </w:t>
            </w:r>
          </w:p>
          <w:p w:rsidR="00344041" w:rsidRPr="00453004" w:rsidP="006E612A">
            <w:pPr>
              <w:pStyle w:val="BodyText"/>
              <w:spacing w:after="0"/>
              <w:rPr>
                <w:b/>
                <w:bCs/>
              </w:rPr>
            </w:pPr>
          </w:p>
        </w:tc>
      </w:tr>
    </w:tbl>
    <w:p w:rsidR="00344041" w:rsidRPr="005365F6" w:rsidP="00344041">
      <w:pPr>
        <w:spacing w:after="0" w:line="240" w:lineRule="auto"/>
        <w:rPr>
          <w:rFonts w:ascii="Times New Roman" w:eastAsia="Times New Roman" w:hAnsi="Times New Roman" w:cs="Times New Roman"/>
          <w:b/>
          <w:bCs/>
          <w:sz w:val="24"/>
          <w:szCs w:val="24"/>
          <w:u w:val="single"/>
        </w:rPr>
      </w:pPr>
    </w:p>
    <w:sectPr w:rsidSect="00276B64">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3376504"/>
      <w:docPartObj>
        <w:docPartGallery w:val="Page Numbers (Bottom of Page)"/>
        <w:docPartUnique/>
      </w:docPartObj>
    </w:sdtPr>
    <w:sdtEndPr>
      <w:rPr>
        <w:rFonts w:ascii="Times New Roman" w:hAnsi="Times New Roman" w:cs="Times New Roman"/>
        <w:noProof/>
        <w:sz w:val="24"/>
      </w:rPr>
    </w:sdtEndPr>
    <w:sdtContent>
      <w:p w:rsidR="00F7526A" w:rsidRPr="006706FC">
        <w:pPr>
          <w:pStyle w:val="Footer"/>
          <w:jc w:val="center"/>
          <w:rPr>
            <w:rFonts w:ascii="Times New Roman" w:hAnsi="Times New Roman" w:cs="Times New Roman"/>
            <w:sz w:val="24"/>
          </w:rPr>
        </w:pPr>
        <w:r w:rsidRPr="006706FC">
          <w:rPr>
            <w:rFonts w:ascii="Times New Roman" w:hAnsi="Times New Roman" w:cs="Times New Roman"/>
            <w:sz w:val="24"/>
          </w:rPr>
          <w:fldChar w:fldCharType="begin"/>
        </w:r>
        <w:r w:rsidRPr="006706FC">
          <w:rPr>
            <w:rFonts w:ascii="Times New Roman" w:hAnsi="Times New Roman" w:cs="Times New Roman"/>
            <w:sz w:val="24"/>
          </w:rPr>
          <w:instrText xml:space="preserve"> PAGE   \* MERGEFORMAT </w:instrText>
        </w:r>
        <w:r w:rsidRPr="006706FC">
          <w:rPr>
            <w:rFonts w:ascii="Times New Roman" w:hAnsi="Times New Roman" w:cs="Times New Roman"/>
            <w:sz w:val="24"/>
          </w:rPr>
          <w:fldChar w:fldCharType="separate"/>
        </w:r>
        <w:r w:rsidR="00732113">
          <w:rPr>
            <w:rFonts w:ascii="Times New Roman" w:hAnsi="Times New Roman" w:cs="Times New Roman"/>
            <w:noProof/>
            <w:sz w:val="24"/>
          </w:rPr>
          <w:t>i</w:t>
        </w:r>
        <w:r w:rsidRPr="006706FC">
          <w:rPr>
            <w:rFonts w:ascii="Times New Roman" w:hAnsi="Times New Roman" w:cs="Times New Roman"/>
            <w:noProof/>
            <w:sz w:val="24"/>
          </w:rPr>
          <w:fldChar w:fldCharType="end"/>
        </w:r>
      </w:p>
    </w:sdtContent>
  </w:sdt>
  <w:p w:rsidR="00F7526A" w:rsidRPr="00670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8299982"/>
      <w:docPartObj>
        <w:docPartGallery w:val="Page Numbers (Bottom of Page)"/>
        <w:docPartUnique/>
      </w:docPartObj>
    </w:sdtPr>
    <w:sdtEndPr>
      <w:rPr>
        <w:rFonts w:ascii="Times New Roman" w:hAnsi="Times New Roman" w:cs="Times New Roman"/>
        <w:noProof/>
        <w:sz w:val="24"/>
      </w:rPr>
    </w:sdtEndPr>
    <w:sdtContent>
      <w:p w:rsidR="00F7526A" w:rsidRPr="001667F0">
        <w:pPr>
          <w:pStyle w:val="Footer"/>
          <w:jc w:val="center"/>
          <w:rPr>
            <w:rFonts w:ascii="Times New Roman" w:hAnsi="Times New Roman" w:cs="Times New Roman"/>
            <w:sz w:val="24"/>
          </w:rPr>
        </w:pPr>
        <w:r w:rsidRPr="001667F0">
          <w:rPr>
            <w:rFonts w:ascii="Times New Roman" w:hAnsi="Times New Roman" w:cs="Times New Roman"/>
            <w:sz w:val="24"/>
          </w:rPr>
          <w:fldChar w:fldCharType="begin"/>
        </w:r>
        <w:r w:rsidRPr="001667F0">
          <w:rPr>
            <w:rFonts w:ascii="Times New Roman" w:hAnsi="Times New Roman" w:cs="Times New Roman"/>
            <w:sz w:val="24"/>
          </w:rPr>
          <w:instrText xml:space="preserve"> PAGE   \* MERGEFORMAT </w:instrText>
        </w:r>
        <w:r w:rsidRPr="001667F0">
          <w:rPr>
            <w:rFonts w:ascii="Times New Roman" w:hAnsi="Times New Roman" w:cs="Times New Roman"/>
            <w:sz w:val="24"/>
          </w:rPr>
          <w:fldChar w:fldCharType="separate"/>
        </w:r>
        <w:r w:rsidR="00732113">
          <w:rPr>
            <w:rFonts w:ascii="Times New Roman" w:hAnsi="Times New Roman" w:cs="Times New Roman"/>
            <w:noProof/>
            <w:sz w:val="24"/>
          </w:rPr>
          <w:t>13</w:t>
        </w:r>
        <w:r w:rsidRPr="001667F0">
          <w:rPr>
            <w:rFonts w:ascii="Times New Roman" w:hAnsi="Times New Roman" w:cs="Times New Roman"/>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6A" w:rsidRPr="006706FC">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10DF" w:rsidP="00276B64">
      <w:pPr>
        <w:spacing w:after="0" w:line="240" w:lineRule="auto"/>
      </w:pPr>
      <w:r>
        <w:separator/>
      </w:r>
    </w:p>
  </w:footnote>
  <w:footnote w:type="continuationSeparator" w:id="1">
    <w:p w:rsidR="000010DF" w:rsidP="00276B64">
      <w:pPr>
        <w:spacing w:after="0" w:line="240" w:lineRule="auto"/>
      </w:pPr>
      <w:r>
        <w:continuationSeparator/>
      </w:r>
    </w:p>
  </w:footnote>
  <w:footnote w:id="2">
    <w:p w:rsidR="00CD42B8" w:rsidP="00A20644">
      <w:pPr>
        <w:pStyle w:val="FootnoteText"/>
        <w:spacing w:after="120"/>
      </w:pPr>
      <w:r>
        <w:rPr>
          <w:rStyle w:val="FootnoteReference"/>
        </w:rPr>
        <w:footnoteRef/>
      </w:r>
      <w:r>
        <w:t xml:space="preserve"> OCC Ex. 1, Direct Testimony of Wm. Ross Willis at 6 (the “Willis Testimony”)</w:t>
      </w:r>
      <w:r w:rsidR="00AA75D9">
        <w:t>.</w:t>
      </w:r>
    </w:p>
  </w:footnote>
  <w:footnote w:id="3">
    <w:p w:rsidR="00F7526A" w:rsidP="00A20644">
      <w:pPr>
        <w:pStyle w:val="FootnoteText"/>
        <w:spacing w:after="120"/>
      </w:pPr>
      <w:r>
        <w:rPr>
          <w:rStyle w:val="FootnoteReference"/>
        </w:rPr>
        <w:footnoteRef/>
      </w:r>
      <w:r>
        <w:t xml:space="preserve"> Entry ¶ 3 (Jan. 10, 2018).</w:t>
      </w:r>
    </w:p>
  </w:footnote>
  <w:footnote w:id="4">
    <w:p w:rsidR="00F7526A" w:rsidRPr="006F15AC" w:rsidP="00A20644">
      <w:pPr>
        <w:pStyle w:val="FootnoteText"/>
        <w:spacing w:after="120"/>
      </w:pPr>
      <w:r>
        <w:rPr>
          <w:rStyle w:val="FootnoteReference"/>
        </w:rPr>
        <w:footnoteRef/>
      </w:r>
      <w:r>
        <w:t xml:space="preserve"> </w:t>
      </w:r>
      <w:r>
        <w:rPr>
          <w:i/>
        </w:rPr>
        <w:t xml:space="preserve">Id. </w:t>
      </w:r>
      <w:r>
        <w:t>¶ 7 (citing R.C. 4905.13 as authority for this accounting treatment). This portion of the PUCO’s order shall be referred to as the “Accounting Directive.”</w:t>
      </w:r>
    </w:p>
  </w:footnote>
  <w:footnote w:id="5">
    <w:p w:rsidR="00F7526A" w:rsidP="00A20644">
      <w:pPr>
        <w:pStyle w:val="FootnoteText"/>
        <w:spacing w:after="120"/>
      </w:pPr>
      <w:r>
        <w:rPr>
          <w:rStyle w:val="FootnoteReference"/>
        </w:rPr>
        <w:footnoteRef/>
      </w:r>
      <w:r>
        <w:t xml:space="preserve"> The Electric Utilities are Ohio Edison Co., the Cleveland Electric Illuminating Company, the Toledo Edison Company, Ohio Power Company (“AEP”); Duke Energy Ohio, Inc.; and the Dayton Power and Light Company (“DP&amp;L”).</w:t>
      </w:r>
    </w:p>
  </w:footnote>
  <w:footnote w:id="6">
    <w:p w:rsidR="00F7526A" w:rsidP="00A20644">
      <w:pPr>
        <w:pStyle w:val="FootnoteText"/>
        <w:spacing w:after="120"/>
      </w:pPr>
      <w:r>
        <w:rPr>
          <w:rStyle w:val="FootnoteReference"/>
        </w:rPr>
        <w:footnoteRef/>
      </w:r>
      <w:r>
        <w:t xml:space="preserve"> Joint Application for Rehearing of Ohio Power Company, Ohio Edison Company, the Dayton Power and Light</w:t>
      </w:r>
      <w:r w:rsidR="00235F7E">
        <w:t xml:space="preserve"> Company, Duke Energy Ohio, Inc</w:t>
      </w:r>
      <w:r>
        <w:t>, the Cleveland Electric Illuminating Company, and the Toledo Edison Company (Feb. 9, 2018) (the “Application for Rehearing”).</w:t>
      </w:r>
    </w:p>
  </w:footnote>
  <w:footnote w:id="7">
    <w:p w:rsidR="00F7526A" w:rsidRPr="00D3160F" w:rsidP="00A20644">
      <w:pPr>
        <w:pStyle w:val="FootnoteText"/>
        <w:spacing w:after="120"/>
      </w:pPr>
      <w:r>
        <w:rPr>
          <w:rStyle w:val="FootnoteReference"/>
        </w:rPr>
        <w:footnoteRef/>
      </w:r>
      <w:r>
        <w:t xml:space="preserve"> </w:t>
      </w:r>
      <w:r>
        <w:rPr>
          <w:i/>
        </w:rPr>
        <w:t xml:space="preserve">See generally </w:t>
      </w:r>
      <w:r>
        <w:t>Second Entry on Rehearing (Apr. 25, 2018); AEP Ex. 1; Duke Ex. 1.</w:t>
      </w:r>
    </w:p>
  </w:footnote>
  <w:footnote w:id="8">
    <w:p w:rsidR="00F7526A" w:rsidP="00A20644">
      <w:pPr>
        <w:pStyle w:val="FootnoteText"/>
        <w:spacing w:after="120"/>
      </w:pPr>
      <w:r>
        <w:rPr>
          <w:rStyle w:val="FootnoteReference"/>
        </w:rPr>
        <w:footnoteRef/>
      </w:r>
      <w:r>
        <w:t xml:space="preserve"> Second Entry on Rehearing ¶ 15 (Apr. 25, 2018) (emphasis added).</w:t>
      </w:r>
    </w:p>
  </w:footnote>
  <w:footnote w:id="9">
    <w:p w:rsidR="00F7526A" w:rsidRPr="001813BF" w:rsidP="00A20644">
      <w:pPr>
        <w:pStyle w:val="FootnoteText"/>
        <w:spacing w:after="120"/>
      </w:pPr>
      <w:r>
        <w:rPr>
          <w:rStyle w:val="FootnoteReference"/>
        </w:rPr>
        <w:footnoteRef/>
      </w:r>
      <w:r>
        <w:t xml:space="preserve"> </w:t>
      </w:r>
      <w:r>
        <w:rPr>
          <w:i/>
        </w:rPr>
        <w:t>Id.</w:t>
      </w:r>
      <w:r>
        <w:t xml:space="preserve"> ¶ 21.</w:t>
      </w:r>
    </w:p>
  </w:footnote>
  <w:footnote w:id="10">
    <w:p w:rsidR="00F7526A" w:rsidP="00A20644">
      <w:pPr>
        <w:pStyle w:val="FootnoteText"/>
        <w:spacing w:after="120"/>
      </w:pPr>
      <w:r>
        <w:rPr>
          <w:rStyle w:val="FootnoteReference"/>
        </w:rPr>
        <w:footnoteRef/>
      </w:r>
      <w:r>
        <w:t xml:space="preserve"> Second Entry on Rehearing </w:t>
      </w:r>
      <w:r>
        <w:rPr>
          <w:rFonts w:cs="Times New Roman"/>
        </w:rPr>
        <w:t>¶¶</w:t>
      </w:r>
      <w:r>
        <w:t> 29-31.</w:t>
      </w:r>
    </w:p>
  </w:footnote>
  <w:footnote w:id="11">
    <w:p w:rsidR="00F7526A" w:rsidRPr="001813BF" w:rsidP="00A20644">
      <w:pPr>
        <w:pStyle w:val="FootnoteText"/>
        <w:spacing w:after="120"/>
      </w:pPr>
      <w:r>
        <w:rPr>
          <w:rStyle w:val="FootnoteReference"/>
        </w:rPr>
        <w:footnoteRef/>
      </w:r>
      <w:r>
        <w:t xml:space="preserve"> </w:t>
      </w:r>
      <w:r>
        <w:rPr>
          <w:i/>
        </w:rPr>
        <w:t>Id.</w:t>
      </w:r>
      <w:r>
        <w:t xml:space="preserve"> ¶ 31.</w:t>
      </w:r>
    </w:p>
  </w:footnote>
  <w:footnote w:id="12">
    <w:p w:rsidR="00F7526A" w:rsidRPr="007471C9" w:rsidP="00A20644">
      <w:pPr>
        <w:pStyle w:val="FootnoteText"/>
        <w:spacing w:after="120"/>
      </w:pPr>
      <w:r>
        <w:rPr>
          <w:rStyle w:val="FootnoteReference"/>
        </w:rPr>
        <w:footnoteRef/>
      </w:r>
      <w:r>
        <w:t xml:space="preserve"> </w:t>
      </w:r>
      <w:r>
        <w:rPr>
          <w:i/>
        </w:rPr>
        <w:t xml:space="preserve">In re Joint Application of </w:t>
      </w:r>
      <w:r w:rsidR="00663574">
        <w:rPr>
          <w:i/>
        </w:rPr>
        <w:t>[FirstEnergy]</w:t>
      </w:r>
      <w:r>
        <w:rPr>
          <w:i/>
        </w:rPr>
        <w:t xml:space="preserve"> for Approval of a Generation Charge Adjustment Rider</w:t>
      </w:r>
      <w:r>
        <w:t>, Case No. 05-704-EL-AAM, Opinion &amp; Order at 9 (Jan. 4, 2006).</w:t>
      </w:r>
    </w:p>
  </w:footnote>
  <w:footnote w:id="13">
    <w:p w:rsidR="00F7526A" w:rsidP="00A20644">
      <w:pPr>
        <w:pStyle w:val="FootnoteText"/>
        <w:spacing w:after="120"/>
      </w:pPr>
      <w:r>
        <w:rPr>
          <w:rStyle w:val="FootnoteReference"/>
        </w:rPr>
        <w:footnoteRef/>
      </w:r>
      <w:r>
        <w:t xml:space="preserve"> Staff proposes that this factor be whether the financial integrity of the utility will be significantly and adversely affected if the PUCO requires the deferral. But this would make the factor largely the same as the first factor (w</w:t>
      </w:r>
      <w:r w:rsidRPr="00325ACA">
        <w:t>hether the utility’s current rates or revenues are insufficient to cover the costs associated with the deferral</w:t>
      </w:r>
      <w:r>
        <w:t>). the fifth factor should focus on the financial well-being of customers, not the utility.</w:t>
      </w:r>
    </w:p>
  </w:footnote>
  <w:footnote w:id="14">
    <w:p w:rsidR="00F7526A" w:rsidP="00A20644">
      <w:pPr>
        <w:pStyle w:val="FootnoteText"/>
        <w:spacing w:after="120"/>
      </w:pPr>
      <w:r>
        <w:rPr>
          <w:rStyle w:val="FootnoteReference"/>
        </w:rPr>
        <w:footnoteRef/>
      </w:r>
      <w:r>
        <w:t xml:space="preserve"> </w:t>
      </w:r>
      <w:r w:rsidRPr="00D16856">
        <w:rPr>
          <w:i/>
        </w:rPr>
        <w:t>See</w:t>
      </w:r>
      <w:r>
        <w:t xml:space="preserve"> </w:t>
      </w:r>
      <w:r w:rsidRPr="00BF2240">
        <w:rPr>
          <w:i/>
        </w:rPr>
        <w:t>In re</w:t>
      </w:r>
      <w:r>
        <w:rPr>
          <w:i/>
        </w:rPr>
        <w:t xml:space="preserve"> Application of</w:t>
      </w:r>
      <w:r w:rsidRPr="00BF2240">
        <w:rPr>
          <w:i/>
        </w:rPr>
        <w:t xml:space="preserve"> Duke</w:t>
      </w:r>
      <w:r>
        <w:rPr>
          <w:i/>
        </w:rPr>
        <w:t xml:space="preserve"> Energy Ohio, Inc. for Approval to Change Accounting Methods</w:t>
      </w:r>
      <w:r>
        <w:t>, Case No. 17-2118-GA-AAM, Finding &amp; Order ¶ 24 (Apr. 18, 2018); Staff Ex. 1, Testimony of Jonathan J. Borer at 5-7 (the “Borer Testimony”).</w:t>
      </w:r>
    </w:p>
  </w:footnote>
  <w:footnote w:id="15">
    <w:p w:rsidR="00005492" w:rsidP="00A20644">
      <w:pPr>
        <w:pStyle w:val="FootnoteText"/>
        <w:spacing w:after="120"/>
      </w:pPr>
      <w:r>
        <w:rPr>
          <w:rStyle w:val="FootnoteReference"/>
        </w:rPr>
        <w:footnoteRef/>
      </w:r>
      <w:r>
        <w:t xml:space="preserve"> Willis Testimony at 5.</w:t>
      </w:r>
    </w:p>
  </w:footnote>
  <w:footnote w:id="16">
    <w:p w:rsidR="00F7526A" w:rsidRPr="00CE0743" w:rsidP="00A20644">
      <w:pPr>
        <w:pStyle w:val="FootnoteText"/>
        <w:spacing w:after="120"/>
      </w:pPr>
      <w:r>
        <w:rPr>
          <w:rStyle w:val="FootnoteReference"/>
        </w:rPr>
        <w:footnoteRef/>
      </w:r>
      <w:r>
        <w:t xml:space="preserve"> </w:t>
      </w:r>
      <w:r w:rsidRPr="00D16856">
        <w:t>R.C.</w:t>
      </w:r>
      <w:r>
        <w:rPr>
          <w:i/>
        </w:rPr>
        <w:t xml:space="preserve"> </w:t>
      </w:r>
      <w:r>
        <w:t xml:space="preserve">4905.13. </w:t>
      </w:r>
    </w:p>
  </w:footnote>
  <w:footnote w:id="17">
    <w:p w:rsidR="00F7526A" w:rsidRPr="00930120" w:rsidP="00A20644">
      <w:pPr>
        <w:pStyle w:val="FootnoteText"/>
        <w:spacing w:after="120"/>
      </w:pPr>
      <w:r>
        <w:rPr>
          <w:rStyle w:val="FootnoteReference"/>
        </w:rPr>
        <w:footnoteRef/>
      </w:r>
      <w:r>
        <w:t xml:space="preserve"> 114 Ohio St.3d 305, ¶ 18-19 (2007).</w:t>
      </w:r>
    </w:p>
  </w:footnote>
  <w:footnote w:id="18">
    <w:p w:rsidR="00F7526A" w:rsidRPr="00930120" w:rsidP="00A20644">
      <w:pPr>
        <w:pStyle w:val="FootnoteText"/>
        <w:spacing w:after="120"/>
      </w:pPr>
      <w:r>
        <w:rPr>
          <w:rStyle w:val="FootnoteReference"/>
        </w:rPr>
        <w:footnoteRef/>
      </w:r>
      <w:r>
        <w:t xml:space="preserve"> </w:t>
      </w:r>
      <w:r>
        <w:rPr>
          <w:i/>
        </w:rPr>
        <w:t xml:space="preserve">Id. </w:t>
      </w:r>
      <w:r>
        <w:t>¶ 19.</w:t>
      </w:r>
    </w:p>
  </w:footnote>
  <w:footnote w:id="19">
    <w:p w:rsidR="00F7526A" w:rsidRPr="00930120" w:rsidP="00A20644">
      <w:pPr>
        <w:pStyle w:val="FootnoteText"/>
        <w:spacing w:after="120"/>
      </w:pPr>
      <w:r>
        <w:rPr>
          <w:rStyle w:val="FootnoteReference"/>
        </w:rPr>
        <w:footnoteRef/>
      </w:r>
      <w:r>
        <w:t xml:space="preserve"> </w:t>
      </w:r>
      <w:r>
        <w:rPr>
          <w:i/>
        </w:rPr>
        <w:t xml:space="preserve">Id. </w:t>
      </w:r>
      <w:r>
        <w:t>(</w:t>
      </w:r>
      <w:r w:rsidRPr="00D16856">
        <w:t>citing</w:t>
      </w:r>
      <w:r>
        <w:rPr>
          <w:i/>
        </w:rPr>
        <w:t xml:space="preserve"> Consumers’ Counsel v. P</w:t>
      </w:r>
      <w:r w:rsidR="00663574">
        <w:rPr>
          <w:i/>
        </w:rPr>
        <w:t>UCO</w:t>
      </w:r>
      <w:r>
        <w:rPr>
          <w:i/>
        </w:rPr>
        <w:t xml:space="preserve"> </w:t>
      </w:r>
      <w:r>
        <w:t>63 Ohio St.</w:t>
      </w:r>
      <w:r w:rsidR="00663574">
        <w:t xml:space="preserve"> </w:t>
      </w:r>
      <w:r>
        <w:t xml:space="preserve">3d 522 (1992); </w:t>
      </w:r>
      <w:r>
        <w:rPr>
          <w:i/>
        </w:rPr>
        <w:t>Dayton Power &amp; Light Co.,</w:t>
      </w:r>
      <w:r>
        <w:t xml:space="preserve"> 4 Ohio St.</w:t>
      </w:r>
      <w:r w:rsidR="00663574">
        <w:t xml:space="preserve"> </w:t>
      </w:r>
      <w:r>
        <w:t xml:space="preserve">3d (1983)). </w:t>
      </w:r>
    </w:p>
  </w:footnote>
  <w:footnote w:id="20">
    <w:p w:rsidR="00F7526A" w:rsidP="00A20644">
      <w:pPr>
        <w:pStyle w:val="FootnoteText"/>
        <w:spacing w:after="120"/>
      </w:pPr>
      <w:r>
        <w:rPr>
          <w:rStyle w:val="FootnoteReference"/>
        </w:rPr>
        <w:footnoteRef/>
      </w:r>
      <w:r>
        <w:t xml:space="preserve"> Entry ¶¶ 7, 10 (Jan. 10, 2018).</w:t>
      </w:r>
    </w:p>
  </w:footnote>
  <w:footnote w:id="21">
    <w:p w:rsidR="00F7526A" w:rsidP="00A20644">
      <w:pPr>
        <w:pStyle w:val="FootnoteText"/>
        <w:spacing w:after="120"/>
      </w:pPr>
      <w:r>
        <w:rPr>
          <w:rStyle w:val="FootnoteReference"/>
        </w:rPr>
        <w:footnoteRef/>
      </w:r>
      <w:r>
        <w:t xml:space="preserve"> </w:t>
      </w:r>
      <w:r w:rsidRPr="00D16856">
        <w:rPr>
          <w:i/>
        </w:rPr>
        <w:t>Ohio Consumers’ Counsel v. PUCO</w:t>
      </w:r>
      <w:r>
        <w:t>, 58 Ohio St.2d 153, 157 (1979).</w:t>
      </w:r>
    </w:p>
  </w:footnote>
  <w:footnote w:id="22">
    <w:p w:rsidR="00F7526A" w:rsidP="00A20644">
      <w:pPr>
        <w:pStyle w:val="FootnoteText"/>
        <w:spacing w:after="120"/>
      </w:pPr>
      <w:r>
        <w:rPr>
          <w:rStyle w:val="FootnoteReference"/>
        </w:rPr>
        <w:footnoteRef/>
      </w:r>
      <w:r>
        <w:t xml:space="preserve"> </w:t>
      </w:r>
      <w:r w:rsidRPr="0052786C">
        <w:rPr>
          <w:i/>
        </w:rPr>
        <w:t>Id.</w:t>
      </w:r>
    </w:p>
  </w:footnote>
  <w:footnote w:id="23">
    <w:p w:rsidR="00F7526A" w:rsidP="00A20644">
      <w:pPr>
        <w:pStyle w:val="FootnoteText"/>
        <w:spacing w:after="120"/>
      </w:pPr>
      <w:r>
        <w:rPr>
          <w:rStyle w:val="FootnoteReference"/>
        </w:rPr>
        <w:footnoteRef/>
      </w:r>
      <w:r>
        <w:t xml:space="preserve"> </w:t>
      </w:r>
      <w:r w:rsidRPr="00095711">
        <w:rPr>
          <w:i/>
        </w:rPr>
        <w:t>Seneca Hills Serv. Co. v. PUCO</w:t>
      </w:r>
      <w:r>
        <w:t>, 56 Ohio St.2d 410, 413 (1978).</w:t>
      </w:r>
    </w:p>
  </w:footnote>
  <w:footnote w:id="24">
    <w:p w:rsidR="00F7526A" w:rsidP="00A20644">
      <w:pPr>
        <w:pStyle w:val="FootnoteText"/>
        <w:spacing w:after="120"/>
      </w:pPr>
      <w:r>
        <w:rPr>
          <w:rStyle w:val="FootnoteReference"/>
        </w:rPr>
        <w:footnoteRef/>
      </w:r>
      <w:r>
        <w:t xml:space="preserve"> R.C. 4909.16 (emphasis added).</w:t>
      </w:r>
    </w:p>
  </w:footnote>
  <w:footnote w:id="25">
    <w:p w:rsidR="00F7526A" w:rsidRPr="001813BF" w:rsidP="00A20644">
      <w:pPr>
        <w:pStyle w:val="FootnoteText"/>
        <w:spacing w:after="120"/>
      </w:pPr>
      <w:r>
        <w:rPr>
          <w:rStyle w:val="FootnoteReference"/>
        </w:rPr>
        <w:footnoteRef/>
      </w:r>
      <w:r>
        <w:t xml:space="preserve"> </w:t>
      </w:r>
      <w:r>
        <w:rPr>
          <w:i/>
        </w:rPr>
        <w:t xml:space="preserve">See supra </w:t>
      </w:r>
      <w:r w:rsidRPr="00D16856">
        <w:t>§ II</w:t>
      </w:r>
      <w:r>
        <w:rPr>
          <w:i/>
        </w:rPr>
        <w:t xml:space="preserve">. See also </w:t>
      </w:r>
      <w:r>
        <w:t>Borer Testimony; Tr. at 137:20-24.</w:t>
      </w:r>
    </w:p>
  </w:footnote>
  <w:footnote w:id="26">
    <w:p w:rsidR="00F7526A" w:rsidRPr="001813BF" w:rsidP="00A20644">
      <w:pPr>
        <w:pStyle w:val="FootnoteText"/>
        <w:spacing w:after="120"/>
      </w:pPr>
      <w:r>
        <w:rPr>
          <w:rStyle w:val="FootnoteReference"/>
        </w:rPr>
        <w:footnoteRef/>
      </w:r>
      <w:r>
        <w:t xml:space="preserve"> </w:t>
      </w:r>
      <w:r>
        <w:rPr>
          <w:i/>
        </w:rPr>
        <w:t xml:space="preserve">See, e.g., </w:t>
      </w:r>
      <w:r>
        <w:t>Tr. at 64:2-6 (cross-examination of Duke witness Wathen) (“Q. And not all those factors have to be passed for the Commission to grant a deferral, does it? A. In some cases, none have to be passed. In some deferral cases, they haven’t addressed any of the factors.”).</w:t>
      </w:r>
    </w:p>
  </w:footnote>
  <w:footnote w:id="27">
    <w:p w:rsidR="00F7526A" w:rsidP="00A20644">
      <w:pPr>
        <w:pStyle w:val="FootnoteText"/>
        <w:spacing w:after="120"/>
      </w:pPr>
      <w:r>
        <w:rPr>
          <w:rStyle w:val="FootnoteReference"/>
        </w:rPr>
        <w:footnoteRef/>
      </w:r>
      <w:r>
        <w:t xml:space="preserve"> Tr. at 137:11-13 (cross examination of Staff Witness Borer) (“it’s establishing a sort of a framework for evaluating deferrals so that there’s some sort of standard that could be applied”).</w:t>
      </w:r>
    </w:p>
  </w:footnote>
  <w:footnote w:id="28">
    <w:p w:rsidR="00F7526A" w:rsidRPr="0071647D" w:rsidP="00A20644">
      <w:pPr>
        <w:pStyle w:val="FootnoteText"/>
        <w:spacing w:after="120"/>
      </w:pPr>
      <w:r>
        <w:rPr>
          <w:rStyle w:val="FootnoteReference"/>
        </w:rPr>
        <w:footnoteRef/>
      </w:r>
      <w:r>
        <w:t xml:space="preserve"> </w:t>
      </w:r>
      <w:r>
        <w:rPr>
          <w:i/>
        </w:rPr>
        <w:t xml:space="preserve">See, e.g., In re Application of the Cleveland Electric Illuminating Co. for Authority to Amend and Increase its Filed Schedules, </w:t>
      </w:r>
      <w:r>
        <w:t xml:space="preserve">Case No. 86-2025-EL-AIR, 1987 Ohio PUC LEXIS 28 (Dec. 16, 1987); </w:t>
      </w:r>
      <w:r>
        <w:rPr>
          <w:i/>
        </w:rPr>
        <w:t>In re Application of Ohio Power Co. to Increase Certain Filed Schedules</w:t>
      </w:r>
      <w:r>
        <w:t xml:space="preserve">, Case No. 78-676-EL-AIR, 1979 Ohio PUC LEXIS 2 (Apr. 16, 1979). </w:t>
      </w:r>
    </w:p>
  </w:footnote>
  <w:footnote w:id="29">
    <w:p w:rsidR="00F7526A" w:rsidRPr="00D125C0" w:rsidP="00A20644">
      <w:pPr>
        <w:pStyle w:val="FootnoteText"/>
        <w:spacing w:after="120"/>
      </w:pPr>
      <w:r>
        <w:rPr>
          <w:rStyle w:val="FootnoteReference"/>
        </w:rPr>
        <w:footnoteRef/>
      </w:r>
      <w:r>
        <w:t xml:space="preserve"> </w:t>
      </w:r>
      <w:r>
        <w:rPr>
          <w:i/>
        </w:rPr>
        <w:t xml:space="preserve">E. Ohio Gas Co. v. PUCO, </w:t>
      </w:r>
      <w:r>
        <w:t xml:space="preserve">133 Ohio St. 212 (1938). </w:t>
      </w:r>
    </w:p>
  </w:footnote>
  <w:footnote w:id="30">
    <w:p w:rsidR="00F7526A" w:rsidRPr="00D125C0" w:rsidP="00A20644">
      <w:pPr>
        <w:pStyle w:val="FootnoteText"/>
        <w:spacing w:after="120"/>
      </w:pPr>
      <w:r>
        <w:rPr>
          <w:rStyle w:val="FootnoteReference"/>
        </w:rPr>
        <w:footnoteRef/>
      </w:r>
      <w:r>
        <w:t xml:space="preserve"> </w:t>
      </w:r>
      <w:r>
        <w:rPr>
          <w:i/>
        </w:rPr>
        <w:t xml:space="preserve">Id. </w:t>
      </w:r>
    </w:p>
  </w:footnote>
  <w:footnote w:id="31">
    <w:p w:rsidR="00F7526A" w:rsidP="00A20644">
      <w:pPr>
        <w:pStyle w:val="FootnoteText"/>
        <w:spacing w:after="120"/>
      </w:pPr>
      <w:r>
        <w:rPr>
          <w:rStyle w:val="FootnoteReference"/>
        </w:rPr>
        <w:footnoteRef/>
      </w:r>
      <w:r w:rsidR="008F7D7F">
        <w:t xml:space="preserve"> </w:t>
      </w:r>
      <w:r>
        <w:t>The Omnibus Budget Reconciliation Act of 1993 increased the federal corporate income tax rate from 34% to 35%. Some utilities may be charging a 34% federal income tax if their rates were not adjusted following the 1993 tax increase.</w:t>
      </w:r>
    </w:p>
  </w:footnote>
  <w:footnote w:id="32">
    <w:p w:rsidR="00F7526A" w:rsidP="00A20644">
      <w:pPr>
        <w:pStyle w:val="FootnoteText"/>
        <w:spacing w:after="120"/>
      </w:pPr>
      <w:r>
        <w:rPr>
          <w:rStyle w:val="FootnoteReference"/>
        </w:rPr>
        <w:footnoteRef/>
      </w:r>
      <w:r>
        <w:t xml:space="preserve"> Borer Testimony at 5.</w:t>
      </w:r>
    </w:p>
  </w:footnote>
  <w:footnote w:id="33">
    <w:p w:rsidR="00F7526A" w:rsidP="00A20644">
      <w:pPr>
        <w:pStyle w:val="FootnoteText"/>
        <w:spacing w:after="120"/>
      </w:pPr>
      <w:r>
        <w:rPr>
          <w:rStyle w:val="FootnoteReference"/>
        </w:rPr>
        <w:footnoteRef/>
      </w:r>
      <w:r>
        <w:t xml:space="preserve"> Willis Testimony</w:t>
      </w:r>
      <w:r w:rsidR="00005492">
        <w:t xml:space="preserve"> at 9</w:t>
      </w:r>
      <w:r>
        <w:t>.</w:t>
      </w:r>
    </w:p>
  </w:footnote>
  <w:footnote w:id="34">
    <w:p w:rsidR="00F7526A" w:rsidP="00A20644">
      <w:pPr>
        <w:pStyle w:val="FootnoteText"/>
        <w:spacing w:after="120"/>
      </w:pPr>
      <w:r>
        <w:rPr>
          <w:rStyle w:val="FootnoteReference"/>
        </w:rPr>
        <w:footnoteRef/>
      </w:r>
      <w:r>
        <w:t xml:space="preserve"> </w:t>
      </w:r>
      <w:r w:rsidRPr="000D47DC">
        <w:rPr>
          <w:i/>
        </w:rPr>
        <w:t>Id.</w:t>
      </w:r>
    </w:p>
  </w:footnote>
  <w:footnote w:id="35">
    <w:p w:rsidR="00F7526A" w:rsidP="00A20644">
      <w:pPr>
        <w:pStyle w:val="FootnoteText"/>
        <w:spacing w:after="120"/>
      </w:pPr>
      <w:r>
        <w:rPr>
          <w:rStyle w:val="FootnoteReference"/>
        </w:rPr>
        <w:footnoteRef/>
      </w:r>
      <w:r>
        <w:t xml:space="preserve"> </w:t>
      </w:r>
      <w:r w:rsidRPr="000D47DC">
        <w:rPr>
          <w:i/>
        </w:rPr>
        <w:t>Id</w:t>
      </w:r>
      <w:r>
        <w:t>.</w:t>
      </w:r>
    </w:p>
  </w:footnote>
  <w:footnote w:id="36">
    <w:p w:rsidR="00F7526A" w:rsidP="00A20644">
      <w:pPr>
        <w:pStyle w:val="FootnoteText"/>
        <w:spacing w:after="120"/>
      </w:pPr>
      <w:r>
        <w:rPr>
          <w:rStyle w:val="FootnoteReference"/>
        </w:rPr>
        <w:footnoteRef/>
      </w:r>
      <w:r>
        <w:t xml:space="preserve"> </w:t>
      </w:r>
      <w:r w:rsidRPr="00491590">
        <w:rPr>
          <w:i/>
        </w:rPr>
        <w:t>Id</w:t>
      </w:r>
      <w:r>
        <w:t>.</w:t>
      </w:r>
    </w:p>
  </w:footnote>
  <w:footnote w:id="37">
    <w:p w:rsidR="00F7526A" w:rsidP="00A20644">
      <w:pPr>
        <w:pStyle w:val="FootnoteText"/>
        <w:spacing w:after="120"/>
      </w:pPr>
      <w:r>
        <w:rPr>
          <w:rStyle w:val="FootnoteReference"/>
        </w:rPr>
        <w:footnoteRef/>
      </w:r>
      <w:r>
        <w:t xml:space="preserve"> </w:t>
      </w:r>
      <w:r w:rsidRPr="00C91BA8">
        <w:rPr>
          <w:i/>
        </w:rPr>
        <w:t>Id.</w:t>
      </w:r>
    </w:p>
  </w:footnote>
  <w:footnote w:id="38">
    <w:p w:rsidR="00F7526A" w:rsidP="00A20644">
      <w:pPr>
        <w:pStyle w:val="FootnoteText"/>
        <w:spacing w:after="120"/>
      </w:pPr>
      <w:r>
        <w:rPr>
          <w:rStyle w:val="FootnoteReference"/>
        </w:rPr>
        <w:footnoteRef/>
      </w:r>
      <w:r>
        <w:t xml:space="preserve"> </w:t>
      </w:r>
      <w:r w:rsidRPr="000A76A4">
        <w:rPr>
          <w:i/>
        </w:rPr>
        <w:t>Id.</w:t>
      </w:r>
    </w:p>
  </w:footnote>
  <w:footnote w:id="39">
    <w:p w:rsidR="00F7526A" w:rsidP="00A20644">
      <w:pPr>
        <w:pStyle w:val="FootnoteText"/>
        <w:spacing w:after="120"/>
      </w:pPr>
      <w:r>
        <w:rPr>
          <w:rStyle w:val="FootnoteReference"/>
        </w:rPr>
        <w:footnoteRef/>
      </w:r>
      <w:r>
        <w:t xml:space="preserve"> </w:t>
      </w:r>
      <w:r w:rsidRPr="000A76A4">
        <w:rPr>
          <w:i/>
        </w:rPr>
        <w:t>Id.</w:t>
      </w:r>
    </w:p>
  </w:footnote>
  <w:footnote w:id="40">
    <w:p w:rsidR="00F7526A" w:rsidP="00A20644">
      <w:pPr>
        <w:pStyle w:val="FootnoteText"/>
        <w:spacing w:after="120"/>
      </w:pPr>
      <w:r>
        <w:rPr>
          <w:rStyle w:val="FootnoteReference"/>
        </w:rPr>
        <w:footnoteRef/>
      </w:r>
      <w:r>
        <w:t xml:space="preserve"> </w:t>
      </w:r>
      <w:r>
        <w:rPr>
          <w:i/>
        </w:rPr>
        <w:t>Id.</w:t>
      </w:r>
      <w:r>
        <w:t xml:space="preserve"> at 5-6.</w:t>
      </w:r>
    </w:p>
  </w:footnote>
  <w:footnote w:id="41">
    <w:p w:rsidR="00F7526A" w:rsidP="00A20644">
      <w:pPr>
        <w:pStyle w:val="FootnoteText"/>
        <w:spacing w:after="120"/>
      </w:pPr>
      <w:r>
        <w:rPr>
          <w:rStyle w:val="FootnoteReference"/>
        </w:rPr>
        <w:footnoteRef/>
      </w:r>
      <w:r>
        <w:t xml:space="preserve"> </w:t>
      </w:r>
      <w:r w:rsidR="00732113">
        <w:rPr>
          <w:bCs/>
          <w:i/>
        </w:rPr>
        <w:t xml:space="preserve">See, e.g., </w:t>
      </w:r>
      <w:r w:rsidR="00732113">
        <w:rPr>
          <w:bCs/>
        </w:rPr>
        <w:t>Case No. 16-2464-EL-AAM, Order (May 3, 2017) (deferred asset for DP&amp;L); Case No. 15-855-EL-AAM, Order (Feb. 10, 2016) (deferred asset for Duke); Case No. 08-1338-EL-AAM, Order (Jan. 7, 2009) (deferred asset for AEP).</w:t>
      </w:r>
    </w:p>
  </w:footnote>
  <w:footnote w:id="42">
    <w:p w:rsidR="00F7526A" w:rsidP="00A20644">
      <w:pPr>
        <w:pStyle w:val="FootnoteText"/>
        <w:spacing w:after="120"/>
      </w:pPr>
      <w:r>
        <w:rPr>
          <w:rStyle w:val="FootnoteReference"/>
        </w:rPr>
        <w:footnoteRef/>
      </w:r>
      <w:r>
        <w:t xml:space="preserve"> Willis Testimony at 5.</w:t>
      </w:r>
    </w:p>
  </w:footnote>
  <w:footnote w:id="43">
    <w:p w:rsidR="00F7526A" w:rsidP="00A20644">
      <w:pPr>
        <w:pStyle w:val="FootnoteText"/>
        <w:spacing w:after="120"/>
      </w:pPr>
      <w:r>
        <w:rPr>
          <w:rStyle w:val="FootnoteReference"/>
        </w:rPr>
        <w:footnoteRef/>
      </w:r>
      <w:r>
        <w:t xml:space="preserve"> Willis Testimony at 6-7.</w:t>
      </w:r>
    </w:p>
  </w:footnote>
  <w:footnote w:id="44">
    <w:p w:rsidR="00F7526A" w:rsidP="00A20644">
      <w:pPr>
        <w:pStyle w:val="FootnoteText"/>
        <w:spacing w:after="120"/>
      </w:pPr>
      <w:r>
        <w:rPr>
          <w:rStyle w:val="FootnoteReference"/>
        </w:rPr>
        <w:footnoteRef/>
      </w:r>
      <w:r>
        <w:t xml:space="preserve"> </w:t>
      </w:r>
      <w:r w:rsidRPr="00356AF6">
        <w:rPr>
          <w:i/>
        </w:rPr>
        <w:t>Id.</w:t>
      </w:r>
    </w:p>
  </w:footnote>
  <w:footnote w:id="45">
    <w:p w:rsidR="00F7526A" w:rsidP="00A20644">
      <w:pPr>
        <w:pStyle w:val="FootnoteText"/>
        <w:spacing w:after="120"/>
      </w:pPr>
      <w:r>
        <w:rPr>
          <w:rStyle w:val="FootnoteReference"/>
        </w:rPr>
        <w:footnoteRef/>
      </w:r>
      <w:r>
        <w:t xml:space="preserve"> </w:t>
      </w:r>
      <w:r w:rsidRPr="00356AF6">
        <w:rPr>
          <w:i/>
        </w:rPr>
        <w:t>Id</w:t>
      </w:r>
      <w:r>
        <w:t>.</w:t>
      </w:r>
    </w:p>
  </w:footnote>
  <w:footnote w:id="46">
    <w:p w:rsidR="00F7526A" w:rsidP="00A20644">
      <w:pPr>
        <w:pStyle w:val="FootnoteText"/>
        <w:spacing w:after="120"/>
      </w:pPr>
      <w:r>
        <w:rPr>
          <w:rStyle w:val="FootnoteReference"/>
        </w:rPr>
        <w:footnoteRef/>
      </w:r>
      <w:r>
        <w:t xml:space="preserve"> Borer Testimony at 7 (emphasis added).</w:t>
      </w:r>
    </w:p>
  </w:footnote>
  <w:footnote w:id="47">
    <w:p w:rsidR="001D7D5F" w:rsidP="00A20644">
      <w:pPr>
        <w:pStyle w:val="FootnoteText"/>
        <w:spacing w:after="120"/>
      </w:pPr>
      <w:r>
        <w:rPr>
          <w:rStyle w:val="FootnoteReference"/>
        </w:rPr>
        <w:footnoteRef/>
      </w:r>
      <w:r>
        <w:t xml:space="preserve"> Willis Testimony at 11.</w:t>
      </w:r>
    </w:p>
  </w:footnote>
  <w:footnote w:id="48">
    <w:p w:rsidR="00F7526A" w:rsidRPr="001813BF" w:rsidP="00A20644">
      <w:pPr>
        <w:pStyle w:val="FootnoteText"/>
        <w:spacing w:after="120"/>
      </w:pPr>
      <w:r>
        <w:rPr>
          <w:rStyle w:val="FootnoteReference"/>
        </w:rPr>
        <w:footnoteRef/>
      </w:r>
      <w:r>
        <w:t xml:space="preserve"> If the PUCO does consider the financial </w:t>
      </w:r>
      <w:r w:rsidR="000F55E4">
        <w:t xml:space="preserve">standing </w:t>
      </w:r>
      <w:r>
        <w:t xml:space="preserve">of the utility, it should conclude that (i) a utility’s financial integrity cannot be harmed by a regulatory liability because a regulatory asset is an accounting mechanism and not a ratemaking mechanism, and (ii) if a utility has concerns about its financial integrity, it can file a rate case. </w:t>
      </w:r>
      <w:r>
        <w:rPr>
          <w:i/>
        </w:rPr>
        <w:t>See</w:t>
      </w:r>
      <w:r>
        <w:t xml:space="preserve"> Willis Testimony at 9.</w:t>
      </w:r>
    </w:p>
  </w:footnote>
  <w:footnote w:id="49">
    <w:p w:rsidR="00F7526A" w:rsidP="00A20644">
      <w:pPr>
        <w:pStyle w:val="FootnoteText"/>
        <w:spacing w:after="120"/>
      </w:pPr>
      <w:r>
        <w:rPr>
          <w:rStyle w:val="FootnoteReference"/>
        </w:rPr>
        <w:footnoteRef/>
      </w:r>
      <w:r>
        <w:t xml:space="preserve"> </w:t>
      </w:r>
      <w:r w:rsidRPr="00B131EA">
        <w:rPr>
          <w:i/>
        </w:rPr>
        <w:t>In re Duke</w:t>
      </w:r>
      <w:r>
        <w:t>, Case No. 14-1160-EL-UNC, Opinion &amp; Order at 7 (Apr. 27, 2016).</w:t>
      </w:r>
    </w:p>
  </w:footnote>
  <w:footnote w:id="50">
    <w:p w:rsidR="00F7526A" w:rsidP="00A20644">
      <w:pPr>
        <w:pStyle w:val="FootnoteText"/>
        <w:spacing w:after="120"/>
      </w:pPr>
      <w:r>
        <w:rPr>
          <w:rStyle w:val="FootnoteReference"/>
        </w:rPr>
        <w:footnoteRef/>
      </w:r>
      <w:r>
        <w:t xml:space="preserve"> Willis Testimony at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31308434"/>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FF37265"/>
    <w:multiLevelType w:val="hybridMultilevel"/>
    <w:tmpl w:val="803283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F96B4C"/>
    <w:multiLevelType w:val="hybridMultilevel"/>
    <w:tmpl w:val="255EEF1A"/>
    <w:lvl w:ilvl="0">
      <w:start w:val="1"/>
      <w:numFmt w:val="decimal"/>
      <w:lvlText w:val="%1."/>
      <w:lvlJc w:val="left"/>
      <w:pPr>
        <w:ind w:left="1170" w:hanging="45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7DD399F"/>
    <w:multiLevelType w:val="hybridMultilevel"/>
    <w:tmpl w:val="5CA0FC0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AD472C0"/>
    <w:multiLevelType w:val="hybridMultilevel"/>
    <w:tmpl w:val="E6A041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8D948EC"/>
    <w:multiLevelType w:val="hybridMultilevel"/>
    <w:tmpl w:val="1D406D90"/>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5B7265FF"/>
    <w:multiLevelType w:val="hybridMultilevel"/>
    <w:tmpl w:val="F312A1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CAB515C"/>
    <w:multiLevelType w:val="hybridMultilevel"/>
    <w:tmpl w:val="ACACE358"/>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8D1C43"/>
    <w:multiLevelType w:val="hybridMultilevel"/>
    <w:tmpl w:val="EC1EE2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6"/>
  </w:num>
  <w:num w:numId="3">
    <w:abstractNumId w:val="0"/>
  </w:num>
  <w:num w:numId="4">
    <w:abstractNumId w:val="0"/>
    <w:lvlOverride w:ilvl="0">
      <w:startOverride w:val="1"/>
    </w:lvlOverride>
  </w:num>
  <w:num w:numId="5">
    <w:abstractNumId w:val="0"/>
    <w:lvlOverride w:ilvl="0">
      <w:startOverride w:val="1"/>
    </w:lvlOverride>
  </w:num>
  <w:num w:numId="6">
    <w:abstractNumId w:val="10"/>
  </w:num>
  <w:num w:numId="7">
    <w:abstractNumId w:val="1"/>
  </w:num>
  <w:num w:numId="8">
    <w:abstractNumId w:val="7"/>
  </w:num>
  <w:num w:numId="9">
    <w:abstractNumId w:val="4"/>
  </w:num>
  <w:num w:numId="10">
    <w:abstractNumId w:val="6"/>
    <w:lvlOverride w:ilvl="0">
      <w:startOverride w:val="1"/>
    </w:lvlOverride>
  </w:num>
  <w:num w:numId="11">
    <w:abstractNumId w:val="3"/>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03"/>
  </w:style>
  <w:style w:type="paragraph" w:styleId="Heading1">
    <w:name w:val="heading 1"/>
    <w:basedOn w:val="Normal"/>
    <w:next w:val="Normal"/>
    <w:link w:val="Heading1Char"/>
    <w:autoRedefine/>
    <w:uiPriority w:val="9"/>
    <w:qFormat/>
    <w:rsid w:val="00235F7E"/>
    <w:pPr>
      <w:keepNext/>
      <w:keepLines/>
      <w:tabs>
        <w:tab w:val="decimal" w:leader="dot" w:pos="8640"/>
      </w:tabs>
      <w:spacing w:after="240" w:line="240" w:lineRule="auto"/>
      <w:ind w:left="720" w:hanging="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235F7E"/>
    <w:pPr>
      <w:keepNext/>
      <w:keepLines/>
      <w:numPr>
        <w:numId w:val="2"/>
      </w:numPr>
      <w:spacing w:after="240" w:line="240" w:lineRule="auto"/>
      <w:ind w:left="1440" w:righ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235F7E"/>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235F7E"/>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5F7E"/>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235F7E"/>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865D92"/>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UnresolvedMention1">
    <w:name w:val="Unresolved Mention1"/>
    <w:basedOn w:val="DefaultParagraphFont"/>
    <w:uiPriority w:val="99"/>
    <w:semiHidden/>
    <w:unhideWhenUsed/>
    <w:rsid w:val="006D3EFD"/>
    <w:rPr>
      <w:color w:val="605E5C"/>
      <w:shd w:val="clear" w:color="auto" w:fill="E1DFDD"/>
    </w:rPr>
  </w:style>
  <w:style w:type="paragraph" w:styleId="BodyText">
    <w:name w:val="Body Text"/>
    <w:basedOn w:val="Normal"/>
    <w:link w:val="BodyTextChar"/>
    <w:uiPriority w:val="99"/>
    <w:semiHidden/>
    <w:unhideWhenUsed/>
    <w:rsid w:val="003440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440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Tax COI 18-47 - OCC Merit Brief  (00058585.DOCX;4)</vt:lpstr>
    </vt:vector>
  </TitlesOfParts>
  <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2018-08-13T20:39:33Z</dcterms:created>
  <dcterms:modified xsi:type="dcterms:W3CDTF">2018-08-13T20:39:33Z</dcterms:modified>
</cp:coreProperties>
</file>