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39" w:rsidRDefault="00C75211">
      <w:pPr>
        <w:spacing w:after="0" w:line="240" w:lineRule="auto"/>
        <w:jc w:val="center"/>
        <w:rPr>
          <w:rFonts w:eastAsia="Calibri" w:cs="Arial"/>
          <w:b/>
          <w:smallCaps/>
          <w:sz w:val="28"/>
        </w:rPr>
      </w:pPr>
      <w:bookmarkStart w:id="0" w:name="_GoBack"/>
      <w:bookmarkEnd w:id="0"/>
      <w:r>
        <w:rPr>
          <w:rFonts w:eastAsia="Calibri" w:cs="Arial"/>
          <w:b/>
          <w:smallCaps/>
          <w:sz w:val="28"/>
        </w:rPr>
        <w:t>Before</w:t>
      </w:r>
    </w:p>
    <w:p w:rsidR="00E00239" w:rsidRDefault="00C75211">
      <w:pPr>
        <w:spacing w:line="276" w:lineRule="auto"/>
        <w:jc w:val="center"/>
        <w:rPr>
          <w:rFonts w:eastAsia="Calibri" w:cs="Arial"/>
          <w:b/>
          <w:smallCaps/>
          <w:sz w:val="28"/>
        </w:rPr>
      </w:pPr>
      <w:r>
        <w:rPr>
          <w:rFonts w:eastAsia="Calibri" w:cs="Arial"/>
          <w:b/>
          <w:smallCaps/>
          <w:sz w:val="28"/>
        </w:rPr>
        <w:t>The Public Utilities Commission of Ohio</w:t>
      </w:r>
    </w:p>
    <w:p w:rsidR="00E00239" w:rsidRDefault="00C75211">
      <w:pPr>
        <w:tabs>
          <w:tab w:val="left" w:pos="4680"/>
        </w:tabs>
        <w:spacing w:after="0" w:line="240" w:lineRule="auto"/>
        <w:rPr>
          <w:rFonts w:eastAsia="Calibri" w:cs="Arial"/>
        </w:rPr>
      </w:pPr>
      <w:r>
        <w:rPr>
          <w:rFonts w:eastAsia="Calibri" w:cs="Arial"/>
        </w:rPr>
        <w:t xml:space="preserve">In the Matter of the Application of </w:t>
      </w:r>
      <w:r>
        <w:rPr>
          <w:rFonts w:eastAsia="Calibri" w:cs="Arial"/>
        </w:rPr>
        <w:tab/>
        <w:t>)</w:t>
      </w:r>
    </w:p>
    <w:p w:rsidR="00E00239" w:rsidRDefault="00C75211">
      <w:pPr>
        <w:tabs>
          <w:tab w:val="left" w:pos="4680"/>
        </w:tabs>
        <w:spacing w:after="0" w:line="240" w:lineRule="auto"/>
        <w:rPr>
          <w:rFonts w:eastAsia="Calibri" w:cs="Arial"/>
        </w:rPr>
      </w:pPr>
      <w:r>
        <w:rPr>
          <w:rFonts w:eastAsia="Calibri" w:cs="Arial"/>
        </w:rPr>
        <w:t>Columbus Southern Power Company and</w:t>
      </w:r>
      <w:r>
        <w:rPr>
          <w:rFonts w:eastAsia="Calibri" w:cs="Arial"/>
        </w:rPr>
        <w:tab/>
        <w:t>)</w:t>
      </w:r>
    </w:p>
    <w:p w:rsidR="00E00239" w:rsidRDefault="00C75211">
      <w:pPr>
        <w:tabs>
          <w:tab w:val="left" w:pos="4680"/>
          <w:tab w:val="left" w:pos="5400"/>
        </w:tabs>
        <w:spacing w:after="0" w:line="240" w:lineRule="auto"/>
        <w:rPr>
          <w:rFonts w:eastAsia="Calibri" w:cs="Arial"/>
        </w:rPr>
      </w:pPr>
      <w:r>
        <w:rPr>
          <w:rFonts w:eastAsia="Calibri" w:cs="Arial"/>
        </w:rPr>
        <w:t>Ohio Power Company for Authority to</w:t>
      </w:r>
      <w:r>
        <w:rPr>
          <w:rFonts w:eastAsia="Calibri" w:cs="Arial"/>
        </w:rPr>
        <w:tab/>
        <w:t>)</w:t>
      </w:r>
      <w:r>
        <w:rPr>
          <w:rFonts w:eastAsia="Calibri" w:cs="Arial"/>
        </w:rPr>
        <w:tab/>
        <w:t>Case No. 11-346-EL-SSO</w:t>
      </w:r>
    </w:p>
    <w:p w:rsidR="00E00239" w:rsidRDefault="00C75211">
      <w:pPr>
        <w:tabs>
          <w:tab w:val="left" w:pos="4680"/>
          <w:tab w:val="left" w:pos="5400"/>
        </w:tabs>
        <w:spacing w:after="0" w:line="240" w:lineRule="auto"/>
        <w:rPr>
          <w:rFonts w:eastAsia="Calibri" w:cs="Arial"/>
        </w:rPr>
      </w:pPr>
      <w:r>
        <w:rPr>
          <w:rFonts w:eastAsia="Calibri" w:cs="Arial"/>
        </w:rPr>
        <w:t>Establish a Standard Service Offer</w:t>
      </w:r>
      <w:r>
        <w:rPr>
          <w:rFonts w:eastAsia="Calibri" w:cs="Arial"/>
        </w:rPr>
        <w:tab/>
        <w:t>)</w:t>
      </w:r>
      <w:r>
        <w:rPr>
          <w:rFonts w:eastAsia="Calibri" w:cs="Arial"/>
        </w:rPr>
        <w:tab/>
        <w:t>Case No. 11-348-EL-SSO</w:t>
      </w:r>
    </w:p>
    <w:p w:rsidR="00E00239" w:rsidRDefault="00C75211">
      <w:pPr>
        <w:tabs>
          <w:tab w:val="left" w:pos="4680"/>
        </w:tabs>
        <w:spacing w:after="0" w:line="240" w:lineRule="auto"/>
        <w:rPr>
          <w:rFonts w:eastAsia="Calibri" w:cs="Arial"/>
        </w:rPr>
      </w:pPr>
      <w:r>
        <w:rPr>
          <w:rFonts w:eastAsia="Calibri" w:cs="Arial"/>
        </w:rPr>
        <w:t xml:space="preserve">Pursuant </w:t>
      </w:r>
      <w:r>
        <w:rPr>
          <w:rFonts w:eastAsia="Calibri" w:cs="Arial"/>
        </w:rPr>
        <w:t>to §4928.143, Ohio Rev. Code,</w:t>
      </w:r>
      <w:r>
        <w:rPr>
          <w:rFonts w:eastAsia="Calibri" w:cs="Arial"/>
        </w:rPr>
        <w:tab/>
        <w:t>)</w:t>
      </w:r>
    </w:p>
    <w:p w:rsidR="00E00239" w:rsidRDefault="00C75211">
      <w:pPr>
        <w:tabs>
          <w:tab w:val="left" w:pos="4680"/>
        </w:tabs>
        <w:spacing w:after="0" w:line="240" w:lineRule="auto"/>
        <w:rPr>
          <w:rFonts w:eastAsia="Calibri" w:cs="Arial"/>
        </w:rPr>
      </w:pPr>
      <w:r>
        <w:rPr>
          <w:rFonts w:eastAsia="Calibri" w:cs="Arial"/>
        </w:rPr>
        <w:t>in the Form of an Electric Security Plan.</w:t>
      </w:r>
      <w:r>
        <w:rPr>
          <w:rFonts w:eastAsia="Calibri" w:cs="Arial"/>
        </w:rPr>
        <w:tab/>
        <w:t>)</w:t>
      </w:r>
      <w:r>
        <w:rPr>
          <w:rFonts w:eastAsia="Calibri" w:cs="Arial"/>
        </w:rPr>
        <w:tab/>
      </w:r>
    </w:p>
    <w:p w:rsidR="00E00239" w:rsidRDefault="00E00239">
      <w:pPr>
        <w:tabs>
          <w:tab w:val="left" w:pos="5040"/>
        </w:tabs>
        <w:spacing w:after="0" w:line="240" w:lineRule="auto"/>
        <w:rPr>
          <w:rFonts w:eastAsia="Calibri" w:cs="Arial"/>
        </w:rPr>
      </w:pPr>
    </w:p>
    <w:p w:rsidR="00E00239" w:rsidRDefault="00C75211">
      <w:pPr>
        <w:tabs>
          <w:tab w:val="left" w:pos="4680"/>
        </w:tabs>
        <w:spacing w:after="0" w:line="240" w:lineRule="auto"/>
        <w:rPr>
          <w:rFonts w:eastAsia="Calibri" w:cs="Arial"/>
        </w:rPr>
      </w:pPr>
      <w:r>
        <w:rPr>
          <w:rFonts w:eastAsia="Calibri" w:cs="Arial"/>
        </w:rPr>
        <w:t>In the Matter of the Application of</w:t>
      </w:r>
      <w:r>
        <w:rPr>
          <w:rFonts w:eastAsia="Calibri" w:cs="Arial"/>
        </w:rPr>
        <w:tab/>
        <w:t>)</w:t>
      </w:r>
    </w:p>
    <w:p w:rsidR="00E00239" w:rsidRDefault="00C75211">
      <w:pPr>
        <w:tabs>
          <w:tab w:val="left" w:pos="4680"/>
          <w:tab w:val="left" w:pos="5400"/>
        </w:tabs>
        <w:spacing w:after="0" w:line="240" w:lineRule="auto"/>
        <w:rPr>
          <w:rFonts w:eastAsia="Calibri" w:cs="Arial"/>
        </w:rPr>
      </w:pPr>
      <w:r>
        <w:rPr>
          <w:rFonts w:eastAsia="Calibri" w:cs="Arial"/>
        </w:rPr>
        <w:t>Columbus Southern Power Company and</w:t>
      </w:r>
      <w:r>
        <w:rPr>
          <w:rFonts w:eastAsia="Calibri" w:cs="Arial"/>
        </w:rPr>
        <w:tab/>
        <w:t>)</w:t>
      </w:r>
      <w:r>
        <w:rPr>
          <w:rFonts w:eastAsia="Calibri" w:cs="Arial"/>
        </w:rPr>
        <w:tab/>
        <w:t>Case No. 11-349-EL-AAM</w:t>
      </w:r>
    </w:p>
    <w:p w:rsidR="00E00239" w:rsidRDefault="00C75211">
      <w:pPr>
        <w:tabs>
          <w:tab w:val="left" w:pos="4680"/>
          <w:tab w:val="left" w:pos="5400"/>
        </w:tabs>
        <w:spacing w:after="0" w:line="240" w:lineRule="auto"/>
        <w:rPr>
          <w:rFonts w:eastAsia="Calibri" w:cs="Arial"/>
        </w:rPr>
      </w:pPr>
      <w:r>
        <w:rPr>
          <w:rFonts w:eastAsia="Calibri" w:cs="Arial"/>
        </w:rPr>
        <w:t>Ohio Power Company for Approval of</w:t>
      </w:r>
      <w:r>
        <w:rPr>
          <w:rFonts w:eastAsia="Calibri" w:cs="Arial"/>
        </w:rPr>
        <w:tab/>
        <w:t>)</w:t>
      </w:r>
      <w:r>
        <w:rPr>
          <w:rFonts w:eastAsia="Calibri" w:cs="Arial"/>
        </w:rPr>
        <w:tab/>
        <w:t>Case No. 11-350-EL-AAM</w:t>
      </w:r>
    </w:p>
    <w:p w:rsidR="00E00239" w:rsidRDefault="00C75211">
      <w:pPr>
        <w:tabs>
          <w:tab w:val="left" w:pos="4680"/>
        </w:tabs>
        <w:spacing w:after="0" w:line="240" w:lineRule="auto"/>
        <w:rPr>
          <w:rFonts w:eastAsia="Calibri" w:cs="Arial"/>
        </w:rPr>
      </w:pPr>
      <w:r>
        <w:rPr>
          <w:rFonts w:eastAsia="Calibri" w:cs="Arial"/>
        </w:rPr>
        <w:t xml:space="preserve">Certain Accounting </w:t>
      </w:r>
      <w:r>
        <w:rPr>
          <w:rFonts w:eastAsia="Calibri" w:cs="Arial"/>
        </w:rPr>
        <w:t>Authority.</w:t>
      </w:r>
      <w:r>
        <w:rPr>
          <w:rFonts w:eastAsia="Calibri" w:cs="Arial"/>
        </w:rPr>
        <w:tab/>
        <w:t>)</w:t>
      </w:r>
    </w:p>
    <w:p w:rsidR="00E00239" w:rsidRDefault="00E00239">
      <w:pPr>
        <w:spacing w:after="0"/>
        <w:ind w:firstLine="720"/>
        <w:contextualSpacing/>
        <w:rPr>
          <w:rFonts w:eastAsia="Times New Roman" w:cs="Arial"/>
          <w:color w:val="auto"/>
          <w:szCs w:val="24"/>
        </w:rPr>
      </w:pPr>
    </w:p>
    <w:p w:rsidR="00E00239" w:rsidRDefault="00E00239">
      <w:pPr>
        <w:pStyle w:val="BodyText"/>
        <w:tabs>
          <w:tab w:val="left" w:pos="5040"/>
        </w:tabs>
        <w:rPr>
          <w:color w:val="auto"/>
        </w:rPr>
      </w:pPr>
    </w:p>
    <w:p w:rsidR="00E00239" w:rsidRDefault="00E00239">
      <w:pPr>
        <w:pBdr>
          <w:top w:val="single" w:sz="12" w:space="1" w:color="auto"/>
        </w:pBdr>
        <w:tabs>
          <w:tab w:val="left" w:pos="7320"/>
        </w:tabs>
        <w:spacing w:after="0" w:line="240" w:lineRule="auto"/>
        <w:rPr>
          <w:rFonts w:cs="Arial"/>
          <w:color w:val="auto"/>
          <w:sz w:val="28"/>
        </w:rPr>
      </w:pPr>
    </w:p>
    <w:p w:rsidR="00E00239" w:rsidRDefault="00C75211">
      <w:pPr>
        <w:pStyle w:val="Heading1"/>
        <w:tabs>
          <w:tab w:val="left" w:pos="7320"/>
        </w:tabs>
        <w:spacing w:before="0" w:line="240" w:lineRule="auto"/>
        <w:jc w:val="center"/>
        <w:rPr>
          <w:rFonts w:ascii="Arial" w:hAnsi="Arial" w:cs="Arial"/>
          <w:color w:val="auto"/>
          <w:sz w:val="24"/>
        </w:rPr>
      </w:pPr>
      <w:r>
        <w:rPr>
          <w:rFonts w:ascii="Arial" w:hAnsi="Arial" w:cs="Arial"/>
          <w:color w:val="auto"/>
          <w:sz w:val="24"/>
        </w:rPr>
        <w:t xml:space="preserve">INDUSTRIAL ENERGY USERS-OHIO’S MOTION TO STRIKE </w:t>
      </w:r>
    </w:p>
    <w:p w:rsidR="00E00239" w:rsidRDefault="00C75211">
      <w:pPr>
        <w:pStyle w:val="Heading1"/>
        <w:tabs>
          <w:tab w:val="left" w:pos="7320"/>
        </w:tabs>
        <w:spacing w:before="0" w:line="240" w:lineRule="auto"/>
        <w:jc w:val="center"/>
        <w:rPr>
          <w:rFonts w:ascii="Arial" w:hAnsi="Arial" w:cs="Arial"/>
          <w:color w:val="auto"/>
          <w:sz w:val="24"/>
        </w:rPr>
      </w:pPr>
      <w:r>
        <w:rPr>
          <w:rFonts w:ascii="Arial" w:hAnsi="Arial" w:cs="Arial"/>
          <w:color w:val="auto"/>
          <w:sz w:val="24"/>
        </w:rPr>
        <w:t xml:space="preserve">OHIO POWER COMPANY’S APPLICATION AND SUPPORTING TESTIMONY </w:t>
      </w:r>
    </w:p>
    <w:p w:rsidR="00E00239" w:rsidRDefault="00C75211">
      <w:pPr>
        <w:pStyle w:val="Heading1"/>
        <w:tabs>
          <w:tab w:val="left" w:pos="7320"/>
        </w:tabs>
        <w:spacing w:before="0" w:line="240" w:lineRule="auto"/>
        <w:jc w:val="center"/>
        <w:rPr>
          <w:rFonts w:ascii="Arial" w:hAnsi="Arial" w:cs="Arial"/>
          <w:color w:val="auto"/>
        </w:rPr>
      </w:pPr>
      <w:r>
        <w:rPr>
          <w:rFonts w:ascii="Arial" w:hAnsi="Arial" w:cs="Arial"/>
          <w:color w:val="auto"/>
          <w:sz w:val="24"/>
        </w:rPr>
        <w:t>AND MEMORANDUM IN SUPPORT</w:t>
      </w:r>
    </w:p>
    <w:p w:rsidR="00E00239" w:rsidRDefault="00C75211">
      <w:pPr>
        <w:pStyle w:val="Title"/>
        <w:rPr>
          <w:color w:val="auto"/>
          <w:sz w:val="28"/>
          <w:u w:val="single"/>
        </w:rPr>
      </w:pPr>
      <w:r>
        <w:rPr>
          <w:color w:val="auto"/>
          <w:sz w:val="28"/>
          <w:u w:val="single"/>
        </w:rPr>
        <w:tab/>
      </w:r>
      <w:r>
        <w:rPr>
          <w:color w:val="auto"/>
          <w:sz w:val="28"/>
          <w:u w:val="single"/>
        </w:rPr>
        <w:tab/>
      </w:r>
      <w:r>
        <w:rPr>
          <w:color w:val="auto"/>
          <w:sz w:val="28"/>
          <w:u w:val="single"/>
        </w:rPr>
        <w:tab/>
      </w:r>
      <w:r>
        <w:rPr>
          <w:color w:val="auto"/>
          <w:sz w:val="28"/>
          <w:u w:val="single"/>
        </w:rPr>
        <w:tab/>
      </w:r>
      <w:r>
        <w:rPr>
          <w:color w:val="auto"/>
          <w:sz w:val="28"/>
          <w:u w:val="single"/>
        </w:rPr>
        <w:tab/>
      </w:r>
      <w:r>
        <w:rPr>
          <w:color w:val="auto"/>
          <w:sz w:val="28"/>
          <w:u w:val="single"/>
        </w:rPr>
        <w:tab/>
      </w:r>
      <w:r>
        <w:rPr>
          <w:color w:val="auto"/>
          <w:sz w:val="28"/>
          <w:u w:val="single"/>
        </w:rPr>
        <w:tab/>
      </w:r>
      <w:r>
        <w:rPr>
          <w:color w:val="auto"/>
          <w:sz w:val="28"/>
          <w:u w:val="single"/>
        </w:rPr>
        <w:tab/>
      </w:r>
      <w:r>
        <w:rPr>
          <w:color w:val="auto"/>
          <w:sz w:val="28"/>
          <w:u w:val="single"/>
        </w:rPr>
        <w:tab/>
      </w:r>
      <w:r>
        <w:rPr>
          <w:color w:val="auto"/>
          <w:sz w:val="28"/>
          <w:u w:val="single"/>
        </w:rPr>
        <w:tab/>
      </w:r>
      <w:r>
        <w:rPr>
          <w:color w:val="auto"/>
          <w:sz w:val="28"/>
          <w:u w:val="single"/>
        </w:rPr>
        <w:tab/>
      </w:r>
      <w:r>
        <w:rPr>
          <w:color w:val="auto"/>
          <w:sz w:val="28"/>
          <w:u w:val="single"/>
        </w:rPr>
        <w:tab/>
      </w:r>
      <w:r>
        <w:rPr>
          <w:color w:val="auto"/>
          <w:sz w:val="28"/>
          <w:u w:val="single"/>
        </w:rPr>
        <w:tab/>
      </w:r>
    </w:p>
    <w:p w:rsidR="00E00239" w:rsidRDefault="00E00239">
      <w:pPr>
        <w:pStyle w:val="Title"/>
        <w:rPr>
          <w:color w:val="auto"/>
          <w:sz w:val="28"/>
          <w:u w:val="single"/>
        </w:rPr>
      </w:pPr>
    </w:p>
    <w:p w:rsidR="00E00239" w:rsidRDefault="00E00239">
      <w:pPr>
        <w:spacing w:after="0" w:line="240" w:lineRule="auto"/>
        <w:rPr>
          <w:rFonts w:cs="Arial"/>
          <w:b/>
          <w:smallCaps/>
          <w:color w:val="auto"/>
          <w:sz w:val="28"/>
          <w:u w:val="single"/>
        </w:rPr>
        <w:sectPr w:rsidR="00E0023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41" w:left="1440" w:header="720" w:footer="720" w:gutter="0"/>
          <w:pgNumType w:start="1"/>
          <w:cols w:space="720"/>
        </w:sectPr>
      </w:pPr>
    </w:p>
    <w:p w:rsidR="00E00239" w:rsidRDefault="00E00239">
      <w:pPr>
        <w:pStyle w:val="Title"/>
        <w:rPr>
          <w:color w:val="auto"/>
          <w:sz w:val="28"/>
          <w:u w:val="single"/>
        </w:rPr>
      </w:pPr>
    </w:p>
    <w:p w:rsidR="00E00239" w:rsidRDefault="00E00239">
      <w:pPr>
        <w:pStyle w:val="Title"/>
        <w:rPr>
          <w:color w:val="auto"/>
          <w:sz w:val="28"/>
          <w:u w:val="single"/>
        </w:rPr>
      </w:pPr>
    </w:p>
    <w:p w:rsidR="00E00239" w:rsidRDefault="00E00239">
      <w:pPr>
        <w:pStyle w:val="Title"/>
        <w:rPr>
          <w:color w:val="auto"/>
          <w:sz w:val="28"/>
          <w:u w:val="single"/>
        </w:rPr>
      </w:pPr>
    </w:p>
    <w:p w:rsidR="00E00239" w:rsidRDefault="00E00239">
      <w:pPr>
        <w:pStyle w:val="Title"/>
        <w:rPr>
          <w:color w:val="auto"/>
          <w:sz w:val="28"/>
          <w:u w:val="single"/>
        </w:rPr>
      </w:pPr>
    </w:p>
    <w:p w:rsidR="00E00239" w:rsidRDefault="00E00239">
      <w:pPr>
        <w:pStyle w:val="Title"/>
        <w:tabs>
          <w:tab w:val="left" w:pos="4140"/>
        </w:tabs>
        <w:rPr>
          <w:color w:val="auto"/>
          <w:sz w:val="28"/>
          <w:u w:val="single"/>
        </w:rPr>
      </w:pPr>
    </w:p>
    <w:p w:rsidR="00E00239" w:rsidRDefault="00C75211">
      <w:pPr>
        <w:tabs>
          <w:tab w:val="left" w:pos="-1350"/>
          <w:tab w:val="right" w:pos="8640"/>
        </w:tabs>
        <w:spacing w:after="0" w:line="240" w:lineRule="auto"/>
        <w:ind w:left="4334" w:hanging="187"/>
        <w:rPr>
          <w:rFonts w:cs="Arial"/>
          <w:b/>
          <w:bCs/>
        </w:rPr>
      </w:pPr>
      <w:r>
        <w:rPr>
          <w:rFonts w:cs="Arial"/>
        </w:rPr>
        <w:t xml:space="preserve">Samuel C. Randazzo </w:t>
      </w:r>
      <w:r>
        <w:rPr>
          <w:rFonts w:cs="Arial"/>
          <w:bCs/>
        </w:rPr>
        <w:t>(Counsel of Record)</w:t>
      </w:r>
    </w:p>
    <w:p w:rsidR="00E00239" w:rsidRDefault="00C75211">
      <w:pPr>
        <w:pStyle w:val="BodyText3"/>
        <w:widowControl w:val="0"/>
        <w:tabs>
          <w:tab w:val="left" w:pos="0"/>
        </w:tabs>
        <w:ind w:left="4147"/>
        <w:jc w:val="both"/>
        <w:rPr>
          <w:rFonts w:cs="Arial"/>
          <w:b w:val="0"/>
          <w:bCs/>
        </w:rPr>
      </w:pPr>
      <w:r>
        <w:rPr>
          <w:rFonts w:cs="Arial"/>
          <w:b w:val="0"/>
          <w:bCs/>
        </w:rPr>
        <w:t>Frank P. Darr</w:t>
      </w:r>
    </w:p>
    <w:p w:rsidR="00E00239" w:rsidRDefault="00C75211">
      <w:pPr>
        <w:pStyle w:val="BodyText3"/>
        <w:widowControl w:val="0"/>
        <w:tabs>
          <w:tab w:val="left" w:pos="0"/>
        </w:tabs>
        <w:ind w:left="4140"/>
        <w:jc w:val="both"/>
        <w:rPr>
          <w:rFonts w:cs="Arial"/>
          <w:b w:val="0"/>
          <w:bCs/>
        </w:rPr>
      </w:pPr>
      <w:r>
        <w:rPr>
          <w:rFonts w:cs="Arial"/>
          <w:b w:val="0"/>
          <w:bCs/>
        </w:rPr>
        <w:t>Joseph E. Oliker</w:t>
      </w:r>
    </w:p>
    <w:p w:rsidR="00E00239" w:rsidRDefault="00C75211">
      <w:pPr>
        <w:pStyle w:val="BodyText3"/>
        <w:widowControl w:val="0"/>
        <w:tabs>
          <w:tab w:val="left" w:pos="0"/>
        </w:tabs>
        <w:ind w:left="4140"/>
        <w:jc w:val="both"/>
        <w:rPr>
          <w:rFonts w:cs="Arial"/>
          <w:b w:val="0"/>
          <w:bCs/>
        </w:rPr>
      </w:pPr>
      <w:r>
        <w:rPr>
          <w:rFonts w:cs="Arial"/>
          <w:b w:val="0"/>
          <w:bCs/>
        </w:rPr>
        <w:t>Matthew R. Pritchard</w:t>
      </w:r>
    </w:p>
    <w:p w:rsidR="00E00239" w:rsidRDefault="00C75211">
      <w:pPr>
        <w:pStyle w:val="BodyText3"/>
        <w:widowControl w:val="0"/>
        <w:tabs>
          <w:tab w:val="left" w:pos="0"/>
        </w:tabs>
        <w:ind w:left="4140"/>
        <w:jc w:val="both"/>
        <w:rPr>
          <w:rFonts w:cs="Arial"/>
          <w:b w:val="0"/>
          <w:bCs/>
          <w:smallCaps/>
          <w:szCs w:val="24"/>
        </w:rPr>
      </w:pPr>
      <w:r>
        <w:rPr>
          <w:rFonts w:cs="Arial"/>
          <w:b w:val="0"/>
          <w:bCs/>
          <w:smallCaps/>
          <w:szCs w:val="24"/>
        </w:rPr>
        <w:t>McNees Wallace &amp; Nurick LLC</w:t>
      </w:r>
    </w:p>
    <w:p w:rsidR="00E00239" w:rsidRDefault="00C75211">
      <w:pPr>
        <w:pStyle w:val="BodyText3"/>
        <w:widowControl w:val="0"/>
        <w:tabs>
          <w:tab w:val="left" w:pos="0"/>
        </w:tabs>
        <w:ind w:left="4140"/>
        <w:jc w:val="both"/>
        <w:rPr>
          <w:rFonts w:cs="Arial"/>
          <w:b w:val="0"/>
          <w:bCs/>
        </w:rPr>
      </w:pPr>
      <w:r>
        <w:rPr>
          <w:rFonts w:cs="Arial"/>
          <w:b w:val="0"/>
          <w:bCs/>
        </w:rPr>
        <w:t>21 East State Street, 17</w:t>
      </w:r>
      <w:r>
        <w:rPr>
          <w:rFonts w:cs="Arial"/>
          <w:b w:val="0"/>
          <w:bCs/>
          <w:vertAlign w:val="superscript"/>
        </w:rPr>
        <w:t>TH</w:t>
      </w:r>
      <w:r>
        <w:rPr>
          <w:rFonts w:cs="Arial"/>
          <w:b w:val="0"/>
          <w:bCs/>
        </w:rPr>
        <w:t xml:space="preserve"> Floor</w:t>
      </w:r>
    </w:p>
    <w:p w:rsidR="00E00239" w:rsidRDefault="00C75211">
      <w:pPr>
        <w:pStyle w:val="BodyText"/>
        <w:tabs>
          <w:tab w:val="left" w:pos="0"/>
        </w:tabs>
        <w:ind w:left="4140"/>
      </w:pPr>
      <w:r>
        <w:t>Columbus, OH  43215</w:t>
      </w:r>
    </w:p>
    <w:p w:rsidR="00E00239" w:rsidRDefault="00C75211">
      <w:pPr>
        <w:pStyle w:val="BodyText"/>
        <w:tabs>
          <w:tab w:val="left" w:pos="0"/>
        </w:tabs>
        <w:ind w:left="4140"/>
      </w:pPr>
      <w:r>
        <w:t>Telephone:  (614) 469-8000</w:t>
      </w:r>
    </w:p>
    <w:p w:rsidR="00E00239" w:rsidRDefault="00C75211">
      <w:pPr>
        <w:pStyle w:val="BodyText"/>
        <w:tabs>
          <w:tab w:val="left" w:pos="0"/>
        </w:tabs>
        <w:ind w:left="4140"/>
      </w:pPr>
      <w:r>
        <w:t>Telecopier:  (614) 469-4653</w:t>
      </w:r>
    </w:p>
    <w:p w:rsidR="00E00239" w:rsidRDefault="00C75211">
      <w:pPr>
        <w:pStyle w:val="BodyText"/>
        <w:tabs>
          <w:tab w:val="left" w:pos="0"/>
        </w:tabs>
        <w:ind w:left="4140"/>
      </w:pPr>
      <w:r>
        <w:t>sam@mwncmh.com</w:t>
      </w:r>
    </w:p>
    <w:p w:rsidR="00E00239" w:rsidRDefault="00C75211">
      <w:pPr>
        <w:pStyle w:val="BodyText"/>
        <w:tabs>
          <w:tab w:val="left" w:pos="0"/>
        </w:tabs>
        <w:ind w:left="4140"/>
      </w:pPr>
      <w:r>
        <w:t>fdarr@mwncmh.com</w:t>
      </w:r>
    </w:p>
    <w:p w:rsidR="00E00239" w:rsidRDefault="00C75211">
      <w:pPr>
        <w:pStyle w:val="BodyText"/>
        <w:tabs>
          <w:tab w:val="left" w:pos="0"/>
        </w:tabs>
        <w:ind w:left="4140"/>
      </w:pPr>
      <w:r>
        <w:t>joliker@mwncmh.com</w:t>
      </w:r>
    </w:p>
    <w:p w:rsidR="00E00239" w:rsidRDefault="00C75211">
      <w:pPr>
        <w:pStyle w:val="BodyText"/>
        <w:tabs>
          <w:tab w:val="left" w:pos="0"/>
        </w:tabs>
        <w:ind w:left="4140"/>
      </w:pPr>
      <w:r>
        <w:t>mpritchard@mwncmh.com</w:t>
      </w:r>
    </w:p>
    <w:p w:rsidR="00E00239" w:rsidRDefault="00E00239">
      <w:pPr>
        <w:pStyle w:val="BodyText"/>
        <w:tabs>
          <w:tab w:val="left" w:pos="0"/>
        </w:tabs>
        <w:ind w:left="4140"/>
      </w:pPr>
    </w:p>
    <w:p w:rsidR="00E00239" w:rsidRDefault="00C75211">
      <w:pPr>
        <w:autoSpaceDE w:val="0"/>
        <w:autoSpaceDN w:val="0"/>
        <w:adjustRightInd w:val="0"/>
        <w:ind w:left="4140" w:hanging="4140"/>
        <w:rPr>
          <w:rFonts w:cs="Arial"/>
          <w:b/>
          <w:smallCaps/>
        </w:rPr>
        <w:sectPr w:rsidR="00E00239">
          <w:headerReference w:type="default" r:id="rId14"/>
          <w:footerReference w:type="default" r:id="rId15"/>
          <w:headerReference w:type="first" r:id="rId16"/>
          <w:footerReference w:type="first" r:id="rId17"/>
          <w:type w:val="continuous"/>
          <w:pgSz w:w="12240" w:h="15840"/>
          <w:pgMar w:top="1440" w:right="1440" w:bottom="1141" w:left="1440" w:header="720" w:footer="720" w:gutter="0"/>
          <w:pgNumType w:start="1"/>
          <w:cols w:space="720"/>
        </w:sectPr>
      </w:pPr>
      <w:r>
        <w:rPr>
          <w:rFonts w:cs="Arial"/>
          <w:b/>
        </w:rPr>
        <w:t>May 4, 2012</w:t>
      </w:r>
      <w:r>
        <w:rPr>
          <w:rFonts w:cs="Arial"/>
          <w:b/>
        </w:rPr>
        <w:tab/>
      </w:r>
      <w:r>
        <w:rPr>
          <w:rFonts w:cs="Arial"/>
          <w:b/>
          <w:smallCaps/>
        </w:rPr>
        <w:t>Attorneys for Industrial Energy Users-Ohio</w:t>
      </w:r>
    </w:p>
    <w:p w:rsidR="00E00239" w:rsidRDefault="00C75211">
      <w:pPr>
        <w:jc w:val="center"/>
        <w:rPr>
          <w:rFonts w:cs="Arial"/>
          <w:b/>
          <w:u w:val="single"/>
        </w:rPr>
      </w:pPr>
      <w:r>
        <w:rPr>
          <w:rFonts w:cs="Arial"/>
          <w:b/>
          <w:u w:val="single"/>
        </w:rPr>
        <w:lastRenderedPageBreak/>
        <w:t>TABLE OF CONTENTS</w:t>
      </w:r>
    </w:p>
    <w:p w:rsidR="00E00239" w:rsidRDefault="00C75211">
      <w:pPr>
        <w:pStyle w:val="BodyText"/>
        <w:tabs>
          <w:tab w:val="left" w:pos="720"/>
          <w:tab w:val="right" w:leader="dot" w:pos="9360"/>
        </w:tabs>
        <w:ind w:right="720"/>
      </w:pPr>
      <w:r>
        <w:rPr>
          <w:b/>
        </w:rPr>
        <w:t>A.</w:t>
      </w:r>
      <w:r>
        <w:rPr>
          <w:b/>
        </w:rPr>
        <w:tab/>
        <w:t>ARGUMENT</w:t>
      </w:r>
      <w:r>
        <w:tab/>
        <w:t>3</w:t>
      </w:r>
    </w:p>
    <w:p w:rsidR="00E00239" w:rsidRDefault="00E00239">
      <w:pPr>
        <w:pStyle w:val="BodyText"/>
        <w:tabs>
          <w:tab w:val="left" w:pos="720"/>
          <w:tab w:val="left" w:pos="1440"/>
          <w:tab w:val="right" w:leader="dot" w:pos="9360"/>
        </w:tabs>
        <w:ind w:left="1440" w:right="720" w:hanging="1440"/>
      </w:pPr>
    </w:p>
    <w:p w:rsidR="00E00239" w:rsidRDefault="00C75211">
      <w:pPr>
        <w:pStyle w:val="BodyText"/>
        <w:tabs>
          <w:tab w:val="left" w:pos="720"/>
          <w:tab w:val="left" w:pos="1440"/>
          <w:tab w:val="right" w:leader="dot" w:pos="9360"/>
        </w:tabs>
        <w:ind w:left="1440" w:right="720" w:hanging="1440"/>
      </w:pPr>
      <w:r>
        <w:tab/>
        <w:t>1.</w:t>
      </w:r>
      <w:r>
        <w:tab/>
        <w:t xml:space="preserve">The Commission Should Strike Testimony That Is Not Relevant to </w:t>
      </w:r>
      <w:r>
        <w:t>the Outcome of the Proceeding</w:t>
      </w:r>
      <w:r>
        <w:tab/>
        <w:t>3</w:t>
      </w:r>
    </w:p>
    <w:p w:rsidR="00E00239" w:rsidRDefault="00E00239">
      <w:pPr>
        <w:pStyle w:val="BodyText"/>
        <w:tabs>
          <w:tab w:val="left" w:pos="720"/>
          <w:tab w:val="left" w:pos="1440"/>
          <w:tab w:val="right" w:leader="dot" w:pos="9360"/>
        </w:tabs>
        <w:ind w:left="1440" w:right="720" w:hanging="1440"/>
      </w:pPr>
    </w:p>
    <w:p w:rsidR="00E00239" w:rsidRDefault="00C75211">
      <w:pPr>
        <w:pStyle w:val="BodyText"/>
        <w:tabs>
          <w:tab w:val="left" w:pos="720"/>
          <w:tab w:val="right" w:leader="dot" w:pos="9360"/>
        </w:tabs>
        <w:ind w:left="720" w:right="720" w:hanging="720"/>
      </w:pPr>
      <w:r>
        <w:rPr>
          <w:b/>
        </w:rPr>
        <w:t>B.</w:t>
      </w:r>
      <w:r>
        <w:tab/>
      </w:r>
      <w:r>
        <w:rPr>
          <w:b/>
        </w:rPr>
        <w:t>THE BASIS FOR STRIKING PORTIONS OF THE APPLICATOIN AND TESTIMONY</w:t>
      </w:r>
      <w:r>
        <w:tab/>
        <w:t>6</w:t>
      </w:r>
    </w:p>
    <w:p w:rsidR="00E00239" w:rsidRDefault="00C75211">
      <w:pPr>
        <w:pStyle w:val="BodyText"/>
        <w:tabs>
          <w:tab w:val="left" w:pos="720"/>
          <w:tab w:val="left" w:pos="1440"/>
          <w:tab w:val="right" w:leader="dot" w:pos="9360"/>
        </w:tabs>
        <w:ind w:left="1440" w:right="720" w:hanging="1440"/>
      </w:pPr>
      <w:r>
        <w:tab/>
      </w:r>
    </w:p>
    <w:p w:rsidR="00E00239" w:rsidRDefault="00C75211">
      <w:pPr>
        <w:pStyle w:val="BodyText"/>
        <w:tabs>
          <w:tab w:val="left" w:pos="720"/>
          <w:tab w:val="left" w:pos="1440"/>
          <w:tab w:val="right" w:leader="dot" w:pos="9360"/>
        </w:tabs>
        <w:ind w:left="1440" w:right="720" w:hanging="1440"/>
      </w:pPr>
      <w:r>
        <w:tab/>
        <w:t>1.</w:t>
      </w:r>
      <w:r>
        <w:tab/>
        <w:t>OP’s Unlawful Capacity Proposals</w:t>
      </w:r>
      <w:r>
        <w:tab/>
        <w:t>6</w:t>
      </w:r>
    </w:p>
    <w:p w:rsidR="00E00239" w:rsidRDefault="00C75211">
      <w:pPr>
        <w:tabs>
          <w:tab w:val="left" w:pos="720"/>
          <w:tab w:val="left" w:pos="1440"/>
        </w:tabs>
        <w:autoSpaceDE w:val="0"/>
        <w:autoSpaceDN w:val="0"/>
        <w:adjustRightInd w:val="0"/>
        <w:spacing w:after="0" w:line="240" w:lineRule="auto"/>
        <w:ind w:left="4147" w:hanging="4147"/>
        <w:rPr>
          <w:rFonts w:cs="Arial"/>
          <w:smallCaps/>
        </w:rPr>
      </w:pPr>
      <w:r>
        <w:rPr>
          <w:rFonts w:cs="Arial"/>
          <w:smallCaps/>
        </w:rPr>
        <w:tab/>
      </w:r>
    </w:p>
    <w:p w:rsidR="00E00239" w:rsidRDefault="00C75211">
      <w:pPr>
        <w:tabs>
          <w:tab w:val="left" w:pos="720"/>
          <w:tab w:val="left" w:pos="1440"/>
          <w:tab w:val="right" w:leader="dot" w:pos="9360"/>
        </w:tabs>
        <w:autoSpaceDE w:val="0"/>
        <w:autoSpaceDN w:val="0"/>
        <w:adjustRightInd w:val="0"/>
        <w:spacing w:after="0" w:line="240" w:lineRule="auto"/>
        <w:ind w:left="-1440" w:firstLine="1440"/>
        <w:rPr>
          <w:rFonts w:cs="Arial"/>
        </w:rPr>
      </w:pPr>
      <w:r>
        <w:rPr>
          <w:rFonts w:cs="Arial"/>
          <w:smallCaps/>
        </w:rPr>
        <w:tab/>
        <w:t>2.</w:t>
      </w:r>
      <w:r>
        <w:rPr>
          <w:rFonts w:cs="Arial"/>
          <w:smallCaps/>
        </w:rPr>
        <w:tab/>
      </w:r>
      <w:r>
        <w:rPr>
          <w:rFonts w:cs="Arial"/>
        </w:rPr>
        <w:t>Corporate Separation</w:t>
      </w:r>
      <w:r>
        <w:rPr>
          <w:rFonts w:cs="Arial"/>
        </w:rPr>
        <w:tab/>
        <w:t>9</w:t>
      </w:r>
    </w:p>
    <w:p w:rsidR="00E00239" w:rsidRDefault="00E00239">
      <w:pPr>
        <w:tabs>
          <w:tab w:val="left" w:pos="720"/>
          <w:tab w:val="left" w:pos="1440"/>
          <w:tab w:val="right" w:leader="dot" w:pos="9360"/>
        </w:tabs>
        <w:autoSpaceDE w:val="0"/>
        <w:autoSpaceDN w:val="0"/>
        <w:adjustRightInd w:val="0"/>
        <w:spacing w:after="0" w:line="240" w:lineRule="auto"/>
        <w:ind w:left="-1440" w:firstLine="1440"/>
        <w:rPr>
          <w:rFonts w:cs="Arial"/>
        </w:rPr>
      </w:pPr>
    </w:p>
    <w:p w:rsidR="00E00239" w:rsidRDefault="00C75211">
      <w:pPr>
        <w:tabs>
          <w:tab w:val="left" w:pos="720"/>
          <w:tab w:val="left" w:pos="1440"/>
          <w:tab w:val="right" w:leader="dot" w:pos="9360"/>
        </w:tabs>
        <w:autoSpaceDE w:val="0"/>
        <w:autoSpaceDN w:val="0"/>
        <w:adjustRightInd w:val="0"/>
        <w:spacing w:after="0" w:line="240" w:lineRule="auto"/>
        <w:ind w:left="-1440" w:firstLine="1440"/>
        <w:rPr>
          <w:rFonts w:cs="Arial"/>
        </w:rPr>
      </w:pPr>
      <w:r>
        <w:rPr>
          <w:rFonts w:cs="Arial"/>
        </w:rPr>
        <w:tab/>
        <w:t>3.</w:t>
      </w:r>
      <w:r>
        <w:rPr>
          <w:rFonts w:cs="Arial"/>
        </w:rPr>
        <w:tab/>
        <w:t>Pool Termination</w:t>
      </w:r>
      <w:r>
        <w:rPr>
          <w:rFonts w:cs="Arial"/>
        </w:rPr>
        <w:tab/>
        <w:t>10</w:t>
      </w:r>
    </w:p>
    <w:p w:rsidR="00E00239" w:rsidRDefault="00E00239">
      <w:pPr>
        <w:tabs>
          <w:tab w:val="left" w:pos="720"/>
          <w:tab w:val="left" w:pos="1440"/>
          <w:tab w:val="right" w:leader="dot" w:pos="9360"/>
        </w:tabs>
        <w:autoSpaceDE w:val="0"/>
        <w:autoSpaceDN w:val="0"/>
        <w:adjustRightInd w:val="0"/>
        <w:spacing w:after="0" w:line="240" w:lineRule="auto"/>
        <w:ind w:left="-1440" w:firstLine="1440"/>
        <w:rPr>
          <w:rFonts w:cs="Arial"/>
        </w:rPr>
      </w:pPr>
    </w:p>
    <w:p w:rsidR="00E00239" w:rsidRDefault="00C75211">
      <w:pPr>
        <w:tabs>
          <w:tab w:val="right" w:leader="dot" w:pos="9360"/>
        </w:tabs>
        <w:autoSpaceDE w:val="0"/>
        <w:autoSpaceDN w:val="0"/>
        <w:adjustRightInd w:val="0"/>
        <w:spacing w:after="0" w:line="240" w:lineRule="auto"/>
        <w:ind w:left="1440" w:hanging="720"/>
        <w:rPr>
          <w:rFonts w:eastAsia="Times New Roman" w:cs="Arial"/>
          <w:szCs w:val="24"/>
        </w:rPr>
      </w:pPr>
      <w:r>
        <w:rPr>
          <w:rFonts w:cs="Arial"/>
        </w:rPr>
        <w:t>4.</w:t>
      </w:r>
      <w:r>
        <w:rPr>
          <w:rFonts w:cs="Arial"/>
        </w:rPr>
        <w:tab/>
      </w:r>
      <w:r>
        <w:rPr>
          <w:rFonts w:eastAsia="Times New Roman" w:cs="Arial"/>
          <w:szCs w:val="24"/>
        </w:rPr>
        <w:t xml:space="preserve">References in OP Witness Thomas’ Testimony to an </w:t>
      </w:r>
      <w:r>
        <w:rPr>
          <w:rFonts w:eastAsia="Times New Roman" w:cs="Arial"/>
          <w:szCs w:val="24"/>
        </w:rPr>
        <w:t>Alternate Method to Consider the Impact of the Turning Point Solar Project</w:t>
      </w:r>
      <w:r>
        <w:rPr>
          <w:rFonts w:eastAsia="Times New Roman" w:cs="Arial"/>
          <w:szCs w:val="24"/>
        </w:rPr>
        <w:tab/>
        <w:t>11</w:t>
      </w:r>
    </w:p>
    <w:p w:rsidR="00E00239" w:rsidRDefault="00E00239">
      <w:pPr>
        <w:tabs>
          <w:tab w:val="right" w:leader="dot" w:pos="9360"/>
        </w:tabs>
        <w:autoSpaceDE w:val="0"/>
        <w:autoSpaceDN w:val="0"/>
        <w:adjustRightInd w:val="0"/>
        <w:spacing w:after="0" w:line="240" w:lineRule="auto"/>
        <w:rPr>
          <w:rFonts w:eastAsia="Times New Roman" w:cs="Arial"/>
          <w:szCs w:val="24"/>
        </w:rPr>
      </w:pPr>
    </w:p>
    <w:p w:rsidR="00E00239" w:rsidRDefault="00C75211">
      <w:pPr>
        <w:tabs>
          <w:tab w:val="left" w:pos="720"/>
          <w:tab w:val="left" w:pos="1440"/>
          <w:tab w:val="right" w:leader="dot" w:pos="9360"/>
        </w:tabs>
        <w:autoSpaceDE w:val="0"/>
        <w:autoSpaceDN w:val="0"/>
        <w:adjustRightInd w:val="0"/>
        <w:spacing w:after="0" w:line="240" w:lineRule="auto"/>
        <w:ind w:left="1440" w:hanging="720"/>
        <w:rPr>
          <w:rFonts w:eastAsia="Times New Roman" w:cs="Arial"/>
          <w:b/>
          <w:szCs w:val="24"/>
        </w:rPr>
      </w:pPr>
      <w:r>
        <w:rPr>
          <w:rFonts w:eastAsia="Times New Roman" w:cs="Arial"/>
          <w:szCs w:val="24"/>
        </w:rPr>
        <w:t>5.</w:t>
      </w:r>
      <w:r>
        <w:rPr>
          <w:rFonts w:eastAsia="Times New Roman" w:cs="Arial"/>
          <w:szCs w:val="24"/>
        </w:rPr>
        <w:tab/>
        <w:t>References in OP Witness Thomas’ Testimony Regarding the ESP v. MRO Test Inasmuch as Her Testimony Fails to Properly Price the Last Year of the MRO Side of the Test</w:t>
      </w:r>
      <w:r>
        <w:rPr>
          <w:rFonts w:eastAsia="Times New Roman" w:cs="Arial"/>
          <w:szCs w:val="24"/>
        </w:rPr>
        <w:tab/>
        <w:t>12</w:t>
      </w:r>
    </w:p>
    <w:p w:rsidR="00E00239" w:rsidRDefault="00E00239">
      <w:pPr>
        <w:tabs>
          <w:tab w:val="left" w:pos="720"/>
          <w:tab w:val="left" w:pos="1440"/>
          <w:tab w:val="right" w:leader="dot" w:pos="9360"/>
        </w:tabs>
        <w:autoSpaceDE w:val="0"/>
        <w:autoSpaceDN w:val="0"/>
        <w:adjustRightInd w:val="0"/>
        <w:spacing w:after="0" w:line="240" w:lineRule="auto"/>
        <w:rPr>
          <w:rFonts w:eastAsia="Times New Roman" w:cs="Arial"/>
          <w:szCs w:val="24"/>
        </w:rPr>
      </w:pPr>
    </w:p>
    <w:p w:rsidR="00E00239" w:rsidRDefault="00C75211">
      <w:pPr>
        <w:tabs>
          <w:tab w:val="left" w:pos="720"/>
          <w:tab w:val="left" w:pos="1440"/>
          <w:tab w:val="right" w:leader="dot" w:pos="9360"/>
        </w:tabs>
        <w:autoSpaceDE w:val="0"/>
        <w:autoSpaceDN w:val="0"/>
        <w:adjustRightInd w:val="0"/>
        <w:spacing w:after="0" w:line="240" w:lineRule="auto"/>
        <w:rPr>
          <w:rFonts w:eastAsia="Times New Roman" w:cs="Arial"/>
          <w:szCs w:val="24"/>
        </w:rPr>
      </w:pPr>
      <w:r>
        <w:rPr>
          <w:rFonts w:eastAsia="Times New Roman" w:cs="Arial"/>
          <w:szCs w:val="24"/>
        </w:rPr>
        <w:tab/>
        <w:t>6.</w:t>
      </w:r>
      <w:r>
        <w:rPr>
          <w:rFonts w:eastAsia="Times New Roman" w:cs="Arial"/>
          <w:szCs w:val="24"/>
        </w:rPr>
        <w:tab/>
      </w:r>
      <w:r>
        <w:rPr>
          <w:rFonts w:eastAsia="Times New Roman" w:cs="Arial"/>
          <w:szCs w:val="24"/>
        </w:rPr>
        <w:t>Reference to Stipulation</w:t>
      </w:r>
      <w:r>
        <w:rPr>
          <w:rFonts w:eastAsia="Times New Roman" w:cs="Arial"/>
          <w:szCs w:val="24"/>
        </w:rPr>
        <w:tab/>
        <w:t>14</w:t>
      </w:r>
    </w:p>
    <w:p w:rsidR="00E00239" w:rsidRDefault="00E00239">
      <w:pPr>
        <w:tabs>
          <w:tab w:val="left" w:pos="720"/>
          <w:tab w:val="left" w:pos="1440"/>
          <w:tab w:val="right" w:leader="dot" w:pos="9360"/>
        </w:tabs>
        <w:autoSpaceDE w:val="0"/>
        <w:autoSpaceDN w:val="0"/>
        <w:adjustRightInd w:val="0"/>
        <w:spacing w:after="0" w:line="240" w:lineRule="auto"/>
        <w:rPr>
          <w:rFonts w:eastAsia="Times New Roman" w:cs="Arial"/>
          <w:szCs w:val="24"/>
        </w:rPr>
      </w:pPr>
    </w:p>
    <w:p w:rsidR="00E00239" w:rsidRDefault="00C75211">
      <w:pPr>
        <w:tabs>
          <w:tab w:val="left" w:pos="720"/>
          <w:tab w:val="left" w:pos="1440"/>
          <w:tab w:val="right" w:leader="dot" w:pos="9360"/>
        </w:tabs>
        <w:autoSpaceDE w:val="0"/>
        <w:autoSpaceDN w:val="0"/>
        <w:adjustRightInd w:val="0"/>
        <w:spacing w:after="0" w:line="240" w:lineRule="auto"/>
        <w:rPr>
          <w:rFonts w:eastAsia="Times New Roman" w:cs="Arial"/>
          <w:szCs w:val="24"/>
        </w:rPr>
      </w:pPr>
      <w:r>
        <w:rPr>
          <w:rFonts w:eastAsia="Times New Roman" w:cs="Arial"/>
          <w:szCs w:val="24"/>
        </w:rPr>
        <w:tab/>
        <w:t>7.</w:t>
      </w:r>
      <w:r>
        <w:rPr>
          <w:rFonts w:eastAsia="Times New Roman" w:cs="Arial"/>
          <w:szCs w:val="24"/>
        </w:rPr>
        <w:tab/>
        <w:t>Documents that Limit Their Use and are Otherwise Unreliable</w:t>
      </w:r>
      <w:r>
        <w:rPr>
          <w:rFonts w:eastAsia="Times New Roman" w:cs="Arial"/>
          <w:szCs w:val="24"/>
        </w:rPr>
        <w:tab/>
        <w:t>15</w:t>
      </w:r>
    </w:p>
    <w:p w:rsidR="00E00239" w:rsidRDefault="00E00239">
      <w:pPr>
        <w:tabs>
          <w:tab w:val="left" w:pos="720"/>
          <w:tab w:val="left" w:pos="1440"/>
          <w:tab w:val="right" w:leader="dot" w:pos="9360"/>
        </w:tabs>
        <w:autoSpaceDE w:val="0"/>
        <w:autoSpaceDN w:val="0"/>
        <w:adjustRightInd w:val="0"/>
        <w:spacing w:after="0" w:line="240" w:lineRule="auto"/>
        <w:rPr>
          <w:rFonts w:eastAsia="Times New Roman" w:cs="Arial"/>
          <w:szCs w:val="24"/>
        </w:rPr>
      </w:pPr>
    </w:p>
    <w:p w:rsidR="00E00239" w:rsidRDefault="00C75211">
      <w:pPr>
        <w:tabs>
          <w:tab w:val="left" w:pos="720"/>
          <w:tab w:val="left" w:pos="1440"/>
          <w:tab w:val="right" w:leader="dot" w:pos="9360"/>
        </w:tabs>
        <w:autoSpaceDE w:val="0"/>
        <w:autoSpaceDN w:val="0"/>
        <w:adjustRightInd w:val="0"/>
        <w:spacing w:after="0" w:line="240" w:lineRule="auto"/>
        <w:rPr>
          <w:rFonts w:eastAsia="Times New Roman" w:cs="Arial"/>
          <w:szCs w:val="24"/>
        </w:rPr>
      </w:pPr>
      <w:r>
        <w:rPr>
          <w:rFonts w:eastAsia="Times New Roman" w:cs="Arial"/>
          <w:b/>
          <w:szCs w:val="24"/>
        </w:rPr>
        <w:t>C.</w:t>
      </w:r>
      <w:r>
        <w:rPr>
          <w:rFonts w:eastAsia="Times New Roman" w:cs="Arial"/>
          <w:b/>
          <w:szCs w:val="24"/>
        </w:rPr>
        <w:tab/>
        <w:t>CONCLUSION</w:t>
      </w:r>
      <w:r>
        <w:rPr>
          <w:rFonts w:eastAsia="Times New Roman" w:cs="Arial"/>
          <w:szCs w:val="24"/>
        </w:rPr>
        <w:tab/>
        <w:t>16</w:t>
      </w:r>
    </w:p>
    <w:p w:rsidR="00E00239" w:rsidRDefault="00E00239">
      <w:pPr>
        <w:tabs>
          <w:tab w:val="left" w:pos="720"/>
          <w:tab w:val="left" w:pos="1440"/>
          <w:tab w:val="right" w:leader="dot" w:pos="9360"/>
        </w:tabs>
        <w:autoSpaceDE w:val="0"/>
        <w:autoSpaceDN w:val="0"/>
        <w:adjustRightInd w:val="0"/>
        <w:spacing w:after="0" w:line="240" w:lineRule="auto"/>
        <w:ind w:left="-1440" w:firstLine="1440"/>
        <w:rPr>
          <w:rFonts w:cs="Arial"/>
        </w:rPr>
      </w:pPr>
    </w:p>
    <w:p w:rsidR="00E00239" w:rsidRDefault="00E00239">
      <w:pPr>
        <w:tabs>
          <w:tab w:val="left" w:pos="1440"/>
          <w:tab w:val="right" w:leader="dot" w:pos="9360"/>
        </w:tabs>
        <w:autoSpaceDE w:val="0"/>
        <w:autoSpaceDN w:val="0"/>
        <w:adjustRightInd w:val="0"/>
        <w:ind w:left="4140" w:hanging="4140"/>
        <w:rPr>
          <w:rFonts w:ascii="Arial Bold" w:hAnsi="Arial Bold" w:cs="Arial"/>
          <w:b/>
        </w:rPr>
      </w:pPr>
    </w:p>
    <w:p w:rsidR="00E00239" w:rsidRDefault="00E00239">
      <w:pPr>
        <w:sectPr w:rsidR="00E00239">
          <w:headerReference w:type="default" r:id="rId18"/>
          <w:footerReference w:type="default" r:id="rId19"/>
          <w:headerReference w:type="first" r:id="rId20"/>
          <w:footerReference w:type="first" r:id="rId21"/>
          <w:pgSz w:w="12240" w:h="15840"/>
          <w:pgMar w:top="1440" w:right="1440" w:bottom="1141" w:left="1440" w:header="720" w:footer="720" w:gutter="0"/>
          <w:pgNumType w:start="1"/>
          <w:cols w:space="720"/>
        </w:sectPr>
      </w:pPr>
    </w:p>
    <w:p w:rsidR="00E00239" w:rsidRDefault="00C75211">
      <w:pPr>
        <w:spacing w:after="0" w:line="240" w:lineRule="auto"/>
        <w:jc w:val="center"/>
        <w:rPr>
          <w:rFonts w:eastAsia="Calibri" w:cs="Arial"/>
          <w:b/>
          <w:smallCaps/>
          <w:sz w:val="28"/>
        </w:rPr>
      </w:pPr>
      <w:r>
        <w:rPr>
          <w:rFonts w:eastAsia="Calibri" w:cs="Arial"/>
          <w:b/>
          <w:smallCaps/>
          <w:sz w:val="28"/>
        </w:rPr>
        <w:lastRenderedPageBreak/>
        <w:t>Before</w:t>
      </w:r>
    </w:p>
    <w:p w:rsidR="00E00239" w:rsidRDefault="00C75211">
      <w:pPr>
        <w:spacing w:line="276" w:lineRule="auto"/>
        <w:jc w:val="center"/>
        <w:rPr>
          <w:rFonts w:eastAsia="Calibri" w:cs="Arial"/>
          <w:b/>
          <w:smallCaps/>
          <w:sz w:val="28"/>
        </w:rPr>
      </w:pPr>
      <w:r>
        <w:rPr>
          <w:rFonts w:eastAsia="Calibri" w:cs="Arial"/>
          <w:b/>
          <w:smallCaps/>
          <w:sz w:val="28"/>
        </w:rPr>
        <w:t>The Public Utilities Commission of Ohio</w:t>
      </w:r>
    </w:p>
    <w:p w:rsidR="00E00239" w:rsidRDefault="00C75211">
      <w:pPr>
        <w:tabs>
          <w:tab w:val="left" w:pos="4680"/>
        </w:tabs>
        <w:spacing w:after="0" w:line="240" w:lineRule="auto"/>
        <w:rPr>
          <w:rFonts w:eastAsia="Calibri" w:cs="Arial"/>
          <w:szCs w:val="24"/>
        </w:rPr>
      </w:pPr>
      <w:r>
        <w:rPr>
          <w:rFonts w:eastAsia="Calibri" w:cs="Arial"/>
          <w:szCs w:val="24"/>
        </w:rPr>
        <w:t xml:space="preserve">In the Matter of the Application of </w:t>
      </w:r>
      <w:r>
        <w:rPr>
          <w:rFonts w:eastAsia="Calibri" w:cs="Arial"/>
          <w:szCs w:val="24"/>
        </w:rPr>
        <w:tab/>
        <w:t>)</w:t>
      </w:r>
    </w:p>
    <w:p w:rsidR="00E00239" w:rsidRDefault="00C75211">
      <w:pPr>
        <w:tabs>
          <w:tab w:val="left" w:pos="4680"/>
        </w:tabs>
        <w:spacing w:after="0" w:line="240" w:lineRule="auto"/>
        <w:rPr>
          <w:rFonts w:eastAsia="Calibri" w:cs="Arial"/>
          <w:szCs w:val="24"/>
        </w:rPr>
      </w:pPr>
      <w:r>
        <w:rPr>
          <w:rFonts w:eastAsia="Calibri" w:cs="Arial"/>
          <w:szCs w:val="24"/>
        </w:rPr>
        <w:t xml:space="preserve">Columbus Southern Power </w:t>
      </w:r>
      <w:r>
        <w:rPr>
          <w:rFonts w:eastAsia="Calibri" w:cs="Arial"/>
          <w:szCs w:val="24"/>
        </w:rPr>
        <w:t>Company and</w:t>
      </w:r>
      <w:r>
        <w:rPr>
          <w:rFonts w:eastAsia="Calibri" w:cs="Arial"/>
          <w:szCs w:val="24"/>
        </w:rPr>
        <w:tab/>
        <w:t>)</w:t>
      </w:r>
    </w:p>
    <w:p w:rsidR="00E00239" w:rsidRDefault="00C75211">
      <w:pPr>
        <w:tabs>
          <w:tab w:val="left" w:pos="4680"/>
          <w:tab w:val="left" w:pos="5400"/>
        </w:tabs>
        <w:spacing w:after="0" w:line="240" w:lineRule="auto"/>
        <w:rPr>
          <w:rFonts w:eastAsia="Calibri" w:cs="Arial"/>
          <w:szCs w:val="24"/>
        </w:rPr>
      </w:pPr>
      <w:r>
        <w:rPr>
          <w:rFonts w:eastAsia="Calibri" w:cs="Arial"/>
          <w:szCs w:val="24"/>
        </w:rPr>
        <w:t>Ohio Power Company for Authority to</w:t>
      </w:r>
      <w:r>
        <w:rPr>
          <w:rFonts w:eastAsia="Calibri" w:cs="Arial"/>
          <w:szCs w:val="24"/>
        </w:rPr>
        <w:tab/>
        <w:t>)</w:t>
      </w:r>
      <w:r>
        <w:rPr>
          <w:rFonts w:eastAsia="Calibri" w:cs="Arial"/>
          <w:szCs w:val="24"/>
        </w:rPr>
        <w:tab/>
        <w:t>Case No. 11-346-EL-SSO</w:t>
      </w:r>
    </w:p>
    <w:p w:rsidR="00E00239" w:rsidRDefault="00C75211">
      <w:pPr>
        <w:tabs>
          <w:tab w:val="left" w:pos="4680"/>
          <w:tab w:val="left" w:pos="5400"/>
        </w:tabs>
        <w:spacing w:after="0" w:line="240" w:lineRule="auto"/>
        <w:rPr>
          <w:rFonts w:eastAsia="Calibri" w:cs="Arial"/>
          <w:szCs w:val="24"/>
        </w:rPr>
      </w:pPr>
      <w:r>
        <w:rPr>
          <w:rFonts w:eastAsia="Calibri" w:cs="Arial"/>
          <w:szCs w:val="24"/>
        </w:rPr>
        <w:t>Establish a Standard Service Offer</w:t>
      </w:r>
      <w:r>
        <w:rPr>
          <w:rFonts w:eastAsia="Calibri" w:cs="Arial"/>
          <w:szCs w:val="24"/>
        </w:rPr>
        <w:tab/>
        <w:t>)</w:t>
      </w:r>
      <w:r>
        <w:rPr>
          <w:rFonts w:eastAsia="Calibri" w:cs="Arial"/>
          <w:szCs w:val="24"/>
        </w:rPr>
        <w:tab/>
        <w:t>Case No. 11-348-EL-SSO</w:t>
      </w:r>
    </w:p>
    <w:p w:rsidR="00E00239" w:rsidRDefault="00C75211">
      <w:pPr>
        <w:tabs>
          <w:tab w:val="left" w:pos="4680"/>
        </w:tabs>
        <w:spacing w:after="0" w:line="240" w:lineRule="auto"/>
        <w:rPr>
          <w:rFonts w:eastAsia="Calibri" w:cs="Arial"/>
          <w:szCs w:val="24"/>
        </w:rPr>
      </w:pPr>
      <w:r>
        <w:rPr>
          <w:rFonts w:eastAsia="Calibri" w:cs="Arial"/>
          <w:szCs w:val="24"/>
        </w:rPr>
        <w:t>Pursuant to §4928.143, Ohio Rev. Code,</w:t>
      </w:r>
      <w:r>
        <w:rPr>
          <w:rFonts w:eastAsia="Calibri" w:cs="Arial"/>
          <w:szCs w:val="24"/>
        </w:rPr>
        <w:tab/>
        <w:t>)</w:t>
      </w:r>
    </w:p>
    <w:p w:rsidR="00E00239" w:rsidRDefault="00C75211">
      <w:pPr>
        <w:tabs>
          <w:tab w:val="left" w:pos="4680"/>
        </w:tabs>
        <w:spacing w:after="0" w:line="240" w:lineRule="auto"/>
        <w:rPr>
          <w:rFonts w:eastAsia="Calibri" w:cs="Arial"/>
          <w:szCs w:val="24"/>
        </w:rPr>
      </w:pPr>
      <w:r>
        <w:rPr>
          <w:rFonts w:eastAsia="Calibri" w:cs="Arial"/>
          <w:szCs w:val="24"/>
        </w:rPr>
        <w:t>in the Form of an Electric Security Plan.</w:t>
      </w:r>
      <w:r>
        <w:rPr>
          <w:rFonts w:eastAsia="Calibri" w:cs="Arial"/>
          <w:szCs w:val="24"/>
        </w:rPr>
        <w:tab/>
        <w:t>)</w:t>
      </w:r>
      <w:r>
        <w:rPr>
          <w:rFonts w:eastAsia="Calibri" w:cs="Arial"/>
          <w:szCs w:val="24"/>
        </w:rPr>
        <w:tab/>
      </w:r>
    </w:p>
    <w:p w:rsidR="00E00239" w:rsidRDefault="00E00239">
      <w:pPr>
        <w:tabs>
          <w:tab w:val="left" w:pos="5040"/>
        </w:tabs>
        <w:spacing w:after="0" w:line="240" w:lineRule="auto"/>
        <w:rPr>
          <w:rFonts w:eastAsia="Calibri" w:cs="Arial"/>
          <w:szCs w:val="24"/>
        </w:rPr>
      </w:pPr>
    </w:p>
    <w:p w:rsidR="00E00239" w:rsidRDefault="00C75211">
      <w:pPr>
        <w:tabs>
          <w:tab w:val="left" w:pos="4680"/>
        </w:tabs>
        <w:spacing w:after="0" w:line="240" w:lineRule="auto"/>
        <w:rPr>
          <w:rFonts w:eastAsia="Calibri" w:cs="Arial"/>
          <w:szCs w:val="24"/>
        </w:rPr>
      </w:pPr>
      <w:r>
        <w:rPr>
          <w:rFonts w:eastAsia="Calibri" w:cs="Arial"/>
          <w:szCs w:val="24"/>
        </w:rPr>
        <w:t>In the Matter of the Application o</w:t>
      </w:r>
      <w:r>
        <w:rPr>
          <w:rFonts w:eastAsia="Calibri" w:cs="Arial"/>
          <w:szCs w:val="24"/>
        </w:rPr>
        <w:t>f</w:t>
      </w:r>
      <w:r>
        <w:rPr>
          <w:rFonts w:eastAsia="Calibri" w:cs="Arial"/>
          <w:szCs w:val="24"/>
        </w:rPr>
        <w:tab/>
        <w:t>)</w:t>
      </w:r>
    </w:p>
    <w:p w:rsidR="00E00239" w:rsidRDefault="00C75211">
      <w:pPr>
        <w:tabs>
          <w:tab w:val="left" w:pos="4680"/>
          <w:tab w:val="left" w:pos="5400"/>
        </w:tabs>
        <w:spacing w:after="0" w:line="240" w:lineRule="auto"/>
        <w:rPr>
          <w:rFonts w:eastAsia="Calibri" w:cs="Arial"/>
          <w:szCs w:val="24"/>
        </w:rPr>
      </w:pPr>
      <w:r>
        <w:rPr>
          <w:rFonts w:eastAsia="Calibri" w:cs="Arial"/>
          <w:szCs w:val="24"/>
        </w:rPr>
        <w:t>Columbus Southern Power Company and</w:t>
      </w:r>
      <w:r>
        <w:rPr>
          <w:rFonts w:eastAsia="Calibri" w:cs="Arial"/>
          <w:szCs w:val="24"/>
        </w:rPr>
        <w:tab/>
        <w:t>)</w:t>
      </w:r>
      <w:r>
        <w:rPr>
          <w:rFonts w:eastAsia="Calibri" w:cs="Arial"/>
          <w:szCs w:val="24"/>
        </w:rPr>
        <w:tab/>
        <w:t>Case No. 11-349-EL-AAM</w:t>
      </w:r>
    </w:p>
    <w:p w:rsidR="00E00239" w:rsidRDefault="00C75211">
      <w:pPr>
        <w:tabs>
          <w:tab w:val="left" w:pos="4680"/>
          <w:tab w:val="left" w:pos="5400"/>
        </w:tabs>
        <w:spacing w:after="0" w:line="240" w:lineRule="auto"/>
        <w:rPr>
          <w:rFonts w:eastAsia="Calibri" w:cs="Arial"/>
          <w:szCs w:val="24"/>
        </w:rPr>
      </w:pPr>
      <w:r>
        <w:rPr>
          <w:rFonts w:eastAsia="Calibri" w:cs="Arial"/>
          <w:szCs w:val="24"/>
        </w:rPr>
        <w:t>Ohio Power Company for Approval of</w:t>
      </w:r>
      <w:r>
        <w:rPr>
          <w:rFonts w:eastAsia="Calibri" w:cs="Arial"/>
          <w:szCs w:val="24"/>
        </w:rPr>
        <w:tab/>
        <w:t>)</w:t>
      </w:r>
      <w:r>
        <w:rPr>
          <w:rFonts w:eastAsia="Calibri" w:cs="Arial"/>
          <w:szCs w:val="24"/>
        </w:rPr>
        <w:tab/>
        <w:t>Case No. 11-350-EL-AAM</w:t>
      </w:r>
    </w:p>
    <w:p w:rsidR="00E00239" w:rsidRDefault="00C75211">
      <w:pPr>
        <w:tabs>
          <w:tab w:val="left" w:pos="4680"/>
        </w:tabs>
        <w:spacing w:after="0" w:line="240" w:lineRule="auto"/>
        <w:rPr>
          <w:rFonts w:eastAsia="Calibri" w:cs="Arial"/>
          <w:szCs w:val="24"/>
        </w:rPr>
      </w:pPr>
      <w:r>
        <w:rPr>
          <w:rFonts w:eastAsia="Calibri" w:cs="Arial"/>
          <w:szCs w:val="24"/>
        </w:rPr>
        <w:t>Certain Accounting Authority.</w:t>
      </w:r>
      <w:r>
        <w:rPr>
          <w:rFonts w:eastAsia="Calibri" w:cs="Arial"/>
          <w:szCs w:val="24"/>
        </w:rPr>
        <w:tab/>
        <w:t>)</w:t>
      </w:r>
    </w:p>
    <w:p w:rsidR="00E00239" w:rsidRDefault="00E00239">
      <w:pPr>
        <w:pStyle w:val="BodyText"/>
        <w:tabs>
          <w:tab w:val="left" w:pos="5040"/>
        </w:tabs>
        <w:rPr>
          <w:color w:val="auto"/>
        </w:rPr>
      </w:pPr>
    </w:p>
    <w:p w:rsidR="00E00239" w:rsidRDefault="00E00239">
      <w:pPr>
        <w:pStyle w:val="BodyText"/>
        <w:tabs>
          <w:tab w:val="left" w:pos="5040"/>
        </w:tabs>
        <w:rPr>
          <w:color w:val="auto"/>
        </w:rPr>
      </w:pPr>
    </w:p>
    <w:p w:rsidR="00E00239" w:rsidRDefault="00E00239">
      <w:pPr>
        <w:pBdr>
          <w:top w:val="single" w:sz="12" w:space="1" w:color="auto"/>
        </w:pBdr>
        <w:tabs>
          <w:tab w:val="left" w:pos="7320"/>
        </w:tabs>
        <w:spacing w:after="0" w:line="240" w:lineRule="auto"/>
        <w:rPr>
          <w:rFonts w:cs="Arial"/>
          <w:color w:val="auto"/>
          <w:szCs w:val="24"/>
        </w:rPr>
      </w:pPr>
    </w:p>
    <w:p w:rsidR="00E00239" w:rsidRDefault="00C75211">
      <w:pPr>
        <w:pStyle w:val="Heading1"/>
        <w:tabs>
          <w:tab w:val="left" w:pos="7320"/>
        </w:tabs>
        <w:spacing w:before="0" w:line="240" w:lineRule="auto"/>
        <w:jc w:val="center"/>
        <w:rPr>
          <w:rFonts w:ascii="Arial" w:hAnsi="Arial" w:cs="Arial"/>
          <w:color w:val="auto"/>
          <w:sz w:val="24"/>
          <w:szCs w:val="24"/>
        </w:rPr>
      </w:pPr>
      <w:r>
        <w:rPr>
          <w:rFonts w:ascii="Arial" w:hAnsi="Arial" w:cs="Arial"/>
          <w:color w:val="auto"/>
          <w:sz w:val="24"/>
          <w:szCs w:val="24"/>
        </w:rPr>
        <w:t xml:space="preserve">INDUSTRIAL ENERGY USERS-OHIO’S MOTION TO STRIKE </w:t>
      </w:r>
    </w:p>
    <w:p w:rsidR="00E00239" w:rsidRDefault="00C75211">
      <w:pPr>
        <w:pStyle w:val="Heading1"/>
        <w:tabs>
          <w:tab w:val="left" w:pos="7320"/>
        </w:tabs>
        <w:spacing w:before="0" w:line="240" w:lineRule="auto"/>
        <w:jc w:val="center"/>
        <w:rPr>
          <w:rFonts w:ascii="Arial" w:hAnsi="Arial" w:cs="Arial"/>
          <w:color w:val="auto"/>
          <w:sz w:val="24"/>
          <w:szCs w:val="24"/>
        </w:rPr>
      </w:pPr>
      <w:r>
        <w:rPr>
          <w:rFonts w:ascii="Arial" w:hAnsi="Arial" w:cs="Arial"/>
          <w:color w:val="auto"/>
          <w:sz w:val="24"/>
          <w:szCs w:val="24"/>
        </w:rPr>
        <w:t xml:space="preserve">OHIO POWER COMPANY’S APPLICATION AND SUPPORTING TESTIMONY </w:t>
      </w:r>
    </w:p>
    <w:p w:rsidR="00E00239" w:rsidRDefault="00C75211">
      <w:pPr>
        <w:pStyle w:val="Title"/>
        <w:rPr>
          <w:color w:val="auto"/>
          <w:sz w:val="24"/>
          <w:u w:val="single"/>
        </w:rPr>
      </w:pP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u w:val="single"/>
        </w:rPr>
        <w:tab/>
      </w:r>
    </w:p>
    <w:p w:rsidR="00E00239" w:rsidRDefault="00E00239">
      <w:pPr>
        <w:spacing w:after="0"/>
        <w:ind w:firstLine="720"/>
        <w:contextualSpacing/>
        <w:rPr>
          <w:rFonts w:eastAsia="Times New Roman" w:cs="Arial"/>
          <w:szCs w:val="24"/>
        </w:rPr>
      </w:pPr>
    </w:p>
    <w:p w:rsidR="00E00239" w:rsidRDefault="00C75211">
      <w:pPr>
        <w:spacing w:after="0"/>
        <w:ind w:firstLine="720"/>
        <w:contextualSpacing/>
        <w:rPr>
          <w:rFonts w:eastAsia="Times New Roman" w:cs="Arial"/>
          <w:szCs w:val="24"/>
        </w:rPr>
      </w:pPr>
      <w:r>
        <w:rPr>
          <w:rFonts w:eastAsia="Times New Roman" w:cs="Arial"/>
          <w:szCs w:val="24"/>
        </w:rPr>
        <w:t>On March 30, 2012, Ohio Power Company (“OP” or “AEP-Ohio”) filed a Modified Application to establish a standard service offer (“SSO”) in the form of an electric security plan (“ESP”)</w:t>
      </w:r>
      <w:r>
        <w:rPr>
          <w:rFonts w:eastAsia="Times New Roman" w:cs="Arial"/>
          <w:szCs w:val="24"/>
        </w:rPr>
        <w:t xml:space="preserve"> (“Application”).</w:t>
      </w:r>
      <w:r>
        <w:rPr>
          <w:rFonts w:eastAsia="Times New Roman" w:cs="Arial"/>
          <w:szCs w:val="24"/>
          <w:vertAlign w:val="superscript"/>
        </w:rPr>
        <w:footnoteReference w:id="1"/>
      </w:r>
      <w:r>
        <w:rPr>
          <w:rFonts w:eastAsia="Times New Roman" w:cs="Arial"/>
          <w:szCs w:val="24"/>
          <w:vertAlign w:val="superscript"/>
        </w:rPr>
        <w:t xml:space="preserve"> </w:t>
      </w:r>
      <w:r>
        <w:rPr>
          <w:rFonts w:eastAsia="Times New Roman" w:cs="Arial"/>
          <w:szCs w:val="24"/>
        </w:rPr>
        <w:t>The Application and supporting Testimony, however, contain proposals that are without statutory justification or a basis in law.  Accordingly, Industrial Energy Users-Ohio (“IEU-Ohio”) hereby moves to strike portions of the Application a</w:t>
      </w:r>
      <w:r>
        <w:rPr>
          <w:rFonts w:eastAsia="Times New Roman" w:cs="Arial"/>
          <w:szCs w:val="24"/>
        </w:rPr>
        <w:t>nd Testimony, as identified in Attachment 1, that reference:</w:t>
      </w:r>
    </w:p>
    <w:p w:rsidR="00E00239" w:rsidRDefault="00C75211">
      <w:pPr>
        <w:pStyle w:val="ListParagraph"/>
        <w:numPr>
          <w:ilvl w:val="0"/>
          <w:numId w:val="4"/>
        </w:numPr>
        <w:spacing w:after="0" w:line="240" w:lineRule="auto"/>
        <w:ind w:left="1080"/>
        <w:rPr>
          <w:rFonts w:eastAsia="Times New Roman" w:cs="Arial"/>
          <w:szCs w:val="24"/>
        </w:rPr>
      </w:pPr>
      <w:r>
        <w:rPr>
          <w:rFonts w:eastAsia="Times New Roman" w:cs="Arial"/>
          <w:szCs w:val="24"/>
        </w:rPr>
        <w:t>OP’s Formula Rate:</w:t>
      </w:r>
    </w:p>
    <w:p w:rsidR="00E00239" w:rsidRDefault="00C75211">
      <w:pPr>
        <w:pStyle w:val="ListParagraph"/>
        <w:numPr>
          <w:ilvl w:val="1"/>
          <w:numId w:val="4"/>
        </w:numPr>
        <w:spacing w:after="0" w:line="240" w:lineRule="auto"/>
        <w:rPr>
          <w:rFonts w:eastAsia="Times New Roman" w:cs="Arial"/>
          <w:szCs w:val="24"/>
        </w:rPr>
      </w:pPr>
      <w:r>
        <w:rPr>
          <w:rFonts w:eastAsia="Times New Roman" w:cs="Arial"/>
          <w:szCs w:val="24"/>
        </w:rPr>
        <w:t>Discounted capacity as a benefit;</w:t>
      </w:r>
    </w:p>
    <w:p w:rsidR="00E00239" w:rsidRDefault="00C75211">
      <w:pPr>
        <w:pStyle w:val="ListParagraph"/>
        <w:numPr>
          <w:ilvl w:val="1"/>
          <w:numId w:val="4"/>
        </w:numPr>
        <w:spacing w:after="0" w:line="240" w:lineRule="auto"/>
        <w:rPr>
          <w:rFonts w:eastAsia="Times New Roman" w:cs="Arial"/>
          <w:szCs w:val="24"/>
        </w:rPr>
      </w:pPr>
      <w:r>
        <w:rPr>
          <w:rFonts w:eastAsia="Times New Roman" w:cs="Arial"/>
          <w:szCs w:val="24"/>
        </w:rPr>
        <w:t>Establishing a capacity rate to charge certified retail electric service (“CRES”) providers of shopping customers in OP’s territory;</w:t>
      </w:r>
    </w:p>
    <w:p w:rsidR="00E00239" w:rsidRDefault="00C75211">
      <w:pPr>
        <w:pStyle w:val="ListParagraph"/>
        <w:numPr>
          <w:ilvl w:val="1"/>
          <w:numId w:val="4"/>
        </w:numPr>
        <w:spacing w:after="0" w:line="240" w:lineRule="auto"/>
        <w:rPr>
          <w:rFonts w:eastAsia="Times New Roman" w:cs="Arial"/>
          <w:szCs w:val="24"/>
        </w:rPr>
      </w:pPr>
      <w:r>
        <w:rPr>
          <w:rFonts w:eastAsia="Times New Roman" w:cs="Arial"/>
          <w:szCs w:val="24"/>
        </w:rPr>
        <w:t>PJM Inter</w:t>
      </w:r>
      <w:r>
        <w:rPr>
          <w:rFonts w:eastAsia="Times New Roman" w:cs="Arial"/>
          <w:szCs w:val="24"/>
        </w:rPr>
        <w:t>connection’s LLC (“PJM”) Capacity Market;</w:t>
      </w:r>
    </w:p>
    <w:p w:rsidR="00E00239" w:rsidRDefault="00C75211">
      <w:pPr>
        <w:pStyle w:val="ListParagraph"/>
        <w:numPr>
          <w:ilvl w:val="1"/>
          <w:numId w:val="4"/>
        </w:numPr>
        <w:spacing w:after="0" w:line="240" w:lineRule="auto"/>
        <w:rPr>
          <w:rFonts w:eastAsia="Times New Roman" w:cs="Arial"/>
          <w:szCs w:val="24"/>
        </w:rPr>
      </w:pPr>
      <w:r>
        <w:rPr>
          <w:rFonts w:eastAsia="Times New Roman" w:cs="Arial"/>
          <w:szCs w:val="24"/>
        </w:rPr>
        <w:t>The Fixed Resource Requirement (“FRR”) for the AEP East operating companies.</w:t>
      </w:r>
    </w:p>
    <w:p w:rsidR="00E00239" w:rsidRDefault="00C75211">
      <w:pPr>
        <w:pStyle w:val="ListParagraph"/>
        <w:numPr>
          <w:ilvl w:val="0"/>
          <w:numId w:val="4"/>
        </w:numPr>
        <w:spacing w:after="0" w:line="240" w:lineRule="auto"/>
        <w:ind w:left="1080"/>
        <w:rPr>
          <w:rFonts w:eastAsia="Times New Roman" w:cs="Arial"/>
          <w:szCs w:val="24"/>
        </w:rPr>
      </w:pPr>
      <w:r>
        <w:rPr>
          <w:rFonts w:eastAsia="Times New Roman" w:cs="Arial"/>
          <w:szCs w:val="24"/>
        </w:rPr>
        <w:lastRenderedPageBreak/>
        <w:t>OP’s corporate separation plan filed in Case No. 12-1126-EL-UNC;</w:t>
      </w:r>
    </w:p>
    <w:p w:rsidR="00E00239" w:rsidRDefault="00C75211">
      <w:pPr>
        <w:pStyle w:val="ListParagraph"/>
        <w:numPr>
          <w:ilvl w:val="0"/>
          <w:numId w:val="4"/>
        </w:numPr>
        <w:spacing w:after="0" w:line="240" w:lineRule="auto"/>
        <w:ind w:left="1080"/>
        <w:rPr>
          <w:rFonts w:eastAsia="Times New Roman" w:cs="Arial"/>
          <w:szCs w:val="24"/>
        </w:rPr>
      </w:pPr>
      <w:r>
        <w:rPr>
          <w:rFonts w:eastAsia="Times New Roman" w:cs="Arial"/>
          <w:szCs w:val="24"/>
        </w:rPr>
        <w:t>The AEP Interconnection Agreement (aka the Pool Agreement), the revenues</w:t>
      </w:r>
      <w:r>
        <w:rPr>
          <w:rFonts w:eastAsia="Times New Roman" w:cs="Arial"/>
          <w:szCs w:val="24"/>
        </w:rPr>
        <w:t xml:space="preserve"> OP obtains under the Pool Agreement, and the Pool Termination Rider;</w:t>
      </w:r>
    </w:p>
    <w:p w:rsidR="00E00239" w:rsidRDefault="00C75211">
      <w:pPr>
        <w:pStyle w:val="ListParagraph"/>
        <w:numPr>
          <w:ilvl w:val="0"/>
          <w:numId w:val="4"/>
        </w:numPr>
        <w:spacing w:after="0" w:line="240" w:lineRule="auto"/>
        <w:ind w:left="1080"/>
        <w:rPr>
          <w:rFonts w:eastAsia="Times New Roman" w:cs="Arial"/>
          <w:szCs w:val="24"/>
        </w:rPr>
      </w:pPr>
      <w:r>
        <w:rPr>
          <w:rFonts w:eastAsia="Times New Roman" w:cs="Arial"/>
          <w:szCs w:val="24"/>
        </w:rPr>
        <w:t>An Alternate Method to consider the impact of the Turning Point Solar Project on the ESP Market Rate Offer (“MRO”) price test;</w:t>
      </w:r>
    </w:p>
    <w:p w:rsidR="00E00239" w:rsidRDefault="00C75211">
      <w:pPr>
        <w:pStyle w:val="ListParagraph"/>
        <w:numPr>
          <w:ilvl w:val="0"/>
          <w:numId w:val="4"/>
        </w:numPr>
        <w:spacing w:after="0" w:line="240" w:lineRule="auto"/>
        <w:ind w:left="1080"/>
        <w:rPr>
          <w:rFonts w:eastAsia="Times New Roman" w:cs="Arial"/>
          <w:szCs w:val="24"/>
        </w:rPr>
      </w:pPr>
      <w:r>
        <w:rPr>
          <w:rFonts w:eastAsia="Times New Roman" w:cs="Arial"/>
          <w:szCs w:val="24"/>
        </w:rPr>
        <w:t>References to an improperly calculated ESP v. MRO price tes</w:t>
      </w:r>
      <w:r>
        <w:rPr>
          <w:rFonts w:eastAsia="Times New Roman" w:cs="Arial"/>
          <w:szCs w:val="24"/>
        </w:rPr>
        <w:t>t where OP failed to properly blend the MRO side of the equation;</w:t>
      </w:r>
    </w:p>
    <w:p w:rsidR="00E00239" w:rsidRDefault="00C75211">
      <w:pPr>
        <w:pStyle w:val="ListParagraph"/>
        <w:numPr>
          <w:ilvl w:val="0"/>
          <w:numId w:val="4"/>
        </w:numPr>
        <w:spacing w:after="0" w:line="240" w:lineRule="auto"/>
        <w:ind w:left="1080"/>
        <w:rPr>
          <w:rFonts w:eastAsia="Times New Roman" w:cs="Arial"/>
          <w:szCs w:val="24"/>
        </w:rPr>
      </w:pPr>
      <w:r>
        <w:rPr>
          <w:rFonts w:eastAsia="Times New Roman" w:cs="Arial"/>
          <w:szCs w:val="24"/>
        </w:rPr>
        <w:t>Citations and references to stipulations that contain provisions prohibiting references and citations to the stipulations;</w:t>
      </w:r>
    </w:p>
    <w:p w:rsidR="00E00239" w:rsidRDefault="00C75211">
      <w:pPr>
        <w:pStyle w:val="ListParagraph"/>
        <w:numPr>
          <w:ilvl w:val="0"/>
          <w:numId w:val="4"/>
        </w:numPr>
        <w:spacing w:after="0" w:line="240" w:lineRule="auto"/>
        <w:ind w:left="1080"/>
        <w:rPr>
          <w:rFonts w:eastAsia="Times New Roman" w:cs="Arial"/>
          <w:szCs w:val="24"/>
        </w:rPr>
      </w:pPr>
      <w:r>
        <w:rPr>
          <w:rFonts w:eastAsia="Times New Roman" w:cs="Arial"/>
          <w:szCs w:val="24"/>
        </w:rPr>
        <w:t>Documents that contain statements that are unreliable and contain u</w:t>
      </w:r>
      <w:r>
        <w:rPr>
          <w:rFonts w:eastAsia="Times New Roman" w:cs="Arial"/>
          <w:szCs w:val="24"/>
        </w:rPr>
        <w:t>se restrictions.</w:t>
      </w:r>
    </w:p>
    <w:p w:rsidR="00E00239" w:rsidRDefault="00E00239">
      <w:pPr>
        <w:spacing w:after="0" w:line="240" w:lineRule="auto"/>
        <w:ind w:right="720"/>
        <w:contextualSpacing/>
        <w:jc w:val="left"/>
        <w:rPr>
          <w:rFonts w:eastAsia="Times New Roman" w:cs="Arial"/>
          <w:b/>
          <w:szCs w:val="24"/>
        </w:rPr>
      </w:pPr>
    </w:p>
    <w:p w:rsidR="00E00239" w:rsidRDefault="00C75211">
      <w:pPr>
        <w:spacing w:after="0"/>
        <w:contextualSpacing/>
        <w:rPr>
          <w:rFonts w:eastAsia="Times New Roman" w:cs="Arial"/>
          <w:szCs w:val="24"/>
        </w:rPr>
      </w:pPr>
      <w:r>
        <w:rPr>
          <w:rFonts w:eastAsia="Times New Roman" w:cs="Arial"/>
          <w:szCs w:val="24"/>
        </w:rPr>
        <w:t>As discussed in additional detail in the Memorandum in Support, references to these items are not relevant to the Public Utilities Commission of Ohio’s (“Commission”) decision regarding OP’s Application.  Alternatively, to striking the po</w:t>
      </w:r>
      <w:r>
        <w:rPr>
          <w:rFonts w:eastAsia="Times New Roman" w:cs="Arial"/>
          <w:szCs w:val="24"/>
        </w:rPr>
        <w:t xml:space="preserve">rtions of the Testimony of Laura Thomas where she incorrectly calculates the cost of the ESP and the cost of an MRO, it would be appropriate to direct OP to update her Testimony to reflect the appropriate cost of both the ESP and MRO, as discussed below.  </w:t>
      </w:r>
      <w:r>
        <w:rPr>
          <w:rFonts w:eastAsia="Times New Roman" w:cs="Arial"/>
          <w:szCs w:val="24"/>
        </w:rPr>
        <w:t>This approach has been endorsed by the Commission at least twice already in this proceeding; first during the ESP II Stipulation hearing to reflect the removal of provider of last resort (“POLR”) charges, and second in the Commission’s April 25, 2012 Entry</w:t>
      </w:r>
      <w:r>
        <w:rPr>
          <w:rFonts w:eastAsia="Times New Roman" w:cs="Arial"/>
          <w:szCs w:val="24"/>
        </w:rPr>
        <w:t xml:space="preserve"> directing OP to update their Testimony to include the costs of the Turning Point Solar project as a cost of the ESP.</w:t>
      </w:r>
    </w:p>
    <w:p w:rsidR="00E00239" w:rsidRDefault="00C75211">
      <w:pPr>
        <w:pStyle w:val="Title"/>
        <w:tabs>
          <w:tab w:val="left" w:pos="4140"/>
        </w:tabs>
        <w:jc w:val="both"/>
        <w:rPr>
          <w:b w:val="0"/>
          <w:smallCaps w:val="0"/>
          <w:sz w:val="24"/>
        </w:rPr>
      </w:pPr>
      <w:r>
        <w:rPr>
          <w:b w:val="0"/>
          <w:sz w:val="28"/>
        </w:rPr>
        <w:tab/>
      </w:r>
      <w:r>
        <w:rPr>
          <w:b w:val="0"/>
          <w:smallCaps w:val="0"/>
          <w:sz w:val="24"/>
        </w:rPr>
        <w:t>Respectfully Submitted,</w:t>
      </w:r>
    </w:p>
    <w:p w:rsidR="00E00239" w:rsidRDefault="00E00239">
      <w:pPr>
        <w:pStyle w:val="Title"/>
        <w:tabs>
          <w:tab w:val="left" w:pos="4140"/>
        </w:tabs>
        <w:jc w:val="both"/>
        <w:rPr>
          <w:b w:val="0"/>
          <w:smallCaps w:val="0"/>
          <w:sz w:val="24"/>
        </w:rPr>
      </w:pPr>
    </w:p>
    <w:p w:rsidR="00E00239" w:rsidRDefault="00C75211">
      <w:pPr>
        <w:tabs>
          <w:tab w:val="left" w:pos="-1350"/>
          <w:tab w:val="right" w:pos="8640"/>
        </w:tabs>
        <w:spacing w:after="0" w:line="240" w:lineRule="auto"/>
        <w:ind w:left="4320" w:hanging="180"/>
        <w:rPr>
          <w:rFonts w:cs="Arial"/>
          <w:u w:val="single"/>
        </w:rPr>
      </w:pPr>
      <w:r>
        <w:rPr>
          <w:rFonts w:cs="Arial"/>
          <w:u w:val="single"/>
        </w:rPr>
        <w:t>/s/ Matthew R. Pritchard</w:t>
      </w:r>
      <w:r>
        <w:rPr>
          <w:rFonts w:cs="Arial"/>
          <w:u w:val="single"/>
        </w:rPr>
        <w:tab/>
      </w:r>
      <w:r>
        <w:rPr>
          <w:rFonts w:cs="Arial"/>
          <w:u w:val="single"/>
        </w:rPr>
        <w:tab/>
      </w:r>
    </w:p>
    <w:p w:rsidR="00E00239" w:rsidRDefault="00C75211">
      <w:pPr>
        <w:tabs>
          <w:tab w:val="left" w:pos="-1350"/>
          <w:tab w:val="right" w:pos="8640"/>
        </w:tabs>
        <w:spacing w:after="0" w:line="240" w:lineRule="auto"/>
        <w:ind w:left="4320" w:hanging="180"/>
        <w:rPr>
          <w:rFonts w:cs="Arial"/>
          <w:b/>
          <w:bCs/>
        </w:rPr>
      </w:pPr>
      <w:r>
        <w:rPr>
          <w:rFonts w:cs="Arial"/>
        </w:rPr>
        <w:t xml:space="preserve">Samuel C. Randazzo </w:t>
      </w:r>
      <w:r>
        <w:rPr>
          <w:rFonts w:cs="Arial"/>
          <w:bCs/>
        </w:rPr>
        <w:t>(Counsel of Record)</w:t>
      </w:r>
    </w:p>
    <w:p w:rsidR="00E00239" w:rsidRDefault="00C75211">
      <w:pPr>
        <w:pStyle w:val="BodyText3"/>
        <w:widowControl w:val="0"/>
        <w:tabs>
          <w:tab w:val="left" w:pos="0"/>
        </w:tabs>
        <w:ind w:left="4140"/>
        <w:jc w:val="both"/>
        <w:rPr>
          <w:rFonts w:cs="Arial"/>
          <w:b w:val="0"/>
          <w:bCs/>
        </w:rPr>
      </w:pPr>
      <w:r>
        <w:rPr>
          <w:rFonts w:cs="Arial"/>
          <w:b w:val="0"/>
          <w:bCs/>
        </w:rPr>
        <w:t>Frank P. Darr</w:t>
      </w:r>
    </w:p>
    <w:p w:rsidR="00E00239" w:rsidRDefault="00C75211">
      <w:pPr>
        <w:pStyle w:val="BodyText3"/>
        <w:widowControl w:val="0"/>
        <w:tabs>
          <w:tab w:val="left" w:pos="0"/>
        </w:tabs>
        <w:ind w:left="4140"/>
        <w:jc w:val="both"/>
        <w:rPr>
          <w:rFonts w:cs="Arial"/>
          <w:b w:val="0"/>
          <w:bCs/>
        </w:rPr>
      </w:pPr>
      <w:r>
        <w:rPr>
          <w:rFonts w:cs="Arial"/>
          <w:b w:val="0"/>
          <w:bCs/>
        </w:rPr>
        <w:t>Joseph E. Oliker</w:t>
      </w:r>
    </w:p>
    <w:p w:rsidR="00E00239" w:rsidRDefault="00C75211">
      <w:pPr>
        <w:pStyle w:val="BodyText3"/>
        <w:widowControl w:val="0"/>
        <w:tabs>
          <w:tab w:val="left" w:pos="0"/>
        </w:tabs>
        <w:ind w:left="4140"/>
        <w:jc w:val="both"/>
        <w:rPr>
          <w:rFonts w:cs="Arial"/>
          <w:b w:val="0"/>
          <w:bCs/>
        </w:rPr>
      </w:pPr>
      <w:r>
        <w:rPr>
          <w:rFonts w:cs="Arial"/>
          <w:b w:val="0"/>
          <w:bCs/>
        </w:rPr>
        <w:t xml:space="preserve">Matthew R. </w:t>
      </w:r>
      <w:r>
        <w:rPr>
          <w:rFonts w:cs="Arial"/>
          <w:b w:val="0"/>
          <w:bCs/>
        </w:rPr>
        <w:t>Pritchard</w:t>
      </w:r>
    </w:p>
    <w:p w:rsidR="00E00239" w:rsidRDefault="00C75211">
      <w:pPr>
        <w:pStyle w:val="BodyText3"/>
        <w:widowControl w:val="0"/>
        <w:tabs>
          <w:tab w:val="left" w:pos="0"/>
        </w:tabs>
        <w:ind w:left="4140"/>
        <w:jc w:val="both"/>
        <w:rPr>
          <w:rFonts w:cs="Arial"/>
          <w:b w:val="0"/>
          <w:bCs/>
          <w:smallCaps/>
          <w:szCs w:val="24"/>
        </w:rPr>
      </w:pPr>
      <w:r>
        <w:rPr>
          <w:rFonts w:cs="Arial"/>
          <w:b w:val="0"/>
          <w:bCs/>
          <w:smallCaps/>
          <w:szCs w:val="24"/>
        </w:rPr>
        <w:t>McNees Wallace &amp; Nurick LLC</w:t>
      </w:r>
    </w:p>
    <w:p w:rsidR="00E00239" w:rsidRDefault="00C75211">
      <w:pPr>
        <w:pStyle w:val="BodyText3"/>
        <w:widowControl w:val="0"/>
        <w:tabs>
          <w:tab w:val="left" w:pos="0"/>
        </w:tabs>
        <w:ind w:left="4140"/>
        <w:jc w:val="both"/>
        <w:rPr>
          <w:rFonts w:cs="Arial"/>
          <w:b w:val="0"/>
          <w:bCs/>
        </w:rPr>
      </w:pPr>
      <w:r>
        <w:rPr>
          <w:rFonts w:cs="Arial"/>
          <w:b w:val="0"/>
          <w:bCs/>
        </w:rPr>
        <w:t>21 East State Street, 17</w:t>
      </w:r>
      <w:r>
        <w:rPr>
          <w:rFonts w:cs="Arial"/>
          <w:b w:val="0"/>
          <w:bCs/>
          <w:vertAlign w:val="superscript"/>
        </w:rPr>
        <w:t>TH</w:t>
      </w:r>
      <w:r>
        <w:rPr>
          <w:rFonts w:cs="Arial"/>
          <w:b w:val="0"/>
          <w:bCs/>
        </w:rPr>
        <w:t xml:space="preserve"> Floor</w:t>
      </w:r>
    </w:p>
    <w:p w:rsidR="00E00239" w:rsidRDefault="00C75211">
      <w:pPr>
        <w:pStyle w:val="BodyText"/>
        <w:tabs>
          <w:tab w:val="left" w:pos="0"/>
        </w:tabs>
        <w:ind w:left="4140"/>
      </w:pPr>
      <w:r>
        <w:t>Columbus, OH  43215</w:t>
      </w:r>
    </w:p>
    <w:p w:rsidR="00E00239" w:rsidRDefault="00E00239">
      <w:pPr>
        <w:pStyle w:val="BodyText"/>
        <w:tabs>
          <w:tab w:val="left" w:pos="0"/>
        </w:tabs>
      </w:pPr>
    </w:p>
    <w:p w:rsidR="00E00239" w:rsidRDefault="00C75211">
      <w:pPr>
        <w:autoSpaceDE w:val="0"/>
        <w:autoSpaceDN w:val="0"/>
        <w:adjustRightInd w:val="0"/>
        <w:spacing w:after="0" w:line="240" w:lineRule="auto"/>
        <w:ind w:left="4147" w:hanging="4147"/>
        <w:rPr>
          <w:rFonts w:ascii="Arial Bold" w:hAnsi="Arial Bold" w:cs="Arial"/>
          <w:b/>
          <w:smallCaps/>
        </w:rPr>
        <w:sectPr w:rsidR="00E00239">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pgNumType w:start="1"/>
          <w:cols w:space="720"/>
          <w:titlePg/>
          <w:docGrid w:linePitch="360"/>
        </w:sectPr>
      </w:pPr>
      <w:r>
        <w:rPr>
          <w:rFonts w:cs="Arial"/>
          <w:b/>
        </w:rPr>
        <w:tab/>
      </w:r>
      <w:r>
        <w:rPr>
          <w:rFonts w:cs="Arial"/>
          <w:b/>
          <w:smallCaps/>
        </w:rPr>
        <w:t>Attorneys for Industrial Energy Users-Ohio</w:t>
      </w:r>
    </w:p>
    <w:p w:rsidR="00E00239" w:rsidRDefault="00C75211">
      <w:pPr>
        <w:spacing w:after="0" w:line="240" w:lineRule="auto"/>
        <w:jc w:val="center"/>
        <w:rPr>
          <w:rFonts w:eastAsia="Calibri" w:cs="Arial"/>
          <w:b/>
          <w:smallCaps/>
          <w:szCs w:val="24"/>
        </w:rPr>
      </w:pPr>
      <w:r>
        <w:rPr>
          <w:rFonts w:eastAsia="Calibri" w:cs="Arial"/>
          <w:b/>
          <w:smallCaps/>
          <w:szCs w:val="24"/>
        </w:rPr>
        <w:lastRenderedPageBreak/>
        <w:t>Before</w:t>
      </w:r>
    </w:p>
    <w:p w:rsidR="00E00239" w:rsidRDefault="00C75211">
      <w:pPr>
        <w:spacing w:line="276" w:lineRule="auto"/>
        <w:jc w:val="center"/>
        <w:rPr>
          <w:rFonts w:eastAsia="Calibri" w:cs="Arial"/>
          <w:b/>
          <w:smallCaps/>
          <w:szCs w:val="24"/>
        </w:rPr>
      </w:pPr>
      <w:r>
        <w:rPr>
          <w:rFonts w:eastAsia="Calibri" w:cs="Arial"/>
          <w:b/>
          <w:smallCaps/>
          <w:szCs w:val="24"/>
        </w:rPr>
        <w:t>The Public Utilities Commission of Ohio</w:t>
      </w:r>
    </w:p>
    <w:p w:rsidR="00E00239" w:rsidRDefault="00C75211">
      <w:pPr>
        <w:tabs>
          <w:tab w:val="left" w:pos="4680"/>
        </w:tabs>
        <w:spacing w:after="0" w:line="240" w:lineRule="auto"/>
        <w:rPr>
          <w:rFonts w:eastAsia="Calibri" w:cs="Arial"/>
          <w:szCs w:val="24"/>
        </w:rPr>
      </w:pPr>
      <w:r>
        <w:rPr>
          <w:rFonts w:eastAsia="Calibri" w:cs="Arial"/>
          <w:szCs w:val="24"/>
        </w:rPr>
        <w:t xml:space="preserve">In the Matter of the Application of </w:t>
      </w:r>
      <w:r>
        <w:rPr>
          <w:rFonts w:eastAsia="Calibri" w:cs="Arial"/>
          <w:szCs w:val="24"/>
        </w:rPr>
        <w:tab/>
        <w:t>)</w:t>
      </w:r>
    </w:p>
    <w:p w:rsidR="00E00239" w:rsidRDefault="00C75211">
      <w:pPr>
        <w:tabs>
          <w:tab w:val="left" w:pos="4680"/>
        </w:tabs>
        <w:spacing w:after="0" w:line="240" w:lineRule="auto"/>
        <w:rPr>
          <w:rFonts w:eastAsia="Calibri" w:cs="Arial"/>
          <w:szCs w:val="24"/>
        </w:rPr>
      </w:pPr>
      <w:r>
        <w:rPr>
          <w:rFonts w:eastAsia="Calibri" w:cs="Arial"/>
          <w:szCs w:val="24"/>
        </w:rPr>
        <w:t>Columbus Southern Power Company and</w:t>
      </w:r>
      <w:r>
        <w:rPr>
          <w:rFonts w:eastAsia="Calibri" w:cs="Arial"/>
          <w:szCs w:val="24"/>
        </w:rPr>
        <w:tab/>
        <w:t>)</w:t>
      </w:r>
    </w:p>
    <w:p w:rsidR="00E00239" w:rsidRDefault="00C75211">
      <w:pPr>
        <w:tabs>
          <w:tab w:val="left" w:pos="4680"/>
          <w:tab w:val="left" w:pos="5400"/>
        </w:tabs>
        <w:spacing w:after="0" w:line="240" w:lineRule="auto"/>
        <w:rPr>
          <w:rFonts w:eastAsia="Calibri" w:cs="Arial"/>
          <w:szCs w:val="24"/>
        </w:rPr>
      </w:pPr>
      <w:r>
        <w:rPr>
          <w:rFonts w:eastAsia="Calibri" w:cs="Arial"/>
          <w:szCs w:val="24"/>
        </w:rPr>
        <w:t>Ohio Power Company for Authority to</w:t>
      </w:r>
      <w:r>
        <w:rPr>
          <w:rFonts w:eastAsia="Calibri" w:cs="Arial"/>
          <w:szCs w:val="24"/>
        </w:rPr>
        <w:tab/>
        <w:t>)</w:t>
      </w:r>
      <w:r>
        <w:rPr>
          <w:rFonts w:eastAsia="Calibri" w:cs="Arial"/>
          <w:szCs w:val="24"/>
        </w:rPr>
        <w:tab/>
        <w:t>Case No. 11-346-EL-SSO</w:t>
      </w:r>
    </w:p>
    <w:p w:rsidR="00E00239" w:rsidRDefault="00C75211">
      <w:pPr>
        <w:tabs>
          <w:tab w:val="left" w:pos="4680"/>
          <w:tab w:val="left" w:pos="5400"/>
        </w:tabs>
        <w:spacing w:after="0" w:line="240" w:lineRule="auto"/>
        <w:rPr>
          <w:rFonts w:eastAsia="Calibri" w:cs="Arial"/>
          <w:szCs w:val="24"/>
        </w:rPr>
      </w:pPr>
      <w:r>
        <w:rPr>
          <w:rFonts w:eastAsia="Calibri" w:cs="Arial"/>
          <w:szCs w:val="24"/>
        </w:rPr>
        <w:t>Establish a Standard Service Offer</w:t>
      </w:r>
      <w:r>
        <w:rPr>
          <w:rFonts w:eastAsia="Calibri" w:cs="Arial"/>
          <w:szCs w:val="24"/>
        </w:rPr>
        <w:tab/>
        <w:t>)</w:t>
      </w:r>
      <w:r>
        <w:rPr>
          <w:rFonts w:eastAsia="Calibri" w:cs="Arial"/>
          <w:szCs w:val="24"/>
        </w:rPr>
        <w:tab/>
        <w:t>Case No. 11-348-EL-SSO</w:t>
      </w:r>
    </w:p>
    <w:p w:rsidR="00E00239" w:rsidRDefault="00C75211">
      <w:pPr>
        <w:tabs>
          <w:tab w:val="left" w:pos="4680"/>
        </w:tabs>
        <w:spacing w:after="0" w:line="240" w:lineRule="auto"/>
        <w:rPr>
          <w:rFonts w:eastAsia="Calibri" w:cs="Arial"/>
          <w:szCs w:val="24"/>
        </w:rPr>
      </w:pPr>
      <w:r>
        <w:rPr>
          <w:rFonts w:eastAsia="Calibri" w:cs="Arial"/>
          <w:szCs w:val="24"/>
        </w:rPr>
        <w:t>Pursuant to §4928.143, Ohio Rev. Code,</w:t>
      </w:r>
      <w:r>
        <w:rPr>
          <w:rFonts w:eastAsia="Calibri" w:cs="Arial"/>
          <w:szCs w:val="24"/>
        </w:rPr>
        <w:tab/>
        <w:t>)</w:t>
      </w:r>
    </w:p>
    <w:p w:rsidR="00E00239" w:rsidRDefault="00C75211">
      <w:pPr>
        <w:tabs>
          <w:tab w:val="left" w:pos="4680"/>
        </w:tabs>
        <w:spacing w:after="0" w:line="240" w:lineRule="auto"/>
        <w:rPr>
          <w:rFonts w:eastAsia="Calibri" w:cs="Arial"/>
          <w:szCs w:val="24"/>
        </w:rPr>
      </w:pPr>
      <w:r>
        <w:rPr>
          <w:rFonts w:eastAsia="Calibri" w:cs="Arial"/>
          <w:szCs w:val="24"/>
        </w:rPr>
        <w:t>in the Form of an</w:t>
      </w:r>
      <w:r>
        <w:rPr>
          <w:rFonts w:eastAsia="Calibri" w:cs="Arial"/>
          <w:szCs w:val="24"/>
        </w:rPr>
        <w:t xml:space="preserve"> Electric Security Plan.</w:t>
      </w:r>
      <w:r>
        <w:rPr>
          <w:rFonts w:eastAsia="Calibri" w:cs="Arial"/>
          <w:szCs w:val="24"/>
        </w:rPr>
        <w:tab/>
        <w:t>)</w:t>
      </w:r>
      <w:r>
        <w:rPr>
          <w:rFonts w:eastAsia="Calibri" w:cs="Arial"/>
          <w:szCs w:val="24"/>
        </w:rPr>
        <w:tab/>
      </w:r>
    </w:p>
    <w:p w:rsidR="00E00239" w:rsidRDefault="00E00239">
      <w:pPr>
        <w:tabs>
          <w:tab w:val="left" w:pos="5040"/>
        </w:tabs>
        <w:spacing w:after="0" w:line="240" w:lineRule="auto"/>
        <w:rPr>
          <w:rFonts w:eastAsia="Calibri" w:cs="Arial"/>
          <w:szCs w:val="24"/>
        </w:rPr>
      </w:pPr>
    </w:p>
    <w:p w:rsidR="00E00239" w:rsidRDefault="00C75211">
      <w:pPr>
        <w:tabs>
          <w:tab w:val="left" w:pos="4680"/>
        </w:tabs>
        <w:spacing w:after="0" w:line="240" w:lineRule="auto"/>
        <w:rPr>
          <w:rFonts w:eastAsia="Calibri" w:cs="Arial"/>
          <w:szCs w:val="24"/>
        </w:rPr>
      </w:pPr>
      <w:r>
        <w:rPr>
          <w:rFonts w:eastAsia="Calibri" w:cs="Arial"/>
          <w:szCs w:val="24"/>
        </w:rPr>
        <w:t>In the Matter of the Application of</w:t>
      </w:r>
      <w:r>
        <w:rPr>
          <w:rFonts w:eastAsia="Calibri" w:cs="Arial"/>
          <w:szCs w:val="24"/>
        </w:rPr>
        <w:tab/>
        <w:t>)</w:t>
      </w:r>
    </w:p>
    <w:p w:rsidR="00E00239" w:rsidRDefault="00C75211">
      <w:pPr>
        <w:tabs>
          <w:tab w:val="left" w:pos="4680"/>
          <w:tab w:val="left" w:pos="5400"/>
        </w:tabs>
        <w:spacing w:after="0" w:line="240" w:lineRule="auto"/>
        <w:rPr>
          <w:rFonts w:eastAsia="Calibri" w:cs="Arial"/>
          <w:szCs w:val="24"/>
        </w:rPr>
      </w:pPr>
      <w:r>
        <w:rPr>
          <w:rFonts w:eastAsia="Calibri" w:cs="Arial"/>
          <w:szCs w:val="24"/>
        </w:rPr>
        <w:t>Columbus Southern Power Company and</w:t>
      </w:r>
      <w:r>
        <w:rPr>
          <w:rFonts w:eastAsia="Calibri" w:cs="Arial"/>
          <w:szCs w:val="24"/>
        </w:rPr>
        <w:tab/>
        <w:t>)</w:t>
      </w:r>
      <w:r>
        <w:rPr>
          <w:rFonts w:eastAsia="Calibri" w:cs="Arial"/>
          <w:szCs w:val="24"/>
        </w:rPr>
        <w:tab/>
        <w:t>Case No. 11-349-EL-AAM</w:t>
      </w:r>
    </w:p>
    <w:p w:rsidR="00E00239" w:rsidRDefault="00C75211">
      <w:pPr>
        <w:tabs>
          <w:tab w:val="left" w:pos="4680"/>
          <w:tab w:val="left" w:pos="5400"/>
        </w:tabs>
        <w:spacing w:after="0" w:line="240" w:lineRule="auto"/>
        <w:rPr>
          <w:rFonts w:eastAsia="Calibri" w:cs="Arial"/>
          <w:szCs w:val="24"/>
        </w:rPr>
      </w:pPr>
      <w:r>
        <w:rPr>
          <w:rFonts w:eastAsia="Calibri" w:cs="Arial"/>
          <w:szCs w:val="24"/>
        </w:rPr>
        <w:t>Ohio Power Company for Approval of</w:t>
      </w:r>
      <w:r>
        <w:rPr>
          <w:rFonts w:eastAsia="Calibri" w:cs="Arial"/>
          <w:szCs w:val="24"/>
        </w:rPr>
        <w:tab/>
        <w:t>)</w:t>
      </w:r>
      <w:r>
        <w:rPr>
          <w:rFonts w:eastAsia="Calibri" w:cs="Arial"/>
          <w:szCs w:val="24"/>
        </w:rPr>
        <w:tab/>
        <w:t>Case No. 11-350-EL-AAM</w:t>
      </w:r>
    </w:p>
    <w:p w:rsidR="00E00239" w:rsidRDefault="00C75211">
      <w:pPr>
        <w:tabs>
          <w:tab w:val="left" w:pos="4680"/>
        </w:tabs>
        <w:spacing w:after="0" w:line="240" w:lineRule="auto"/>
        <w:rPr>
          <w:rFonts w:eastAsia="Calibri" w:cs="Arial"/>
          <w:szCs w:val="24"/>
        </w:rPr>
      </w:pPr>
      <w:r>
        <w:rPr>
          <w:rFonts w:eastAsia="Calibri" w:cs="Arial"/>
          <w:szCs w:val="24"/>
        </w:rPr>
        <w:t>Certain Accounting Authority.</w:t>
      </w:r>
      <w:r>
        <w:rPr>
          <w:rFonts w:eastAsia="Calibri" w:cs="Arial"/>
          <w:szCs w:val="24"/>
        </w:rPr>
        <w:tab/>
        <w:t>)</w:t>
      </w:r>
    </w:p>
    <w:p w:rsidR="00E00239" w:rsidRDefault="00E00239">
      <w:pPr>
        <w:pStyle w:val="BodyText"/>
        <w:tabs>
          <w:tab w:val="left" w:pos="5040"/>
        </w:tabs>
        <w:rPr>
          <w:color w:val="auto"/>
        </w:rPr>
      </w:pPr>
    </w:p>
    <w:p w:rsidR="00E00239" w:rsidRDefault="00E00239">
      <w:pPr>
        <w:pStyle w:val="BodyText"/>
        <w:tabs>
          <w:tab w:val="left" w:pos="5040"/>
        </w:tabs>
        <w:rPr>
          <w:color w:val="auto"/>
        </w:rPr>
      </w:pPr>
    </w:p>
    <w:p w:rsidR="00E00239" w:rsidRDefault="00E00239">
      <w:pPr>
        <w:pBdr>
          <w:top w:val="single" w:sz="12" w:space="1" w:color="auto"/>
        </w:pBdr>
        <w:tabs>
          <w:tab w:val="left" w:pos="7320"/>
        </w:tabs>
        <w:spacing w:after="0" w:line="240" w:lineRule="auto"/>
        <w:rPr>
          <w:rFonts w:cs="Arial"/>
          <w:color w:val="auto"/>
          <w:szCs w:val="24"/>
        </w:rPr>
      </w:pPr>
    </w:p>
    <w:p w:rsidR="00E00239" w:rsidRDefault="00C75211">
      <w:pPr>
        <w:pStyle w:val="Heading1"/>
        <w:tabs>
          <w:tab w:val="left" w:pos="7320"/>
        </w:tabs>
        <w:spacing w:before="0" w:line="240" w:lineRule="auto"/>
        <w:jc w:val="center"/>
        <w:rPr>
          <w:rFonts w:ascii="Arial" w:hAnsi="Arial" w:cs="Arial"/>
          <w:color w:val="auto"/>
          <w:sz w:val="24"/>
          <w:szCs w:val="24"/>
        </w:rPr>
      </w:pPr>
      <w:r>
        <w:rPr>
          <w:rFonts w:ascii="Arial" w:hAnsi="Arial" w:cs="Arial"/>
          <w:color w:val="auto"/>
          <w:sz w:val="24"/>
          <w:szCs w:val="24"/>
        </w:rPr>
        <w:t>INDUSTRIAL ENERGY USERS-OHIO’S ME</w:t>
      </w:r>
      <w:r>
        <w:rPr>
          <w:rFonts w:ascii="Arial" w:hAnsi="Arial" w:cs="Arial"/>
          <w:color w:val="auto"/>
          <w:sz w:val="24"/>
          <w:szCs w:val="24"/>
        </w:rPr>
        <w:t xml:space="preserve">MORANDUM IN SUPPORT </w:t>
      </w:r>
    </w:p>
    <w:p w:rsidR="00E00239" w:rsidRDefault="00C75211">
      <w:pPr>
        <w:pStyle w:val="Title"/>
        <w:rPr>
          <w:color w:val="auto"/>
          <w:sz w:val="24"/>
          <w:u w:val="single"/>
        </w:rPr>
      </w:pP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u w:val="single"/>
        </w:rPr>
        <w:tab/>
      </w:r>
    </w:p>
    <w:p w:rsidR="00E00239" w:rsidRDefault="00E00239">
      <w:pPr>
        <w:spacing w:after="0" w:line="240" w:lineRule="auto"/>
        <w:ind w:right="720"/>
        <w:contextualSpacing/>
        <w:jc w:val="left"/>
        <w:rPr>
          <w:rFonts w:eastAsia="Times New Roman" w:cs="Arial"/>
          <w:b/>
          <w:szCs w:val="24"/>
        </w:rPr>
      </w:pPr>
    </w:p>
    <w:p w:rsidR="00E00239" w:rsidRDefault="00C75211">
      <w:pPr>
        <w:spacing w:after="240"/>
        <w:rPr>
          <w:rFonts w:eastAsia="Times New Roman" w:cs="Arial"/>
          <w:szCs w:val="24"/>
        </w:rPr>
      </w:pPr>
      <w:r>
        <w:rPr>
          <w:rFonts w:eastAsia="Times New Roman" w:cs="Arial"/>
          <w:b/>
          <w:szCs w:val="24"/>
        </w:rPr>
        <w:tab/>
      </w:r>
      <w:r>
        <w:rPr>
          <w:rFonts w:eastAsia="Times New Roman" w:cs="Arial"/>
          <w:szCs w:val="24"/>
        </w:rPr>
        <w:t>OP’s Application contains numerous citations and references to information that is not relevant to the Commission’s review of OP’s ESP, as presented in the Application and Testimony.  Rule 4901-1-27(B)(7), Ohio Administ</w:t>
      </w:r>
      <w:r>
        <w:rPr>
          <w:rFonts w:eastAsia="Times New Roman" w:cs="Arial"/>
          <w:szCs w:val="24"/>
        </w:rPr>
        <w:t>rative Code, authorizes the attorney examiner presiding over a hearing to “[t]ake such actions as are necessary to: (a) Avoid unnecessary delay [and] (b) Prevent the presentation of irrelevant or cumulative evidence.”  As demonstrated below, OP’s Applicati</w:t>
      </w:r>
      <w:r>
        <w:rPr>
          <w:rFonts w:eastAsia="Times New Roman" w:cs="Arial"/>
          <w:szCs w:val="24"/>
        </w:rPr>
        <w:t>on and Testimony contain numerous passages that attempt to present irrelevant evidence to the consideration of an ESP that will unnecessarily delay the hearing and confuse the record.</w:t>
      </w:r>
    </w:p>
    <w:p w:rsidR="00E00239" w:rsidRDefault="00C75211">
      <w:pPr>
        <w:pStyle w:val="ListParagraph"/>
        <w:spacing w:after="0" w:line="240" w:lineRule="auto"/>
        <w:ind w:left="0" w:right="720"/>
        <w:jc w:val="left"/>
        <w:rPr>
          <w:rFonts w:eastAsia="Times New Roman" w:cs="Arial"/>
          <w:b/>
          <w:caps/>
          <w:szCs w:val="24"/>
        </w:rPr>
      </w:pPr>
      <w:r>
        <w:rPr>
          <w:rFonts w:eastAsia="Times New Roman" w:cs="Arial"/>
          <w:b/>
          <w:caps/>
          <w:szCs w:val="24"/>
        </w:rPr>
        <w:t>A.</w:t>
      </w:r>
      <w:r>
        <w:rPr>
          <w:rFonts w:eastAsia="Times New Roman" w:cs="Arial"/>
          <w:b/>
          <w:caps/>
          <w:szCs w:val="24"/>
        </w:rPr>
        <w:tab/>
        <w:t>Argument</w:t>
      </w:r>
    </w:p>
    <w:p w:rsidR="00E00239" w:rsidRDefault="00E00239">
      <w:pPr>
        <w:pStyle w:val="ListParagraph"/>
        <w:spacing w:after="0" w:line="240" w:lineRule="auto"/>
        <w:ind w:left="360" w:right="720"/>
        <w:jc w:val="left"/>
        <w:rPr>
          <w:rFonts w:eastAsia="Times New Roman" w:cs="Arial"/>
          <w:b/>
          <w:szCs w:val="24"/>
        </w:rPr>
      </w:pPr>
    </w:p>
    <w:p w:rsidR="00E00239" w:rsidRDefault="00C75211">
      <w:pPr>
        <w:spacing w:after="240" w:line="240" w:lineRule="auto"/>
        <w:ind w:left="1440" w:right="720" w:hanging="720"/>
        <w:jc w:val="left"/>
        <w:rPr>
          <w:rFonts w:eastAsia="Times New Roman" w:cs="Arial"/>
          <w:b/>
          <w:szCs w:val="24"/>
        </w:rPr>
      </w:pPr>
      <w:r>
        <w:rPr>
          <w:rFonts w:eastAsia="Times New Roman" w:cs="Arial"/>
          <w:b/>
          <w:szCs w:val="24"/>
        </w:rPr>
        <w:t>1.</w:t>
      </w:r>
      <w:r>
        <w:rPr>
          <w:rFonts w:eastAsia="Times New Roman" w:cs="Arial"/>
          <w:b/>
          <w:szCs w:val="24"/>
        </w:rPr>
        <w:tab/>
        <w:t xml:space="preserve">The Commission Should Strike Testimony That Is Not </w:t>
      </w:r>
      <w:r>
        <w:rPr>
          <w:rFonts w:eastAsia="Times New Roman" w:cs="Arial"/>
          <w:b/>
          <w:szCs w:val="24"/>
        </w:rPr>
        <w:t>Relevant to the Outcome of the Proceeding</w:t>
      </w:r>
    </w:p>
    <w:p w:rsidR="00E00239" w:rsidRDefault="00C75211">
      <w:pPr>
        <w:autoSpaceDE w:val="0"/>
        <w:autoSpaceDN w:val="0"/>
        <w:adjustRightInd w:val="0"/>
        <w:spacing w:after="0"/>
        <w:rPr>
          <w:rFonts w:eastAsia="Times New Roman" w:cs="Arial"/>
          <w:szCs w:val="24"/>
        </w:rPr>
      </w:pPr>
      <w:r>
        <w:rPr>
          <w:rFonts w:eastAsia="Times New Roman" w:cs="Arial"/>
          <w:szCs w:val="24"/>
        </w:rPr>
        <w:tab/>
        <w:t xml:space="preserve">Evidence that is not relevant to this proceeding should be stricken from the Application and Testimony because it is not of consequence to the determination of the </w:t>
      </w:r>
      <w:r>
        <w:rPr>
          <w:rFonts w:eastAsia="Times New Roman" w:cs="Arial"/>
          <w:szCs w:val="24"/>
        </w:rPr>
        <w:lastRenderedPageBreak/>
        <w:t>matters presented in this case.</w:t>
      </w:r>
      <w:r>
        <w:rPr>
          <w:rStyle w:val="FootnoteReference"/>
          <w:rFonts w:eastAsia="Times New Roman" w:cs="Arial"/>
          <w:sz w:val="24"/>
          <w:szCs w:val="24"/>
        </w:rPr>
        <w:footnoteReference w:id="2"/>
      </w:r>
      <w:r>
        <w:rPr>
          <w:rFonts w:eastAsia="Times New Roman" w:cs="Arial"/>
          <w:szCs w:val="24"/>
        </w:rPr>
        <w:t xml:space="preserve">  Ohio Rule of Ev</w:t>
      </w:r>
      <w:r>
        <w:rPr>
          <w:rFonts w:eastAsia="Times New Roman" w:cs="Arial"/>
          <w:szCs w:val="24"/>
        </w:rPr>
        <w:t>idence 401 provides the definition of relevant evidence as “evidence having any tendency to make the existence of any fact that is of consequence to the determination of the action more probable or less probable than it would be without the evidence.”  Add</w:t>
      </w:r>
      <w:r>
        <w:rPr>
          <w:rFonts w:eastAsia="Times New Roman" w:cs="Arial"/>
          <w:szCs w:val="24"/>
        </w:rPr>
        <w:t>itionally, Rule 4901-1-27(B)(7), Ohio Administrative Code, allows the attorney examiner to “[t]ake such actions as are necessary to: (a) [a]void unnecessary delay [and] (b) [p]revent the presentation of irrelevant or cumulative evidence.”</w:t>
      </w:r>
    </w:p>
    <w:p w:rsidR="00E00239" w:rsidRDefault="00C75211">
      <w:pPr>
        <w:autoSpaceDE w:val="0"/>
        <w:autoSpaceDN w:val="0"/>
        <w:adjustRightInd w:val="0"/>
        <w:spacing w:after="0"/>
        <w:rPr>
          <w:rFonts w:eastAsia="Times New Roman" w:cs="Arial"/>
          <w:i/>
          <w:szCs w:val="24"/>
        </w:rPr>
      </w:pPr>
      <w:r>
        <w:rPr>
          <w:rFonts w:eastAsia="Times New Roman" w:cs="Arial"/>
          <w:szCs w:val="24"/>
        </w:rPr>
        <w:tab/>
        <w:t>The Commission h</w:t>
      </w:r>
      <w:r>
        <w:rPr>
          <w:rFonts w:eastAsia="Times New Roman" w:cs="Arial"/>
          <w:szCs w:val="24"/>
        </w:rPr>
        <w:t xml:space="preserve">as followed this rule in the past and stricken irrelevant evidence.  </w:t>
      </w:r>
      <w:r>
        <w:rPr>
          <w:rFonts w:eastAsia="Times New Roman" w:cs="Arial"/>
          <w:i/>
          <w:szCs w:val="24"/>
        </w:rPr>
        <w:t>In the Matter of the Application of Verizon Wireless for Arbitration of an Interconnection Agreement with SBC Ohio</w:t>
      </w:r>
      <w:r>
        <w:rPr>
          <w:rFonts w:eastAsia="Times New Roman" w:cs="Arial"/>
          <w:szCs w:val="24"/>
        </w:rPr>
        <w:t xml:space="preserve">, Case No. 03-515-TP-ARB, Arbitration Award at 4 (November 13, 2003), (holding that “this evidence is irrelevant in any case, as the Commission determines in this opinion and order that the activities of SBC’s affiliate in Michigan are not relevant to any </w:t>
      </w:r>
      <w:r>
        <w:rPr>
          <w:rFonts w:eastAsia="Times New Roman" w:cs="Arial"/>
          <w:szCs w:val="24"/>
        </w:rPr>
        <w:t xml:space="preserve">finding of discrimination in Ohio”); </w:t>
      </w:r>
      <w:r>
        <w:rPr>
          <w:rFonts w:eastAsia="Times New Roman" w:cs="Arial"/>
          <w:i/>
          <w:szCs w:val="24"/>
        </w:rPr>
        <w:t>see also In the Matter of the Petition of TDS MetroCom, Inc., for Arbitration of Interconnection Rates, Terms, and Conditions and Related Arrangements with Ameritech Ohio</w:t>
      </w:r>
      <w:r>
        <w:rPr>
          <w:rFonts w:eastAsia="Times New Roman" w:cs="Arial"/>
          <w:szCs w:val="24"/>
        </w:rPr>
        <w:t xml:space="preserve">, Case No. 02-1254-TP-ARB, Entry at 2 (September </w:t>
      </w:r>
      <w:r>
        <w:rPr>
          <w:rFonts w:eastAsia="Times New Roman" w:cs="Arial"/>
          <w:szCs w:val="24"/>
        </w:rPr>
        <w:t xml:space="preserve">27, 2002), (holding that comments should be stricken as they are outside the scope of the proceeding and do not assist the Commission in determining the issues presented in the proceeding); </w:t>
      </w:r>
      <w:r>
        <w:rPr>
          <w:rFonts w:eastAsia="Times New Roman" w:cs="Arial"/>
          <w:i/>
          <w:szCs w:val="24"/>
        </w:rPr>
        <w:t>see also In the Matter of the Joint Application of SBC Communicati</w:t>
      </w:r>
      <w:r>
        <w:rPr>
          <w:rFonts w:eastAsia="Times New Roman" w:cs="Arial"/>
          <w:i/>
          <w:szCs w:val="24"/>
        </w:rPr>
        <w:t>ons Inc. and AT&amp;T Corporation for Consent and Approval of a Change of Control</w:t>
      </w:r>
      <w:r>
        <w:rPr>
          <w:rFonts w:eastAsia="Times New Roman" w:cs="Arial"/>
          <w:szCs w:val="24"/>
        </w:rPr>
        <w:t xml:space="preserve">, Case No. 05-269-TP-ACO, Entry at 5-6 (August 3, 2005), (holding that testimony addressing issues outside the proceeding should be stricken); </w:t>
      </w:r>
      <w:r>
        <w:rPr>
          <w:rFonts w:eastAsia="Times New Roman" w:cs="Arial"/>
          <w:i/>
          <w:szCs w:val="24"/>
        </w:rPr>
        <w:t xml:space="preserve">see also </w:t>
      </w:r>
      <w:r>
        <w:rPr>
          <w:rFonts w:eastAsia="Times New Roman" w:cs="Arial"/>
          <w:szCs w:val="24"/>
        </w:rPr>
        <w:t xml:space="preserve"> </w:t>
      </w:r>
      <w:r>
        <w:rPr>
          <w:rFonts w:eastAsia="Arial" w:cs="Arial"/>
          <w:i/>
          <w:szCs w:val="24"/>
        </w:rPr>
        <w:t>In the Matter of the Appli</w:t>
      </w:r>
      <w:r>
        <w:rPr>
          <w:rFonts w:eastAsia="Arial" w:cs="Arial"/>
          <w:i/>
          <w:szCs w:val="24"/>
        </w:rPr>
        <w:t xml:space="preserve">cation of Ohio Edison Company, </w:t>
      </w:r>
      <w:r>
        <w:rPr>
          <w:rFonts w:eastAsia="Arial" w:cs="Arial"/>
          <w:i/>
          <w:szCs w:val="24"/>
        </w:rPr>
        <w:lastRenderedPageBreak/>
        <w:t>the Cleveland Electric Illuminating Company, and the Toledo Edison Company for Authority to Establish a Standard Service Offer Pursuant to Section 4928.143, Revised Code, in the Form of an Electric Security Plan</w:t>
      </w:r>
      <w:r>
        <w:rPr>
          <w:rFonts w:eastAsia="Arial" w:cs="Arial"/>
          <w:szCs w:val="24"/>
        </w:rPr>
        <w:t>, Case No. 10-</w:t>
      </w:r>
      <w:r>
        <w:rPr>
          <w:rFonts w:eastAsia="Arial" w:cs="Arial"/>
          <w:szCs w:val="24"/>
        </w:rPr>
        <w:t>388-EL-SSO, Opinion and Order at 19 (August 25, 2010), (granting IEU-Ohio’s motion to strike portions of witness testimony not probative to an application filed pursuant to Section 4928.141, Revised Code).</w:t>
      </w:r>
      <w:r>
        <w:rPr>
          <w:rFonts w:eastAsia="Times New Roman" w:cs="Arial"/>
          <w:i/>
          <w:szCs w:val="24"/>
        </w:rPr>
        <w:t xml:space="preserve"> </w:t>
      </w:r>
    </w:p>
    <w:p w:rsidR="00E00239" w:rsidRDefault="00C75211">
      <w:pPr>
        <w:autoSpaceDE w:val="0"/>
        <w:autoSpaceDN w:val="0"/>
        <w:adjustRightInd w:val="0"/>
        <w:spacing w:after="0"/>
        <w:ind w:firstLine="720"/>
        <w:rPr>
          <w:rFonts w:eastAsia="Times New Roman" w:cs="Arial"/>
          <w:szCs w:val="24"/>
        </w:rPr>
      </w:pPr>
      <w:r>
        <w:rPr>
          <w:rFonts w:eastAsia="Times New Roman" w:cs="Arial"/>
          <w:szCs w:val="24"/>
        </w:rPr>
        <w:t>References in the Application and Testimony to ma</w:t>
      </w:r>
      <w:r>
        <w:rPr>
          <w:rFonts w:eastAsia="Times New Roman" w:cs="Arial"/>
          <w:szCs w:val="24"/>
        </w:rPr>
        <w:t>tters beyond the scope of an ESP proceeding or to matters beyond the Commission’s jurisdiction are irrelevant to the Commission’s consideration of the Application and should be stricken because they will not aide the Commission’s review of the Application.</w:t>
      </w:r>
      <w:r>
        <w:rPr>
          <w:rFonts w:eastAsia="Times New Roman" w:cs="Arial"/>
          <w:szCs w:val="24"/>
        </w:rPr>
        <w:t xml:space="preserve">  References in the Application and Testimony that have no basis in law should be stricken because they will confuse the record, cause unnecessary delay, and not aid the Commission in its review of the Application.  Further, OP’s references to various stip</w:t>
      </w:r>
      <w:r>
        <w:rPr>
          <w:rFonts w:eastAsia="Times New Roman" w:cs="Arial"/>
          <w:szCs w:val="24"/>
        </w:rPr>
        <w:t>ulations entered into in separate proceedings are without evidentiary weight and should be stricken as irrelevant.  By their very terms, these stipulations do not carry any precedent or evidentiary weight.  Therefore, citation and reference to these stipul</w:t>
      </w:r>
      <w:r>
        <w:rPr>
          <w:rFonts w:eastAsia="Times New Roman" w:cs="Arial"/>
          <w:szCs w:val="24"/>
        </w:rPr>
        <w:t xml:space="preserve">ations do not make any facts in this proceeding “more probable or less probable.”  Finally, Testimony that has no basis in law should be stricken.  </w:t>
      </w:r>
    </w:p>
    <w:p w:rsidR="00E00239" w:rsidRDefault="00C75211">
      <w:pPr>
        <w:autoSpaceDE w:val="0"/>
        <w:autoSpaceDN w:val="0"/>
        <w:adjustRightInd w:val="0"/>
        <w:spacing w:after="100" w:afterAutospacing="1"/>
        <w:ind w:firstLine="720"/>
        <w:rPr>
          <w:rFonts w:eastAsia="Times New Roman" w:cs="Arial"/>
          <w:szCs w:val="24"/>
        </w:rPr>
      </w:pPr>
      <w:r>
        <w:rPr>
          <w:rFonts w:eastAsia="Times New Roman" w:cs="Arial"/>
          <w:szCs w:val="24"/>
        </w:rPr>
        <w:t>Allowing the presentation of irrelevant evidence will only further delay this proceeding; a proceeding that</w:t>
      </w:r>
      <w:r>
        <w:rPr>
          <w:rFonts w:eastAsia="Times New Roman" w:cs="Arial"/>
          <w:szCs w:val="24"/>
        </w:rPr>
        <w:t xml:space="preserve"> has been ongoing for well over a year.  As discussed below, the presentation of evidence on these matters is unnecessary as they are irrelevant and will only delay the hearing.</w:t>
      </w:r>
    </w:p>
    <w:p w:rsidR="00E00239" w:rsidRDefault="00C75211">
      <w:pPr>
        <w:autoSpaceDE w:val="0"/>
        <w:autoSpaceDN w:val="0"/>
        <w:adjustRightInd w:val="0"/>
        <w:spacing w:after="0" w:line="240" w:lineRule="auto"/>
        <w:ind w:left="720" w:hanging="810"/>
        <w:rPr>
          <w:rFonts w:eastAsia="Times New Roman" w:cs="Arial"/>
          <w:b/>
          <w:caps/>
          <w:szCs w:val="24"/>
        </w:rPr>
      </w:pPr>
      <w:r>
        <w:rPr>
          <w:rFonts w:eastAsia="Times New Roman" w:cs="Arial"/>
          <w:b/>
          <w:caps/>
          <w:szCs w:val="24"/>
        </w:rPr>
        <w:lastRenderedPageBreak/>
        <w:t>B.</w:t>
      </w:r>
      <w:r>
        <w:rPr>
          <w:rFonts w:eastAsia="Times New Roman" w:cs="Arial"/>
          <w:b/>
          <w:caps/>
          <w:szCs w:val="24"/>
        </w:rPr>
        <w:tab/>
        <w:t>The Basis For Striking Portions of the Application and Testimony</w:t>
      </w:r>
    </w:p>
    <w:p w:rsidR="00E00239" w:rsidRDefault="00E00239">
      <w:pPr>
        <w:pStyle w:val="ListParagraph"/>
        <w:autoSpaceDE w:val="0"/>
        <w:autoSpaceDN w:val="0"/>
        <w:adjustRightInd w:val="0"/>
        <w:spacing w:after="0" w:line="240" w:lineRule="auto"/>
        <w:ind w:left="360"/>
        <w:rPr>
          <w:rFonts w:eastAsia="Times New Roman" w:cs="Arial"/>
          <w:b/>
          <w:caps/>
          <w:szCs w:val="24"/>
        </w:rPr>
      </w:pPr>
    </w:p>
    <w:p w:rsidR="00E00239" w:rsidRDefault="00C75211">
      <w:pPr>
        <w:pStyle w:val="ListParagraph"/>
        <w:numPr>
          <w:ilvl w:val="0"/>
          <w:numId w:val="3"/>
        </w:numPr>
        <w:autoSpaceDE w:val="0"/>
        <w:autoSpaceDN w:val="0"/>
        <w:adjustRightInd w:val="0"/>
        <w:spacing w:after="0" w:line="240" w:lineRule="auto"/>
        <w:rPr>
          <w:rFonts w:eastAsia="Times New Roman" w:cs="Arial"/>
          <w:b/>
          <w:szCs w:val="24"/>
        </w:rPr>
      </w:pPr>
      <w:r>
        <w:rPr>
          <w:rFonts w:eastAsia="Times New Roman" w:cs="Arial"/>
          <w:b/>
          <w:szCs w:val="24"/>
        </w:rPr>
        <w:t>OP’s Unla</w:t>
      </w:r>
      <w:r>
        <w:rPr>
          <w:rFonts w:eastAsia="Times New Roman" w:cs="Arial"/>
          <w:b/>
          <w:szCs w:val="24"/>
        </w:rPr>
        <w:t>wful Capacity Proposals</w:t>
      </w:r>
    </w:p>
    <w:p w:rsidR="00E00239" w:rsidRDefault="00E00239">
      <w:pPr>
        <w:pStyle w:val="ListParagraph"/>
        <w:autoSpaceDE w:val="0"/>
        <w:autoSpaceDN w:val="0"/>
        <w:adjustRightInd w:val="0"/>
        <w:spacing w:after="0" w:line="240" w:lineRule="auto"/>
        <w:ind w:left="1080"/>
        <w:rPr>
          <w:rFonts w:eastAsia="Times New Roman" w:cs="Arial"/>
          <w:b/>
          <w:szCs w:val="24"/>
        </w:rPr>
      </w:pPr>
    </w:p>
    <w:p w:rsidR="00E00239" w:rsidRDefault="00C75211">
      <w:pPr>
        <w:autoSpaceDE w:val="0"/>
        <w:autoSpaceDN w:val="0"/>
        <w:adjustRightInd w:val="0"/>
        <w:spacing w:after="0"/>
        <w:ind w:firstLine="720"/>
        <w:rPr>
          <w:rFonts w:eastAsia="Times New Roman" w:cs="Arial"/>
          <w:szCs w:val="24"/>
        </w:rPr>
      </w:pPr>
      <w:r>
        <w:rPr>
          <w:rFonts w:eastAsia="Times New Roman" w:cs="Arial"/>
          <w:szCs w:val="24"/>
        </w:rPr>
        <w:t xml:space="preserve">The portions of the Application and Testimony that reference “discounted capacity” as a benefit in the ESP v. MRO test should be stricken.  Likewise, all references to the $355 per megawatt-day (“MW”) capacity price should be </w:t>
      </w:r>
      <w:r>
        <w:rPr>
          <w:rFonts w:eastAsia="Times New Roman" w:cs="Arial"/>
          <w:szCs w:val="24"/>
        </w:rPr>
        <w:t>stricken on the MRO side of the test.  The Commission has already ruled that OP’s discounted capacity benefit claim and use of the $355 MW/day price in the ESP v. MRO price test were meritless.</w:t>
      </w:r>
      <w:r>
        <w:rPr>
          <w:rStyle w:val="FootnoteReference"/>
          <w:rFonts w:eastAsia="Times New Roman" w:cs="Arial"/>
          <w:sz w:val="24"/>
          <w:szCs w:val="24"/>
        </w:rPr>
        <w:footnoteReference w:id="3"/>
      </w:r>
      <w:r>
        <w:rPr>
          <w:rFonts w:eastAsia="Times New Roman" w:cs="Arial"/>
          <w:szCs w:val="24"/>
        </w:rPr>
        <w:t xml:space="preserve">  Continued and extensive testimony and cross-examination on t</w:t>
      </w:r>
      <w:r>
        <w:rPr>
          <w:rFonts w:eastAsia="Times New Roman" w:cs="Arial"/>
          <w:szCs w:val="24"/>
        </w:rPr>
        <w:t>his subject will only confuse the record, delay the hearing and will not make the Commission’s application of the ESP v. MRO test any different.</w:t>
      </w:r>
      <w:r>
        <w:rPr>
          <w:rStyle w:val="FootnoteReference"/>
          <w:rFonts w:eastAsia="Times New Roman" w:cs="Arial"/>
          <w:szCs w:val="24"/>
        </w:rPr>
        <w:footnoteReference w:id="4"/>
      </w:r>
      <w:r>
        <w:rPr>
          <w:rFonts w:eastAsia="Times New Roman" w:cs="Arial"/>
          <w:szCs w:val="24"/>
        </w:rPr>
        <w:t xml:space="preserve">  Moreover, unless the Commission strikes these references, OP will inevitably reargue this position on brief </w:t>
      </w:r>
      <w:r>
        <w:rPr>
          <w:rFonts w:eastAsia="Times New Roman" w:cs="Arial"/>
          <w:i/>
          <w:szCs w:val="24"/>
        </w:rPr>
        <w:t>a</w:t>
      </w:r>
      <w:r>
        <w:rPr>
          <w:rFonts w:eastAsia="Times New Roman" w:cs="Arial"/>
          <w:i/>
          <w:szCs w:val="24"/>
        </w:rPr>
        <w:t>d nauseum</w:t>
      </w:r>
      <w:r>
        <w:rPr>
          <w:rFonts w:eastAsia="Times New Roman" w:cs="Arial"/>
          <w:szCs w:val="24"/>
        </w:rPr>
        <w:t>, and each party will be forced to respond rather than focusing on the real issues in this proceeding.  Therefore, the references to discounted capacity, as identified in Attachment 1, should be stricken.  Further, the Commission is without author</w:t>
      </w:r>
      <w:r>
        <w:rPr>
          <w:rFonts w:eastAsia="Times New Roman" w:cs="Arial"/>
          <w:szCs w:val="24"/>
        </w:rPr>
        <w:t>ity to approve OP’s requested formula rate in an ESP proceeding and, therefore, the entire topic is irrelevant to this proceeding.</w:t>
      </w:r>
    </w:p>
    <w:p w:rsidR="00E00239" w:rsidRDefault="00C75211">
      <w:pPr>
        <w:autoSpaceDE w:val="0"/>
        <w:autoSpaceDN w:val="0"/>
        <w:adjustRightInd w:val="0"/>
        <w:spacing w:after="0"/>
        <w:ind w:firstLine="720"/>
        <w:rPr>
          <w:rFonts w:eastAsia="Times New Roman" w:cs="Arial"/>
          <w:szCs w:val="24"/>
        </w:rPr>
      </w:pPr>
      <w:r>
        <w:rPr>
          <w:rFonts w:eastAsia="Times New Roman" w:cs="Arial"/>
          <w:szCs w:val="24"/>
        </w:rPr>
        <w:t>An ESP may only include items that fall into the enumerated categories in the ESP statute.</w:t>
      </w:r>
      <w:r>
        <w:rPr>
          <w:rStyle w:val="FootnoteReference"/>
          <w:rFonts w:eastAsia="Times New Roman" w:cs="Arial"/>
          <w:sz w:val="24"/>
          <w:szCs w:val="24"/>
        </w:rPr>
        <w:footnoteReference w:id="5"/>
      </w:r>
      <w:r>
        <w:rPr>
          <w:rFonts w:eastAsia="Times New Roman" w:cs="Arial"/>
          <w:szCs w:val="24"/>
        </w:rPr>
        <w:t xml:space="preserve">  None of the enumerated sections </w:t>
      </w:r>
      <w:r>
        <w:rPr>
          <w:rFonts w:eastAsia="Times New Roman" w:cs="Arial"/>
          <w:szCs w:val="24"/>
        </w:rPr>
        <w:t xml:space="preserve">authorize the Commission to establish a formula-rate/cost-based capacity charge to assess to CRES providers of shopping </w:t>
      </w:r>
      <w:r>
        <w:rPr>
          <w:rFonts w:eastAsia="Times New Roman" w:cs="Arial"/>
          <w:szCs w:val="24"/>
        </w:rPr>
        <w:lastRenderedPageBreak/>
        <w:t>customers in OP’s territory.</w:t>
      </w:r>
      <w:r>
        <w:rPr>
          <w:rStyle w:val="FootnoteReference"/>
          <w:rFonts w:eastAsia="Times New Roman" w:cs="Arial"/>
          <w:sz w:val="24"/>
          <w:szCs w:val="24"/>
        </w:rPr>
        <w:footnoteReference w:id="6"/>
      </w:r>
      <w:r>
        <w:rPr>
          <w:rFonts w:eastAsia="Times New Roman" w:cs="Arial"/>
          <w:szCs w:val="24"/>
        </w:rPr>
        <w:t xml:space="preserve">  Because the ESP Statute</w:t>
      </w:r>
      <w:r>
        <w:rPr>
          <w:rStyle w:val="FootnoteReference"/>
          <w:rFonts w:eastAsia="Times New Roman" w:cs="Arial"/>
          <w:sz w:val="24"/>
          <w:szCs w:val="24"/>
        </w:rPr>
        <w:footnoteReference w:id="7"/>
      </w:r>
      <w:r>
        <w:rPr>
          <w:rFonts w:eastAsia="Times New Roman" w:cs="Arial"/>
          <w:szCs w:val="24"/>
        </w:rPr>
        <w:t xml:space="preserve"> does not authorize the Commission to approve OP’s capacity formula rate or two-t</w:t>
      </w:r>
      <w:r>
        <w:rPr>
          <w:rFonts w:eastAsia="Times New Roman" w:cs="Arial"/>
          <w:szCs w:val="24"/>
        </w:rPr>
        <w:t>iered capacity rate, the proposal to establish such a rate, discussions about the rate, and background information on PJM’s capacity market and OP’s position as part of the AEP East operating companies’ FRR Entity are irrelevant.  Discussions about the for</w:t>
      </w:r>
      <w:r>
        <w:rPr>
          <w:rFonts w:eastAsia="Times New Roman" w:cs="Arial"/>
          <w:szCs w:val="24"/>
        </w:rPr>
        <w:t>mula rate, two-tiered capacity and PJM’s capacity market, etc., do not make it any “more probable or less probable” that the Commission will approve the requested formula rate, as there is no basis in the ESP Statute to approve such a charge.  Furthermore,</w:t>
      </w:r>
      <w:r>
        <w:rPr>
          <w:rFonts w:eastAsia="Times New Roman" w:cs="Arial"/>
          <w:szCs w:val="24"/>
        </w:rPr>
        <w:t xml:space="preserve"> all the extraneous information on the PJM capacity market will cause undue delay and will not add anything meaningful to the actual scope of this proceeding; the consideration of an ESP.</w:t>
      </w:r>
    </w:p>
    <w:p w:rsidR="00E00239" w:rsidRDefault="00C75211">
      <w:pPr>
        <w:autoSpaceDE w:val="0"/>
        <w:autoSpaceDN w:val="0"/>
        <w:adjustRightInd w:val="0"/>
        <w:spacing w:after="0"/>
        <w:ind w:firstLine="720"/>
        <w:rPr>
          <w:rFonts w:eastAsia="Times New Roman" w:cs="Arial"/>
          <w:szCs w:val="24"/>
        </w:rPr>
      </w:pPr>
      <w:r>
        <w:rPr>
          <w:rFonts w:eastAsia="Times New Roman" w:cs="Arial"/>
          <w:szCs w:val="24"/>
        </w:rPr>
        <w:t>Additionally, the Commission is no longer authorized to approve tran</w:t>
      </w:r>
      <w:r>
        <w:rPr>
          <w:rFonts w:eastAsia="Times New Roman" w:cs="Arial"/>
          <w:szCs w:val="24"/>
        </w:rPr>
        <w:t>sition revenues for an electric distribution utility’s (“EDU”) generation assets that are above market.</w:t>
      </w:r>
      <w:r>
        <w:rPr>
          <w:rStyle w:val="FootnoteReference"/>
          <w:rFonts w:eastAsia="Times New Roman" w:cs="Arial"/>
          <w:sz w:val="24"/>
          <w:szCs w:val="24"/>
        </w:rPr>
        <w:footnoteReference w:id="8"/>
      </w:r>
      <w:r>
        <w:rPr>
          <w:rFonts w:eastAsia="Times New Roman" w:cs="Arial"/>
          <w:szCs w:val="24"/>
        </w:rPr>
        <w:t xml:space="preserve">  OP claims that its book-cost of its generation fleet exceeds the revenues OP can obtain in the short-term from the market.</w:t>
      </w:r>
      <w:r>
        <w:rPr>
          <w:rStyle w:val="FootnoteReference"/>
          <w:rFonts w:eastAsia="Times New Roman" w:cs="Arial"/>
          <w:sz w:val="24"/>
          <w:szCs w:val="24"/>
        </w:rPr>
        <w:footnoteReference w:id="9"/>
      </w:r>
      <w:r>
        <w:rPr>
          <w:rFonts w:eastAsia="Times New Roman" w:cs="Arial"/>
          <w:szCs w:val="24"/>
        </w:rPr>
        <w:t xml:space="preserve">  In this proceeding OP has</w:t>
      </w:r>
      <w:r>
        <w:rPr>
          <w:rFonts w:eastAsia="Times New Roman" w:cs="Arial"/>
          <w:szCs w:val="24"/>
        </w:rPr>
        <w:t xml:space="preserve"> requested an above-market two-tiered capacity plan,</w:t>
      </w:r>
      <w:r>
        <w:rPr>
          <w:rStyle w:val="FootnoteReference"/>
          <w:rFonts w:eastAsia="Times New Roman" w:cs="Arial"/>
          <w:sz w:val="24"/>
          <w:szCs w:val="24"/>
        </w:rPr>
        <w:footnoteReference w:id="10"/>
      </w:r>
      <w:r>
        <w:rPr>
          <w:rFonts w:eastAsia="Times New Roman" w:cs="Arial"/>
          <w:szCs w:val="24"/>
        </w:rPr>
        <w:t xml:space="preserve"> or alternatively, approval of its above market </w:t>
      </w:r>
      <w:r>
        <w:rPr>
          <w:rFonts w:eastAsia="Times New Roman" w:cs="Arial"/>
          <w:szCs w:val="24"/>
        </w:rPr>
        <w:lastRenderedPageBreak/>
        <w:t>formula-rate.  OP’s proposal is an improper request for transition revenues.  OP does not attempt to hide the fact that it is requesting above-market reven</w:t>
      </w:r>
      <w:r>
        <w:rPr>
          <w:rFonts w:eastAsia="Times New Roman" w:cs="Arial"/>
          <w:szCs w:val="24"/>
        </w:rPr>
        <w:t>ues such that it can “transition”</w:t>
      </w:r>
      <w:r>
        <w:rPr>
          <w:rStyle w:val="FootnoteReference"/>
          <w:rFonts w:eastAsia="Times New Roman" w:cs="Arial"/>
          <w:sz w:val="24"/>
          <w:szCs w:val="24"/>
        </w:rPr>
        <w:footnoteReference w:id="11"/>
      </w:r>
      <w:r>
        <w:rPr>
          <w:rFonts w:eastAsia="Times New Roman" w:cs="Arial"/>
          <w:szCs w:val="24"/>
        </w:rPr>
        <w:t xml:space="preserve"> to market-based rates.  However, under Ohio law the transition period to market -based generation rates for EDU’s has expired as has OP’s right to request transition revenues.</w:t>
      </w:r>
      <w:r>
        <w:rPr>
          <w:rStyle w:val="FootnoteReference"/>
          <w:rFonts w:eastAsia="Times New Roman" w:cs="Arial"/>
          <w:sz w:val="24"/>
          <w:szCs w:val="24"/>
        </w:rPr>
        <w:footnoteReference w:id="12"/>
      </w:r>
    </w:p>
    <w:p w:rsidR="00E00239" w:rsidRDefault="00C75211">
      <w:pPr>
        <w:autoSpaceDE w:val="0"/>
        <w:autoSpaceDN w:val="0"/>
        <w:adjustRightInd w:val="0"/>
        <w:spacing w:after="0"/>
        <w:ind w:firstLine="720"/>
        <w:rPr>
          <w:rFonts w:eastAsia="Times New Roman" w:cs="Arial"/>
          <w:szCs w:val="24"/>
        </w:rPr>
      </w:pPr>
      <w:r>
        <w:rPr>
          <w:rFonts w:eastAsia="Times New Roman" w:cs="Arial"/>
          <w:szCs w:val="24"/>
        </w:rPr>
        <w:t>As identified in the direct testimony of IEU</w:t>
      </w:r>
      <w:r>
        <w:rPr>
          <w:rFonts w:eastAsia="Times New Roman" w:cs="Arial"/>
          <w:szCs w:val="24"/>
        </w:rPr>
        <w:t>-Ohio witnesses Kevin M. Murray and J. Edward Hess, filed in this proceeding on May 4, 2012, OP’s request to recover above-market generation costs is nothing more than another request for transition revenues.</w:t>
      </w:r>
      <w:r>
        <w:rPr>
          <w:rStyle w:val="FootnoteReference"/>
          <w:rFonts w:eastAsia="Times New Roman" w:cs="Arial"/>
          <w:sz w:val="24"/>
          <w:szCs w:val="24"/>
        </w:rPr>
        <w:footnoteReference w:id="13"/>
      </w:r>
      <w:r>
        <w:rPr>
          <w:rFonts w:eastAsia="Times New Roman" w:cs="Arial"/>
          <w:szCs w:val="24"/>
        </w:rPr>
        <w:t xml:space="preserve">  Because Ohio law no longer authorizes the Com</w:t>
      </w:r>
      <w:r>
        <w:rPr>
          <w:rFonts w:eastAsia="Times New Roman" w:cs="Arial"/>
          <w:szCs w:val="24"/>
        </w:rPr>
        <w:t>mission to grant recovery of stranded-costs and because Ohio law no longer allows and EDU to collect stranded costs, OP’s two-tiered capacity and its formula-rate producing $355/MW-day transition charge are unlawful and irrelevant to consideration of an ES</w:t>
      </w:r>
      <w:r>
        <w:rPr>
          <w:rFonts w:eastAsia="Times New Roman" w:cs="Arial"/>
          <w:szCs w:val="24"/>
        </w:rPr>
        <w:t>P.  Furthermore, in the electric transition plans (“ETP”) of OP and Columbus Southern Power Company (“CSP”), both CSP and OP agreed to forgo recovery of stranded costs.</w:t>
      </w:r>
      <w:r>
        <w:rPr>
          <w:rStyle w:val="FootnoteReference"/>
          <w:rFonts w:eastAsia="Times New Roman" w:cs="Arial"/>
          <w:sz w:val="24"/>
          <w:szCs w:val="24"/>
        </w:rPr>
        <w:footnoteReference w:id="14"/>
      </w:r>
      <w:r>
        <w:rPr>
          <w:rFonts w:eastAsia="Times New Roman" w:cs="Arial"/>
          <w:szCs w:val="24"/>
        </w:rPr>
        <w:t xml:space="preserve">  Thus, the Commission is prohibited by law from authorizing, and OP is prohibited from</w:t>
      </w:r>
      <w:r>
        <w:rPr>
          <w:rFonts w:eastAsia="Times New Roman" w:cs="Arial"/>
          <w:szCs w:val="24"/>
        </w:rPr>
        <w:t xml:space="preserve"> requesting (per the ETP stipulation), the two-tiered capacity charge and the alternative formula-rate $355/MW-day charge.  Both of these proposals amount to transition charges and are </w:t>
      </w:r>
      <w:r>
        <w:rPr>
          <w:rFonts w:eastAsia="Times New Roman" w:cs="Arial"/>
          <w:szCs w:val="24"/>
        </w:rPr>
        <w:lastRenderedPageBreak/>
        <w:t>simply another attempt by OP to take a bite of the stranded-cost/transi</w:t>
      </w:r>
      <w:r>
        <w:rPr>
          <w:rFonts w:eastAsia="Times New Roman" w:cs="Arial"/>
          <w:szCs w:val="24"/>
        </w:rPr>
        <w:t>tion-revenue apple.</w:t>
      </w:r>
      <w:r>
        <w:rPr>
          <w:rStyle w:val="FootnoteReference"/>
          <w:rFonts w:eastAsia="Times New Roman" w:cs="Arial"/>
          <w:szCs w:val="24"/>
        </w:rPr>
        <w:footnoteReference w:id="15"/>
      </w:r>
    </w:p>
    <w:p w:rsidR="00E00239" w:rsidRDefault="00C75211">
      <w:pPr>
        <w:autoSpaceDE w:val="0"/>
        <w:autoSpaceDN w:val="0"/>
        <w:adjustRightInd w:val="0"/>
        <w:spacing w:after="120"/>
        <w:ind w:firstLine="720"/>
        <w:rPr>
          <w:rFonts w:eastAsia="Times New Roman" w:cs="Arial"/>
          <w:szCs w:val="24"/>
        </w:rPr>
      </w:pPr>
      <w:r>
        <w:rPr>
          <w:rFonts w:eastAsia="Times New Roman" w:cs="Arial"/>
          <w:szCs w:val="24"/>
        </w:rPr>
        <w:t xml:space="preserve">For these reasons, IEU-Ohio moves to strike the portions of the Application and Testimony identified in Attachment 1 that relate to or reference: discounted capacity as a benefit; a formula-rate/cost-based capacity charge to levy upon </w:t>
      </w:r>
      <w:r>
        <w:rPr>
          <w:rFonts w:eastAsia="Times New Roman" w:cs="Arial"/>
          <w:szCs w:val="24"/>
        </w:rPr>
        <w:t>CRES providers of shopping customers; and background information on PJM’s capacity market and the AEP East operating companies’ FRR obligation.</w:t>
      </w:r>
    </w:p>
    <w:p w:rsidR="00E00239" w:rsidRDefault="00C75211">
      <w:pPr>
        <w:pStyle w:val="ListParagraph"/>
        <w:numPr>
          <w:ilvl w:val="0"/>
          <w:numId w:val="3"/>
        </w:numPr>
        <w:autoSpaceDE w:val="0"/>
        <w:autoSpaceDN w:val="0"/>
        <w:adjustRightInd w:val="0"/>
        <w:spacing w:after="0" w:line="240" w:lineRule="auto"/>
        <w:rPr>
          <w:rFonts w:eastAsia="Times New Roman" w:cs="Arial"/>
          <w:b/>
          <w:szCs w:val="24"/>
        </w:rPr>
      </w:pPr>
      <w:r>
        <w:rPr>
          <w:rFonts w:eastAsia="Times New Roman" w:cs="Arial"/>
          <w:b/>
          <w:szCs w:val="24"/>
        </w:rPr>
        <w:t>Corporate Separation</w:t>
      </w:r>
    </w:p>
    <w:p w:rsidR="00E00239" w:rsidRDefault="00E00239">
      <w:pPr>
        <w:pStyle w:val="ListParagraph"/>
        <w:autoSpaceDE w:val="0"/>
        <w:autoSpaceDN w:val="0"/>
        <w:adjustRightInd w:val="0"/>
        <w:spacing w:after="0" w:line="240" w:lineRule="auto"/>
        <w:ind w:left="1080"/>
        <w:rPr>
          <w:rFonts w:eastAsia="Times New Roman" w:cs="Arial"/>
          <w:szCs w:val="24"/>
        </w:rPr>
      </w:pPr>
    </w:p>
    <w:p w:rsidR="00E00239" w:rsidRDefault="00C75211">
      <w:pPr>
        <w:autoSpaceDE w:val="0"/>
        <w:autoSpaceDN w:val="0"/>
        <w:adjustRightInd w:val="0"/>
        <w:spacing w:after="0"/>
        <w:ind w:firstLine="720"/>
        <w:rPr>
          <w:rFonts w:eastAsia="Times New Roman" w:cs="Arial"/>
          <w:szCs w:val="24"/>
        </w:rPr>
      </w:pPr>
      <w:r>
        <w:rPr>
          <w:rFonts w:eastAsia="Times New Roman" w:cs="Arial"/>
          <w:szCs w:val="24"/>
        </w:rPr>
        <w:t xml:space="preserve">The references in the Application and the Testimony to OP’s corporate separation plan </w:t>
      </w:r>
      <w:r>
        <w:rPr>
          <w:rFonts w:eastAsia="Times New Roman" w:cs="Arial"/>
          <w:szCs w:val="24"/>
        </w:rPr>
        <w:t>should be stricken because the plan has not been filed in this proceeding and is, therefore, irrelevant to the consideration of OP’s ESP.  OP’s corporate separation plan, and its request to transfer generation assets, has been filed in Case No 12-1126-EL-U</w:t>
      </w:r>
      <w:r>
        <w:rPr>
          <w:rFonts w:eastAsia="Times New Roman" w:cs="Arial"/>
          <w:szCs w:val="24"/>
        </w:rPr>
        <w:t>NC.  OP has not filed the plan and transfer request in this proceeding and has not requested that the case be consolidated with this proceeding.  Thus, there is no basis to consider these details and any consideration of the plan and transfer request in th</w:t>
      </w:r>
      <w:r>
        <w:rPr>
          <w:rFonts w:eastAsia="Times New Roman" w:cs="Arial"/>
          <w:szCs w:val="24"/>
        </w:rPr>
        <w:t>is proceeding will not have any impact on OP’s ESP.  This makes corporate separation and OP’s transfer request irrelevant in this proceeding and testimony and cross-examination on this subject will only cause undue delay in this proceeding.  Therefore, IEU</w:t>
      </w:r>
      <w:r>
        <w:rPr>
          <w:rFonts w:eastAsia="Times New Roman" w:cs="Arial"/>
          <w:szCs w:val="24"/>
        </w:rPr>
        <w:t>-Ohio moves to strike the applicable portions of the Application and Testimony identified in Attachment 1.</w:t>
      </w:r>
    </w:p>
    <w:p w:rsidR="00E00239" w:rsidRDefault="00E00239">
      <w:pPr>
        <w:autoSpaceDE w:val="0"/>
        <w:autoSpaceDN w:val="0"/>
        <w:adjustRightInd w:val="0"/>
        <w:spacing w:after="0"/>
        <w:ind w:firstLine="720"/>
        <w:rPr>
          <w:rFonts w:eastAsia="Times New Roman" w:cs="Arial"/>
          <w:szCs w:val="24"/>
        </w:rPr>
      </w:pPr>
    </w:p>
    <w:p w:rsidR="00E00239" w:rsidRDefault="00E00239">
      <w:pPr>
        <w:autoSpaceDE w:val="0"/>
        <w:autoSpaceDN w:val="0"/>
        <w:adjustRightInd w:val="0"/>
        <w:spacing w:after="0"/>
        <w:ind w:firstLine="720"/>
        <w:rPr>
          <w:rFonts w:eastAsia="Times New Roman" w:cs="Arial"/>
          <w:szCs w:val="24"/>
        </w:rPr>
      </w:pPr>
    </w:p>
    <w:p w:rsidR="00E00239" w:rsidRDefault="00C75211">
      <w:pPr>
        <w:pStyle w:val="ListParagraph"/>
        <w:numPr>
          <w:ilvl w:val="0"/>
          <w:numId w:val="3"/>
        </w:numPr>
        <w:autoSpaceDE w:val="0"/>
        <w:autoSpaceDN w:val="0"/>
        <w:adjustRightInd w:val="0"/>
        <w:spacing w:after="0" w:line="240" w:lineRule="auto"/>
        <w:rPr>
          <w:rFonts w:eastAsia="Times New Roman" w:cs="Arial"/>
          <w:b/>
          <w:szCs w:val="24"/>
        </w:rPr>
      </w:pPr>
      <w:r>
        <w:rPr>
          <w:rFonts w:eastAsia="Times New Roman" w:cs="Arial"/>
          <w:b/>
          <w:szCs w:val="24"/>
        </w:rPr>
        <w:lastRenderedPageBreak/>
        <w:t>Pool Termination</w:t>
      </w:r>
    </w:p>
    <w:p w:rsidR="00E00239" w:rsidRDefault="00E00239">
      <w:pPr>
        <w:pStyle w:val="ListParagraph"/>
        <w:autoSpaceDE w:val="0"/>
        <w:autoSpaceDN w:val="0"/>
        <w:adjustRightInd w:val="0"/>
        <w:spacing w:after="0" w:line="240" w:lineRule="auto"/>
        <w:ind w:left="1080"/>
        <w:rPr>
          <w:rFonts w:eastAsia="Times New Roman" w:cs="Arial"/>
          <w:b/>
          <w:szCs w:val="24"/>
        </w:rPr>
      </w:pPr>
    </w:p>
    <w:p w:rsidR="00E00239" w:rsidRDefault="00C75211">
      <w:pPr>
        <w:autoSpaceDE w:val="0"/>
        <w:autoSpaceDN w:val="0"/>
        <w:adjustRightInd w:val="0"/>
        <w:spacing w:after="0"/>
        <w:ind w:firstLine="720"/>
        <w:rPr>
          <w:rFonts w:eastAsia="Times New Roman" w:cs="Arial"/>
          <w:szCs w:val="24"/>
        </w:rPr>
      </w:pPr>
      <w:r>
        <w:rPr>
          <w:rFonts w:eastAsia="Times New Roman" w:cs="Arial"/>
          <w:szCs w:val="24"/>
        </w:rPr>
        <w:t xml:space="preserve">In the Application, OP requested the Commission approve a pool termination rider </w:t>
      </w:r>
      <w:r>
        <w:rPr>
          <w:rFonts w:eastAsia="Times New Roman" w:cs="Arial"/>
          <w:b/>
          <w:i/>
          <w:szCs w:val="24"/>
          <w:u w:val="single"/>
        </w:rPr>
        <w:t>if</w:t>
      </w:r>
      <w:r>
        <w:rPr>
          <w:rFonts w:eastAsia="Times New Roman" w:cs="Arial"/>
          <w:szCs w:val="24"/>
        </w:rPr>
        <w:t xml:space="preserve"> the Commission modifies OP’s corporate separa</w:t>
      </w:r>
      <w:r>
        <w:rPr>
          <w:rFonts w:eastAsia="Times New Roman" w:cs="Arial"/>
          <w:szCs w:val="24"/>
        </w:rPr>
        <w:t>tion application and transfer request in any form.  As mentioned above, the corporate separation plan and transfer request are not at issue in this proceeding and, therefore, one of the premises upon which OP will request the rider will not be determined t</w:t>
      </w:r>
      <w:r>
        <w:rPr>
          <w:rFonts w:eastAsia="Times New Roman" w:cs="Arial"/>
          <w:szCs w:val="24"/>
        </w:rPr>
        <w:t>hrough this proceeding.    Thus, any discussion about the pool termination rider at this point in time is superfluous and not ripe.  If the Commission subsequently modifies the corporate separation plan and transfer request OP is not without remedy, OP may</w:t>
      </w:r>
      <w:r>
        <w:rPr>
          <w:rFonts w:eastAsia="Times New Roman" w:cs="Arial"/>
          <w:szCs w:val="24"/>
        </w:rPr>
        <w:t xml:space="preserve"> withdraw its ESP and may file a new application that proposes a pool termination rider.  </w:t>
      </w:r>
    </w:p>
    <w:p w:rsidR="00E00239" w:rsidRDefault="00C75211">
      <w:pPr>
        <w:autoSpaceDE w:val="0"/>
        <w:autoSpaceDN w:val="0"/>
        <w:adjustRightInd w:val="0"/>
        <w:spacing w:after="0"/>
        <w:ind w:firstLine="720"/>
        <w:rPr>
          <w:rFonts w:eastAsia="Times New Roman" w:cs="Arial"/>
          <w:b/>
          <w:szCs w:val="24"/>
        </w:rPr>
      </w:pPr>
      <w:r>
        <w:rPr>
          <w:rFonts w:eastAsia="Times New Roman" w:cs="Arial"/>
          <w:szCs w:val="24"/>
        </w:rPr>
        <w:t>Furthermore, there is no basis for approval of a pool termination rider in the ESP Statute.</w:t>
      </w:r>
      <w:r>
        <w:rPr>
          <w:rStyle w:val="FootnoteReference"/>
          <w:rFonts w:eastAsia="Times New Roman" w:cs="Arial"/>
          <w:sz w:val="24"/>
          <w:szCs w:val="24"/>
        </w:rPr>
        <w:footnoteReference w:id="16"/>
      </w:r>
      <w:r>
        <w:rPr>
          <w:rFonts w:eastAsia="Times New Roman" w:cs="Arial"/>
          <w:szCs w:val="24"/>
        </w:rPr>
        <w:t xml:space="preserve">  As with OP’s requested formula rate capacity charge, if the Commission </w:t>
      </w:r>
      <w:r>
        <w:rPr>
          <w:rFonts w:eastAsia="Times New Roman" w:cs="Arial"/>
          <w:szCs w:val="24"/>
        </w:rPr>
        <w:t>lacks authority to authorize the rider under the ESP Statute,</w:t>
      </w:r>
      <w:r>
        <w:rPr>
          <w:rStyle w:val="FootnoteReference"/>
          <w:rFonts w:eastAsia="Times New Roman" w:cs="Arial"/>
          <w:sz w:val="24"/>
          <w:szCs w:val="24"/>
        </w:rPr>
        <w:footnoteReference w:id="17"/>
      </w:r>
      <w:r>
        <w:rPr>
          <w:rFonts w:eastAsia="Times New Roman" w:cs="Arial"/>
          <w:szCs w:val="24"/>
        </w:rPr>
        <w:t xml:space="preserve"> testimony on the subject is irrelevant in the proceeding.  Moreover, the Pool Termination Rider is just another request for transition revenues for assets that cannot recover their costs in the</w:t>
      </w:r>
      <w:r>
        <w:rPr>
          <w:rFonts w:eastAsia="Times New Roman" w:cs="Arial"/>
          <w:szCs w:val="24"/>
        </w:rPr>
        <w:t xml:space="preserve"> short-term market.</w:t>
      </w:r>
      <w:r>
        <w:rPr>
          <w:rStyle w:val="FootnoteReference"/>
          <w:rFonts w:eastAsia="Times New Roman" w:cs="Arial"/>
          <w:szCs w:val="24"/>
        </w:rPr>
        <w:footnoteReference w:id="18"/>
      </w:r>
      <w:r>
        <w:rPr>
          <w:rFonts w:eastAsia="Times New Roman" w:cs="Arial"/>
          <w:szCs w:val="24"/>
        </w:rPr>
        <w:t xml:space="preserve">  For these reasons, IEU-Ohio moves to strike the portions of the Application and Testimony, as identified in Attachment 1, that reference: a Pool Termination Rider, the AEP Interconnection Agreement (the “Pool Agreement”), and other ba</w:t>
      </w:r>
      <w:r>
        <w:rPr>
          <w:rFonts w:eastAsia="Times New Roman" w:cs="Arial"/>
          <w:szCs w:val="24"/>
        </w:rPr>
        <w:t>ckground information on the Pool Agreement including revenues OP receives under the agreement.  These issues are irrelevant to this ESP proceeding and consideration of these issues will cause undue delay.</w:t>
      </w:r>
      <w:r>
        <w:rPr>
          <w:rFonts w:eastAsia="Times New Roman" w:cs="Arial"/>
          <w:b/>
          <w:szCs w:val="24"/>
        </w:rPr>
        <w:t xml:space="preserve"> </w:t>
      </w:r>
    </w:p>
    <w:p w:rsidR="00E00239" w:rsidRDefault="00C75211">
      <w:pPr>
        <w:pStyle w:val="ListParagraph"/>
        <w:numPr>
          <w:ilvl w:val="0"/>
          <w:numId w:val="3"/>
        </w:numPr>
        <w:autoSpaceDE w:val="0"/>
        <w:autoSpaceDN w:val="0"/>
        <w:adjustRightInd w:val="0"/>
        <w:spacing w:after="0" w:line="240" w:lineRule="auto"/>
        <w:rPr>
          <w:rFonts w:eastAsia="Times New Roman" w:cs="Arial"/>
          <w:b/>
          <w:szCs w:val="24"/>
        </w:rPr>
      </w:pPr>
      <w:r>
        <w:rPr>
          <w:rFonts w:eastAsia="Times New Roman" w:cs="Arial"/>
          <w:b/>
          <w:szCs w:val="24"/>
        </w:rPr>
        <w:lastRenderedPageBreak/>
        <w:t>References in OP Witness Thomas’ Testimony to an A</w:t>
      </w:r>
      <w:r>
        <w:rPr>
          <w:rFonts w:eastAsia="Times New Roman" w:cs="Arial"/>
          <w:b/>
          <w:szCs w:val="24"/>
        </w:rPr>
        <w:t>lternate Method to Consider the Impact of the Turning Point Solar Project</w:t>
      </w:r>
    </w:p>
    <w:p w:rsidR="00E00239" w:rsidRDefault="00E00239">
      <w:pPr>
        <w:pStyle w:val="ListParagraph"/>
        <w:autoSpaceDE w:val="0"/>
        <w:autoSpaceDN w:val="0"/>
        <w:adjustRightInd w:val="0"/>
        <w:spacing w:after="0" w:line="240" w:lineRule="auto"/>
        <w:ind w:left="1080"/>
        <w:rPr>
          <w:rFonts w:eastAsia="Times New Roman" w:cs="Arial"/>
          <w:b/>
          <w:szCs w:val="24"/>
        </w:rPr>
      </w:pPr>
    </w:p>
    <w:p w:rsidR="00E00239" w:rsidRDefault="00C75211">
      <w:pPr>
        <w:spacing w:after="0"/>
        <w:rPr>
          <w:rFonts w:eastAsia="Times New Roman" w:cs="Arial"/>
          <w:szCs w:val="24"/>
        </w:rPr>
      </w:pPr>
      <w:r>
        <w:rPr>
          <w:rFonts w:cs="Arial"/>
          <w:szCs w:val="24"/>
        </w:rPr>
        <w:tab/>
      </w:r>
      <w:r>
        <w:rPr>
          <w:rFonts w:eastAsia="Times New Roman" w:cs="Arial"/>
          <w:szCs w:val="24"/>
        </w:rPr>
        <w:t>OP requested a waiver of Rule 4901:35-03(C)(9)(b), Ohio Administrative Code, with respect to the cost information for the facility known as Turning Point Solar.  The Commission den</w:t>
      </w:r>
      <w:r>
        <w:rPr>
          <w:rFonts w:eastAsia="Times New Roman" w:cs="Arial"/>
          <w:szCs w:val="24"/>
        </w:rPr>
        <w:t>ied the request, citing to its December 14, 2011, Opinion and Order, which stated that the information must be included in the ESP v. MRO price test as a cost of the ESP.  Particularly, the Commission stated:</w:t>
      </w:r>
    </w:p>
    <w:p w:rsidR="00E00239" w:rsidRDefault="00C75211">
      <w:pPr>
        <w:autoSpaceDE w:val="0"/>
        <w:autoSpaceDN w:val="0"/>
        <w:adjustRightInd w:val="0"/>
        <w:spacing w:after="0" w:line="240" w:lineRule="auto"/>
        <w:ind w:left="720" w:right="720"/>
        <w:rPr>
          <w:rFonts w:cs="Arial"/>
          <w:szCs w:val="24"/>
        </w:rPr>
      </w:pPr>
      <w:r>
        <w:rPr>
          <w:rFonts w:cs="Arial"/>
          <w:szCs w:val="24"/>
        </w:rPr>
        <w:t>As we established in our December 14, 2011, Opi</w:t>
      </w:r>
      <w:r>
        <w:rPr>
          <w:rFonts w:cs="Arial"/>
          <w:szCs w:val="24"/>
        </w:rPr>
        <w:t>nion and Order, we believed the inclusion of projected Turning Point solar project costs were an important consideration in the statutory test under Section 4928.143, Revised Code. Further, AEP-Ohio provided such project costs in the previous evidentiary h</w:t>
      </w:r>
      <w:r>
        <w:rPr>
          <w:rFonts w:cs="Arial"/>
          <w:szCs w:val="24"/>
        </w:rPr>
        <w:t>earing in this case. See Opinion and Order at 30 (December 14, 2011). Therefore, while we stress that the Commission is not predetermining or prejudging the merits of AEP-Ohio's modified application, having information related to any projected rate impacts</w:t>
      </w:r>
      <w:r>
        <w:rPr>
          <w:rFonts w:cs="Arial"/>
          <w:szCs w:val="24"/>
        </w:rPr>
        <w:t xml:space="preserve"> by customer class, as well as any projected costs that are currently known to be associated with the creation of the Turning Point facility available for the Commission's consideration, is not only necessary for our consideration of the modified applicati</w:t>
      </w:r>
      <w:r>
        <w:rPr>
          <w:rFonts w:cs="Arial"/>
          <w:szCs w:val="24"/>
        </w:rPr>
        <w:t>on, but is also in the public interest. Accordingly, AEP-Ohio's request for waivers is hereby denied. AEP-Ohio is directed to supplement its application with this information within seven days unless otherwise ordered by the Commission or the attorney exam</w:t>
      </w:r>
      <w:r>
        <w:rPr>
          <w:rFonts w:cs="Arial"/>
          <w:szCs w:val="24"/>
        </w:rPr>
        <w:t>iner.</w:t>
      </w:r>
      <w:r>
        <w:rPr>
          <w:rStyle w:val="FootnoteReference"/>
          <w:rFonts w:cs="Arial"/>
          <w:sz w:val="24"/>
          <w:szCs w:val="24"/>
        </w:rPr>
        <w:footnoteReference w:id="19"/>
      </w:r>
      <w:r>
        <w:rPr>
          <w:rFonts w:eastAsia="Times New Roman" w:cs="Arial"/>
          <w:szCs w:val="24"/>
        </w:rPr>
        <w:t xml:space="preserve">   </w:t>
      </w:r>
    </w:p>
    <w:p w:rsidR="00E00239" w:rsidRDefault="00E00239">
      <w:pPr>
        <w:autoSpaceDE w:val="0"/>
        <w:autoSpaceDN w:val="0"/>
        <w:adjustRightInd w:val="0"/>
        <w:spacing w:after="0"/>
        <w:rPr>
          <w:rFonts w:eastAsia="Times New Roman" w:cs="Arial"/>
          <w:szCs w:val="24"/>
        </w:rPr>
      </w:pPr>
    </w:p>
    <w:p w:rsidR="00E00239" w:rsidRDefault="00C75211">
      <w:pPr>
        <w:autoSpaceDE w:val="0"/>
        <w:autoSpaceDN w:val="0"/>
        <w:adjustRightInd w:val="0"/>
        <w:spacing w:after="0"/>
        <w:rPr>
          <w:rFonts w:cs="Arial"/>
          <w:szCs w:val="24"/>
        </w:rPr>
      </w:pPr>
      <w:r>
        <w:rPr>
          <w:rFonts w:eastAsia="Times New Roman" w:cs="Arial"/>
          <w:szCs w:val="24"/>
        </w:rPr>
        <w:t xml:space="preserve">On May 2, 2012, OP filed the supplemental testimony of Laura Thomas. </w:t>
      </w:r>
      <w:r>
        <w:rPr>
          <w:rFonts w:cs="Arial"/>
          <w:szCs w:val="24"/>
        </w:rPr>
        <w:t xml:space="preserve">But, Ms. Thomas claimed, </w:t>
      </w:r>
    </w:p>
    <w:p w:rsidR="00E00239" w:rsidRDefault="00C75211">
      <w:pPr>
        <w:autoSpaceDE w:val="0"/>
        <w:autoSpaceDN w:val="0"/>
        <w:adjustRightInd w:val="0"/>
        <w:spacing w:after="0" w:line="240" w:lineRule="auto"/>
        <w:ind w:left="720" w:right="720"/>
        <w:rPr>
          <w:rFonts w:cs="Arial"/>
          <w:szCs w:val="24"/>
        </w:rPr>
      </w:pPr>
      <w:r>
        <w:rPr>
          <w:rFonts w:cs="Arial"/>
          <w:szCs w:val="24"/>
        </w:rPr>
        <w:t>[A]s advised by Counsel, Rider GRR would be available under either an ESP or a MRO. Therefore, while Company witness Roush has quantified the customer</w:t>
      </w:r>
      <w:r>
        <w:rPr>
          <w:rFonts w:cs="Arial"/>
          <w:szCs w:val="24"/>
        </w:rPr>
        <w:t xml:space="preserve"> impact of the TPS Project under Rider GRR, that customer impact would be exactly the same regardless of whether the Company is under a MRO or an ESP.</w:t>
      </w:r>
      <w:r>
        <w:rPr>
          <w:rStyle w:val="FootnoteReference"/>
          <w:rFonts w:cs="Arial"/>
          <w:sz w:val="24"/>
          <w:szCs w:val="24"/>
        </w:rPr>
        <w:footnoteReference w:id="20"/>
      </w:r>
      <w:r>
        <w:rPr>
          <w:rFonts w:cs="Arial"/>
          <w:szCs w:val="24"/>
        </w:rPr>
        <w:t xml:space="preserve"> </w:t>
      </w:r>
    </w:p>
    <w:p w:rsidR="00E00239" w:rsidRDefault="00E00239">
      <w:pPr>
        <w:autoSpaceDE w:val="0"/>
        <w:autoSpaceDN w:val="0"/>
        <w:adjustRightInd w:val="0"/>
        <w:spacing w:after="0" w:line="240" w:lineRule="auto"/>
        <w:ind w:left="720" w:right="720"/>
        <w:rPr>
          <w:rFonts w:cs="Arial"/>
          <w:szCs w:val="24"/>
        </w:rPr>
      </w:pPr>
    </w:p>
    <w:p w:rsidR="00E00239" w:rsidRDefault="00C75211">
      <w:pPr>
        <w:autoSpaceDE w:val="0"/>
        <w:autoSpaceDN w:val="0"/>
        <w:adjustRightInd w:val="0"/>
        <w:spacing w:after="120"/>
        <w:rPr>
          <w:rFonts w:cs="Arial"/>
          <w:szCs w:val="24"/>
        </w:rPr>
      </w:pPr>
      <w:r>
        <w:rPr>
          <w:rFonts w:eastAsia="Times New Roman" w:cs="Arial"/>
          <w:szCs w:val="24"/>
        </w:rPr>
        <w:lastRenderedPageBreak/>
        <w:t>Ms. Thomas’ claim conflicts with the Commission’s December 14, 2011 Opinion and Order and April 25, 20</w:t>
      </w:r>
      <w:r>
        <w:rPr>
          <w:rFonts w:eastAsia="Times New Roman" w:cs="Arial"/>
          <w:szCs w:val="24"/>
        </w:rPr>
        <w:t xml:space="preserve">12 Entry, which state that the price of Turning Point must be considered in the ESP price only.  Accordingly, the Commission must strike the inaccurate supplemental testimony of Laura Thomas, as identified in Attachment 1, inasmuch as her testimony claims </w:t>
      </w:r>
      <w:r>
        <w:rPr>
          <w:rFonts w:eastAsia="Times New Roman" w:cs="Arial"/>
          <w:szCs w:val="24"/>
        </w:rPr>
        <w:t xml:space="preserve">that Turning Point would impact both the ESP and the MRO. </w:t>
      </w:r>
    </w:p>
    <w:p w:rsidR="00E00239" w:rsidRDefault="00C75211">
      <w:pPr>
        <w:pStyle w:val="ListParagraph"/>
        <w:numPr>
          <w:ilvl w:val="0"/>
          <w:numId w:val="3"/>
        </w:numPr>
        <w:autoSpaceDE w:val="0"/>
        <w:autoSpaceDN w:val="0"/>
        <w:adjustRightInd w:val="0"/>
        <w:spacing w:after="0" w:line="240" w:lineRule="auto"/>
        <w:rPr>
          <w:rFonts w:eastAsia="Times New Roman" w:cs="Arial"/>
          <w:b/>
          <w:szCs w:val="24"/>
        </w:rPr>
      </w:pPr>
      <w:r>
        <w:rPr>
          <w:rFonts w:eastAsia="Times New Roman" w:cs="Arial"/>
          <w:b/>
          <w:szCs w:val="24"/>
        </w:rPr>
        <w:t>References in OP Witness Thomas’ Testimony Regarding the ESP v. MRO Test Inasmuch as Her Testimony Fails to Properly Price the Last Year of the MRO Side of the Test.</w:t>
      </w:r>
    </w:p>
    <w:p w:rsidR="00E00239" w:rsidRDefault="00E00239">
      <w:pPr>
        <w:pStyle w:val="ListParagraph"/>
        <w:autoSpaceDE w:val="0"/>
        <w:autoSpaceDN w:val="0"/>
        <w:adjustRightInd w:val="0"/>
        <w:spacing w:after="0" w:line="240" w:lineRule="auto"/>
        <w:ind w:left="1080"/>
        <w:rPr>
          <w:rFonts w:eastAsia="Times New Roman" w:cs="Arial"/>
          <w:b/>
          <w:szCs w:val="24"/>
        </w:rPr>
      </w:pPr>
    </w:p>
    <w:p w:rsidR="00E00239" w:rsidRDefault="00C75211">
      <w:pPr>
        <w:autoSpaceDE w:val="0"/>
        <w:autoSpaceDN w:val="0"/>
        <w:adjustRightInd w:val="0"/>
        <w:spacing w:after="0"/>
        <w:ind w:firstLine="720"/>
        <w:rPr>
          <w:rFonts w:eastAsia="Times New Roman" w:cs="Arial"/>
          <w:szCs w:val="24"/>
        </w:rPr>
      </w:pPr>
      <w:r>
        <w:rPr>
          <w:rFonts w:eastAsia="Times New Roman" w:cs="Arial"/>
          <w:szCs w:val="24"/>
        </w:rPr>
        <w:t>Portions of Laura Thomas’ test</w:t>
      </w:r>
      <w:r>
        <w:rPr>
          <w:rFonts w:eastAsia="Times New Roman" w:cs="Arial"/>
          <w:szCs w:val="24"/>
        </w:rPr>
        <w:t xml:space="preserve">imony fails to comply with the requirements of Sections 4928.142 and 4928.143, Revised Code, regarding the MRO side of the ESP v. MRO price test for the period of January to May 2015 and should, therefore, be stricken.  </w:t>
      </w:r>
    </w:p>
    <w:p w:rsidR="00E00239" w:rsidRDefault="00C75211">
      <w:pPr>
        <w:autoSpaceDE w:val="0"/>
        <w:autoSpaceDN w:val="0"/>
        <w:adjustRightInd w:val="0"/>
        <w:spacing w:after="0"/>
        <w:ind w:firstLine="720"/>
        <w:rPr>
          <w:rFonts w:cs="Arial"/>
          <w:szCs w:val="24"/>
        </w:rPr>
      </w:pPr>
      <w:r>
        <w:rPr>
          <w:rFonts w:cs="Arial"/>
          <w:szCs w:val="24"/>
        </w:rPr>
        <w:t>Ms. Thomas calculates the MRO price</w:t>
      </w:r>
      <w:r>
        <w:rPr>
          <w:rFonts w:cs="Arial"/>
          <w:szCs w:val="24"/>
        </w:rPr>
        <w:t xml:space="preserve"> under two different methods for which there is no statutory authority.  First, Ms. Thomas claims that “[t]he first method would continue the weighting of the Generation Service Price, although adjustments would be made to the price according to the provis</w:t>
      </w:r>
      <w:r>
        <w:rPr>
          <w:rFonts w:cs="Arial"/>
          <w:szCs w:val="24"/>
        </w:rPr>
        <w:t>ions of Section 4928.142(D) [sic], Revised Code, as the generation price, including the fuel factor, would be replaced by purchased power cost that reflects the price resulting from the competitive bid process.”</w:t>
      </w:r>
      <w:r>
        <w:rPr>
          <w:rStyle w:val="FootnoteReference"/>
          <w:rFonts w:cs="Arial"/>
          <w:sz w:val="24"/>
          <w:szCs w:val="24"/>
        </w:rPr>
        <w:footnoteReference w:id="21"/>
      </w:r>
      <w:r>
        <w:rPr>
          <w:rFonts w:cs="Arial"/>
          <w:szCs w:val="24"/>
        </w:rPr>
        <w:t>  Ms. Thomas attempts to conflate the ESP pr</w:t>
      </w:r>
      <w:r>
        <w:rPr>
          <w:rFonts w:cs="Arial"/>
          <w:szCs w:val="24"/>
        </w:rPr>
        <w:t xml:space="preserve">oposal (a competitive bidding process in 2015) with the result that would occur under an MRO, which would render the ESP v. MRO price test meaningless under any proposal for a competitive bidding process.  But the MRO side of the test is a price benchmark </w:t>
      </w:r>
      <w:r>
        <w:rPr>
          <w:rFonts w:cs="Arial"/>
          <w:szCs w:val="24"/>
        </w:rPr>
        <w:t xml:space="preserve">that is unaffected by the ESP proposal.  As </w:t>
      </w:r>
      <w:r>
        <w:rPr>
          <w:rFonts w:cs="Arial"/>
          <w:szCs w:val="24"/>
        </w:rPr>
        <w:lastRenderedPageBreak/>
        <w:t xml:space="preserve">Section 4928.142(D), Revised Code, specifically states, the MRO side of the test must be blended for each of the first five years.  </w:t>
      </w:r>
    </w:p>
    <w:p w:rsidR="00E00239" w:rsidRDefault="00C75211">
      <w:pPr>
        <w:autoSpaceDE w:val="0"/>
        <w:autoSpaceDN w:val="0"/>
        <w:adjustRightInd w:val="0"/>
        <w:spacing w:after="0"/>
        <w:ind w:firstLine="720"/>
        <w:rPr>
          <w:rFonts w:cs="Arial"/>
          <w:szCs w:val="24"/>
        </w:rPr>
      </w:pPr>
      <w:r>
        <w:rPr>
          <w:rFonts w:cs="Arial"/>
          <w:szCs w:val="24"/>
        </w:rPr>
        <w:t>Furthermore, even assuming that the ESP proposal could impact the MRO benchmark</w:t>
      </w:r>
      <w:r>
        <w:rPr>
          <w:rFonts w:cs="Arial"/>
          <w:szCs w:val="24"/>
        </w:rPr>
        <w:t xml:space="preserve"> price, it would be imprudent to flow through the higher price that would result from the competitive bidding process through the purchase power clause.</w:t>
      </w:r>
      <w:r>
        <w:rPr>
          <w:rStyle w:val="FootnoteReference"/>
          <w:rFonts w:cs="Arial"/>
          <w:szCs w:val="24"/>
        </w:rPr>
        <w:footnoteReference w:id="22"/>
      </w:r>
      <w:r>
        <w:rPr>
          <w:rFonts w:cs="Arial"/>
          <w:szCs w:val="24"/>
        </w:rPr>
        <w:t xml:space="preserve">  The Commission has held that the purpose of the gradual blending period is to protect customers, stat</w:t>
      </w:r>
      <w:r>
        <w:rPr>
          <w:rFonts w:cs="Arial"/>
          <w:szCs w:val="24"/>
        </w:rPr>
        <w:t>ing, “[w]e believe that one of the primary intents of the statutory language is to protect the company's customers from drastic rate changes.”</w:t>
      </w:r>
      <w:r>
        <w:rPr>
          <w:rStyle w:val="FootnoteReference"/>
          <w:rFonts w:cs="Arial"/>
          <w:szCs w:val="24"/>
        </w:rPr>
        <w:footnoteReference w:id="23"/>
      </w:r>
      <w:r>
        <w:rPr>
          <w:rFonts w:cs="Arial"/>
          <w:szCs w:val="24"/>
        </w:rPr>
        <w:t xml:space="preserve">  Thus, under an MRO, OP would be required to blend its legacy generation rate with the results of the competitiv</w:t>
      </w:r>
      <w:r>
        <w:rPr>
          <w:rFonts w:cs="Arial"/>
          <w:szCs w:val="24"/>
        </w:rPr>
        <w:t xml:space="preserve">e bidding process for five years.        </w:t>
      </w:r>
    </w:p>
    <w:p w:rsidR="00E00239" w:rsidRDefault="00C75211">
      <w:pPr>
        <w:autoSpaceDE w:val="0"/>
        <w:autoSpaceDN w:val="0"/>
        <w:adjustRightInd w:val="0"/>
        <w:spacing w:after="0"/>
        <w:ind w:firstLine="720"/>
        <w:rPr>
          <w:rFonts w:eastAsia="Times New Roman" w:cs="Arial"/>
          <w:szCs w:val="24"/>
        </w:rPr>
      </w:pPr>
      <w:r>
        <w:rPr>
          <w:rFonts w:eastAsia="Times New Roman" w:cs="Arial"/>
          <w:szCs w:val="24"/>
        </w:rPr>
        <w:t>Ms. Thomas claims, “[b]ecause pricing during this period is based on a competitive bidding process, both methodologies result in the Expected Bid Price being equal to the MRO price which is equal to the modified ES</w:t>
      </w:r>
      <w:r>
        <w:rPr>
          <w:rFonts w:eastAsia="Times New Roman" w:cs="Arial"/>
          <w:szCs w:val="24"/>
        </w:rPr>
        <w:t>P price.”</w:t>
      </w:r>
      <w:r>
        <w:rPr>
          <w:rStyle w:val="FootnoteReference"/>
          <w:rFonts w:eastAsia="Times New Roman" w:cs="Arial"/>
          <w:sz w:val="24"/>
          <w:szCs w:val="24"/>
        </w:rPr>
        <w:footnoteReference w:id="24"/>
      </w:r>
      <w:r>
        <w:rPr>
          <w:rFonts w:eastAsia="Times New Roman" w:cs="Arial"/>
          <w:szCs w:val="24"/>
        </w:rPr>
        <w:t xml:space="preserve">  She further cites to the Opinion and Order in FirstEnergy Corp.’s (“FirstEnergy”) ESP Case to support her conclusion.  </w:t>
      </w:r>
    </w:p>
    <w:p w:rsidR="00E00239" w:rsidRDefault="00C75211">
      <w:pPr>
        <w:autoSpaceDE w:val="0"/>
        <w:autoSpaceDN w:val="0"/>
        <w:adjustRightInd w:val="0"/>
        <w:spacing w:after="0"/>
        <w:ind w:firstLine="720"/>
        <w:rPr>
          <w:rFonts w:eastAsia="Times New Roman" w:cs="Arial"/>
          <w:szCs w:val="24"/>
        </w:rPr>
      </w:pPr>
      <w:r>
        <w:rPr>
          <w:rFonts w:eastAsia="Times New Roman" w:cs="Arial"/>
          <w:szCs w:val="24"/>
        </w:rPr>
        <w:t>First, the FirstEnergy ESP was resolved through a stipulation and citation to this stipulation is improper (as more fully ex</w:t>
      </w:r>
      <w:r>
        <w:rPr>
          <w:rFonts w:eastAsia="Times New Roman" w:cs="Arial"/>
          <w:szCs w:val="24"/>
        </w:rPr>
        <w:t>plained below).  Second, an MRO would be blended differently for FirstEnergy than it would for OP because FirstEnergy did not own or operate generation as of July 31, 2008.  Section 4928.142(D), Revised Code, states:</w:t>
      </w:r>
    </w:p>
    <w:p w:rsidR="00E00239" w:rsidRDefault="00C75211">
      <w:pPr>
        <w:autoSpaceDE w:val="0"/>
        <w:autoSpaceDN w:val="0"/>
        <w:adjustRightInd w:val="0"/>
        <w:spacing w:after="0" w:line="240" w:lineRule="auto"/>
        <w:ind w:left="720" w:right="720"/>
        <w:rPr>
          <w:rFonts w:cs="Arial"/>
          <w:szCs w:val="24"/>
        </w:rPr>
      </w:pPr>
      <w:r>
        <w:rPr>
          <w:rFonts w:cs="Arial"/>
          <w:szCs w:val="24"/>
        </w:rPr>
        <w:lastRenderedPageBreak/>
        <w:t>[t]he first application filed under thi</w:t>
      </w:r>
      <w:r>
        <w:rPr>
          <w:rFonts w:cs="Arial"/>
          <w:szCs w:val="24"/>
        </w:rPr>
        <w:t>s section by an electric distribution utility that, as of July 31, 2008, directly owns, in whole or in part, operating electric generating facilities that had been used and useful in this state shall require that a portion of that utility’s standard servic</w:t>
      </w:r>
      <w:r>
        <w:rPr>
          <w:rFonts w:cs="Arial"/>
          <w:szCs w:val="24"/>
        </w:rPr>
        <w:t>e offer load for the first five years of the market rate offer be competitively bid under division (A) of this section as follows: ten per cent of the load in year one, not more than twenty per cent in year two, thirty per cent in year three, forty per cen</w:t>
      </w:r>
      <w:r>
        <w:rPr>
          <w:rFonts w:cs="Arial"/>
          <w:szCs w:val="24"/>
        </w:rPr>
        <w:t>t in year four, and fifty per cent in year five.</w:t>
      </w:r>
    </w:p>
    <w:p w:rsidR="00E00239" w:rsidRDefault="00E00239">
      <w:pPr>
        <w:autoSpaceDE w:val="0"/>
        <w:autoSpaceDN w:val="0"/>
        <w:adjustRightInd w:val="0"/>
        <w:spacing w:after="0" w:line="240" w:lineRule="auto"/>
        <w:ind w:right="720"/>
        <w:rPr>
          <w:rFonts w:cs="Arial"/>
          <w:szCs w:val="24"/>
        </w:rPr>
      </w:pPr>
    </w:p>
    <w:p w:rsidR="00E00239" w:rsidRDefault="00C75211">
      <w:pPr>
        <w:autoSpaceDE w:val="0"/>
        <w:autoSpaceDN w:val="0"/>
        <w:adjustRightInd w:val="0"/>
        <w:spacing w:after="120"/>
        <w:rPr>
          <w:rFonts w:cs="Arial"/>
          <w:szCs w:val="24"/>
        </w:rPr>
      </w:pPr>
      <w:r>
        <w:rPr>
          <w:rFonts w:cs="Arial"/>
          <w:szCs w:val="24"/>
        </w:rPr>
        <w:t xml:space="preserve">Since FirstEnergy did not own or operate generation as of July 31, 2008, the blending percentages did not apply to FE’s ESP v. MRO test.  The same cannot be said for OP.  For these reasons, IEU-Ohio moves to strike to applicable Testimony of Laura Thomas, </w:t>
      </w:r>
      <w:r>
        <w:rPr>
          <w:rFonts w:cs="Arial"/>
          <w:szCs w:val="24"/>
        </w:rPr>
        <w:t xml:space="preserve">as identified in Attachment 1. </w:t>
      </w:r>
    </w:p>
    <w:p w:rsidR="00E00239" w:rsidRDefault="00C75211">
      <w:pPr>
        <w:pStyle w:val="ListParagraph"/>
        <w:numPr>
          <w:ilvl w:val="0"/>
          <w:numId w:val="3"/>
        </w:numPr>
        <w:autoSpaceDE w:val="0"/>
        <w:autoSpaceDN w:val="0"/>
        <w:adjustRightInd w:val="0"/>
        <w:spacing w:after="0"/>
        <w:ind w:right="720"/>
        <w:rPr>
          <w:rFonts w:eastAsia="Times New Roman" w:cs="Arial"/>
          <w:b/>
          <w:szCs w:val="24"/>
        </w:rPr>
      </w:pPr>
      <w:r>
        <w:rPr>
          <w:rFonts w:eastAsia="Times New Roman" w:cs="Arial"/>
          <w:b/>
          <w:szCs w:val="24"/>
        </w:rPr>
        <w:t>References to Stipulations</w:t>
      </w:r>
    </w:p>
    <w:p w:rsidR="00E00239" w:rsidRDefault="00C75211">
      <w:pPr>
        <w:autoSpaceDE w:val="0"/>
        <w:autoSpaceDN w:val="0"/>
        <w:adjustRightInd w:val="0"/>
        <w:spacing w:after="120"/>
        <w:rPr>
          <w:rFonts w:eastAsia="Times New Roman" w:cs="Arial"/>
          <w:szCs w:val="24"/>
        </w:rPr>
      </w:pPr>
      <w:r>
        <w:rPr>
          <w:rFonts w:eastAsia="Times New Roman" w:cs="Arial"/>
          <w:b/>
          <w:szCs w:val="24"/>
        </w:rPr>
        <w:tab/>
      </w:r>
      <w:r>
        <w:rPr>
          <w:rFonts w:eastAsia="Times New Roman" w:cs="Arial"/>
          <w:szCs w:val="24"/>
        </w:rPr>
        <w:t>References in the Application and Testimony to various stipulations previously approved by the Commission should be stricken.  By their very language, these stipulations carry no precedential or e</w:t>
      </w:r>
      <w:r>
        <w:rPr>
          <w:rFonts w:eastAsia="Times New Roman" w:cs="Arial"/>
          <w:szCs w:val="24"/>
        </w:rPr>
        <w:t>videntiary weight and prohibit citation to them.</w:t>
      </w:r>
      <w:r>
        <w:rPr>
          <w:rStyle w:val="FootnoteReference"/>
          <w:rFonts w:eastAsia="Times New Roman" w:cs="Arial"/>
          <w:szCs w:val="24"/>
        </w:rPr>
        <w:footnoteReference w:id="25"/>
      </w:r>
      <w:r>
        <w:rPr>
          <w:rFonts w:eastAsia="Times New Roman" w:cs="Arial"/>
          <w:szCs w:val="24"/>
        </w:rPr>
        <w:t xml:space="preserve">  Additionally, the Ohio Supreme Court has held that stipulations are not evidence themselves.  Because the various stipulations referenced throughout the Application and Testimony do not carry any weight, t</w:t>
      </w:r>
      <w:r>
        <w:rPr>
          <w:rFonts w:eastAsia="Times New Roman" w:cs="Arial"/>
          <w:szCs w:val="24"/>
        </w:rPr>
        <w:t xml:space="preserve">hey do not make any fact of consequence in </w:t>
      </w:r>
      <w:r>
        <w:rPr>
          <w:rFonts w:eastAsia="Times New Roman" w:cs="Arial"/>
          <w:szCs w:val="24"/>
        </w:rPr>
        <w:lastRenderedPageBreak/>
        <w:t>this proceeding “more probable or less probable” and, are therefore, irrelevant in this proceeding.  Therefore, references and citations to these stipulations, and identified in Attachment 1, add nothing to the ev</w:t>
      </w:r>
      <w:r>
        <w:rPr>
          <w:rFonts w:eastAsia="Times New Roman" w:cs="Arial"/>
          <w:szCs w:val="24"/>
        </w:rPr>
        <w:t>identiary record in this proceeding and will only cause further undue delay as parties argue over the meaning of irrelevant terms.</w:t>
      </w:r>
    </w:p>
    <w:p w:rsidR="00E00239" w:rsidRDefault="00C75211">
      <w:pPr>
        <w:pStyle w:val="ListParagraph"/>
        <w:numPr>
          <w:ilvl w:val="0"/>
          <w:numId w:val="3"/>
        </w:numPr>
        <w:autoSpaceDE w:val="0"/>
        <w:autoSpaceDN w:val="0"/>
        <w:adjustRightInd w:val="0"/>
        <w:spacing w:after="0"/>
        <w:ind w:right="720"/>
        <w:rPr>
          <w:rFonts w:eastAsia="Times New Roman" w:cs="Arial"/>
          <w:b/>
          <w:szCs w:val="24"/>
        </w:rPr>
      </w:pPr>
      <w:r>
        <w:rPr>
          <w:rFonts w:eastAsia="Times New Roman" w:cs="Arial"/>
          <w:b/>
          <w:szCs w:val="24"/>
        </w:rPr>
        <w:t>Documents that Limit Their Use and are Otherwise Unreliable</w:t>
      </w:r>
    </w:p>
    <w:p w:rsidR="00E00239" w:rsidRDefault="00C75211">
      <w:pPr>
        <w:autoSpaceDE w:val="0"/>
        <w:autoSpaceDN w:val="0"/>
        <w:adjustRightInd w:val="0"/>
        <w:spacing w:after="0"/>
        <w:rPr>
          <w:rFonts w:eastAsia="Times New Roman" w:cs="Arial"/>
          <w:szCs w:val="24"/>
        </w:rPr>
      </w:pPr>
      <w:r>
        <w:rPr>
          <w:rFonts w:eastAsia="Times New Roman" w:cs="Arial"/>
          <w:szCs w:val="24"/>
        </w:rPr>
        <w:tab/>
        <w:t xml:space="preserve">References in the Testimony to documents that contain use </w:t>
      </w:r>
      <w:r>
        <w:rPr>
          <w:rFonts w:eastAsia="Times New Roman" w:cs="Arial"/>
          <w:szCs w:val="24"/>
        </w:rPr>
        <w:t>restrictions and are otherwise unreliable should be stricken.  The Testimony of OP witness Hawkins references several financial analysis documents in her Exhibit RVH-6.  These documents were prepared by an outside entity that is not being presented in this</w:t>
      </w:r>
      <w:r>
        <w:rPr>
          <w:rFonts w:eastAsia="Times New Roman" w:cs="Arial"/>
          <w:szCs w:val="24"/>
        </w:rPr>
        <w:t xml:space="preserve"> proceeding to authenticate the documents or otherwise provide any foundation or background to the documents.  Without the ability to cross-examine the witness who prepared these documents IEU-Ohio is unduly prejudiced.</w:t>
      </w:r>
    </w:p>
    <w:p w:rsidR="00E00239" w:rsidRDefault="00C75211">
      <w:pPr>
        <w:autoSpaceDE w:val="0"/>
        <w:autoSpaceDN w:val="0"/>
        <w:adjustRightInd w:val="0"/>
        <w:spacing w:after="0"/>
        <w:rPr>
          <w:rFonts w:eastAsia="Times New Roman" w:cs="Arial"/>
          <w:szCs w:val="24"/>
        </w:rPr>
      </w:pPr>
      <w:r>
        <w:rPr>
          <w:rFonts w:eastAsia="Times New Roman" w:cs="Arial"/>
          <w:szCs w:val="24"/>
        </w:rPr>
        <w:tab/>
        <w:t>Additionally, the documents contain</w:t>
      </w:r>
      <w:r>
        <w:rPr>
          <w:rFonts w:eastAsia="Times New Roman" w:cs="Arial"/>
          <w:szCs w:val="24"/>
        </w:rPr>
        <w:t xml:space="preserve"> various disclaimers that wholly discredit their reliability and therefore, Exhibit RVH-6 should be stricken.  The first document on pages 1-3 of Exhibit RVH-6 contains the following disclaimer: </w:t>
      </w:r>
    </w:p>
    <w:p w:rsidR="00E00239" w:rsidRDefault="00C75211">
      <w:pPr>
        <w:autoSpaceDE w:val="0"/>
        <w:autoSpaceDN w:val="0"/>
        <w:adjustRightInd w:val="0"/>
        <w:spacing w:after="0" w:line="240" w:lineRule="auto"/>
        <w:ind w:left="720" w:right="720"/>
        <w:rPr>
          <w:rFonts w:eastAsia="Times New Roman" w:cs="Arial"/>
          <w:szCs w:val="24"/>
        </w:rPr>
      </w:pPr>
      <w:r>
        <w:rPr>
          <w:rFonts w:eastAsia="Times New Roman" w:cs="Arial"/>
          <w:szCs w:val="24"/>
        </w:rPr>
        <w:t>No warranty express or implied, as to the accuracy, timeline</w:t>
      </w:r>
      <w:r>
        <w:rPr>
          <w:rFonts w:eastAsia="Times New Roman" w:cs="Arial"/>
          <w:szCs w:val="24"/>
        </w:rPr>
        <w:t>ss, completeness … of any such … opinion or information given or made by Moody’s in any form or manner whatsoever.</w:t>
      </w:r>
      <w:r>
        <w:rPr>
          <w:rStyle w:val="FootnoteReference"/>
          <w:rFonts w:eastAsia="Times New Roman" w:cs="Arial"/>
          <w:sz w:val="24"/>
          <w:szCs w:val="24"/>
        </w:rPr>
        <w:footnoteReference w:id="26"/>
      </w:r>
    </w:p>
    <w:p w:rsidR="00E00239" w:rsidRDefault="00E00239">
      <w:pPr>
        <w:autoSpaceDE w:val="0"/>
        <w:autoSpaceDN w:val="0"/>
        <w:adjustRightInd w:val="0"/>
        <w:spacing w:after="0" w:line="240" w:lineRule="auto"/>
        <w:ind w:right="720"/>
        <w:rPr>
          <w:rFonts w:eastAsia="Times New Roman" w:cs="Arial"/>
          <w:szCs w:val="24"/>
        </w:rPr>
      </w:pPr>
    </w:p>
    <w:p w:rsidR="00E00239" w:rsidRDefault="00C75211">
      <w:pPr>
        <w:autoSpaceDE w:val="0"/>
        <w:autoSpaceDN w:val="0"/>
        <w:adjustRightInd w:val="0"/>
        <w:spacing w:after="0"/>
        <w:rPr>
          <w:rFonts w:eastAsia="Times New Roman" w:cs="Arial"/>
          <w:szCs w:val="24"/>
        </w:rPr>
      </w:pPr>
      <w:r>
        <w:rPr>
          <w:rFonts w:eastAsia="Times New Roman" w:cs="Arial"/>
          <w:szCs w:val="24"/>
        </w:rPr>
        <w:t>Further, and similar to the reason for not allowing references to the stipulations discussed above, the document contains the following lim</w:t>
      </w:r>
      <w:r>
        <w:rPr>
          <w:rFonts w:eastAsia="Times New Roman" w:cs="Arial"/>
          <w:szCs w:val="24"/>
        </w:rPr>
        <w:t>itation:</w:t>
      </w:r>
    </w:p>
    <w:p w:rsidR="00E00239" w:rsidRDefault="00C75211">
      <w:pPr>
        <w:autoSpaceDE w:val="0"/>
        <w:autoSpaceDN w:val="0"/>
        <w:adjustRightInd w:val="0"/>
        <w:spacing w:after="0" w:line="240" w:lineRule="auto"/>
        <w:ind w:left="720" w:right="720"/>
        <w:rPr>
          <w:rFonts w:eastAsia="Times New Roman" w:cs="Arial"/>
          <w:szCs w:val="24"/>
        </w:rPr>
      </w:pPr>
      <w:r>
        <w:rPr>
          <w:rFonts w:eastAsia="Times New Roman" w:cs="Arial"/>
          <w:szCs w:val="24"/>
        </w:rPr>
        <w:t>All information contained herein is protected by law, including but not limited to copyright law, and none of such information may be recopied or otherwise reproduced, repackaged, further transmitted, transferred, disseminated, redistributed or re</w:t>
      </w:r>
      <w:r>
        <w:rPr>
          <w:rFonts w:eastAsia="Times New Roman" w:cs="Arial"/>
          <w:szCs w:val="24"/>
        </w:rPr>
        <w:t>sold, or stored for subsequent use for any such purpose, in whole or in part, in any form or manner or by any means whatsoever, by any person without Moody’s prior written consent.</w:t>
      </w:r>
    </w:p>
    <w:p w:rsidR="00E00239" w:rsidRDefault="00E00239">
      <w:pPr>
        <w:autoSpaceDE w:val="0"/>
        <w:autoSpaceDN w:val="0"/>
        <w:adjustRightInd w:val="0"/>
        <w:spacing w:after="0" w:line="240" w:lineRule="auto"/>
        <w:rPr>
          <w:rFonts w:cs="Arial"/>
          <w:szCs w:val="24"/>
        </w:rPr>
      </w:pPr>
    </w:p>
    <w:p w:rsidR="00E00239" w:rsidRDefault="00C75211">
      <w:pPr>
        <w:autoSpaceDE w:val="0"/>
        <w:autoSpaceDN w:val="0"/>
        <w:adjustRightInd w:val="0"/>
        <w:spacing w:after="0"/>
        <w:rPr>
          <w:rFonts w:cs="Arial"/>
          <w:szCs w:val="24"/>
        </w:rPr>
      </w:pPr>
      <w:r>
        <w:rPr>
          <w:rFonts w:cs="Arial"/>
          <w:szCs w:val="24"/>
        </w:rPr>
        <w:t>Allowing the introduction of this document would not only be improper beca</w:t>
      </w:r>
      <w:r>
        <w:rPr>
          <w:rFonts w:cs="Arial"/>
          <w:szCs w:val="24"/>
        </w:rPr>
        <w:t>use the document itself disclaims its reliability, but the further use and dissemination of this document might constitute breach of contract or a violation of copyright law.</w:t>
      </w:r>
    </w:p>
    <w:p w:rsidR="00E00239" w:rsidRDefault="00C75211">
      <w:pPr>
        <w:autoSpaceDE w:val="0"/>
        <w:autoSpaceDN w:val="0"/>
        <w:adjustRightInd w:val="0"/>
        <w:spacing w:after="0"/>
        <w:rPr>
          <w:rFonts w:cs="Arial"/>
          <w:szCs w:val="24"/>
        </w:rPr>
      </w:pPr>
      <w:r>
        <w:rPr>
          <w:rFonts w:cs="Arial"/>
          <w:szCs w:val="24"/>
        </w:rPr>
        <w:tab/>
        <w:t>The second document in Exhibit RVH-6 is contained on pages 5 and 6 of the Exhibi</w:t>
      </w:r>
      <w:r>
        <w:rPr>
          <w:rFonts w:cs="Arial"/>
          <w:szCs w:val="24"/>
        </w:rPr>
        <w:t>t and contains a similar disclaimer and use restriction.  The third and final document in Exhibit RVH-6 is contained on pages 7 through 10.  The third document references an external website for additional information on its disclaimers.  That website prov</w:t>
      </w:r>
      <w:r>
        <w:rPr>
          <w:rFonts w:cs="Arial"/>
          <w:szCs w:val="24"/>
        </w:rPr>
        <w:t>ides:</w:t>
      </w:r>
    </w:p>
    <w:p w:rsidR="00E00239" w:rsidRDefault="00C75211">
      <w:pPr>
        <w:autoSpaceDE w:val="0"/>
        <w:autoSpaceDN w:val="0"/>
        <w:adjustRightInd w:val="0"/>
        <w:spacing w:after="0" w:line="240" w:lineRule="auto"/>
        <w:ind w:left="720" w:right="720"/>
        <w:rPr>
          <w:rFonts w:cs="Arial"/>
          <w:szCs w:val="24"/>
        </w:rPr>
      </w:pPr>
      <w:r>
        <w:rPr>
          <w:rFonts w:cs="Arial"/>
          <w:szCs w:val="24"/>
        </w:rPr>
        <w:t xml:space="preserve">Ratings are not facts, and therefore cannot be described as being "accurate" or "inaccurate". </w:t>
      </w:r>
    </w:p>
    <w:p w:rsidR="00E00239" w:rsidRDefault="00E00239">
      <w:pPr>
        <w:autoSpaceDE w:val="0"/>
        <w:autoSpaceDN w:val="0"/>
        <w:adjustRightInd w:val="0"/>
        <w:spacing w:after="0" w:line="240" w:lineRule="auto"/>
        <w:ind w:left="720" w:right="720"/>
        <w:rPr>
          <w:rFonts w:cs="Arial"/>
          <w:szCs w:val="24"/>
        </w:rPr>
      </w:pPr>
    </w:p>
    <w:p w:rsidR="00E00239" w:rsidRDefault="00C75211">
      <w:pPr>
        <w:autoSpaceDE w:val="0"/>
        <w:autoSpaceDN w:val="0"/>
        <w:adjustRightInd w:val="0"/>
        <w:spacing w:after="120"/>
        <w:rPr>
          <w:rFonts w:cs="Arial"/>
          <w:szCs w:val="24"/>
        </w:rPr>
      </w:pPr>
      <w:r>
        <w:rPr>
          <w:rFonts w:cs="Arial"/>
          <w:szCs w:val="24"/>
        </w:rPr>
        <w:t xml:space="preserve">If the information in this third document contains opinions of an outside entity that cannot confirm the accuracy of the document it would be improper to </w:t>
      </w:r>
      <w:r>
        <w:rPr>
          <w:rFonts w:cs="Arial"/>
          <w:szCs w:val="24"/>
        </w:rPr>
        <w:t>consider it in this proceeding.  For these reasons, IEU-Ohio moves to strike Exhibit RVH-6 in its entirety as the information is not reliable and contains restrictions on its use.  Further use and reproduction of these documents could constitute violations</w:t>
      </w:r>
      <w:r>
        <w:rPr>
          <w:rFonts w:cs="Arial"/>
          <w:szCs w:val="24"/>
        </w:rPr>
        <w:t xml:space="preserve"> of various laws and contracts.</w:t>
      </w:r>
    </w:p>
    <w:p w:rsidR="00E00239" w:rsidRDefault="00C75211">
      <w:pPr>
        <w:pStyle w:val="ListParagraph"/>
        <w:autoSpaceDE w:val="0"/>
        <w:autoSpaceDN w:val="0"/>
        <w:adjustRightInd w:val="0"/>
        <w:spacing w:after="0"/>
        <w:ind w:left="0"/>
        <w:rPr>
          <w:rFonts w:cs="Arial"/>
          <w:b/>
          <w:caps/>
          <w:szCs w:val="24"/>
        </w:rPr>
      </w:pPr>
      <w:r>
        <w:rPr>
          <w:rFonts w:cs="Arial"/>
          <w:b/>
          <w:caps/>
          <w:szCs w:val="24"/>
        </w:rPr>
        <w:t>C.</w:t>
      </w:r>
      <w:r>
        <w:rPr>
          <w:rFonts w:cs="Arial"/>
          <w:b/>
          <w:caps/>
          <w:szCs w:val="24"/>
        </w:rPr>
        <w:tab/>
        <w:t>Conclusion</w:t>
      </w:r>
    </w:p>
    <w:p w:rsidR="00E00239" w:rsidRDefault="00C75211">
      <w:pPr>
        <w:pStyle w:val="ListParagraph"/>
        <w:autoSpaceDE w:val="0"/>
        <w:autoSpaceDN w:val="0"/>
        <w:adjustRightInd w:val="0"/>
        <w:spacing w:after="0"/>
        <w:ind w:left="0"/>
        <w:rPr>
          <w:rFonts w:cs="Arial"/>
          <w:szCs w:val="24"/>
        </w:rPr>
      </w:pPr>
      <w:r>
        <w:rPr>
          <w:rFonts w:cs="Arial"/>
          <w:szCs w:val="24"/>
        </w:rPr>
        <w:tab/>
        <w:t>As discussed above, OP’s testimony contains irrelevant discussions and citations that will not make the Commission’s determination of fact of consequence “more probable or less probable.”  When a party attempt</w:t>
      </w:r>
      <w:r>
        <w:rPr>
          <w:rFonts w:cs="Arial"/>
          <w:szCs w:val="24"/>
        </w:rPr>
        <w:t>s to introduce irrelevant evidence or evidence that will cause undue delay the attorney examiner is authorized by Rule 4901-1-27, Ohio Administrative Code, to take appropriate action.  For the reasons discussed herein, IEU-Ohio moves to strike the portions</w:t>
      </w:r>
      <w:r>
        <w:rPr>
          <w:rFonts w:cs="Arial"/>
          <w:szCs w:val="24"/>
        </w:rPr>
        <w:t xml:space="preserve"> of the Application and Testimony </w:t>
      </w:r>
      <w:r>
        <w:rPr>
          <w:rFonts w:cs="Arial"/>
          <w:szCs w:val="24"/>
        </w:rPr>
        <w:lastRenderedPageBreak/>
        <w:t>identified in Attachment 1.  Alternatively to striking all the portions of Ms. Thomas’ Testimony where she calculates the cost of the ESP and the cost of the MRO, it would be appropriate, consistent with the Commission’s a</w:t>
      </w:r>
      <w:r>
        <w:rPr>
          <w:rFonts w:cs="Arial"/>
          <w:szCs w:val="24"/>
        </w:rPr>
        <w:t>ctions regarding the costs of POLR during the ESP II Stipulation hearing and the Commission’s April 25, 2012 Entry denying waivers regarding the Turning Point Solar project, to direct OP to update Ms. Thomas’ testimony to (1) remove “discounted capacity” a</w:t>
      </w:r>
      <w:r>
        <w:rPr>
          <w:rFonts w:cs="Arial"/>
          <w:szCs w:val="24"/>
        </w:rPr>
        <w:t>s a benefit of the ESP and (2) to remove the price effects that the $355/MW-day charge has on the cost of the MRO.</w:t>
      </w:r>
    </w:p>
    <w:p w:rsidR="00E00239" w:rsidRDefault="00E00239">
      <w:pPr>
        <w:pStyle w:val="ListParagraph"/>
        <w:autoSpaceDE w:val="0"/>
        <w:autoSpaceDN w:val="0"/>
        <w:adjustRightInd w:val="0"/>
        <w:spacing w:after="0" w:line="240" w:lineRule="auto"/>
        <w:ind w:left="0"/>
        <w:rPr>
          <w:rFonts w:cs="Arial"/>
          <w:szCs w:val="24"/>
        </w:rPr>
      </w:pPr>
    </w:p>
    <w:p w:rsidR="00E00239" w:rsidRDefault="00C75211">
      <w:pPr>
        <w:pStyle w:val="Title"/>
        <w:tabs>
          <w:tab w:val="left" w:pos="4140"/>
        </w:tabs>
        <w:jc w:val="both"/>
        <w:rPr>
          <w:b w:val="0"/>
          <w:smallCaps w:val="0"/>
          <w:sz w:val="24"/>
        </w:rPr>
      </w:pPr>
      <w:r>
        <w:rPr>
          <w:b w:val="0"/>
          <w:smallCaps w:val="0"/>
          <w:sz w:val="24"/>
        </w:rPr>
        <w:tab/>
        <w:t>Respectfully Submitted,</w:t>
      </w:r>
    </w:p>
    <w:p w:rsidR="00E00239" w:rsidRDefault="00E00239">
      <w:pPr>
        <w:tabs>
          <w:tab w:val="left" w:pos="-1350"/>
          <w:tab w:val="right" w:pos="8640"/>
        </w:tabs>
        <w:spacing w:after="0"/>
        <w:ind w:left="4320" w:hanging="180"/>
        <w:rPr>
          <w:rFonts w:cs="Arial"/>
        </w:rPr>
      </w:pPr>
    </w:p>
    <w:p w:rsidR="00E00239" w:rsidRDefault="00C75211">
      <w:pPr>
        <w:tabs>
          <w:tab w:val="left" w:pos="-1350"/>
          <w:tab w:val="right" w:pos="8640"/>
        </w:tabs>
        <w:spacing w:after="0" w:line="240" w:lineRule="auto"/>
        <w:ind w:left="4320" w:hanging="180"/>
        <w:rPr>
          <w:rFonts w:cs="Arial"/>
          <w:u w:val="single"/>
        </w:rPr>
      </w:pPr>
      <w:r>
        <w:rPr>
          <w:rFonts w:cs="Arial"/>
          <w:u w:val="single"/>
        </w:rPr>
        <w:t>/s/ Matthew R. Pritchard</w:t>
      </w:r>
      <w:r>
        <w:rPr>
          <w:rFonts w:cs="Arial"/>
          <w:u w:val="single"/>
        </w:rPr>
        <w:tab/>
      </w:r>
      <w:r>
        <w:rPr>
          <w:rFonts w:cs="Arial"/>
          <w:u w:val="single"/>
        </w:rPr>
        <w:tab/>
      </w:r>
    </w:p>
    <w:p w:rsidR="00E00239" w:rsidRDefault="00C75211">
      <w:pPr>
        <w:tabs>
          <w:tab w:val="left" w:pos="-1350"/>
          <w:tab w:val="right" w:pos="8640"/>
        </w:tabs>
        <w:spacing w:after="0" w:line="240" w:lineRule="auto"/>
        <w:ind w:left="4320" w:hanging="180"/>
        <w:rPr>
          <w:rFonts w:cs="Arial"/>
        </w:rPr>
      </w:pPr>
      <w:r>
        <w:rPr>
          <w:rFonts w:cs="Arial"/>
        </w:rPr>
        <w:t xml:space="preserve">Samuel C. Randazzo </w:t>
      </w:r>
    </w:p>
    <w:p w:rsidR="00E00239" w:rsidRDefault="00C75211">
      <w:pPr>
        <w:pStyle w:val="BodyText3"/>
        <w:widowControl w:val="0"/>
        <w:tabs>
          <w:tab w:val="left" w:pos="0"/>
        </w:tabs>
        <w:ind w:left="4140"/>
        <w:jc w:val="both"/>
        <w:rPr>
          <w:rFonts w:cs="Arial"/>
          <w:b w:val="0"/>
          <w:bCs/>
        </w:rPr>
      </w:pPr>
      <w:r>
        <w:rPr>
          <w:rFonts w:cs="Arial"/>
          <w:b w:val="0"/>
          <w:bCs/>
        </w:rPr>
        <w:t>(Counsel of Record)</w:t>
      </w:r>
    </w:p>
    <w:p w:rsidR="00E00239" w:rsidRDefault="00C75211">
      <w:pPr>
        <w:pStyle w:val="BodyText3"/>
        <w:widowControl w:val="0"/>
        <w:tabs>
          <w:tab w:val="left" w:pos="0"/>
        </w:tabs>
        <w:ind w:left="4140"/>
        <w:jc w:val="both"/>
        <w:rPr>
          <w:rFonts w:cs="Arial"/>
          <w:b w:val="0"/>
          <w:bCs/>
        </w:rPr>
      </w:pPr>
      <w:r>
        <w:rPr>
          <w:rFonts w:cs="Arial"/>
          <w:b w:val="0"/>
          <w:bCs/>
        </w:rPr>
        <w:t>Frank P. Darr</w:t>
      </w:r>
    </w:p>
    <w:p w:rsidR="00E00239" w:rsidRDefault="00C75211">
      <w:pPr>
        <w:pStyle w:val="BodyText3"/>
        <w:widowControl w:val="0"/>
        <w:tabs>
          <w:tab w:val="left" w:pos="0"/>
        </w:tabs>
        <w:ind w:left="4140"/>
        <w:jc w:val="both"/>
        <w:rPr>
          <w:rFonts w:cs="Arial"/>
          <w:b w:val="0"/>
          <w:bCs/>
        </w:rPr>
      </w:pPr>
      <w:r>
        <w:rPr>
          <w:rFonts w:cs="Arial"/>
          <w:b w:val="0"/>
          <w:bCs/>
        </w:rPr>
        <w:t>Joseph E. Oliker</w:t>
      </w:r>
    </w:p>
    <w:p w:rsidR="00E00239" w:rsidRDefault="00C75211">
      <w:pPr>
        <w:pStyle w:val="BodyText3"/>
        <w:widowControl w:val="0"/>
        <w:tabs>
          <w:tab w:val="left" w:pos="0"/>
        </w:tabs>
        <w:ind w:left="4140"/>
        <w:jc w:val="both"/>
        <w:rPr>
          <w:rFonts w:cs="Arial"/>
          <w:b w:val="0"/>
          <w:bCs/>
        </w:rPr>
      </w:pPr>
      <w:r>
        <w:rPr>
          <w:rFonts w:cs="Arial"/>
          <w:b w:val="0"/>
          <w:bCs/>
        </w:rPr>
        <w:t xml:space="preserve">Matthew R. </w:t>
      </w:r>
      <w:r>
        <w:rPr>
          <w:rFonts w:cs="Arial"/>
          <w:b w:val="0"/>
          <w:bCs/>
        </w:rPr>
        <w:t>Pritchard</w:t>
      </w:r>
    </w:p>
    <w:p w:rsidR="00E00239" w:rsidRDefault="00C75211">
      <w:pPr>
        <w:pStyle w:val="BodyText3"/>
        <w:widowControl w:val="0"/>
        <w:tabs>
          <w:tab w:val="left" w:pos="0"/>
        </w:tabs>
        <w:ind w:left="4140"/>
        <w:jc w:val="both"/>
        <w:rPr>
          <w:rFonts w:cs="Arial"/>
          <w:b w:val="0"/>
          <w:bCs/>
          <w:smallCaps/>
          <w:szCs w:val="24"/>
        </w:rPr>
      </w:pPr>
      <w:r>
        <w:rPr>
          <w:rFonts w:cs="Arial"/>
          <w:b w:val="0"/>
          <w:bCs/>
          <w:smallCaps/>
          <w:szCs w:val="24"/>
        </w:rPr>
        <w:t>McNees Wallace &amp; Nurick LLC</w:t>
      </w:r>
    </w:p>
    <w:p w:rsidR="00E00239" w:rsidRDefault="00C75211">
      <w:pPr>
        <w:pStyle w:val="BodyText3"/>
        <w:widowControl w:val="0"/>
        <w:tabs>
          <w:tab w:val="left" w:pos="0"/>
        </w:tabs>
        <w:ind w:left="4140"/>
        <w:jc w:val="both"/>
        <w:rPr>
          <w:rFonts w:cs="Arial"/>
          <w:b w:val="0"/>
          <w:bCs/>
        </w:rPr>
      </w:pPr>
      <w:r>
        <w:rPr>
          <w:rFonts w:cs="Arial"/>
          <w:b w:val="0"/>
          <w:bCs/>
        </w:rPr>
        <w:t>21 East State Street, 17</w:t>
      </w:r>
      <w:r>
        <w:rPr>
          <w:rFonts w:cs="Arial"/>
          <w:b w:val="0"/>
          <w:bCs/>
          <w:vertAlign w:val="superscript"/>
        </w:rPr>
        <w:t>TH</w:t>
      </w:r>
      <w:r>
        <w:rPr>
          <w:rFonts w:cs="Arial"/>
          <w:b w:val="0"/>
          <w:bCs/>
        </w:rPr>
        <w:t xml:space="preserve"> Floor</w:t>
      </w:r>
    </w:p>
    <w:p w:rsidR="00E00239" w:rsidRDefault="00C75211">
      <w:pPr>
        <w:pStyle w:val="BodyText"/>
        <w:tabs>
          <w:tab w:val="left" w:pos="0"/>
        </w:tabs>
        <w:ind w:left="4140"/>
      </w:pPr>
      <w:r>
        <w:t>Columbus, OH  43215</w:t>
      </w:r>
    </w:p>
    <w:p w:rsidR="00E00239" w:rsidRDefault="00C75211">
      <w:pPr>
        <w:pStyle w:val="BodyText"/>
        <w:tabs>
          <w:tab w:val="left" w:pos="0"/>
        </w:tabs>
        <w:ind w:left="4140"/>
      </w:pPr>
      <w:r>
        <w:t>Telephone:  (614) 469-8000</w:t>
      </w:r>
    </w:p>
    <w:p w:rsidR="00E00239" w:rsidRDefault="00C75211">
      <w:pPr>
        <w:pStyle w:val="BodyText"/>
        <w:tabs>
          <w:tab w:val="left" w:pos="0"/>
        </w:tabs>
        <w:ind w:left="4140"/>
      </w:pPr>
      <w:r>
        <w:t>Telecopier:  (614) 469-4653</w:t>
      </w:r>
    </w:p>
    <w:p w:rsidR="00E00239" w:rsidRDefault="00C75211">
      <w:pPr>
        <w:pStyle w:val="BodyText"/>
        <w:tabs>
          <w:tab w:val="left" w:pos="0"/>
        </w:tabs>
        <w:ind w:left="4140"/>
      </w:pPr>
      <w:r>
        <w:t>sam@mwncmh.com</w:t>
      </w:r>
    </w:p>
    <w:p w:rsidR="00E00239" w:rsidRDefault="00C75211">
      <w:pPr>
        <w:pStyle w:val="BodyText"/>
        <w:tabs>
          <w:tab w:val="left" w:pos="0"/>
        </w:tabs>
        <w:ind w:left="4140"/>
      </w:pPr>
      <w:r>
        <w:t>fdarr@mwncmh.com</w:t>
      </w:r>
    </w:p>
    <w:p w:rsidR="00E00239" w:rsidRDefault="00C75211">
      <w:pPr>
        <w:pStyle w:val="BodyText"/>
        <w:tabs>
          <w:tab w:val="left" w:pos="0"/>
        </w:tabs>
        <w:ind w:left="4140"/>
      </w:pPr>
      <w:r>
        <w:t>joliker@mwncmh.com</w:t>
      </w:r>
    </w:p>
    <w:p w:rsidR="00E00239" w:rsidRDefault="00C75211">
      <w:pPr>
        <w:pStyle w:val="BodyText"/>
        <w:tabs>
          <w:tab w:val="left" w:pos="0"/>
        </w:tabs>
        <w:ind w:left="4140"/>
      </w:pPr>
      <w:r>
        <w:t>mpritchard@mwncmh.com</w:t>
      </w:r>
    </w:p>
    <w:p w:rsidR="00E00239" w:rsidRDefault="00E00239">
      <w:pPr>
        <w:pStyle w:val="BodyText"/>
        <w:tabs>
          <w:tab w:val="left" w:pos="0"/>
        </w:tabs>
      </w:pPr>
    </w:p>
    <w:p w:rsidR="00E00239" w:rsidRDefault="00C75211">
      <w:pPr>
        <w:autoSpaceDE w:val="0"/>
        <w:autoSpaceDN w:val="0"/>
        <w:adjustRightInd w:val="0"/>
        <w:ind w:left="4140" w:hanging="4140"/>
        <w:rPr>
          <w:rFonts w:cs="Arial"/>
          <w:b/>
          <w:smallCaps/>
        </w:rPr>
      </w:pPr>
      <w:r>
        <w:rPr>
          <w:rFonts w:cs="Arial"/>
          <w:b/>
        </w:rPr>
        <w:tab/>
      </w:r>
      <w:r>
        <w:rPr>
          <w:rFonts w:cs="Arial"/>
          <w:b/>
          <w:smallCaps/>
        </w:rPr>
        <w:t>Attorneys for Industrial Energy Use</w:t>
      </w:r>
      <w:r>
        <w:rPr>
          <w:rFonts w:cs="Arial"/>
          <w:b/>
          <w:smallCaps/>
        </w:rPr>
        <w:t>rs-Ohio</w:t>
      </w:r>
    </w:p>
    <w:p w:rsidR="00E00239" w:rsidRDefault="00C75211">
      <w:pPr>
        <w:pStyle w:val="ListParagraph"/>
        <w:autoSpaceDE w:val="0"/>
        <w:autoSpaceDN w:val="0"/>
        <w:adjustRightInd w:val="0"/>
        <w:spacing w:after="0" w:line="240" w:lineRule="auto"/>
        <w:ind w:left="0"/>
        <w:rPr>
          <w:rFonts w:cs="Arial"/>
          <w:szCs w:val="24"/>
        </w:rPr>
      </w:pPr>
      <w:r>
        <w:rPr>
          <w:rFonts w:cs="Arial"/>
          <w:szCs w:val="24"/>
        </w:rPr>
        <w:tab/>
      </w:r>
    </w:p>
    <w:p w:rsidR="00E00239" w:rsidRDefault="00E00239">
      <w:pPr>
        <w:pStyle w:val="ListParagraph"/>
        <w:autoSpaceDE w:val="0"/>
        <w:autoSpaceDN w:val="0"/>
        <w:adjustRightInd w:val="0"/>
        <w:spacing w:after="0" w:line="240" w:lineRule="auto"/>
        <w:ind w:left="0"/>
        <w:rPr>
          <w:rFonts w:cs="Arial"/>
          <w:szCs w:val="24"/>
        </w:rPr>
      </w:pPr>
    </w:p>
    <w:p w:rsidR="00E00239" w:rsidRDefault="00E00239">
      <w:pPr>
        <w:pStyle w:val="ListParagraph"/>
        <w:autoSpaceDE w:val="0"/>
        <w:autoSpaceDN w:val="0"/>
        <w:adjustRightInd w:val="0"/>
        <w:spacing w:after="0"/>
        <w:ind w:left="0"/>
        <w:rPr>
          <w:rFonts w:cs="Arial"/>
          <w:szCs w:val="24"/>
        </w:rPr>
      </w:pPr>
    </w:p>
    <w:p w:rsidR="00E00239" w:rsidRDefault="00E00239">
      <w:pPr>
        <w:rPr>
          <w:rFonts w:cs="Arial"/>
          <w:szCs w:val="24"/>
        </w:rPr>
        <w:sectPr w:rsidR="00E00239">
          <w:headerReference w:type="default" r:id="rId28"/>
          <w:footerReference w:type="default" r:id="rId29"/>
          <w:headerReference w:type="first" r:id="rId30"/>
          <w:footerReference w:type="first" r:id="rId31"/>
          <w:pgSz w:w="12240" w:h="15840"/>
          <w:pgMar w:top="1440" w:right="1440" w:bottom="1440" w:left="1440" w:header="720" w:footer="720" w:gutter="0"/>
          <w:cols w:space="720"/>
          <w:docGrid w:linePitch="360"/>
        </w:sectPr>
      </w:pPr>
    </w:p>
    <w:p w:rsidR="00E00239" w:rsidRDefault="00E00239">
      <w:pPr>
        <w:keepNext/>
        <w:spacing w:after="0" w:line="240" w:lineRule="auto"/>
        <w:jc w:val="center"/>
        <w:outlineLvl w:val="3"/>
        <w:rPr>
          <w:rFonts w:eastAsia="Times New Roman" w:cs="Arial"/>
          <w:smallCaps/>
          <w:color w:val="auto"/>
          <w:sz w:val="20"/>
          <w:szCs w:val="20"/>
        </w:rPr>
      </w:pPr>
    </w:p>
    <w:p w:rsidR="00E00239" w:rsidRDefault="00C75211">
      <w:pPr>
        <w:keepNext/>
        <w:spacing w:after="0" w:line="240" w:lineRule="auto"/>
        <w:jc w:val="center"/>
        <w:outlineLvl w:val="3"/>
        <w:rPr>
          <w:rFonts w:eastAsia="Times New Roman" w:cs="Arial"/>
          <w:b/>
          <w:smallCaps/>
          <w:color w:val="auto"/>
          <w:szCs w:val="24"/>
          <w:u w:val="single"/>
        </w:rPr>
      </w:pPr>
      <w:r>
        <w:rPr>
          <w:rFonts w:eastAsia="Times New Roman" w:cs="Arial"/>
          <w:b/>
          <w:smallCaps/>
          <w:color w:val="auto"/>
          <w:szCs w:val="24"/>
          <w:u w:val="single"/>
        </w:rPr>
        <w:t>Certificate of Service</w:t>
      </w:r>
    </w:p>
    <w:p w:rsidR="00E00239" w:rsidRDefault="00E00239">
      <w:pPr>
        <w:spacing w:after="0" w:line="240" w:lineRule="auto"/>
        <w:rPr>
          <w:rFonts w:eastAsia="Times New Roman" w:cs="Times New Roman"/>
          <w:color w:val="auto"/>
          <w:szCs w:val="24"/>
        </w:rPr>
      </w:pPr>
    </w:p>
    <w:p w:rsidR="00E00239" w:rsidRDefault="00C75211">
      <w:pPr>
        <w:spacing w:after="0"/>
        <w:ind w:firstLine="720"/>
        <w:rPr>
          <w:rFonts w:eastAsia="Times New Roman" w:cs="Arial"/>
          <w:b/>
          <w:smallCaps/>
          <w:color w:val="auto"/>
          <w:szCs w:val="24"/>
        </w:rPr>
      </w:pPr>
      <w:r>
        <w:rPr>
          <w:rFonts w:eastAsia="Times New Roman" w:cs="Arial"/>
          <w:color w:val="auto"/>
          <w:szCs w:val="24"/>
        </w:rPr>
        <w:t>I hereby certify that a copy of the foregoing</w:t>
      </w:r>
      <w:r>
        <w:rPr>
          <w:rFonts w:eastAsia="Times New Roman" w:cs="Arial"/>
          <w:i/>
          <w:iCs/>
          <w:color w:val="auto"/>
          <w:szCs w:val="24"/>
        </w:rPr>
        <w:t xml:space="preserve"> Industrial Energy Users-Ohio’s Motion to Strike Ohio Power Company’s Application and Testimony, and Memorandum in Support </w:t>
      </w:r>
      <w:r>
        <w:rPr>
          <w:rFonts w:eastAsia="Times New Roman" w:cs="Arial"/>
          <w:color w:val="auto"/>
          <w:szCs w:val="24"/>
        </w:rPr>
        <w:t>was served upon the following parties of record this 4</w:t>
      </w:r>
      <w:r>
        <w:rPr>
          <w:rFonts w:eastAsia="Times New Roman" w:cs="Arial"/>
          <w:color w:val="auto"/>
          <w:szCs w:val="24"/>
          <w:vertAlign w:val="superscript"/>
        </w:rPr>
        <w:t>th</w:t>
      </w:r>
      <w:r>
        <w:rPr>
          <w:rFonts w:eastAsia="Times New Roman" w:cs="Arial"/>
          <w:color w:val="auto"/>
          <w:szCs w:val="24"/>
        </w:rPr>
        <w:t xml:space="preserve"> day of May 2012, </w:t>
      </w:r>
      <w:r>
        <w:rPr>
          <w:rFonts w:eastAsia="Times New Roman" w:cs="Arial"/>
          <w:i/>
          <w:color w:val="auto"/>
          <w:szCs w:val="24"/>
        </w:rPr>
        <w:t>via</w:t>
      </w:r>
      <w:r>
        <w:rPr>
          <w:rFonts w:eastAsia="Times New Roman" w:cs="Arial"/>
          <w:color w:val="auto"/>
          <w:szCs w:val="24"/>
        </w:rPr>
        <w:t xml:space="preserve"> electronic transmission, hand-delivery or first class U.S. mail, postage prepaid.</w:t>
      </w:r>
    </w:p>
    <w:p w:rsidR="00E00239" w:rsidRDefault="00C75211">
      <w:pPr>
        <w:tabs>
          <w:tab w:val="left" w:pos="-1440"/>
          <w:tab w:val="left" w:pos="-720"/>
          <w:tab w:val="left" w:pos="5040"/>
          <w:tab w:val="center" w:pos="7200"/>
          <w:tab w:val="right" w:pos="9360"/>
        </w:tabs>
        <w:spacing w:after="0" w:line="240" w:lineRule="auto"/>
        <w:ind w:firstLine="5040"/>
        <w:rPr>
          <w:rFonts w:eastAsia="Times New Roman" w:cs="Arial"/>
          <w:color w:val="auto"/>
          <w:szCs w:val="24"/>
        </w:rPr>
      </w:pPr>
      <w:r>
        <w:rPr>
          <w:rFonts w:eastAsia="Times New Roman" w:cs="Arial"/>
          <w:color w:val="auto"/>
          <w:szCs w:val="24"/>
          <w:u w:val="single"/>
        </w:rPr>
        <w:t>/s/ Matthew R. Pritchard</w:t>
      </w:r>
      <w:r>
        <w:rPr>
          <w:rFonts w:eastAsia="Times New Roman" w:cs="Arial"/>
          <w:color w:val="auto"/>
          <w:szCs w:val="24"/>
          <w:u w:val="single"/>
        </w:rPr>
        <w:tab/>
      </w:r>
    </w:p>
    <w:p w:rsidR="00E00239" w:rsidRDefault="00C75211">
      <w:pPr>
        <w:tabs>
          <w:tab w:val="left" w:pos="-1440"/>
          <w:tab w:val="left" w:pos="-720"/>
          <w:tab w:val="left" w:pos="5040"/>
          <w:tab w:val="center" w:pos="7200"/>
        </w:tabs>
        <w:spacing w:after="0" w:line="240" w:lineRule="auto"/>
        <w:ind w:firstLine="5040"/>
        <w:jc w:val="left"/>
        <w:rPr>
          <w:rFonts w:eastAsia="Times New Roman" w:cs="Arial"/>
          <w:color w:val="auto"/>
          <w:szCs w:val="24"/>
        </w:rPr>
      </w:pPr>
      <w:r>
        <w:rPr>
          <w:rFonts w:eastAsia="Times New Roman" w:cs="Arial"/>
          <w:color w:val="auto"/>
          <w:szCs w:val="24"/>
        </w:rPr>
        <w:t>Matthew R. Pritchard</w:t>
      </w:r>
    </w:p>
    <w:p w:rsidR="00E00239" w:rsidRDefault="00E00239">
      <w:pPr>
        <w:tabs>
          <w:tab w:val="left" w:pos="-1440"/>
          <w:tab w:val="left" w:pos="-720"/>
          <w:tab w:val="left" w:pos="5040"/>
          <w:tab w:val="center" w:pos="7200"/>
        </w:tabs>
        <w:spacing w:after="0" w:line="240" w:lineRule="auto"/>
        <w:ind w:firstLine="5040"/>
        <w:jc w:val="left"/>
        <w:rPr>
          <w:rFonts w:eastAsia="Times New Roman" w:cs="Arial"/>
          <w:color w:val="auto"/>
          <w:sz w:val="20"/>
          <w:szCs w:val="20"/>
        </w:rPr>
        <w:sectPr w:rsidR="00E00239">
          <w:headerReference w:type="default" r:id="rId32"/>
          <w:footerReference w:type="default" r:id="rId33"/>
          <w:headerReference w:type="first" r:id="rId34"/>
          <w:footerReference w:type="first" r:id="rId35"/>
          <w:pgSz w:w="12240" w:h="15840"/>
          <w:pgMar w:top="1440" w:right="1440" w:bottom="1440" w:left="1440" w:header="720" w:footer="720" w:gutter="0"/>
          <w:cols w:space="720"/>
          <w:docGrid w:linePitch="360"/>
        </w:sectPr>
      </w:pPr>
    </w:p>
    <w:p w:rsidR="00E00239" w:rsidRDefault="00E00239">
      <w:pPr>
        <w:tabs>
          <w:tab w:val="left" w:pos="-1440"/>
          <w:tab w:val="left" w:pos="-720"/>
          <w:tab w:val="left" w:pos="5040"/>
          <w:tab w:val="center" w:pos="7200"/>
        </w:tabs>
        <w:spacing w:after="0" w:line="240" w:lineRule="auto"/>
        <w:ind w:firstLine="5040"/>
        <w:jc w:val="left"/>
        <w:rPr>
          <w:rFonts w:eastAsia="Times New Roman" w:cs="Arial"/>
          <w:color w:val="auto"/>
          <w:sz w:val="20"/>
          <w:szCs w:val="20"/>
        </w:rPr>
      </w:pPr>
    </w:p>
    <w:p w:rsidR="00E00239" w:rsidRDefault="00E00239">
      <w:pPr>
        <w:tabs>
          <w:tab w:val="left" w:pos="-1440"/>
          <w:tab w:val="left" w:pos="-720"/>
          <w:tab w:val="left" w:pos="5040"/>
          <w:tab w:val="center" w:pos="7200"/>
        </w:tabs>
        <w:spacing w:after="0" w:line="240" w:lineRule="auto"/>
        <w:ind w:firstLine="5040"/>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Matthew J. Satterwhite</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Steven T. Nourse</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Anne M. Vogel</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American Electric Power Service Corporation</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1 Riverside Plaza, 29</w:t>
      </w:r>
      <w:r>
        <w:rPr>
          <w:rFonts w:eastAsia="Times New Roman" w:cs="Arial"/>
          <w:color w:val="auto"/>
          <w:sz w:val="20"/>
          <w:szCs w:val="20"/>
          <w:vertAlign w:val="superscript"/>
        </w:rPr>
        <w:t>th</w:t>
      </w:r>
      <w:r>
        <w:rPr>
          <w:rFonts w:eastAsia="Times New Roman" w:cs="Arial"/>
          <w:color w:val="auto"/>
          <w:sz w:val="20"/>
          <w:szCs w:val="20"/>
        </w:rPr>
        <w:t xml:space="preserve"> Floor</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Columbus, OH  43215</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mjsatterwhite@aep.com</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stnourse@aep.com</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amvogel@aep.com</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Daniel R. Conway</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Christen M. Moore</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Porter Wright Morris &amp; Arthur</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41 S. High</w:t>
      </w:r>
      <w:r>
        <w:rPr>
          <w:rFonts w:eastAsia="Times New Roman" w:cs="Arial"/>
          <w:color w:val="auto"/>
          <w:sz w:val="20"/>
          <w:szCs w:val="20"/>
        </w:rPr>
        <w:t xml:space="preserve"> Street</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Columbus, OH  43215</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dconway@porterwright.com</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cmoore@porterwright.com</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b/>
          <w:smallCaps/>
          <w:color w:val="auto"/>
          <w:sz w:val="20"/>
          <w:szCs w:val="20"/>
        </w:rPr>
      </w:pPr>
      <w:r>
        <w:rPr>
          <w:rFonts w:eastAsia="Times New Roman" w:cs="Arial"/>
          <w:b/>
          <w:smallCaps/>
          <w:color w:val="auto"/>
          <w:sz w:val="20"/>
          <w:szCs w:val="20"/>
        </w:rPr>
        <w:t>On Behalf of Columbus Southern Power Company and Ohio Power Company</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Dorothy K. Corbett</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Amy B. Spiller</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Jeanne W. Kingery</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139 East Fourth Street</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1303-Main</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Cincinnati, OH  45202</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Dorothy.Corbett@duke-energy.com</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Amy.spiller@duke-energy.com</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Jeanne.kingery@duke-energy.com</w:t>
      </w:r>
    </w:p>
    <w:p w:rsidR="00E00239" w:rsidRDefault="00E00239">
      <w:pPr>
        <w:tabs>
          <w:tab w:val="left" w:pos="2160"/>
          <w:tab w:val="left" w:pos="2280"/>
        </w:tabs>
        <w:spacing w:after="0" w:line="240" w:lineRule="auto"/>
        <w:jc w:val="left"/>
        <w:rPr>
          <w:rFonts w:eastAsia="Times New Roman" w:cs="Arial"/>
          <w:b/>
          <w:smallCaps/>
          <w:color w:val="auto"/>
          <w:sz w:val="20"/>
          <w:szCs w:val="20"/>
        </w:rPr>
      </w:pPr>
    </w:p>
    <w:p w:rsidR="00E00239" w:rsidRDefault="00C75211">
      <w:pPr>
        <w:tabs>
          <w:tab w:val="left" w:pos="2160"/>
          <w:tab w:val="left" w:pos="2280"/>
        </w:tabs>
        <w:spacing w:after="0" w:line="240" w:lineRule="auto"/>
        <w:jc w:val="left"/>
        <w:rPr>
          <w:rFonts w:eastAsia="Times New Roman" w:cs="Arial"/>
          <w:b/>
          <w:smallCaps/>
          <w:color w:val="auto"/>
          <w:sz w:val="20"/>
          <w:szCs w:val="20"/>
        </w:rPr>
      </w:pPr>
      <w:r>
        <w:rPr>
          <w:rFonts w:eastAsia="Times New Roman" w:cs="Arial"/>
          <w:b/>
          <w:smallCaps/>
          <w:color w:val="auto"/>
          <w:sz w:val="20"/>
          <w:szCs w:val="20"/>
        </w:rPr>
        <w:t>On Behalf of Duke Energy Retail Sales, LLC and Duke Energy Commercial Asset Management, Inc.</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br w:type="column"/>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Robert A. McMahon</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Eberly McMahon LLC</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2321 Kemper Lane, Suite 100</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Cin</w:t>
      </w:r>
      <w:r>
        <w:rPr>
          <w:rFonts w:eastAsia="Times New Roman" w:cs="Arial"/>
          <w:color w:val="auto"/>
          <w:sz w:val="20"/>
          <w:szCs w:val="20"/>
        </w:rPr>
        <w:t>cinnati, OH  45206</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Rocco D’Ascenzo</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Elisabeth Watts</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Duke Energy Ohio, Inc.</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139 East Fourth Street - 1303-Main</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Cincinnati, OH  45202</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Elizabeth.watts@duke-energy.com</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Rocco.d’ascenzo@duke-energy.com</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color w:val="auto"/>
          <w:sz w:val="20"/>
          <w:szCs w:val="20"/>
        </w:rPr>
      </w:pPr>
      <w:r>
        <w:rPr>
          <w:rFonts w:ascii="Arial Bold" w:eastAsia="Times New Roman" w:hAnsi="Arial Bold" w:cs="Arial"/>
          <w:b/>
          <w:smallCaps/>
          <w:color w:val="auto"/>
          <w:sz w:val="20"/>
          <w:szCs w:val="20"/>
        </w:rPr>
        <w:t>On Behalf of Duke Energy Ohio, Inc.</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David F. Boehm</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Michael L. Kurtz</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Boehm, Kurtz &amp; Lowry</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36 East Seventh Street Suite 1510</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Cincinnati, OH  45202</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dboehm@BKLlawfirm.com</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mkurtz@BKLlawfirm.com</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b/>
          <w:smallCaps/>
          <w:color w:val="auto"/>
          <w:sz w:val="20"/>
          <w:szCs w:val="20"/>
        </w:rPr>
      </w:pPr>
      <w:r>
        <w:rPr>
          <w:rFonts w:eastAsia="Times New Roman" w:cs="Arial"/>
          <w:b/>
          <w:smallCaps/>
          <w:color w:val="auto"/>
          <w:sz w:val="20"/>
          <w:szCs w:val="20"/>
        </w:rPr>
        <w:t>On Behalf of the Ohio Energy Group</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Gregory J. Poulos</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EnerNOC, Inc.</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101 Federal Street, Suite 1100</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Boston, MA  02110</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gpoulos@enernoc.com</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ascii="Arial Bold" w:eastAsia="Times New Roman" w:hAnsi="Arial Bold" w:cs="Arial"/>
          <w:b/>
          <w:smallCaps/>
          <w:color w:val="auto"/>
          <w:sz w:val="20"/>
          <w:szCs w:val="20"/>
        </w:rPr>
      </w:pPr>
      <w:r>
        <w:rPr>
          <w:rFonts w:ascii="Arial Bold" w:eastAsia="Times New Roman" w:hAnsi="Arial Bold" w:cs="Arial"/>
          <w:b/>
          <w:smallCaps/>
          <w:color w:val="auto"/>
          <w:sz w:val="20"/>
          <w:szCs w:val="20"/>
        </w:rPr>
        <w:t>On Behalf of EnerNOC, Inc.</w:t>
      </w:r>
    </w:p>
    <w:p w:rsidR="00E00239" w:rsidRDefault="00C75211">
      <w:pPr>
        <w:tabs>
          <w:tab w:val="left" w:pos="2160"/>
          <w:tab w:val="left" w:pos="2280"/>
        </w:tabs>
        <w:spacing w:after="0" w:line="240" w:lineRule="auto"/>
        <w:jc w:val="left"/>
        <w:rPr>
          <w:rFonts w:eastAsia="Times New Roman" w:cs="Arial"/>
          <w:color w:val="auto"/>
          <w:sz w:val="20"/>
          <w:szCs w:val="20"/>
        </w:rPr>
      </w:pPr>
      <w:r>
        <w:rPr>
          <w:rFonts w:ascii="Arial Bold" w:eastAsia="Times New Roman" w:hAnsi="Arial Bold" w:cs="Arial"/>
          <w:b/>
          <w:smallCaps/>
          <w:color w:val="auto"/>
          <w:sz w:val="20"/>
          <w:szCs w:val="20"/>
        </w:rPr>
        <w:br w:type="column"/>
      </w:r>
      <w:r>
        <w:rPr>
          <w:rFonts w:eastAsia="Times New Roman" w:cs="Arial"/>
          <w:color w:val="auto"/>
          <w:sz w:val="20"/>
          <w:szCs w:val="20"/>
        </w:rPr>
        <w:lastRenderedPageBreak/>
        <w:t xml:space="preserve">Kyle L. Kern </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 xml:space="preserve">Terry L. Etter </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Maureen R. Grady</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Office of the Ohio Consumers’ Counsel</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10 W. Broad Street, 18</w:t>
      </w:r>
      <w:r>
        <w:rPr>
          <w:rFonts w:eastAsia="Times New Roman" w:cs="Arial"/>
          <w:color w:val="auto"/>
          <w:sz w:val="20"/>
          <w:szCs w:val="20"/>
          <w:vertAlign w:val="superscript"/>
        </w:rPr>
        <w:t>th</w:t>
      </w:r>
      <w:r>
        <w:rPr>
          <w:rFonts w:eastAsia="Times New Roman" w:cs="Arial"/>
          <w:color w:val="auto"/>
          <w:sz w:val="20"/>
          <w:szCs w:val="20"/>
        </w:rPr>
        <w:t xml:space="preserve"> Floor</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Columbus, OH  43215-3485</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kern@occ.state.oh.us</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etter@occ.state.oh.us</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grady@occ.state.oh.us</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b/>
          <w:smallCaps/>
          <w:color w:val="auto"/>
          <w:sz w:val="20"/>
          <w:szCs w:val="20"/>
        </w:rPr>
      </w:pPr>
      <w:r>
        <w:rPr>
          <w:rFonts w:eastAsia="Times New Roman" w:cs="Arial"/>
          <w:b/>
          <w:smallCaps/>
          <w:color w:val="auto"/>
          <w:sz w:val="20"/>
          <w:szCs w:val="20"/>
        </w:rPr>
        <w:t>On Behalf of the Office of the Ohio</w:t>
      </w:r>
    </w:p>
    <w:p w:rsidR="00E00239" w:rsidRDefault="00C75211">
      <w:pPr>
        <w:tabs>
          <w:tab w:val="left" w:pos="2160"/>
          <w:tab w:val="left" w:pos="2280"/>
        </w:tabs>
        <w:spacing w:after="0" w:line="240" w:lineRule="auto"/>
        <w:jc w:val="left"/>
        <w:rPr>
          <w:rFonts w:eastAsia="Times New Roman" w:cs="Arial"/>
          <w:b/>
          <w:smallCaps/>
          <w:color w:val="auto"/>
          <w:sz w:val="20"/>
          <w:szCs w:val="20"/>
        </w:rPr>
      </w:pPr>
      <w:r>
        <w:rPr>
          <w:rFonts w:eastAsia="Times New Roman" w:cs="Arial"/>
          <w:b/>
          <w:smallCaps/>
          <w:color w:val="auto"/>
          <w:sz w:val="20"/>
          <w:szCs w:val="20"/>
        </w:rPr>
        <w:t>Consumers’ Counsel</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Richard L. Sites</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General Counsel &amp; Senior Director of Health Policy</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Ohio Hospital Association</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155 East Broad Street, 15</w:t>
      </w:r>
      <w:r>
        <w:rPr>
          <w:rFonts w:eastAsia="Times New Roman" w:cs="Arial"/>
          <w:color w:val="auto"/>
          <w:sz w:val="20"/>
          <w:szCs w:val="20"/>
          <w:vertAlign w:val="superscript"/>
        </w:rPr>
        <w:t>th</w:t>
      </w:r>
      <w:r>
        <w:rPr>
          <w:rFonts w:eastAsia="Times New Roman" w:cs="Arial"/>
          <w:color w:val="auto"/>
          <w:sz w:val="20"/>
          <w:szCs w:val="20"/>
        </w:rPr>
        <w:t xml:space="preserve"> Floor</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Columbus, OH  43215-3620</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ricks@ohanet.org</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Thomas J. O’Brien</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aps/>
          <w:color w:val="auto"/>
          <w:sz w:val="20"/>
          <w:szCs w:val="20"/>
        </w:rPr>
        <w:t>Bricker &amp; E</w:t>
      </w:r>
      <w:r>
        <w:rPr>
          <w:rFonts w:eastAsia="Times New Roman" w:cs="Arial"/>
          <w:caps/>
          <w:color w:val="auto"/>
          <w:sz w:val="20"/>
          <w:szCs w:val="20"/>
        </w:rPr>
        <w:t>ckler</w:t>
      </w:r>
      <w:r>
        <w:rPr>
          <w:rFonts w:eastAsia="Times New Roman" w:cs="Arial"/>
          <w:color w:val="auto"/>
          <w:sz w:val="20"/>
          <w:szCs w:val="20"/>
        </w:rPr>
        <w:t>, LLP</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100 South Third Street</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Columbus, OH  43215-4291</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tobrien@bricker.com</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b/>
          <w:smallCaps/>
          <w:color w:val="auto"/>
          <w:sz w:val="20"/>
          <w:szCs w:val="20"/>
        </w:rPr>
      </w:pPr>
      <w:r>
        <w:rPr>
          <w:rFonts w:eastAsia="Times New Roman" w:cs="Arial"/>
          <w:b/>
          <w:smallCaps/>
          <w:color w:val="auto"/>
          <w:sz w:val="20"/>
          <w:szCs w:val="20"/>
        </w:rPr>
        <w:t>Oh Behalf of Ohio Hospital Association</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Mark S. Yurick</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Zachary D. Kravitz</w:t>
      </w:r>
    </w:p>
    <w:p w:rsidR="00E00239" w:rsidRDefault="00C75211">
      <w:pPr>
        <w:tabs>
          <w:tab w:val="left" w:pos="2160"/>
          <w:tab w:val="left" w:pos="2280"/>
        </w:tabs>
        <w:spacing w:after="0" w:line="240" w:lineRule="auto"/>
        <w:jc w:val="left"/>
        <w:rPr>
          <w:rFonts w:eastAsia="Calibri" w:cs="Arial"/>
          <w:color w:val="auto"/>
          <w:sz w:val="20"/>
          <w:szCs w:val="20"/>
        </w:rPr>
      </w:pPr>
      <w:r>
        <w:rPr>
          <w:rFonts w:eastAsia="Calibri" w:cs="Arial"/>
          <w:color w:val="auto"/>
          <w:sz w:val="20"/>
          <w:szCs w:val="20"/>
        </w:rPr>
        <w:t>Taft Stettinius &amp; Hollister</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65 East State Street, Suite 1000</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Columbus, OH  43215</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myurick@taftlaw.com</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z</w:t>
      </w:r>
      <w:r>
        <w:rPr>
          <w:rFonts w:eastAsia="Times New Roman" w:cs="Arial"/>
          <w:color w:val="auto"/>
          <w:sz w:val="20"/>
          <w:szCs w:val="20"/>
        </w:rPr>
        <w:t>kravitz@taftlaw.com</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b/>
          <w:smallCaps/>
          <w:color w:val="auto"/>
          <w:sz w:val="20"/>
          <w:szCs w:val="20"/>
        </w:rPr>
      </w:pPr>
      <w:r>
        <w:rPr>
          <w:rFonts w:eastAsia="Times New Roman" w:cs="Arial"/>
          <w:b/>
          <w:smallCaps/>
          <w:color w:val="auto"/>
          <w:sz w:val="20"/>
          <w:szCs w:val="20"/>
        </w:rPr>
        <w:t>On Behalf of The Kroger Co.</w:t>
      </w:r>
    </w:p>
    <w:p w:rsidR="00E00239" w:rsidRDefault="00E00239">
      <w:pPr>
        <w:tabs>
          <w:tab w:val="left" w:pos="2160"/>
          <w:tab w:val="left" w:pos="2280"/>
        </w:tabs>
        <w:spacing w:after="0" w:line="240" w:lineRule="auto"/>
        <w:jc w:val="left"/>
        <w:rPr>
          <w:rFonts w:eastAsia="Times New Roman" w:cs="Arial"/>
          <w:smallCaps/>
          <w:color w:val="auto"/>
          <w:sz w:val="20"/>
          <w:szCs w:val="20"/>
        </w:rPr>
      </w:pP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Terrence O’Donnell</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Christopher Montgomery</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aps/>
          <w:color w:val="auto"/>
          <w:sz w:val="20"/>
          <w:szCs w:val="20"/>
        </w:rPr>
        <w:t>Bricker &amp; Eckler</w:t>
      </w:r>
      <w:r>
        <w:rPr>
          <w:rFonts w:eastAsia="Times New Roman" w:cs="Arial"/>
          <w:color w:val="auto"/>
          <w:sz w:val="20"/>
          <w:szCs w:val="20"/>
        </w:rPr>
        <w:t xml:space="preserve"> LLP</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100 South Third Street</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Columbus, OH  43215-4291</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todonnell@bricker.com</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cmontgomery@bricker.com</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b/>
          <w:smallCaps/>
          <w:color w:val="auto"/>
          <w:sz w:val="20"/>
          <w:szCs w:val="20"/>
        </w:rPr>
      </w:pPr>
      <w:r>
        <w:rPr>
          <w:rFonts w:eastAsia="Times New Roman" w:cs="Arial"/>
          <w:b/>
          <w:smallCaps/>
          <w:color w:val="auto"/>
          <w:sz w:val="20"/>
          <w:szCs w:val="20"/>
        </w:rPr>
        <w:t>On Behalf of Paulding Wind Farm II LLC</w:t>
      </w:r>
    </w:p>
    <w:p w:rsidR="00E00239" w:rsidRDefault="00E00239">
      <w:pPr>
        <w:tabs>
          <w:tab w:val="left" w:pos="2160"/>
          <w:tab w:val="left" w:pos="2280"/>
        </w:tabs>
        <w:spacing w:after="0" w:line="240" w:lineRule="auto"/>
        <w:jc w:val="left"/>
        <w:rPr>
          <w:rFonts w:eastAsia="Times New Roman" w:cs="Arial"/>
          <w:b/>
          <w:smallCaps/>
          <w:color w:val="auto"/>
          <w:sz w:val="20"/>
          <w:szCs w:val="20"/>
        </w:rPr>
      </w:pPr>
    </w:p>
    <w:p w:rsidR="00E00239" w:rsidRDefault="00C75211">
      <w:pPr>
        <w:tabs>
          <w:tab w:val="left" w:pos="2160"/>
          <w:tab w:val="left" w:pos="2280"/>
        </w:tabs>
        <w:spacing w:after="0" w:line="240" w:lineRule="auto"/>
        <w:jc w:val="left"/>
        <w:rPr>
          <w:rFonts w:eastAsia="Times New Roman" w:cs="Arial"/>
          <w:b/>
          <w:smallCaps/>
          <w:color w:val="auto"/>
          <w:sz w:val="20"/>
          <w:szCs w:val="20"/>
        </w:rPr>
      </w:pPr>
      <w:r>
        <w:rPr>
          <w:rFonts w:eastAsia="Times New Roman" w:cs="Arial"/>
          <w:b/>
          <w:smallCaps/>
          <w:color w:val="auto"/>
          <w:sz w:val="20"/>
          <w:szCs w:val="20"/>
        </w:rPr>
        <w:t xml:space="preserve"> </w:t>
      </w:r>
      <w:r>
        <w:rPr>
          <w:rFonts w:eastAsia="Times New Roman" w:cs="Arial"/>
          <w:color w:val="auto"/>
          <w:sz w:val="20"/>
          <w:szCs w:val="20"/>
        </w:rPr>
        <w:t>Mark A.</w:t>
      </w:r>
      <w:r>
        <w:rPr>
          <w:rFonts w:eastAsia="Times New Roman" w:cs="Arial"/>
          <w:color w:val="auto"/>
          <w:sz w:val="20"/>
          <w:szCs w:val="20"/>
        </w:rPr>
        <w:t xml:space="preserve"> Hayden</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FirstEnergy Service Company</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76 South Main Street</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Akron, OH  44308</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haydenm@firstenergycorp.com</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br w:type="column"/>
      </w:r>
      <w:r>
        <w:rPr>
          <w:rFonts w:eastAsia="Times New Roman" w:cs="Arial"/>
          <w:color w:val="auto"/>
          <w:sz w:val="20"/>
          <w:szCs w:val="20"/>
        </w:rPr>
        <w:lastRenderedPageBreak/>
        <w:t>James F Lang</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Laura C. McBride</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N. Trevor Alexander</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aps/>
          <w:color w:val="auto"/>
          <w:sz w:val="20"/>
          <w:szCs w:val="20"/>
        </w:rPr>
        <w:t>Calfee, Halter &amp; Griswold</w:t>
      </w:r>
      <w:r>
        <w:rPr>
          <w:rFonts w:eastAsia="Times New Roman" w:cs="Arial"/>
          <w:color w:val="auto"/>
          <w:sz w:val="20"/>
          <w:szCs w:val="20"/>
        </w:rPr>
        <w:t xml:space="preserve"> LLP</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1400 KeyBank Center</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800 Superior Ave.</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Cleveland, OH  44114</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jlang@calfee.c</w:t>
      </w:r>
      <w:r>
        <w:rPr>
          <w:rFonts w:eastAsia="Times New Roman" w:cs="Arial"/>
          <w:color w:val="auto"/>
          <w:sz w:val="20"/>
          <w:szCs w:val="20"/>
        </w:rPr>
        <w:t>om</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lmcbride@calfee.com</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talexander@calfee.com</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David A. Kutik</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Jones Day</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North Point</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901 Lakeside Avenue</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Cleveland, OH  44114</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dakutik@jonesday.com</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Allison E. Haedt</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Jones Day</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P.O. Box 165017</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Columbus, OH  43216-5017</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aehaedt@jonesday.com</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John N. Estes III</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Paul F. Wight</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Skadden, Arps, Slate, Meagher &amp; Flom LLP</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1440 New York Ave., N.W.</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Washington, DC  20005</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jestes@skadden.com</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paul.wight@skadden.com</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b/>
          <w:smallCaps/>
          <w:color w:val="auto"/>
          <w:sz w:val="20"/>
          <w:szCs w:val="20"/>
        </w:rPr>
      </w:pPr>
      <w:r>
        <w:rPr>
          <w:rFonts w:eastAsia="Times New Roman" w:cs="Arial"/>
          <w:b/>
          <w:smallCaps/>
          <w:color w:val="auto"/>
          <w:sz w:val="20"/>
          <w:szCs w:val="20"/>
        </w:rPr>
        <w:t>On Behalf of FirstEnergy Solutions Corp.</w:t>
      </w:r>
    </w:p>
    <w:p w:rsidR="00E00239" w:rsidRDefault="00E00239">
      <w:pPr>
        <w:tabs>
          <w:tab w:val="left" w:pos="2160"/>
          <w:tab w:val="left" w:pos="2280"/>
        </w:tabs>
        <w:spacing w:after="0" w:line="240" w:lineRule="auto"/>
        <w:jc w:val="left"/>
        <w:rPr>
          <w:rFonts w:eastAsia="Times New Roman" w:cs="Arial"/>
          <w:b/>
          <w:smallCaps/>
          <w:color w:val="auto"/>
          <w:sz w:val="20"/>
          <w:szCs w:val="20"/>
        </w:rPr>
      </w:pP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Michael R. Smalz</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Joseph V. Maskovyak</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Ohio Poverty Law Center</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555 Butt</w:t>
      </w:r>
      <w:r>
        <w:rPr>
          <w:rFonts w:eastAsia="Times New Roman" w:cs="Arial"/>
          <w:color w:val="auto"/>
          <w:sz w:val="20"/>
          <w:szCs w:val="20"/>
        </w:rPr>
        <w:t>les Avenue</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Columbus, OH  43215</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msmalz@ohiopovertylaw.org</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jmaskovyak@ohiopovertylaw.org</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b/>
          <w:smallCaps/>
          <w:color w:val="auto"/>
          <w:sz w:val="20"/>
          <w:szCs w:val="20"/>
        </w:rPr>
      </w:pPr>
      <w:r>
        <w:rPr>
          <w:rFonts w:eastAsia="Times New Roman" w:cs="Arial"/>
          <w:b/>
          <w:smallCaps/>
          <w:color w:val="auto"/>
          <w:sz w:val="20"/>
          <w:szCs w:val="20"/>
        </w:rPr>
        <w:t>On Behalf of the Appalachian Peace and Justice Network</w:t>
      </w:r>
    </w:p>
    <w:p w:rsidR="00E00239" w:rsidRDefault="00E00239">
      <w:pPr>
        <w:autoSpaceDE w:val="0"/>
        <w:autoSpaceDN w:val="0"/>
        <w:adjustRightInd w:val="0"/>
        <w:spacing w:after="0" w:line="240" w:lineRule="auto"/>
        <w:jc w:val="left"/>
        <w:rPr>
          <w:rFonts w:eastAsia="Calibri" w:cs="Arial"/>
          <w:color w:val="auto"/>
          <w:sz w:val="20"/>
          <w:szCs w:val="20"/>
        </w:rPr>
      </w:pPr>
    </w:p>
    <w:p w:rsidR="00E00239" w:rsidRDefault="00C75211">
      <w:pPr>
        <w:autoSpaceDE w:val="0"/>
        <w:autoSpaceDN w:val="0"/>
        <w:adjustRightInd w:val="0"/>
        <w:spacing w:after="0" w:line="240" w:lineRule="auto"/>
        <w:jc w:val="left"/>
        <w:rPr>
          <w:rFonts w:eastAsia="Calibri" w:cs="Arial"/>
          <w:color w:val="auto"/>
          <w:sz w:val="20"/>
          <w:szCs w:val="20"/>
        </w:rPr>
      </w:pPr>
      <w:r>
        <w:rPr>
          <w:rFonts w:eastAsia="Calibri" w:cs="Arial"/>
          <w:color w:val="auto"/>
          <w:sz w:val="20"/>
          <w:szCs w:val="20"/>
        </w:rPr>
        <w:t>Lisa G. McAlister</w:t>
      </w:r>
    </w:p>
    <w:p w:rsidR="00E00239" w:rsidRDefault="00C75211">
      <w:pPr>
        <w:autoSpaceDE w:val="0"/>
        <w:autoSpaceDN w:val="0"/>
        <w:adjustRightInd w:val="0"/>
        <w:spacing w:after="0" w:line="240" w:lineRule="auto"/>
        <w:jc w:val="left"/>
        <w:rPr>
          <w:rFonts w:eastAsia="Calibri" w:cs="Arial"/>
          <w:color w:val="auto"/>
          <w:sz w:val="20"/>
          <w:szCs w:val="20"/>
        </w:rPr>
      </w:pPr>
      <w:r>
        <w:rPr>
          <w:rFonts w:eastAsia="Calibri" w:cs="Arial"/>
          <w:color w:val="auto"/>
          <w:sz w:val="20"/>
          <w:szCs w:val="20"/>
        </w:rPr>
        <w:t>Matthew W. Warnock</w:t>
      </w:r>
    </w:p>
    <w:p w:rsidR="00E00239" w:rsidRDefault="00C75211">
      <w:pPr>
        <w:autoSpaceDE w:val="0"/>
        <w:autoSpaceDN w:val="0"/>
        <w:adjustRightInd w:val="0"/>
        <w:spacing w:after="0" w:line="240" w:lineRule="auto"/>
        <w:jc w:val="left"/>
        <w:rPr>
          <w:rFonts w:eastAsia="Calibri" w:cs="Arial"/>
          <w:color w:val="auto"/>
          <w:sz w:val="20"/>
          <w:szCs w:val="20"/>
        </w:rPr>
      </w:pPr>
      <w:r>
        <w:rPr>
          <w:rFonts w:eastAsia="Calibri" w:cs="Arial"/>
          <w:color w:val="auto"/>
          <w:sz w:val="20"/>
          <w:szCs w:val="20"/>
        </w:rPr>
        <w:t>Thomas O’Brien</w:t>
      </w:r>
    </w:p>
    <w:p w:rsidR="00E00239" w:rsidRDefault="00C75211">
      <w:pPr>
        <w:autoSpaceDE w:val="0"/>
        <w:autoSpaceDN w:val="0"/>
        <w:adjustRightInd w:val="0"/>
        <w:spacing w:after="0" w:line="240" w:lineRule="auto"/>
        <w:jc w:val="left"/>
        <w:rPr>
          <w:rFonts w:eastAsia="Calibri" w:cs="Arial"/>
          <w:color w:val="auto"/>
          <w:sz w:val="20"/>
          <w:szCs w:val="20"/>
        </w:rPr>
      </w:pPr>
      <w:r>
        <w:rPr>
          <w:rFonts w:eastAsia="Calibri" w:cs="Arial"/>
          <w:color w:val="auto"/>
          <w:sz w:val="20"/>
          <w:szCs w:val="20"/>
        </w:rPr>
        <w:t>BRICKER &amp; ECKLER LLP</w:t>
      </w:r>
    </w:p>
    <w:p w:rsidR="00E00239" w:rsidRDefault="00C75211">
      <w:pPr>
        <w:autoSpaceDE w:val="0"/>
        <w:autoSpaceDN w:val="0"/>
        <w:adjustRightInd w:val="0"/>
        <w:spacing w:after="0" w:line="240" w:lineRule="auto"/>
        <w:jc w:val="left"/>
        <w:rPr>
          <w:rFonts w:eastAsia="Calibri" w:cs="Arial"/>
          <w:color w:val="auto"/>
          <w:sz w:val="20"/>
          <w:szCs w:val="20"/>
        </w:rPr>
      </w:pPr>
      <w:r>
        <w:rPr>
          <w:rFonts w:eastAsia="Calibri" w:cs="Arial"/>
          <w:color w:val="auto"/>
          <w:sz w:val="20"/>
          <w:szCs w:val="20"/>
        </w:rPr>
        <w:t>100 South Third Street</w:t>
      </w:r>
    </w:p>
    <w:p w:rsidR="00E00239" w:rsidRDefault="00C75211">
      <w:pPr>
        <w:tabs>
          <w:tab w:val="left" w:pos="2160"/>
          <w:tab w:val="left" w:pos="2280"/>
        </w:tabs>
        <w:spacing w:after="0" w:line="240" w:lineRule="auto"/>
        <w:jc w:val="left"/>
        <w:rPr>
          <w:rFonts w:eastAsia="Calibri" w:cs="Arial"/>
          <w:color w:val="auto"/>
          <w:sz w:val="20"/>
          <w:szCs w:val="20"/>
        </w:rPr>
      </w:pPr>
      <w:r>
        <w:rPr>
          <w:rFonts w:eastAsia="Calibri" w:cs="Arial"/>
          <w:color w:val="auto"/>
          <w:sz w:val="20"/>
          <w:szCs w:val="20"/>
        </w:rPr>
        <w:t xml:space="preserve">Columbus, OH </w:t>
      </w:r>
      <w:r>
        <w:rPr>
          <w:rFonts w:eastAsia="Calibri" w:cs="Arial"/>
          <w:color w:val="auto"/>
          <w:sz w:val="20"/>
          <w:szCs w:val="20"/>
        </w:rPr>
        <w:t>43215-4291</w:t>
      </w:r>
    </w:p>
    <w:p w:rsidR="00E00239" w:rsidRDefault="00C75211">
      <w:pPr>
        <w:tabs>
          <w:tab w:val="left" w:pos="2160"/>
          <w:tab w:val="left" w:pos="2280"/>
        </w:tabs>
        <w:spacing w:after="0" w:line="240" w:lineRule="auto"/>
        <w:jc w:val="left"/>
        <w:rPr>
          <w:rFonts w:eastAsia="Calibri" w:cs="Arial"/>
          <w:color w:val="auto"/>
          <w:sz w:val="20"/>
          <w:szCs w:val="20"/>
        </w:rPr>
      </w:pPr>
      <w:r>
        <w:rPr>
          <w:rFonts w:eastAsia="Calibri" w:cs="Arial"/>
          <w:color w:val="auto"/>
          <w:sz w:val="20"/>
          <w:szCs w:val="20"/>
        </w:rPr>
        <w:t>lmcalister@bricker.com</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mwarnock@bricker.com</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tobrien@bricker.com</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b/>
          <w:smallCaps/>
          <w:color w:val="auto"/>
          <w:sz w:val="20"/>
          <w:szCs w:val="20"/>
        </w:rPr>
      </w:pPr>
      <w:r>
        <w:rPr>
          <w:rFonts w:eastAsia="Times New Roman" w:cs="Arial"/>
          <w:b/>
          <w:smallCaps/>
          <w:color w:val="auto"/>
          <w:sz w:val="20"/>
          <w:szCs w:val="20"/>
        </w:rPr>
        <w:t>On Behalf of OMA Energy Group</w:t>
      </w:r>
    </w:p>
    <w:p w:rsidR="00E00239" w:rsidRDefault="00C75211">
      <w:pPr>
        <w:tabs>
          <w:tab w:val="left" w:pos="2160"/>
          <w:tab w:val="left" w:pos="2280"/>
        </w:tabs>
        <w:spacing w:after="0" w:line="240" w:lineRule="auto"/>
        <w:jc w:val="left"/>
        <w:rPr>
          <w:rFonts w:eastAsia="Times New Roman" w:cs="Arial"/>
          <w:b/>
          <w:smallCaps/>
          <w:color w:val="auto"/>
          <w:sz w:val="20"/>
          <w:szCs w:val="20"/>
        </w:rPr>
      </w:pPr>
      <w:r>
        <w:rPr>
          <w:rFonts w:eastAsia="Times New Roman" w:cs="Arial"/>
          <w:color w:val="auto"/>
          <w:sz w:val="20"/>
          <w:szCs w:val="20"/>
        </w:rPr>
        <w:lastRenderedPageBreak/>
        <w:t>Jay E. Jadwin</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American Electric Power Service Corporation</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1 Riverside Plaza, 29</w:t>
      </w:r>
      <w:r>
        <w:rPr>
          <w:rFonts w:eastAsia="Times New Roman" w:cs="Arial"/>
          <w:color w:val="auto"/>
          <w:sz w:val="20"/>
          <w:szCs w:val="20"/>
          <w:vertAlign w:val="superscript"/>
        </w:rPr>
        <w:t>th</w:t>
      </w:r>
      <w:r>
        <w:rPr>
          <w:rFonts w:eastAsia="Times New Roman" w:cs="Arial"/>
          <w:color w:val="auto"/>
          <w:sz w:val="20"/>
          <w:szCs w:val="20"/>
        </w:rPr>
        <w:t xml:space="preserve"> Floor</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Columbus, OH  43215</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jejadwin@aep.com</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b/>
          <w:smallCaps/>
          <w:color w:val="auto"/>
          <w:sz w:val="20"/>
          <w:szCs w:val="20"/>
        </w:rPr>
      </w:pPr>
      <w:r>
        <w:rPr>
          <w:rFonts w:eastAsia="Times New Roman" w:cs="Arial"/>
          <w:b/>
          <w:smallCaps/>
          <w:color w:val="auto"/>
          <w:sz w:val="20"/>
          <w:szCs w:val="20"/>
        </w:rPr>
        <w:t xml:space="preserve">On Behalf of AEP Retail </w:t>
      </w:r>
      <w:r>
        <w:rPr>
          <w:rFonts w:eastAsia="Times New Roman" w:cs="Arial"/>
          <w:b/>
          <w:smallCaps/>
          <w:color w:val="auto"/>
          <w:sz w:val="20"/>
          <w:szCs w:val="20"/>
        </w:rPr>
        <w:t>Energy Partners LLC</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M. Howard Petricoff</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Stephen M. Howard</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Vorys, Sater, Seymour and Pease LLP</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52 E. Gay Street/P.O. Box 1008</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Columbus, OH  43215-1008</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mhpetricoff@vorys.com</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smhoward@vorys.com</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b/>
          <w:smallCaps/>
          <w:color w:val="auto"/>
          <w:sz w:val="20"/>
          <w:szCs w:val="20"/>
        </w:rPr>
      </w:pPr>
      <w:r>
        <w:rPr>
          <w:rFonts w:eastAsia="Times New Roman" w:cs="Arial"/>
          <w:b/>
          <w:smallCaps/>
          <w:color w:val="auto"/>
          <w:sz w:val="20"/>
          <w:szCs w:val="20"/>
        </w:rPr>
        <w:t xml:space="preserve">On Behalf of PJM Power Providers Group and the Retail Energy </w:t>
      </w:r>
      <w:r>
        <w:rPr>
          <w:rFonts w:eastAsia="Times New Roman" w:cs="Arial"/>
          <w:b/>
          <w:smallCaps/>
          <w:color w:val="auto"/>
          <w:sz w:val="20"/>
          <w:szCs w:val="20"/>
        </w:rPr>
        <w:t>Supply Association</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Glen Thomas</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1060 First Avenue, Ste. 400</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King of Prussia, PA  19406</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gthomas@gtpowergroup.com</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Laura Chappelle</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4218 Jacob Meadows</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Okemos, MI  48864</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laurac@chappelleconsulting.net</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b/>
          <w:smallCaps/>
          <w:color w:val="auto"/>
          <w:sz w:val="20"/>
          <w:szCs w:val="20"/>
        </w:rPr>
      </w:pPr>
      <w:r>
        <w:rPr>
          <w:rFonts w:eastAsia="Times New Roman" w:cs="Arial"/>
          <w:b/>
          <w:smallCaps/>
          <w:color w:val="auto"/>
          <w:sz w:val="20"/>
          <w:szCs w:val="20"/>
        </w:rPr>
        <w:t>On Behalf of PJM Power Providers Group</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b/>
          <w:smallCaps/>
          <w:color w:val="auto"/>
          <w:sz w:val="20"/>
          <w:szCs w:val="20"/>
        </w:rPr>
      </w:pPr>
      <w:r>
        <w:rPr>
          <w:rFonts w:eastAsia="Times New Roman" w:cs="Arial"/>
          <w:color w:val="auto"/>
          <w:sz w:val="20"/>
          <w:szCs w:val="20"/>
        </w:rPr>
        <w:t>M. Howard Petricof</w:t>
      </w:r>
      <w:r>
        <w:rPr>
          <w:rFonts w:eastAsia="Times New Roman" w:cs="Arial"/>
          <w:color w:val="auto"/>
          <w:sz w:val="20"/>
          <w:szCs w:val="20"/>
        </w:rPr>
        <w:t>f</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Michael Settineri</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Vorys, Sater, Seymour and Pease LLP</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52 E. Gay Street</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P.O. Box 1008</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Columbus, OH  43215-1008</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mhpetricoff@vorys.com</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mjsettineri@vorys.com</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William L. Massey</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Covington &amp; Burling, LLP</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1201 Pennsylvania Ave., NW</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Washington, DC  20004</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wmassey@cov.com</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Joel Malina</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Executive Director</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COMPLETE Coalition</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1317 F Street, NW</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Suite 600</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Washington, DC  20004</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malina@wexlerwalker.com</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b/>
          <w:smallCaps/>
          <w:color w:val="auto"/>
          <w:sz w:val="20"/>
          <w:szCs w:val="20"/>
        </w:rPr>
      </w:pPr>
      <w:r>
        <w:rPr>
          <w:rFonts w:eastAsia="Times New Roman" w:cs="Arial"/>
          <w:b/>
          <w:smallCaps/>
          <w:color w:val="auto"/>
          <w:sz w:val="20"/>
          <w:szCs w:val="20"/>
        </w:rPr>
        <w:t>On Behalf of the COMPETE Coalition</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lastRenderedPageBreak/>
        <w:t>Henry W. Eckhart</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1200 Chambers Road, Suite 106</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Columbus, OH  43212</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henryeckhart</w:t>
      </w:r>
      <w:r>
        <w:rPr>
          <w:rFonts w:eastAsia="Times New Roman" w:cs="Arial"/>
          <w:color w:val="auto"/>
          <w:sz w:val="20"/>
          <w:szCs w:val="20"/>
        </w:rPr>
        <w:t>@aol.com</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Christopher J. Allwein</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Williams, Allwein and Moser, LLC</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1373 Grandview Ave., Suite 212</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Columbus, OH  43212</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callwein@williamsandmoser.com</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b/>
          <w:smallCaps/>
          <w:color w:val="auto"/>
          <w:sz w:val="20"/>
          <w:szCs w:val="20"/>
        </w:rPr>
      </w:pPr>
      <w:r>
        <w:rPr>
          <w:rFonts w:eastAsia="Times New Roman" w:cs="Arial"/>
          <w:b/>
          <w:smallCaps/>
          <w:color w:val="auto"/>
          <w:sz w:val="20"/>
          <w:szCs w:val="20"/>
        </w:rPr>
        <w:t>On Behalf of the Natural Resources Defense Council and the Sierra Club</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b/>
          <w:smallCaps/>
          <w:color w:val="auto"/>
          <w:sz w:val="20"/>
          <w:szCs w:val="20"/>
        </w:rPr>
      </w:pPr>
      <w:r>
        <w:rPr>
          <w:rFonts w:eastAsia="Times New Roman" w:cs="Arial"/>
          <w:color w:val="auto"/>
          <w:sz w:val="20"/>
          <w:szCs w:val="20"/>
        </w:rPr>
        <w:t>M. Howard Petricoff</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 xml:space="preserve">Michael J. </w:t>
      </w:r>
      <w:r>
        <w:rPr>
          <w:rFonts w:eastAsia="Times New Roman" w:cs="Arial"/>
          <w:color w:val="auto"/>
          <w:sz w:val="20"/>
          <w:szCs w:val="20"/>
        </w:rPr>
        <w:t>Settineri</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Stephen M. Howard</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Vorys, Sater, Seymour and Pease LLP</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52 East Gay Street</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P.O. Box 1008</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Columbus, OH  43216-1008</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mhpetricoff@vorys.com</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mjsettineri@vorys.com</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smhoward@vorys.com</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b/>
          <w:smallCaps/>
          <w:color w:val="auto"/>
          <w:sz w:val="20"/>
          <w:szCs w:val="20"/>
        </w:rPr>
      </w:pPr>
      <w:r>
        <w:rPr>
          <w:rFonts w:eastAsia="Times New Roman" w:cs="Arial"/>
          <w:b/>
          <w:smallCaps/>
          <w:color w:val="auto"/>
          <w:sz w:val="20"/>
          <w:szCs w:val="20"/>
        </w:rPr>
        <w:t>On Behalf of Constellation NewEnergy, Inc., Constellation Energy Commo</w:t>
      </w:r>
      <w:r>
        <w:rPr>
          <w:rFonts w:eastAsia="Times New Roman" w:cs="Arial"/>
          <w:b/>
          <w:smallCaps/>
          <w:color w:val="auto"/>
          <w:sz w:val="20"/>
          <w:szCs w:val="20"/>
        </w:rPr>
        <w:t>dities Group, Inc. , Direct Energy Services, LLC</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Gary A Jeffries</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Assistant General Counsel</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Dominion Resources Services, Inc.</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501 Martindale Street, Suite 400</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Pittsburgh, PA  15212-5817</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Gary.A.Jeffries@aol.com</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b/>
          <w:smallCaps/>
          <w:color w:val="auto"/>
          <w:sz w:val="20"/>
          <w:szCs w:val="20"/>
        </w:rPr>
        <w:t>On Behalf of Dominion Retail, Inc.</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 xml:space="preserve">David I. </w:t>
      </w:r>
      <w:r>
        <w:rPr>
          <w:rFonts w:eastAsia="Times New Roman" w:cs="Arial"/>
          <w:color w:val="auto"/>
          <w:sz w:val="20"/>
          <w:szCs w:val="20"/>
        </w:rPr>
        <w:t>Fein</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Vice President, Energy Policy – Midwest</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Constellation Energy Group, Inc.</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Cynthia Fonner Brady</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Senior Counsel</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Constellation Energy Resources LLC</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550 West Washington Blvd., Suite 300</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Chicago, IL  60661</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david.fein@constellation.com</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cynthia.brady@constellation.com</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b/>
          <w:smallCaps/>
          <w:color w:val="auto"/>
          <w:sz w:val="20"/>
          <w:szCs w:val="20"/>
        </w:rPr>
      </w:pPr>
      <w:r>
        <w:rPr>
          <w:rFonts w:eastAsia="Times New Roman" w:cs="Arial"/>
          <w:b/>
          <w:smallCaps/>
          <w:color w:val="auto"/>
          <w:sz w:val="20"/>
          <w:szCs w:val="20"/>
        </w:rPr>
        <w:t>On Behalf of Constellation NewEnergy, Inc. and Constellation Energy Commodities Group, Inc.</w:t>
      </w:r>
    </w:p>
    <w:p w:rsidR="00E00239" w:rsidRDefault="00C75211">
      <w:pPr>
        <w:autoSpaceDE w:val="0"/>
        <w:autoSpaceDN w:val="0"/>
        <w:adjustRightInd w:val="0"/>
        <w:snapToGrid w:val="0"/>
        <w:spacing w:after="0" w:line="240" w:lineRule="auto"/>
        <w:jc w:val="left"/>
        <w:rPr>
          <w:rFonts w:eastAsia="Times New Roman" w:cs="Arial"/>
          <w:color w:val="000000"/>
          <w:sz w:val="20"/>
          <w:szCs w:val="20"/>
        </w:rPr>
      </w:pPr>
      <w:r>
        <w:rPr>
          <w:rFonts w:eastAsia="Times New Roman" w:cs="Arial"/>
          <w:b/>
          <w:smallCaps/>
          <w:color w:val="auto"/>
          <w:sz w:val="20"/>
          <w:szCs w:val="20"/>
        </w:rPr>
        <w:br w:type="column"/>
      </w:r>
      <w:r>
        <w:rPr>
          <w:rFonts w:eastAsia="Times New Roman" w:cs="Arial"/>
          <w:color w:val="000000"/>
          <w:sz w:val="20"/>
          <w:szCs w:val="20"/>
        </w:rPr>
        <w:lastRenderedPageBreak/>
        <w:t>Jeanine Amid Hummer</w:t>
      </w:r>
    </w:p>
    <w:p w:rsidR="00E00239" w:rsidRDefault="00C75211">
      <w:pPr>
        <w:autoSpaceDE w:val="0"/>
        <w:autoSpaceDN w:val="0"/>
        <w:adjustRightInd w:val="0"/>
        <w:snapToGrid w:val="0"/>
        <w:spacing w:after="0" w:line="240" w:lineRule="auto"/>
        <w:jc w:val="left"/>
        <w:rPr>
          <w:rFonts w:eastAsia="Times New Roman" w:cs="Arial"/>
          <w:color w:val="000000"/>
          <w:sz w:val="20"/>
          <w:szCs w:val="20"/>
        </w:rPr>
      </w:pPr>
      <w:r>
        <w:rPr>
          <w:rFonts w:eastAsia="Times New Roman" w:cs="Arial"/>
          <w:color w:val="000000"/>
          <w:sz w:val="20"/>
          <w:szCs w:val="20"/>
        </w:rPr>
        <w:t>Thomas K. Lindsey</w:t>
      </w:r>
    </w:p>
    <w:p w:rsidR="00E00239" w:rsidRDefault="00C75211">
      <w:pPr>
        <w:autoSpaceDE w:val="0"/>
        <w:autoSpaceDN w:val="0"/>
        <w:adjustRightInd w:val="0"/>
        <w:snapToGrid w:val="0"/>
        <w:spacing w:after="0" w:line="240" w:lineRule="auto"/>
        <w:jc w:val="left"/>
        <w:rPr>
          <w:rFonts w:eastAsia="Times New Roman" w:cs="Arial"/>
          <w:color w:val="000000"/>
          <w:sz w:val="20"/>
          <w:szCs w:val="20"/>
        </w:rPr>
      </w:pPr>
      <w:r>
        <w:rPr>
          <w:rFonts w:eastAsia="Times New Roman" w:cs="Arial"/>
          <w:i/>
          <w:color w:val="000000"/>
          <w:sz w:val="20"/>
          <w:szCs w:val="20"/>
        </w:rPr>
        <w:t xml:space="preserve">  City of Upper Arlington</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Pamela A. Fox</w:t>
      </w:r>
    </w:p>
    <w:p w:rsidR="00E00239" w:rsidRDefault="00C75211">
      <w:pPr>
        <w:tabs>
          <w:tab w:val="left" w:pos="2160"/>
          <w:tab w:val="left" w:pos="2280"/>
        </w:tabs>
        <w:spacing w:after="0" w:line="240" w:lineRule="auto"/>
        <w:jc w:val="left"/>
        <w:rPr>
          <w:rFonts w:eastAsia="Times New Roman" w:cs="Arial"/>
          <w:i/>
          <w:color w:val="auto"/>
          <w:sz w:val="20"/>
          <w:szCs w:val="20"/>
        </w:rPr>
      </w:pPr>
      <w:r>
        <w:rPr>
          <w:rFonts w:eastAsia="Times New Roman" w:cs="Arial"/>
          <w:i/>
          <w:color w:val="auto"/>
          <w:sz w:val="20"/>
          <w:szCs w:val="20"/>
        </w:rPr>
        <w:t xml:space="preserve">  City of Hilliard</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C. Todd Jones,</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 xml:space="preserve">Christopher L. </w:t>
      </w:r>
      <w:r>
        <w:rPr>
          <w:rFonts w:eastAsia="Times New Roman" w:cs="Arial"/>
          <w:color w:val="auto"/>
          <w:sz w:val="20"/>
          <w:szCs w:val="20"/>
        </w:rPr>
        <w:t>Miller,</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Gregory H. Dunn</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Asim Z. Haque</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Ice Miller LLC</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250 West Street</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Columbus, OH  43215</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pfox@hillardohio.gov</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christopher.miller@icemiller.com</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gregory.dunn@icemiller.com</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asim.haque@icemiller.com</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jhummer@uaoh.net</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tlindsey@uaoh.net</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b/>
          <w:smallCaps/>
          <w:color w:val="auto"/>
          <w:sz w:val="20"/>
          <w:szCs w:val="20"/>
        </w:rPr>
      </w:pPr>
      <w:r>
        <w:rPr>
          <w:rFonts w:eastAsia="Times New Roman" w:cs="Arial"/>
          <w:b/>
          <w:smallCaps/>
          <w:color w:val="auto"/>
          <w:sz w:val="20"/>
          <w:szCs w:val="20"/>
        </w:rPr>
        <w:t xml:space="preserve">On Behalf of the City of </w:t>
      </w:r>
      <w:r>
        <w:rPr>
          <w:rFonts w:eastAsia="Times New Roman" w:cs="Arial"/>
          <w:b/>
          <w:smallCaps/>
          <w:color w:val="auto"/>
          <w:sz w:val="20"/>
          <w:szCs w:val="20"/>
        </w:rPr>
        <w:t>Hilliard, Ohio, the City of Grove City, Ohio and the Association of Independent Colleges and Universities of Ohio, The City of Upper Arlington, The City of Hillsboro, Ohio</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Sandy I-ru Grace</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Assistant General Counsel</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Exelon Business Services Company</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101 Con</w:t>
      </w:r>
      <w:r>
        <w:rPr>
          <w:rFonts w:eastAsia="Times New Roman" w:cs="Arial"/>
          <w:color w:val="auto"/>
          <w:sz w:val="20"/>
          <w:szCs w:val="20"/>
        </w:rPr>
        <w:t>stitution Ave., NW</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Suite 400 East</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Washington, DC  20001</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sandy.grace@exeloncorp.com</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 xml:space="preserve">M. Howard Petricoff </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Vorys, Sater, Seymour and Pease LLP</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52 East Gay Street/P.O. Box 1008</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Columbus, OH  43216-1008</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mhpetricoff@vorys.com</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David M. Stahl</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Eimer Stahl Klevorn</w:t>
      </w:r>
      <w:r>
        <w:rPr>
          <w:rFonts w:eastAsia="Times New Roman" w:cs="Arial"/>
          <w:color w:val="auto"/>
          <w:sz w:val="20"/>
          <w:szCs w:val="20"/>
        </w:rPr>
        <w:t xml:space="preserve"> &amp; Solberg LLP</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224 South Michigan Avenue, Suite 1100</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Chicago, IL  60604</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dstahl@eimerstahl.com</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b/>
          <w:smallCaps/>
          <w:color w:val="auto"/>
          <w:sz w:val="20"/>
          <w:szCs w:val="20"/>
        </w:rPr>
      </w:pPr>
      <w:r>
        <w:rPr>
          <w:rFonts w:eastAsia="Times New Roman" w:cs="Arial"/>
          <w:b/>
          <w:smallCaps/>
          <w:color w:val="auto"/>
          <w:sz w:val="20"/>
          <w:szCs w:val="20"/>
        </w:rPr>
        <w:t>On Behalf of Exelon Generation Company, LLC</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Kenneth P. Kreider</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David A. Meyer</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Keating Muething &amp; Klekamp PLL</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One East Fourth Street</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Suite 1400</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 xml:space="preserve">Cincinnati, OH  </w:t>
      </w:r>
      <w:r>
        <w:rPr>
          <w:rFonts w:eastAsia="Times New Roman" w:cs="Arial"/>
          <w:color w:val="auto"/>
          <w:sz w:val="20"/>
          <w:szCs w:val="20"/>
        </w:rPr>
        <w:t>45202</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kpkreider@kmklaw.com</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dmeyer@kmklaw.com</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lastRenderedPageBreak/>
        <w:t>Holly Rachel Smith</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Holly Rachel Smith, PLLC</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Hitt Business Center</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3803 Rectortown Road</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Marshall, VA  20115</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holly@raysmithlaw.com</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Steve W. Chriss</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Manager, State Rate Proceedings</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Wal-Mart Stores, Inc.</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Bentonville,</w:t>
      </w:r>
      <w:r>
        <w:rPr>
          <w:rFonts w:eastAsia="Times New Roman" w:cs="Arial"/>
          <w:color w:val="auto"/>
          <w:sz w:val="20"/>
          <w:szCs w:val="20"/>
        </w:rPr>
        <w:t xml:space="preserve"> AR  72716-0550</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Stephen.Chriss@wal-mart.com</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b/>
          <w:smallCaps/>
          <w:color w:val="auto"/>
          <w:sz w:val="20"/>
          <w:szCs w:val="20"/>
        </w:rPr>
      </w:pPr>
      <w:r>
        <w:rPr>
          <w:rFonts w:eastAsia="Times New Roman" w:cs="Arial"/>
          <w:b/>
          <w:smallCaps/>
          <w:color w:val="auto"/>
          <w:sz w:val="20"/>
          <w:szCs w:val="20"/>
        </w:rPr>
        <w:t>On Behalf of Wal-Mart Stores East, LP and Sam’s East, Inc.</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Barth E. Royer (Counsel of Record)</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Bell &amp; Royer Co., LPA</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33 South Grant Avenue</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Columbus, OH  43215-3927</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BarthRoyer@aol.com</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 xml:space="preserve">Tara C. Santarelli </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Environ</w:t>
      </w:r>
      <w:r>
        <w:rPr>
          <w:rFonts w:eastAsia="Times New Roman" w:cs="Arial"/>
          <w:color w:val="auto"/>
          <w:sz w:val="20"/>
          <w:szCs w:val="20"/>
        </w:rPr>
        <w:t>mental Law &amp; Policy Center</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1207 Grandview Ave., Suite 201</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Columbus, OH  43212</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tsantarelli@elpc.org</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b/>
          <w:smallCaps/>
          <w:color w:val="auto"/>
          <w:sz w:val="20"/>
          <w:szCs w:val="20"/>
        </w:rPr>
      </w:pPr>
      <w:r>
        <w:rPr>
          <w:rFonts w:eastAsia="Times New Roman" w:cs="Arial"/>
          <w:b/>
          <w:smallCaps/>
          <w:color w:val="auto"/>
          <w:sz w:val="20"/>
          <w:szCs w:val="20"/>
        </w:rPr>
        <w:t>On Behalf of the Environmental Law &amp;</w:t>
      </w:r>
    </w:p>
    <w:p w:rsidR="00E00239" w:rsidRDefault="00C75211">
      <w:pPr>
        <w:tabs>
          <w:tab w:val="left" w:pos="2160"/>
          <w:tab w:val="left" w:pos="2280"/>
        </w:tabs>
        <w:spacing w:after="0" w:line="240" w:lineRule="auto"/>
        <w:jc w:val="left"/>
        <w:rPr>
          <w:rFonts w:eastAsia="Times New Roman" w:cs="Arial"/>
          <w:b/>
          <w:smallCaps/>
          <w:color w:val="auto"/>
          <w:sz w:val="20"/>
          <w:szCs w:val="20"/>
        </w:rPr>
      </w:pPr>
      <w:r>
        <w:rPr>
          <w:rFonts w:eastAsia="Times New Roman" w:cs="Arial"/>
          <w:b/>
          <w:smallCaps/>
          <w:color w:val="auto"/>
          <w:sz w:val="20"/>
          <w:szCs w:val="20"/>
        </w:rPr>
        <w:t>Policy Center</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b/>
          <w:smallCaps/>
          <w:color w:val="auto"/>
          <w:sz w:val="20"/>
          <w:szCs w:val="20"/>
        </w:rPr>
      </w:pPr>
      <w:r>
        <w:rPr>
          <w:rFonts w:eastAsia="Times New Roman" w:cs="Arial"/>
          <w:color w:val="auto"/>
          <w:sz w:val="20"/>
          <w:szCs w:val="20"/>
        </w:rPr>
        <w:t>Nolan Moser</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 xml:space="preserve">Trent A. Dougherty </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Camille Yancy</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Cathryn Loucas</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Ohio Environmental Council</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1207 Grandview Avenue, Suite 201</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Columbus, OH  43212-3449</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nolan@theoec.org</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trent@theoec.org</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camille@theoec.org</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cathy@theoec.org.</w:t>
      </w:r>
    </w:p>
    <w:p w:rsidR="00E00239" w:rsidRDefault="00E00239">
      <w:pPr>
        <w:tabs>
          <w:tab w:val="left" w:pos="2160"/>
          <w:tab w:val="left" w:pos="2280"/>
        </w:tabs>
        <w:spacing w:after="0" w:line="240" w:lineRule="auto"/>
        <w:jc w:val="left"/>
        <w:rPr>
          <w:rFonts w:eastAsia="Times New Roman" w:cs="Arial"/>
          <w:b/>
          <w:bCs/>
          <w:color w:val="auto"/>
          <w:sz w:val="20"/>
          <w:szCs w:val="20"/>
        </w:rPr>
      </w:pPr>
    </w:p>
    <w:p w:rsidR="00E00239" w:rsidRDefault="00C75211">
      <w:pPr>
        <w:tabs>
          <w:tab w:val="left" w:pos="2160"/>
          <w:tab w:val="left" w:pos="2280"/>
        </w:tabs>
        <w:spacing w:after="0" w:line="240" w:lineRule="auto"/>
        <w:jc w:val="left"/>
        <w:rPr>
          <w:rFonts w:eastAsia="Times New Roman" w:cs="Arial"/>
          <w:b/>
          <w:bCs/>
          <w:smallCaps/>
          <w:color w:val="auto"/>
          <w:sz w:val="20"/>
          <w:szCs w:val="20"/>
        </w:rPr>
      </w:pPr>
      <w:r>
        <w:rPr>
          <w:rFonts w:eastAsia="Times New Roman" w:cs="Arial"/>
          <w:b/>
          <w:bCs/>
          <w:smallCaps/>
          <w:color w:val="auto"/>
          <w:sz w:val="20"/>
          <w:szCs w:val="20"/>
        </w:rPr>
        <w:t>On Behalf of the Ohio Environmental Council</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Robert Korandovich</w:t>
      </w:r>
    </w:p>
    <w:p w:rsidR="00E00239" w:rsidRDefault="00C75211">
      <w:pPr>
        <w:spacing w:after="0" w:line="240" w:lineRule="auto"/>
        <w:jc w:val="left"/>
        <w:rPr>
          <w:rFonts w:eastAsia="Times New Roman" w:cs="Arial"/>
          <w:color w:val="auto"/>
          <w:sz w:val="20"/>
          <w:szCs w:val="20"/>
        </w:rPr>
      </w:pPr>
      <w:r>
        <w:rPr>
          <w:rFonts w:eastAsia="Times New Roman" w:cs="Arial"/>
          <w:color w:val="auto"/>
          <w:sz w:val="20"/>
          <w:szCs w:val="20"/>
        </w:rPr>
        <w:t>KOREnergy</w:t>
      </w:r>
    </w:p>
    <w:p w:rsidR="00E00239" w:rsidRDefault="00C75211">
      <w:pPr>
        <w:spacing w:after="0" w:line="240" w:lineRule="auto"/>
        <w:jc w:val="left"/>
        <w:rPr>
          <w:rFonts w:eastAsia="Times New Roman" w:cs="Arial"/>
          <w:color w:val="auto"/>
          <w:sz w:val="20"/>
          <w:szCs w:val="20"/>
        </w:rPr>
      </w:pPr>
      <w:r>
        <w:rPr>
          <w:rFonts w:eastAsia="Times New Roman" w:cs="Arial"/>
          <w:color w:val="auto"/>
          <w:sz w:val="20"/>
          <w:szCs w:val="20"/>
        </w:rPr>
        <w:t>P.O. Box 148</w:t>
      </w:r>
    </w:p>
    <w:p w:rsidR="00E00239" w:rsidRDefault="00C75211">
      <w:pPr>
        <w:spacing w:after="0" w:line="240" w:lineRule="auto"/>
        <w:jc w:val="left"/>
        <w:rPr>
          <w:rFonts w:eastAsia="Times New Roman" w:cs="Arial"/>
          <w:color w:val="auto"/>
          <w:sz w:val="20"/>
          <w:szCs w:val="20"/>
        </w:rPr>
      </w:pPr>
      <w:r>
        <w:rPr>
          <w:rFonts w:eastAsia="Times New Roman" w:cs="Arial"/>
          <w:color w:val="auto"/>
          <w:sz w:val="20"/>
          <w:szCs w:val="20"/>
        </w:rPr>
        <w:t>Sunbury, OH</w:t>
      </w:r>
      <w:r>
        <w:rPr>
          <w:rFonts w:eastAsia="Times New Roman" w:cs="Arial"/>
          <w:color w:val="auto"/>
          <w:sz w:val="20"/>
          <w:szCs w:val="20"/>
        </w:rPr>
        <w:t xml:space="preserve">  43074</w:t>
      </w:r>
    </w:p>
    <w:p w:rsidR="00E00239" w:rsidRDefault="00C75211">
      <w:pPr>
        <w:spacing w:after="0" w:line="240" w:lineRule="auto"/>
        <w:jc w:val="left"/>
        <w:rPr>
          <w:rFonts w:eastAsia="Times New Roman" w:cs="Arial"/>
          <w:color w:val="auto"/>
          <w:sz w:val="20"/>
          <w:szCs w:val="20"/>
        </w:rPr>
      </w:pPr>
      <w:r>
        <w:rPr>
          <w:rFonts w:eastAsia="Times New Roman" w:cs="Arial"/>
          <w:color w:val="auto"/>
          <w:sz w:val="20"/>
          <w:szCs w:val="20"/>
        </w:rPr>
        <w:t>korenergy@insight.rr.com</w:t>
      </w:r>
    </w:p>
    <w:p w:rsidR="00E00239" w:rsidRDefault="00E00239">
      <w:pPr>
        <w:spacing w:after="0" w:line="240" w:lineRule="auto"/>
        <w:jc w:val="left"/>
        <w:rPr>
          <w:rFonts w:eastAsia="Times New Roman" w:cs="Arial"/>
          <w:color w:val="auto"/>
          <w:sz w:val="20"/>
          <w:szCs w:val="20"/>
        </w:rPr>
      </w:pPr>
    </w:p>
    <w:p w:rsidR="00E00239" w:rsidRDefault="00C75211">
      <w:pPr>
        <w:spacing w:after="0" w:line="240" w:lineRule="auto"/>
        <w:jc w:val="left"/>
        <w:rPr>
          <w:rFonts w:eastAsia="Calibri" w:cs="Arial"/>
          <w:b/>
          <w:smallCaps/>
          <w:color w:val="auto"/>
          <w:sz w:val="20"/>
          <w:szCs w:val="20"/>
        </w:rPr>
      </w:pPr>
      <w:r>
        <w:rPr>
          <w:rFonts w:eastAsia="Calibri" w:cs="Arial"/>
          <w:b/>
          <w:smallCaps/>
          <w:color w:val="auto"/>
          <w:sz w:val="20"/>
          <w:szCs w:val="20"/>
        </w:rPr>
        <w:t>On Behalf of KOREnergy</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br w:type="column"/>
      </w:r>
      <w:r>
        <w:rPr>
          <w:rFonts w:eastAsia="Times New Roman" w:cs="Arial"/>
          <w:color w:val="auto"/>
          <w:sz w:val="20"/>
          <w:szCs w:val="20"/>
        </w:rPr>
        <w:lastRenderedPageBreak/>
        <w:t>Douglas G. Bonner</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Emma F. Hand</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Keith C. Nusbaum</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Clinton A. Vince</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Daniel D. Barnowski</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James Rubin</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 xml:space="preserve">Thomas Millar </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SNR Denton US LLP</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1301 K Street NW</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Suite 600, East Tower</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Washington, DC 20005</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doug.bonner@snrdenton.com</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emma.hand@snrdenton.com</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keith.nusbaum@snrdenton.com</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clinton.vince@snrdenton.com</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daniel.barnowski@snrdenton.con</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james.rubin@snrdenton.com</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thomas.millar@snrdenton.com</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Arthur Beeman</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SNR Den</w:t>
      </w:r>
      <w:r>
        <w:rPr>
          <w:rFonts w:eastAsia="Times New Roman" w:cs="Arial"/>
          <w:color w:val="auto"/>
          <w:sz w:val="20"/>
          <w:szCs w:val="20"/>
        </w:rPr>
        <w:t>ton US LLP</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525 Market Street, 26</w:t>
      </w:r>
      <w:r>
        <w:rPr>
          <w:rFonts w:eastAsia="Times New Roman" w:cs="Arial"/>
          <w:color w:val="auto"/>
          <w:sz w:val="20"/>
          <w:szCs w:val="20"/>
          <w:vertAlign w:val="superscript"/>
        </w:rPr>
        <w:t>th</w:t>
      </w:r>
      <w:r>
        <w:rPr>
          <w:rFonts w:eastAsia="Times New Roman" w:cs="Arial"/>
          <w:color w:val="auto"/>
          <w:sz w:val="20"/>
          <w:szCs w:val="20"/>
        </w:rPr>
        <w:t xml:space="preserve"> Floor</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San Francisco, CA  941-5-2708</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arthur.beeman@snrdenton.com</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b/>
          <w:smallCaps/>
          <w:color w:val="auto"/>
          <w:sz w:val="20"/>
          <w:szCs w:val="20"/>
        </w:rPr>
      </w:pPr>
      <w:r>
        <w:rPr>
          <w:rFonts w:eastAsia="Times New Roman" w:cs="Arial"/>
          <w:b/>
          <w:smallCaps/>
          <w:color w:val="auto"/>
          <w:sz w:val="20"/>
          <w:szCs w:val="20"/>
        </w:rPr>
        <w:t>On Behalf of Ormet Primary Aluminum Corporation</w:t>
      </w:r>
    </w:p>
    <w:p w:rsidR="00E00239" w:rsidRDefault="00E00239">
      <w:pPr>
        <w:tabs>
          <w:tab w:val="left" w:pos="2160"/>
          <w:tab w:val="left" w:pos="2280"/>
        </w:tabs>
        <w:spacing w:after="0" w:line="240" w:lineRule="auto"/>
        <w:jc w:val="left"/>
        <w:rPr>
          <w:rFonts w:eastAsia="Times New Roman" w:cs="Arial"/>
          <w:b/>
          <w:smallCaps/>
          <w:color w:val="auto"/>
          <w:sz w:val="20"/>
          <w:szCs w:val="20"/>
        </w:rPr>
      </w:pP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Jay L. Kooper</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Katherine Guerry</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Hess Corporation</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One Hess Plaza</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Woodbridge, NJ  07095</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jkooper@hess.com</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kguerry@hess.com</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ascii="Arial Bold" w:eastAsia="Times New Roman" w:hAnsi="Arial Bold" w:cs="Arial"/>
          <w:b/>
          <w:smallCaps/>
          <w:color w:val="auto"/>
          <w:sz w:val="20"/>
          <w:szCs w:val="20"/>
        </w:rPr>
      </w:pPr>
      <w:r>
        <w:rPr>
          <w:rFonts w:ascii="Arial Bold" w:eastAsia="Times New Roman" w:hAnsi="Arial Bold" w:cs="Arial"/>
          <w:b/>
          <w:smallCaps/>
          <w:color w:val="auto"/>
          <w:sz w:val="20"/>
          <w:szCs w:val="20"/>
        </w:rPr>
        <w:t>On Behalf of Hess Corporation</w:t>
      </w:r>
    </w:p>
    <w:p w:rsidR="00E00239" w:rsidRDefault="00E00239">
      <w:pPr>
        <w:tabs>
          <w:tab w:val="left" w:pos="2160"/>
          <w:tab w:val="left" w:pos="2280"/>
        </w:tabs>
        <w:spacing w:after="0" w:line="240" w:lineRule="auto"/>
        <w:jc w:val="left"/>
        <w:rPr>
          <w:rFonts w:eastAsia="Calibri" w:cs="Arial"/>
          <w:color w:val="000000"/>
          <w:sz w:val="20"/>
          <w:szCs w:val="20"/>
        </w:rPr>
      </w:pPr>
    </w:p>
    <w:p w:rsidR="00E00239" w:rsidRDefault="00C75211">
      <w:pPr>
        <w:tabs>
          <w:tab w:val="left" w:pos="2160"/>
          <w:tab w:val="left" w:pos="2280"/>
        </w:tabs>
        <w:spacing w:after="0" w:line="240" w:lineRule="auto"/>
        <w:jc w:val="left"/>
        <w:rPr>
          <w:rFonts w:eastAsia="Calibri" w:cs="Arial"/>
          <w:color w:val="000000"/>
          <w:sz w:val="20"/>
          <w:szCs w:val="20"/>
        </w:rPr>
      </w:pPr>
      <w:r>
        <w:rPr>
          <w:rFonts w:eastAsia="Calibri" w:cs="Arial"/>
          <w:color w:val="000000"/>
          <w:sz w:val="20"/>
          <w:szCs w:val="20"/>
        </w:rPr>
        <w:t>Allen Freifeld</w:t>
      </w:r>
    </w:p>
    <w:p w:rsidR="00E00239" w:rsidRDefault="00C75211">
      <w:pPr>
        <w:autoSpaceDE w:val="0"/>
        <w:autoSpaceDN w:val="0"/>
        <w:adjustRightInd w:val="0"/>
        <w:spacing w:after="0" w:line="240" w:lineRule="auto"/>
        <w:jc w:val="left"/>
        <w:rPr>
          <w:rFonts w:eastAsia="Calibri" w:cs="Arial"/>
          <w:color w:val="000000"/>
          <w:sz w:val="20"/>
          <w:szCs w:val="20"/>
        </w:rPr>
      </w:pPr>
      <w:r>
        <w:rPr>
          <w:rFonts w:eastAsia="Calibri" w:cs="Arial"/>
          <w:color w:val="000000"/>
          <w:sz w:val="20"/>
          <w:szCs w:val="20"/>
        </w:rPr>
        <w:t>Samuel A. Wolfe</w:t>
      </w:r>
    </w:p>
    <w:p w:rsidR="00E00239" w:rsidRDefault="00C75211">
      <w:pPr>
        <w:autoSpaceDE w:val="0"/>
        <w:autoSpaceDN w:val="0"/>
        <w:adjustRightInd w:val="0"/>
        <w:spacing w:after="0" w:line="240" w:lineRule="auto"/>
        <w:jc w:val="left"/>
        <w:rPr>
          <w:rFonts w:eastAsia="Calibri" w:cs="Arial"/>
          <w:color w:val="000000"/>
          <w:sz w:val="20"/>
          <w:szCs w:val="20"/>
        </w:rPr>
      </w:pPr>
      <w:r>
        <w:rPr>
          <w:rFonts w:eastAsia="Calibri" w:cs="Arial"/>
          <w:color w:val="000000"/>
          <w:sz w:val="20"/>
          <w:szCs w:val="20"/>
        </w:rPr>
        <w:t>Viridity Energy, Inc.</w:t>
      </w:r>
    </w:p>
    <w:p w:rsidR="00E00239" w:rsidRDefault="00C75211">
      <w:pPr>
        <w:autoSpaceDE w:val="0"/>
        <w:autoSpaceDN w:val="0"/>
        <w:adjustRightInd w:val="0"/>
        <w:spacing w:after="0" w:line="240" w:lineRule="auto"/>
        <w:jc w:val="left"/>
        <w:rPr>
          <w:rFonts w:eastAsia="Calibri" w:cs="Arial"/>
          <w:color w:val="000000"/>
          <w:sz w:val="20"/>
          <w:szCs w:val="20"/>
        </w:rPr>
      </w:pPr>
      <w:r>
        <w:rPr>
          <w:rFonts w:eastAsia="Calibri" w:cs="Arial"/>
          <w:color w:val="000000"/>
          <w:sz w:val="20"/>
          <w:szCs w:val="20"/>
        </w:rPr>
        <w:t>100 West Elm Street, Suite 410</w:t>
      </w:r>
    </w:p>
    <w:p w:rsidR="00E00239" w:rsidRDefault="00C75211">
      <w:pPr>
        <w:autoSpaceDE w:val="0"/>
        <w:autoSpaceDN w:val="0"/>
        <w:adjustRightInd w:val="0"/>
        <w:spacing w:after="0" w:line="240" w:lineRule="auto"/>
        <w:jc w:val="left"/>
        <w:rPr>
          <w:rFonts w:eastAsia="Calibri" w:cs="Arial"/>
          <w:color w:val="000000"/>
          <w:sz w:val="20"/>
          <w:szCs w:val="20"/>
        </w:rPr>
      </w:pPr>
      <w:r>
        <w:rPr>
          <w:rFonts w:eastAsia="Calibri" w:cs="Arial"/>
          <w:color w:val="000000"/>
          <w:sz w:val="20"/>
          <w:szCs w:val="20"/>
        </w:rPr>
        <w:t>Conshohocken, PA 19428</w:t>
      </w:r>
    </w:p>
    <w:p w:rsidR="00E00239" w:rsidRDefault="00C75211">
      <w:pPr>
        <w:autoSpaceDE w:val="0"/>
        <w:autoSpaceDN w:val="0"/>
        <w:adjustRightInd w:val="0"/>
        <w:spacing w:after="0" w:line="240" w:lineRule="auto"/>
        <w:jc w:val="left"/>
        <w:rPr>
          <w:rFonts w:eastAsia="Calibri" w:cs="Arial"/>
          <w:color w:val="auto"/>
          <w:sz w:val="20"/>
          <w:szCs w:val="20"/>
        </w:rPr>
      </w:pPr>
      <w:r>
        <w:rPr>
          <w:rFonts w:eastAsia="Calibri" w:cs="Arial"/>
          <w:color w:val="auto"/>
          <w:sz w:val="20"/>
          <w:szCs w:val="20"/>
        </w:rPr>
        <w:t>afreifeld@viridityenergy.com</w:t>
      </w:r>
    </w:p>
    <w:p w:rsidR="00E00239" w:rsidRDefault="00C75211">
      <w:pPr>
        <w:autoSpaceDE w:val="0"/>
        <w:autoSpaceDN w:val="0"/>
        <w:adjustRightInd w:val="0"/>
        <w:spacing w:after="0" w:line="240" w:lineRule="auto"/>
        <w:jc w:val="left"/>
        <w:rPr>
          <w:rFonts w:eastAsia="Calibri" w:cs="Arial"/>
          <w:color w:val="auto"/>
          <w:sz w:val="20"/>
          <w:szCs w:val="20"/>
        </w:rPr>
      </w:pPr>
      <w:r>
        <w:rPr>
          <w:rFonts w:eastAsia="Calibri" w:cs="Arial"/>
          <w:color w:val="auto"/>
          <w:sz w:val="20"/>
          <w:szCs w:val="20"/>
        </w:rPr>
        <w:t>swolfe@viridityenergy.com</w:t>
      </w:r>
    </w:p>
    <w:p w:rsidR="00E00239" w:rsidRDefault="00E00239">
      <w:pPr>
        <w:autoSpaceDE w:val="0"/>
        <w:autoSpaceDN w:val="0"/>
        <w:adjustRightInd w:val="0"/>
        <w:spacing w:after="0" w:line="240" w:lineRule="auto"/>
        <w:jc w:val="left"/>
        <w:rPr>
          <w:rFonts w:eastAsia="Calibri" w:cs="Arial"/>
          <w:color w:val="auto"/>
          <w:sz w:val="20"/>
          <w:szCs w:val="20"/>
        </w:rPr>
      </w:pPr>
    </w:p>
    <w:p w:rsidR="00E00239" w:rsidRDefault="00C75211">
      <w:pPr>
        <w:autoSpaceDE w:val="0"/>
        <w:autoSpaceDN w:val="0"/>
        <w:adjustRightInd w:val="0"/>
        <w:spacing w:after="0" w:line="240" w:lineRule="auto"/>
        <w:jc w:val="left"/>
        <w:rPr>
          <w:rFonts w:eastAsia="Calibri" w:cs="Arial"/>
          <w:color w:val="auto"/>
          <w:sz w:val="20"/>
          <w:szCs w:val="20"/>
        </w:rPr>
      </w:pPr>
      <w:r>
        <w:rPr>
          <w:rFonts w:eastAsia="Calibri" w:cs="Arial"/>
          <w:color w:val="auto"/>
          <w:sz w:val="20"/>
          <w:szCs w:val="20"/>
        </w:rPr>
        <w:t xml:space="preserve">Jacqueline Lake Roberts, </w:t>
      </w:r>
    </w:p>
    <w:p w:rsidR="00E00239" w:rsidRDefault="00C75211">
      <w:pPr>
        <w:autoSpaceDE w:val="0"/>
        <w:autoSpaceDN w:val="0"/>
        <w:adjustRightInd w:val="0"/>
        <w:spacing w:after="0" w:line="240" w:lineRule="auto"/>
        <w:jc w:val="left"/>
        <w:rPr>
          <w:rFonts w:eastAsia="Calibri" w:cs="Arial"/>
          <w:color w:val="auto"/>
          <w:sz w:val="20"/>
          <w:szCs w:val="20"/>
        </w:rPr>
      </w:pPr>
      <w:r>
        <w:rPr>
          <w:rFonts w:eastAsia="Calibri" w:cs="Arial"/>
          <w:color w:val="auto"/>
          <w:sz w:val="20"/>
          <w:szCs w:val="20"/>
        </w:rPr>
        <w:t>Counsel of Record</w:t>
      </w:r>
    </w:p>
    <w:p w:rsidR="00E00239" w:rsidRDefault="00C75211">
      <w:pPr>
        <w:autoSpaceDE w:val="0"/>
        <w:autoSpaceDN w:val="0"/>
        <w:adjustRightInd w:val="0"/>
        <w:spacing w:after="0" w:line="240" w:lineRule="auto"/>
        <w:jc w:val="left"/>
        <w:rPr>
          <w:rFonts w:eastAsia="Calibri" w:cs="Arial"/>
          <w:color w:val="auto"/>
          <w:sz w:val="20"/>
          <w:szCs w:val="20"/>
        </w:rPr>
      </w:pPr>
      <w:r>
        <w:rPr>
          <w:rFonts w:eastAsia="Calibri" w:cs="Arial"/>
          <w:color w:val="auto"/>
          <w:sz w:val="20"/>
          <w:szCs w:val="20"/>
        </w:rPr>
        <w:t>101 Federal Street, Suite 1100</w:t>
      </w:r>
    </w:p>
    <w:p w:rsidR="00E00239" w:rsidRDefault="00C75211">
      <w:pPr>
        <w:autoSpaceDE w:val="0"/>
        <w:autoSpaceDN w:val="0"/>
        <w:adjustRightInd w:val="0"/>
        <w:spacing w:after="0" w:line="240" w:lineRule="auto"/>
        <w:jc w:val="left"/>
        <w:rPr>
          <w:rFonts w:eastAsia="Calibri" w:cs="Arial"/>
          <w:color w:val="auto"/>
          <w:sz w:val="20"/>
          <w:szCs w:val="20"/>
        </w:rPr>
      </w:pPr>
      <w:r>
        <w:rPr>
          <w:rFonts w:eastAsia="Calibri" w:cs="Arial"/>
          <w:color w:val="auto"/>
          <w:sz w:val="20"/>
          <w:szCs w:val="20"/>
        </w:rPr>
        <w:t>Boston, MA 02110</w:t>
      </w:r>
    </w:p>
    <w:p w:rsidR="00E00239" w:rsidRDefault="00C75211">
      <w:pPr>
        <w:autoSpaceDE w:val="0"/>
        <w:autoSpaceDN w:val="0"/>
        <w:adjustRightInd w:val="0"/>
        <w:spacing w:after="0" w:line="240" w:lineRule="auto"/>
        <w:jc w:val="left"/>
        <w:rPr>
          <w:rFonts w:eastAsia="Calibri" w:cs="Arial"/>
          <w:color w:val="auto"/>
          <w:sz w:val="20"/>
          <w:szCs w:val="20"/>
        </w:rPr>
      </w:pPr>
      <w:r>
        <w:rPr>
          <w:rFonts w:eastAsia="Calibri" w:cs="Arial"/>
          <w:color w:val="auto"/>
          <w:sz w:val="20"/>
          <w:szCs w:val="20"/>
        </w:rPr>
        <w:t>jroberts@enernoc.com</w:t>
      </w:r>
    </w:p>
    <w:p w:rsidR="00E00239" w:rsidRDefault="00E00239">
      <w:pPr>
        <w:autoSpaceDE w:val="0"/>
        <w:autoSpaceDN w:val="0"/>
        <w:adjustRightInd w:val="0"/>
        <w:spacing w:after="0" w:line="240" w:lineRule="auto"/>
        <w:jc w:val="left"/>
        <w:rPr>
          <w:rFonts w:eastAsia="Calibri" w:cs="Arial"/>
          <w:color w:val="auto"/>
          <w:sz w:val="20"/>
          <w:szCs w:val="20"/>
        </w:rPr>
      </w:pPr>
    </w:p>
    <w:p w:rsidR="00E00239" w:rsidRDefault="00C75211">
      <w:pPr>
        <w:spacing w:after="0" w:line="240" w:lineRule="auto"/>
        <w:jc w:val="left"/>
        <w:rPr>
          <w:rFonts w:eastAsia="Calibri" w:cs="Arial"/>
          <w:b/>
          <w:smallCaps/>
          <w:color w:val="auto"/>
          <w:sz w:val="20"/>
          <w:szCs w:val="20"/>
        </w:rPr>
      </w:pPr>
      <w:r>
        <w:rPr>
          <w:rFonts w:eastAsia="Times New Roman" w:cs="Arial"/>
          <w:b/>
          <w:smallCaps/>
          <w:color w:val="auto"/>
          <w:sz w:val="20"/>
          <w:szCs w:val="20"/>
        </w:rPr>
        <w:t>On Behalf of CPower, Inc., Viridity Energy, Inc., EnergyConnect Inc., Comverge Inc., Enerwise Global Technologies, Inc., and Energy Curtailment Specialists, Inc.</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lastRenderedPageBreak/>
        <w:t>Benita Kahn</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 xml:space="preserve">Lija </w:t>
      </w:r>
      <w:r>
        <w:rPr>
          <w:rFonts w:eastAsia="Times New Roman" w:cs="Arial"/>
          <w:color w:val="auto"/>
          <w:sz w:val="20"/>
          <w:szCs w:val="20"/>
        </w:rPr>
        <w:t>Kaleps-Clark</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Vorys Sater, Seymour and Pease LLC</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52 East Gay Street, P.O. Box 1008</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Columbus, OH  43216-1008</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bakahn@vorys.com</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lkalepsclark@vorys.com</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ascii="Arial Bold" w:eastAsia="Times New Roman" w:hAnsi="Arial Bold" w:cs="Arial"/>
          <w:b/>
          <w:smallCaps/>
          <w:color w:val="auto"/>
          <w:sz w:val="20"/>
          <w:szCs w:val="20"/>
        </w:rPr>
      </w:pPr>
      <w:r>
        <w:rPr>
          <w:rFonts w:ascii="Arial Bold" w:eastAsia="Times New Roman" w:hAnsi="Arial Bold" w:cs="Arial"/>
          <w:b/>
          <w:smallCaps/>
          <w:color w:val="auto"/>
          <w:sz w:val="20"/>
          <w:szCs w:val="20"/>
        </w:rPr>
        <w:t>On Behalf of Ohio Cable Telecommunications Association</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Mark A. Whitt</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Melissa L. Thompson</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 xml:space="preserve">Whitt Sturtevant </w:t>
      </w:r>
      <w:r>
        <w:rPr>
          <w:rFonts w:eastAsia="Times New Roman" w:cs="Arial"/>
          <w:color w:val="auto"/>
          <w:sz w:val="20"/>
          <w:szCs w:val="20"/>
        </w:rPr>
        <w:t>LLP</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PNC Plaza, Suite 2020</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155 East Broad Street</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Columbus, OH  43215</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whit@whitt-sturtevant.com</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thompson@whitt-sturtevant.com</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Vincent Parisi</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Matthew White</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Interstate Gas Supply, Inc.</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6100 Emerald Parkway</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Dublin, OH  43016</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vparisi@igsenergy.com</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mswhite@igsenergy.com</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ascii="Arial Bold" w:eastAsia="Times New Roman" w:hAnsi="Arial Bold" w:cs="Arial"/>
          <w:b/>
          <w:smallCaps/>
          <w:color w:val="auto"/>
          <w:sz w:val="20"/>
          <w:szCs w:val="20"/>
        </w:rPr>
      </w:pPr>
      <w:r>
        <w:rPr>
          <w:rFonts w:ascii="Arial Bold" w:eastAsia="Times New Roman" w:hAnsi="Arial Bold" w:cs="Arial"/>
          <w:b/>
          <w:smallCaps/>
          <w:color w:val="auto"/>
          <w:sz w:val="20"/>
          <w:szCs w:val="20"/>
        </w:rPr>
        <w:t>On Behalf of Interstate Gas Supply, Inc.</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Dane Stinson</w:t>
      </w:r>
    </w:p>
    <w:p w:rsidR="00E00239" w:rsidRDefault="00C75211">
      <w:pPr>
        <w:tabs>
          <w:tab w:val="left" w:pos="2160"/>
          <w:tab w:val="left" w:pos="2280"/>
        </w:tabs>
        <w:spacing w:after="0" w:line="240" w:lineRule="auto"/>
        <w:jc w:val="left"/>
        <w:rPr>
          <w:rFonts w:eastAsia="Times New Roman" w:cs="Arial"/>
          <w:smallCaps/>
          <w:color w:val="auto"/>
          <w:sz w:val="20"/>
          <w:szCs w:val="20"/>
        </w:rPr>
      </w:pPr>
      <w:r>
        <w:rPr>
          <w:rFonts w:eastAsia="Times New Roman" w:cs="Arial"/>
          <w:smallCaps/>
          <w:color w:val="auto"/>
          <w:sz w:val="20"/>
          <w:szCs w:val="20"/>
        </w:rPr>
        <w:t>Bailey Cavalieri LLC</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10 West Broad Street, Suite 2100</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Columbus, OH  43215</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b/>
          <w:smallCaps/>
          <w:color w:val="auto"/>
          <w:sz w:val="20"/>
          <w:szCs w:val="20"/>
        </w:rPr>
      </w:pPr>
      <w:r>
        <w:rPr>
          <w:rFonts w:eastAsia="Times New Roman" w:cs="Arial"/>
          <w:b/>
          <w:smallCaps/>
          <w:color w:val="auto"/>
          <w:sz w:val="20"/>
          <w:szCs w:val="20"/>
        </w:rPr>
        <w:t>On Behalf of The Ohio Association of School Business Officials, The Ohio School Boards Association, The</w:t>
      </w:r>
      <w:r>
        <w:rPr>
          <w:rFonts w:eastAsia="Times New Roman" w:cs="Arial"/>
          <w:b/>
          <w:smallCaps/>
          <w:color w:val="auto"/>
          <w:sz w:val="20"/>
          <w:szCs w:val="20"/>
        </w:rPr>
        <w:t xml:space="preserve"> Ohio Schools Council and The Buckeye Association of School Administrators</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Chad A. Endsley</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Chief Legal Counsel</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Ohio Farm Bureau Federation</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280 North High Street, P.O. Box 182383</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Columbus, OH  43218-2383</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cendsley@ofbf.org.</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ascii="Arial Bold" w:eastAsia="Times New Roman" w:hAnsi="Arial Bold" w:cs="Arial"/>
          <w:b/>
          <w:smallCaps/>
          <w:color w:val="auto"/>
          <w:sz w:val="20"/>
          <w:szCs w:val="20"/>
        </w:rPr>
      </w:pPr>
      <w:r>
        <w:rPr>
          <w:rFonts w:ascii="Arial Bold" w:eastAsia="Times New Roman" w:hAnsi="Arial Bold" w:cs="Arial"/>
          <w:b/>
          <w:smallCaps/>
          <w:color w:val="auto"/>
          <w:sz w:val="20"/>
          <w:szCs w:val="20"/>
        </w:rPr>
        <w:t xml:space="preserve">On Behalf of the Ohio Farm </w:t>
      </w:r>
      <w:r>
        <w:rPr>
          <w:rFonts w:ascii="Arial Bold" w:eastAsia="Times New Roman" w:hAnsi="Arial Bold" w:cs="Arial"/>
          <w:b/>
          <w:smallCaps/>
          <w:color w:val="auto"/>
          <w:sz w:val="20"/>
          <w:szCs w:val="20"/>
        </w:rPr>
        <w:t>Bureau Federation</w:t>
      </w:r>
    </w:p>
    <w:p w:rsidR="00E00239" w:rsidRDefault="00C75211">
      <w:pPr>
        <w:tabs>
          <w:tab w:val="left" w:pos="2160"/>
          <w:tab w:val="left" w:pos="2280"/>
        </w:tabs>
        <w:spacing w:after="0" w:line="240" w:lineRule="auto"/>
        <w:jc w:val="left"/>
        <w:rPr>
          <w:rFonts w:eastAsia="Times New Roman" w:cs="Arial"/>
          <w:color w:val="auto"/>
          <w:sz w:val="20"/>
          <w:szCs w:val="20"/>
        </w:rPr>
      </w:pPr>
      <w:r>
        <w:rPr>
          <w:rFonts w:ascii="Arial Bold" w:eastAsia="Times New Roman" w:hAnsi="Arial Bold" w:cs="Arial"/>
          <w:b/>
          <w:smallCaps/>
          <w:color w:val="auto"/>
          <w:sz w:val="20"/>
          <w:szCs w:val="20"/>
        </w:rPr>
        <w:br w:type="column"/>
      </w:r>
      <w:r>
        <w:rPr>
          <w:rFonts w:eastAsia="Times New Roman" w:cs="Arial"/>
          <w:color w:val="auto"/>
          <w:sz w:val="20"/>
          <w:szCs w:val="20"/>
        </w:rPr>
        <w:lastRenderedPageBreak/>
        <w:t>Brian P. Barger</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Brady, Coyle &amp; Schmidt, LTD</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4052 Holland-Sylvania Rd.</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Toledo, OH  43623</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bpbarger@bcslawyers.com</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b/>
          <w:smallCaps/>
          <w:color w:val="auto"/>
          <w:sz w:val="20"/>
          <w:szCs w:val="20"/>
        </w:rPr>
      </w:pPr>
      <w:r>
        <w:rPr>
          <w:rFonts w:eastAsia="Times New Roman" w:cs="Arial"/>
          <w:b/>
          <w:smallCaps/>
          <w:color w:val="auto"/>
          <w:sz w:val="20"/>
          <w:szCs w:val="20"/>
        </w:rPr>
        <w:t>On Behalf of the Ohio Construction Materials Coalition</w:t>
      </w:r>
    </w:p>
    <w:p w:rsidR="00E00239" w:rsidRDefault="00E00239">
      <w:pPr>
        <w:tabs>
          <w:tab w:val="left" w:pos="2160"/>
          <w:tab w:val="left" w:pos="2280"/>
        </w:tabs>
        <w:spacing w:after="0" w:line="240" w:lineRule="auto"/>
        <w:jc w:val="left"/>
        <w:rPr>
          <w:rFonts w:eastAsia="Times New Roman" w:cs="Arial"/>
          <w:b/>
          <w:smallCaps/>
          <w:color w:val="auto"/>
          <w:sz w:val="20"/>
          <w:szCs w:val="20"/>
        </w:rPr>
      </w:pP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Diem N. Kaelber</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Robert J Walter</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10 West Broad Street, Suite 1300</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Columbus, OH 43215</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kaelber@buckleyking.com</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walter@buckleyking.com</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b/>
          <w:smallCaps/>
          <w:color w:val="auto"/>
          <w:sz w:val="20"/>
          <w:szCs w:val="20"/>
        </w:rPr>
      </w:pPr>
      <w:r>
        <w:rPr>
          <w:rFonts w:eastAsia="Times New Roman" w:cs="Arial"/>
          <w:b/>
          <w:smallCaps/>
          <w:color w:val="auto"/>
          <w:sz w:val="20"/>
          <w:szCs w:val="20"/>
        </w:rPr>
        <w:t>On Behalf of Ohio Restaurant Association</w:t>
      </w:r>
    </w:p>
    <w:p w:rsidR="00E00239" w:rsidRDefault="00E00239">
      <w:pPr>
        <w:tabs>
          <w:tab w:val="left" w:pos="2160"/>
          <w:tab w:val="left" w:pos="2280"/>
        </w:tabs>
        <w:spacing w:after="0" w:line="240" w:lineRule="auto"/>
        <w:jc w:val="left"/>
        <w:rPr>
          <w:rFonts w:eastAsia="Times New Roman" w:cs="Arial"/>
          <w:b/>
          <w:smallCaps/>
          <w:color w:val="auto"/>
          <w:sz w:val="20"/>
          <w:szCs w:val="20"/>
        </w:rPr>
      </w:pP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Judi L. Sobecki</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Randall V. Griffin</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The Dayton Power and Light Company</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1065 Woodman Drive</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Dayton, OH  45432</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Judi.sobecki@dplinc.com</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Randall.griffin@dplinc.com</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b/>
          <w:smallCaps/>
          <w:color w:val="auto"/>
          <w:sz w:val="20"/>
          <w:szCs w:val="20"/>
        </w:rPr>
        <w:t>On Behalf of The Dayton Power and Light Company</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Sara Reich Bruce</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Ohio Automobile Dealers Association</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655 Metro Place South, Suite 270</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Dublin, OH  43017</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sbruce@oada.com</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b/>
          <w:smallCaps/>
          <w:color w:val="auto"/>
          <w:sz w:val="20"/>
          <w:szCs w:val="20"/>
        </w:rPr>
        <w:t>On Behalf of the Ohio Automobile Dealers Association</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Jose</w:t>
      </w:r>
      <w:r>
        <w:rPr>
          <w:rFonts w:eastAsia="Times New Roman" w:cs="Arial"/>
          <w:color w:val="auto"/>
          <w:sz w:val="20"/>
          <w:szCs w:val="20"/>
        </w:rPr>
        <w:t>ph M. Clark</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Direct Energy Services LLC</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And Direct Energy Business LLC</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6641 North High Street, Suite 200</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Worthington, OH  43085</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jmclark@vectren.com</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b/>
          <w:smallCaps/>
          <w:color w:val="auto"/>
          <w:sz w:val="20"/>
          <w:szCs w:val="20"/>
        </w:rPr>
      </w:pPr>
      <w:r>
        <w:rPr>
          <w:rFonts w:eastAsia="Times New Roman" w:cs="Arial"/>
          <w:b/>
          <w:smallCaps/>
          <w:color w:val="auto"/>
          <w:sz w:val="20"/>
          <w:szCs w:val="20"/>
        </w:rPr>
        <w:t>On Behalf of Direct Energy Services, LLC and Direct Energy Business, LLC</w:t>
      </w:r>
    </w:p>
    <w:p w:rsidR="00E00239" w:rsidRDefault="00E00239">
      <w:pPr>
        <w:autoSpaceDE w:val="0"/>
        <w:autoSpaceDN w:val="0"/>
        <w:adjustRightInd w:val="0"/>
        <w:snapToGrid w:val="0"/>
        <w:spacing w:after="0" w:line="240" w:lineRule="auto"/>
        <w:jc w:val="left"/>
        <w:rPr>
          <w:rFonts w:eastAsia="Times New Roman" w:cs="Arial"/>
          <w:color w:val="000000"/>
          <w:sz w:val="20"/>
          <w:szCs w:val="20"/>
        </w:rPr>
      </w:pPr>
    </w:p>
    <w:p w:rsidR="00E00239" w:rsidRDefault="00C75211">
      <w:pPr>
        <w:autoSpaceDE w:val="0"/>
        <w:autoSpaceDN w:val="0"/>
        <w:adjustRightInd w:val="0"/>
        <w:snapToGrid w:val="0"/>
        <w:spacing w:after="0" w:line="240" w:lineRule="auto"/>
        <w:jc w:val="left"/>
        <w:rPr>
          <w:rFonts w:eastAsia="Times New Roman" w:cs="Arial"/>
          <w:color w:val="000000"/>
          <w:sz w:val="20"/>
          <w:szCs w:val="20"/>
        </w:rPr>
      </w:pPr>
      <w:r>
        <w:rPr>
          <w:rFonts w:eastAsia="Times New Roman" w:cs="Arial"/>
          <w:color w:val="000000"/>
          <w:sz w:val="20"/>
          <w:szCs w:val="20"/>
        </w:rPr>
        <w:t>Todd M. Williams</w:t>
      </w:r>
    </w:p>
    <w:p w:rsidR="00E00239" w:rsidRDefault="00C75211">
      <w:pPr>
        <w:autoSpaceDE w:val="0"/>
        <w:autoSpaceDN w:val="0"/>
        <w:adjustRightInd w:val="0"/>
        <w:snapToGrid w:val="0"/>
        <w:spacing w:after="0" w:line="240" w:lineRule="auto"/>
        <w:jc w:val="left"/>
        <w:rPr>
          <w:rFonts w:eastAsia="Times New Roman" w:cs="Arial"/>
          <w:color w:val="000000"/>
          <w:sz w:val="20"/>
          <w:szCs w:val="20"/>
        </w:rPr>
      </w:pPr>
      <w:r>
        <w:rPr>
          <w:rFonts w:eastAsia="Times New Roman" w:cs="Arial"/>
          <w:color w:val="000000"/>
          <w:sz w:val="20"/>
          <w:szCs w:val="20"/>
        </w:rPr>
        <w:t xml:space="preserve">Williams Allwein </w:t>
      </w:r>
      <w:r>
        <w:rPr>
          <w:rFonts w:eastAsia="Times New Roman" w:cs="Arial"/>
          <w:color w:val="000000"/>
          <w:sz w:val="20"/>
          <w:szCs w:val="20"/>
        </w:rPr>
        <w:t>and Moser, LLC</w:t>
      </w:r>
    </w:p>
    <w:p w:rsidR="00E00239" w:rsidRDefault="00C75211">
      <w:pPr>
        <w:autoSpaceDE w:val="0"/>
        <w:autoSpaceDN w:val="0"/>
        <w:adjustRightInd w:val="0"/>
        <w:snapToGrid w:val="0"/>
        <w:spacing w:after="0" w:line="240" w:lineRule="auto"/>
        <w:jc w:val="left"/>
        <w:rPr>
          <w:rFonts w:eastAsia="Times New Roman" w:cs="Arial"/>
          <w:color w:val="000000"/>
          <w:sz w:val="20"/>
          <w:szCs w:val="20"/>
        </w:rPr>
      </w:pPr>
      <w:r>
        <w:rPr>
          <w:rFonts w:eastAsia="Times New Roman" w:cs="Arial"/>
          <w:color w:val="000000"/>
          <w:sz w:val="20"/>
          <w:szCs w:val="20"/>
        </w:rPr>
        <w:t>Two Maritime Plaza-Third Floor</w:t>
      </w:r>
    </w:p>
    <w:p w:rsidR="00E00239" w:rsidRDefault="00C75211">
      <w:pPr>
        <w:autoSpaceDE w:val="0"/>
        <w:autoSpaceDN w:val="0"/>
        <w:adjustRightInd w:val="0"/>
        <w:snapToGrid w:val="0"/>
        <w:spacing w:after="0" w:line="240" w:lineRule="auto"/>
        <w:jc w:val="left"/>
        <w:rPr>
          <w:rFonts w:eastAsia="Times New Roman" w:cs="Arial"/>
          <w:color w:val="000000"/>
          <w:sz w:val="20"/>
          <w:szCs w:val="20"/>
        </w:rPr>
      </w:pPr>
      <w:r>
        <w:rPr>
          <w:rFonts w:eastAsia="Times New Roman" w:cs="Arial"/>
          <w:color w:val="000000"/>
          <w:sz w:val="20"/>
          <w:szCs w:val="20"/>
        </w:rPr>
        <w:t>Toledo, OH 43604</w:t>
      </w:r>
    </w:p>
    <w:p w:rsidR="00E00239" w:rsidRDefault="00C75211">
      <w:pPr>
        <w:autoSpaceDE w:val="0"/>
        <w:autoSpaceDN w:val="0"/>
        <w:adjustRightInd w:val="0"/>
        <w:snapToGrid w:val="0"/>
        <w:spacing w:after="0" w:line="240" w:lineRule="auto"/>
        <w:jc w:val="left"/>
        <w:rPr>
          <w:rFonts w:eastAsia="Times New Roman" w:cs="Arial"/>
          <w:color w:val="auto"/>
          <w:sz w:val="20"/>
          <w:szCs w:val="20"/>
        </w:rPr>
      </w:pPr>
      <w:r>
        <w:rPr>
          <w:rFonts w:eastAsia="Times New Roman" w:cs="Arial"/>
          <w:color w:val="auto"/>
          <w:sz w:val="20"/>
          <w:szCs w:val="20"/>
        </w:rPr>
        <w:t>toddm@wamenergylaw.com</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b/>
          <w:smallCaps/>
          <w:color w:val="auto"/>
          <w:sz w:val="20"/>
          <w:szCs w:val="20"/>
        </w:rPr>
      </w:pPr>
      <w:r>
        <w:rPr>
          <w:rFonts w:eastAsia="Times New Roman" w:cs="Arial"/>
          <w:b/>
          <w:smallCaps/>
          <w:color w:val="auto"/>
          <w:sz w:val="20"/>
          <w:szCs w:val="20"/>
        </w:rPr>
        <w:t>On Behalf of the Ohio Business Council for a Clean Economy</w:t>
      </w:r>
    </w:p>
    <w:p w:rsidR="00E00239" w:rsidRDefault="00C75211">
      <w:pPr>
        <w:autoSpaceDE w:val="0"/>
        <w:autoSpaceDN w:val="0"/>
        <w:adjustRightInd w:val="0"/>
        <w:snapToGrid w:val="0"/>
        <w:spacing w:after="0" w:line="240" w:lineRule="auto"/>
        <w:jc w:val="left"/>
        <w:rPr>
          <w:rFonts w:eastAsia="Times New Roman" w:cs="Arial"/>
          <w:color w:val="000000"/>
          <w:sz w:val="20"/>
          <w:szCs w:val="20"/>
        </w:rPr>
      </w:pPr>
      <w:r>
        <w:rPr>
          <w:rFonts w:eastAsia="Times New Roman" w:cs="Arial"/>
          <w:color w:val="000000"/>
          <w:sz w:val="20"/>
          <w:szCs w:val="20"/>
        </w:rPr>
        <w:lastRenderedPageBreak/>
        <w:t>Matthew R. Cox</w:t>
      </w:r>
    </w:p>
    <w:p w:rsidR="00E00239" w:rsidRDefault="00C75211">
      <w:pPr>
        <w:autoSpaceDE w:val="0"/>
        <w:autoSpaceDN w:val="0"/>
        <w:adjustRightInd w:val="0"/>
        <w:snapToGrid w:val="0"/>
        <w:spacing w:after="0" w:line="240" w:lineRule="auto"/>
        <w:jc w:val="left"/>
        <w:rPr>
          <w:rFonts w:eastAsia="Times New Roman" w:cs="Arial"/>
          <w:color w:val="000000"/>
          <w:sz w:val="20"/>
          <w:szCs w:val="20"/>
        </w:rPr>
      </w:pPr>
      <w:r>
        <w:rPr>
          <w:rFonts w:eastAsia="Times New Roman" w:cs="Arial"/>
          <w:color w:val="000000"/>
          <w:sz w:val="20"/>
          <w:szCs w:val="20"/>
        </w:rPr>
        <w:t>Matthew Cox Law, Ltd.</w:t>
      </w:r>
    </w:p>
    <w:p w:rsidR="00E00239" w:rsidRDefault="00C75211">
      <w:pPr>
        <w:autoSpaceDE w:val="0"/>
        <w:autoSpaceDN w:val="0"/>
        <w:adjustRightInd w:val="0"/>
        <w:snapToGrid w:val="0"/>
        <w:spacing w:after="0" w:line="240" w:lineRule="auto"/>
        <w:jc w:val="left"/>
        <w:rPr>
          <w:rFonts w:eastAsia="Times New Roman" w:cs="Arial"/>
          <w:color w:val="000000"/>
          <w:sz w:val="20"/>
          <w:szCs w:val="20"/>
        </w:rPr>
      </w:pPr>
      <w:r>
        <w:rPr>
          <w:rFonts w:eastAsia="Times New Roman" w:cs="Arial"/>
          <w:color w:val="000000"/>
          <w:sz w:val="20"/>
          <w:szCs w:val="20"/>
        </w:rPr>
        <w:t>4145 St. Theresa Blvd.</w:t>
      </w:r>
    </w:p>
    <w:p w:rsidR="00E00239" w:rsidRDefault="00C75211">
      <w:pPr>
        <w:autoSpaceDE w:val="0"/>
        <w:autoSpaceDN w:val="0"/>
        <w:adjustRightInd w:val="0"/>
        <w:snapToGrid w:val="0"/>
        <w:spacing w:after="0" w:line="240" w:lineRule="auto"/>
        <w:jc w:val="left"/>
        <w:rPr>
          <w:rFonts w:eastAsia="Times New Roman" w:cs="Arial"/>
          <w:color w:val="000000"/>
          <w:sz w:val="20"/>
          <w:szCs w:val="20"/>
        </w:rPr>
      </w:pPr>
      <w:r>
        <w:rPr>
          <w:rFonts w:eastAsia="Times New Roman" w:cs="Arial"/>
          <w:color w:val="000000"/>
          <w:sz w:val="20"/>
          <w:szCs w:val="20"/>
        </w:rPr>
        <w:t>Avon, OH 44011</w:t>
      </w:r>
    </w:p>
    <w:p w:rsidR="00E00239" w:rsidRDefault="00C75211">
      <w:pPr>
        <w:autoSpaceDE w:val="0"/>
        <w:autoSpaceDN w:val="0"/>
        <w:adjustRightInd w:val="0"/>
        <w:snapToGrid w:val="0"/>
        <w:spacing w:after="0" w:line="240" w:lineRule="auto"/>
        <w:jc w:val="left"/>
        <w:rPr>
          <w:rFonts w:eastAsia="Times New Roman" w:cs="Arial"/>
          <w:color w:val="000000"/>
          <w:sz w:val="20"/>
          <w:szCs w:val="20"/>
        </w:rPr>
      </w:pPr>
      <w:r>
        <w:rPr>
          <w:rFonts w:eastAsia="Times New Roman" w:cs="Arial"/>
          <w:color w:val="000000"/>
          <w:sz w:val="20"/>
          <w:szCs w:val="20"/>
        </w:rPr>
        <w:t>matt@matthewcoxlaw.com</w:t>
      </w:r>
    </w:p>
    <w:p w:rsidR="00E00239" w:rsidRDefault="00E00239">
      <w:pPr>
        <w:tabs>
          <w:tab w:val="left" w:pos="2160"/>
          <w:tab w:val="left" w:pos="2280"/>
        </w:tabs>
        <w:spacing w:after="0" w:line="240" w:lineRule="auto"/>
        <w:jc w:val="left"/>
        <w:rPr>
          <w:rFonts w:eastAsia="Times New Roman" w:cs="Arial"/>
          <w:color w:val="000000"/>
          <w:sz w:val="20"/>
          <w:szCs w:val="20"/>
        </w:rPr>
      </w:pPr>
    </w:p>
    <w:p w:rsidR="00E00239" w:rsidRDefault="00C75211">
      <w:pPr>
        <w:autoSpaceDE w:val="0"/>
        <w:autoSpaceDN w:val="0"/>
        <w:adjustRightInd w:val="0"/>
        <w:snapToGrid w:val="0"/>
        <w:spacing w:after="0" w:line="240" w:lineRule="auto"/>
        <w:jc w:val="left"/>
        <w:rPr>
          <w:rFonts w:ascii="Arial Bold" w:eastAsia="Times New Roman" w:hAnsi="Arial Bold" w:cs="Arial"/>
          <w:b/>
          <w:smallCaps/>
          <w:color w:val="000000"/>
          <w:sz w:val="20"/>
          <w:szCs w:val="20"/>
        </w:rPr>
      </w:pPr>
      <w:r>
        <w:rPr>
          <w:rFonts w:ascii="Arial Bold" w:eastAsia="Times New Roman" w:hAnsi="Arial Bold" w:cs="Arial"/>
          <w:b/>
          <w:smallCaps/>
          <w:color w:val="000000"/>
          <w:sz w:val="20"/>
          <w:szCs w:val="20"/>
        </w:rPr>
        <w:t xml:space="preserve">On Behalf of the Council of Smaller Enterprises (COSE) </w:t>
      </w:r>
    </w:p>
    <w:p w:rsidR="00E00239" w:rsidRDefault="00E00239">
      <w:pPr>
        <w:autoSpaceDE w:val="0"/>
        <w:autoSpaceDN w:val="0"/>
        <w:adjustRightInd w:val="0"/>
        <w:snapToGrid w:val="0"/>
        <w:spacing w:after="0" w:line="240" w:lineRule="auto"/>
        <w:jc w:val="left"/>
        <w:rPr>
          <w:rFonts w:eastAsia="Times New Roman" w:cs="Arial"/>
          <w:b/>
          <w:color w:val="000000"/>
          <w:sz w:val="20"/>
          <w:szCs w:val="20"/>
        </w:rPr>
      </w:pPr>
    </w:p>
    <w:p w:rsidR="00E00239" w:rsidRDefault="00C75211">
      <w:pPr>
        <w:autoSpaceDE w:val="0"/>
        <w:autoSpaceDN w:val="0"/>
        <w:adjustRightInd w:val="0"/>
        <w:snapToGrid w:val="0"/>
        <w:spacing w:after="0" w:line="240" w:lineRule="auto"/>
        <w:jc w:val="left"/>
        <w:rPr>
          <w:rFonts w:eastAsia="Times New Roman" w:cs="Arial"/>
          <w:color w:val="000000"/>
          <w:sz w:val="20"/>
          <w:szCs w:val="20"/>
        </w:rPr>
      </w:pPr>
      <w:r>
        <w:rPr>
          <w:rFonts w:eastAsia="Times New Roman" w:cs="Arial"/>
          <w:color w:val="000000"/>
          <w:sz w:val="20"/>
          <w:szCs w:val="20"/>
        </w:rPr>
        <w:t>Carolyn S. Flahive</w:t>
      </w:r>
    </w:p>
    <w:p w:rsidR="00E00239" w:rsidRDefault="00C75211">
      <w:pPr>
        <w:autoSpaceDE w:val="0"/>
        <w:autoSpaceDN w:val="0"/>
        <w:adjustRightInd w:val="0"/>
        <w:snapToGrid w:val="0"/>
        <w:spacing w:after="0" w:line="240" w:lineRule="auto"/>
        <w:jc w:val="left"/>
        <w:rPr>
          <w:rFonts w:eastAsia="Times New Roman" w:cs="Arial"/>
          <w:color w:val="000000"/>
          <w:sz w:val="20"/>
          <w:szCs w:val="20"/>
        </w:rPr>
      </w:pPr>
      <w:r>
        <w:rPr>
          <w:rFonts w:eastAsia="Times New Roman" w:cs="Arial"/>
          <w:color w:val="000000"/>
          <w:sz w:val="20"/>
          <w:szCs w:val="20"/>
        </w:rPr>
        <w:t>Stephanie M. Chmiel</w:t>
      </w:r>
    </w:p>
    <w:p w:rsidR="00E00239" w:rsidRDefault="00C75211">
      <w:pPr>
        <w:autoSpaceDE w:val="0"/>
        <w:autoSpaceDN w:val="0"/>
        <w:adjustRightInd w:val="0"/>
        <w:snapToGrid w:val="0"/>
        <w:spacing w:after="0" w:line="240" w:lineRule="auto"/>
        <w:jc w:val="left"/>
        <w:rPr>
          <w:rFonts w:eastAsia="Times New Roman" w:cs="Arial"/>
          <w:color w:val="000000"/>
          <w:sz w:val="20"/>
          <w:szCs w:val="20"/>
        </w:rPr>
      </w:pPr>
      <w:r>
        <w:rPr>
          <w:rFonts w:eastAsia="Times New Roman" w:cs="Arial"/>
          <w:color w:val="000000"/>
          <w:sz w:val="20"/>
          <w:szCs w:val="20"/>
        </w:rPr>
        <w:t>THOMPSON HINE LLP</w:t>
      </w:r>
    </w:p>
    <w:p w:rsidR="00E00239" w:rsidRDefault="00C75211">
      <w:pPr>
        <w:autoSpaceDE w:val="0"/>
        <w:autoSpaceDN w:val="0"/>
        <w:adjustRightInd w:val="0"/>
        <w:snapToGrid w:val="0"/>
        <w:spacing w:after="0" w:line="240" w:lineRule="auto"/>
        <w:jc w:val="left"/>
        <w:rPr>
          <w:rFonts w:eastAsia="Times New Roman" w:cs="Arial"/>
          <w:color w:val="000000"/>
          <w:sz w:val="20"/>
          <w:szCs w:val="20"/>
        </w:rPr>
      </w:pPr>
      <w:r>
        <w:rPr>
          <w:rFonts w:eastAsia="Times New Roman" w:cs="Arial"/>
          <w:color w:val="000000"/>
          <w:sz w:val="20"/>
          <w:szCs w:val="20"/>
        </w:rPr>
        <w:t>41 S. High Street, Suite 1700</w:t>
      </w:r>
    </w:p>
    <w:p w:rsidR="00E00239" w:rsidRDefault="00C75211">
      <w:pPr>
        <w:autoSpaceDE w:val="0"/>
        <w:autoSpaceDN w:val="0"/>
        <w:adjustRightInd w:val="0"/>
        <w:snapToGrid w:val="0"/>
        <w:spacing w:after="0" w:line="240" w:lineRule="auto"/>
        <w:jc w:val="left"/>
        <w:rPr>
          <w:rFonts w:eastAsia="Times New Roman" w:cs="Arial"/>
          <w:color w:val="auto"/>
          <w:sz w:val="20"/>
          <w:szCs w:val="20"/>
        </w:rPr>
      </w:pPr>
      <w:r>
        <w:rPr>
          <w:rFonts w:eastAsia="Times New Roman" w:cs="Arial"/>
          <w:color w:val="auto"/>
          <w:sz w:val="20"/>
          <w:szCs w:val="20"/>
        </w:rPr>
        <w:t>Columbus, OH 43215</w:t>
      </w:r>
    </w:p>
    <w:p w:rsidR="00E00239" w:rsidRDefault="00C75211">
      <w:pPr>
        <w:autoSpaceDE w:val="0"/>
        <w:autoSpaceDN w:val="0"/>
        <w:adjustRightInd w:val="0"/>
        <w:snapToGrid w:val="0"/>
        <w:spacing w:after="0" w:line="240" w:lineRule="auto"/>
        <w:jc w:val="left"/>
        <w:rPr>
          <w:rFonts w:eastAsia="Times New Roman" w:cs="Arial"/>
          <w:color w:val="auto"/>
          <w:sz w:val="20"/>
          <w:szCs w:val="20"/>
        </w:rPr>
      </w:pPr>
      <w:r>
        <w:rPr>
          <w:rFonts w:eastAsia="Times New Roman" w:cs="Arial"/>
          <w:color w:val="auto"/>
          <w:sz w:val="20"/>
          <w:szCs w:val="20"/>
        </w:rPr>
        <w:t>Carolyn.Flahive@ThompsonHine.com</w:t>
      </w:r>
    </w:p>
    <w:p w:rsidR="00E00239" w:rsidRDefault="00C75211">
      <w:pPr>
        <w:autoSpaceDE w:val="0"/>
        <w:autoSpaceDN w:val="0"/>
        <w:adjustRightInd w:val="0"/>
        <w:snapToGrid w:val="0"/>
        <w:spacing w:after="0" w:line="240" w:lineRule="auto"/>
        <w:jc w:val="left"/>
        <w:rPr>
          <w:rFonts w:eastAsia="Times New Roman" w:cs="Arial"/>
          <w:color w:val="auto"/>
          <w:sz w:val="20"/>
          <w:szCs w:val="20"/>
        </w:rPr>
      </w:pPr>
      <w:r>
        <w:rPr>
          <w:rFonts w:eastAsia="Times New Roman" w:cs="Arial"/>
          <w:color w:val="auto"/>
          <w:sz w:val="20"/>
          <w:szCs w:val="20"/>
        </w:rPr>
        <w:t>Stephanie.Chmiel@ThompsonHine.com</w:t>
      </w:r>
    </w:p>
    <w:p w:rsidR="00E00239" w:rsidRDefault="00E00239">
      <w:pPr>
        <w:autoSpaceDE w:val="0"/>
        <w:autoSpaceDN w:val="0"/>
        <w:adjustRightInd w:val="0"/>
        <w:snapToGrid w:val="0"/>
        <w:spacing w:after="0" w:line="240" w:lineRule="auto"/>
        <w:jc w:val="left"/>
        <w:rPr>
          <w:rFonts w:eastAsia="Times New Roman" w:cs="Arial"/>
          <w:color w:val="000000"/>
          <w:sz w:val="20"/>
          <w:szCs w:val="20"/>
        </w:rPr>
      </w:pPr>
    </w:p>
    <w:p w:rsidR="00E00239" w:rsidRDefault="00C75211">
      <w:pPr>
        <w:autoSpaceDE w:val="0"/>
        <w:autoSpaceDN w:val="0"/>
        <w:adjustRightInd w:val="0"/>
        <w:snapToGrid w:val="0"/>
        <w:spacing w:after="0" w:line="240" w:lineRule="auto"/>
        <w:jc w:val="left"/>
        <w:rPr>
          <w:rFonts w:ascii="Arial Bold" w:eastAsia="Times New Roman" w:hAnsi="Arial Bold" w:cs="Arial"/>
          <w:b/>
          <w:smallCaps/>
          <w:color w:val="000000"/>
          <w:sz w:val="20"/>
          <w:szCs w:val="20"/>
        </w:rPr>
      </w:pPr>
      <w:r>
        <w:rPr>
          <w:rFonts w:ascii="Arial Bold" w:eastAsia="Times New Roman" w:hAnsi="Arial Bold" w:cs="Arial"/>
          <w:b/>
          <w:smallCaps/>
          <w:color w:val="000000"/>
          <w:sz w:val="20"/>
          <w:szCs w:val="20"/>
        </w:rPr>
        <w:t xml:space="preserve">On Behalf of Border </w:t>
      </w:r>
      <w:r>
        <w:rPr>
          <w:rFonts w:ascii="Arial Bold" w:eastAsia="Times New Roman" w:hAnsi="Arial Bold" w:cs="Arial"/>
          <w:b/>
          <w:smallCaps/>
          <w:color w:val="000000"/>
          <w:sz w:val="20"/>
          <w:szCs w:val="20"/>
        </w:rPr>
        <w:t>Energy Electric Services, Inc.</w:t>
      </w:r>
    </w:p>
    <w:p w:rsidR="00E00239" w:rsidRDefault="00E00239">
      <w:pPr>
        <w:tabs>
          <w:tab w:val="left" w:pos="2160"/>
          <w:tab w:val="left" w:pos="2280"/>
        </w:tabs>
        <w:spacing w:after="0" w:line="240" w:lineRule="auto"/>
        <w:jc w:val="left"/>
        <w:rPr>
          <w:rFonts w:eastAsia="Times New Roman" w:cs="Arial"/>
          <w:color w:val="000000"/>
          <w:sz w:val="20"/>
          <w:szCs w:val="20"/>
        </w:rPr>
      </w:pPr>
    </w:p>
    <w:p w:rsidR="00E00239" w:rsidRDefault="00C75211">
      <w:pPr>
        <w:autoSpaceDE w:val="0"/>
        <w:autoSpaceDN w:val="0"/>
        <w:adjustRightInd w:val="0"/>
        <w:snapToGrid w:val="0"/>
        <w:spacing w:after="0" w:line="240" w:lineRule="auto"/>
        <w:jc w:val="left"/>
        <w:rPr>
          <w:rFonts w:eastAsia="Times New Roman" w:cs="Arial"/>
          <w:color w:val="000000"/>
          <w:sz w:val="20"/>
          <w:szCs w:val="20"/>
        </w:rPr>
      </w:pPr>
      <w:r>
        <w:rPr>
          <w:rFonts w:eastAsia="Times New Roman" w:cs="Arial"/>
          <w:color w:val="000000"/>
          <w:sz w:val="20"/>
          <w:szCs w:val="20"/>
        </w:rPr>
        <w:t>Randy J. Hart</w:t>
      </w:r>
    </w:p>
    <w:p w:rsidR="00E00239" w:rsidRDefault="00C75211">
      <w:pPr>
        <w:autoSpaceDE w:val="0"/>
        <w:autoSpaceDN w:val="0"/>
        <w:adjustRightInd w:val="0"/>
        <w:snapToGrid w:val="0"/>
        <w:spacing w:after="0" w:line="240" w:lineRule="auto"/>
        <w:jc w:val="left"/>
        <w:rPr>
          <w:rFonts w:eastAsia="Times New Roman" w:cs="Arial"/>
          <w:color w:val="000000"/>
          <w:sz w:val="20"/>
          <w:szCs w:val="20"/>
        </w:rPr>
      </w:pPr>
      <w:r>
        <w:rPr>
          <w:rFonts w:eastAsia="Times New Roman" w:cs="Arial"/>
          <w:color w:val="000000"/>
          <w:sz w:val="20"/>
          <w:szCs w:val="20"/>
        </w:rPr>
        <w:t xml:space="preserve">Rob Remington </w:t>
      </w:r>
    </w:p>
    <w:p w:rsidR="00E00239" w:rsidRDefault="00C75211">
      <w:pPr>
        <w:autoSpaceDE w:val="0"/>
        <w:autoSpaceDN w:val="0"/>
        <w:adjustRightInd w:val="0"/>
        <w:snapToGrid w:val="0"/>
        <w:spacing w:after="0" w:line="240" w:lineRule="auto"/>
        <w:jc w:val="left"/>
        <w:rPr>
          <w:rFonts w:eastAsia="Times New Roman" w:cs="Arial"/>
          <w:color w:val="000000"/>
          <w:sz w:val="20"/>
          <w:szCs w:val="20"/>
        </w:rPr>
      </w:pPr>
      <w:r>
        <w:rPr>
          <w:rFonts w:eastAsia="Times New Roman" w:cs="Arial"/>
          <w:color w:val="000000"/>
          <w:sz w:val="20"/>
          <w:szCs w:val="20"/>
        </w:rPr>
        <w:t>David J. Michalski</w:t>
      </w:r>
    </w:p>
    <w:p w:rsidR="00E00239" w:rsidRDefault="00C75211">
      <w:pPr>
        <w:autoSpaceDE w:val="0"/>
        <w:autoSpaceDN w:val="0"/>
        <w:adjustRightInd w:val="0"/>
        <w:snapToGrid w:val="0"/>
        <w:spacing w:after="0" w:line="240" w:lineRule="auto"/>
        <w:jc w:val="left"/>
        <w:rPr>
          <w:rFonts w:eastAsia="Times New Roman" w:cs="Arial"/>
          <w:color w:val="000000"/>
          <w:sz w:val="20"/>
          <w:szCs w:val="20"/>
        </w:rPr>
      </w:pPr>
      <w:r>
        <w:rPr>
          <w:rFonts w:eastAsia="Times New Roman" w:cs="Arial"/>
          <w:color w:val="000000"/>
          <w:sz w:val="20"/>
          <w:szCs w:val="20"/>
        </w:rPr>
        <w:t>200 Public Square, Suite 2800</w:t>
      </w:r>
    </w:p>
    <w:p w:rsidR="00E00239" w:rsidRDefault="00C75211">
      <w:pPr>
        <w:autoSpaceDE w:val="0"/>
        <w:autoSpaceDN w:val="0"/>
        <w:adjustRightInd w:val="0"/>
        <w:snapToGrid w:val="0"/>
        <w:spacing w:after="0" w:line="240" w:lineRule="auto"/>
        <w:jc w:val="left"/>
        <w:rPr>
          <w:rFonts w:eastAsia="Times New Roman" w:cs="Arial"/>
          <w:color w:val="000000"/>
          <w:sz w:val="20"/>
          <w:szCs w:val="20"/>
        </w:rPr>
      </w:pPr>
      <w:r>
        <w:rPr>
          <w:rFonts w:eastAsia="Times New Roman" w:cs="Arial"/>
          <w:color w:val="000000"/>
          <w:sz w:val="20"/>
          <w:szCs w:val="20"/>
        </w:rPr>
        <w:t>Cleveland, OH  44114-2316</w:t>
      </w:r>
    </w:p>
    <w:p w:rsidR="00E00239" w:rsidRDefault="00C75211">
      <w:pPr>
        <w:autoSpaceDE w:val="0"/>
        <w:autoSpaceDN w:val="0"/>
        <w:adjustRightInd w:val="0"/>
        <w:snapToGrid w:val="0"/>
        <w:spacing w:after="0" w:line="240" w:lineRule="auto"/>
        <w:jc w:val="left"/>
        <w:rPr>
          <w:rFonts w:eastAsia="Times New Roman" w:cs="Arial"/>
          <w:color w:val="000000"/>
          <w:sz w:val="20"/>
          <w:szCs w:val="20"/>
        </w:rPr>
      </w:pPr>
      <w:r>
        <w:rPr>
          <w:rFonts w:eastAsia="Times New Roman" w:cs="Arial"/>
          <w:color w:val="000000"/>
          <w:sz w:val="20"/>
          <w:szCs w:val="20"/>
        </w:rPr>
        <w:t>rhart@hahnlaw.com</w:t>
      </w:r>
    </w:p>
    <w:p w:rsidR="00E00239" w:rsidRDefault="00C75211">
      <w:pPr>
        <w:autoSpaceDE w:val="0"/>
        <w:autoSpaceDN w:val="0"/>
        <w:adjustRightInd w:val="0"/>
        <w:snapToGrid w:val="0"/>
        <w:spacing w:after="0" w:line="240" w:lineRule="auto"/>
        <w:jc w:val="left"/>
        <w:rPr>
          <w:rFonts w:eastAsia="Times New Roman" w:cs="Arial"/>
          <w:color w:val="000000"/>
          <w:sz w:val="20"/>
          <w:szCs w:val="20"/>
        </w:rPr>
      </w:pPr>
      <w:r>
        <w:rPr>
          <w:rFonts w:eastAsia="Times New Roman" w:cs="Arial"/>
          <w:color w:val="000000"/>
          <w:sz w:val="20"/>
          <w:szCs w:val="20"/>
        </w:rPr>
        <w:t>rrremington@hahnlaw.com</w:t>
      </w:r>
    </w:p>
    <w:p w:rsidR="00E00239" w:rsidRDefault="00C75211">
      <w:pPr>
        <w:autoSpaceDE w:val="0"/>
        <w:autoSpaceDN w:val="0"/>
        <w:adjustRightInd w:val="0"/>
        <w:snapToGrid w:val="0"/>
        <w:spacing w:after="0" w:line="240" w:lineRule="auto"/>
        <w:jc w:val="left"/>
        <w:rPr>
          <w:rFonts w:eastAsia="Times New Roman" w:cs="Arial"/>
          <w:color w:val="000000"/>
          <w:sz w:val="20"/>
          <w:szCs w:val="20"/>
        </w:rPr>
      </w:pPr>
      <w:r>
        <w:rPr>
          <w:rFonts w:eastAsia="Times New Roman" w:cs="Arial"/>
          <w:color w:val="000000"/>
          <w:sz w:val="20"/>
          <w:szCs w:val="20"/>
        </w:rPr>
        <w:t>djmichalski@hahnlaw.com</w:t>
      </w:r>
    </w:p>
    <w:p w:rsidR="00E00239" w:rsidRDefault="00E00239">
      <w:pPr>
        <w:autoSpaceDE w:val="0"/>
        <w:autoSpaceDN w:val="0"/>
        <w:adjustRightInd w:val="0"/>
        <w:snapToGrid w:val="0"/>
        <w:spacing w:after="0" w:line="240" w:lineRule="auto"/>
        <w:jc w:val="left"/>
        <w:rPr>
          <w:rFonts w:eastAsia="Times New Roman" w:cs="Arial"/>
          <w:color w:val="000000"/>
          <w:sz w:val="20"/>
          <w:szCs w:val="20"/>
        </w:rPr>
      </w:pPr>
    </w:p>
    <w:p w:rsidR="00E00239" w:rsidRDefault="00C75211">
      <w:pPr>
        <w:autoSpaceDE w:val="0"/>
        <w:autoSpaceDN w:val="0"/>
        <w:adjustRightInd w:val="0"/>
        <w:snapToGrid w:val="0"/>
        <w:spacing w:after="0" w:line="240" w:lineRule="auto"/>
        <w:jc w:val="left"/>
        <w:rPr>
          <w:rFonts w:ascii="Arial Bold" w:eastAsia="Times New Roman" w:hAnsi="Arial Bold" w:cs="Arial"/>
          <w:b/>
          <w:smallCaps/>
          <w:color w:val="000000"/>
          <w:sz w:val="20"/>
          <w:szCs w:val="20"/>
        </w:rPr>
      </w:pPr>
      <w:r>
        <w:rPr>
          <w:rFonts w:ascii="Arial Bold" w:eastAsia="Times New Roman" w:hAnsi="Arial Bold" w:cs="Arial"/>
          <w:b/>
          <w:smallCaps/>
          <w:color w:val="000000"/>
          <w:sz w:val="20"/>
          <w:szCs w:val="20"/>
        </w:rPr>
        <w:t>On Behalf of Summit Ethanol, LLC and</w:t>
      </w:r>
    </w:p>
    <w:p w:rsidR="00E00239" w:rsidRDefault="00C75211">
      <w:pPr>
        <w:autoSpaceDE w:val="0"/>
        <w:autoSpaceDN w:val="0"/>
        <w:adjustRightInd w:val="0"/>
        <w:snapToGrid w:val="0"/>
        <w:spacing w:after="0" w:line="240" w:lineRule="auto"/>
        <w:jc w:val="left"/>
        <w:rPr>
          <w:rFonts w:ascii="Arial Bold" w:eastAsia="Times New Roman" w:hAnsi="Arial Bold" w:cs="Arial"/>
          <w:b/>
          <w:smallCaps/>
          <w:color w:val="000000"/>
          <w:sz w:val="20"/>
          <w:szCs w:val="20"/>
        </w:rPr>
      </w:pPr>
      <w:r>
        <w:rPr>
          <w:rFonts w:ascii="Arial Bold" w:eastAsia="Times New Roman" w:hAnsi="Arial Bold" w:cs="Arial"/>
          <w:b/>
          <w:smallCaps/>
          <w:color w:val="000000"/>
          <w:sz w:val="20"/>
          <w:szCs w:val="20"/>
        </w:rPr>
        <w:t>Fostoria Ethanol</w:t>
      </w:r>
      <w:r>
        <w:rPr>
          <w:rFonts w:ascii="Arial Bold" w:eastAsia="Times New Roman" w:hAnsi="Arial Bold" w:cs="Arial"/>
          <w:b/>
          <w:smallCaps/>
          <w:color w:val="000000"/>
          <w:sz w:val="20"/>
          <w:szCs w:val="20"/>
        </w:rPr>
        <w:t>, LLC</w:t>
      </w:r>
    </w:p>
    <w:p w:rsidR="00E00239" w:rsidRDefault="00E00239">
      <w:pPr>
        <w:autoSpaceDE w:val="0"/>
        <w:autoSpaceDN w:val="0"/>
        <w:adjustRightInd w:val="0"/>
        <w:snapToGrid w:val="0"/>
        <w:spacing w:after="0" w:line="240" w:lineRule="auto"/>
        <w:jc w:val="left"/>
        <w:rPr>
          <w:rFonts w:ascii="TimesNewRomanPSMT" w:eastAsia="Times New Roman" w:hAnsi="TimesNewRomanPSMT" w:cs="TimesNewRomanPSMT"/>
          <w:color w:val="000000"/>
          <w:sz w:val="20"/>
          <w:szCs w:val="20"/>
        </w:rPr>
      </w:pPr>
    </w:p>
    <w:p w:rsidR="00E00239" w:rsidRDefault="00C75211">
      <w:pPr>
        <w:autoSpaceDE w:val="0"/>
        <w:autoSpaceDN w:val="0"/>
        <w:adjustRightInd w:val="0"/>
        <w:snapToGrid w:val="0"/>
        <w:spacing w:after="0" w:line="240" w:lineRule="auto"/>
        <w:jc w:val="left"/>
        <w:rPr>
          <w:rFonts w:eastAsia="Times New Roman" w:cs="Arial"/>
          <w:color w:val="000000"/>
          <w:sz w:val="20"/>
          <w:szCs w:val="20"/>
        </w:rPr>
      </w:pPr>
      <w:r>
        <w:rPr>
          <w:rFonts w:eastAsia="Times New Roman" w:cs="Arial"/>
          <w:color w:val="000000"/>
          <w:sz w:val="20"/>
          <w:szCs w:val="20"/>
        </w:rPr>
        <w:t>Robert Burke</w:t>
      </w:r>
    </w:p>
    <w:p w:rsidR="00E00239" w:rsidRDefault="00C75211">
      <w:pPr>
        <w:autoSpaceDE w:val="0"/>
        <w:autoSpaceDN w:val="0"/>
        <w:adjustRightInd w:val="0"/>
        <w:snapToGrid w:val="0"/>
        <w:spacing w:after="0" w:line="240" w:lineRule="auto"/>
        <w:jc w:val="left"/>
        <w:rPr>
          <w:rFonts w:eastAsia="Times New Roman" w:cs="Arial"/>
          <w:color w:val="000000"/>
          <w:sz w:val="20"/>
          <w:szCs w:val="20"/>
        </w:rPr>
      </w:pPr>
      <w:r>
        <w:rPr>
          <w:rFonts w:eastAsia="Times New Roman" w:cs="Arial"/>
          <w:color w:val="000000"/>
          <w:sz w:val="20"/>
          <w:szCs w:val="20"/>
        </w:rPr>
        <w:t>Braith Kelly</w:t>
      </w:r>
    </w:p>
    <w:p w:rsidR="00E00239" w:rsidRDefault="00C75211">
      <w:pPr>
        <w:autoSpaceDE w:val="0"/>
        <w:autoSpaceDN w:val="0"/>
        <w:adjustRightInd w:val="0"/>
        <w:snapToGrid w:val="0"/>
        <w:spacing w:after="0" w:line="240" w:lineRule="auto"/>
        <w:jc w:val="left"/>
        <w:rPr>
          <w:rFonts w:eastAsia="Times New Roman" w:cs="Arial"/>
          <w:color w:val="000000"/>
          <w:sz w:val="20"/>
          <w:szCs w:val="20"/>
        </w:rPr>
      </w:pPr>
      <w:r>
        <w:rPr>
          <w:rFonts w:eastAsia="Times New Roman" w:cs="Arial"/>
          <w:color w:val="000000"/>
          <w:sz w:val="20"/>
          <w:szCs w:val="20"/>
        </w:rPr>
        <w:t>Competitive Power Ventures, Inc.</w:t>
      </w:r>
    </w:p>
    <w:p w:rsidR="00E00239" w:rsidRDefault="00C75211">
      <w:pPr>
        <w:autoSpaceDE w:val="0"/>
        <w:autoSpaceDN w:val="0"/>
        <w:adjustRightInd w:val="0"/>
        <w:snapToGrid w:val="0"/>
        <w:spacing w:after="0" w:line="240" w:lineRule="auto"/>
        <w:jc w:val="left"/>
        <w:rPr>
          <w:rFonts w:eastAsia="Times New Roman" w:cs="Arial"/>
          <w:color w:val="000000"/>
          <w:sz w:val="20"/>
          <w:szCs w:val="20"/>
        </w:rPr>
      </w:pPr>
      <w:r>
        <w:rPr>
          <w:rFonts w:eastAsia="Times New Roman" w:cs="Arial"/>
          <w:color w:val="000000"/>
          <w:sz w:val="20"/>
          <w:szCs w:val="20"/>
        </w:rPr>
        <w:t>8403 Colesville Road, Ste. 915</w:t>
      </w:r>
    </w:p>
    <w:p w:rsidR="00E00239" w:rsidRDefault="00C75211">
      <w:pPr>
        <w:autoSpaceDE w:val="0"/>
        <w:autoSpaceDN w:val="0"/>
        <w:adjustRightInd w:val="0"/>
        <w:snapToGrid w:val="0"/>
        <w:spacing w:after="0" w:line="240" w:lineRule="auto"/>
        <w:jc w:val="left"/>
        <w:rPr>
          <w:rFonts w:eastAsia="Times New Roman" w:cs="Arial"/>
          <w:color w:val="000000"/>
          <w:sz w:val="20"/>
          <w:szCs w:val="20"/>
        </w:rPr>
      </w:pPr>
      <w:r>
        <w:rPr>
          <w:rFonts w:eastAsia="Times New Roman" w:cs="Arial"/>
          <w:color w:val="000000"/>
          <w:sz w:val="20"/>
          <w:szCs w:val="20"/>
        </w:rPr>
        <w:t>Silver Spring, MD 20910</w:t>
      </w:r>
    </w:p>
    <w:p w:rsidR="00E00239" w:rsidRDefault="00C75211">
      <w:pPr>
        <w:autoSpaceDE w:val="0"/>
        <w:autoSpaceDN w:val="0"/>
        <w:adjustRightInd w:val="0"/>
        <w:snapToGrid w:val="0"/>
        <w:spacing w:after="0" w:line="240" w:lineRule="auto"/>
        <w:jc w:val="left"/>
        <w:rPr>
          <w:rFonts w:eastAsia="Times New Roman" w:cs="Arial"/>
          <w:color w:val="000000"/>
          <w:sz w:val="20"/>
          <w:szCs w:val="20"/>
        </w:rPr>
      </w:pPr>
      <w:r>
        <w:rPr>
          <w:rFonts w:eastAsia="Times New Roman" w:cs="Arial"/>
          <w:color w:val="000000"/>
          <w:sz w:val="20"/>
          <w:szCs w:val="20"/>
        </w:rPr>
        <w:t>rburke@cpv.com</w:t>
      </w:r>
    </w:p>
    <w:p w:rsidR="00E00239" w:rsidRDefault="00C75211">
      <w:pPr>
        <w:autoSpaceDE w:val="0"/>
        <w:autoSpaceDN w:val="0"/>
        <w:adjustRightInd w:val="0"/>
        <w:snapToGrid w:val="0"/>
        <w:spacing w:after="0" w:line="240" w:lineRule="auto"/>
        <w:jc w:val="left"/>
        <w:rPr>
          <w:rFonts w:eastAsia="Times New Roman" w:cs="Arial"/>
          <w:color w:val="000000"/>
          <w:sz w:val="20"/>
          <w:szCs w:val="20"/>
        </w:rPr>
      </w:pPr>
      <w:r>
        <w:rPr>
          <w:rFonts w:eastAsia="Times New Roman" w:cs="Arial"/>
          <w:color w:val="000000"/>
          <w:sz w:val="20"/>
          <w:szCs w:val="20"/>
        </w:rPr>
        <w:t>bkelly@cpv.com</w:t>
      </w:r>
    </w:p>
    <w:p w:rsidR="00E00239" w:rsidRDefault="00E00239">
      <w:pPr>
        <w:autoSpaceDE w:val="0"/>
        <w:autoSpaceDN w:val="0"/>
        <w:adjustRightInd w:val="0"/>
        <w:snapToGrid w:val="0"/>
        <w:spacing w:after="0" w:line="240" w:lineRule="auto"/>
        <w:jc w:val="left"/>
        <w:rPr>
          <w:rFonts w:eastAsia="Times New Roman" w:cs="Arial"/>
          <w:color w:val="000000"/>
          <w:sz w:val="20"/>
          <w:szCs w:val="20"/>
        </w:rPr>
      </w:pPr>
    </w:p>
    <w:p w:rsidR="00E00239" w:rsidRDefault="00C75211">
      <w:pPr>
        <w:autoSpaceDE w:val="0"/>
        <w:autoSpaceDN w:val="0"/>
        <w:adjustRightInd w:val="0"/>
        <w:snapToGrid w:val="0"/>
        <w:spacing w:after="0" w:line="240" w:lineRule="auto"/>
        <w:jc w:val="left"/>
        <w:rPr>
          <w:rFonts w:eastAsia="Times New Roman" w:cs="Arial"/>
          <w:color w:val="000000"/>
          <w:sz w:val="20"/>
          <w:szCs w:val="20"/>
        </w:rPr>
      </w:pPr>
      <w:r>
        <w:rPr>
          <w:rFonts w:eastAsia="Times New Roman" w:cs="Arial"/>
          <w:color w:val="000000"/>
          <w:sz w:val="20"/>
          <w:szCs w:val="20"/>
        </w:rPr>
        <w:t>Larry F. Eisenstat</w:t>
      </w:r>
    </w:p>
    <w:p w:rsidR="00E00239" w:rsidRDefault="00C75211">
      <w:pPr>
        <w:autoSpaceDE w:val="0"/>
        <w:autoSpaceDN w:val="0"/>
        <w:adjustRightInd w:val="0"/>
        <w:snapToGrid w:val="0"/>
        <w:spacing w:after="0" w:line="240" w:lineRule="auto"/>
        <w:jc w:val="left"/>
        <w:rPr>
          <w:rFonts w:eastAsia="Times New Roman" w:cs="Arial"/>
          <w:color w:val="000000"/>
          <w:sz w:val="20"/>
          <w:szCs w:val="20"/>
        </w:rPr>
      </w:pPr>
      <w:r>
        <w:rPr>
          <w:rFonts w:eastAsia="Times New Roman" w:cs="Arial"/>
          <w:color w:val="000000"/>
          <w:sz w:val="20"/>
          <w:szCs w:val="20"/>
        </w:rPr>
        <w:t>(Counsel of Record)</w:t>
      </w:r>
    </w:p>
    <w:p w:rsidR="00E00239" w:rsidRDefault="00C75211">
      <w:pPr>
        <w:autoSpaceDE w:val="0"/>
        <w:autoSpaceDN w:val="0"/>
        <w:adjustRightInd w:val="0"/>
        <w:snapToGrid w:val="0"/>
        <w:spacing w:after="0" w:line="240" w:lineRule="auto"/>
        <w:jc w:val="left"/>
        <w:rPr>
          <w:rFonts w:eastAsia="Times New Roman" w:cs="Arial"/>
          <w:color w:val="000000"/>
          <w:sz w:val="20"/>
          <w:szCs w:val="20"/>
        </w:rPr>
      </w:pPr>
      <w:r>
        <w:rPr>
          <w:rFonts w:eastAsia="Times New Roman" w:cs="Arial"/>
          <w:color w:val="000000"/>
          <w:sz w:val="20"/>
          <w:szCs w:val="20"/>
        </w:rPr>
        <w:t>Richard Lehfeldt</w:t>
      </w:r>
    </w:p>
    <w:p w:rsidR="00E00239" w:rsidRDefault="00C75211">
      <w:pPr>
        <w:autoSpaceDE w:val="0"/>
        <w:autoSpaceDN w:val="0"/>
        <w:adjustRightInd w:val="0"/>
        <w:snapToGrid w:val="0"/>
        <w:spacing w:after="0" w:line="240" w:lineRule="auto"/>
        <w:jc w:val="left"/>
        <w:rPr>
          <w:rFonts w:eastAsia="Times New Roman" w:cs="Arial"/>
          <w:color w:val="000000"/>
          <w:sz w:val="20"/>
          <w:szCs w:val="20"/>
        </w:rPr>
      </w:pPr>
      <w:r>
        <w:rPr>
          <w:rFonts w:eastAsia="Times New Roman" w:cs="Arial"/>
          <w:color w:val="000000"/>
          <w:sz w:val="20"/>
          <w:szCs w:val="20"/>
        </w:rPr>
        <w:t>Robert L. Kinder, Jr.</w:t>
      </w:r>
    </w:p>
    <w:p w:rsidR="00E00239" w:rsidRDefault="00C75211">
      <w:pPr>
        <w:autoSpaceDE w:val="0"/>
        <w:autoSpaceDN w:val="0"/>
        <w:adjustRightInd w:val="0"/>
        <w:snapToGrid w:val="0"/>
        <w:spacing w:after="0" w:line="240" w:lineRule="auto"/>
        <w:jc w:val="left"/>
        <w:rPr>
          <w:rFonts w:eastAsia="Times New Roman" w:cs="Arial"/>
          <w:color w:val="000000"/>
          <w:sz w:val="20"/>
          <w:szCs w:val="20"/>
        </w:rPr>
      </w:pPr>
      <w:r>
        <w:rPr>
          <w:rFonts w:eastAsia="Times New Roman" w:cs="Arial"/>
          <w:color w:val="000000"/>
          <w:sz w:val="20"/>
          <w:szCs w:val="20"/>
        </w:rPr>
        <w:t>Dickstein Shapiro LLP</w:t>
      </w:r>
    </w:p>
    <w:p w:rsidR="00E00239" w:rsidRDefault="00C75211">
      <w:pPr>
        <w:autoSpaceDE w:val="0"/>
        <w:autoSpaceDN w:val="0"/>
        <w:adjustRightInd w:val="0"/>
        <w:snapToGrid w:val="0"/>
        <w:spacing w:after="0" w:line="240" w:lineRule="auto"/>
        <w:jc w:val="left"/>
        <w:rPr>
          <w:rFonts w:eastAsia="Times New Roman" w:cs="Arial"/>
          <w:color w:val="000000"/>
          <w:sz w:val="20"/>
          <w:szCs w:val="20"/>
        </w:rPr>
      </w:pPr>
      <w:r>
        <w:rPr>
          <w:rFonts w:eastAsia="Times New Roman" w:cs="Arial"/>
          <w:color w:val="000000"/>
          <w:sz w:val="20"/>
          <w:szCs w:val="20"/>
        </w:rPr>
        <w:t>1825</w:t>
      </w:r>
      <w:r>
        <w:rPr>
          <w:rFonts w:eastAsia="Times New Roman" w:cs="Arial"/>
          <w:color w:val="000000"/>
          <w:sz w:val="20"/>
          <w:szCs w:val="20"/>
        </w:rPr>
        <w:t xml:space="preserve"> Eye St. NW</w:t>
      </w:r>
    </w:p>
    <w:p w:rsidR="00E00239" w:rsidRDefault="00C75211">
      <w:pPr>
        <w:autoSpaceDE w:val="0"/>
        <w:autoSpaceDN w:val="0"/>
        <w:adjustRightInd w:val="0"/>
        <w:snapToGrid w:val="0"/>
        <w:spacing w:after="0" w:line="240" w:lineRule="auto"/>
        <w:jc w:val="left"/>
        <w:rPr>
          <w:rFonts w:eastAsia="Times New Roman" w:cs="Arial"/>
          <w:color w:val="000000"/>
          <w:sz w:val="20"/>
          <w:szCs w:val="20"/>
        </w:rPr>
      </w:pPr>
      <w:r>
        <w:rPr>
          <w:rFonts w:eastAsia="Times New Roman" w:cs="Arial"/>
          <w:color w:val="000000"/>
          <w:sz w:val="20"/>
          <w:szCs w:val="20"/>
        </w:rPr>
        <w:t>Washington, DC 20006</w:t>
      </w:r>
    </w:p>
    <w:p w:rsidR="00E00239" w:rsidRDefault="00C75211">
      <w:pPr>
        <w:autoSpaceDE w:val="0"/>
        <w:autoSpaceDN w:val="0"/>
        <w:adjustRightInd w:val="0"/>
        <w:snapToGrid w:val="0"/>
        <w:spacing w:after="0" w:line="240" w:lineRule="auto"/>
        <w:jc w:val="left"/>
        <w:rPr>
          <w:rFonts w:eastAsia="Times New Roman" w:cs="Arial"/>
          <w:color w:val="000000"/>
          <w:sz w:val="20"/>
          <w:szCs w:val="20"/>
        </w:rPr>
      </w:pPr>
      <w:r>
        <w:rPr>
          <w:rFonts w:eastAsia="Times New Roman" w:cs="Arial"/>
          <w:color w:val="000000"/>
          <w:sz w:val="20"/>
          <w:szCs w:val="20"/>
        </w:rPr>
        <w:t>eisenstatl@dicksteinshapiro.com</w:t>
      </w:r>
    </w:p>
    <w:p w:rsidR="00E00239" w:rsidRDefault="00C75211">
      <w:pPr>
        <w:autoSpaceDE w:val="0"/>
        <w:autoSpaceDN w:val="0"/>
        <w:adjustRightInd w:val="0"/>
        <w:snapToGrid w:val="0"/>
        <w:spacing w:after="0" w:line="240" w:lineRule="auto"/>
        <w:jc w:val="left"/>
        <w:rPr>
          <w:rFonts w:eastAsia="Times New Roman" w:cs="Arial"/>
          <w:color w:val="000000"/>
          <w:sz w:val="20"/>
          <w:szCs w:val="20"/>
        </w:rPr>
      </w:pPr>
      <w:r>
        <w:rPr>
          <w:rFonts w:eastAsia="Times New Roman" w:cs="Arial"/>
          <w:color w:val="000000"/>
          <w:sz w:val="20"/>
          <w:szCs w:val="20"/>
        </w:rPr>
        <w:t>lehfeldtr@dicksteinshapiro.com</w:t>
      </w:r>
    </w:p>
    <w:p w:rsidR="00E00239" w:rsidRDefault="00C75211">
      <w:pPr>
        <w:autoSpaceDE w:val="0"/>
        <w:autoSpaceDN w:val="0"/>
        <w:adjustRightInd w:val="0"/>
        <w:snapToGrid w:val="0"/>
        <w:spacing w:after="0" w:line="240" w:lineRule="auto"/>
        <w:jc w:val="left"/>
        <w:rPr>
          <w:rFonts w:eastAsia="Times New Roman" w:cs="Arial"/>
          <w:color w:val="000000"/>
          <w:sz w:val="20"/>
          <w:szCs w:val="20"/>
        </w:rPr>
      </w:pPr>
      <w:r>
        <w:rPr>
          <w:rFonts w:eastAsia="Times New Roman" w:cs="Arial"/>
          <w:color w:val="000000"/>
          <w:sz w:val="20"/>
          <w:szCs w:val="20"/>
        </w:rPr>
        <w:t>kinderr@dicksteinshapiro.com</w:t>
      </w:r>
    </w:p>
    <w:p w:rsidR="00E00239" w:rsidRDefault="00E00239">
      <w:pPr>
        <w:autoSpaceDE w:val="0"/>
        <w:autoSpaceDN w:val="0"/>
        <w:adjustRightInd w:val="0"/>
        <w:snapToGrid w:val="0"/>
        <w:spacing w:after="0" w:line="240" w:lineRule="auto"/>
        <w:jc w:val="left"/>
        <w:rPr>
          <w:rFonts w:eastAsia="Times New Roman" w:cs="Arial"/>
          <w:b/>
          <w:color w:val="000000"/>
          <w:sz w:val="20"/>
          <w:szCs w:val="20"/>
        </w:rPr>
      </w:pPr>
    </w:p>
    <w:p w:rsidR="00E00239" w:rsidRDefault="00C75211">
      <w:pPr>
        <w:autoSpaceDE w:val="0"/>
        <w:autoSpaceDN w:val="0"/>
        <w:adjustRightInd w:val="0"/>
        <w:snapToGrid w:val="0"/>
        <w:spacing w:after="0" w:line="240" w:lineRule="auto"/>
        <w:jc w:val="left"/>
        <w:rPr>
          <w:rFonts w:ascii="Arial Bold" w:eastAsia="Times New Roman" w:hAnsi="Arial Bold" w:cs="Arial"/>
          <w:b/>
          <w:smallCaps/>
          <w:color w:val="000000"/>
          <w:sz w:val="20"/>
          <w:szCs w:val="20"/>
        </w:rPr>
      </w:pPr>
      <w:r>
        <w:rPr>
          <w:rFonts w:ascii="Arial Bold" w:eastAsia="Times New Roman" w:hAnsi="Arial Bold" w:cs="Arial"/>
          <w:b/>
          <w:smallCaps/>
          <w:color w:val="000000"/>
          <w:sz w:val="20"/>
          <w:szCs w:val="20"/>
        </w:rPr>
        <w:t>On Behalf of CPV Power Development, Inc.</w:t>
      </w:r>
    </w:p>
    <w:p w:rsidR="00E00239" w:rsidRDefault="00E00239">
      <w:pPr>
        <w:autoSpaceDE w:val="0"/>
        <w:autoSpaceDN w:val="0"/>
        <w:adjustRightInd w:val="0"/>
        <w:snapToGrid w:val="0"/>
        <w:spacing w:after="0" w:line="240" w:lineRule="auto"/>
        <w:jc w:val="left"/>
        <w:rPr>
          <w:rFonts w:eastAsia="Times New Roman" w:cs="Arial"/>
          <w:color w:val="000000"/>
          <w:sz w:val="20"/>
          <w:szCs w:val="20"/>
        </w:rPr>
      </w:pPr>
    </w:p>
    <w:p w:rsidR="00E00239" w:rsidRDefault="00E00239">
      <w:pPr>
        <w:autoSpaceDE w:val="0"/>
        <w:autoSpaceDN w:val="0"/>
        <w:adjustRightInd w:val="0"/>
        <w:snapToGrid w:val="0"/>
        <w:spacing w:after="0" w:line="240" w:lineRule="auto"/>
        <w:jc w:val="left"/>
        <w:rPr>
          <w:rFonts w:eastAsia="Times New Roman" w:cs="Arial"/>
          <w:color w:val="000000"/>
          <w:sz w:val="20"/>
          <w:szCs w:val="20"/>
        </w:rPr>
      </w:pPr>
    </w:p>
    <w:p w:rsidR="00E00239" w:rsidRDefault="00E00239">
      <w:pPr>
        <w:autoSpaceDE w:val="0"/>
        <w:autoSpaceDN w:val="0"/>
        <w:adjustRightInd w:val="0"/>
        <w:snapToGrid w:val="0"/>
        <w:spacing w:after="0" w:line="240" w:lineRule="auto"/>
        <w:jc w:val="left"/>
        <w:rPr>
          <w:rFonts w:eastAsia="Times New Roman" w:cs="Arial"/>
          <w:color w:val="000000"/>
          <w:sz w:val="20"/>
          <w:szCs w:val="20"/>
        </w:rPr>
      </w:pPr>
    </w:p>
    <w:p w:rsidR="00E00239" w:rsidRDefault="00E00239">
      <w:pPr>
        <w:autoSpaceDE w:val="0"/>
        <w:autoSpaceDN w:val="0"/>
        <w:adjustRightInd w:val="0"/>
        <w:snapToGrid w:val="0"/>
        <w:spacing w:after="0" w:line="240" w:lineRule="auto"/>
        <w:jc w:val="left"/>
        <w:rPr>
          <w:rFonts w:eastAsia="Times New Roman" w:cs="Arial"/>
          <w:color w:val="000000"/>
          <w:sz w:val="20"/>
          <w:szCs w:val="20"/>
        </w:rPr>
      </w:pPr>
    </w:p>
    <w:p w:rsidR="00E00239" w:rsidRDefault="00E00239">
      <w:pPr>
        <w:autoSpaceDE w:val="0"/>
        <w:autoSpaceDN w:val="0"/>
        <w:adjustRightInd w:val="0"/>
        <w:snapToGrid w:val="0"/>
        <w:spacing w:after="0" w:line="240" w:lineRule="auto"/>
        <w:jc w:val="left"/>
        <w:rPr>
          <w:rFonts w:eastAsia="Times New Roman" w:cs="Arial"/>
          <w:color w:val="000000"/>
          <w:sz w:val="20"/>
          <w:szCs w:val="20"/>
        </w:rPr>
      </w:pP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Robert L. Kinder, Jr.</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Dickstein Shapiro LLP</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1825 Eye St. NW</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Washington, DC  20006</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ki</w:t>
      </w:r>
      <w:r>
        <w:rPr>
          <w:rFonts w:eastAsia="Times New Roman" w:cs="Arial"/>
          <w:color w:val="auto"/>
          <w:sz w:val="20"/>
          <w:szCs w:val="20"/>
        </w:rPr>
        <w:t>nder@DicksteinShapiro.com</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b/>
          <w:smallCaps/>
          <w:color w:val="auto"/>
          <w:sz w:val="20"/>
          <w:szCs w:val="20"/>
        </w:rPr>
        <w:t>On Behalf of CPV Power Development, Inc.</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Jack D’Aurora</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The Behal Law Group LLC</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501 South High Street</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Columbus, OH  43215</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jdaurora@behallaw.com</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b/>
          <w:smallCaps/>
          <w:color w:val="auto"/>
          <w:sz w:val="20"/>
          <w:szCs w:val="20"/>
        </w:rPr>
        <w:t>On Behalf of the University of Toledo</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Roger P. Sugarman</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Kegler, Brown, Hill &amp;Ritter</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65 East State Street, Suite 1800</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Columbus, OH  43215</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rsugarman@keglerbrown.com</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b/>
          <w:smallCaps/>
          <w:color w:val="auto"/>
          <w:sz w:val="20"/>
          <w:szCs w:val="20"/>
        </w:rPr>
        <w:t>On Behalf of NFIB/Ohio</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William Wright</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Werner Margard</w:t>
      </w:r>
    </w:p>
    <w:p w:rsidR="00E00239" w:rsidRDefault="00C75211">
      <w:pPr>
        <w:tabs>
          <w:tab w:val="left" w:pos="2160"/>
          <w:tab w:val="left" w:pos="2280"/>
        </w:tabs>
        <w:spacing w:after="0" w:line="240" w:lineRule="auto"/>
        <w:jc w:val="left"/>
        <w:rPr>
          <w:rFonts w:eastAsia="Times New Roman" w:cs="Arial"/>
          <w:b/>
          <w:smallCaps/>
          <w:color w:val="auto"/>
          <w:sz w:val="20"/>
          <w:szCs w:val="20"/>
        </w:rPr>
      </w:pPr>
      <w:r>
        <w:rPr>
          <w:rFonts w:eastAsia="Times New Roman" w:cs="Arial"/>
          <w:color w:val="auto"/>
          <w:sz w:val="20"/>
          <w:szCs w:val="20"/>
        </w:rPr>
        <w:t>Thomas Lindgren</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John H. Jones</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Assistant Attorneys’ General</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Public Utilities Section</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180 East Broad Street, 6</w:t>
      </w:r>
      <w:r>
        <w:rPr>
          <w:rFonts w:eastAsia="Times New Roman" w:cs="Arial"/>
          <w:color w:val="auto"/>
          <w:sz w:val="20"/>
          <w:szCs w:val="20"/>
          <w:vertAlign w:val="superscript"/>
        </w:rPr>
        <w:t>th</w:t>
      </w:r>
      <w:r>
        <w:rPr>
          <w:rFonts w:eastAsia="Times New Roman" w:cs="Arial"/>
          <w:color w:val="auto"/>
          <w:sz w:val="20"/>
          <w:szCs w:val="20"/>
        </w:rPr>
        <w:t xml:space="preserve"> Floor</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Colu</w:t>
      </w:r>
      <w:r>
        <w:rPr>
          <w:rFonts w:eastAsia="Times New Roman" w:cs="Arial"/>
          <w:color w:val="auto"/>
          <w:sz w:val="20"/>
          <w:szCs w:val="20"/>
        </w:rPr>
        <w:t>mbus, OH  43215</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john.jones@puc.state.oh.us</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werner.margard@puc.state.oh.us</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thomas.lindgren@puc.state.oh.us</w:t>
      </w:r>
    </w:p>
    <w:p w:rsidR="00E00239" w:rsidRDefault="00C75211">
      <w:pPr>
        <w:tabs>
          <w:tab w:val="left" w:pos="2160"/>
          <w:tab w:val="left" w:pos="2280"/>
        </w:tabs>
        <w:spacing w:after="0" w:line="240" w:lineRule="auto"/>
        <w:jc w:val="left"/>
        <w:rPr>
          <w:rFonts w:eastAsia="Times New Roman" w:cs="Arial"/>
          <w:color w:val="auto"/>
          <w:sz w:val="20"/>
          <w:szCs w:val="20"/>
        </w:rPr>
      </w:pPr>
      <w:r>
        <w:rPr>
          <w:rFonts w:eastAsia="Times New Roman" w:cs="Arial"/>
          <w:color w:val="auto"/>
          <w:sz w:val="20"/>
          <w:szCs w:val="20"/>
        </w:rPr>
        <w:t>william.wright@puc.state.oh.us</w:t>
      </w:r>
    </w:p>
    <w:p w:rsidR="00E00239" w:rsidRDefault="00E00239">
      <w:pPr>
        <w:tabs>
          <w:tab w:val="left" w:pos="2160"/>
          <w:tab w:val="left" w:pos="2280"/>
        </w:tabs>
        <w:spacing w:after="0" w:line="240" w:lineRule="auto"/>
        <w:jc w:val="left"/>
        <w:rPr>
          <w:rFonts w:eastAsia="Times New Roman" w:cs="Arial"/>
          <w:color w:val="auto"/>
          <w:sz w:val="20"/>
          <w:szCs w:val="20"/>
        </w:rPr>
      </w:pPr>
    </w:p>
    <w:p w:rsidR="00E00239" w:rsidRDefault="00C75211">
      <w:pPr>
        <w:tabs>
          <w:tab w:val="left" w:pos="2160"/>
          <w:tab w:val="left" w:pos="2280"/>
        </w:tabs>
        <w:spacing w:after="0" w:line="240" w:lineRule="auto"/>
        <w:jc w:val="left"/>
        <w:rPr>
          <w:rFonts w:eastAsia="Times New Roman" w:cs="Arial"/>
          <w:b/>
          <w:smallCaps/>
          <w:color w:val="auto"/>
          <w:sz w:val="20"/>
          <w:szCs w:val="20"/>
        </w:rPr>
      </w:pPr>
      <w:r>
        <w:rPr>
          <w:rFonts w:eastAsia="Times New Roman" w:cs="Arial"/>
          <w:b/>
          <w:smallCaps/>
          <w:color w:val="auto"/>
          <w:sz w:val="20"/>
          <w:szCs w:val="20"/>
        </w:rPr>
        <w:t>On Behalf of the Public Utilities Commission of Ohio</w:t>
      </w:r>
    </w:p>
    <w:p w:rsidR="00E00239" w:rsidRDefault="00E00239">
      <w:pPr>
        <w:tabs>
          <w:tab w:val="left" w:pos="4680"/>
        </w:tabs>
        <w:spacing w:after="0" w:line="240" w:lineRule="auto"/>
        <w:jc w:val="left"/>
        <w:rPr>
          <w:rFonts w:eastAsia="Times New Roman" w:cs="Arial"/>
          <w:color w:val="000000"/>
          <w:sz w:val="20"/>
          <w:szCs w:val="20"/>
        </w:rPr>
      </w:pPr>
    </w:p>
    <w:p w:rsidR="00E00239" w:rsidRDefault="00C75211">
      <w:pPr>
        <w:tabs>
          <w:tab w:val="left" w:pos="4680"/>
        </w:tabs>
        <w:spacing w:after="0" w:line="240" w:lineRule="auto"/>
        <w:jc w:val="left"/>
        <w:rPr>
          <w:rFonts w:eastAsia="Times New Roman" w:cs="Arial"/>
          <w:color w:val="000000"/>
          <w:sz w:val="20"/>
          <w:szCs w:val="20"/>
        </w:rPr>
      </w:pPr>
      <w:r>
        <w:rPr>
          <w:rFonts w:eastAsia="Times New Roman" w:cs="Arial"/>
          <w:color w:val="000000"/>
          <w:sz w:val="20"/>
          <w:szCs w:val="20"/>
        </w:rPr>
        <w:t>Greta See</w:t>
      </w:r>
    </w:p>
    <w:p w:rsidR="00E00239" w:rsidRDefault="00C75211">
      <w:pPr>
        <w:tabs>
          <w:tab w:val="left" w:pos="4680"/>
        </w:tabs>
        <w:spacing w:after="0" w:line="240" w:lineRule="auto"/>
        <w:jc w:val="left"/>
        <w:rPr>
          <w:rFonts w:eastAsia="Times New Roman" w:cs="Arial"/>
          <w:color w:val="000000"/>
          <w:sz w:val="20"/>
          <w:szCs w:val="20"/>
        </w:rPr>
      </w:pPr>
      <w:r>
        <w:rPr>
          <w:rFonts w:eastAsia="Times New Roman" w:cs="Arial"/>
          <w:color w:val="000000"/>
          <w:sz w:val="20"/>
          <w:szCs w:val="20"/>
        </w:rPr>
        <w:t>Jon Tauber</w:t>
      </w:r>
    </w:p>
    <w:p w:rsidR="00E00239" w:rsidRDefault="00C75211">
      <w:pPr>
        <w:tabs>
          <w:tab w:val="left" w:pos="4680"/>
        </w:tabs>
        <w:spacing w:after="0" w:line="240" w:lineRule="auto"/>
        <w:jc w:val="left"/>
        <w:rPr>
          <w:rFonts w:eastAsia="Times New Roman" w:cs="Arial"/>
          <w:color w:val="000000"/>
          <w:sz w:val="20"/>
          <w:szCs w:val="20"/>
        </w:rPr>
      </w:pPr>
      <w:r>
        <w:rPr>
          <w:rFonts w:eastAsia="Times New Roman" w:cs="Arial"/>
          <w:color w:val="000000"/>
          <w:sz w:val="20"/>
          <w:szCs w:val="20"/>
        </w:rPr>
        <w:t>Attorney Examiner</w:t>
      </w:r>
    </w:p>
    <w:p w:rsidR="00E00239" w:rsidRDefault="00C75211">
      <w:pPr>
        <w:tabs>
          <w:tab w:val="left" w:pos="4680"/>
        </w:tabs>
        <w:spacing w:after="0" w:line="240" w:lineRule="auto"/>
        <w:jc w:val="left"/>
        <w:rPr>
          <w:rFonts w:eastAsia="Times New Roman" w:cs="Arial"/>
          <w:color w:val="000000"/>
          <w:sz w:val="20"/>
          <w:szCs w:val="20"/>
        </w:rPr>
      </w:pPr>
      <w:r>
        <w:rPr>
          <w:rFonts w:eastAsia="Times New Roman" w:cs="Arial"/>
          <w:color w:val="000000"/>
          <w:sz w:val="20"/>
          <w:szCs w:val="20"/>
        </w:rPr>
        <w:t xml:space="preserve">Public Utilities </w:t>
      </w:r>
      <w:r>
        <w:rPr>
          <w:rFonts w:eastAsia="Times New Roman" w:cs="Arial"/>
          <w:color w:val="000000"/>
          <w:sz w:val="20"/>
          <w:szCs w:val="20"/>
        </w:rPr>
        <w:t>Commission of Ohio</w:t>
      </w:r>
    </w:p>
    <w:p w:rsidR="00E00239" w:rsidRDefault="00C75211">
      <w:pPr>
        <w:tabs>
          <w:tab w:val="left" w:pos="4680"/>
        </w:tabs>
        <w:spacing w:after="0" w:line="240" w:lineRule="auto"/>
        <w:jc w:val="left"/>
        <w:rPr>
          <w:rFonts w:eastAsia="Times New Roman" w:cs="Arial"/>
          <w:color w:val="000000"/>
          <w:sz w:val="20"/>
          <w:szCs w:val="20"/>
        </w:rPr>
      </w:pPr>
      <w:r>
        <w:rPr>
          <w:rFonts w:eastAsia="Times New Roman" w:cs="Arial"/>
          <w:color w:val="000000"/>
          <w:sz w:val="20"/>
          <w:szCs w:val="20"/>
        </w:rPr>
        <w:t>180 East Broad Street, 12</w:t>
      </w:r>
      <w:r>
        <w:rPr>
          <w:rFonts w:eastAsia="Times New Roman" w:cs="Arial"/>
          <w:color w:val="000000"/>
          <w:sz w:val="20"/>
          <w:szCs w:val="20"/>
          <w:vertAlign w:val="superscript"/>
        </w:rPr>
        <w:t>th</w:t>
      </w:r>
      <w:r>
        <w:rPr>
          <w:rFonts w:eastAsia="Times New Roman" w:cs="Arial"/>
          <w:color w:val="000000"/>
          <w:sz w:val="20"/>
          <w:szCs w:val="20"/>
        </w:rPr>
        <w:t xml:space="preserve"> Floor</w:t>
      </w:r>
    </w:p>
    <w:p w:rsidR="00E00239" w:rsidRDefault="00C75211">
      <w:pPr>
        <w:tabs>
          <w:tab w:val="left" w:pos="4680"/>
        </w:tabs>
        <w:spacing w:after="0" w:line="240" w:lineRule="auto"/>
        <w:jc w:val="left"/>
        <w:rPr>
          <w:rFonts w:eastAsia="Times New Roman" w:cs="Arial"/>
          <w:color w:val="000000"/>
          <w:sz w:val="20"/>
          <w:szCs w:val="20"/>
        </w:rPr>
      </w:pPr>
      <w:r>
        <w:rPr>
          <w:rFonts w:eastAsia="Times New Roman" w:cs="Arial"/>
          <w:color w:val="000000"/>
          <w:sz w:val="20"/>
          <w:szCs w:val="20"/>
        </w:rPr>
        <w:t>Columbus, OH  43215</w:t>
      </w:r>
    </w:p>
    <w:p w:rsidR="00E00239" w:rsidRDefault="00E00239">
      <w:pPr>
        <w:tabs>
          <w:tab w:val="left" w:pos="4680"/>
        </w:tabs>
        <w:spacing w:after="0" w:line="240" w:lineRule="auto"/>
        <w:jc w:val="left"/>
        <w:rPr>
          <w:rFonts w:eastAsia="Times New Roman" w:cs="Arial"/>
          <w:color w:val="000000"/>
          <w:sz w:val="20"/>
          <w:szCs w:val="20"/>
        </w:rPr>
      </w:pPr>
    </w:p>
    <w:p w:rsidR="00E00239" w:rsidRDefault="00C75211">
      <w:pPr>
        <w:tabs>
          <w:tab w:val="left" w:pos="2160"/>
          <w:tab w:val="left" w:pos="2280"/>
        </w:tabs>
        <w:spacing w:after="0" w:line="240" w:lineRule="auto"/>
        <w:jc w:val="left"/>
        <w:rPr>
          <w:rFonts w:ascii="Arial Bold" w:eastAsia="Times New Roman" w:hAnsi="Arial Bold" w:cs="Arial"/>
          <w:b/>
          <w:smallCaps/>
          <w:color w:val="auto"/>
          <w:sz w:val="20"/>
          <w:szCs w:val="20"/>
        </w:rPr>
      </w:pPr>
      <w:r>
        <w:rPr>
          <w:rFonts w:eastAsia="Times New Roman" w:cs="Arial"/>
          <w:b/>
          <w:smallCaps/>
          <w:color w:val="000000"/>
          <w:sz w:val="20"/>
          <w:szCs w:val="20"/>
        </w:rPr>
        <w:t>Attorney Examiners</w:t>
      </w:r>
    </w:p>
    <w:p w:rsidR="00E00239" w:rsidRDefault="00E00239">
      <w:pPr>
        <w:rPr>
          <w:rFonts w:cs="Arial"/>
          <w:szCs w:val="24"/>
        </w:rPr>
        <w:sectPr w:rsidR="00E00239">
          <w:headerReference w:type="default" r:id="rId36"/>
          <w:footerReference w:type="default" r:id="rId37"/>
          <w:headerReference w:type="first" r:id="rId38"/>
          <w:footerReference w:type="first" r:id="rId39"/>
          <w:type w:val="continuous"/>
          <w:pgSz w:w="12240" w:h="15840"/>
          <w:pgMar w:top="1440" w:right="1440" w:bottom="1440" w:left="1440" w:header="720" w:footer="720" w:gutter="0"/>
          <w:cols w:num="2" w:space="720"/>
          <w:docGrid w:linePitch="360"/>
        </w:sectPr>
      </w:pPr>
    </w:p>
    <w:p w:rsidR="00E00239" w:rsidRDefault="00C75211">
      <w:pPr>
        <w:jc w:val="right"/>
        <w:rPr>
          <w:rFonts w:cs="Arial"/>
          <w:szCs w:val="24"/>
        </w:rPr>
      </w:pPr>
      <w:r>
        <w:rPr>
          <w:rFonts w:cs="Arial"/>
          <w:szCs w:val="24"/>
        </w:rPr>
        <w:lastRenderedPageBreak/>
        <w:t>Attachment 1</w:t>
      </w:r>
    </w:p>
    <w:tbl>
      <w:tblPr>
        <w:tblStyle w:val="TableGrid1"/>
        <w:tblW w:w="0" w:type="auto"/>
        <w:tblLook w:val="04A0" w:firstRow="1" w:lastRow="0" w:firstColumn="1" w:lastColumn="0" w:noHBand="0" w:noVBand="1"/>
      </w:tblPr>
      <w:tblGrid>
        <w:gridCol w:w="1998"/>
        <w:gridCol w:w="7578"/>
      </w:tblGrid>
      <w:tr w:rsidR="00E00239">
        <w:tc>
          <w:tcPr>
            <w:tcW w:w="1998" w:type="dxa"/>
            <w:tcBorders>
              <w:top w:val="nil"/>
              <w:left w:val="nil"/>
              <w:bottom w:val="nil"/>
              <w:right w:val="nil"/>
            </w:tcBorders>
          </w:tcPr>
          <w:p w:rsidR="00E00239" w:rsidRDefault="00C75211">
            <w:pPr>
              <w:jc w:val="center"/>
              <w:rPr>
                <w:rFonts w:eastAsia="Calibri"/>
                <w:b/>
                <w:color w:val="000000"/>
              </w:rPr>
            </w:pPr>
            <w:r>
              <w:rPr>
                <w:rFonts w:eastAsia="Calibri"/>
                <w:b/>
                <w:color w:val="000000"/>
              </w:rPr>
              <w:t>Grounds for Striking</w:t>
            </w:r>
          </w:p>
        </w:tc>
        <w:tc>
          <w:tcPr>
            <w:tcW w:w="7578" w:type="dxa"/>
            <w:tcBorders>
              <w:top w:val="nil"/>
              <w:left w:val="nil"/>
              <w:right w:val="nil"/>
            </w:tcBorders>
          </w:tcPr>
          <w:p w:rsidR="00E00239" w:rsidRDefault="00C75211">
            <w:pPr>
              <w:jc w:val="center"/>
              <w:rPr>
                <w:rFonts w:eastAsia="Calibri"/>
                <w:b/>
                <w:color w:val="000000"/>
              </w:rPr>
            </w:pPr>
            <w:r>
              <w:rPr>
                <w:rFonts w:eastAsia="Calibri"/>
                <w:b/>
                <w:color w:val="000000"/>
              </w:rPr>
              <w:t>Location of Passage to Strike</w:t>
            </w:r>
          </w:p>
        </w:tc>
      </w:tr>
      <w:tr w:rsidR="00E00239">
        <w:tc>
          <w:tcPr>
            <w:tcW w:w="1998" w:type="dxa"/>
            <w:tcBorders>
              <w:top w:val="nil"/>
              <w:left w:val="nil"/>
            </w:tcBorders>
            <w:vAlign w:val="center"/>
          </w:tcPr>
          <w:p w:rsidR="00E00239" w:rsidRDefault="00E00239">
            <w:pPr>
              <w:jc w:val="center"/>
              <w:rPr>
                <w:rFonts w:eastAsia="Calibri"/>
                <w:b/>
                <w:color w:val="000000"/>
              </w:rPr>
            </w:pPr>
          </w:p>
        </w:tc>
        <w:tc>
          <w:tcPr>
            <w:tcW w:w="7578" w:type="dxa"/>
          </w:tcPr>
          <w:p w:rsidR="00E00239" w:rsidRDefault="00C75211">
            <w:pPr>
              <w:jc w:val="center"/>
              <w:rPr>
                <w:rFonts w:eastAsia="Calibri"/>
                <w:b/>
                <w:color w:val="000000"/>
                <w:sz w:val="20"/>
                <w:szCs w:val="20"/>
              </w:rPr>
            </w:pPr>
            <w:r>
              <w:rPr>
                <w:rFonts w:eastAsia="Calibri"/>
                <w:b/>
                <w:color w:val="000000"/>
                <w:sz w:val="20"/>
                <w:szCs w:val="20"/>
              </w:rPr>
              <w:t>APPLICATION</w:t>
            </w:r>
          </w:p>
        </w:tc>
      </w:tr>
      <w:tr w:rsidR="00E00239">
        <w:tc>
          <w:tcPr>
            <w:tcW w:w="1998" w:type="dxa"/>
            <w:vAlign w:val="center"/>
          </w:tcPr>
          <w:p w:rsidR="00E00239" w:rsidRDefault="00C75211">
            <w:pPr>
              <w:jc w:val="center"/>
              <w:rPr>
                <w:rFonts w:eastAsia="Calibri"/>
                <w:color w:val="000000"/>
                <w:sz w:val="20"/>
                <w:szCs w:val="20"/>
              </w:rPr>
            </w:pPr>
            <w:r>
              <w:rPr>
                <w:rFonts w:eastAsia="Calibri"/>
                <w:color w:val="000000"/>
                <w:sz w:val="20"/>
                <w:szCs w:val="20"/>
              </w:rPr>
              <w:t>Basis 1 – Illegal Capacity Charges</w:t>
            </w:r>
          </w:p>
        </w:tc>
        <w:tc>
          <w:tcPr>
            <w:tcW w:w="7578" w:type="dxa"/>
          </w:tcPr>
          <w:p w:rsidR="00E00239" w:rsidRDefault="00C75211">
            <w:pPr>
              <w:rPr>
                <w:rFonts w:eastAsia="Calibri"/>
                <w:color w:val="000000"/>
                <w:sz w:val="20"/>
                <w:szCs w:val="20"/>
              </w:rPr>
            </w:pPr>
            <w:r>
              <w:rPr>
                <w:rFonts w:eastAsia="Calibri"/>
                <w:color w:val="000000"/>
                <w:sz w:val="20"/>
                <w:szCs w:val="20"/>
              </w:rPr>
              <w:t>Application at 2, 3rd line</w:t>
            </w:r>
            <w:r>
              <w:rPr>
                <w:rFonts w:eastAsia="Calibri"/>
                <w:color w:val="000000"/>
                <w:sz w:val="20"/>
                <w:szCs w:val="20"/>
              </w:rPr>
              <w:t xml:space="preserve"> from the bottom, “highly discounted capacity charges”</w:t>
            </w:r>
          </w:p>
        </w:tc>
      </w:tr>
      <w:tr w:rsidR="00E00239">
        <w:tc>
          <w:tcPr>
            <w:tcW w:w="1998" w:type="dxa"/>
            <w:vAlign w:val="center"/>
          </w:tcPr>
          <w:p w:rsidR="00E00239" w:rsidRDefault="00C75211">
            <w:pPr>
              <w:jc w:val="center"/>
              <w:rPr>
                <w:rFonts w:eastAsia="Calibri"/>
                <w:color w:val="000000"/>
              </w:rPr>
            </w:pPr>
            <w:r>
              <w:rPr>
                <w:rFonts w:eastAsia="Calibri"/>
                <w:color w:val="000000"/>
                <w:sz w:val="20"/>
                <w:szCs w:val="20"/>
              </w:rPr>
              <w:t>Basis 1 – Illegal Capacity Charges</w:t>
            </w:r>
          </w:p>
        </w:tc>
        <w:tc>
          <w:tcPr>
            <w:tcW w:w="7578" w:type="dxa"/>
          </w:tcPr>
          <w:p w:rsidR="00E00239" w:rsidRDefault="00C75211">
            <w:pPr>
              <w:rPr>
                <w:rFonts w:eastAsia="Calibri"/>
                <w:color w:val="000000"/>
                <w:sz w:val="20"/>
                <w:szCs w:val="20"/>
              </w:rPr>
            </w:pPr>
            <w:r>
              <w:rPr>
                <w:rFonts w:eastAsia="Calibri"/>
                <w:color w:val="000000"/>
                <w:sz w:val="20"/>
                <w:szCs w:val="20"/>
              </w:rPr>
              <w:t>Application at 4, under witness Powers in chart, reference to capacity price overview</w:t>
            </w:r>
          </w:p>
        </w:tc>
      </w:tr>
      <w:tr w:rsidR="00E00239">
        <w:tc>
          <w:tcPr>
            <w:tcW w:w="1998" w:type="dxa"/>
            <w:vAlign w:val="center"/>
          </w:tcPr>
          <w:p w:rsidR="00E00239" w:rsidRDefault="00C75211">
            <w:pPr>
              <w:jc w:val="center"/>
              <w:rPr>
                <w:rFonts w:eastAsia="Calibri"/>
                <w:color w:val="000000"/>
              </w:rPr>
            </w:pPr>
            <w:r>
              <w:rPr>
                <w:rFonts w:eastAsia="Calibri"/>
                <w:color w:val="000000"/>
                <w:sz w:val="20"/>
                <w:szCs w:val="20"/>
              </w:rPr>
              <w:t>Basis 1 – Illegal Capacity Charges</w:t>
            </w:r>
          </w:p>
        </w:tc>
        <w:tc>
          <w:tcPr>
            <w:tcW w:w="7578" w:type="dxa"/>
          </w:tcPr>
          <w:p w:rsidR="00E00239" w:rsidRDefault="00C75211">
            <w:pPr>
              <w:rPr>
                <w:rFonts w:eastAsia="Calibri"/>
                <w:color w:val="000000"/>
                <w:sz w:val="20"/>
                <w:szCs w:val="20"/>
              </w:rPr>
            </w:pPr>
            <w:r>
              <w:rPr>
                <w:rFonts w:eastAsia="Calibri"/>
                <w:color w:val="000000"/>
                <w:sz w:val="20"/>
                <w:szCs w:val="20"/>
              </w:rPr>
              <w:t xml:space="preserve">Application at 4, under witness Nelson in chart, reference to “FRR/capacity obligation” </w:t>
            </w:r>
          </w:p>
        </w:tc>
      </w:tr>
      <w:tr w:rsidR="00E00239">
        <w:tc>
          <w:tcPr>
            <w:tcW w:w="1998" w:type="dxa"/>
            <w:vAlign w:val="center"/>
          </w:tcPr>
          <w:p w:rsidR="00E00239" w:rsidRDefault="00C75211">
            <w:pPr>
              <w:jc w:val="center"/>
              <w:rPr>
                <w:rFonts w:eastAsia="Calibri"/>
                <w:color w:val="000000"/>
              </w:rPr>
            </w:pPr>
            <w:r>
              <w:rPr>
                <w:rFonts w:eastAsia="Calibri"/>
                <w:color w:val="000000"/>
                <w:sz w:val="20"/>
                <w:szCs w:val="20"/>
              </w:rPr>
              <w:t>Basis 1 – Illegal Capacity Charges</w:t>
            </w:r>
          </w:p>
        </w:tc>
        <w:tc>
          <w:tcPr>
            <w:tcW w:w="7578" w:type="dxa"/>
          </w:tcPr>
          <w:p w:rsidR="00E00239" w:rsidRDefault="00C75211">
            <w:pPr>
              <w:rPr>
                <w:rFonts w:eastAsia="Calibri"/>
                <w:color w:val="000000"/>
                <w:sz w:val="20"/>
                <w:szCs w:val="20"/>
              </w:rPr>
            </w:pPr>
            <w:r>
              <w:rPr>
                <w:rFonts w:eastAsia="Calibri"/>
                <w:color w:val="000000"/>
                <w:sz w:val="20"/>
                <w:szCs w:val="20"/>
              </w:rPr>
              <w:t>Application at 4, under witness Allen in chart, reference to “two-tiered capacity pricing”</w:t>
            </w:r>
          </w:p>
        </w:tc>
      </w:tr>
      <w:tr w:rsidR="00E00239">
        <w:tc>
          <w:tcPr>
            <w:tcW w:w="1998" w:type="dxa"/>
            <w:tcBorders>
              <w:bottom w:val="single" w:sz="4" w:space="0" w:color="auto"/>
            </w:tcBorders>
            <w:vAlign w:val="center"/>
          </w:tcPr>
          <w:p w:rsidR="00E00239" w:rsidRDefault="00C75211">
            <w:pPr>
              <w:jc w:val="center"/>
              <w:rPr>
                <w:rFonts w:eastAsia="Calibri"/>
                <w:color w:val="000000"/>
              </w:rPr>
            </w:pPr>
            <w:r>
              <w:rPr>
                <w:rFonts w:eastAsia="Calibri"/>
                <w:color w:val="000000"/>
                <w:sz w:val="20"/>
                <w:szCs w:val="20"/>
              </w:rPr>
              <w:t>Basis 1 – Illegal Capacity Charges</w:t>
            </w:r>
          </w:p>
        </w:tc>
        <w:tc>
          <w:tcPr>
            <w:tcW w:w="7578" w:type="dxa"/>
            <w:tcBorders>
              <w:bottom w:val="single" w:sz="4" w:space="0" w:color="auto"/>
            </w:tcBorders>
          </w:tcPr>
          <w:p w:rsidR="00E00239" w:rsidRDefault="00C75211">
            <w:pPr>
              <w:rPr>
                <w:rFonts w:eastAsia="Calibri"/>
                <w:color w:val="000000"/>
                <w:sz w:val="20"/>
                <w:szCs w:val="20"/>
              </w:rPr>
            </w:pPr>
            <w:r>
              <w:rPr>
                <w:rFonts w:eastAsia="Calibri"/>
                <w:color w:val="000000"/>
                <w:sz w:val="20"/>
                <w:szCs w:val="20"/>
              </w:rPr>
              <w:t>Appl</w:t>
            </w:r>
            <w:r>
              <w:rPr>
                <w:rFonts w:eastAsia="Calibri"/>
                <w:color w:val="000000"/>
                <w:sz w:val="20"/>
                <w:szCs w:val="20"/>
              </w:rPr>
              <w:t>ication at 5, under witness Graves in chart , reference to “detailed discussion of PJM capacity market”</w:t>
            </w:r>
          </w:p>
        </w:tc>
      </w:tr>
      <w:tr w:rsidR="00E00239">
        <w:tc>
          <w:tcPr>
            <w:tcW w:w="1998" w:type="dxa"/>
            <w:tcBorders>
              <w:bottom w:val="single" w:sz="4" w:space="0" w:color="auto"/>
            </w:tcBorders>
            <w:vAlign w:val="center"/>
          </w:tcPr>
          <w:p w:rsidR="00E00239" w:rsidRDefault="00C75211">
            <w:pPr>
              <w:jc w:val="center"/>
              <w:rPr>
                <w:rFonts w:eastAsia="Calibri"/>
                <w:color w:val="000000"/>
              </w:rPr>
            </w:pPr>
            <w:r>
              <w:rPr>
                <w:rFonts w:eastAsia="Calibri"/>
                <w:color w:val="000000"/>
                <w:sz w:val="20"/>
                <w:szCs w:val="20"/>
              </w:rPr>
              <w:t>Basis 1 – Illegal Capacity Charges</w:t>
            </w:r>
          </w:p>
        </w:tc>
        <w:tc>
          <w:tcPr>
            <w:tcW w:w="7578" w:type="dxa"/>
            <w:tcBorders>
              <w:bottom w:val="single" w:sz="4" w:space="0" w:color="auto"/>
            </w:tcBorders>
          </w:tcPr>
          <w:p w:rsidR="00E00239" w:rsidRDefault="00C75211">
            <w:pPr>
              <w:rPr>
                <w:rFonts w:eastAsia="Calibri"/>
                <w:color w:val="000000"/>
                <w:sz w:val="20"/>
                <w:szCs w:val="20"/>
              </w:rPr>
            </w:pPr>
            <w:r>
              <w:rPr>
                <w:rFonts w:eastAsia="Calibri"/>
                <w:color w:val="000000"/>
                <w:sz w:val="20"/>
                <w:szCs w:val="20"/>
              </w:rPr>
              <w:t>Application at 10, starting with Section “B” and continuing through the end of the section on page 12</w:t>
            </w:r>
          </w:p>
        </w:tc>
      </w:tr>
      <w:tr w:rsidR="00E00239">
        <w:tc>
          <w:tcPr>
            <w:tcW w:w="1998" w:type="dxa"/>
            <w:tcBorders>
              <w:top w:val="single" w:sz="4" w:space="0" w:color="auto"/>
              <w:left w:val="nil"/>
              <w:bottom w:val="nil"/>
              <w:right w:val="nil"/>
            </w:tcBorders>
            <w:vAlign w:val="center"/>
          </w:tcPr>
          <w:p w:rsidR="00E00239" w:rsidRDefault="00E00239">
            <w:pPr>
              <w:jc w:val="center"/>
              <w:rPr>
                <w:rFonts w:eastAsia="Calibri"/>
                <w:color w:val="000000"/>
              </w:rPr>
            </w:pPr>
          </w:p>
        </w:tc>
        <w:tc>
          <w:tcPr>
            <w:tcW w:w="7578" w:type="dxa"/>
            <w:tcBorders>
              <w:top w:val="single" w:sz="4" w:space="0" w:color="auto"/>
              <w:left w:val="nil"/>
              <w:bottom w:val="single" w:sz="4" w:space="0" w:color="auto"/>
              <w:right w:val="nil"/>
            </w:tcBorders>
          </w:tcPr>
          <w:p w:rsidR="00E00239" w:rsidRDefault="00E00239">
            <w:pPr>
              <w:rPr>
                <w:rFonts w:eastAsia="Calibri"/>
                <w:color w:val="000000"/>
              </w:rPr>
            </w:pPr>
          </w:p>
        </w:tc>
      </w:tr>
      <w:tr w:rsidR="00E00239">
        <w:tc>
          <w:tcPr>
            <w:tcW w:w="1998" w:type="dxa"/>
            <w:tcBorders>
              <w:top w:val="nil"/>
              <w:left w:val="nil"/>
            </w:tcBorders>
            <w:vAlign w:val="center"/>
          </w:tcPr>
          <w:p w:rsidR="00E00239" w:rsidRDefault="00E00239">
            <w:pPr>
              <w:jc w:val="center"/>
              <w:rPr>
                <w:rFonts w:eastAsia="Calibri"/>
                <w:b/>
                <w:color w:val="000000"/>
              </w:rPr>
            </w:pPr>
          </w:p>
        </w:tc>
        <w:tc>
          <w:tcPr>
            <w:tcW w:w="7578" w:type="dxa"/>
            <w:tcBorders>
              <w:top w:val="single" w:sz="4" w:space="0" w:color="auto"/>
            </w:tcBorders>
          </w:tcPr>
          <w:p w:rsidR="00E00239" w:rsidRDefault="00C75211">
            <w:pPr>
              <w:jc w:val="center"/>
              <w:rPr>
                <w:rFonts w:eastAsia="Calibri"/>
                <w:b/>
                <w:color w:val="000000"/>
                <w:sz w:val="20"/>
                <w:szCs w:val="20"/>
              </w:rPr>
            </w:pPr>
            <w:r>
              <w:rPr>
                <w:rFonts w:eastAsia="Calibri"/>
                <w:b/>
                <w:color w:val="000000"/>
                <w:sz w:val="20"/>
                <w:szCs w:val="20"/>
              </w:rPr>
              <w:t>ALLEN</w:t>
            </w:r>
          </w:p>
        </w:tc>
      </w:tr>
      <w:tr w:rsidR="00E00239">
        <w:tc>
          <w:tcPr>
            <w:tcW w:w="1998" w:type="dxa"/>
            <w:vAlign w:val="center"/>
          </w:tcPr>
          <w:p w:rsidR="00E00239" w:rsidRDefault="00C75211">
            <w:pPr>
              <w:tabs>
                <w:tab w:val="left" w:pos="1080"/>
              </w:tabs>
              <w:jc w:val="center"/>
              <w:rPr>
                <w:rFonts w:eastAsia="Calibri"/>
                <w:color w:val="000000"/>
              </w:rPr>
            </w:pPr>
            <w:r>
              <w:rPr>
                <w:rFonts w:eastAsia="Calibri"/>
                <w:color w:val="000000"/>
                <w:sz w:val="20"/>
                <w:szCs w:val="20"/>
              </w:rPr>
              <w:t>Basis 1 – Illegal Capacity Charges</w:t>
            </w:r>
          </w:p>
        </w:tc>
        <w:tc>
          <w:tcPr>
            <w:tcW w:w="7578" w:type="dxa"/>
          </w:tcPr>
          <w:p w:rsidR="00E00239" w:rsidRDefault="00C75211">
            <w:pPr>
              <w:tabs>
                <w:tab w:val="left" w:pos="1080"/>
              </w:tabs>
              <w:rPr>
                <w:rFonts w:eastAsia="Calibri"/>
                <w:color w:val="000000"/>
                <w:sz w:val="20"/>
                <w:szCs w:val="20"/>
              </w:rPr>
            </w:pPr>
            <w:r>
              <w:rPr>
                <w:rFonts w:eastAsia="Calibri"/>
                <w:color w:val="000000"/>
                <w:sz w:val="20"/>
                <w:szCs w:val="20"/>
              </w:rPr>
              <w:t>Allen at 3, lines 4-6, starting with “describe how” through “(CRES) providers”</w:t>
            </w:r>
          </w:p>
        </w:tc>
      </w:tr>
      <w:tr w:rsidR="00E00239">
        <w:tc>
          <w:tcPr>
            <w:tcW w:w="1998" w:type="dxa"/>
            <w:vAlign w:val="center"/>
          </w:tcPr>
          <w:p w:rsidR="00E00239" w:rsidRDefault="00C75211">
            <w:pPr>
              <w:tabs>
                <w:tab w:val="left" w:pos="1080"/>
              </w:tabs>
              <w:jc w:val="center"/>
              <w:rPr>
                <w:rFonts w:eastAsia="Calibri"/>
                <w:color w:val="000000"/>
              </w:rPr>
            </w:pPr>
            <w:r>
              <w:rPr>
                <w:rFonts w:eastAsia="Calibri"/>
                <w:color w:val="000000"/>
                <w:sz w:val="20"/>
                <w:szCs w:val="20"/>
              </w:rPr>
              <w:t>Basis 1 – Illegal Capacity Charges</w:t>
            </w:r>
          </w:p>
        </w:tc>
        <w:tc>
          <w:tcPr>
            <w:tcW w:w="7578" w:type="dxa"/>
          </w:tcPr>
          <w:p w:rsidR="00E00239" w:rsidRDefault="00C75211">
            <w:pPr>
              <w:tabs>
                <w:tab w:val="left" w:pos="1080"/>
              </w:tabs>
              <w:rPr>
                <w:rFonts w:eastAsia="Calibri"/>
                <w:color w:val="000000"/>
                <w:sz w:val="20"/>
                <w:szCs w:val="20"/>
              </w:rPr>
            </w:pPr>
            <w:r>
              <w:rPr>
                <w:rFonts w:eastAsia="Calibri"/>
                <w:color w:val="000000"/>
                <w:sz w:val="20"/>
                <w:szCs w:val="20"/>
              </w:rPr>
              <w:t>Allen at 3, line 17, “Benefit of Discounted Capacity”</w:t>
            </w:r>
          </w:p>
        </w:tc>
      </w:tr>
      <w:tr w:rsidR="00E00239">
        <w:tc>
          <w:tcPr>
            <w:tcW w:w="1998" w:type="dxa"/>
            <w:vAlign w:val="center"/>
          </w:tcPr>
          <w:p w:rsidR="00E00239" w:rsidRDefault="00C75211">
            <w:pPr>
              <w:tabs>
                <w:tab w:val="left" w:pos="1080"/>
              </w:tabs>
              <w:jc w:val="center"/>
              <w:rPr>
                <w:rFonts w:eastAsia="Calibri"/>
                <w:color w:val="000000"/>
              </w:rPr>
            </w:pPr>
            <w:r>
              <w:rPr>
                <w:rFonts w:eastAsia="Calibri"/>
                <w:color w:val="000000"/>
                <w:sz w:val="20"/>
                <w:szCs w:val="20"/>
              </w:rPr>
              <w:t>Basis 1 – Illegal Capacity Charges</w:t>
            </w:r>
          </w:p>
        </w:tc>
        <w:tc>
          <w:tcPr>
            <w:tcW w:w="7578" w:type="dxa"/>
          </w:tcPr>
          <w:p w:rsidR="00E00239" w:rsidRDefault="00C75211">
            <w:pPr>
              <w:tabs>
                <w:tab w:val="left" w:pos="1080"/>
              </w:tabs>
              <w:rPr>
                <w:rFonts w:eastAsia="Calibri"/>
                <w:color w:val="000000"/>
                <w:sz w:val="20"/>
                <w:szCs w:val="20"/>
              </w:rPr>
            </w:pPr>
            <w:r>
              <w:rPr>
                <w:rFonts w:eastAsia="Calibri"/>
                <w:color w:val="000000"/>
                <w:sz w:val="20"/>
                <w:szCs w:val="20"/>
              </w:rPr>
              <w:t xml:space="preserve">Allen at 4, all of lines 8-14 </w:t>
            </w:r>
          </w:p>
        </w:tc>
      </w:tr>
      <w:tr w:rsidR="00E00239">
        <w:tc>
          <w:tcPr>
            <w:tcW w:w="1998" w:type="dxa"/>
            <w:vAlign w:val="center"/>
          </w:tcPr>
          <w:p w:rsidR="00E00239" w:rsidRDefault="00C75211">
            <w:pPr>
              <w:tabs>
                <w:tab w:val="left" w:pos="1080"/>
              </w:tabs>
              <w:jc w:val="center"/>
              <w:rPr>
                <w:rFonts w:eastAsia="Calibri"/>
                <w:color w:val="000000"/>
              </w:rPr>
            </w:pPr>
            <w:r>
              <w:rPr>
                <w:rFonts w:eastAsia="Calibri"/>
                <w:color w:val="000000"/>
                <w:sz w:val="20"/>
                <w:szCs w:val="20"/>
              </w:rPr>
              <w:t>Basis 1 – Illegal Capacity Charges</w:t>
            </w:r>
          </w:p>
        </w:tc>
        <w:tc>
          <w:tcPr>
            <w:tcW w:w="7578" w:type="dxa"/>
          </w:tcPr>
          <w:p w:rsidR="00E00239" w:rsidRDefault="00C75211">
            <w:pPr>
              <w:tabs>
                <w:tab w:val="left" w:pos="1080"/>
              </w:tabs>
              <w:rPr>
                <w:rFonts w:eastAsia="Calibri"/>
                <w:color w:val="000000"/>
                <w:sz w:val="20"/>
                <w:szCs w:val="20"/>
              </w:rPr>
            </w:pPr>
            <w:r>
              <w:rPr>
                <w:rFonts w:eastAsia="Calibri"/>
                <w:color w:val="000000"/>
                <w:sz w:val="20"/>
                <w:szCs w:val="20"/>
              </w:rPr>
              <w:t>Allen at 5, the entire chart</w:t>
            </w:r>
          </w:p>
        </w:tc>
      </w:tr>
      <w:tr w:rsidR="00E00239">
        <w:tc>
          <w:tcPr>
            <w:tcW w:w="1998" w:type="dxa"/>
            <w:vAlign w:val="center"/>
          </w:tcPr>
          <w:p w:rsidR="00E00239" w:rsidRDefault="00C75211">
            <w:pPr>
              <w:tabs>
                <w:tab w:val="left" w:pos="1080"/>
              </w:tabs>
              <w:jc w:val="center"/>
              <w:rPr>
                <w:rFonts w:eastAsia="Calibri"/>
                <w:color w:val="000000"/>
              </w:rPr>
            </w:pPr>
            <w:r>
              <w:rPr>
                <w:rFonts w:eastAsia="Calibri"/>
                <w:color w:val="000000"/>
                <w:sz w:val="20"/>
                <w:szCs w:val="20"/>
              </w:rPr>
              <w:t>Basis 1 – Illegal Capacity Charges</w:t>
            </w:r>
          </w:p>
        </w:tc>
        <w:tc>
          <w:tcPr>
            <w:tcW w:w="7578" w:type="dxa"/>
          </w:tcPr>
          <w:p w:rsidR="00E00239" w:rsidRDefault="00C75211">
            <w:pPr>
              <w:tabs>
                <w:tab w:val="left" w:pos="1080"/>
              </w:tabs>
              <w:rPr>
                <w:rFonts w:eastAsia="Calibri"/>
                <w:color w:val="000000"/>
                <w:sz w:val="20"/>
                <w:szCs w:val="20"/>
              </w:rPr>
            </w:pPr>
            <w:r>
              <w:rPr>
                <w:rFonts w:eastAsia="Calibri"/>
                <w:color w:val="000000"/>
                <w:sz w:val="20"/>
                <w:szCs w:val="20"/>
              </w:rPr>
              <w:t>Allen at 6, line 5 through page 9, line 13</w:t>
            </w:r>
          </w:p>
        </w:tc>
      </w:tr>
      <w:tr w:rsidR="00E00239">
        <w:tc>
          <w:tcPr>
            <w:tcW w:w="1998" w:type="dxa"/>
            <w:vAlign w:val="center"/>
          </w:tcPr>
          <w:p w:rsidR="00E00239" w:rsidRDefault="00C75211">
            <w:pPr>
              <w:tabs>
                <w:tab w:val="left" w:pos="1080"/>
              </w:tabs>
              <w:jc w:val="center"/>
              <w:rPr>
                <w:rFonts w:eastAsia="Calibri"/>
                <w:color w:val="000000"/>
              </w:rPr>
            </w:pPr>
            <w:r>
              <w:rPr>
                <w:rFonts w:eastAsia="Calibri"/>
                <w:color w:val="000000"/>
                <w:sz w:val="20"/>
                <w:szCs w:val="20"/>
              </w:rPr>
              <w:t>Basis 1 – Illegal Capacity Charges</w:t>
            </w:r>
          </w:p>
        </w:tc>
        <w:tc>
          <w:tcPr>
            <w:tcW w:w="7578" w:type="dxa"/>
          </w:tcPr>
          <w:p w:rsidR="00E00239" w:rsidRDefault="00C75211">
            <w:pPr>
              <w:tabs>
                <w:tab w:val="left" w:pos="1080"/>
              </w:tabs>
              <w:rPr>
                <w:rFonts w:eastAsia="Calibri"/>
                <w:color w:val="000000"/>
                <w:sz w:val="20"/>
                <w:szCs w:val="20"/>
              </w:rPr>
            </w:pPr>
            <w:r>
              <w:rPr>
                <w:rFonts w:eastAsia="Calibri"/>
                <w:color w:val="000000"/>
                <w:sz w:val="20"/>
                <w:szCs w:val="20"/>
              </w:rPr>
              <w:t>Allen at 14, line 17 through page 15, line 3</w:t>
            </w:r>
          </w:p>
        </w:tc>
      </w:tr>
      <w:tr w:rsidR="00E00239">
        <w:tc>
          <w:tcPr>
            <w:tcW w:w="1998" w:type="dxa"/>
            <w:vAlign w:val="center"/>
          </w:tcPr>
          <w:p w:rsidR="00E00239" w:rsidRDefault="00C75211">
            <w:pPr>
              <w:tabs>
                <w:tab w:val="left" w:pos="1080"/>
              </w:tabs>
              <w:jc w:val="center"/>
              <w:rPr>
                <w:rFonts w:eastAsia="Calibri"/>
                <w:color w:val="000000"/>
              </w:rPr>
            </w:pPr>
            <w:r>
              <w:rPr>
                <w:rFonts w:eastAsia="Calibri"/>
                <w:color w:val="000000"/>
                <w:sz w:val="20"/>
                <w:szCs w:val="20"/>
              </w:rPr>
              <w:t>Basis 1 – Illegal Capacity Charges</w:t>
            </w:r>
          </w:p>
        </w:tc>
        <w:tc>
          <w:tcPr>
            <w:tcW w:w="7578" w:type="dxa"/>
          </w:tcPr>
          <w:p w:rsidR="00E00239" w:rsidRDefault="00C75211">
            <w:pPr>
              <w:tabs>
                <w:tab w:val="left" w:pos="1080"/>
              </w:tabs>
              <w:rPr>
                <w:rFonts w:eastAsia="Calibri"/>
                <w:color w:val="000000"/>
                <w:sz w:val="20"/>
                <w:szCs w:val="20"/>
              </w:rPr>
            </w:pPr>
            <w:r>
              <w:rPr>
                <w:rFonts w:eastAsia="Calibri"/>
                <w:color w:val="000000"/>
                <w:sz w:val="20"/>
                <w:szCs w:val="20"/>
              </w:rPr>
              <w:t>Allen at 15, line 18 through page 17, line 13</w:t>
            </w:r>
          </w:p>
        </w:tc>
      </w:tr>
      <w:tr w:rsidR="00E00239">
        <w:tc>
          <w:tcPr>
            <w:tcW w:w="1998" w:type="dxa"/>
            <w:vAlign w:val="center"/>
          </w:tcPr>
          <w:p w:rsidR="00E00239" w:rsidRDefault="00C75211">
            <w:pPr>
              <w:tabs>
                <w:tab w:val="left" w:pos="1080"/>
              </w:tabs>
              <w:jc w:val="center"/>
              <w:rPr>
                <w:rFonts w:eastAsia="Calibri"/>
                <w:color w:val="000000"/>
              </w:rPr>
            </w:pPr>
            <w:r>
              <w:rPr>
                <w:rFonts w:eastAsia="Calibri"/>
                <w:color w:val="000000"/>
                <w:sz w:val="20"/>
                <w:szCs w:val="20"/>
              </w:rPr>
              <w:t>Basis 1 – Illegal Capacity Charges</w:t>
            </w:r>
          </w:p>
        </w:tc>
        <w:tc>
          <w:tcPr>
            <w:tcW w:w="7578" w:type="dxa"/>
          </w:tcPr>
          <w:p w:rsidR="00E00239" w:rsidRDefault="00C75211">
            <w:pPr>
              <w:tabs>
                <w:tab w:val="left" w:pos="1080"/>
              </w:tabs>
              <w:rPr>
                <w:rFonts w:eastAsia="Calibri"/>
                <w:color w:val="000000"/>
                <w:sz w:val="20"/>
                <w:szCs w:val="20"/>
              </w:rPr>
            </w:pPr>
            <w:r>
              <w:rPr>
                <w:rFonts w:eastAsia="Calibri"/>
                <w:color w:val="000000"/>
                <w:sz w:val="20"/>
                <w:szCs w:val="20"/>
              </w:rPr>
              <w:t>Allen at WAA-3, all of Exhibit WAA-3</w:t>
            </w:r>
          </w:p>
        </w:tc>
      </w:tr>
      <w:tr w:rsidR="00E00239">
        <w:tc>
          <w:tcPr>
            <w:tcW w:w="1998" w:type="dxa"/>
            <w:tcBorders>
              <w:bottom w:val="single" w:sz="4" w:space="0" w:color="auto"/>
            </w:tcBorders>
            <w:vAlign w:val="center"/>
          </w:tcPr>
          <w:p w:rsidR="00E00239" w:rsidRDefault="00C75211">
            <w:pPr>
              <w:tabs>
                <w:tab w:val="left" w:pos="1080"/>
              </w:tabs>
              <w:jc w:val="center"/>
              <w:rPr>
                <w:rFonts w:eastAsia="Calibri"/>
                <w:color w:val="000000"/>
              </w:rPr>
            </w:pPr>
            <w:r>
              <w:rPr>
                <w:rFonts w:eastAsia="Calibri"/>
                <w:color w:val="000000"/>
                <w:sz w:val="20"/>
                <w:szCs w:val="20"/>
              </w:rPr>
              <w:t>Basis 1 – Illegal Capacity Charges</w:t>
            </w:r>
          </w:p>
        </w:tc>
        <w:tc>
          <w:tcPr>
            <w:tcW w:w="7578" w:type="dxa"/>
            <w:tcBorders>
              <w:bottom w:val="single" w:sz="4" w:space="0" w:color="auto"/>
            </w:tcBorders>
          </w:tcPr>
          <w:p w:rsidR="00E00239" w:rsidRDefault="00C75211">
            <w:pPr>
              <w:tabs>
                <w:tab w:val="left" w:pos="1080"/>
              </w:tabs>
              <w:rPr>
                <w:rFonts w:eastAsia="Calibri"/>
                <w:color w:val="000000"/>
                <w:sz w:val="20"/>
                <w:szCs w:val="20"/>
              </w:rPr>
            </w:pPr>
            <w:r>
              <w:rPr>
                <w:rFonts w:eastAsia="Calibri"/>
                <w:color w:val="000000"/>
                <w:sz w:val="20"/>
                <w:szCs w:val="20"/>
              </w:rPr>
              <w:t>Allen at WAA-4, all of Exhibit WAA-4</w:t>
            </w:r>
          </w:p>
        </w:tc>
      </w:tr>
      <w:tr w:rsidR="00E00239">
        <w:tc>
          <w:tcPr>
            <w:tcW w:w="1998" w:type="dxa"/>
            <w:tcBorders>
              <w:bottom w:val="single" w:sz="4" w:space="0" w:color="auto"/>
            </w:tcBorders>
            <w:vAlign w:val="center"/>
          </w:tcPr>
          <w:p w:rsidR="00E00239" w:rsidRDefault="00C75211">
            <w:pPr>
              <w:tabs>
                <w:tab w:val="left" w:pos="1080"/>
              </w:tabs>
              <w:jc w:val="center"/>
              <w:rPr>
                <w:rFonts w:eastAsia="Calibri"/>
                <w:color w:val="000000"/>
              </w:rPr>
            </w:pPr>
            <w:r>
              <w:rPr>
                <w:rFonts w:eastAsia="Calibri"/>
                <w:color w:val="000000"/>
                <w:sz w:val="20"/>
                <w:szCs w:val="20"/>
              </w:rPr>
              <w:t xml:space="preserve">Basis 1 – Illegal Capacity </w:t>
            </w:r>
            <w:r>
              <w:rPr>
                <w:rFonts w:eastAsia="Calibri"/>
                <w:color w:val="000000"/>
                <w:sz w:val="20"/>
                <w:szCs w:val="20"/>
              </w:rPr>
              <w:t>Charges</w:t>
            </w:r>
          </w:p>
        </w:tc>
        <w:tc>
          <w:tcPr>
            <w:tcW w:w="7578" w:type="dxa"/>
            <w:tcBorders>
              <w:bottom w:val="single" w:sz="4" w:space="0" w:color="auto"/>
            </w:tcBorders>
          </w:tcPr>
          <w:p w:rsidR="00E00239" w:rsidRDefault="00C75211">
            <w:pPr>
              <w:tabs>
                <w:tab w:val="left" w:pos="1080"/>
              </w:tabs>
              <w:rPr>
                <w:rFonts w:eastAsia="Calibri"/>
                <w:color w:val="000000"/>
                <w:sz w:val="20"/>
                <w:szCs w:val="20"/>
              </w:rPr>
            </w:pPr>
            <w:r>
              <w:rPr>
                <w:rFonts w:eastAsia="Calibri"/>
                <w:color w:val="000000"/>
                <w:sz w:val="20"/>
                <w:szCs w:val="20"/>
              </w:rPr>
              <w:t>Allen at WAA-6, 2</w:t>
            </w:r>
            <w:r>
              <w:rPr>
                <w:rFonts w:eastAsia="Calibri"/>
                <w:color w:val="000000"/>
                <w:sz w:val="20"/>
                <w:szCs w:val="20"/>
                <w:vertAlign w:val="superscript"/>
              </w:rPr>
              <w:t>nd</w:t>
            </w:r>
            <w:r>
              <w:rPr>
                <w:rFonts w:eastAsia="Calibri"/>
                <w:color w:val="000000"/>
                <w:sz w:val="20"/>
                <w:szCs w:val="20"/>
              </w:rPr>
              <w:t xml:space="preserve"> row in bottom chart, referring to CRES capacity revenues, the 4</w:t>
            </w:r>
            <w:r>
              <w:rPr>
                <w:rFonts w:eastAsia="Calibri"/>
                <w:color w:val="000000"/>
                <w:sz w:val="20"/>
                <w:szCs w:val="20"/>
                <w:vertAlign w:val="superscript"/>
              </w:rPr>
              <w:t>th</w:t>
            </w:r>
            <w:r>
              <w:rPr>
                <w:rFonts w:eastAsia="Calibri"/>
                <w:color w:val="000000"/>
                <w:sz w:val="20"/>
                <w:szCs w:val="20"/>
              </w:rPr>
              <w:t xml:space="preserve"> row in the bottom chart labeled “subtotal” and the row labeled “total revenues”</w:t>
            </w:r>
          </w:p>
        </w:tc>
      </w:tr>
      <w:tr w:rsidR="00E00239">
        <w:tc>
          <w:tcPr>
            <w:tcW w:w="1998" w:type="dxa"/>
            <w:tcBorders>
              <w:top w:val="single" w:sz="4" w:space="0" w:color="auto"/>
              <w:left w:val="nil"/>
              <w:bottom w:val="nil"/>
              <w:right w:val="nil"/>
            </w:tcBorders>
            <w:vAlign w:val="center"/>
          </w:tcPr>
          <w:p w:rsidR="00E00239" w:rsidRDefault="00E00239">
            <w:pPr>
              <w:tabs>
                <w:tab w:val="left" w:pos="1080"/>
              </w:tabs>
              <w:jc w:val="center"/>
              <w:rPr>
                <w:rFonts w:eastAsia="Calibri"/>
                <w:color w:val="000000"/>
              </w:rPr>
            </w:pPr>
          </w:p>
        </w:tc>
        <w:tc>
          <w:tcPr>
            <w:tcW w:w="7578" w:type="dxa"/>
            <w:tcBorders>
              <w:top w:val="single" w:sz="4" w:space="0" w:color="auto"/>
              <w:left w:val="nil"/>
              <w:bottom w:val="single" w:sz="4" w:space="0" w:color="auto"/>
              <w:right w:val="nil"/>
            </w:tcBorders>
          </w:tcPr>
          <w:p w:rsidR="00E00239" w:rsidRDefault="00E00239">
            <w:pPr>
              <w:tabs>
                <w:tab w:val="left" w:pos="1080"/>
              </w:tabs>
              <w:rPr>
                <w:rFonts w:eastAsia="Calibri"/>
                <w:color w:val="000000"/>
                <w:sz w:val="20"/>
                <w:szCs w:val="20"/>
              </w:rPr>
            </w:pPr>
          </w:p>
        </w:tc>
      </w:tr>
      <w:tr w:rsidR="00E00239">
        <w:tc>
          <w:tcPr>
            <w:tcW w:w="1998" w:type="dxa"/>
            <w:tcBorders>
              <w:top w:val="nil"/>
              <w:left w:val="nil"/>
            </w:tcBorders>
            <w:vAlign w:val="center"/>
          </w:tcPr>
          <w:p w:rsidR="00E00239" w:rsidRDefault="00E00239">
            <w:pPr>
              <w:tabs>
                <w:tab w:val="left" w:pos="1080"/>
              </w:tabs>
              <w:jc w:val="center"/>
              <w:rPr>
                <w:rFonts w:eastAsia="Calibri"/>
                <w:b/>
                <w:color w:val="000000"/>
              </w:rPr>
            </w:pPr>
          </w:p>
        </w:tc>
        <w:tc>
          <w:tcPr>
            <w:tcW w:w="7578" w:type="dxa"/>
            <w:tcBorders>
              <w:top w:val="single" w:sz="4" w:space="0" w:color="auto"/>
            </w:tcBorders>
          </w:tcPr>
          <w:p w:rsidR="00E00239" w:rsidRDefault="00C75211">
            <w:pPr>
              <w:tabs>
                <w:tab w:val="left" w:pos="1080"/>
              </w:tabs>
              <w:jc w:val="center"/>
              <w:rPr>
                <w:rFonts w:eastAsia="Calibri"/>
                <w:b/>
                <w:color w:val="000000"/>
                <w:sz w:val="20"/>
                <w:szCs w:val="20"/>
              </w:rPr>
            </w:pPr>
            <w:r>
              <w:rPr>
                <w:rFonts w:eastAsia="Calibri"/>
                <w:b/>
                <w:color w:val="000000"/>
                <w:sz w:val="20"/>
                <w:szCs w:val="20"/>
              </w:rPr>
              <w:t>DIAS</w:t>
            </w:r>
          </w:p>
        </w:tc>
      </w:tr>
      <w:tr w:rsidR="00E00239">
        <w:tc>
          <w:tcPr>
            <w:tcW w:w="1998" w:type="dxa"/>
            <w:vAlign w:val="center"/>
          </w:tcPr>
          <w:p w:rsidR="00E00239" w:rsidRDefault="00C75211">
            <w:pPr>
              <w:tabs>
                <w:tab w:val="left" w:pos="1080"/>
              </w:tabs>
              <w:jc w:val="center"/>
              <w:rPr>
                <w:rFonts w:eastAsia="Calibri"/>
                <w:color w:val="000000"/>
              </w:rPr>
            </w:pPr>
            <w:r>
              <w:rPr>
                <w:rFonts w:eastAsia="Calibri"/>
                <w:color w:val="000000"/>
                <w:sz w:val="20"/>
                <w:szCs w:val="20"/>
              </w:rPr>
              <w:t>Basis 1 – Illegal Capacity Charges</w:t>
            </w:r>
          </w:p>
        </w:tc>
        <w:tc>
          <w:tcPr>
            <w:tcW w:w="7578" w:type="dxa"/>
          </w:tcPr>
          <w:p w:rsidR="00E00239" w:rsidRDefault="00C75211">
            <w:pPr>
              <w:tabs>
                <w:tab w:val="left" w:pos="1080"/>
              </w:tabs>
              <w:rPr>
                <w:rFonts w:eastAsia="Calibri"/>
                <w:color w:val="000000"/>
                <w:sz w:val="20"/>
                <w:szCs w:val="20"/>
              </w:rPr>
            </w:pPr>
            <w:r>
              <w:rPr>
                <w:rFonts w:eastAsia="Calibri"/>
                <w:color w:val="000000"/>
                <w:sz w:val="20"/>
                <w:szCs w:val="20"/>
              </w:rPr>
              <w:t>Dias at 4, line 13 to 18</w:t>
            </w:r>
          </w:p>
        </w:tc>
      </w:tr>
      <w:tr w:rsidR="00E00239">
        <w:tc>
          <w:tcPr>
            <w:tcW w:w="1998" w:type="dxa"/>
            <w:tcBorders>
              <w:bottom w:val="single" w:sz="4" w:space="0" w:color="auto"/>
            </w:tcBorders>
            <w:vAlign w:val="center"/>
          </w:tcPr>
          <w:p w:rsidR="00E00239" w:rsidRDefault="00C75211">
            <w:pPr>
              <w:tabs>
                <w:tab w:val="left" w:pos="1080"/>
              </w:tabs>
              <w:jc w:val="center"/>
              <w:rPr>
                <w:rFonts w:eastAsia="Calibri"/>
                <w:color w:val="000000"/>
              </w:rPr>
            </w:pPr>
            <w:r>
              <w:rPr>
                <w:rFonts w:eastAsia="Calibri"/>
                <w:color w:val="000000"/>
                <w:sz w:val="20"/>
                <w:szCs w:val="20"/>
              </w:rPr>
              <w:t xml:space="preserve">Basis 1 – </w:t>
            </w:r>
            <w:r>
              <w:rPr>
                <w:rFonts w:eastAsia="Calibri"/>
                <w:color w:val="000000"/>
                <w:sz w:val="20"/>
                <w:szCs w:val="20"/>
              </w:rPr>
              <w:t>Illegal Capacity Charges</w:t>
            </w:r>
          </w:p>
        </w:tc>
        <w:tc>
          <w:tcPr>
            <w:tcW w:w="7578" w:type="dxa"/>
            <w:tcBorders>
              <w:bottom w:val="single" w:sz="4" w:space="0" w:color="auto"/>
            </w:tcBorders>
          </w:tcPr>
          <w:p w:rsidR="00E00239" w:rsidRDefault="00C75211">
            <w:pPr>
              <w:tabs>
                <w:tab w:val="left" w:pos="1080"/>
              </w:tabs>
              <w:rPr>
                <w:rFonts w:eastAsia="Calibri"/>
                <w:color w:val="000000"/>
                <w:sz w:val="20"/>
                <w:szCs w:val="20"/>
              </w:rPr>
            </w:pPr>
            <w:r>
              <w:rPr>
                <w:rFonts w:eastAsia="Calibri"/>
                <w:color w:val="000000"/>
                <w:sz w:val="20"/>
                <w:szCs w:val="20"/>
              </w:rPr>
              <w:t>Dias at 8, line 15 to 17</w:t>
            </w:r>
          </w:p>
        </w:tc>
      </w:tr>
      <w:tr w:rsidR="00E00239">
        <w:tc>
          <w:tcPr>
            <w:tcW w:w="1998" w:type="dxa"/>
            <w:tcBorders>
              <w:bottom w:val="single" w:sz="4" w:space="0" w:color="auto"/>
            </w:tcBorders>
            <w:vAlign w:val="center"/>
          </w:tcPr>
          <w:p w:rsidR="00E00239" w:rsidRDefault="00C75211">
            <w:pPr>
              <w:tabs>
                <w:tab w:val="left" w:pos="1080"/>
              </w:tabs>
              <w:jc w:val="center"/>
              <w:rPr>
                <w:rFonts w:eastAsia="Calibri"/>
                <w:color w:val="000000"/>
              </w:rPr>
            </w:pPr>
            <w:r>
              <w:rPr>
                <w:rFonts w:eastAsia="Calibri"/>
                <w:color w:val="000000"/>
                <w:sz w:val="20"/>
                <w:szCs w:val="20"/>
              </w:rPr>
              <w:t>Basis 1 – Illegal Capacity Charges</w:t>
            </w:r>
          </w:p>
        </w:tc>
        <w:tc>
          <w:tcPr>
            <w:tcW w:w="7578" w:type="dxa"/>
            <w:tcBorders>
              <w:bottom w:val="single" w:sz="4" w:space="0" w:color="auto"/>
            </w:tcBorders>
          </w:tcPr>
          <w:p w:rsidR="00E00239" w:rsidRDefault="00C75211">
            <w:pPr>
              <w:tabs>
                <w:tab w:val="left" w:pos="1080"/>
              </w:tabs>
              <w:rPr>
                <w:rFonts w:eastAsia="Calibri"/>
                <w:color w:val="000000"/>
                <w:sz w:val="20"/>
                <w:szCs w:val="20"/>
              </w:rPr>
            </w:pPr>
            <w:r>
              <w:rPr>
                <w:rFonts w:eastAsia="Calibri"/>
                <w:color w:val="000000"/>
                <w:sz w:val="20"/>
                <w:szCs w:val="20"/>
              </w:rPr>
              <w:t>Dias at 10, line 10 to 13</w:t>
            </w:r>
          </w:p>
        </w:tc>
      </w:tr>
    </w:tbl>
    <w:p w:rsidR="00E00239" w:rsidRDefault="00C75211">
      <w:r>
        <w:br w:type="page"/>
      </w:r>
    </w:p>
    <w:tbl>
      <w:tblPr>
        <w:tblStyle w:val="TableGrid1"/>
        <w:tblW w:w="0" w:type="auto"/>
        <w:tblLook w:val="04A0" w:firstRow="1" w:lastRow="0" w:firstColumn="1" w:lastColumn="0" w:noHBand="0" w:noVBand="1"/>
      </w:tblPr>
      <w:tblGrid>
        <w:gridCol w:w="2178"/>
        <w:gridCol w:w="7398"/>
      </w:tblGrid>
      <w:tr w:rsidR="00E00239">
        <w:tc>
          <w:tcPr>
            <w:tcW w:w="2178" w:type="dxa"/>
            <w:tcBorders>
              <w:top w:val="nil"/>
              <w:left w:val="nil"/>
              <w:bottom w:val="nil"/>
              <w:right w:val="nil"/>
            </w:tcBorders>
            <w:vAlign w:val="center"/>
          </w:tcPr>
          <w:p w:rsidR="00E00239" w:rsidRDefault="00C75211">
            <w:pPr>
              <w:jc w:val="center"/>
              <w:rPr>
                <w:rFonts w:eastAsia="Calibri"/>
                <w:b/>
                <w:color w:val="000000"/>
              </w:rPr>
            </w:pPr>
            <w:r>
              <w:rPr>
                <w:rFonts w:eastAsia="Calibri"/>
                <w:b/>
                <w:color w:val="000000"/>
              </w:rPr>
              <w:lastRenderedPageBreak/>
              <w:t>Grounds for Striking</w:t>
            </w:r>
          </w:p>
        </w:tc>
        <w:tc>
          <w:tcPr>
            <w:tcW w:w="7398" w:type="dxa"/>
            <w:tcBorders>
              <w:top w:val="nil"/>
              <w:left w:val="nil"/>
              <w:right w:val="nil"/>
            </w:tcBorders>
          </w:tcPr>
          <w:p w:rsidR="00E00239" w:rsidRDefault="00C75211">
            <w:pPr>
              <w:tabs>
                <w:tab w:val="left" w:pos="1080"/>
              </w:tabs>
              <w:jc w:val="center"/>
              <w:rPr>
                <w:rFonts w:eastAsia="Calibri"/>
                <w:b/>
                <w:color w:val="000000"/>
              </w:rPr>
            </w:pPr>
            <w:r>
              <w:rPr>
                <w:rFonts w:eastAsia="Calibri"/>
                <w:b/>
                <w:color w:val="000000"/>
              </w:rPr>
              <w:t>Location of Passage to Strike</w:t>
            </w:r>
          </w:p>
        </w:tc>
      </w:tr>
      <w:tr w:rsidR="00E00239">
        <w:tc>
          <w:tcPr>
            <w:tcW w:w="2178" w:type="dxa"/>
            <w:tcBorders>
              <w:top w:val="nil"/>
              <w:left w:val="nil"/>
            </w:tcBorders>
            <w:vAlign w:val="center"/>
          </w:tcPr>
          <w:p w:rsidR="00E00239" w:rsidRDefault="00E00239">
            <w:pPr>
              <w:rPr>
                <w:rFonts w:eastAsia="Calibri"/>
                <w:b/>
                <w:color w:val="000000"/>
              </w:rPr>
            </w:pPr>
          </w:p>
        </w:tc>
        <w:tc>
          <w:tcPr>
            <w:tcW w:w="7398" w:type="dxa"/>
            <w:tcBorders>
              <w:top w:val="single" w:sz="4" w:space="0" w:color="auto"/>
            </w:tcBorders>
          </w:tcPr>
          <w:p w:rsidR="00E00239" w:rsidRDefault="00C75211">
            <w:pPr>
              <w:tabs>
                <w:tab w:val="left" w:pos="1080"/>
              </w:tabs>
              <w:jc w:val="center"/>
              <w:rPr>
                <w:rFonts w:eastAsia="Calibri"/>
                <w:b/>
                <w:color w:val="000000"/>
                <w:sz w:val="20"/>
                <w:szCs w:val="20"/>
              </w:rPr>
            </w:pPr>
            <w:r>
              <w:rPr>
                <w:rFonts w:eastAsia="Calibri"/>
                <w:b/>
                <w:color w:val="000000"/>
                <w:sz w:val="20"/>
                <w:szCs w:val="20"/>
              </w:rPr>
              <w:t>GRAVES</w:t>
            </w:r>
          </w:p>
        </w:tc>
      </w:tr>
      <w:tr w:rsidR="00E00239">
        <w:tc>
          <w:tcPr>
            <w:tcW w:w="2178" w:type="dxa"/>
            <w:vAlign w:val="center"/>
          </w:tcPr>
          <w:p w:rsidR="00E00239" w:rsidRDefault="00C75211">
            <w:pPr>
              <w:tabs>
                <w:tab w:val="left" w:pos="1080"/>
              </w:tabs>
              <w:jc w:val="center"/>
              <w:rPr>
                <w:rFonts w:eastAsia="Calibri" w:cs="Arial"/>
                <w:color w:val="000000"/>
                <w:sz w:val="20"/>
                <w:szCs w:val="20"/>
              </w:rPr>
            </w:pPr>
            <w:r>
              <w:rPr>
                <w:rFonts w:eastAsia="Calibri" w:cs="Arial"/>
                <w:color w:val="000000"/>
                <w:sz w:val="20"/>
                <w:szCs w:val="20"/>
              </w:rPr>
              <w:t>Basis 1 – Illegal Capacity Charges</w:t>
            </w:r>
          </w:p>
        </w:tc>
        <w:tc>
          <w:tcPr>
            <w:tcW w:w="7398" w:type="dxa"/>
          </w:tcPr>
          <w:p w:rsidR="00E00239" w:rsidRDefault="00C75211">
            <w:pPr>
              <w:tabs>
                <w:tab w:val="left" w:pos="1080"/>
              </w:tabs>
              <w:rPr>
                <w:rFonts w:eastAsia="Calibri" w:cs="Arial"/>
                <w:color w:val="000000"/>
                <w:sz w:val="20"/>
                <w:szCs w:val="20"/>
              </w:rPr>
            </w:pPr>
            <w:r>
              <w:rPr>
                <w:rFonts w:eastAsia="Calibri" w:cs="Arial"/>
                <w:color w:val="000000"/>
                <w:sz w:val="20"/>
                <w:szCs w:val="20"/>
              </w:rPr>
              <w:t>All of the testimony</w:t>
            </w:r>
          </w:p>
        </w:tc>
      </w:tr>
    </w:tbl>
    <w:p w:rsidR="00E00239" w:rsidRDefault="00E00239">
      <w:pPr>
        <w:rPr>
          <w:rFonts w:eastAsia="Calibri"/>
          <w:color w:val="000000"/>
          <w:sz w:val="20"/>
          <w:szCs w:val="20"/>
        </w:rPr>
      </w:pPr>
    </w:p>
    <w:tbl>
      <w:tblPr>
        <w:tblStyle w:val="TableGrid1"/>
        <w:tblW w:w="0" w:type="auto"/>
        <w:tblLook w:val="04A0" w:firstRow="1" w:lastRow="0" w:firstColumn="1" w:lastColumn="0" w:noHBand="0" w:noVBand="1"/>
      </w:tblPr>
      <w:tblGrid>
        <w:gridCol w:w="2178"/>
        <w:gridCol w:w="7398"/>
      </w:tblGrid>
      <w:tr w:rsidR="00E00239">
        <w:tc>
          <w:tcPr>
            <w:tcW w:w="2178" w:type="dxa"/>
          </w:tcPr>
          <w:p w:rsidR="00E00239" w:rsidRDefault="00E00239">
            <w:pPr>
              <w:tabs>
                <w:tab w:val="left" w:pos="1080"/>
              </w:tabs>
              <w:jc w:val="center"/>
              <w:rPr>
                <w:rFonts w:eastAsia="Calibri" w:cs="Arial"/>
                <w:b/>
                <w:color w:val="000000"/>
                <w:sz w:val="20"/>
                <w:szCs w:val="20"/>
              </w:rPr>
            </w:pPr>
          </w:p>
        </w:tc>
        <w:tc>
          <w:tcPr>
            <w:tcW w:w="7398" w:type="dxa"/>
          </w:tcPr>
          <w:p w:rsidR="00E00239" w:rsidRDefault="00C75211">
            <w:pPr>
              <w:tabs>
                <w:tab w:val="left" w:pos="1080"/>
              </w:tabs>
              <w:jc w:val="center"/>
              <w:rPr>
                <w:rFonts w:eastAsia="Calibri" w:cs="Arial"/>
                <w:b/>
                <w:color w:val="000000"/>
                <w:sz w:val="20"/>
                <w:szCs w:val="20"/>
              </w:rPr>
            </w:pPr>
            <w:r>
              <w:rPr>
                <w:rFonts w:eastAsia="Calibri" w:cs="Arial"/>
                <w:b/>
                <w:color w:val="000000"/>
                <w:sz w:val="20"/>
                <w:szCs w:val="20"/>
              </w:rPr>
              <w:t>HAWKINS</w:t>
            </w:r>
          </w:p>
        </w:tc>
      </w:tr>
      <w:tr w:rsidR="00E00239">
        <w:tc>
          <w:tcPr>
            <w:tcW w:w="2178" w:type="dxa"/>
            <w:vAlign w:val="center"/>
          </w:tcPr>
          <w:p w:rsidR="00E00239" w:rsidRDefault="00C75211">
            <w:pPr>
              <w:tabs>
                <w:tab w:val="left" w:pos="1080"/>
              </w:tabs>
              <w:jc w:val="center"/>
              <w:rPr>
                <w:rFonts w:eastAsia="Calibri" w:cs="Arial"/>
                <w:color w:val="000000"/>
                <w:sz w:val="20"/>
                <w:szCs w:val="20"/>
              </w:rPr>
            </w:pPr>
            <w:r>
              <w:rPr>
                <w:rFonts w:eastAsia="Calibri" w:cs="Arial"/>
                <w:color w:val="000000"/>
                <w:sz w:val="20"/>
                <w:szCs w:val="20"/>
              </w:rPr>
              <w:t xml:space="preserve">Basis 6 – </w:t>
            </w:r>
            <w:r>
              <w:rPr>
                <w:rFonts w:eastAsia="Calibri" w:cs="Arial"/>
                <w:color w:val="000000"/>
                <w:sz w:val="20"/>
                <w:szCs w:val="20"/>
              </w:rPr>
              <w:t>Improper Citation to Stipulation</w:t>
            </w:r>
          </w:p>
        </w:tc>
        <w:tc>
          <w:tcPr>
            <w:tcW w:w="7398" w:type="dxa"/>
          </w:tcPr>
          <w:p w:rsidR="00E00239" w:rsidRDefault="00C75211">
            <w:pPr>
              <w:tabs>
                <w:tab w:val="left" w:pos="1080"/>
              </w:tabs>
              <w:rPr>
                <w:rFonts w:eastAsia="Calibri" w:cs="Arial"/>
                <w:color w:val="000000"/>
                <w:sz w:val="20"/>
                <w:szCs w:val="20"/>
              </w:rPr>
            </w:pPr>
            <w:r>
              <w:rPr>
                <w:rFonts w:eastAsia="Calibri" w:cs="Arial"/>
                <w:color w:val="000000"/>
                <w:sz w:val="20"/>
                <w:szCs w:val="20"/>
              </w:rPr>
              <w:t>Hawkins at 4, line 22 to page 5 line 1, strike all of the sentence that starts the cost of equity on line 3</w:t>
            </w:r>
          </w:p>
        </w:tc>
      </w:tr>
      <w:tr w:rsidR="00E00239">
        <w:tc>
          <w:tcPr>
            <w:tcW w:w="2178" w:type="dxa"/>
            <w:vAlign w:val="center"/>
          </w:tcPr>
          <w:p w:rsidR="00E00239" w:rsidRDefault="00C75211">
            <w:pPr>
              <w:tabs>
                <w:tab w:val="left" w:pos="1080"/>
              </w:tabs>
              <w:jc w:val="center"/>
              <w:rPr>
                <w:rFonts w:eastAsia="Calibri"/>
                <w:color w:val="000000"/>
                <w:sz w:val="20"/>
                <w:szCs w:val="20"/>
              </w:rPr>
            </w:pPr>
            <w:r>
              <w:rPr>
                <w:rFonts w:eastAsia="Calibri" w:cs="Arial"/>
                <w:color w:val="000000"/>
                <w:sz w:val="20"/>
                <w:szCs w:val="20"/>
              </w:rPr>
              <w:t>Basis 7 – Unreliable/Limited Use Documents</w:t>
            </w:r>
          </w:p>
        </w:tc>
        <w:tc>
          <w:tcPr>
            <w:tcW w:w="7398" w:type="dxa"/>
          </w:tcPr>
          <w:p w:rsidR="00E00239" w:rsidRDefault="00C75211">
            <w:pPr>
              <w:tabs>
                <w:tab w:val="left" w:pos="1080"/>
              </w:tabs>
              <w:rPr>
                <w:rFonts w:eastAsia="Calibri"/>
                <w:color w:val="000000"/>
                <w:sz w:val="20"/>
                <w:szCs w:val="20"/>
              </w:rPr>
            </w:pPr>
            <w:r>
              <w:rPr>
                <w:rFonts w:eastAsia="Calibri"/>
                <w:color w:val="000000"/>
                <w:sz w:val="20"/>
                <w:szCs w:val="20"/>
              </w:rPr>
              <w:t>Hawkins at 10 line 19 to page 13 line 5.</w:t>
            </w:r>
          </w:p>
        </w:tc>
      </w:tr>
      <w:tr w:rsidR="00E00239">
        <w:tc>
          <w:tcPr>
            <w:tcW w:w="2178" w:type="dxa"/>
            <w:vAlign w:val="center"/>
          </w:tcPr>
          <w:p w:rsidR="00E00239" w:rsidRDefault="00C75211">
            <w:pPr>
              <w:tabs>
                <w:tab w:val="left" w:pos="1080"/>
              </w:tabs>
              <w:jc w:val="center"/>
              <w:rPr>
                <w:rFonts w:eastAsia="Calibri" w:cs="Arial"/>
                <w:color w:val="000000"/>
                <w:sz w:val="20"/>
                <w:szCs w:val="20"/>
              </w:rPr>
            </w:pPr>
            <w:r>
              <w:rPr>
                <w:rFonts w:eastAsia="Calibri" w:cs="Arial"/>
                <w:color w:val="000000"/>
                <w:sz w:val="20"/>
                <w:szCs w:val="20"/>
              </w:rPr>
              <w:t>Basis 1 – Illegal Capacity Ch</w:t>
            </w:r>
            <w:r>
              <w:rPr>
                <w:rFonts w:eastAsia="Calibri" w:cs="Arial"/>
                <w:color w:val="000000"/>
                <w:sz w:val="20"/>
                <w:szCs w:val="20"/>
              </w:rPr>
              <w:t>arges</w:t>
            </w:r>
          </w:p>
          <w:p w:rsidR="00E00239" w:rsidRDefault="00E00239">
            <w:pPr>
              <w:tabs>
                <w:tab w:val="left" w:pos="1080"/>
              </w:tabs>
              <w:jc w:val="center"/>
              <w:rPr>
                <w:rFonts w:eastAsia="Calibri" w:cs="Arial"/>
                <w:color w:val="000000"/>
                <w:sz w:val="20"/>
                <w:szCs w:val="20"/>
              </w:rPr>
            </w:pPr>
          </w:p>
          <w:p w:rsidR="00E00239" w:rsidRDefault="00C75211">
            <w:pPr>
              <w:tabs>
                <w:tab w:val="left" w:pos="1080"/>
              </w:tabs>
              <w:jc w:val="center"/>
              <w:rPr>
                <w:rFonts w:eastAsia="Calibri" w:cs="Arial"/>
                <w:color w:val="000000"/>
                <w:sz w:val="20"/>
                <w:szCs w:val="20"/>
              </w:rPr>
            </w:pPr>
            <w:r>
              <w:rPr>
                <w:rFonts w:eastAsia="Calibri" w:cs="Arial"/>
                <w:color w:val="000000"/>
                <w:sz w:val="20"/>
                <w:szCs w:val="20"/>
              </w:rPr>
              <w:t>Basis 6 – Improper Citation to Stipulation</w:t>
            </w:r>
          </w:p>
        </w:tc>
        <w:tc>
          <w:tcPr>
            <w:tcW w:w="7398" w:type="dxa"/>
          </w:tcPr>
          <w:p w:rsidR="00E00239" w:rsidRDefault="00C75211">
            <w:pPr>
              <w:tabs>
                <w:tab w:val="left" w:pos="1080"/>
              </w:tabs>
              <w:rPr>
                <w:rFonts w:eastAsia="Calibri" w:cs="Arial"/>
                <w:color w:val="000000"/>
                <w:sz w:val="20"/>
                <w:szCs w:val="20"/>
              </w:rPr>
            </w:pPr>
            <w:r>
              <w:rPr>
                <w:rFonts w:eastAsia="Calibri" w:cs="Arial"/>
                <w:color w:val="000000"/>
                <w:sz w:val="20"/>
                <w:szCs w:val="20"/>
              </w:rPr>
              <w:t>Hawkins at RVH-6, page 1, the 2</w:t>
            </w:r>
            <w:r>
              <w:rPr>
                <w:rFonts w:eastAsia="Calibri" w:cs="Arial"/>
                <w:color w:val="000000"/>
                <w:sz w:val="20"/>
                <w:szCs w:val="20"/>
                <w:vertAlign w:val="superscript"/>
              </w:rPr>
              <w:t>nd</w:t>
            </w:r>
            <w:r>
              <w:rPr>
                <w:rFonts w:eastAsia="Calibri" w:cs="Arial"/>
                <w:color w:val="000000"/>
                <w:sz w:val="20"/>
                <w:szCs w:val="20"/>
              </w:rPr>
              <w:t xml:space="preserve"> and 3</w:t>
            </w:r>
            <w:r>
              <w:rPr>
                <w:rFonts w:eastAsia="Calibri" w:cs="Arial"/>
                <w:color w:val="000000"/>
                <w:sz w:val="20"/>
                <w:szCs w:val="20"/>
                <w:vertAlign w:val="superscript"/>
              </w:rPr>
              <w:t>rd</w:t>
            </w:r>
            <w:r>
              <w:rPr>
                <w:rFonts w:eastAsia="Calibri" w:cs="Arial"/>
                <w:color w:val="000000"/>
                <w:sz w:val="20"/>
                <w:szCs w:val="20"/>
              </w:rPr>
              <w:t xml:space="preserve"> paragraphs referencing the now-rejected ESP II Stipulation</w:t>
            </w:r>
          </w:p>
        </w:tc>
      </w:tr>
      <w:tr w:rsidR="00E00239">
        <w:tc>
          <w:tcPr>
            <w:tcW w:w="2178" w:type="dxa"/>
            <w:vAlign w:val="center"/>
          </w:tcPr>
          <w:p w:rsidR="00E00239" w:rsidRDefault="00C75211">
            <w:pPr>
              <w:tabs>
                <w:tab w:val="left" w:pos="1080"/>
              </w:tabs>
              <w:jc w:val="center"/>
              <w:rPr>
                <w:rFonts w:eastAsia="Calibri" w:cs="Arial"/>
                <w:color w:val="000000"/>
                <w:sz w:val="20"/>
                <w:szCs w:val="20"/>
              </w:rPr>
            </w:pPr>
            <w:r>
              <w:rPr>
                <w:rFonts w:eastAsia="Calibri" w:cs="Arial"/>
                <w:color w:val="000000"/>
                <w:sz w:val="20"/>
                <w:szCs w:val="20"/>
              </w:rPr>
              <w:t>Basis 7 – Unreliable/Limited Use Documents</w:t>
            </w:r>
          </w:p>
        </w:tc>
        <w:tc>
          <w:tcPr>
            <w:tcW w:w="7398" w:type="dxa"/>
          </w:tcPr>
          <w:p w:rsidR="00E00239" w:rsidRDefault="00C75211">
            <w:pPr>
              <w:tabs>
                <w:tab w:val="left" w:pos="1080"/>
              </w:tabs>
              <w:rPr>
                <w:rFonts w:eastAsia="Calibri" w:cs="Arial"/>
                <w:color w:val="000000"/>
                <w:sz w:val="20"/>
                <w:szCs w:val="20"/>
              </w:rPr>
            </w:pPr>
            <w:r>
              <w:rPr>
                <w:rFonts w:eastAsia="Calibri" w:cs="Arial"/>
                <w:color w:val="000000"/>
                <w:sz w:val="20"/>
                <w:szCs w:val="20"/>
              </w:rPr>
              <w:t xml:space="preserve">Hawkins Exhibit RVH-6, pages 1-3.  The document contained on pages 1-3 contains use restrictions and disclaims its accuracy </w:t>
            </w:r>
          </w:p>
        </w:tc>
      </w:tr>
      <w:tr w:rsidR="00E00239">
        <w:tc>
          <w:tcPr>
            <w:tcW w:w="2178" w:type="dxa"/>
            <w:vAlign w:val="center"/>
          </w:tcPr>
          <w:p w:rsidR="00E00239" w:rsidRDefault="00C75211">
            <w:pPr>
              <w:tabs>
                <w:tab w:val="left" w:pos="1080"/>
              </w:tabs>
              <w:jc w:val="center"/>
              <w:rPr>
                <w:rFonts w:eastAsia="Calibri" w:cs="Arial"/>
                <w:color w:val="000000"/>
                <w:sz w:val="20"/>
                <w:szCs w:val="20"/>
              </w:rPr>
            </w:pPr>
            <w:r>
              <w:rPr>
                <w:rFonts w:eastAsia="Calibri" w:cs="Arial"/>
                <w:color w:val="000000"/>
                <w:sz w:val="20"/>
                <w:szCs w:val="20"/>
              </w:rPr>
              <w:t>Basis 7 – Unreliable/Limited Use Documents</w:t>
            </w:r>
          </w:p>
        </w:tc>
        <w:tc>
          <w:tcPr>
            <w:tcW w:w="7398" w:type="dxa"/>
          </w:tcPr>
          <w:p w:rsidR="00E00239" w:rsidRDefault="00C75211">
            <w:pPr>
              <w:tabs>
                <w:tab w:val="left" w:pos="1080"/>
              </w:tabs>
              <w:rPr>
                <w:rFonts w:eastAsia="Calibri" w:cs="Arial"/>
                <w:color w:val="000000"/>
                <w:sz w:val="20"/>
                <w:szCs w:val="20"/>
              </w:rPr>
            </w:pPr>
            <w:r>
              <w:rPr>
                <w:rFonts w:eastAsia="Calibri" w:cs="Arial"/>
                <w:color w:val="000000"/>
                <w:sz w:val="20"/>
                <w:szCs w:val="20"/>
              </w:rPr>
              <w:t>Hawkins Exhibit RVH-6, Page 5 and 6, the document contains use restrictions and disclai</w:t>
            </w:r>
            <w:r>
              <w:rPr>
                <w:rFonts w:eastAsia="Calibri" w:cs="Arial"/>
                <w:color w:val="000000"/>
                <w:sz w:val="20"/>
                <w:szCs w:val="20"/>
              </w:rPr>
              <w:t>ms its accuracy</w:t>
            </w:r>
          </w:p>
        </w:tc>
      </w:tr>
      <w:tr w:rsidR="00E00239">
        <w:tc>
          <w:tcPr>
            <w:tcW w:w="2178" w:type="dxa"/>
            <w:tcBorders>
              <w:bottom w:val="single" w:sz="4" w:space="0" w:color="auto"/>
            </w:tcBorders>
            <w:vAlign w:val="center"/>
          </w:tcPr>
          <w:p w:rsidR="00E00239" w:rsidRDefault="00C75211">
            <w:pPr>
              <w:tabs>
                <w:tab w:val="left" w:pos="1080"/>
              </w:tabs>
              <w:jc w:val="center"/>
              <w:rPr>
                <w:rFonts w:eastAsia="Calibri" w:cs="Arial"/>
                <w:color w:val="000000"/>
                <w:sz w:val="20"/>
                <w:szCs w:val="20"/>
              </w:rPr>
            </w:pPr>
            <w:r>
              <w:rPr>
                <w:rFonts w:eastAsia="Calibri" w:cs="Arial"/>
                <w:color w:val="000000"/>
                <w:sz w:val="20"/>
                <w:szCs w:val="20"/>
              </w:rPr>
              <w:t>Basis 7 – Unreliable/Limited Use Documents</w:t>
            </w:r>
          </w:p>
        </w:tc>
        <w:tc>
          <w:tcPr>
            <w:tcW w:w="7398" w:type="dxa"/>
            <w:tcBorders>
              <w:bottom w:val="single" w:sz="4" w:space="0" w:color="auto"/>
            </w:tcBorders>
          </w:tcPr>
          <w:p w:rsidR="00E00239" w:rsidRDefault="00C75211">
            <w:pPr>
              <w:tabs>
                <w:tab w:val="left" w:pos="1080"/>
              </w:tabs>
              <w:rPr>
                <w:rFonts w:eastAsia="Calibri" w:cs="Arial"/>
                <w:color w:val="000000"/>
                <w:sz w:val="20"/>
                <w:szCs w:val="20"/>
              </w:rPr>
            </w:pPr>
            <w:r>
              <w:rPr>
                <w:rFonts w:eastAsia="Calibri" w:cs="Arial"/>
                <w:color w:val="000000"/>
                <w:sz w:val="20"/>
                <w:szCs w:val="20"/>
              </w:rPr>
              <w:t>Hawkins Exhibit RVH-6, pages 7-10, The document contained in pages 7-10 is an outside opinion and it disclaims its accuracy.</w:t>
            </w:r>
          </w:p>
        </w:tc>
      </w:tr>
      <w:tr w:rsidR="00E00239">
        <w:tc>
          <w:tcPr>
            <w:tcW w:w="2178" w:type="dxa"/>
            <w:tcBorders>
              <w:top w:val="single" w:sz="4" w:space="0" w:color="auto"/>
              <w:left w:val="nil"/>
              <w:bottom w:val="nil"/>
              <w:right w:val="nil"/>
            </w:tcBorders>
            <w:vAlign w:val="center"/>
          </w:tcPr>
          <w:p w:rsidR="00E00239" w:rsidRDefault="00E00239">
            <w:pPr>
              <w:tabs>
                <w:tab w:val="left" w:pos="1080"/>
              </w:tabs>
              <w:jc w:val="center"/>
              <w:rPr>
                <w:rFonts w:eastAsia="Calibri" w:cs="Arial"/>
                <w:color w:val="000000"/>
                <w:sz w:val="20"/>
                <w:szCs w:val="20"/>
              </w:rPr>
            </w:pPr>
          </w:p>
        </w:tc>
        <w:tc>
          <w:tcPr>
            <w:tcW w:w="7398" w:type="dxa"/>
            <w:tcBorders>
              <w:top w:val="single" w:sz="4" w:space="0" w:color="auto"/>
              <w:left w:val="nil"/>
              <w:bottom w:val="single" w:sz="4" w:space="0" w:color="auto"/>
              <w:right w:val="nil"/>
            </w:tcBorders>
          </w:tcPr>
          <w:p w:rsidR="00E00239" w:rsidRDefault="00E00239">
            <w:pPr>
              <w:tabs>
                <w:tab w:val="left" w:pos="1080"/>
              </w:tabs>
              <w:rPr>
                <w:rFonts w:eastAsia="Calibri" w:cs="Arial"/>
                <w:color w:val="000000"/>
                <w:sz w:val="20"/>
                <w:szCs w:val="20"/>
              </w:rPr>
            </w:pPr>
          </w:p>
        </w:tc>
      </w:tr>
      <w:tr w:rsidR="00E00239">
        <w:tc>
          <w:tcPr>
            <w:tcW w:w="2178" w:type="dxa"/>
            <w:tcBorders>
              <w:top w:val="nil"/>
              <w:left w:val="nil"/>
            </w:tcBorders>
            <w:vAlign w:val="center"/>
          </w:tcPr>
          <w:p w:rsidR="00E00239" w:rsidRDefault="00E00239">
            <w:pPr>
              <w:tabs>
                <w:tab w:val="left" w:pos="1080"/>
              </w:tabs>
              <w:jc w:val="center"/>
              <w:rPr>
                <w:rFonts w:eastAsia="Calibri" w:cs="Arial"/>
                <w:b/>
                <w:color w:val="000000"/>
                <w:sz w:val="20"/>
                <w:szCs w:val="20"/>
              </w:rPr>
            </w:pPr>
          </w:p>
        </w:tc>
        <w:tc>
          <w:tcPr>
            <w:tcW w:w="7398" w:type="dxa"/>
            <w:tcBorders>
              <w:top w:val="single" w:sz="4" w:space="0" w:color="auto"/>
            </w:tcBorders>
          </w:tcPr>
          <w:p w:rsidR="00E00239" w:rsidRDefault="00C75211">
            <w:pPr>
              <w:tabs>
                <w:tab w:val="left" w:pos="1080"/>
              </w:tabs>
              <w:jc w:val="center"/>
              <w:rPr>
                <w:rFonts w:eastAsia="Calibri" w:cs="Arial"/>
                <w:b/>
                <w:color w:val="000000"/>
                <w:sz w:val="20"/>
                <w:szCs w:val="20"/>
              </w:rPr>
            </w:pPr>
            <w:r>
              <w:rPr>
                <w:rFonts w:eastAsia="Calibri" w:cs="Arial"/>
                <w:b/>
                <w:color w:val="000000"/>
                <w:sz w:val="20"/>
                <w:szCs w:val="20"/>
              </w:rPr>
              <w:t>NELSON</w:t>
            </w:r>
          </w:p>
        </w:tc>
      </w:tr>
      <w:tr w:rsidR="00E00239">
        <w:tc>
          <w:tcPr>
            <w:tcW w:w="2178" w:type="dxa"/>
            <w:vAlign w:val="center"/>
          </w:tcPr>
          <w:p w:rsidR="00E00239" w:rsidRDefault="00C75211">
            <w:pPr>
              <w:tabs>
                <w:tab w:val="left" w:pos="1080"/>
              </w:tabs>
              <w:jc w:val="center"/>
              <w:rPr>
                <w:rFonts w:eastAsia="Calibri" w:cs="Arial"/>
                <w:color w:val="000000"/>
                <w:sz w:val="20"/>
                <w:szCs w:val="20"/>
              </w:rPr>
            </w:pPr>
            <w:r>
              <w:rPr>
                <w:rFonts w:eastAsia="Calibri" w:cs="Arial"/>
                <w:color w:val="000000"/>
                <w:sz w:val="20"/>
                <w:szCs w:val="20"/>
              </w:rPr>
              <w:t>Basis 3 – Illegal Pool Termination Rider</w:t>
            </w:r>
          </w:p>
        </w:tc>
        <w:tc>
          <w:tcPr>
            <w:tcW w:w="7398" w:type="dxa"/>
          </w:tcPr>
          <w:p w:rsidR="00E00239" w:rsidRDefault="00C75211">
            <w:pPr>
              <w:tabs>
                <w:tab w:val="left" w:pos="1080"/>
              </w:tabs>
              <w:rPr>
                <w:rFonts w:eastAsia="Calibri" w:cs="Arial"/>
                <w:color w:val="000000"/>
                <w:sz w:val="20"/>
                <w:szCs w:val="20"/>
              </w:rPr>
            </w:pPr>
            <w:r>
              <w:rPr>
                <w:rFonts w:eastAsia="Calibri" w:cs="Arial"/>
                <w:color w:val="000000"/>
                <w:sz w:val="20"/>
                <w:szCs w:val="20"/>
              </w:rPr>
              <w:t>Nelson at 3 lines</w:t>
            </w:r>
            <w:r>
              <w:rPr>
                <w:rFonts w:eastAsia="Calibri" w:cs="Arial"/>
                <w:color w:val="000000"/>
                <w:sz w:val="20"/>
                <w:szCs w:val="20"/>
              </w:rPr>
              <w:t xml:space="preserve"> 18 to 20, starting “I sponsor” and ending “Interconnection Agreement (AEP Pool)”</w:t>
            </w:r>
          </w:p>
        </w:tc>
      </w:tr>
      <w:tr w:rsidR="00E00239">
        <w:tc>
          <w:tcPr>
            <w:tcW w:w="2178" w:type="dxa"/>
            <w:vAlign w:val="center"/>
          </w:tcPr>
          <w:p w:rsidR="00E00239" w:rsidRDefault="00C75211">
            <w:pPr>
              <w:tabs>
                <w:tab w:val="left" w:pos="1080"/>
              </w:tabs>
              <w:jc w:val="center"/>
              <w:rPr>
                <w:rFonts w:eastAsia="Calibri" w:cs="Arial"/>
                <w:color w:val="000000"/>
                <w:sz w:val="20"/>
                <w:szCs w:val="20"/>
              </w:rPr>
            </w:pPr>
            <w:r>
              <w:rPr>
                <w:rFonts w:eastAsia="Calibri" w:cs="Arial"/>
                <w:color w:val="000000"/>
                <w:sz w:val="20"/>
                <w:szCs w:val="20"/>
              </w:rPr>
              <w:t>Basis 2 – Corporate Separation Not at Issue</w:t>
            </w:r>
          </w:p>
        </w:tc>
        <w:tc>
          <w:tcPr>
            <w:tcW w:w="7398" w:type="dxa"/>
          </w:tcPr>
          <w:p w:rsidR="00E00239" w:rsidRDefault="00C75211">
            <w:pPr>
              <w:tabs>
                <w:tab w:val="left" w:pos="1080"/>
              </w:tabs>
              <w:rPr>
                <w:rFonts w:eastAsia="Calibri" w:cs="Arial"/>
                <w:color w:val="000000"/>
                <w:sz w:val="20"/>
                <w:szCs w:val="20"/>
              </w:rPr>
            </w:pPr>
            <w:r>
              <w:rPr>
                <w:rFonts w:eastAsia="Calibri" w:cs="Arial"/>
                <w:color w:val="000000"/>
                <w:sz w:val="20"/>
                <w:szCs w:val="20"/>
              </w:rPr>
              <w:t>Nelson at 4,  lines 1-4</w:t>
            </w:r>
          </w:p>
        </w:tc>
      </w:tr>
      <w:tr w:rsidR="00E00239">
        <w:tc>
          <w:tcPr>
            <w:tcW w:w="2178" w:type="dxa"/>
            <w:vAlign w:val="center"/>
          </w:tcPr>
          <w:p w:rsidR="00E00239" w:rsidRDefault="00C75211">
            <w:pPr>
              <w:tabs>
                <w:tab w:val="left" w:pos="1080"/>
              </w:tabs>
              <w:jc w:val="center"/>
              <w:rPr>
                <w:rFonts w:eastAsia="Calibri" w:cs="Arial"/>
                <w:color w:val="000000"/>
                <w:sz w:val="20"/>
                <w:szCs w:val="20"/>
              </w:rPr>
            </w:pPr>
            <w:r>
              <w:rPr>
                <w:rFonts w:eastAsia="Calibri" w:cs="Arial"/>
                <w:color w:val="000000"/>
                <w:sz w:val="20"/>
                <w:szCs w:val="20"/>
              </w:rPr>
              <w:t>Basis 3 – Illegal Pool Termination Rider</w:t>
            </w:r>
          </w:p>
        </w:tc>
        <w:tc>
          <w:tcPr>
            <w:tcW w:w="7398" w:type="dxa"/>
          </w:tcPr>
          <w:p w:rsidR="00E00239" w:rsidRDefault="00C75211">
            <w:pPr>
              <w:tabs>
                <w:tab w:val="left" w:pos="1080"/>
              </w:tabs>
              <w:rPr>
                <w:rFonts w:eastAsia="Calibri" w:cs="Arial"/>
                <w:color w:val="000000"/>
                <w:sz w:val="20"/>
                <w:szCs w:val="20"/>
              </w:rPr>
            </w:pPr>
            <w:r>
              <w:rPr>
                <w:rFonts w:eastAsia="Calibri" w:cs="Arial"/>
                <w:color w:val="000000"/>
                <w:sz w:val="20"/>
                <w:szCs w:val="20"/>
              </w:rPr>
              <w:t>Nelson at 4, lines 5-6</w:t>
            </w:r>
          </w:p>
        </w:tc>
      </w:tr>
      <w:tr w:rsidR="00E00239">
        <w:tc>
          <w:tcPr>
            <w:tcW w:w="2178" w:type="dxa"/>
            <w:vAlign w:val="center"/>
          </w:tcPr>
          <w:p w:rsidR="00E00239" w:rsidRDefault="00C75211">
            <w:pPr>
              <w:tabs>
                <w:tab w:val="left" w:pos="1080"/>
              </w:tabs>
              <w:jc w:val="center"/>
              <w:rPr>
                <w:rFonts w:eastAsia="Calibri" w:cs="Arial"/>
                <w:color w:val="000000"/>
                <w:sz w:val="20"/>
                <w:szCs w:val="20"/>
              </w:rPr>
            </w:pPr>
            <w:r>
              <w:rPr>
                <w:rFonts w:eastAsia="Calibri" w:cs="Arial"/>
                <w:color w:val="000000"/>
                <w:sz w:val="20"/>
                <w:szCs w:val="20"/>
              </w:rPr>
              <w:t xml:space="preserve">Basis 2 – Corporate Separation Not at </w:t>
            </w:r>
            <w:r>
              <w:rPr>
                <w:rFonts w:eastAsia="Calibri" w:cs="Arial"/>
                <w:color w:val="000000"/>
                <w:sz w:val="20"/>
                <w:szCs w:val="20"/>
              </w:rPr>
              <w:t>Issue</w:t>
            </w:r>
          </w:p>
        </w:tc>
        <w:tc>
          <w:tcPr>
            <w:tcW w:w="7398" w:type="dxa"/>
          </w:tcPr>
          <w:p w:rsidR="00E00239" w:rsidRDefault="00C75211">
            <w:pPr>
              <w:tabs>
                <w:tab w:val="left" w:pos="1080"/>
              </w:tabs>
              <w:rPr>
                <w:rFonts w:eastAsia="Calibri" w:cs="Arial"/>
                <w:color w:val="000000"/>
                <w:sz w:val="20"/>
                <w:szCs w:val="20"/>
              </w:rPr>
            </w:pPr>
            <w:r>
              <w:rPr>
                <w:rFonts w:eastAsia="Calibri" w:cs="Arial"/>
                <w:color w:val="000000"/>
                <w:sz w:val="20"/>
                <w:szCs w:val="20"/>
              </w:rPr>
              <w:t>Nelson at 4, line 9 through page 6, line 7</w:t>
            </w:r>
          </w:p>
        </w:tc>
      </w:tr>
      <w:tr w:rsidR="00E00239">
        <w:tc>
          <w:tcPr>
            <w:tcW w:w="2178" w:type="dxa"/>
            <w:vAlign w:val="center"/>
          </w:tcPr>
          <w:p w:rsidR="00E00239" w:rsidRDefault="00C75211">
            <w:pPr>
              <w:tabs>
                <w:tab w:val="left" w:pos="1080"/>
              </w:tabs>
              <w:jc w:val="center"/>
              <w:rPr>
                <w:rFonts w:eastAsia="Calibri" w:cs="Arial"/>
                <w:color w:val="000000"/>
                <w:sz w:val="20"/>
                <w:szCs w:val="20"/>
              </w:rPr>
            </w:pPr>
            <w:r>
              <w:rPr>
                <w:rFonts w:eastAsia="Calibri" w:cs="Arial"/>
                <w:color w:val="000000"/>
                <w:sz w:val="20"/>
                <w:szCs w:val="20"/>
              </w:rPr>
              <w:t>Basis 1 – Illegal Capacity Charges</w:t>
            </w:r>
          </w:p>
        </w:tc>
        <w:tc>
          <w:tcPr>
            <w:tcW w:w="7398" w:type="dxa"/>
          </w:tcPr>
          <w:p w:rsidR="00E00239" w:rsidRDefault="00C75211">
            <w:pPr>
              <w:tabs>
                <w:tab w:val="left" w:pos="1080"/>
              </w:tabs>
              <w:rPr>
                <w:rFonts w:eastAsia="Calibri" w:cs="Arial"/>
                <w:color w:val="000000"/>
                <w:sz w:val="20"/>
                <w:szCs w:val="20"/>
              </w:rPr>
            </w:pPr>
            <w:r>
              <w:rPr>
                <w:rFonts w:eastAsia="Calibri" w:cs="Arial"/>
                <w:color w:val="000000"/>
                <w:sz w:val="20"/>
                <w:szCs w:val="20"/>
              </w:rPr>
              <w:t>Nelson at 9, line 1 through page 14 line 6</w:t>
            </w:r>
          </w:p>
        </w:tc>
      </w:tr>
      <w:tr w:rsidR="00E00239">
        <w:tc>
          <w:tcPr>
            <w:tcW w:w="2178" w:type="dxa"/>
            <w:vAlign w:val="center"/>
          </w:tcPr>
          <w:p w:rsidR="00E00239" w:rsidRDefault="00C75211">
            <w:pPr>
              <w:tabs>
                <w:tab w:val="left" w:pos="1080"/>
              </w:tabs>
              <w:jc w:val="center"/>
              <w:rPr>
                <w:rFonts w:eastAsia="Calibri" w:cs="Arial"/>
                <w:color w:val="000000"/>
                <w:sz w:val="20"/>
                <w:szCs w:val="20"/>
              </w:rPr>
            </w:pPr>
            <w:r>
              <w:rPr>
                <w:rFonts w:eastAsia="Calibri" w:cs="Arial"/>
                <w:color w:val="000000"/>
                <w:sz w:val="20"/>
                <w:szCs w:val="20"/>
              </w:rPr>
              <w:t>Basis 3 – Illegal Pool Termination Rider</w:t>
            </w:r>
          </w:p>
        </w:tc>
        <w:tc>
          <w:tcPr>
            <w:tcW w:w="7398" w:type="dxa"/>
          </w:tcPr>
          <w:p w:rsidR="00E00239" w:rsidRDefault="00C75211">
            <w:pPr>
              <w:tabs>
                <w:tab w:val="left" w:pos="1080"/>
              </w:tabs>
              <w:rPr>
                <w:rFonts w:eastAsia="Calibri" w:cs="Arial"/>
                <w:color w:val="000000"/>
                <w:sz w:val="20"/>
                <w:szCs w:val="20"/>
              </w:rPr>
            </w:pPr>
            <w:r>
              <w:rPr>
                <w:rFonts w:eastAsia="Calibri" w:cs="Arial"/>
                <w:color w:val="000000"/>
                <w:sz w:val="20"/>
                <w:szCs w:val="20"/>
              </w:rPr>
              <w:t>Nelson 21, line 3 through page 23 line 18</w:t>
            </w:r>
          </w:p>
        </w:tc>
      </w:tr>
      <w:tr w:rsidR="00E00239">
        <w:tc>
          <w:tcPr>
            <w:tcW w:w="2178" w:type="dxa"/>
            <w:vAlign w:val="center"/>
          </w:tcPr>
          <w:p w:rsidR="00E00239" w:rsidRDefault="00C75211">
            <w:pPr>
              <w:tabs>
                <w:tab w:val="left" w:pos="1080"/>
              </w:tabs>
              <w:jc w:val="center"/>
              <w:rPr>
                <w:rFonts w:eastAsia="Calibri" w:cs="Arial"/>
                <w:color w:val="000000"/>
                <w:sz w:val="20"/>
                <w:szCs w:val="20"/>
              </w:rPr>
            </w:pPr>
            <w:r>
              <w:rPr>
                <w:rFonts w:eastAsia="Calibri" w:cs="Arial"/>
                <w:color w:val="000000"/>
                <w:sz w:val="20"/>
                <w:szCs w:val="20"/>
              </w:rPr>
              <w:t>Basis 2 – Corporate Separation Not at Issue</w:t>
            </w:r>
          </w:p>
        </w:tc>
        <w:tc>
          <w:tcPr>
            <w:tcW w:w="7398" w:type="dxa"/>
          </w:tcPr>
          <w:p w:rsidR="00E00239" w:rsidRDefault="00C75211">
            <w:pPr>
              <w:tabs>
                <w:tab w:val="left" w:pos="1080"/>
              </w:tabs>
              <w:rPr>
                <w:rFonts w:eastAsia="Calibri" w:cs="Arial"/>
                <w:color w:val="000000"/>
                <w:sz w:val="20"/>
                <w:szCs w:val="20"/>
              </w:rPr>
            </w:pPr>
            <w:r>
              <w:rPr>
                <w:rFonts w:eastAsia="Calibri" w:cs="Arial"/>
                <w:color w:val="000000"/>
                <w:sz w:val="20"/>
                <w:szCs w:val="20"/>
              </w:rPr>
              <w:t>Nelson Ex. PJN-1 and PJN-2</w:t>
            </w:r>
          </w:p>
        </w:tc>
      </w:tr>
      <w:tr w:rsidR="00E00239">
        <w:tc>
          <w:tcPr>
            <w:tcW w:w="2178" w:type="dxa"/>
            <w:vAlign w:val="center"/>
          </w:tcPr>
          <w:p w:rsidR="00E00239" w:rsidRDefault="00C75211">
            <w:pPr>
              <w:tabs>
                <w:tab w:val="left" w:pos="1080"/>
              </w:tabs>
              <w:jc w:val="center"/>
              <w:rPr>
                <w:rFonts w:eastAsia="Calibri" w:cs="Arial"/>
                <w:color w:val="000000"/>
                <w:sz w:val="20"/>
                <w:szCs w:val="20"/>
              </w:rPr>
            </w:pPr>
            <w:r>
              <w:rPr>
                <w:rFonts w:eastAsia="Calibri" w:cs="Arial"/>
                <w:color w:val="000000"/>
                <w:sz w:val="20"/>
                <w:szCs w:val="20"/>
              </w:rPr>
              <w:t>Basis 3 – Illegal Pool Termination Rider</w:t>
            </w:r>
          </w:p>
        </w:tc>
        <w:tc>
          <w:tcPr>
            <w:tcW w:w="7398" w:type="dxa"/>
          </w:tcPr>
          <w:p w:rsidR="00E00239" w:rsidRDefault="00C75211">
            <w:pPr>
              <w:tabs>
                <w:tab w:val="left" w:pos="1080"/>
              </w:tabs>
              <w:rPr>
                <w:rFonts w:eastAsia="Calibri" w:cs="Arial"/>
                <w:color w:val="000000"/>
                <w:sz w:val="20"/>
                <w:szCs w:val="20"/>
              </w:rPr>
            </w:pPr>
            <w:r>
              <w:rPr>
                <w:rFonts w:eastAsia="Calibri" w:cs="Arial"/>
                <w:color w:val="000000"/>
                <w:sz w:val="20"/>
                <w:szCs w:val="20"/>
              </w:rPr>
              <w:t>Nelson PJN-3</w:t>
            </w:r>
          </w:p>
        </w:tc>
      </w:tr>
      <w:tr w:rsidR="00E00239">
        <w:tc>
          <w:tcPr>
            <w:tcW w:w="2178" w:type="dxa"/>
            <w:vAlign w:val="center"/>
          </w:tcPr>
          <w:p w:rsidR="00E00239" w:rsidRDefault="00C75211">
            <w:pPr>
              <w:tabs>
                <w:tab w:val="left" w:pos="1080"/>
              </w:tabs>
              <w:jc w:val="center"/>
              <w:rPr>
                <w:rFonts w:eastAsia="Calibri" w:cs="Arial"/>
                <w:color w:val="000000"/>
                <w:sz w:val="20"/>
                <w:szCs w:val="20"/>
              </w:rPr>
            </w:pPr>
            <w:r>
              <w:rPr>
                <w:rFonts w:eastAsia="Calibri" w:cs="Arial"/>
                <w:color w:val="000000"/>
                <w:sz w:val="20"/>
                <w:szCs w:val="20"/>
              </w:rPr>
              <w:t>Basis 2 – Corporate Separation Not at Issue</w:t>
            </w:r>
          </w:p>
        </w:tc>
        <w:tc>
          <w:tcPr>
            <w:tcW w:w="7398" w:type="dxa"/>
          </w:tcPr>
          <w:p w:rsidR="00E00239" w:rsidRDefault="00C75211">
            <w:pPr>
              <w:tabs>
                <w:tab w:val="left" w:pos="1080"/>
              </w:tabs>
              <w:rPr>
                <w:rFonts w:eastAsia="Calibri" w:cs="Arial"/>
                <w:color w:val="000000"/>
                <w:sz w:val="20"/>
                <w:szCs w:val="20"/>
              </w:rPr>
            </w:pPr>
            <w:r>
              <w:rPr>
                <w:rFonts w:eastAsia="Calibri" w:cs="Arial"/>
                <w:color w:val="000000"/>
                <w:sz w:val="20"/>
                <w:szCs w:val="20"/>
              </w:rPr>
              <w:t>Nelson PJN 4, page 6</w:t>
            </w:r>
          </w:p>
        </w:tc>
      </w:tr>
    </w:tbl>
    <w:p w:rsidR="00E00239" w:rsidRDefault="00C75211">
      <w:pPr>
        <w:rPr>
          <w:rFonts w:eastAsia="Calibri" w:cs="Times New Roman"/>
          <w:color w:val="000000"/>
        </w:rPr>
      </w:pPr>
      <w:r>
        <w:rPr>
          <w:rFonts w:eastAsia="Calibri" w:cs="Times New Roman"/>
          <w:color w:val="000000"/>
        </w:rPr>
        <w:br w:type="page"/>
      </w:r>
    </w:p>
    <w:tbl>
      <w:tblPr>
        <w:tblStyle w:val="TableGrid1"/>
        <w:tblW w:w="0" w:type="auto"/>
        <w:tblLook w:val="04A0" w:firstRow="1" w:lastRow="0" w:firstColumn="1" w:lastColumn="0" w:noHBand="0" w:noVBand="1"/>
      </w:tblPr>
      <w:tblGrid>
        <w:gridCol w:w="2178"/>
        <w:gridCol w:w="1440"/>
        <w:gridCol w:w="5958"/>
      </w:tblGrid>
      <w:tr w:rsidR="00E00239">
        <w:tc>
          <w:tcPr>
            <w:tcW w:w="3618" w:type="dxa"/>
            <w:gridSpan w:val="2"/>
            <w:tcBorders>
              <w:top w:val="nil"/>
              <w:left w:val="nil"/>
              <w:bottom w:val="nil"/>
              <w:right w:val="nil"/>
            </w:tcBorders>
            <w:vAlign w:val="center"/>
          </w:tcPr>
          <w:p w:rsidR="00E00239" w:rsidRDefault="00C75211">
            <w:pPr>
              <w:jc w:val="center"/>
              <w:rPr>
                <w:rFonts w:eastAsia="Calibri"/>
                <w:b/>
                <w:color w:val="000000"/>
              </w:rPr>
            </w:pPr>
            <w:r>
              <w:rPr>
                <w:rFonts w:eastAsia="Calibri"/>
                <w:b/>
                <w:color w:val="000000"/>
              </w:rPr>
              <w:lastRenderedPageBreak/>
              <w:t>Grounds for Striking</w:t>
            </w:r>
          </w:p>
        </w:tc>
        <w:tc>
          <w:tcPr>
            <w:tcW w:w="5958" w:type="dxa"/>
            <w:tcBorders>
              <w:top w:val="nil"/>
              <w:left w:val="nil"/>
              <w:bottom w:val="single" w:sz="4" w:space="0" w:color="auto"/>
              <w:right w:val="nil"/>
            </w:tcBorders>
          </w:tcPr>
          <w:p w:rsidR="00E00239" w:rsidRDefault="00C75211">
            <w:pPr>
              <w:tabs>
                <w:tab w:val="left" w:pos="1080"/>
              </w:tabs>
              <w:jc w:val="center"/>
              <w:rPr>
                <w:rFonts w:eastAsia="Calibri"/>
                <w:b/>
                <w:color w:val="000000"/>
              </w:rPr>
            </w:pPr>
            <w:r>
              <w:rPr>
                <w:rFonts w:eastAsia="Calibri"/>
                <w:b/>
                <w:color w:val="000000"/>
              </w:rPr>
              <w:t>Location of Passage to Strike</w:t>
            </w:r>
          </w:p>
        </w:tc>
      </w:tr>
      <w:tr w:rsidR="00E00239">
        <w:tc>
          <w:tcPr>
            <w:tcW w:w="3618" w:type="dxa"/>
            <w:gridSpan w:val="2"/>
            <w:tcBorders>
              <w:top w:val="nil"/>
              <w:left w:val="nil"/>
            </w:tcBorders>
          </w:tcPr>
          <w:p w:rsidR="00E00239" w:rsidRDefault="00E00239">
            <w:pPr>
              <w:tabs>
                <w:tab w:val="left" w:pos="1080"/>
              </w:tabs>
              <w:jc w:val="center"/>
              <w:rPr>
                <w:rFonts w:eastAsia="Calibri"/>
                <w:b/>
                <w:color w:val="000000"/>
              </w:rPr>
            </w:pPr>
          </w:p>
        </w:tc>
        <w:tc>
          <w:tcPr>
            <w:tcW w:w="5958" w:type="dxa"/>
            <w:tcBorders>
              <w:top w:val="single" w:sz="4" w:space="0" w:color="auto"/>
            </w:tcBorders>
          </w:tcPr>
          <w:p w:rsidR="00E00239" w:rsidRDefault="00C75211">
            <w:pPr>
              <w:tabs>
                <w:tab w:val="left" w:pos="1080"/>
              </w:tabs>
              <w:jc w:val="center"/>
              <w:rPr>
                <w:rFonts w:eastAsia="Calibri"/>
                <w:b/>
                <w:color w:val="000000"/>
              </w:rPr>
            </w:pPr>
            <w:r>
              <w:rPr>
                <w:rFonts w:eastAsia="Calibri"/>
                <w:b/>
                <w:color w:val="000000"/>
              </w:rPr>
              <w:t>POWERS</w:t>
            </w:r>
          </w:p>
        </w:tc>
      </w:tr>
      <w:tr w:rsidR="00E00239">
        <w:tc>
          <w:tcPr>
            <w:tcW w:w="3618" w:type="dxa"/>
            <w:gridSpan w:val="2"/>
            <w:vAlign w:val="center"/>
          </w:tcPr>
          <w:p w:rsidR="00E00239" w:rsidRDefault="00C75211">
            <w:pPr>
              <w:tabs>
                <w:tab w:val="left" w:pos="1080"/>
              </w:tabs>
              <w:jc w:val="center"/>
              <w:rPr>
                <w:rFonts w:eastAsia="Calibri"/>
                <w:color w:val="000000"/>
              </w:rPr>
            </w:pPr>
            <w:r>
              <w:rPr>
                <w:rFonts w:eastAsia="Calibri"/>
                <w:color w:val="000000"/>
                <w:sz w:val="20"/>
                <w:szCs w:val="20"/>
              </w:rPr>
              <w:t>Basis 1 – Illegal Capacity Charges</w:t>
            </w:r>
          </w:p>
        </w:tc>
        <w:tc>
          <w:tcPr>
            <w:tcW w:w="5958" w:type="dxa"/>
          </w:tcPr>
          <w:p w:rsidR="00E00239" w:rsidRDefault="00C75211">
            <w:pPr>
              <w:tabs>
                <w:tab w:val="left" w:pos="1080"/>
              </w:tabs>
              <w:rPr>
                <w:rFonts w:eastAsia="Calibri"/>
                <w:color w:val="000000"/>
                <w:sz w:val="20"/>
                <w:szCs w:val="20"/>
              </w:rPr>
            </w:pPr>
            <w:r>
              <w:rPr>
                <w:rFonts w:eastAsia="Calibri"/>
                <w:color w:val="000000"/>
                <w:sz w:val="20"/>
                <w:szCs w:val="20"/>
              </w:rPr>
              <w:t xml:space="preserve">Powers </w:t>
            </w:r>
            <w:r>
              <w:rPr>
                <w:rFonts w:eastAsia="Calibri"/>
                <w:color w:val="000000"/>
                <w:sz w:val="20"/>
                <w:szCs w:val="20"/>
              </w:rPr>
              <w:t>at 4, line 17 through page 5 line 4, starting “that includes discounted capacity” and ending “during the transition.”</w:t>
            </w:r>
          </w:p>
        </w:tc>
      </w:tr>
      <w:tr w:rsidR="00E00239">
        <w:tc>
          <w:tcPr>
            <w:tcW w:w="3618" w:type="dxa"/>
            <w:gridSpan w:val="2"/>
            <w:vAlign w:val="center"/>
          </w:tcPr>
          <w:p w:rsidR="00E00239" w:rsidRDefault="00C75211">
            <w:pPr>
              <w:tabs>
                <w:tab w:val="left" w:pos="1080"/>
              </w:tabs>
              <w:jc w:val="center"/>
              <w:rPr>
                <w:rFonts w:eastAsia="Calibri"/>
                <w:color w:val="000000"/>
              </w:rPr>
            </w:pPr>
            <w:r>
              <w:rPr>
                <w:rFonts w:eastAsia="Calibri"/>
                <w:color w:val="000000"/>
                <w:sz w:val="20"/>
                <w:szCs w:val="20"/>
              </w:rPr>
              <w:t>Basis 1 – Illegal Capacity Charges</w:t>
            </w:r>
          </w:p>
        </w:tc>
        <w:tc>
          <w:tcPr>
            <w:tcW w:w="5958" w:type="dxa"/>
          </w:tcPr>
          <w:p w:rsidR="00E00239" w:rsidRDefault="00C75211">
            <w:pPr>
              <w:tabs>
                <w:tab w:val="left" w:pos="1080"/>
              </w:tabs>
              <w:rPr>
                <w:rFonts w:eastAsia="Calibri"/>
                <w:color w:val="000000"/>
                <w:sz w:val="20"/>
                <w:szCs w:val="20"/>
              </w:rPr>
            </w:pPr>
            <w:r>
              <w:rPr>
                <w:rFonts w:eastAsia="Calibri"/>
                <w:color w:val="000000"/>
                <w:sz w:val="20"/>
                <w:szCs w:val="20"/>
              </w:rPr>
              <w:t>Powers at 5, chart. Powers – “Capacity price overview”; Nelson – “FRR/capacity obligation”</w:t>
            </w:r>
          </w:p>
        </w:tc>
      </w:tr>
      <w:tr w:rsidR="00E00239">
        <w:tc>
          <w:tcPr>
            <w:tcW w:w="3618" w:type="dxa"/>
            <w:gridSpan w:val="2"/>
            <w:vAlign w:val="center"/>
          </w:tcPr>
          <w:p w:rsidR="00E00239" w:rsidRDefault="00C75211">
            <w:pPr>
              <w:tabs>
                <w:tab w:val="left" w:pos="1080"/>
              </w:tabs>
              <w:jc w:val="center"/>
              <w:rPr>
                <w:rFonts w:eastAsia="Calibri"/>
                <w:color w:val="000000"/>
              </w:rPr>
            </w:pPr>
            <w:r>
              <w:rPr>
                <w:rFonts w:eastAsia="Calibri"/>
                <w:color w:val="000000"/>
                <w:sz w:val="20"/>
                <w:szCs w:val="20"/>
              </w:rPr>
              <w:t xml:space="preserve">Basis 2 – </w:t>
            </w:r>
            <w:r>
              <w:rPr>
                <w:rFonts w:eastAsia="Calibri"/>
                <w:color w:val="000000"/>
                <w:sz w:val="20"/>
                <w:szCs w:val="20"/>
              </w:rPr>
              <w:t>Corporate Separation Not at Issue</w:t>
            </w:r>
          </w:p>
        </w:tc>
        <w:tc>
          <w:tcPr>
            <w:tcW w:w="5958" w:type="dxa"/>
          </w:tcPr>
          <w:p w:rsidR="00E00239" w:rsidRDefault="00C75211">
            <w:pPr>
              <w:tabs>
                <w:tab w:val="left" w:pos="1080"/>
              </w:tabs>
              <w:rPr>
                <w:rFonts w:eastAsia="Calibri"/>
                <w:color w:val="000000"/>
                <w:sz w:val="20"/>
                <w:szCs w:val="20"/>
              </w:rPr>
            </w:pPr>
            <w:r>
              <w:rPr>
                <w:rFonts w:eastAsia="Calibri"/>
                <w:color w:val="000000"/>
                <w:sz w:val="20"/>
                <w:szCs w:val="20"/>
              </w:rPr>
              <w:t>Powers at 5, chart, Nelson – “Transfer of AEP Ohio generation assets”</w:t>
            </w:r>
          </w:p>
        </w:tc>
      </w:tr>
      <w:tr w:rsidR="00E00239">
        <w:tc>
          <w:tcPr>
            <w:tcW w:w="3618" w:type="dxa"/>
            <w:gridSpan w:val="2"/>
            <w:vAlign w:val="center"/>
          </w:tcPr>
          <w:p w:rsidR="00E00239" w:rsidRDefault="00C75211">
            <w:pPr>
              <w:tabs>
                <w:tab w:val="left" w:pos="1080"/>
              </w:tabs>
              <w:jc w:val="center"/>
              <w:rPr>
                <w:rFonts w:eastAsia="Calibri"/>
                <w:color w:val="000000"/>
                <w:sz w:val="20"/>
                <w:szCs w:val="20"/>
              </w:rPr>
            </w:pPr>
            <w:r>
              <w:rPr>
                <w:rFonts w:eastAsia="Calibri"/>
                <w:color w:val="000000"/>
                <w:sz w:val="20"/>
                <w:szCs w:val="20"/>
              </w:rPr>
              <w:t>Basis 3 – Illegal Pool Termination Rider</w:t>
            </w:r>
          </w:p>
          <w:p w:rsidR="00E00239" w:rsidRDefault="00E00239">
            <w:pPr>
              <w:tabs>
                <w:tab w:val="left" w:pos="1080"/>
              </w:tabs>
              <w:jc w:val="center"/>
              <w:rPr>
                <w:rFonts w:eastAsia="Calibri"/>
                <w:color w:val="000000"/>
                <w:sz w:val="20"/>
                <w:szCs w:val="20"/>
              </w:rPr>
            </w:pPr>
          </w:p>
          <w:p w:rsidR="00E00239" w:rsidRDefault="00C75211">
            <w:pPr>
              <w:tabs>
                <w:tab w:val="left" w:pos="1080"/>
              </w:tabs>
              <w:jc w:val="center"/>
              <w:rPr>
                <w:rFonts w:eastAsia="Calibri"/>
                <w:color w:val="000000"/>
              </w:rPr>
            </w:pPr>
            <w:r>
              <w:rPr>
                <w:rFonts w:eastAsia="Calibri"/>
                <w:color w:val="000000"/>
                <w:sz w:val="20"/>
                <w:szCs w:val="20"/>
              </w:rPr>
              <w:t>Basis 1 – Illegal Capacity Charges</w:t>
            </w:r>
          </w:p>
        </w:tc>
        <w:tc>
          <w:tcPr>
            <w:tcW w:w="5958" w:type="dxa"/>
          </w:tcPr>
          <w:p w:rsidR="00E00239" w:rsidRDefault="00C75211">
            <w:pPr>
              <w:tabs>
                <w:tab w:val="left" w:pos="1080"/>
              </w:tabs>
              <w:rPr>
                <w:rFonts w:eastAsia="Calibri"/>
                <w:color w:val="000000"/>
                <w:sz w:val="20"/>
                <w:szCs w:val="20"/>
              </w:rPr>
            </w:pPr>
            <w:r>
              <w:rPr>
                <w:rFonts w:eastAsia="Calibri"/>
                <w:color w:val="000000"/>
                <w:sz w:val="20"/>
                <w:szCs w:val="20"/>
              </w:rPr>
              <w:t>Powers at 5, chart, Nelson –  “new capacity, and pool termination“</w:t>
            </w:r>
          </w:p>
        </w:tc>
      </w:tr>
      <w:tr w:rsidR="00E00239">
        <w:tc>
          <w:tcPr>
            <w:tcW w:w="3618" w:type="dxa"/>
            <w:gridSpan w:val="2"/>
            <w:vAlign w:val="center"/>
          </w:tcPr>
          <w:p w:rsidR="00E00239" w:rsidRDefault="00C75211">
            <w:pPr>
              <w:tabs>
                <w:tab w:val="left" w:pos="1080"/>
              </w:tabs>
              <w:jc w:val="center"/>
              <w:rPr>
                <w:rFonts w:eastAsia="Calibri"/>
                <w:color w:val="000000"/>
              </w:rPr>
            </w:pPr>
            <w:r>
              <w:rPr>
                <w:rFonts w:eastAsia="Calibri"/>
                <w:color w:val="000000"/>
                <w:sz w:val="20"/>
                <w:szCs w:val="20"/>
              </w:rPr>
              <w:t xml:space="preserve">Basis </w:t>
            </w:r>
            <w:r>
              <w:rPr>
                <w:rFonts w:eastAsia="Calibri"/>
                <w:color w:val="000000"/>
                <w:sz w:val="20"/>
                <w:szCs w:val="20"/>
              </w:rPr>
              <w:t>1 – Illegal Capacity Charges</w:t>
            </w:r>
          </w:p>
        </w:tc>
        <w:tc>
          <w:tcPr>
            <w:tcW w:w="5958" w:type="dxa"/>
          </w:tcPr>
          <w:p w:rsidR="00E00239" w:rsidRDefault="00C75211">
            <w:pPr>
              <w:tabs>
                <w:tab w:val="left" w:pos="1080"/>
              </w:tabs>
              <w:rPr>
                <w:rFonts w:eastAsia="Calibri"/>
                <w:color w:val="000000"/>
                <w:sz w:val="20"/>
                <w:szCs w:val="20"/>
              </w:rPr>
            </w:pPr>
            <w:r>
              <w:rPr>
                <w:rFonts w:eastAsia="Calibri"/>
                <w:color w:val="000000"/>
                <w:sz w:val="20"/>
                <w:szCs w:val="20"/>
              </w:rPr>
              <w:t>Powers at 6, Allen – “Capacity pricing” and “two-tiered capacity pricing”</w:t>
            </w:r>
          </w:p>
        </w:tc>
      </w:tr>
      <w:tr w:rsidR="00E00239">
        <w:tc>
          <w:tcPr>
            <w:tcW w:w="3618" w:type="dxa"/>
            <w:gridSpan w:val="2"/>
            <w:vAlign w:val="center"/>
          </w:tcPr>
          <w:p w:rsidR="00E00239" w:rsidRDefault="00C75211">
            <w:pPr>
              <w:tabs>
                <w:tab w:val="left" w:pos="1080"/>
              </w:tabs>
              <w:jc w:val="center"/>
              <w:rPr>
                <w:rFonts w:eastAsia="Calibri"/>
                <w:color w:val="000000"/>
              </w:rPr>
            </w:pPr>
            <w:r>
              <w:rPr>
                <w:rFonts w:eastAsia="Calibri"/>
                <w:color w:val="000000"/>
                <w:sz w:val="20"/>
                <w:szCs w:val="20"/>
              </w:rPr>
              <w:t>Basis 1 – Illegal Capacity Charges</w:t>
            </w:r>
          </w:p>
        </w:tc>
        <w:tc>
          <w:tcPr>
            <w:tcW w:w="5958" w:type="dxa"/>
          </w:tcPr>
          <w:p w:rsidR="00E00239" w:rsidRDefault="00C75211">
            <w:pPr>
              <w:tabs>
                <w:tab w:val="left" w:pos="1080"/>
              </w:tabs>
              <w:rPr>
                <w:rFonts w:eastAsia="Calibri"/>
                <w:color w:val="000000"/>
                <w:sz w:val="20"/>
                <w:szCs w:val="20"/>
              </w:rPr>
            </w:pPr>
            <w:r>
              <w:rPr>
                <w:rFonts w:eastAsia="Calibri"/>
                <w:color w:val="000000"/>
                <w:sz w:val="20"/>
                <w:szCs w:val="20"/>
              </w:rPr>
              <w:t>Powers at 6, Graves, entire reference and summary of Grave’s testimony</w:t>
            </w:r>
          </w:p>
        </w:tc>
      </w:tr>
      <w:tr w:rsidR="00E00239">
        <w:tc>
          <w:tcPr>
            <w:tcW w:w="3618" w:type="dxa"/>
            <w:gridSpan w:val="2"/>
            <w:vAlign w:val="center"/>
          </w:tcPr>
          <w:p w:rsidR="00E00239" w:rsidRDefault="00C75211">
            <w:pPr>
              <w:tabs>
                <w:tab w:val="left" w:pos="1080"/>
              </w:tabs>
              <w:jc w:val="center"/>
              <w:rPr>
                <w:rFonts w:eastAsia="Calibri"/>
                <w:color w:val="000000"/>
              </w:rPr>
            </w:pPr>
            <w:r>
              <w:rPr>
                <w:rFonts w:eastAsia="Calibri"/>
                <w:color w:val="000000"/>
                <w:sz w:val="20"/>
                <w:szCs w:val="20"/>
              </w:rPr>
              <w:t>Basis 6 – Improper Citation to Stipulation</w:t>
            </w:r>
          </w:p>
        </w:tc>
        <w:tc>
          <w:tcPr>
            <w:tcW w:w="5958" w:type="dxa"/>
          </w:tcPr>
          <w:p w:rsidR="00E00239" w:rsidRDefault="00C75211">
            <w:pPr>
              <w:tabs>
                <w:tab w:val="left" w:pos="1080"/>
              </w:tabs>
              <w:rPr>
                <w:rFonts w:eastAsia="Calibri"/>
                <w:color w:val="000000"/>
                <w:sz w:val="20"/>
                <w:szCs w:val="20"/>
              </w:rPr>
            </w:pPr>
            <w:r>
              <w:rPr>
                <w:rFonts w:eastAsia="Calibri"/>
                <w:color w:val="000000"/>
                <w:sz w:val="20"/>
                <w:szCs w:val="20"/>
              </w:rPr>
              <w:t>Po</w:t>
            </w:r>
            <w:r>
              <w:rPr>
                <w:rFonts w:eastAsia="Calibri"/>
                <w:color w:val="000000"/>
                <w:sz w:val="20"/>
                <w:szCs w:val="20"/>
              </w:rPr>
              <w:t>wers at 6, line 5 to page 7 line 7, starting with “for example” ending with “transmission assets”</w:t>
            </w:r>
          </w:p>
        </w:tc>
      </w:tr>
      <w:tr w:rsidR="00E00239">
        <w:tc>
          <w:tcPr>
            <w:tcW w:w="3618" w:type="dxa"/>
            <w:gridSpan w:val="2"/>
            <w:vAlign w:val="center"/>
          </w:tcPr>
          <w:p w:rsidR="00E00239" w:rsidRDefault="00C75211">
            <w:pPr>
              <w:tabs>
                <w:tab w:val="left" w:pos="1080"/>
              </w:tabs>
              <w:jc w:val="center"/>
              <w:rPr>
                <w:rFonts w:eastAsia="Calibri"/>
                <w:color w:val="000000"/>
              </w:rPr>
            </w:pPr>
            <w:r>
              <w:rPr>
                <w:rFonts w:eastAsia="Calibri"/>
                <w:color w:val="000000"/>
                <w:sz w:val="20"/>
                <w:szCs w:val="20"/>
              </w:rPr>
              <w:t>Basis 6 – Improper Citation to Stipulation</w:t>
            </w:r>
          </w:p>
        </w:tc>
        <w:tc>
          <w:tcPr>
            <w:tcW w:w="5958" w:type="dxa"/>
          </w:tcPr>
          <w:p w:rsidR="00E00239" w:rsidRDefault="00C75211">
            <w:pPr>
              <w:tabs>
                <w:tab w:val="left" w:pos="1080"/>
              </w:tabs>
              <w:rPr>
                <w:rFonts w:eastAsia="Calibri"/>
                <w:color w:val="000000"/>
                <w:sz w:val="20"/>
                <w:szCs w:val="20"/>
              </w:rPr>
            </w:pPr>
            <w:r>
              <w:rPr>
                <w:rFonts w:eastAsia="Calibri"/>
                <w:color w:val="000000"/>
                <w:sz w:val="20"/>
                <w:szCs w:val="20"/>
              </w:rPr>
              <w:t>Powers at 7 lines 15 to 18, starting “By contrast” and ending “projected market prices.”</w:t>
            </w:r>
          </w:p>
        </w:tc>
      </w:tr>
      <w:tr w:rsidR="00E00239">
        <w:tc>
          <w:tcPr>
            <w:tcW w:w="3618" w:type="dxa"/>
            <w:gridSpan w:val="2"/>
            <w:vAlign w:val="center"/>
          </w:tcPr>
          <w:p w:rsidR="00E00239" w:rsidRDefault="00C75211">
            <w:pPr>
              <w:tabs>
                <w:tab w:val="left" w:pos="1080"/>
              </w:tabs>
              <w:jc w:val="center"/>
              <w:rPr>
                <w:rFonts w:eastAsia="Calibri"/>
                <w:color w:val="000000"/>
              </w:rPr>
            </w:pPr>
            <w:r>
              <w:rPr>
                <w:rFonts w:eastAsia="Calibri"/>
                <w:color w:val="000000"/>
                <w:sz w:val="20"/>
                <w:szCs w:val="20"/>
              </w:rPr>
              <w:t>Basis 1 – Illegal Capaci</w:t>
            </w:r>
            <w:r>
              <w:rPr>
                <w:rFonts w:eastAsia="Calibri"/>
                <w:color w:val="000000"/>
                <w:sz w:val="20"/>
                <w:szCs w:val="20"/>
              </w:rPr>
              <w:t>ty Charges</w:t>
            </w:r>
          </w:p>
        </w:tc>
        <w:tc>
          <w:tcPr>
            <w:tcW w:w="5958" w:type="dxa"/>
          </w:tcPr>
          <w:p w:rsidR="00E00239" w:rsidRDefault="00C75211">
            <w:pPr>
              <w:tabs>
                <w:tab w:val="left" w:pos="1080"/>
              </w:tabs>
              <w:rPr>
                <w:rFonts w:eastAsia="Calibri"/>
                <w:color w:val="000000"/>
                <w:sz w:val="20"/>
                <w:szCs w:val="20"/>
              </w:rPr>
            </w:pPr>
            <w:r>
              <w:rPr>
                <w:rFonts w:eastAsia="Calibri"/>
                <w:color w:val="000000"/>
                <w:sz w:val="20"/>
                <w:szCs w:val="20"/>
              </w:rPr>
              <w:t>Powers at page 9, line 10 through 23</w:t>
            </w:r>
          </w:p>
        </w:tc>
      </w:tr>
      <w:tr w:rsidR="00E00239">
        <w:tc>
          <w:tcPr>
            <w:tcW w:w="3618" w:type="dxa"/>
            <w:gridSpan w:val="2"/>
            <w:vAlign w:val="center"/>
          </w:tcPr>
          <w:p w:rsidR="00E00239" w:rsidRDefault="00C75211">
            <w:pPr>
              <w:tabs>
                <w:tab w:val="left" w:pos="1080"/>
              </w:tabs>
              <w:jc w:val="center"/>
              <w:rPr>
                <w:rFonts w:eastAsia="Calibri"/>
                <w:color w:val="000000"/>
              </w:rPr>
            </w:pPr>
            <w:r>
              <w:rPr>
                <w:rFonts w:eastAsia="Calibri"/>
                <w:color w:val="000000"/>
                <w:sz w:val="20"/>
                <w:szCs w:val="20"/>
              </w:rPr>
              <w:t>Basis 1 – Illegal Capacity Charges</w:t>
            </w:r>
          </w:p>
        </w:tc>
        <w:tc>
          <w:tcPr>
            <w:tcW w:w="5958" w:type="dxa"/>
          </w:tcPr>
          <w:p w:rsidR="00E00239" w:rsidRDefault="00C75211">
            <w:pPr>
              <w:tabs>
                <w:tab w:val="left" w:pos="1080"/>
              </w:tabs>
              <w:rPr>
                <w:rFonts w:eastAsia="Calibri"/>
                <w:color w:val="000000"/>
                <w:sz w:val="20"/>
                <w:szCs w:val="20"/>
              </w:rPr>
            </w:pPr>
            <w:r>
              <w:rPr>
                <w:rFonts w:eastAsia="Calibri"/>
                <w:color w:val="000000"/>
                <w:sz w:val="20"/>
                <w:szCs w:val="20"/>
              </w:rPr>
              <w:t>Powers at 10, line 19 through 20, starting with “and to fulfill” ending “FRR Entity”</w:t>
            </w:r>
          </w:p>
        </w:tc>
      </w:tr>
      <w:tr w:rsidR="00E00239">
        <w:tc>
          <w:tcPr>
            <w:tcW w:w="3618" w:type="dxa"/>
            <w:gridSpan w:val="2"/>
            <w:vAlign w:val="center"/>
          </w:tcPr>
          <w:p w:rsidR="00E00239" w:rsidRDefault="00C75211">
            <w:pPr>
              <w:tabs>
                <w:tab w:val="left" w:pos="1080"/>
              </w:tabs>
              <w:jc w:val="center"/>
              <w:rPr>
                <w:rFonts w:eastAsia="Calibri"/>
                <w:color w:val="000000"/>
              </w:rPr>
            </w:pPr>
            <w:r>
              <w:rPr>
                <w:rFonts w:eastAsia="Calibri"/>
                <w:color w:val="000000"/>
                <w:sz w:val="20"/>
                <w:szCs w:val="20"/>
              </w:rPr>
              <w:t>Basis 1 – Illegal Capacity Charges</w:t>
            </w:r>
          </w:p>
        </w:tc>
        <w:tc>
          <w:tcPr>
            <w:tcW w:w="5958" w:type="dxa"/>
          </w:tcPr>
          <w:p w:rsidR="00E00239" w:rsidRDefault="00C75211">
            <w:pPr>
              <w:tabs>
                <w:tab w:val="left" w:pos="1080"/>
              </w:tabs>
              <w:rPr>
                <w:rFonts w:eastAsia="Calibri"/>
                <w:color w:val="000000"/>
                <w:sz w:val="20"/>
                <w:szCs w:val="20"/>
              </w:rPr>
            </w:pPr>
            <w:r>
              <w:rPr>
                <w:rFonts w:eastAsia="Calibri"/>
                <w:color w:val="000000"/>
                <w:sz w:val="20"/>
                <w:szCs w:val="20"/>
              </w:rPr>
              <w:t>Powers at 10, line 23 through page 11, line 15, sta</w:t>
            </w:r>
            <w:r>
              <w:rPr>
                <w:rFonts w:eastAsia="Calibri"/>
                <w:color w:val="000000"/>
                <w:sz w:val="20"/>
                <w:szCs w:val="20"/>
              </w:rPr>
              <w:t>rting with “and a” ending with “in this proceeding”</w:t>
            </w:r>
          </w:p>
        </w:tc>
      </w:tr>
      <w:tr w:rsidR="00E00239">
        <w:tc>
          <w:tcPr>
            <w:tcW w:w="3618" w:type="dxa"/>
            <w:gridSpan w:val="2"/>
            <w:vAlign w:val="center"/>
          </w:tcPr>
          <w:p w:rsidR="00E00239" w:rsidRDefault="00C75211">
            <w:pPr>
              <w:tabs>
                <w:tab w:val="left" w:pos="1080"/>
              </w:tabs>
              <w:jc w:val="center"/>
              <w:rPr>
                <w:rFonts w:eastAsia="Calibri"/>
                <w:color w:val="000000"/>
              </w:rPr>
            </w:pPr>
            <w:r>
              <w:rPr>
                <w:rFonts w:eastAsia="Calibri"/>
                <w:color w:val="000000"/>
                <w:sz w:val="20"/>
                <w:szCs w:val="20"/>
              </w:rPr>
              <w:t>Basis 1 – Illegal Capacity Charges</w:t>
            </w:r>
          </w:p>
        </w:tc>
        <w:tc>
          <w:tcPr>
            <w:tcW w:w="5958" w:type="dxa"/>
          </w:tcPr>
          <w:p w:rsidR="00E00239" w:rsidRDefault="00C75211">
            <w:pPr>
              <w:tabs>
                <w:tab w:val="left" w:pos="1080"/>
              </w:tabs>
              <w:rPr>
                <w:rFonts w:eastAsia="Calibri"/>
                <w:color w:val="000000"/>
                <w:sz w:val="20"/>
                <w:szCs w:val="20"/>
              </w:rPr>
            </w:pPr>
            <w:r>
              <w:rPr>
                <w:rFonts w:eastAsia="Calibri"/>
                <w:color w:val="000000"/>
                <w:sz w:val="20"/>
                <w:szCs w:val="20"/>
              </w:rPr>
              <w:t>Powers at 13, line 8 through page 18, line 6</w:t>
            </w:r>
          </w:p>
        </w:tc>
      </w:tr>
      <w:tr w:rsidR="00E00239">
        <w:tc>
          <w:tcPr>
            <w:tcW w:w="3618" w:type="dxa"/>
            <w:gridSpan w:val="2"/>
            <w:vAlign w:val="center"/>
          </w:tcPr>
          <w:p w:rsidR="00E00239" w:rsidRDefault="00C75211">
            <w:pPr>
              <w:tabs>
                <w:tab w:val="left" w:pos="1080"/>
              </w:tabs>
              <w:jc w:val="center"/>
              <w:rPr>
                <w:rFonts w:eastAsia="Calibri"/>
                <w:color w:val="000000"/>
                <w:sz w:val="20"/>
                <w:szCs w:val="20"/>
              </w:rPr>
            </w:pPr>
            <w:r>
              <w:rPr>
                <w:rFonts w:eastAsia="Calibri"/>
                <w:color w:val="000000"/>
                <w:sz w:val="20"/>
                <w:szCs w:val="20"/>
              </w:rPr>
              <w:t>Basis 1 – Illegal Capacity Charges</w:t>
            </w:r>
          </w:p>
          <w:p w:rsidR="00E00239" w:rsidRDefault="00E00239">
            <w:pPr>
              <w:tabs>
                <w:tab w:val="left" w:pos="1080"/>
              </w:tabs>
              <w:jc w:val="center"/>
              <w:rPr>
                <w:rFonts w:eastAsia="Calibri"/>
                <w:color w:val="000000"/>
                <w:sz w:val="20"/>
                <w:szCs w:val="20"/>
              </w:rPr>
            </w:pPr>
          </w:p>
          <w:p w:rsidR="00E00239" w:rsidRDefault="00C75211">
            <w:pPr>
              <w:tabs>
                <w:tab w:val="left" w:pos="1080"/>
              </w:tabs>
              <w:jc w:val="center"/>
              <w:rPr>
                <w:rFonts w:eastAsia="Calibri"/>
                <w:color w:val="000000"/>
              </w:rPr>
            </w:pPr>
            <w:r>
              <w:rPr>
                <w:rFonts w:eastAsia="Calibri"/>
                <w:color w:val="000000"/>
                <w:sz w:val="20"/>
                <w:szCs w:val="20"/>
              </w:rPr>
              <w:t>Basis 3 – Illegal Pool Termination Rider</w:t>
            </w:r>
          </w:p>
        </w:tc>
        <w:tc>
          <w:tcPr>
            <w:tcW w:w="5958" w:type="dxa"/>
          </w:tcPr>
          <w:p w:rsidR="00E00239" w:rsidRDefault="00C75211">
            <w:pPr>
              <w:tabs>
                <w:tab w:val="left" w:pos="1080"/>
              </w:tabs>
              <w:rPr>
                <w:rFonts w:eastAsia="Calibri"/>
                <w:color w:val="000000"/>
                <w:sz w:val="20"/>
                <w:szCs w:val="20"/>
              </w:rPr>
            </w:pPr>
            <w:r>
              <w:rPr>
                <w:rFonts w:eastAsia="Calibri"/>
                <w:color w:val="000000"/>
                <w:sz w:val="20"/>
                <w:szCs w:val="20"/>
              </w:rPr>
              <w:t xml:space="preserve">Powers at 18, line 13 to page 19, line 1, </w:t>
            </w:r>
            <w:r>
              <w:rPr>
                <w:rFonts w:eastAsia="Calibri"/>
                <w:color w:val="000000"/>
                <w:sz w:val="20"/>
                <w:szCs w:val="20"/>
              </w:rPr>
              <w:t>starting with “For example” and ending on page 19 with first word “compliance”</w:t>
            </w:r>
          </w:p>
        </w:tc>
      </w:tr>
      <w:tr w:rsidR="00E00239">
        <w:tc>
          <w:tcPr>
            <w:tcW w:w="3618" w:type="dxa"/>
            <w:gridSpan w:val="2"/>
            <w:vAlign w:val="center"/>
          </w:tcPr>
          <w:p w:rsidR="00E00239" w:rsidRDefault="00C75211">
            <w:pPr>
              <w:tabs>
                <w:tab w:val="left" w:pos="1080"/>
              </w:tabs>
              <w:jc w:val="center"/>
              <w:rPr>
                <w:rFonts w:eastAsia="Calibri"/>
                <w:color w:val="000000"/>
                <w:sz w:val="20"/>
                <w:szCs w:val="20"/>
              </w:rPr>
            </w:pPr>
            <w:r>
              <w:rPr>
                <w:rFonts w:eastAsia="Calibri"/>
                <w:color w:val="000000"/>
                <w:sz w:val="20"/>
                <w:szCs w:val="20"/>
              </w:rPr>
              <w:t>Basis 2 – Corporate Separation Not at Issue</w:t>
            </w:r>
          </w:p>
          <w:p w:rsidR="00E00239" w:rsidRDefault="00E00239">
            <w:pPr>
              <w:tabs>
                <w:tab w:val="left" w:pos="1080"/>
              </w:tabs>
              <w:jc w:val="center"/>
              <w:rPr>
                <w:rFonts w:eastAsia="Calibri"/>
                <w:color w:val="000000"/>
                <w:sz w:val="20"/>
                <w:szCs w:val="20"/>
              </w:rPr>
            </w:pPr>
          </w:p>
          <w:p w:rsidR="00E00239" w:rsidRDefault="00C75211">
            <w:pPr>
              <w:tabs>
                <w:tab w:val="left" w:pos="1080"/>
              </w:tabs>
              <w:jc w:val="center"/>
              <w:rPr>
                <w:rFonts w:eastAsia="Calibri"/>
                <w:color w:val="000000"/>
              </w:rPr>
            </w:pPr>
            <w:r>
              <w:rPr>
                <w:rFonts w:eastAsia="Calibri"/>
                <w:color w:val="000000"/>
                <w:sz w:val="20"/>
                <w:szCs w:val="20"/>
              </w:rPr>
              <w:t>Basis 3 – Illegal Pool Termination Rider</w:t>
            </w:r>
          </w:p>
        </w:tc>
        <w:tc>
          <w:tcPr>
            <w:tcW w:w="5958" w:type="dxa"/>
          </w:tcPr>
          <w:p w:rsidR="00E00239" w:rsidRDefault="00C75211">
            <w:pPr>
              <w:tabs>
                <w:tab w:val="left" w:pos="1080"/>
              </w:tabs>
              <w:rPr>
                <w:rFonts w:eastAsia="Calibri"/>
                <w:color w:val="000000"/>
                <w:sz w:val="20"/>
                <w:szCs w:val="20"/>
              </w:rPr>
            </w:pPr>
            <w:r>
              <w:rPr>
                <w:rFonts w:eastAsia="Calibri"/>
                <w:color w:val="000000"/>
                <w:sz w:val="20"/>
                <w:szCs w:val="20"/>
              </w:rPr>
              <w:t>Powers at 19, line 5 to line 6, starting with “until” and ending with “complete”</w:t>
            </w:r>
          </w:p>
        </w:tc>
      </w:tr>
      <w:tr w:rsidR="00E00239">
        <w:tc>
          <w:tcPr>
            <w:tcW w:w="3618" w:type="dxa"/>
            <w:gridSpan w:val="2"/>
            <w:vAlign w:val="center"/>
          </w:tcPr>
          <w:p w:rsidR="00E00239" w:rsidRDefault="00C75211">
            <w:pPr>
              <w:tabs>
                <w:tab w:val="left" w:pos="1080"/>
              </w:tabs>
              <w:jc w:val="center"/>
              <w:rPr>
                <w:rFonts w:eastAsia="Calibri"/>
                <w:color w:val="000000"/>
                <w:sz w:val="20"/>
                <w:szCs w:val="20"/>
              </w:rPr>
            </w:pPr>
            <w:r>
              <w:rPr>
                <w:rFonts w:eastAsia="Calibri"/>
                <w:color w:val="000000"/>
                <w:sz w:val="20"/>
                <w:szCs w:val="20"/>
              </w:rPr>
              <w:t xml:space="preserve">Basis 2 </w:t>
            </w:r>
            <w:r>
              <w:rPr>
                <w:rFonts w:eastAsia="Calibri"/>
                <w:color w:val="000000"/>
                <w:sz w:val="20"/>
                <w:szCs w:val="20"/>
              </w:rPr>
              <w:t>– Corporate Separation Not at Issue</w:t>
            </w:r>
          </w:p>
          <w:p w:rsidR="00E00239" w:rsidRDefault="00E00239">
            <w:pPr>
              <w:tabs>
                <w:tab w:val="left" w:pos="1080"/>
              </w:tabs>
              <w:jc w:val="center"/>
              <w:rPr>
                <w:rFonts w:eastAsia="Calibri"/>
                <w:color w:val="000000"/>
              </w:rPr>
            </w:pPr>
          </w:p>
          <w:p w:rsidR="00E00239" w:rsidRDefault="00C75211">
            <w:pPr>
              <w:tabs>
                <w:tab w:val="left" w:pos="1080"/>
              </w:tabs>
              <w:jc w:val="center"/>
              <w:rPr>
                <w:rFonts w:eastAsia="Calibri"/>
                <w:color w:val="000000"/>
              </w:rPr>
            </w:pPr>
            <w:r>
              <w:rPr>
                <w:rFonts w:eastAsia="Calibri"/>
                <w:color w:val="000000"/>
                <w:sz w:val="20"/>
                <w:szCs w:val="20"/>
              </w:rPr>
              <w:t>Basis 3 – Illegal Pool Termination Rider</w:t>
            </w:r>
          </w:p>
        </w:tc>
        <w:tc>
          <w:tcPr>
            <w:tcW w:w="5958" w:type="dxa"/>
          </w:tcPr>
          <w:p w:rsidR="00E00239" w:rsidRDefault="00C75211">
            <w:pPr>
              <w:tabs>
                <w:tab w:val="left" w:pos="1080"/>
              </w:tabs>
              <w:rPr>
                <w:rFonts w:eastAsia="Calibri"/>
                <w:color w:val="000000"/>
                <w:sz w:val="20"/>
                <w:szCs w:val="20"/>
              </w:rPr>
            </w:pPr>
            <w:r>
              <w:rPr>
                <w:rFonts w:eastAsia="Calibri"/>
                <w:color w:val="000000"/>
                <w:sz w:val="20"/>
                <w:szCs w:val="20"/>
              </w:rPr>
              <w:t>Powers at 19, line 15 to 16, starting with “particularly” and ending “being terminated.”</w:t>
            </w:r>
          </w:p>
        </w:tc>
      </w:tr>
      <w:tr w:rsidR="00E00239">
        <w:tc>
          <w:tcPr>
            <w:tcW w:w="3618" w:type="dxa"/>
            <w:gridSpan w:val="2"/>
            <w:vAlign w:val="center"/>
          </w:tcPr>
          <w:p w:rsidR="00E00239" w:rsidRDefault="00C75211">
            <w:pPr>
              <w:tabs>
                <w:tab w:val="left" w:pos="1080"/>
              </w:tabs>
              <w:jc w:val="center"/>
              <w:rPr>
                <w:rFonts w:eastAsia="Calibri"/>
                <w:color w:val="000000"/>
              </w:rPr>
            </w:pPr>
            <w:r>
              <w:rPr>
                <w:rFonts w:eastAsia="Calibri"/>
                <w:color w:val="000000"/>
                <w:sz w:val="20"/>
                <w:szCs w:val="20"/>
              </w:rPr>
              <w:t>Basis 1 – Illegal Capacity Charges</w:t>
            </w:r>
          </w:p>
        </w:tc>
        <w:tc>
          <w:tcPr>
            <w:tcW w:w="5958" w:type="dxa"/>
          </w:tcPr>
          <w:p w:rsidR="00E00239" w:rsidRDefault="00C75211">
            <w:pPr>
              <w:tabs>
                <w:tab w:val="left" w:pos="1080"/>
              </w:tabs>
              <w:rPr>
                <w:rFonts w:eastAsia="Calibri"/>
                <w:color w:val="000000"/>
                <w:sz w:val="20"/>
                <w:szCs w:val="20"/>
              </w:rPr>
            </w:pPr>
            <w:r>
              <w:rPr>
                <w:rFonts w:eastAsia="Calibri"/>
                <w:color w:val="000000"/>
                <w:sz w:val="20"/>
                <w:szCs w:val="20"/>
              </w:rPr>
              <w:t>Powers at 19, line 21 to 22 starting with “AEP” and e</w:t>
            </w:r>
            <w:r>
              <w:rPr>
                <w:rFonts w:eastAsia="Calibri"/>
                <w:color w:val="000000"/>
                <w:sz w:val="20"/>
                <w:szCs w:val="20"/>
              </w:rPr>
              <w:t>nding “$255/MW-day”</w:t>
            </w:r>
          </w:p>
        </w:tc>
      </w:tr>
      <w:tr w:rsidR="00E00239">
        <w:tc>
          <w:tcPr>
            <w:tcW w:w="3618" w:type="dxa"/>
            <w:gridSpan w:val="2"/>
            <w:vAlign w:val="center"/>
          </w:tcPr>
          <w:p w:rsidR="00E00239" w:rsidRDefault="00C75211">
            <w:pPr>
              <w:tabs>
                <w:tab w:val="left" w:pos="1080"/>
              </w:tabs>
              <w:jc w:val="center"/>
              <w:rPr>
                <w:rFonts w:eastAsia="Calibri"/>
                <w:color w:val="000000"/>
              </w:rPr>
            </w:pPr>
            <w:r>
              <w:rPr>
                <w:rFonts w:eastAsia="Calibri"/>
                <w:color w:val="000000"/>
                <w:sz w:val="20"/>
                <w:szCs w:val="20"/>
              </w:rPr>
              <w:t>Basis 3 – Illegal Pool Termination Rider</w:t>
            </w:r>
          </w:p>
        </w:tc>
        <w:tc>
          <w:tcPr>
            <w:tcW w:w="5958" w:type="dxa"/>
          </w:tcPr>
          <w:p w:rsidR="00E00239" w:rsidRDefault="00C75211">
            <w:pPr>
              <w:tabs>
                <w:tab w:val="left" w:pos="1080"/>
              </w:tabs>
              <w:rPr>
                <w:rFonts w:eastAsia="Calibri"/>
                <w:color w:val="000000"/>
                <w:sz w:val="20"/>
                <w:szCs w:val="20"/>
              </w:rPr>
            </w:pPr>
            <w:r>
              <w:rPr>
                <w:rFonts w:eastAsia="Calibri"/>
                <w:color w:val="000000"/>
                <w:sz w:val="20"/>
                <w:szCs w:val="20"/>
              </w:rPr>
              <w:t>Powers at 20, line 21 to 23, starting with “including” ending “Pool Agreement”</w:t>
            </w:r>
          </w:p>
        </w:tc>
      </w:tr>
      <w:tr w:rsidR="00E00239">
        <w:tc>
          <w:tcPr>
            <w:tcW w:w="3618" w:type="dxa"/>
            <w:gridSpan w:val="2"/>
            <w:vAlign w:val="center"/>
          </w:tcPr>
          <w:p w:rsidR="00E00239" w:rsidRDefault="00C75211">
            <w:pPr>
              <w:tabs>
                <w:tab w:val="left" w:pos="1080"/>
              </w:tabs>
              <w:jc w:val="center"/>
              <w:rPr>
                <w:rFonts w:eastAsia="Calibri"/>
                <w:color w:val="000000"/>
              </w:rPr>
            </w:pPr>
            <w:r>
              <w:rPr>
                <w:rFonts w:eastAsia="Calibri"/>
                <w:color w:val="000000"/>
                <w:sz w:val="20"/>
                <w:szCs w:val="20"/>
              </w:rPr>
              <w:t>Basis 2 – Corporate Separation Not at Issue</w:t>
            </w:r>
          </w:p>
        </w:tc>
        <w:tc>
          <w:tcPr>
            <w:tcW w:w="5958" w:type="dxa"/>
          </w:tcPr>
          <w:p w:rsidR="00E00239" w:rsidRDefault="00C75211">
            <w:pPr>
              <w:tabs>
                <w:tab w:val="left" w:pos="1080"/>
              </w:tabs>
              <w:rPr>
                <w:rFonts w:eastAsia="Calibri"/>
                <w:color w:val="000000"/>
                <w:sz w:val="20"/>
                <w:szCs w:val="20"/>
              </w:rPr>
            </w:pPr>
            <w:r>
              <w:rPr>
                <w:rFonts w:eastAsia="Calibri"/>
                <w:color w:val="000000"/>
                <w:sz w:val="20"/>
                <w:szCs w:val="20"/>
              </w:rPr>
              <w:t>Powers at 21, line 7 to page 23, line 19</w:t>
            </w:r>
          </w:p>
        </w:tc>
      </w:tr>
      <w:tr w:rsidR="00E00239">
        <w:tc>
          <w:tcPr>
            <w:tcW w:w="3618" w:type="dxa"/>
            <w:gridSpan w:val="2"/>
            <w:vAlign w:val="center"/>
          </w:tcPr>
          <w:p w:rsidR="00E00239" w:rsidRDefault="00C75211">
            <w:pPr>
              <w:tabs>
                <w:tab w:val="left" w:pos="1080"/>
              </w:tabs>
              <w:jc w:val="center"/>
              <w:rPr>
                <w:rFonts w:eastAsia="Calibri"/>
                <w:color w:val="000000"/>
              </w:rPr>
            </w:pPr>
            <w:r>
              <w:rPr>
                <w:rFonts w:eastAsia="Calibri"/>
                <w:color w:val="000000"/>
                <w:sz w:val="20"/>
                <w:szCs w:val="20"/>
              </w:rPr>
              <w:t xml:space="preserve">Basis 1 – Illegal Capacity </w:t>
            </w:r>
            <w:r>
              <w:rPr>
                <w:rFonts w:eastAsia="Calibri"/>
                <w:color w:val="000000"/>
                <w:sz w:val="20"/>
                <w:szCs w:val="20"/>
              </w:rPr>
              <w:t>Charges</w:t>
            </w:r>
          </w:p>
        </w:tc>
        <w:tc>
          <w:tcPr>
            <w:tcW w:w="5958" w:type="dxa"/>
          </w:tcPr>
          <w:p w:rsidR="00E00239" w:rsidRDefault="00C75211">
            <w:pPr>
              <w:tabs>
                <w:tab w:val="left" w:pos="1080"/>
              </w:tabs>
              <w:rPr>
                <w:rFonts w:eastAsia="Calibri"/>
                <w:color w:val="000000"/>
                <w:sz w:val="20"/>
                <w:szCs w:val="20"/>
              </w:rPr>
            </w:pPr>
            <w:r>
              <w:rPr>
                <w:rFonts w:eastAsia="Calibri"/>
                <w:color w:val="000000"/>
                <w:sz w:val="20"/>
                <w:szCs w:val="20"/>
              </w:rPr>
              <w:t>Powers at 23, line 22 to page 24, line 9</w:t>
            </w:r>
          </w:p>
        </w:tc>
      </w:tr>
      <w:tr w:rsidR="00E00239">
        <w:tc>
          <w:tcPr>
            <w:tcW w:w="3618" w:type="dxa"/>
            <w:gridSpan w:val="2"/>
            <w:vAlign w:val="center"/>
          </w:tcPr>
          <w:p w:rsidR="00E00239" w:rsidRDefault="00C75211">
            <w:pPr>
              <w:tabs>
                <w:tab w:val="left" w:pos="1080"/>
              </w:tabs>
              <w:jc w:val="center"/>
              <w:rPr>
                <w:rFonts w:eastAsia="Calibri"/>
                <w:color w:val="000000"/>
              </w:rPr>
            </w:pPr>
            <w:r>
              <w:rPr>
                <w:rFonts w:eastAsia="Calibri"/>
                <w:color w:val="000000"/>
                <w:sz w:val="20"/>
                <w:szCs w:val="20"/>
              </w:rPr>
              <w:t>Basis 6 – Improper Citation to Stipulation</w:t>
            </w:r>
          </w:p>
        </w:tc>
        <w:tc>
          <w:tcPr>
            <w:tcW w:w="5958" w:type="dxa"/>
          </w:tcPr>
          <w:p w:rsidR="00E00239" w:rsidRDefault="00C75211">
            <w:pPr>
              <w:tabs>
                <w:tab w:val="left" w:pos="1080"/>
              </w:tabs>
              <w:rPr>
                <w:rFonts w:eastAsia="Calibri"/>
                <w:color w:val="000000"/>
                <w:sz w:val="20"/>
                <w:szCs w:val="20"/>
              </w:rPr>
            </w:pPr>
            <w:r>
              <w:rPr>
                <w:rFonts w:eastAsia="Calibri"/>
                <w:color w:val="000000"/>
                <w:sz w:val="20"/>
                <w:szCs w:val="20"/>
              </w:rPr>
              <w:t>Powers at 24, line 17, starting with “including” ending “cases”</w:t>
            </w:r>
          </w:p>
        </w:tc>
      </w:tr>
      <w:tr w:rsidR="00E00239">
        <w:tc>
          <w:tcPr>
            <w:tcW w:w="3618" w:type="dxa"/>
            <w:gridSpan w:val="2"/>
            <w:tcBorders>
              <w:bottom w:val="single" w:sz="4" w:space="0" w:color="auto"/>
            </w:tcBorders>
            <w:vAlign w:val="center"/>
          </w:tcPr>
          <w:p w:rsidR="00E00239" w:rsidRDefault="00C75211">
            <w:pPr>
              <w:tabs>
                <w:tab w:val="left" w:pos="1080"/>
              </w:tabs>
              <w:jc w:val="center"/>
              <w:rPr>
                <w:rFonts w:eastAsia="Calibri"/>
                <w:color w:val="000000"/>
              </w:rPr>
            </w:pPr>
            <w:r>
              <w:rPr>
                <w:rFonts w:eastAsia="Calibri"/>
                <w:color w:val="000000"/>
                <w:sz w:val="20"/>
                <w:szCs w:val="20"/>
              </w:rPr>
              <w:t>Basis 3 – Illegal Pool Termination Rider</w:t>
            </w:r>
          </w:p>
        </w:tc>
        <w:tc>
          <w:tcPr>
            <w:tcW w:w="5958" w:type="dxa"/>
            <w:tcBorders>
              <w:bottom w:val="single" w:sz="4" w:space="0" w:color="auto"/>
            </w:tcBorders>
          </w:tcPr>
          <w:p w:rsidR="00E00239" w:rsidRDefault="00C75211">
            <w:pPr>
              <w:tabs>
                <w:tab w:val="left" w:pos="1080"/>
              </w:tabs>
              <w:rPr>
                <w:rFonts w:eastAsia="Calibri"/>
                <w:color w:val="000000"/>
                <w:sz w:val="20"/>
                <w:szCs w:val="20"/>
              </w:rPr>
            </w:pPr>
            <w:r>
              <w:rPr>
                <w:rFonts w:eastAsia="Calibri"/>
                <w:color w:val="000000"/>
                <w:sz w:val="20"/>
                <w:szCs w:val="20"/>
              </w:rPr>
              <w:t>Powers at RPP-1, page 2, starting 2</w:t>
            </w:r>
            <w:r>
              <w:rPr>
                <w:rFonts w:eastAsia="Calibri"/>
                <w:color w:val="000000"/>
                <w:sz w:val="20"/>
                <w:szCs w:val="20"/>
                <w:vertAlign w:val="superscript"/>
              </w:rPr>
              <w:t>nd</w:t>
            </w:r>
            <w:r>
              <w:rPr>
                <w:rFonts w:eastAsia="Calibri"/>
                <w:color w:val="000000"/>
                <w:sz w:val="20"/>
                <w:szCs w:val="20"/>
              </w:rPr>
              <w:t xml:space="preserve"> overall bullet that</w:t>
            </w:r>
            <w:r>
              <w:rPr>
                <w:rFonts w:eastAsia="Calibri"/>
                <w:color w:val="000000"/>
                <w:sz w:val="20"/>
                <w:szCs w:val="20"/>
              </w:rPr>
              <w:t xml:space="preserve"> begins with “Elimination” and continuing through 4</w:t>
            </w:r>
            <w:r>
              <w:rPr>
                <w:rFonts w:eastAsia="Calibri"/>
                <w:color w:val="000000"/>
                <w:sz w:val="20"/>
                <w:szCs w:val="20"/>
                <w:vertAlign w:val="superscript"/>
              </w:rPr>
              <w:t>th</w:t>
            </w:r>
            <w:r>
              <w:rPr>
                <w:rFonts w:eastAsia="Calibri"/>
                <w:color w:val="000000"/>
                <w:sz w:val="20"/>
                <w:szCs w:val="20"/>
              </w:rPr>
              <w:t xml:space="preserve"> overall bullet that ends “cost to AEP.” </w:t>
            </w:r>
          </w:p>
        </w:tc>
      </w:tr>
      <w:tr w:rsidR="00E00239">
        <w:tc>
          <w:tcPr>
            <w:tcW w:w="3618" w:type="dxa"/>
            <w:gridSpan w:val="2"/>
            <w:tcBorders>
              <w:bottom w:val="single" w:sz="4" w:space="0" w:color="auto"/>
            </w:tcBorders>
            <w:vAlign w:val="center"/>
          </w:tcPr>
          <w:p w:rsidR="00E00239" w:rsidRDefault="00C75211">
            <w:pPr>
              <w:tabs>
                <w:tab w:val="left" w:pos="1080"/>
              </w:tabs>
              <w:jc w:val="center"/>
              <w:rPr>
                <w:rFonts w:eastAsia="Calibri"/>
                <w:color w:val="000000"/>
              </w:rPr>
            </w:pPr>
            <w:r>
              <w:rPr>
                <w:rFonts w:eastAsia="Calibri"/>
                <w:color w:val="000000"/>
                <w:sz w:val="20"/>
                <w:szCs w:val="20"/>
              </w:rPr>
              <w:t>Basis 3 – Illegal Pool Termination Rider</w:t>
            </w:r>
          </w:p>
        </w:tc>
        <w:tc>
          <w:tcPr>
            <w:tcW w:w="5958" w:type="dxa"/>
            <w:tcBorders>
              <w:bottom w:val="single" w:sz="4" w:space="0" w:color="auto"/>
            </w:tcBorders>
          </w:tcPr>
          <w:p w:rsidR="00E00239" w:rsidRDefault="00C75211">
            <w:pPr>
              <w:tabs>
                <w:tab w:val="left" w:pos="1080"/>
              </w:tabs>
              <w:rPr>
                <w:rFonts w:eastAsia="Calibri"/>
                <w:color w:val="000000"/>
                <w:sz w:val="20"/>
                <w:szCs w:val="20"/>
              </w:rPr>
            </w:pPr>
            <w:r>
              <w:rPr>
                <w:rFonts w:eastAsia="Calibri"/>
                <w:color w:val="000000"/>
                <w:sz w:val="20"/>
                <w:szCs w:val="20"/>
              </w:rPr>
              <w:t>Powers at RPP-1, page 3, 3</w:t>
            </w:r>
            <w:r>
              <w:rPr>
                <w:rFonts w:eastAsia="Calibri"/>
                <w:color w:val="000000"/>
                <w:sz w:val="20"/>
                <w:szCs w:val="20"/>
                <w:vertAlign w:val="superscript"/>
              </w:rPr>
              <w:t>rd</w:t>
            </w:r>
            <w:r>
              <w:rPr>
                <w:rFonts w:eastAsia="Calibri"/>
                <w:color w:val="000000"/>
                <w:sz w:val="20"/>
                <w:szCs w:val="20"/>
              </w:rPr>
              <w:t xml:space="preserve"> bullet point that starts “Pool termination provision.”</w:t>
            </w:r>
          </w:p>
        </w:tc>
      </w:tr>
      <w:tr w:rsidR="00E00239">
        <w:tc>
          <w:tcPr>
            <w:tcW w:w="2178" w:type="dxa"/>
            <w:tcBorders>
              <w:top w:val="nil"/>
              <w:left w:val="nil"/>
              <w:bottom w:val="nil"/>
              <w:right w:val="nil"/>
            </w:tcBorders>
            <w:vAlign w:val="center"/>
          </w:tcPr>
          <w:p w:rsidR="00E00239" w:rsidRDefault="00C75211">
            <w:pPr>
              <w:jc w:val="center"/>
              <w:rPr>
                <w:rFonts w:eastAsia="Calibri"/>
                <w:b/>
                <w:color w:val="000000"/>
              </w:rPr>
            </w:pPr>
            <w:r>
              <w:rPr>
                <w:rFonts w:eastAsia="Calibri"/>
                <w:b/>
                <w:color w:val="000000"/>
              </w:rPr>
              <w:lastRenderedPageBreak/>
              <w:t>Grounds for Striking</w:t>
            </w:r>
          </w:p>
        </w:tc>
        <w:tc>
          <w:tcPr>
            <w:tcW w:w="7398" w:type="dxa"/>
            <w:gridSpan w:val="2"/>
            <w:tcBorders>
              <w:top w:val="nil"/>
              <w:left w:val="nil"/>
              <w:bottom w:val="single" w:sz="4" w:space="0" w:color="auto"/>
              <w:right w:val="nil"/>
            </w:tcBorders>
          </w:tcPr>
          <w:p w:rsidR="00E00239" w:rsidRDefault="00C75211">
            <w:pPr>
              <w:tabs>
                <w:tab w:val="left" w:pos="1080"/>
              </w:tabs>
              <w:jc w:val="center"/>
              <w:rPr>
                <w:rFonts w:eastAsia="Calibri"/>
                <w:b/>
                <w:color w:val="000000"/>
              </w:rPr>
            </w:pPr>
            <w:r>
              <w:rPr>
                <w:rFonts w:eastAsia="Calibri"/>
                <w:b/>
                <w:color w:val="000000"/>
              </w:rPr>
              <w:t xml:space="preserve">Location of </w:t>
            </w:r>
            <w:r>
              <w:rPr>
                <w:rFonts w:eastAsia="Calibri"/>
                <w:b/>
                <w:color w:val="000000"/>
              </w:rPr>
              <w:t>Passage to Strike</w:t>
            </w:r>
          </w:p>
        </w:tc>
      </w:tr>
      <w:tr w:rsidR="00E00239">
        <w:tc>
          <w:tcPr>
            <w:tcW w:w="2178" w:type="dxa"/>
            <w:tcBorders>
              <w:top w:val="nil"/>
              <w:left w:val="nil"/>
              <w:bottom w:val="single" w:sz="4" w:space="0" w:color="auto"/>
            </w:tcBorders>
          </w:tcPr>
          <w:p w:rsidR="00E00239" w:rsidRDefault="00E00239">
            <w:pPr>
              <w:tabs>
                <w:tab w:val="left" w:pos="1080"/>
              </w:tabs>
              <w:jc w:val="center"/>
              <w:rPr>
                <w:rFonts w:eastAsia="Calibri"/>
                <w:b/>
                <w:color w:val="000000"/>
              </w:rPr>
            </w:pPr>
          </w:p>
        </w:tc>
        <w:tc>
          <w:tcPr>
            <w:tcW w:w="7398" w:type="dxa"/>
            <w:gridSpan w:val="2"/>
            <w:tcBorders>
              <w:top w:val="single" w:sz="4" w:space="0" w:color="auto"/>
              <w:bottom w:val="single" w:sz="4" w:space="0" w:color="auto"/>
            </w:tcBorders>
          </w:tcPr>
          <w:p w:rsidR="00E00239" w:rsidRDefault="00C75211">
            <w:pPr>
              <w:tabs>
                <w:tab w:val="left" w:pos="1080"/>
              </w:tabs>
              <w:jc w:val="center"/>
              <w:rPr>
                <w:rFonts w:eastAsia="Calibri"/>
                <w:b/>
                <w:color w:val="000000"/>
              </w:rPr>
            </w:pPr>
            <w:r>
              <w:rPr>
                <w:rFonts w:eastAsia="Calibri"/>
                <w:b/>
                <w:color w:val="000000"/>
              </w:rPr>
              <w:t>ROUSH</w:t>
            </w:r>
          </w:p>
        </w:tc>
      </w:tr>
      <w:tr w:rsidR="00E00239">
        <w:tc>
          <w:tcPr>
            <w:tcW w:w="2178" w:type="dxa"/>
            <w:tcBorders>
              <w:bottom w:val="single" w:sz="4" w:space="0" w:color="auto"/>
            </w:tcBorders>
          </w:tcPr>
          <w:p w:rsidR="00E00239" w:rsidRDefault="00C75211">
            <w:pPr>
              <w:tabs>
                <w:tab w:val="left" w:pos="1080"/>
              </w:tabs>
              <w:rPr>
                <w:rFonts w:eastAsia="Calibri"/>
                <w:color w:val="000000"/>
                <w:sz w:val="20"/>
                <w:szCs w:val="20"/>
              </w:rPr>
            </w:pPr>
            <w:r>
              <w:rPr>
                <w:rFonts w:eastAsia="Calibri"/>
                <w:color w:val="000000"/>
                <w:sz w:val="20"/>
                <w:szCs w:val="20"/>
              </w:rPr>
              <w:t>Basis 6 – Improper Citation to Stipulation</w:t>
            </w:r>
          </w:p>
        </w:tc>
        <w:tc>
          <w:tcPr>
            <w:tcW w:w="7398" w:type="dxa"/>
            <w:gridSpan w:val="2"/>
            <w:tcBorders>
              <w:bottom w:val="single" w:sz="4" w:space="0" w:color="auto"/>
            </w:tcBorders>
          </w:tcPr>
          <w:p w:rsidR="00E00239" w:rsidRDefault="00C75211">
            <w:pPr>
              <w:tabs>
                <w:tab w:val="left" w:pos="1080"/>
              </w:tabs>
              <w:rPr>
                <w:rFonts w:eastAsia="Calibri"/>
                <w:color w:val="000000"/>
                <w:sz w:val="20"/>
                <w:szCs w:val="20"/>
              </w:rPr>
            </w:pPr>
            <w:r>
              <w:rPr>
                <w:rFonts w:eastAsia="Calibri"/>
                <w:color w:val="000000"/>
                <w:sz w:val="20"/>
                <w:szCs w:val="20"/>
              </w:rPr>
              <w:t>Roush at page 13, line 19 to line 23, starting with “For example” and ending “Generation Rider.”</w:t>
            </w:r>
          </w:p>
        </w:tc>
      </w:tr>
      <w:tr w:rsidR="00E00239">
        <w:tc>
          <w:tcPr>
            <w:tcW w:w="2178" w:type="dxa"/>
            <w:tcBorders>
              <w:top w:val="single" w:sz="4" w:space="0" w:color="auto"/>
              <w:left w:val="nil"/>
              <w:bottom w:val="nil"/>
              <w:right w:val="nil"/>
            </w:tcBorders>
          </w:tcPr>
          <w:p w:rsidR="00E00239" w:rsidRDefault="00C75211">
            <w:pPr>
              <w:tabs>
                <w:tab w:val="left" w:pos="1080"/>
              </w:tabs>
              <w:jc w:val="center"/>
              <w:rPr>
                <w:rFonts w:eastAsia="Calibri"/>
                <w:color w:val="000000"/>
              </w:rPr>
            </w:pPr>
            <w:r>
              <w:rPr>
                <w:rFonts w:cs="Arial"/>
              </w:rPr>
              <w:br w:type="page"/>
            </w:r>
          </w:p>
        </w:tc>
        <w:tc>
          <w:tcPr>
            <w:tcW w:w="7398" w:type="dxa"/>
            <w:gridSpan w:val="2"/>
            <w:tcBorders>
              <w:top w:val="single" w:sz="4" w:space="0" w:color="auto"/>
              <w:left w:val="nil"/>
              <w:bottom w:val="nil"/>
              <w:right w:val="nil"/>
            </w:tcBorders>
          </w:tcPr>
          <w:p w:rsidR="00E00239" w:rsidRDefault="00E00239">
            <w:pPr>
              <w:tabs>
                <w:tab w:val="left" w:pos="1080"/>
              </w:tabs>
              <w:jc w:val="center"/>
              <w:rPr>
                <w:rFonts w:eastAsia="Calibri"/>
                <w:b/>
                <w:color w:val="000000"/>
              </w:rPr>
            </w:pPr>
          </w:p>
        </w:tc>
      </w:tr>
      <w:tr w:rsidR="00E00239">
        <w:tc>
          <w:tcPr>
            <w:tcW w:w="2178" w:type="dxa"/>
            <w:tcBorders>
              <w:top w:val="nil"/>
              <w:left w:val="nil"/>
              <w:bottom w:val="nil"/>
              <w:right w:val="nil"/>
            </w:tcBorders>
          </w:tcPr>
          <w:p w:rsidR="00E00239" w:rsidRDefault="00E00239">
            <w:pPr>
              <w:tabs>
                <w:tab w:val="left" w:pos="1080"/>
              </w:tabs>
              <w:jc w:val="center"/>
              <w:rPr>
                <w:rFonts w:eastAsia="Calibri"/>
                <w:color w:val="000000"/>
              </w:rPr>
            </w:pPr>
          </w:p>
        </w:tc>
        <w:tc>
          <w:tcPr>
            <w:tcW w:w="7398" w:type="dxa"/>
            <w:gridSpan w:val="2"/>
            <w:tcBorders>
              <w:top w:val="nil"/>
              <w:left w:val="nil"/>
              <w:bottom w:val="single" w:sz="4" w:space="0" w:color="auto"/>
              <w:right w:val="nil"/>
            </w:tcBorders>
          </w:tcPr>
          <w:p w:rsidR="00E00239" w:rsidRDefault="00E00239">
            <w:pPr>
              <w:tabs>
                <w:tab w:val="left" w:pos="1080"/>
              </w:tabs>
              <w:jc w:val="center"/>
              <w:rPr>
                <w:rFonts w:eastAsia="Calibri"/>
                <w:b/>
                <w:color w:val="000000"/>
              </w:rPr>
            </w:pPr>
          </w:p>
          <w:p w:rsidR="00E00239" w:rsidRDefault="00E00239">
            <w:pPr>
              <w:tabs>
                <w:tab w:val="left" w:pos="1080"/>
              </w:tabs>
              <w:jc w:val="center"/>
              <w:rPr>
                <w:rFonts w:eastAsia="Calibri"/>
                <w:b/>
                <w:color w:val="000000"/>
              </w:rPr>
            </w:pPr>
          </w:p>
        </w:tc>
      </w:tr>
      <w:tr w:rsidR="00E00239">
        <w:tc>
          <w:tcPr>
            <w:tcW w:w="2178" w:type="dxa"/>
            <w:tcBorders>
              <w:top w:val="nil"/>
              <w:left w:val="nil"/>
            </w:tcBorders>
          </w:tcPr>
          <w:p w:rsidR="00E00239" w:rsidRDefault="00C75211">
            <w:pPr>
              <w:tabs>
                <w:tab w:val="left" w:pos="1080"/>
              </w:tabs>
              <w:jc w:val="center"/>
              <w:rPr>
                <w:rFonts w:eastAsia="Calibri"/>
                <w:color w:val="000000"/>
              </w:rPr>
            </w:pPr>
            <w:r>
              <w:rPr>
                <w:rFonts w:eastAsia="Calibri"/>
                <w:color w:val="000000"/>
              </w:rPr>
              <w:br w:type="page"/>
            </w:r>
          </w:p>
          <w:p w:rsidR="00E00239" w:rsidRDefault="00E00239">
            <w:pPr>
              <w:tabs>
                <w:tab w:val="left" w:pos="1080"/>
              </w:tabs>
              <w:jc w:val="center"/>
              <w:rPr>
                <w:rFonts w:eastAsia="Calibri"/>
                <w:b/>
                <w:color w:val="000000"/>
              </w:rPr>
            </w:pPr>
          </w:p>
        </w:tc>
        <w:tc>
          <w:tcPr>
            <w:tcW w:w="7398" w:type="dxa"/>
            <w:gridSpan w:val="2"/>
            <w:tcBorders>
              <w:top w:val="single" w:sz="4" w:space="0" w:color="auto"/>
            </w:tcBorders>
          </w:tcPr>
          <w:p w:rsidR="00E00239" w:rsidRDefault="00C75211">
            <w:pPr>
              <w:tabs>
                <w:tab w:val="left" w:pos="1080"/>
              </w:tabs>
              <w:jc w:val="center"/>
              <w:rPr>
                <w:rFonts w:eastAsia="Calibri"/>
                <w:b/>
                <w:color w:val="000000"/>
              </w:rPr>
            </w:pPr>
            <w:r>
              <w:rPr>
                <w:rFonts w:eastAsia="Calibri"/>
                <w:b/>
                <w:color w:val="000000"/>
              </w:rPr>
              <w:t>THOMAS</w:t>
            </w:r>
          </w:p>
        </w:tc>
      </w:tr>
      <w:tr w:rsidR="00E00239">
        <w:tc>
          <w:tcPr>
            <w:tcW w:w="2178" w:type="dxa"/>
            <w:vAlign w:val="center"/>
          </w:tcPr>
          <w:p w:rsidR="00E00239" w:rsidRDefault="00C75211">
            <w:pPr>
              <w:tabs>
                <w:tab w:val="left" w:pos="1080"/>
              </w:tabs>
              <w:jc w:val="center"/>
              <w:rPr>
                <w:rFonts w:eastAsia="Calibri"/>
                <w:color w:val="000000"/>
              </w:rPr>
            </w:pPr>
            <w:r>
              <w:rPr>
                <w:rFonts w:eastAsia="Calibri"/>
                <w:color w:val="000000"/>
                <w:sz w:val="20"/>
                <w:szCs w:val="20"/>
              </w:rPr>
              <w:t>Basis 1 – Illegal Capacity Charges</w:t>
            </w:r>
          </w:p>
        </w:tc>
        <w:tc>
          <w:tcPr>
            <w:tcW w:w="7398" w:type="dxa"/>
            <w:gridSpan w:val="2"/>
            <w:vAlign w:val="center"/>
          </w:tcPr>
          <w:p w:rsidR="00E00239" w:rsidRDefault="00C75211">
            <w:pPr>
              <w:tabs>
                <w:tab w:val="left" w:pos="1080"/>
              </w:tabs>
              <w:rPr>
                <w:rFonts w:eastAsia="Calibri"/>
                <w:color w:val="000000"/>
                <w:sz w:val="20"/>
                <w:szCs w:val="20"/>
              </w:rPr>
            </w:pPr>
            <w:r>
              <w:rPr>
                <w:rFonts w:eastAsia="Calibri"/>
                <w:color w:val="000000"/>
                <w:sz w:val="20"/>
                <w:szCs w:val="20"/>
              </w:rPr>
              <w:t xml:space="preserve">Thomas at 3, line 8 “Full Cost </w:t>
            </w:r>
            <w:r>
              <w:rPr>
                <w:rFonts w:eastAsia="Calibri"/>
                <w:color w:val="000000"/>
                <w:sz w:val="20"/>
                <w:szCs w:val="20"/>
              </w:rPr>
              <w:t>Capacity”</w:t>
            </w:r>
          </w:p>
        </w:tc>
      </w:tr>
      <w:tr w:rsidR="00E00239">
        <w:tc>
          <w:tcPr>
            <w:tcW w:w="2178" w:type="dxa"/>
            <w:vAlign w:val="center"/>
          </w:tcPr>
          <w:p w:rsidR="00E00239" w:rsidRDefault="00C75211">
            <w:pPr>
              <w:tabs>
                <w:tab w:val="left" w:pos="1080"/>
              </w:tabs>
              <w:jc w:val="center"/>
              <w:rPr>
                <w:rFonts w:eastAsia="Calibri"/>
                <w:color w:val="000000"/>
              </w:rPr>
            </w:pPr>
            <w:r>
              <w:rPr>
                <w:rFonts w:eastAsia="Calibri"/>
                <w:color w:val="000000"/>
                <w:sz w:val="20"/>
                <w:szCs w:val="20"/>
              </w:rPr>
              <w:t>Basis 1 – Illegal Capacity Charges</w:t>
            </w:r>
          </w:p>
        </w:tc>
        <w:tc>
          <w:tcPr>
            <w:tcW w:w="7398" w:type="dxa"/>
            <w:gridSpan w:val="2"/>
            <w:vAlign w:val="center"/>
          </w:tcPr>
          <w:p w:rsidR="00E00239" w:rsidRDefault="00C75211">
            <w:pPr>
              <w:tabs>
                <w:tab w:val="left" w:pos="1080"/>
              </w:tabs>
              <w:rPr>
                <w:rFonts w:eastAsia="Calibri"/>
                <w:color w:val="000000"/>
                <w:sz w:val="20"/>
                <w:szCs w:val="20"/>
              </w:rPr>
            </w:pPr>
            <w:r>
              <w:rPr>
                <w:rFonts w:eastAsia="Calibri"/>
                <w:color w:val="000000"/>
                <w:sz w:val="20"/>
                <w:szCs w:val="20"/>
              </w:rPr>
              <w:t>Thomas at 3 line 23 to page 4, line 31, starting with “recognition” and ending “FRR”)</w:t>
            </w:r>
          </w:p>
        </w:tc>
      </w:tr>
      <w:tr w:rsidR="00E00239">
        <w:tc>
          <w:tcPr>
            <w:tcW w:w="2178" w:type="dxa"/>
            <w:vAlign w:val="center"/>
          </w:tcPr>
          <w:p w:rsidR="00E00239" w:rsidRDefault="00C75211">
            <w:pPr>
              <w:tabs>
                <w:tab w:val="left" w:pos="1080"/>
              </w:tabs>
              <w:jc w:val="center"/>
              <w:rPr>
                <w:rFonts w:eastAsia="Calibri"/>
                <w:color w:val="000000"/>
              </w:rPr>
            </w:pPr>
            <w:r>
              <w:rPr>
                <w:rFonts w:eastAsia="Calibri"/>
                <w:color w:val="000000"/>
                <w:sz w:val="20"/>
                <w:szCs w:val="20"/>
              </w:rPr>
              <w:t>Basis 1 – Illegal Capacity Charges</w:t>
            </w:r>
          </w:p>
        </w:tc>
        <w:tc>
          <w:tcPr>
            <w:tcW w:w="7398" w:type="dxa"/>
            <w:gridSpan w:val="2"/>
            <w:vAlign w:val="center"/>
          </w:tcPr>
          <w:p w:rsidR="00E00239" w:rsidRDefault="00C75211">
            <w:pPr>
              <w:tabs>
                <w:tab w:val="left" w:pos="1080"/>
              </w:tabs>
              <w:rPr>
                <w:rFonts w:eastAsia="Calibri"/>
                <w:color w:val="000000"/>
                <w:sz w:val="20"/>
                <w:szCs w:val="20"/>
              </w:rPr>
            </w:pPr>
            <w:r>
              <w:rPr>
                <w:rFonts w:eastAsia="Calibri"/>
                <w:color w:val="000000"/>
                <w:sz w:val="20"/>
                <w:szCs w:val="20"/>
              </w:rPr>
              <w:t>Thomas at 4, line 19 to 22, starting with “As discussed” and ending “for customers.”</w:t>
            </w:r>
          </w:p>
        </w:tc>
      </w:tr>
      <w:tr w:rsidR="00E00239">
        <w:tc>
          <w:tcPr>
            <w:tcW w:w="2178" w:type="dxa"/>
            <w:vAlign w:val="center"/>
          </w:tcPr>
          <w:p w:rsidR="00E00239" w:rsidRDefault="00C75211">
            <w:pPr>
              <w:tabs>
                <w:tab w:val="left" w:pos="1080"/>
              </w:tabs>
              <w:jc w:val="center"/>
              <w:rPr>
                <w:rFonts w:eastAsia="Calibri"/>
                <w:color w:val="000000"/>
                <w:sz w:val="20"/>
                <w:szCs w:val="20"/>
              </w:rPr>
            </w:pPr>
            <w:r>
              <w:rPr>
                <w:rFonts w:eastAsia="Calibri"/>
                <w:color w:val="000000"/>
                <w:sz w:val="20"/>
                <w:szCs w:val="20"/>
              </w:rPr>
              <w:t>Basis 1 – Illegal Capacity Charges</w:t>
            </w:r>
          </w:p>
          <w:p w:rsidR="00E00239" w:rsidRDefault="00E00239">
            <w:pPr>
              <w:tabs>
                <w:tab w:val="left" w:pos="1080"/>
              </w:tabs>
              <w:jc w:val="center"/>
              <w:rPr>
                <w:rFonts w:eastAsia="Calibri"/>
                <w:color w:val="000000"/>
                <w:sz w:val="20"/>
                <w:szCs w:val="20"/>
              </w:rPr>
            </w:pPr>
          </w:p>
          <w:p w:rsidR="00E00239" w:rsidRDefault="00C75211">
            <w:pPr>
              <w:tabs>
                <w:tab w:val="left" w:pos="1080"/>
              </w:tabs>
              <w:jc w:val="center"/>
              <w:rPr>
                <w:rFonts w:eastAsia="Calibri"/>
                <w:color w:val="000000"/>
                <w:sz w:val="20"/>
                <w:szCs w:val="20"/>
              </w:rPr>
            </w:pPr>
            <w:r>
              <w:rPr>
                <w:rFonts w:eastAsia="Calibri"/>
                <w:color w:val="000000"/>
                <w:sz w:val="20"/>
                <w:szCs w:val="20"/>
              </w:rPr>
              <w:t>Basis 2 – Corporate Separation Not at Issue</w:t>
            </w:r>
          </w:p>
          <w:p w:rsidR="00E00239" w:rsidRDefault="00E00239">
            <w:pPr>
              <w:tabs>
                <w:tab w:val="left" w:pos="1080"/>
              </w:tabs>
              <w:jc w:val="center"/>
              <w:rPr>
                <w:rFonts w:eastAsia="Calibri"/>
                <w:color w:val="000000"/>
              </w:rPr>
            </w:pPr>
          </w:p>
          <w:p w:rsidR="00E00239" w:rsidRDefault="00C75211">
            <w:pPr>
              <w:tabs>
                <w:tab w:val="left" w:pos="1080"/>
              </w:tabs>
              <w:jc w:val="center"/>
              <w:rPr>
                <w:rFonts w:eastAsia="Calibri"/>
                <w:color w:val="000000"/>
              </w:rPr>
            </w:pPr>
            <w:r>
              <w:rPr>
                <w:rFonts w:eastAsia="Calibri"/>
                <w:color w:val="000000"/>
                <w:sz w:val="20"/>
                <w:szCs w:val="20"/>
              </w:rPr>
              <w:t>Basis 3 – Illegal Pool Termination Rider</w:t>
            </w:r>
          </w:p>
        </w:tc>
        <w:tc>
          <w:tcPr>
            <w:tcW w:w="7398" w:type="dxa"/>
            <w:gridSpan w:val="2"/>
            <w:vAlign w:val="center"/>
          </w:tcPr>
          <w:p w:rsidR="00E00239" w:rsidRDefault="00C75211">
            <w:pPr>
              <w:tabs>
                <w:tab w:val="left" w:pos="1080"/>
              </w:tabs>
              <w:rPr>
                <w:rFonts w:eastAsia="Calibri"/>
                <w:color w:val="000000"/>
                <w:sz w:val="20"/>
                <w:szCs w:val="20"/>
              </w:rPr>
            </w:pPr>
            <w:r>
              <w:rPr>
                <w:rFonts w:eastAsia="Calibri"/>
                <w:color w:val="000000"/>
                <w:sz w:val="20"/>
                <w:szCs w:val="20"/>
              </w:rPr>
              <w:t>Thomas at page 5, lines 17 to 22, starting with “Company’s FRR” and ending “corporate separation”</w:t>
            </w:r>
          </w:p>
        </w:tc>
      </w:tr>
      <w:tr w:rsidR="00E00239">
        <w:tc>
          <w:tcPr>
            <w:tcW w:w="2178" w:type="dxa"/>
            <w:vAlign w:val="center"/>
          </w:tcPr>
          <w:p w:rsidR="00E00239" w:rsidRDefault="00C75211">
            <w:pPr>
              <w:tabs>
                <w:tab w:val="left" w:pos="1080"/>
              </w:tabs>
              <w:jc w:val="center"/>
              <w:rPr>
                <w:rFonts w:eastAsia="Calibri"/>
                <w:color w:val="000000"/>
                <w:sz w:val="20"/>
                <w:szCs w:val="20"/>
              </w:rPr>
            </w:pPr>
            <w:r>
              <w:rPr>
                <w:rFonts w:eastAsia="Calibri"/>
                <w:color w:val="000000"/>
                <w:sz w:val="20"/>
                <w:szCs w:val="20"/>
              </w:rPr>
              <w:t>Basis 1 – Illegal Capacity Charges</w:t>
            </w:r>
          </w:p>
        </w:tc>
        <w:tc>
          <w:tcPr>
            <w:tcW w:w="7398" w:type="dxa"/>
            <w:gridSpan w:val="2"/>
            <w:vAlign w:val="center"/>
          </w:tcPr>
          <w:p w:rsidR="00E00239" w:rsidRDefault="00C75211">
            <w:pPr>
              <w:tabs>
                <w:tab w:val="left" w:pos="1080"/>
              </w:tabs>
              <w:rPr>
                <w:rFonts w:eastAsia="Calibri"/>
                <w:color w:val="000000"/>
                <w:sz w:val="20"/>
                <w:szCs w:val="20"/>
              </w:rPr>
            </w:pPr>
            <w:r>
              <w:rPr>
                <w:rFonts w:eastAsia="Calibri"/>
                <w:color w:val="000000"/>
                <w:sz w:val="20"/>
                <w:szCs w:val="20"/>
              </w:rPr>
              <w:t>Thomas at 6 line 18 to 19, starting “the quantifiable” and ending “$960 million.”</w:t>
            </w:r>
          </w:p>
        </w:tc>
      </w:tr>
      <w:tr w:rsidR="00E00239">
        <w:tc>
          <w:tcPr>
            <w:tcW w:w="2178" w:type="dxa"/>
            <w:vAlign w:val="center"/>
          </w:tcPr>
          <w:p w:rsidR="00E00239" w:rsidRDefault="00C75211">
            <w:pPr>
              <w:tabs>
                <w:tab w:val="left" w:pos="1080"/>
              </w:tabs>
              <w:jc w:val="center"/>
              <w:rPr>
                <w:rFonts w:eastAsia="Calibri"/>
                <w:color w:val="000000"/>
                <w:sz w:val="20"/>
                <w:szCs w:val="20"/>
              </w:rPr>
            </w:pPr>
            <w:r>
              <w:rPr>
                <w:rFonts w:eastAsia="Calibri"/>
                <w:color w:val="000000"/>
                <w:sz w:val="20"/>
                <w:szCs w:val="20"/>
              </w:rPr>
              <w:t>Basis 1 – Illegal Capacity Charges</w:t>
            </w:r>
          </w:p>
        </w:tc>
        <w:tc>
          <w:tcPr>
            <w:tcW w:w="7398" w:type="dxa"/>
            <w:gridSpan w:val="2"/>
            <w:vAlign w:val="center"/>
          </w:tcPr>
          <w:p w:rsidR="00E00239" w:rsidRDefault="00C75211">
            <w:pPr>
              <w:tabs>
                <w:tab w:val="left" w:pos="1080"/>
              </w:tabs>
              <w:rPr>
                <w:rFonts w:eastAsia="Calibri"/>
                <w:color w:val="000000"/>
                <w:sz w:val="20"/>
                <w:szCs w:val="20"/>
              </w:rPr>
            </w:pPr>
            <w:r>
              <w:rPr>
                <w:rFonts w:eastAsia="Calibri"/>
                <w:color w:val="000000"/>
                <w:sz w:val="20"/>
                <w:szCs w:val="20"/>
              </w:rPr>
              <w:t>Thomas at 10, line 3 to 4 starting with “but also” ending “period”</w:t>
            </w:r>
          </w:p>
        </w:tc>
      </w:tr>
      <w:tr w:rsidR="00E00239">
        <w:trPr>
          <w:trHeight w:val="557"/>
        </w:trPr>
        <w:tc>
          <w:tcPr>
            <w:tcW w:w="2178" w:type="dxa"/>
            <w:vAlign w:val="center"/>
          </w:tcPr>
          <w:p w:rsidR="00E00239" w:rsidRDefault="00C75211">
            <w:pPr>
              <w:tabs>
                <w:tab w:val="left" w:pos="1080"/>
              </w:tabs>
              <w:jc w:val="center"/>
              <w:rPr>
                <w:rFonts w:eastAsia="Calibri"/>
                <w:color w:val="000000"/>
              </w:rPr>
            </w:pPr>
            <w:r>
              <w:rPr>
                <w:rFonts w:eastAsia="Calibri"/>
                <w:color w:val="000000"/>
                <w:sz w:val="20"/>
                <w:szCs w:val="20"/>
              </w:rPr>
              <w:t>Basis 1 – Illegal Capacity Charges</w:t>
            </w:r>
          </w:p>
        </w:tc>
        <w:tc>
          <w:tcPr>
            <w:tcW w:w="7398" w:type="dxa"/>
            <w:gridSpan w:val="2"/>
            <w:vAlign w:val="center"/>
          </w:tcPr>
          <w:p w:rsidR="00E00239" w:rsidRDefault="00C75211">
            <w:pPr>
              <w:tabs>
                <w:tab w:val="left" w:pos="1080"/>
              </w:tabs>
              <w:rPr>
                <w:rFonts w:eastAsia="Calibri"/>
                <w:color w:val="000000"/>
                <w:sz w:val="20"/>
                <w:szCs w:val="20"/>
              </w:rPr>
            </w:pPr>
            <w:r>
              <w:rPr>
                <w:rFonts w:eastAsia="Calibri"/>
                <w:color w:val="000000"/>
                <w:sz w:val="20"/>
                <w:szCs w:val="20"/>
              </w:rPr>
              <w:t xml:space="preserve">Thomas at 15 line 5 to line 12, </w:t>
            </w:r>
            <w:r>
              <w:rPr>
                <w:rFonts w:eastAsia="Calibri"/>
                <w:color w:val="000000"/>
                <w:sz w:val="20"/>
                <w:szCs w:val="20"/>
              </w:rPr>
              <w:t>starting with “during the period” and ending “that capacity obligation”</w:t>
            </w:r>
          </w:p>
        </w:tc>
      </w:tr>
      <w:tr w:rsidR="00E00239">
        <w:tc>
          <w:tcPr>
            <w:tcW w:w="2178" w:type="dxa"/>
          </w:tcPr>
          <w:p w:rsidR="00E00239" w:rsidRDefault="00C75211">
            <w:pPr>
              <w:tabs>
                <w:tab w:val="left" w:pos="1080"/>
              </w:tabs>
              <w:jc w:val="center"/>
              <w:rPr>
                <w:rFonts w:eastAsia="Calibri"/>
                <w:color w:val="000000"/>
              </w:rPr>
            </w:pPr>
            <w:r>
              <w:rPr>
                <w:rFonts w:eastAsia="Calibri"/>
                <w:color w:val="000000"/>
                <w:sz w:val="20"/>
                <w:szCs w:val="20"/>
              </w:rPr>
              <w:t>Basis 1 – Illegal Capacity Charges</w:t>
            </w:r>
          </w:p>
        </w:tc>
        <w:tc>
          <w:tcPr>
            <w:tcW w:w="7398" w:type="dxa"/>
            <w:gridSpan w:val="2"/>
            <w:vAlign w:val="center"/>
          </w:tcPr>
          <w:p w:rsidR="00E00239" w:rsidRDefault="00C75211">
            <w:pPr>
              <w:tabs>
                <w:tab w:val="left" w:pos="1080"/>
              </w:tabs>
              <w:rPr>
                <w:rFonts w:eastAsia="Calibri"/>
                <w:color w:val="000000"/>
                <w:sz w:val="20"/>
                <w:szCs w:val="20"/>
              </w:rPr>
            </w:pPr>
            <w:r>
              <w:rPr>
                <w:rFonts w:eastAsia="Calibri"/>
                <w:color w:val="000000"/>
                <w:sz w:val="20"/>
                <w:szCs w:val="20"/>
              </w:rPr>
              <w:t>Thomas at 15, line 15 through page 16 line 8 (including the chart)</w:t>
            </w:r>
          </w:p>
        </w:tc>
      </w:tr>
      <w:tr w:rsidR="00E00239">
        <w:tc>
          <w:tcPr>
            <w:tcW w:w="2178" w:type="dxa"/>
          </w:tcPr>
          <w:p w:rsidR="00E00239" w:rsidRDefault="00C75211">
            <w:pPr>
              <w:tabs>
                <w:tab w:val="left" w:pos="1080"/>
              </w:tabs>
              <w:jc w:val="center"/>
              <w:rPr>
                <w:rFonts w:eastAsia="Calibri"/>
                <w:color w:val="000000"/>
              </w:rPr>
            </w:pPr>
            <w:r>
              <w:rPr>
                <w:rFonts w:eastAsia="Calibri"/>
                <w:color w:val="000000"/>
                <w:sz w:val="20"/>
                <w:szCs w:val="20"/>
              </w:rPr>
              <w:t>Basis 1 – Illegal Capacity Charges</w:t>
            </w:r>
          </w:p>
        </w:tc>
        <w:tc>
          <w:tcPr>
            <w:tcW w:w="7398" w:type="dxa"/>
            <w:gridSpan w:val="2"/>
            <w:vAlign w:val="center"/>
          </w:tcPr>
          <w:p w:rsidR="00E00239" w:rsidRDefault="00C75211">
            <w:pPr>
              <w:tabs>
                <w:tab w:val="left" w:pos="1080"/>
              </w:tabs>
              <w:rPr>
                <w:rFonts w:eastAsia="Calibri"/>
                <w:color w:val="000000"/>
                <w:sz w:val="20"/>
                <w:szCs w:val="20"/>
              </w:rPr>
            </w:pPr>
            <w:r>
              <w:rPr>
                <w:rFonts w:eastAsia="Calibri"/>
                <w:color w:val="000000"/>
                <w:sz w:val="20"/>
                <w:szCs w:val="20"/>
              </w:rPr>
              <w:t>Thomas at 17 line 12 “$62.17/MWH”</w:t>
            </w:r>
          </w:p>
        </w:tc>
      </w:tr>
      <w:tr w:rsidR="00E00239">
        <w:tc>
          <w:tcPr>
            <w:tcW w:w="2178" w:type="dxa"/>
          </w:tcPr>
          <w:p w:rsidR="00E00239" w:rsidRDefault="00C75211">
            <w:pPr>
              <w:tabs>
                <w:tab w:val="left" w:pos="1080"/>
              </w:tabs>
              <w:jc w:val="center"/>
              <w:rPr>
                <w:rFonts w:eastAsia="Calibri"/>
                <w:color w:val="000000"/>
              </w:rPr>
            </w:pPr>
            <w:r>
              <w:rPr>
                <w:rFonts w:eastAsia="Calibri"/>
                <w:color w:val="000000"/>
                <w:sz w:val="20"/>
                <w:szCs w:val="20"/>
              </w:rPr>
              <w:t xml:space="preserve">Basis 1 – </w:t>
            </w:r>
            <w:r>
              <w:rPr>
                <w:rFonts w:eastAsia="Calibri"/>
                <w:color w:val="000000"/>
                <w:sz w:val="20"/>
                <w:szCs w:val="20"/>
              </w:rPr>
              <w:t>Illegal Capacity Charges</w:t>
            </w:r>
          </w:p>
        </w:tc>
        <w:tc>
          <w:tcPr>
            <w:tcW w:w="7398" w:type="dxa"/>
            <w:gridSpan w:val="2"/>
            <w:vAlign w:val="center"/>
          </w:tcPr>
          <w:p w:rsidR="00E00239" w:rsidRDefault="00C75211">
            <w:pPr>
              <w:tabs>
                <w:tab w:val="left" w:pos="1080"/>
              </w:tabs>
              <w:rPr>
                <w:rFonts w:eastAsia="Calibri"/>
                <w:color w:val="000000"/>
                <w:sz w:val="20"/>
                <w:szCs w:val="20"/>
              </w:rPr>
            </w:pPr>
            <w:r>
              <w:rPr>
                <w:rFonts w:eastAsia="Calibri"/>
                <w:color w:val="000000"/>
                <w:sz w:val="20"/>
                <w:szCs w:val="20"/>
              </w:rPr>
              <w:t>Thomas at 17 line 23 “$65.39/MWH”</w:t>
            </w:r>
          </w:p>
        </w:tc>
      </w:tr>
      <w:tr w:rsidR="00E00239">
        <w:tc>
          <w:tcPr>
            <w:tcW w:w="2178" w:type="dxa"/>
          </w:tcPr>
          <w:p w:rsidR="00E00239" w:rsidRDefault="00C75211">
            <w:pPr>
              <w:tabs>
                <w:tab w:val="left" w:pos="1080"/>
              </w:tabs>
              <w:jc w:val="center"/>
              <w:rPr>
                <w:rFonts w:eastAsia="Calibri"/>
                <w:color w:val="000000"/>
              </w:rPr>
            </w:pPr>
            <w:r>
              <w:rPr>
                <w:rFonts w:eastAsia="Calibri"/>
                <w:color w:val="000000"/>
                <w:sz w:val="20"/>
                <w:szCs w:val="20"/>
              </w:rPr>
              <w:t>Basis 1 – Illegal Capacity Charges</w:t>
            </w:r>
          </w:p>
        </w:tc>
        <w:tc>
          <w:tcPr>
            <w:tcW w:w="7398" w:type="dxa"/>
            <w:gridSpan w:val="2"/>
            <w:vAlign w:val="center"/>
          </w:tcPr>
          <w:p w:rsidR="00E00239" w:rsidRDefault="00C75211">
            <w:pPr>
              <w:tabs>
                <w:tab w:val="left" w:pos="1080"/>
              </w:tabs>
              <w:rPr>
                <w:rFonts w:eastAsia="Calibri"/>
                <w:color w:val="000000"/>
                <w:sz w:val="20"/>
                <w:szCs w:val="20"/>
              </w:rPr>
            </w:pPr>
            <w:r>
              <w:rPr>
                <w:rFonts w:eastAsia="Calibri"/>
                <w:color w:val="000000"/>
                <w:sz w:val="20"/>
                <w:szCs w:val="20"/>
              </w:rPr>
              <w:t>Thomas at 18 line 3 “$63.62/MWH”</w:t>
            </w:r>
          </w:p>
        </w:tc>
      </w:tr>
      <w:tr w:rsidR="00E00239">
        <w:tc>
          <w:tcPr>
            <w:tcW w:w="2178" w:type="dxa"/>
          </w:tcPr>
          <w:p w:rsidR="00E00239" w:rsidRDefault="00C75211">
            <w:pPr>
              <w:tabs>
                <w:tab w:val="left" w:pos="1080"/>
              </w:tabs>
              <w:jc w:val="center"/>
              <w:rPr>
                <w:rFonts w:eastAsia="Calibri"/>
                <w:color w:val="000000"/>
              </w:rPr>
            </w:pPr>
            <w:r>
              <w:rPr>
                <w:rFonts w:eastAsia="Calibri"/>
                <w:color w:val="000000"/>
                <w:sz w:val="20"/>
                <w:szCs w:val="20"/>
              </w:rPr>
              <w:t>Basis 1 – Illegal Capacity Charges</w:t>
            </w:r>
          </w:p>
        </w:tc>
        <w:tc>
          <w:tcPr>
            <w:tcW w:w="7398" w:type="dxa"/>
            <w:gridSpan w:val="2"/>
            <w:vAlign w:val="center"/>
          </w:tcPr>
          <w:p w:rsidR="00E00239" w:rsidRDefault="00C75211">
            <w:pPr>
              <w:tabs>
                <w:tab w:val="left" w:pos="1080"/>
              </w:tabs>
              <w:rPr>
                <w:rFonts w:eastAsia="Calibri"/>
                <w:color w:val="000000"/>
                <w:sz w:val="20"/>
                <w:szCs w:val="20"/>
              </w:rPr>
            </w:pPr>
            <w:r>
              <w:rPr>
                <w:rFonts w:eastAsia="Calibri"/>
                <w:color w:val="000000"/>
                <w:sz w:val="20"/>
                <w:szCs w:val="20"/>
              </w:rPr>
              <w:t>Thomas at 20 line 7 to 14 starting “this result” and ending “at page 44).”</w:t>
            </w:r>
          </w:p>
        </w:tc>
      </w:tr>
      <w:tr w:rsidR="00E00239">
        <w:tc>
          <w:tcPr>
            <w:tcW w:w="2178" w:type="dxa"/>
          </w:tcPr>
          <w:p w:rsidR="00E00239" w:rsidRDefault="00C75211">
            <w:pPr>
              <w:tabs>
                <w:tab w:val="left" w:pos="1080"/>
              </w:tabs>
              <w:jc w:val="center"/>
              <w:rPr>
                <w:rFonts w:eastAsia="Calibri"/>
                <w:color w:val="000000"/>
              </w:rPr>
            </w:pPr>
            <w:r>
              <w:rPr>
                <w:rFonts w:eastAsia="Calibri"/>
                <w:color w:val="000000"/>
                <w:sz w:val="20"/>
                <w:szCs w:val="20"/>
              </w:rPr>
              <w:t xml:space="preserve">Basis 1 – </w:t>
            </w:r>
            <w:r>
              <w:rPr>
                <w:rFonts w:eastAsia="Calibri"/>
                <w:color w:val="000000"/>
                <w:sz w:val="20"/>
                <w:szCs w:val="20"/>
              </w:rPr>
              <w:t>Illegal Capacity Charges</w:t>
            </w:r>
          </w:p>
        </w:tc>
        <w:tc>
          <w:tcPr>
            <w:tcW w:w="7398" w:type="dxa"/>
            <w:gridSpan w:val="2"/>
            <w:vAlign w:val="center"/>
          </w:tcPr>
          <w:p w:rsidR="00E00239" w:rsidRDefault="00C75211">
            <w:pPr>
              <w:tabs>
                <w:tab w:val="left" w:pos="1080"/>
              </w:tabs>
              <w:rPr>
                <w:rFonts w:eastAsia="Calibri"/>
                <w:color w:val="000000"/>
                <w:sz w:val="20"/>
                <w:szCs w:val="20"/>
              </w:rPr>
            </w:pPr>
            <w:r>
              <w:rPr>
                <w:rFonts w:eastAsia="Calibri"/>
                <w:color w:val="000000"/>
                <w:sz w:val="20"/>
                <w:szCs w:val="20"/>
              </w:rPr>
              <w:t>Thomas at 21, Table 3</w:t>
            </w:r>
          </w:p>
        </w:tc>
      </w:tr>
      <w:tr w:rsidR="00E00239">
        <w:tc>
          <w:tcPr>
            <w:tcW w:w="2178" w:type="dxa"/>
          </w:tcPr>
          <w:p w:rsidR="00E00239" w:rsidRDefault="00C75211">
            <w:pPr>
              <w:tabs>
                <w:tab w:val="left" w:pos="1080"/>
              </w:tabs>
              <w:jc w:val="center"/>
              <w:rPr>
                <w:rFonts w:eastAsia="Calibri"/>
                <w:color w:val="000000"/>
              </w:rPr>
            </w:pPr>
            <w:r>
              <w:rPr>
                <w:rFonts w:eastAsia="Calibri"/>
                <w:color w:val="000000"/>
                <w:sz w:val="20"/>
                <w:szCs w:val="20"/>
              </w:rPr>
              <w:t>Basis 1 – Illegal Capacity Charges</w:t>
            </w:r>
          </w:p>
        </w:tc>
        <w:tc>
          <w:tcPr>
            <w:tcW w:w="7398" w:type="dxa"/>
            <w:gridSpan w:val="2"/>
            <w:vAlign w:val="center"/>
          </w:tcPr>
          <w:p w:rsidR="00E00239" w:rsidRDefault="00C75211">
            <w:pPr>
              <w:tabs>
                <w:tab w:val="left" w:pos="1080"/>
              </w:tabs>
              <w:rPr>
                <w:rFonts w:eastAsia="Calibri"/>
                <w:color w:val="000000"/>
                <w:sz w:val="20"/>
                <w:szCs w:val="20"/>
              </w:rPr>
            </w:pPr>
            <w:r>
              <w:rPr>
                <w:rFonts w:eastAsia="Calibri"/>
                <w:color w:val="000000"/>
                <w:sz w:val="20"/>
                <w:szCs w:val="20"/>
              </w:rPr>
              <w:t>Thomas at 21 line 15 to line 16, starting “$1.77/MWH” and ending :$265 million”</w:t>
            </w:r>
          </w:p>
        </w:tc>
      </w:tr>
      <w:tr w:rsidR="00E00239">
        <w:tc>
          <w:tcPr>
            <w:tcW w:w="2178" w:type="dxa"/>
          </w:tcPr>
          <w:p w:rsidR="00E00239" w:rsidRDefault="00C75211">
            <w:pPr>
              <w:tabs>
                <w:tab w:val="left" w:pos="1080"/>
              </w:tabs>
              <w:jc w:val="center"/>
              <w:rPr>
                <w:rFonts w:eastAsia="Calibri"/>
                <w:color w:val="000000"/>
              </w:rPr>
            </w:pPr>
            <w:r>
              <w:rPr>
                <w:rFonts w:eastAsia="Calibri"/>
                <w:color w:val="000000"/>
                <w:sz w:val="20"/>
                <w:szCs w:val="20"/>
              </w:rPr>
              <w:t>Basis 1 – Illegal Capacity Charges</w:t>
            </w:r>
          </w:p>
        </w:tc>
        <w:tc>
          <w:tcPr>
            <w:tcW w:w="7398" w:type="dxa"/>
            <w:gridSpan w:val="2"/>
            <w:vAlign w:val="center"/>
          </w:tcPr>
          <w:p w:rsidR="00E00239" w:rsidRDefault="00C75211">
            <w:pPr>
              <w:tabs>
                <w:tab w:val="left" w:pos="1080"/>
              </w:tabs>
              <w:rPr>
                <w:rFonts w:eastAsia="Calibri"/>
                <w:color w:val="000000"/>
                <w:sz w:val="20"/>
                <w:szCs w:val="20"/>
              </w:rPr>
            </w:pPr>
            <w:r>
              <w:rPr>
                <w:rFonts w:eastAsia="Calibri"/>
                <w:color w:val="000000"/>
                <w:sz w:val="20"/>
                <w:szCs w:val="20"/>
              </w:rPr>
              <w:t xml:space="preserve">Thomas at 21 line 19 to page 22 line 12, starting “while </w:t>
            </w:r>
            <w:r>
              <w:rPr>
                <w:rFonts w:eastAsia="Calibri"/>
                <w:color w:val="000000"/>
                <w:sz w:val="20"/>
                <w:szCs w:val="20"/>
              </w:rPr>
              <w:t>exhibit” and ending “would apply”</w:t>
            </w:r>
          </w:p>
        </w:tc>
      </w:tr>
      <w:tr w:rsidR="00E00239">
        <w:tc>
          <w:tcPr>
            <w:tcW w:w="2178" w:type="dxa"/>
            <w:tcBorders>
              <w:bottom w:val="single" w:sz="4" w:space="0" w:color="auto"/>
            </w:tcBorders>
          </w:tcPr>
          <w:p w:rsidR="00E00239" w:rsidRDefault="00C75211">
            <w:pPr>
              <w:tabs>
                <w:tab w:val="left" w:pos="1080"/>
              </w:tabs>
              <w:jc w:val="center"/>
              <w:rPr>
                <w:rFonts w:eastAsia="Calibri"/>
                <w:color w:val="000000"/>
              </w:rPr>
            </w:pPr>
            <w:r>
              <w:rPr>
                <w:rFonts w:eastAsia="Calibri"/>
                <w:color w:val="000000"/>
                <w:sz w:val="20"/>
                <w:szCs w:val="20"/>
              </w:rPr>
              <w:t>Basis 1 – Illegal Capacity Charges</w:t>
            </w:r>
          </w:p>
        </w:tc>
        <w:tc>
          <w:tcPr>
            <w:tcW w:w="7398" w:type="dxa"/>
            <w:gridSpan w:val="2"/>
            <w:tcBorders>
              <w:bottom w:val="single" w:sz="4" w:space="0" w:color="auto"/>
            </w:tcBorders>
            <w:vAlign w:val="center"/>
          </w:tcPr>
          <w:p w:rsidR="00E00239" w:rsidRDefault="00C75211">
            <w:pPr>
              <w:tabs>
                <w:tab w:val="left" w:pos="1080"/>
              </w:tabs>
              <w:rPr>
                <w:rFonts w:eastAsia="Calibri"/>
                <w:color w:val="000000"/>
                <w:sz w:val="20"/>
                <w:szCs w:val="20"/>
              </w:rPr>
            </w:pPr>
            <w:r>
              <w:rPr>
                <w:rFonts w:eastAsia="Calibri"/>
                <w:color w:val="000000"/>
                <w:sz w:val="20"/>
                <w:szCs w:val="20"/>
              </w:rPr>
              <w:t>Thomas at LJT-1 page 1, rows one and two, labeled “MRO Price Test” and “Discounted, tiered capacity pricing for CRES providers”</w:t>
            </w:r>
          </w:p>
        </w:tc>
      </w:tr>
      <w:tr w:rsidR="00E00239">
        <w:tc>
          <w:tcPr>
            <w:tcW w:w="2178" w:type="dxa"/>
            <w:tcBorders>
              <w:bottom w:val="single" w:sz="4" w:space="0" w:color="auto"/>
            </w:tcBorders>
          </w:tcPr>
          <w:p w:rsidR="00E00239" w:rsidRDefault="00C75211">
            <w:pPr>
              <w:tabs>
                <w:tab w:val="left" w:pos="1080"/>
              </w:tabs>
              <w:jc w:val="center"/>
              <w:rPr>
                <w:rFonts w:eastAsia="Calibri"/>
                <w:color w:val="000000"/>
                <w:sz w:val="20"/>
                <w:szCs w:val="20"/>
              </w:rPr>
            </w:pPr>
            <w:r>
              <w:rPr>
                <w:rFonts w:eastAsia="Calibri"/>
                <w:color w:val="000000"/>
                <w:sz w:val="20"/>
                <w:szCs w:val="20"/>
              </w:rPr>
              <w:t>Basis 4 – Improper Turning Point Application</w:t>
            </w:r>
          </w:p>
        </w:tc>
        <w:tc>
          <w:tcPr>
            <w:tcW w:w="7398" w:type="dxa"/>
            <w:gridSpan w:val="2"/>
            <w:tcBorders>
              <w:bottom w:val="single" w:sz="4" w:space="0" w:color="auto"/>
            </w:tcBorders>
            <w:vAlign w:val="center"/>
          </w:tcPr>
          <w:p w:rsidR="00E00239" w:rsidRDefault="00C75211">
            <w:pPr>
              <w:tabs>
                <w:tab w:val="left" w:pos="1080"/>
              </w:tabs>
              <w:rPr>
                <w:rFonts w:eastAsia="Calibri"/>
                <w:color w:val="000000"/>
                <w:sz w:val="20"/>
                <w:szCs w:val="20"/>
              </w:rPr>
            </w:pPr>
            <w:r>
              <w:rPr>
                <w:rFonts w:eastAsia="Calibri"/>
                <w:color w:val="000000"/>
                <w:sz w:val="20"/>
                <w:szCs w:val="20"/>
              </w:rPr>
              <w:t>Thomas at LJ</w:t>
            </w:r>
            <w:r>
              <w:rPr>
                <w:rFonts w:eastAsia="Calibri"/>
                <w:color w:val="000000"/>
                <w:sz w:val="20"/>
                <w:szCs w:val="20"/>
              </w:rPr>
              <w:t>T-1 page 1 row 4 labeled “Placeholder Riders* Generation Resource Rider”</w:t>
            </w:r>
          </w:p>
        </w:tc>
      </w:tr>
      <w:tr w:rsidR="00E00239">
        <w:tc>
          <w:tcPr>
            <w:tcW w:w="2178" w:type="dxa"/>
            <w:tcBorders>
              <w:top w:val="nil"/>
            </w:tcBorders>
          </w:tcPr>
          <w:p w:rsidR="00E00239" w:rsidRDefault="00E00239">
            <w:pPr>
              <w:tabs>
                <w:tab w:val="left" w:pos="1080"/>
              </w:tabs>
              <w:jc w:val="center"/>
              <w:rPr>
                <w:rFonts w:eastAsia="Calibri"/>
                <w:color w:val="000000"/>
                <w:sz w:val="20"/>
                <w:szCs w:val="20"/>
              </w:rPr>
            </w:pPr>
          </w:p>
          <w:p w:rsidR="00E00239" w:rsidRDefault="00C75211">
            <w:pPr>
              <w:tabs>
                <w:tab w:val="left" w:pos="1080"/>
              </w:tabs>
              <w:jc w:val="center"/>
              <w:rPr>
                <w:rFonts w:eastAsia="Calibri"/>
                <w:color w:val="000000"/>
                <w:sz w:val="20"/>
                <w:szCs w:val="20"/>
              </w:rPr>
            </w:pPr>
            <w:r>
              <w:rPr>
                <w:rFonts w:eastAsia="Calibri"/>
                <w:color w:val="000000"/>
                <w:sz w:val="20"/>
                <w:szCs w:val="20"/>
              </w:rPr>
              <w:lastRenderedPageBreak/>
              <w:t>Basis 1 – Illegal Capacity Charges</w:t>
            </w:r>
          </w:p>
          <w:p w:rsidR="00E00239" w:rsidRDefault="00E00239">
            <w:pPr>
              <w:tabs>
                <w:tab w:val="left" w:pos="1080"/>
              </w:tabs>
              <w:jc w:val="center"/>
              <w:rPr>
                <w:rFonts w:eastAsia="Calibri"/>
                <w:color w:val="000000"/>
                <w:sz w:val="20"/>
                <w:szCs w:val="20"/>
              </w:rPr>
            </w:pPr>
          </w:p>
          <w:p w:rsidR="00E00239" w:rsidRDefault="00C75211">
            <w:pPr>
              <w:tabs>
                <w:tab w:val="left" w:pos="1080"/>
              </w:tabs>
              <w:jc w:val="center"/>
              <w:rPr>
                <w:rFonts w:eastAsia="Calibri"/>
                <w:color w:val="000000"/>
              </w:rPr>
            </w:pPr>
            <w:r>
              <w:rPr>
                <w:rFonts w:eastAsia="Calibri"/>
                <w:color w:val="000000"/>
                <w:sz w:val="20"/>
                <w:szCs w:val="20"/>
              </w:rPr>
              <w:t>Basis 4 – Improper Turning Point Application</w:t>
            </w:r>
          </w:p>
        </w:tc>
        <w:tc>
          <w:tcPr>
            <w:tcW w:w="7398" w:type="dxa"/>
            <w:gridSpan w:val="2"/>
            <w:tcBorders>
              <w:top w:val="nil"/>
            </w:tcBorders>
            <w:vAlign w:val="center"/>
          </w:tcPr>
          <w:p w:rsidR="00E00239" w:rsidRDefault="00E00239">
            <w:pPr>
              <w:tabs>
                <w:tab w:val="left" w:pos="1080"/>
              </w:tabs>
              <w:rPr>
                <w:rFonts w:eastAsia="Calibri"/>
                <w:color w:val="000000"/>
                <w:sz w:val="20"/>
                <w:szCs w:val="20"/>
              </w:rPr>
            </w:pPr>
          </w:p>
          <w:p w:rsidR="00E00239" w:rsidRDefault="00C75211">
            <w:pPr>
              <w:tabs>
                <w:tab w:val="left" w:pos="1080"/>
              </w:tabs>
              <w:rPr>
                <w:rFonts w:eastAsia="Calibri"/>
                <w:color w:val="000000"/>
                <w:sz w:val="20"/>
                <w:szCs w:val="20"/>
              </w:rPr>
            </w:pPr>
            <w:r>
              <w:rPr>
                <w:rFonts w:eastAsia="Calibri"/>
                <w:color w:val="000000"/>
                <w:sz w:val="20"/>
                <w:szCs w:val="20"/>
              </w:rPr>
              <w:lastRenderedPageBreak/>
              <w:t>Thomas at LJT-1 page 1 the row titled “TOTAL Quantifiable Benefits of the ESP $960,622,505</w:t>
            </w:r>
          </w:p>
          <w:p w:rsidR="00E00239" w:rsidRDefault="00E00239">
            <w:pPr>
              <w:tabs>
                <w:tab w:val="left" w:pos="1080"/>
              </w:tabs>
              <w:rPr>
                <w:rFonts w:eastAsia="Calibri"/>
                <w:color w:val="000000"/>
                <w:sz w:val="20"/>
                <w:szCs w:val="20"/>
              </w:rPr>
            </w:pPr>
          </w:p>
          <w:p w:rsidR="00E00239" w:rsidRDefault="00E00239">
            <w:pPr>
              <w:tabs>
                <w:tab w:val="left" w:pos="1080"/>
              </w:tabs>
              <w:rPr>
                <w:rFonts w:eastAsia="Calibri"/>
                <w:color w:val="000000"/>
                <w:sz w:val="20"/>
                <w:szCs w:val="20"/>
              </w:rPr>
            </w:pPr>
          </w:p>
        </w:tc>
      </w:tr>
      <w:tr w:rsidR="00E00239">
        <w:tc>
          <w:tcPr>
            <w:tcW w:w="2178" w:type="dxa"/>
            <w:tcBorders>
              <w:top w:val="nil"/>
            </w:tcBorders>
          </w:tcPr>
          <w:p w:rsidR="00E00239" w:rsidRDefault="00C75211">
            <w:pPr>
              <w:tabs>
                <w:tab w:val="left" w:pos="1080"/>
              </w:tabs>
              <w:jc w:val="center"/>
              <w:rPr>
                <w:rFonts w:eastAsia="Calibri"/>
                <w:color w:val="000000"/>
                <w:sz w:val="20"/>
                <w:szCs w:val="20"/>
              </w:rPr>
            </w:pPr>
            <w:r>
              <w:rPr>
                <w:rFonts w:eastAsia="Calibri"/>
                <w:color w:val="000000"/>
                <w:sz w:val="20"/>
                <w:szCs w:val="20"/>
              </w:rPr>
              <w:lastRenderedPageBreak/>
              <w:t>Basis</w:t>
            </w:r>
            <w:r>
              <w:rPr>
                <w:rFonts w:eastAsia="Calibri"/>
                <w:color w:val="000000"/>
                <w:sz w:val="20"/>
                <w:szCs w:val="20"/>
              </w:rPr>
              <w:t xml:space="preserve"> 1 – Illegal Capacity Charges</w:t>
            </w:r>
          </w:p>
          <w:p w:rsidR="00E00239" w:rsidRDefault="00E00239">
            <w:pPr>
              <w:tabs>
                <w:tab w:val="left" w:pos="1080"/>
              </w:tabs>
              <w:jc w:val="center"/>
              <w:rPr>
                <w:rFonts w:eastAsia="Calibri"/>
                <w:color w:val="000000"/>
                <w:sz w:val="20"/>
                <w:szCs w:val="20"/>
              </w:rPr>
            </w:pPr>
          </w:p>
          <w:p w:rsidR="00E00239" w:rsidRDefault="00C75211">
            <w:pPr>
              <w:tabs>
                <w:tab w:val="left" w:pos="1080"/>
              </w:tabs>
              <w:jc w:val="center"/>
              <w:rPr>
                <w:rFonts w:eastAsia="Calibri"/>
                <w:color w:val="000000"/>
                <w:sz w:val="20"/>
                <w:szCs w:val="20"/>
              </w:rPr>
            </w:pPr>
            <w:r>
              <w:rPr>
                <w:rFonts w:eastAsia="Calibri"/>
                <w:color w:val="000000"/>
                <w:sz w:val="20"/>
                <w:szCs w:val="20"/>
              </w:rPr>
              <w:t>Basis 4 – Improper Turning Point Application</w:t>
            </w:r>
          </w:p>
          <w:p w:rsidR="00E00239" w:rsidRDefault="00E00239">
            <w:pPr>
              <w:tabs>
                <w:tab w:val="left" w:pos="1080"/>
              </w:tabs>
              <w:jc w:val="center"/>
              <w:rPr>
                <w:rFonts w:eastAsia="Calibri"/>
                <w:color w:val="000000"/>
                <w:sz w:val="20"/>
                <w:szCs w:val="20"/>
              </w:rPr>
            </w:pPr>
          </w:p>
          <w:p w:rsidR="00E00239" w:rsidRDefault="00C75211">
            <w:pPr>
              <w:tabs>
                <w:tab w:val="left" w:pos="1080"/>
              </w:tabs>
              <w:jc w:val="center"/>
              <w:rPr>
                <w:rFonts w:eastAsia="Calibri"/>
                <w:color w:val="000000"/>
                <w:sz w:val="20"/>
                <w:szCs w:val="20"/>
              </w:rPr>
            </w:pPr>
            <w:r>
              <w:rPr>
                <w:rFonts w:eastAsia="Calibri"/>
                <w:color w:val="000000"/>
                <w:sz w:val="20"/>
                <w:szCs w:val="20"/>
              </w:rPr>
              <w:t>Basis 5 – Improper MRO Blending</w:t>
            </w:r>
          </w:p>
        </w:tc>
        <w:tc>
          <w:tcPr>
            <w:tcW w:w="7398" w:type="dxa"/>
            <w:gridSpan w:val="2"/>
            <w:tcBorders>
              <w:top w:val="nil"/>
            </w:tcBorders>
            <w:vAlign w:val="center"/>
          </w:tcPr>
          <w:p w:rsidR="00E00239" w:rsidRDefault="00C75211">
            <w:pPr>
              <w:tabs>
                <w:tab w:val="left" w:pos="1080"/>
              </w:tabs>
              <w:rPr>
                <w:rFonts w:eastAsia="Calibri"/>
                <w:color w:val="000000"/>
                <w:sz w:val="20"/>
                <w:szCs w:val="20"/>
              </w:rPr>
            </w:pPr>
            <w:r>
              <w:rPr>
                <w:rFonts w:eastAsia="Calibri"/>
                <w:color w:val="000000"/>
                <w:sz w:val="20"/>
                <w:szCs w:val="20"/>
              </w:rPr>
              <w:t>Thomas at LJT-1 page 2 line 4, line 6, and lines 8-15</w:t>
            </w:r>
          </w:p>
        </w:tc>
      </w:tr>
      <w:tr w:rsidR="00E00239">
        <w:tc>
          <w:tcPr>
            <w:tcW w:w="2178" w:type="dxa"/>
            <w:tcBorders>
              <w:top w:val="nil"/>
            </w:tcBorders>
          </w:tcPr>
          <w:p w:rsidR="00E00239" w:rsidRDefault="00C75211">
            <w:pPr>
              <w:tabs>
                <w:tab w:val="left" w:pos="1080"/>
              </w:tabs>
              <w:jc w:val="center"/>
              <w:rPr>
                <w:rFonts w:eastAsia="Calibri"/>
                <w:color w:val="000000"/>
                <w:sz w:val="20"/>
                <w:szCs w:val="20"/>
              </w:rPr>
            </w:pPr>
            <w:r>
              <w:rPr>
                <w:rFonts w:eastAsia="Calibri"/>
                <w:color w:val="000000"/>
                <w:sz w:val="20"/>
                <w:szCs w:val="20"/>
              </w:rPr>
              <w:t>Basis 1 – Illegal Capacity Charges</w:t>
            </w:r>
          </w:p>
          <w:p w:rsidR="00E00239" w:rsidRDefault="00E00239">
            <w:pPr>
              <w:tabs>
                <w:tab w:val="left" w:pos="1080"/>
              </w:tabs>
              <w:jc w:val="center"/>
              <w:rPr>
                <w:rFonts w:eastAsia="Calibri"/>
                <w:color w:val="000000"/>
                <w:sz w:val="20"/>
                <w:szCs w:val="20"/>
              </w:rPr>
            </w:pPr>
          </w:p>
          <w:p w:rsidR="00E00239" w:rsidRDefault="00C75211">
            <w:pPr>
              <w:tabs>
                <w:tab w:val="left" w:pos="1080"/>
              </w:tabs>
              <w:jc w:val="center"/>
              <w:rPr>
                <w:rFonts w:eastAsia="Calibri"/>
                <w:color w:val="000000"/>
                <w:sz w:val="20"/>
                <w:szCs w:val="20"/>
              </w:rPr>
            </w:pPr>
            <w:r>
              <w:rPr>
                <w:rFonts w:eastAsia="Calibri"/>
                <w:color w:val="000000"/>
                <w:sz w:val="20"/>
                <w:szCs w:val="20"/>
              </w:rPr>
              <w:t>Basis 4 – Improper Turning Point Application</w:t>
            </w:r>
          </w:p>
          <w:p w:rsidR="00E00239" w:rsidRDefault="00E00239">
            <w:pPr>
              <w:tabs>
                <w:tab w:val="left" w:pos="1080"/>
              </w:tabs>
              <w:jc w:val="center"/>
              <w:rPr>
                <w:rFonts w:eastAsia="Calibri"/>
                <w:color w:val="000000"/>
                <w:sz w:val="20"/>
                <w:szCs w:val="20"/>
              </w:rPr>
            </w:pPr>
          </w:p>
          <w:p w:rsidR="00E00239" w:rsidRDefault="00C75211">
            <w:pPr>
              <w:tabs>
                <w:tab w:val="left" w:pos="1080"/>
              </w:tabs>
              <w:jc w:val="center"/>
              <w:rPr>
                <w:rFonts w:eastAsia="Calibri"/>
                <w:color w:val="000000"/>
                <w:sz w:val="20"/>
                <w:szCs w:val="20"/>
              </w:rPr>
            </w:pPr>
            <w:r>
              <w:rPr>
                <w:rFonts w:eastAsia="Calibri"/>
                <w:color w:val="000000"/>
                <w:sz w:val="20"/>
                <w:szCs w:val="20"/>
              </w:rPr>
              <w:t xml:space="preserve">Basis 5 – </w:t>
            </w:r>
            <w:r>
              <w:rPr>
                <w:rFonts w:eastAsia="Calibri"/>
                <w:color w:val="000000"/>
                <w:sz w:val="20"/>
                <w:szCs w:val="20"/>
              </w:rPr>
              <w:t>Improper MRO Blending</w:t>
            </w:r>
          </w:p>
        </w:tc>
        <w:tc>
          <w:tcPr>
            <w:tcW w:w="7398" w:type="dxa"/>
            <w:gridSpan w:val="2"/>
            <w:tcBorders>
              <w:top w:val="nil"/>
            </w:tcBorders>
            <w:vAlign w:val="center"/>
          </w:tcPr>
          <w:p w:rsidR="00E00239" w:rsidRDefault="00C75211">
            <w:pPr>
              <w:tabs>
                <w:tab w:val="left" w:pos="1080"/>
              </w:tabs>
              <w:rPr>
                <w:rFonts w:eastAsia="Calibri"/>
                <w:color w:val="000000"/>
                <w:sz w:val="20"/>
                <w:szCs w:val="20"/>
              </w:rPr>
            </w:pPr>
            <w:r>
              <w:rPr>
                <w:rFonts w:eastAsia="Calibri"/>
                <w:color w:val="000000"/>
                <w:sz w:val="20"/>
                <w:szCs w:val="20"/>
              </w:rPr>
              <w:t>Thomas at LJT-1 page 3, all of the page</w:t>
            </w:r>
          </w:p>
        </w:tc>
      </w:tr>
      <w:tr w:rsidR="00E00239">
        <w:tc>
          <w:tcPr>
            <w:tcW w:w="2178" w:type="dxa"/>
            <w:tcBorders>
              <w:top w:val="nil"/>
            </w:tcBorders>
          </w:tcPr>
          <w:p w:rsidR="00E00239" w:rsidRDefault="00C75211">
            <w:pPr>
              <w:tabs>
                <w:tab w:val="left" w:pos="1080"/>
              </w:tabs>
              <w:jc w:val="center"/>
              <w:rPr>
                <w:rFonts w:eastAsia="Calibri"/>
                <w:color w:val="000000"/>
                <w:sz w:val="20"/>
                <w:szCs w:val="20"/>
              </w:rPr>
            </w:pPr>
            <w:r>
              <w:rPr>
                <w:rFonts w:eastAsia="Calibri"/>
                <w:color w:val="000000"/>
                <w:sz w:val="20"/>
                <w:szCs w:val="20"/>
              </w:rPr>
              <w:t>Basis 1 – Illegal Capacity Charges</w:t>
            </w:r>
          </w:p>
        </w:tc>
        <w:tc>
          <w:tcPr>
            <w:tcW w:w="7398" w:type="dxa"/>
            <w:gridSpan w:val="2"/>
            <w:tcBorders>
              <w:top w:val="nil"/>
            </w:tcBorders>
            <w:vAlign w:val="center"/>
          </w:tcPr>
          <w:p w:rsidR="00E00239" w:rsidRDefault="00C75211">
            <w:pPr>
              <w:tabs>
                <w:tab w:val="left" w:pos="1080"/>
              </w:tabs>
              <w:rPr>
                <w:rFonts w:eastAsia="Calibri"/>
                <w:color w:val="000000"/>
                <w:sz w:val="20"/>
                <w:szCs w:val="20"/>
              </w:rPr>
            </w:pPr>
            <w:r>
              <w:rPr>
                <w:rFonts w:eastAsia="Calibri"/>
                <w:color w:val="000000"/>
                <w:sz w:val="20"/>
                <w:szCs w:val="20"/>
              </w:rPr>
              <w:t>Thomas at LJT-2 page 1 (chart at the top) line 4 and the last two rows of the top chart that are labeled “Class Total” and “Weighted Total”</w:t>
            </w:r>
          </w:p>
        </w:tc>
      </w:tr>
      <w:tr w:rsidR="00E00239">
        <w:tc>
          <w:tcPr>
            <w:tcW w:w="2178" w:type="dxa"/>
            <w:tcBorders>
              <w:top w:val="nil"/>
            </w:tcBorders>
          </w:tcPr>
          <w:p w:rsidR="00E00239" w:rsidRDefault="00C75211">
            <w:pPr>
              <w:tabs>
                <w:tab w:val="left" w:pos="1080"/>
              </w:tabs>
              <w:jc w:val="center"/>
              <w:rPr>
                <w:rFonts w:eastAsia="Calibri"/>
                <w:color w:val="000000"/>
                <w:sz w:val="20"/>
                <w:szCs w:val="20"/>
              </w:rPr>
            </w:pPr>
            <w:r>
              <w:rPr>
                <w:rFonts w:eastAsia="Calibri"/>
                <w:color w:val="000000"/>
                <w:sz w:val="20"/>
                <w:szCs w:val="20"/>
              </w:rPr>
              <w:t>Basis 1 – Illegal</w:t>
            </w:r>
            <w:r>
              <w:rPr>
                <w:rFonts w:eastAsia="Calibri"/>
                <w:color w:val="000000"/>
                <w:sz w:val="20"/>
                <w:szCs w:val="20"/>
              </w:rPr>
              <w:t xml:space="preserve"> Capacity Charges</w:t>
            </w:r>
          </w:p>
        </w:tc>
        <w:tc>
          <w:tcPr>
            <w:tcW w:w="7398" w:type="dxa"/>
            <w:gridSpan w:val="2"/>
            <w:tcBorders>
              <w:top w:val="nil"/>
            </w:tcBorders>
            <w:vAlign w:val="center"/>
          </w:tcPr>
          <w:p w:rsidR="00E00239" w:rsidRDefault="00C75211">
            <w:pPr>
              <w:tabs>
                <w:tab w:val="left" w:pos="1080"/>
              </w:tabs>
              <w:rPr>
                <w:rFonts w:eastAsia="Calibri"/>
                <w:color w:val="000000"/>
                <w:sz w:val="20"/>
                <w:szCs w:val="20"/>
              </w:rPr>
            </w:pPr>
            <w:r>
              <w:rPr>
                <w:rFonts w:eastAsia="Calibri"/>
                <w:color w:val="000000"/>
                <w:sz w:val="20"/>
                <w:szCs w:val="20"/>
              </w:rPr>
              <w:t>Thomas at LJT-2 page 1 (chart at the bottom) line 4 and the last two rows of the top chart that are labeled “Class Total” and “Weighted Total”</w:t>
            </w:r>
          </w:p>
        </w:tc>
      </w:tr>
      <w:tr w:rsidR="00E00239">
        <w:tc>
          <w:tcPr>
            <w:tcW w:w="2178" w:type="dxa"/>
            <w:tcBorders>
              <w:top w:val="nil"/>
            </w:tcBorders>
          </w:tcPr>
          <w:p w:rsidR="00E00239" w:rsidRDefault="00C75211">
            <w:pPr>
              <w:tabs>
                <w:tab w:val="left" w:pos="1080"/>
              </w:tabs>
              <w:jc w:val="center"/>
              <w:rPr>
                <w:rFonts w:eastAsia="Calibri"/>
                <w:color w:val="000000"/>
                <w:sz w:val="20"/>
                <w:szCs w:val="20"/>
              </w:rPr>
            </w:pPr>
            <w:r>
              <w:rPr>
                <w:rFonts w:eastAsia="Calibri"/>
                <w:color w:val="000000"/>
                <w:sz w:val="20"/>
                <w:szCs w:val="20"/>
              </w:rPr>
              <w:t>Basis 1 – Illegal Capacity Charges</w:t>
            </w:r>
          </w:p>
        </w:tc>
        <w:tc>
          <w:tcPr>
            <w:tcW w:w="7398" w:type="dxa"/>
            <w:gridSpan w:val="2"/>
            <w:tcBorders>
              <w:top w:val="nil"/>
            </w:tcBorders>
            <w:vAlign w:val="center"/>
          </w:tcPr>
          <w:p w:rsidR="00E00239" w:rsidRDefault="00C75211">
            <w:pPr>
              <w:tabs>
                <w:tab w:val="left" w:pos="1080"/>
              </w:tabs>
              <w:rPr>
                <w:rFonts w:eastAsia="Calibri"/>
                <w:color w:val="000000"/>
                <w:sz w:val="20"/>
                <w:szCs w:val="20"/>
              </w:rPr>
            </w:pPr>
            <w:r>
              <w:rPr>
                <w:rFonts w:eastAsia="Calibri"/>
                <w:color w:val="000000"/>
                <w:sz w:val="20"/>
                <w:szCs w:val="20"/>
              </w:rPr>
              <w:t xml:space="preserve">Thomas at LJT-2 page 2 line 4 and the last two rows of the </w:t>
            </w:r>
            <w:r>
              <w:rPr>
                <w:rFonts w:eastAsia="Calibri"/>
                <w:color w:val="000000"/>
                <w:sz w:val="20"/>
                <w:szCs w:val="20"/>
              </w:rPr>
              <w:t>chart that are labeled “Class Total” and “Weighted Total”</w:t>
            </w:r>
          </w:p>
        </w:tc>
      </w:tr>
      <w:tr w:rsidR="00E00239">
        <w:tc>
          <w:tcPr>
            <w:tcW w:w="2178" w:type="dxa"/>
            <w:tcBorders>
              <w:top w:val="nil"/>
            </w:tcBorders>
          </w:tcPr>
          <w:p w:rsidR="00E00239" w:rsidRDefault="00C75211">
            <w:pPr>
              <w:tabs>
                <w:tab w:val="left" w:pos="1080"/>
              </w:tabs>
              <w:jc w:val="center"/>
              <w:rPr>
                <w:rFonts w:eastAsia="Calibri"/>
                <w:color w:val="000000"/>
                <w:sz w:val="20"/>
                <w:szCs w:val="20"/>
              </w:rPr>
            </w:pPr>
            <w:r>
              <w:rPr>
                <w:rFonts w:eastAsia="Calibri"/>
                <w:color w:val="000000"/>
                <w:sz w:val="20"/>
                <w:szCs w:val="20"/>
              </w:rPr>
              <w:t>Basis 1 – Illegal Capacity Charges</w:t>
            </w:r>
          </w:p>
          <w:p w:rsidR="00E00239" w:rsidRDefault="00E00239">
            <w:pPr>
              <w:tabs>
                <w:tab w:val="left" w:pos="1080"/>
              </w:tabs>
              <w:jc w:val="center"/>
              <w:rPr>
                <w:rFonts w:eastAsia="Calibri"/>
                <w:color w:val="000000"/>
                <w:sz w:val="20"/>
                <w:szCs w:val="20"/>
              </w:rPr>
            </w:pPr>
          </w:p>
          <w:p w:rsidR="00E00239" w:rsidRDefault="00C75211">
            <w:pPr>
              <w:tabs>
                <w:tab w:val="left" w:pos="1080"/>
              </w:tabs>
              <w:jc w:val="center"/>
              <w:rPr>
                <w:rFonts w:eastAsia="Calibri"/>
                <w:color w:val="000000"/>
                <w:sz w:val="20"/>
                <w:szCs w:val="20"/>
              </w:rPr>
            </w:pPr>
            <w:r>
              <w:rPr>
                <w:rFonts w:eastAsia="Calibri"/>
                <w:color w:val="000000"/>
                <w:sz w:val="20"/>
                <w:szCs w:val="20"/>
              </w:rPr>
              <w:t>Basis 5 – Improper MRO Blending</w:t>
            </w:r>
          </w:p>
        </w:tc>
        <w:tc>
          <w:tcPr>
            <w:tcW w:w="7398" w:type="dxa"/>
            <w:gridSpan w:val="2"/>
            <w:tcBorders>
              <w:top w:val="nil"/>
            </w:tcBorders>
            <w:vAlign w:val="center"/>
          </w:tcPr>
          <w:p w:rsidR="00E00239" w:rsidRDefault="00C75211">
            <w:pPr>
              <w:tabs>
                <w:tab w:val="left" w:pos="1080"/>
              </w:tabs>
              <w:rPr>
                <w:rFonts w:eastAsia="Calibri"/>
                <w:color w:val="000000"/>
                <w:sz w:val="20"/>
                <w:szCs w:val="20"/>
              </w:rPr>
            </w:pPr>
            <w:r>
              <w:rPr>
                <w:rFonts w:eastAsia="Calibri"/>
                <w:color w:val="000000"/>
                <w:sz w:val="20"/>
                <w:szCs w:val="20"/>
              </w:rPr>
              <w:t>Thomas at LJT-3 page 1, rows 7, 10, and 12 to 15 and all of column 2</w:t>
            </w:r>
          </w:p>
        </w:tc>
      </w:tr>
      <w:tr w:rsidR="00E00239">
        <w:tc>
          <w:tcPr>
            <w:tcW w:w="2178" w:type="dxa"/>
            <w:tcBorders>
              <w:top w:val="nil"/>
            </w:tcBorders>
          </w:tcPr>
          <w:p w:rsidR="00E00239" w:rsidRDefault="00C75211">
            <w:pPr>
              <w:tabs>
                <w:tab w:val="left" w:pos="1080"/>
              </w:tabs>
              <w:jc w:val="center"/>
              <w:rPr>
                <w:rFonts w:eastAsia="Calibri"/>
                <w:color w:val="000000"/>
                <w:sz w:val="20"/>
                <w:szCs w:val="20"/>
              </w:rPr>
            </w:pPr>
            <w:r>
              <w:rPr>
                <w:rFonts w:eastAsia="Calibri"/>
                <w:color w:val="000000"/>
                <w:sz w:val="20"/>
                <w:szCs w:val="20"/>
              </w:rPr>
              <w:t>Basis 1 – Illegal Capacity Charges</w:t>
            </w:r>
          </w:p>
        </w:tc>
        <w:tc>
          <w:tcPr>
            <w:tcW w:w="7398" w:type="dxa"/>
            <w:gridSpan w:val="2"/>
            <w:tcBorders>
              <w:top w:val="nil"/>
            </w:tcBorders>
            <w:vAlign w:val="center"/>
          </w:tcPr>
          <w:p w:rsidR="00E00239" w:rsidRDefault="00C75211">
            <w:pPr>
              <w:tabs>
                <w:tab w:val="left" w:pos="1080"/>
              </w:tabs>
              <w:rPr>
                <w:rFonts w:eastAsia="Calibri"/>
                <w:color w:val="000000"/>
                <w:sz w:val="20"/>
                <w:szCs w:val="20"/>
              </w:rPr>
            </w:pPr>
            <w:r>
              <w:rPr>
                <w:rFonts w:eastAsia="Calibri"/>
                <w:color w:val="000000"/>
                <w:sz w:val="20"/>
                <w:szCs w:val="20"/>
              </w:rPr>
              <w:t xml:space="preserve">Thomas at LJT-4, all of </w:t>
            </w:r>
            <w:r>
              <w:rPr>
                <w:rFonts w:eastAsia="Calibri"/>
                <w:color w:val="000000"/>
                <w:sz w:val="20"/>
                <w:szCs w:val="20"/>
              </w:rPr>
              <w:t>the exhibit</w:t>
            </w:r>
          </w:p>
        </w:tc>
      </w:tr>
      <w:tr w:rsidR="00E00239">
        <w:tc>
          <w:tcPr>
            <w:tcW w:w="2178" w:type="dxa"/>
            <w:tcBorders>
              <w:top w:val="nil"/>
            </w:tcBorders>
          </w:tcPr>
          <w:p w:rsidR="00E00239" w:rsidRDefault="00C75211">
            <w:pPr>
              <w:tabs>
                <w:tab w:val="left" w:pos="1080"/>
              </w:tabs>
              <w:jc w:val="center"/>
              <w:rPr>
                <w:rFonts w:eastAsia="Calibri"/>
                <w:color w:val="000000"/>
                <w:sz w:val="20"/>
                <w:szCs w:val="20"/>
              </w:rPr>
            </w:pPr>
            <w:r>
              <w:rPr>
                <w:rFonts w:eastAsia="Calibri"/>
                <w:color w:val="000000"/>
                <w:sz w:val="20"/>
                <w:szCs w:val="20"/>
              </w:rPr>
              <w:t>Basis 1 – Illegal Capacity Charges</w:t>
            </w:r>
          </w:p>
        </w:tc>
        <w:tc>
          <w:tcPr>
            <w:tcW w:w="7398" w:type="dxa"/>
            <w:gridSpan w:val="2"/>
            <w:tcBorders>
              <w:top w:val="nil"/>
            </w:tcBorders>
            <w:vAlign w:val="center"/>
          </w:tcPr>
          <w:p w:rsidR="00E00239" w:rsidRDefault="00C75211">
            <w:pPr>
              <w:tabs>
                <w:tab w:val="left" w:pos="1080"/>
              </w:tabs>
              <w:rPr>
                <w:rFonts w:eastAsia="Calibri"/>
                <w:color w:val="000000"/>
                <w:sz w:val="20"/>
                <w:szCs w:val="20"/>
              </w:rPr>
            </w:pPr>
            <w:r>
              <w:rPr>
                <w:rFonts w:eastAsia="Calibri"/>
                <w:color w:val="000000"/>
                <w:sz w:val="20"/>
                <w:szCs w:val="20"/>
              </w:rPr>
              <w:t xml:space="preserve">Thomas at LJT-5, all of the exhibit </w:t>
            </w:r>
          </w:p>
        </w:tc>
      </w:tr>
      <w:tr w:rsidR="00E00239">
        <w:tc>
          <w:tcPr>
            <w:tcW w:w="2178" w:type="dxa"/>
            <w:tcBorders>
              <w:top w:val="nil"/>
            </w:tcBorders>
          </w:tcPr>
          <w:p w:rsidR="00E00239" w:rsidRDefault="00C75211">
            <w:pPr>
              <w:tabs>
                <w:tab w:val="left" w:pos="1080"/>
              </w:tabs>
              <w:jc w:val="center"/>
              <w:rPr>
                <w:rFonts w:eastAsia="Calibri"/>
                <w:color w:val="000000"/>
                <w:sz w:val="20"/>
                <w:szCs w:val="20"/>
              </w:rPr>
            </w:pPr>
            <w:r>
              <w:rPr>
                <w:rFonts w:eastAsia="Calibri"/>
                <w:color w:val="000000"/>
                <w:sz w:val="20"/>
                <w:szCs w:val="20"/>
              </w:rPr>
              <w:t>Basis 4 – Improper Turning Point Application</w:t>
            </w:r>
          </w:p>
        </w:tc>
        <w:tc>
          <w:tcPr>
            <w:tcW w:w="7398" w:type="dxa"/>
            <w:gridSpan w:val="2"/>
            <w:tcBorders>
              <w:top w:val="nil"/>
            </w:tcBorders>
            <w:vAlign w:val="center"/>
          </w:tcPr>
          <w:p w:rsidR="00E00239" w:rsidRDefault="00C75211">
            <w:pPr>
              <w:tabs>
                <w:tab w:val="left" w:pos="1080"/>
              </w:tabs>
              <w:rPr>
                <w:rFonts w:eastAsia="Calibri"/>
                <w:color w:val="000000"/>
                <w:sz w:val="20"/>
                <w:szCs w:val="20"/>
              </w:rPr>
            </w:pPr>
            <w:r>
              <w:rPr>
                <w:rFonts w:eastAsia="Calibri"/>
                <w:color w:val="000000"/>
                <w:sz w:val="20"/>
                <w:szCs w:val="20"/>
              </w:rPr>
              <w:t>Thomas Supplemental Testimony at 2 line 10 through 15, starting “that customer impact” and ending “under a MRO”</w:t>
            </w:r>
          </w:p>
        </w:tc>
      </w:tr>
      <w:tr w:rsidR="00E00239">
        <w:tc>
          <w:tcPr>
            <w:tcW w:w="2178" w:type="dxa"/>
          </w:tcPr>
          <w:p w:rsidR="00E00239" w:rsidRDefault="00C75211">
            <w:pPr>
              <w:tabs>
                <w:tab w:val="left" w:pos="1080"/>
              </w:tabs>
              <w:jc w:val="center"/>
              <w:rPr>
                <w:rFonts w:eastAsia="Calibri"/>
                <w:color w:val="000000"/>
              </w:rPr>
            </w:pPr>
            <w:r>
              <w:rPr>
                <w:rFonts w:eastAsia="Calibri"/>
                <w:color w:val="000000"/>
                <w:sz w:val="20"/>
                <w:szCs w:val="20"/>
              </w:rPr>
              <w:t>Basis 4 – Im</w:t>
            </w:r>
            <w:r>
              <w:rPr>
                <w:rFonts w:eastAsia="Calibri"/>
                <w:color w:val="000000"/>
                <w:sz w:val="20"/>
                <w:szCs w:val="20"/>
              </w:rPr>
              <w:t>proper Turning Point Application</w:t>
            </w:r>
          </w:p>
        </w:tc>
        <w:tc>
          <w:tcPr>
            <w:tcW w:w="7398" w:type="dxa"/>
            <w:gridSpan w:val="2"/>
            <w:vAlign w:val="center"/>
          </w:tcPr>
          <w:p w:rsidR="00E00239" w:rsidRDefault="00C75211">
            <w:pPr>
              <w:tabs>
                <w:tab w:val="left" w:pos="1080"/>
              </w:tabs>
              <w:rPr>
                <w:rFonts w:eastAsia="Calibri"/>
                <w:color w:val="000000"/>
                <w:sz w:val="20"/>
                <w:szCs w:val="20"/>
              </w:rPr>
            </w:pPr>
            <w:r>
              <w:rPr>
                <w:rFonts w:eastAsia="Calibri"/>
                <w:color w:val="000000"/>
                <w:sz w:val="20"/>
                <w:szCs w:val="20"/>
              </w:rPr>
              <w:t>Thomas Supplemental Testimony at 2 line 19 through 21, starting “there is no impact” and ending “of my direct testimony.”</w:t>
            </w:r>
          </w:p>
        </w:tc>
      </w:tr>
      <w:tr w:rsidR="00E00239">
        <w:tc>
          <w:tcPr>
            <w:tcW w:w="2178" w:type="dxa"/>
          </w:tcPr>
          <w:p w:rsidR="00E00239" w:rsidRDefault="00C75211">
            <w:pPr>
              <w:tabs>
                <w:tab w:val="left" w:pos="1080"/>
              </w:tabs>
              <w:jc w:val="center"/>
              <w:rPr>
                <w:rFonts w:eastAsia="Calibri"/>
                <w:color w:val="000000"/>
              </w:rPr>
            </w:pPr>
            <w:r>
              <w:rPr>
                <w:rFonts w:eastAsia="Calibri"/>
                <w:color w:val="000000"/>
                <w:sz w:val="20"/>
                <w:szCs w:val="20"/>
              </w:rPr>
              <w:t>Basis 1 – Illegal Capacity Charges</w:t>
            </w:r>
          </w:p>
        </w:tc>
        <w:tc>
          <w:tcPr>
            <w:tcW w:w="7398" w:type="dxa"/>
            <w:gridSpan w:val="2"/>
            <w:vAlign w:val="center"/>
          </w:tcPr>
          <w:p w:rsidR="00E00239" w:rsidRDefault="00C75211">
            <w:pPr>
              <w:tabs>
                <w:tab w:val="left" w:pos="1080"/>
              </w:tabs>
              <w:rPr>
                <w:rFonts w:eastAsia="Calibri"/>
                <w:color w:val="000000"/>
                <w:sz w:val="20"/>
                <w:szCs w:val="20"/>
              </w:rPr>
            </w:pPr>
            <w:r>
              <w:rPr>
                <w:rFonts w:eastAsia="Calibri"/>
                <w:color w:val="000000"/>
                <w:sz w:val="20"/>
                <w:szCs w:val="20"/>
              </w:rPr>
              <w:t>Thomas Supplemental Testimony at 3 line 7 “$952 million”</w:t>
            </w:r>
          </w:p>
        </w:tc>
      </w:tr>
      <w:tr w:rsidR="00E00239">
        <w:tc>
          <w:tcPr>
            <w:tcW w:w="2178" w:type="dxa"/>
          </w:tcPr>
          <w:p w:rsidR="00E00239" w:rsidRDefault="00C75211">
            <w:pPr>
              <w:tabs>
                <w:tab w:val="left" w:pos="1080"/>
              </w:tabs>
              <w:jc w:val="center"/>
              <w:rPr>
                <w:rFonts w:eastAsia="Calibri"/>
                <w:color w:val="000000"/>
              </w:rPr>
            </w:pPr>
            <w:r>
              <w:rPr>
                <w:rFonts w:eastAsia="Calibri"/>
                <w:color w:val="000000"/>
                <w:sz w:val="20"/>
                <w:szCs w:val="20"/>
              </w:rPr>
              <w:t>Basis 1</w:t>
            </w:r>
            <w:r>
              <w:rPr>
                <w:rFonts w:eastAsia="Calibri"/>
                <w:color w:val="000000"/>
                <w:sz w:val="20"/>
                <w:szCs w:val="20"/>
              </w:rPr>
              <w:t xml:space="preserve"> – Illegal Capacity Charges</w:t>
            </w:r>
          </w:p>
        </w:tc>
        <w:tc>
          <w:tcPr>
            <w:tcW w:w="7398" w:type="dxa"/>
            <w:gridSpan w:val="2"/>
            <w:vAlign w:val="center"/>
          </w:tcPr>
          <w:p w:rsidR="00E00239" w:rsidRDefault="00C75211">
            <w:pPr>
              <w:tabs>
                <w:tab w:val="left" w:pos="1080"/>
              </w:tabs>
              <w:rPr>
                <w:rFonts w:eastAsia="Calibri"/>
                <w:color w:val="000000"/>
                <w:sz w:val="20"/>
                <w:szCs w:val="20"/>
              </w:rPr>
            </w:pPr>
            <w:r>
              <w:rPr>
                <w:rFonts w:eastAsia="Calibri"/>
                <w:color w:val="000000"/>
                <w:sz w:val="20"/>
                <w:szCs w:val="20"/>
              </w:rPr>
              <w:t>Thomas at Supplemental Exhibit LJT-1 page 1, rows one and two, labeled “MRO Price Test” and “Discounted, tiered capacity pricing for CRES providers”</w:t>
            </w:r>
          </w:p>
        </w:tc>
      </w:tr>
      <w:tr w:rsidR="00E00239">
        <w:tc>
          <w:tcPr>
            <w:tcW w:w="2178" w:type="dxa"/>
          </w:tcPr>
          <w:p w:rsidR="00E00239" w:rsidRDefault="00C75211">
            <w:pPr>
              <w:tabs>
                <w:tab w:val="left" w:pos="1080"/>
              </w:tabs>
              <w:jc w:val="center"/>
              <w:rPr>
                <w:rFonts w:eastAsia="Calibri"/>
                <w:color w:val="000000"/>
                <w:sz w:val="20"/>
                <w:szCs w:val="20"/>
              </w:rPr>
            </w:pPr>
            <w:r>
              <w:rPr>
                <w:rFonts w:eastAsia="Calibri"/>
                <w:color w:val="000000"/>
                <w:sz w:val="20"/>
                <w:szCs w:val="20"/>
              </w:rPr>
              <w:t>Basis 4 – Improper Turning Point Application</w:t>
            </w:r>
          </w:p>
        </w:tc>
        <w:tc>
          <w:tcPr>
            <w:tcW w:w="7398" w:type="dxa"/>
            <w:gridSpan w:val="2"/>
            <w:vAlign w:val="center"/>
          </w:tcPr>
          <w:p w:rsidR="00E00239" w:rsidRDefault="00C75211">
            <w:pPr>
              <w:tabs>
                <w:tab w:val="left" w:pos="1080"/>
              </w:tabs>
              <w:rPr>
                <w:rFonts w:eastAsia="Calibri"/>
                <w:color w:val="000000"/>
                <w:sz w:val="20"/>
                <w:szCs w:val="20"/>
              </w:rPr>
            </w:pPr>
            <w:r>
              <w:rPr>
                <w:rFonts w:eastAsia="Calibri"/>
                <w:color w:val="000000"/>
                <w:sz w:val="20"/>
                <w:szCs w:val="20"/>
              </w:rPr>
              <w:t>Thomas at Supplemental Exhibit LJ</w:t>
            </w:r>
            <w:r>
              <w:rPr>
                <w:rFonts w:eastAsia="Calibri"/>
                <w:color w:val="000000"/>
                <w:sz w:val="20"/>
                <w:szCs w:val="20"/>
              </w:rPr>
              <w:t>T-1 page 1 row 4 labeled “Placeholder Riders* Generation Resource Rider”</w:t>
            </w:r>
          </w:p>
        </w:tc>
      </w:tr>
    </w:tbl>
    <w:p w:rsidR="00E00239" w:rsidRDefault="00E00239">
      <w:pPr>
        <w:pStyle w:val="ListParagraph"/>
        <w:autoSpaceDE w:val="0"/>
        <w:autoSpaceDN w:val="0"/>
        <w:adjustRightInd w:val="0"/>
        <w:spacing w:after="0"/>
        <w:ind w:left="0"/>
        <w:jc w:val="center"/>
        <w:rPr>
          <w:rFonts w:cs="Arial"/>
          <w:szCs w:val="24"/>
        </w:rPr>
      </w:pPr>
    </w:p>
    <w:sectPr w:rsidR="00E00239">
      <w:headerReference w:type="default" r:id="rId40"/>
      <w:footerReference w:type="default" r:id="rId41"/>
      <w:headerReference w:type="first" r:id="rId42"/>
      <w:footerReference w:type="firs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239" w:rsidRDefault="00C75211">
      <w:pPr>
        <w:spacing w:after="0" w:line="240" w:lineRule="auto"/>
      </w:pPr>
      <w:r>
        <w:separator/>
      </w:r>
    </w:p>
  </w:endnote>
  <w:endnote w:type="continuationSeparator" w:id="0">
    <w:p w:rsidR="00E00239" w:rsidRDefault="00C75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211" w:rsidRDefault="00C7521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239" w:rsidRDefault="00C75211">
    <w:pPr>
      <w:pStyle w:val="Footer"/>
    </w:pPr>
    <w:r w:rsidRPr="00C75211">
      <w:rPr>
        <w:noProof/>
        <w:sz w:val="16"/>
      </w:rPr>
      <w:t>{C37550:2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239" w:rsidRDefault="00C75211">
    <w:pPr>
      <w:pStyle w:val="Footer"/>
      <w:jc w:val="left"/>
    </w:pPr>
    <w:r w:rsidRPr="00C75211">
      <w:rPr>
        <w:noProof/>
        <w:sz w:val="16"/>
      </w:rPr>
      <w:t>{C37550:2 }</w:t>
    </w:r>
    <w:sdt>
      <w:sdtPr>
        <w:id w:val="-389968019"/>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Pr>
            <w:noProof/>
          </w:rPr>
          <w:t>3</w:t>
        </w:r>
        <w:r>
          <w:rPr>
            <w:noProof/>
          </w:rPr>
          <w:fldChar w:fldCharType="end"/>
        </w:r>
      </w:sdtContent>
    </w:sdt>
  </w:p>
  <w:p w:rsidR="00E00239" w:rsidRDefault="00E00239">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239" w:rsidRDefault="00E00239">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239" w:rsidRDefault="00C75211">
    <w:pPr>
      <w:pStyle w:val="Footer"/>
    </w:pPr>
    <w:r w:rsidRPr="00C75211">
      <w:rPr>
        <w:noProof/>
        <w:sz w:val="16"/>
      </w:rPr>
      <w:t>{C37550:2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239" w:rsidRDefault="00E00239">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239" w:rsidRDefault="00C75211">
    <w:pPr>
      <w:pStyle w:val="Footer"/>
    </w:pPr>
    <w:r w:rsidRPr="00C75211">
      <w:rPr>
        <w:noProof/>
        <w:sz w:val="16"/>
      </w:rPr>
      <w:t>{C37550:2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239" w:rsidRDefault="00E00239">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239" w:rsidRDefault="00C75211">
    <w:pPr>
      <w:pStyle w:val="Footer"/>
    </w:pPr>
    <w:r w:rsidRPr="00C75211">
      <w:rPr>
        <w:noProof/>
        <w:sz w:val="16"/>
      </w:rPr>
      <w:t>{C37550:2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239" w:rsidRDefault="00E002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239" w:rsidRDefault="00C75211">
    <w:pPr>
      <w:pStyle w:val="Footer"/>
    </w:pPr>
    <w:r w:rsidRPr="00C75211">
      <w:rPr>
        <w:noProof/>
        <w:sz w:val="16"/>
      </w:rPr>
      <w:t>{C37550:2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211" w:rsidRDefault="00C7521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239" w:rsidRDefault="00C75211">
    <w:pPr>
      <w:pStyle w:val="Footer"/>
    </w:pPr>
    <w:r w:rsidRPr="00C75211">
      <w:rPr>
        <w:noProof/>
        <w:sz w:val="16"/>
      </w:rPr>
      <w:t>{C37550:2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239" w:rsidRDefault="00E0023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239" w:rsidRDefault="00C75211">
    <w:pPr>
      <w:pStyle w:val="Footer"/>
    </w:pPr>
    <w:r w:rsidRPr="00C75211">
      <w:rPr>
        <w:noProof/>
        <w:sz w:val="16"/>
      </w:rPr>
      <w:t>{C37550:2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239" w:rsidRDefault="00E0023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239" w:rsidRDefault="00E00239">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239" w:rsidRDefault="00C75211">
    <w:pPr>
      <w:pStyle w:val="Footer"/>
      <w:jc w:val="left"/>
    </w:pPr>
    <w:r w:rsidRPr="00C75211">
      <w:rPr>
        <w:noProof/>
        <w:sz w:val="16"/>
      </w:rPr>
      <w:t>{C37550:2 }</w:t>
    </w:r>
    <w:sdt>
      <w:sdtPr>
        <w:id w:val="1016817331"/>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Pr>
            <w:noProof/>
          </w:rPr>
          <w:t>2</w:t>
        </w:r>
        <w:r>
          <w:rPr>
            <w:noProof/>
          </w:rPr>
          <w:fldChar w:fldCharType="end"/>
        </w:r>
      </w:sdtContent>
    </w:sdt>
  </w:p>
  <w:p w:rsidR="00E00239" w:rsidRDefault="00E00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239" w:rsidRDefault="00C75211">
      <w:pPr>
        <w:spacing w:after="0" w:line="240" w:lineRule="auto"/>
        <w:rPr>
          <w:noProof/>
        </w:rPr>
      </w:pPr>
      <w:r>
        <w:rPr>
          <w:noProof/>
        </w:rPr>
        <w:separator/>
      </w:r>
    </w:p>
  </w:footnote>
  <w:footnote w:type="continuationSeparator" w:id="0">
    <w:p w:rsidR="00E00239" w:rsidRDefault="00C75211">
      <w:pPr>
        <w:spacing w:after="0" w:line="240" w:lineRule="auto"/>
      </w:pPr>
      <w:r>
        <w:continuationSeparator/>
      </w:r>
    </w:p>
  </w:footnote>
  <w:footnote w:id="1">
    <w:p w:rsidR="00E00239" w:rsidRDefault="00C75211">
      <w:pPr>
        <w:autoSpaceDE w:val="0"/>
        <w:autoSpaceDN w:val="0"/>
        <w:adjustRightInd w:val="0"/>
        <w:spacing w:after="120" w:line="240" w:lineRule="auto"/>
        <w:rPr>
          <w:rFonts w:cs="Arial"/>
          <w:sz w:val="20"/>
          <w:szCs w:val="20"/>
        </w:rPr>
      </w:pPr>
      <w:r>
        <w:rPr>
          <w:rStyle w:val="FootnoteReference"/>
          <w:rFonts w:cs="Arial"/>
          <w:szCs w:val="20"/>
        </w:rPr>
        <w:footnoteRef/>
      </w:r>
      <w:r>
        <w:rPr>
          <w:rFonts w:cs="Arial"/>
          <w:sz w:val="20"/>
          <w:szCs w:val="20"/>
        </w:rPr>
        <w:t xml:space="preserve"> </w:t>
      </w:r>
      <w:r>
        <w:rPr>
          <w:rFonts w:cs="Arial"/>
          <w:i/>
          <w:sz w:val="20"/>
          <w:szCs w:val="20"/>
        </w:rPr>
        <w:t xml:space="preserve">In the Matter of the Application of Columbus Southern Power Company and Ohio Power Company for Authority to Establish a Standard Service Offer Pursuant to </w:t>
      </w:r>
      <w:r>
        <w:rPr>
          <w:rFonts w:cs="Arial"/>
          <w:i/>
          <w:sz w:val="20"/>
          <w:szCs w:val="20"/>
        </w:rPr>
        <w:t>§4928.143, Ohio Rev. Code, in the form of an Electric Security Plan</w:t>
      </w:r>
      <w:r>
        <w:rPr>
          <w:rFonts w:cs="Arial"/>
          <w:sz w:val="20"/>
          <w:szCs w:val="20"/>
        </w:rPr>
        <w:t xml:space="preserve">, Case Nos. 11-346-EL-SSO, </w:t>
      </w:r>
      <w:r>
        <w:rPr>
          <w:rFonts w:cs="Arial"/>
          <w:i/>
          <w:sz w:val="20"/>
          <w:szCs w:val="20"/>
        </w:rPr>
        <w:t>et al.</w:t>
      </w:r>
      <w:r>
        <w:rPr>
          <w:rFonts w:cs="Arial"/>
          <w:sz w:val="20"/>
          <w:szCs w:val="20"/>
        </w:rPr>
        <w:t>, Modified Application (March 30, 2012) (hereinafter “</w:t>
      </w:r>
      <w:r>
        <w:rPr>
          <w:rFonts w:cs="Arial"/>
          <w:i/>
          <w:sz w:val="20"/>
          <w:szCs w:val="20"/>
        </w:rPr>
        <w:t>ESP II</w:t>
      </w:r>
      <w:r>
        <w:rPr>
          <w:rFonts w:cs="Arial"/>
          <w:sz w:val="20"/>
          <w:szCs w:val="20"/>
        </w:rPr>
        <w:t xml:space="preserve">”). </w:t>
      </w:r>
    </w:p>
  </w:footnote>
  <w:footnote w:id="2">
    <w:p w:rsidR="00E00239" w:rsidRDefault="00C75211">
      <w:pPr>
        <w:pStyle w:val="FootnoteText"/>
        <w:spacing w:after="120"/>
        <w:rPr>
          <w:rFonts w:cs="Arial"/>
        </w:rPr>
      </w:pPr>
      <w:r>
        <w:rPr>
          <w:rStyle w:val="FootnoteReference"/>
          <w:rFonts w:cs="Arial"/>
        </w:rPr>
        <w:footnoteRef/>
      </w:r>
      <w:r>
        <w:rPr>
          <w:rFonts w:cs="Arial"/>
        </w:rPr>
        <w:t xml:space="preserve"> </w:t>
      </w:r>
      <w:r>
        <w:rPr>
          <w:rFonts w:eastAsia="Times New Roman" w:cs="Arial"/>
          <w:i/>
        </w:rPr>
        <w:t>See generally</w:t>
      </w:r>
      <w:r>
        <w:rPr>
          <w:rFonts w:eastAsia="Times New Roman" w:cs="Arial"/>
        </w:rPr>
        <w:t xml:space="preserve"> R. Evid. 401.</w:t>
      </w:r>
    </w:p>
  </w:footnote>
  <w:footnote w:id="3">
    <w:p w:rsidR="00E00239" w:rsidRDefault="00C75211">
      <w:pPr>
        <w:pStyle w:val="FootnoteText"/>
        <w:spacing w:after="120"/>
        <w:rPr>
          <w:rFonts w:cs="Arial"/>
        </w:rPr>
      </w:pPr>
      <w:r>
        <w:rPr>
          <w:rStyle w:val="FootnoteReference"/>
          <w:rFonts w:cs="Arial"/>
        </w:rPr>
        <w:footnoteRef/>
      </w:r>
      <w:r>
        <w:rPr>
          <w:rFonts w:cs="Arial"/>
        </w:rPr>
        <w:t xml:space="preserve"> Opinion and Order at 30-31 (Dec. 14, 2011).</w:t>
      </w:r>
    </w:p>
  </w:footnote>
  <w:footnote w:id="4">
    <w:p w:rsidR="00E00239" w:rsidRDefault="00C75211">
      <w:pPr>
        <w:pStyle w:val="FootnoteText"/>
      </w:pPr>
      <w:r>
        <w:rPr>
          <w:rStyle w:val="FootnoteReference"/>
        </w:rPr>
        <w:footnoteRef/>
      </w:r>
      <w:r>
        <w:t xml:space="preserve"> In the altern</w:t>
      </w:r>
      <w:r>
        <w:t>ative to striking this testimony, the Commission should direct Ms. Thomas to recalculate the ESP v. MRO price test without “discounted capacity” and the improper $355/MW-day capacity price on the MRO side of the test.  Such an order would be consistent wit</w:t>
      </w:r>
      <w:r>
        <w:t xml:space="preserve">h the Attorney Examiner’s order that OP remove unlawful POLR charges from the ESP v. MRO price test.  </w:t>
      </w:r>
      <w:r>
        <w:rPr>
          <w:i/>
        </w:rPr>
        <w:t xml:space="preserve">See </w:t>
      </w:r>
      <w:r>
        <w:t>Tr. Vol. I at 151.</w:t>
      </w:r>
    </w:p>
    <w:p w:rsidR="00E00239" w:rsidRDefault="00E00239">
      <w:pPr>
        <w:pStyle w:val="FootnoteText"/>
      </w:pPr>
    </w:p>
  </w:footnote>
  <w:footnote w:id="5">
    <w:p w:rsidR="00E00239" w:rsidRDefault="00C75211">
      <w:pPr>
        <w:pStyle w:val="FootnoteText"/>
        <w:spacing w:after="120"/>
        <w:rPr>
          <w:rFonts w:cs="Arial"/>
        </w:rPr>
      </w:pPr>
      <w:r>
        <w:rPr>
          <w:rStyle w:val="FootnoteReference"/>
          <w:rFonts w:cs="Arial"/>
        </w:rPr>
        <w:footnoteRef/>
      </w:r>
      <w:r>
        <w:rPr>
          <w:rFonts w:cs="Arial"/>
        </w:rPr>
        <w:t xml:space="preserve"> </w:t>
      </w:r>
      <w:r>
        <w:rPr>
          <w:rFonts w:cs="Arial"/>
          <w:i/>
        </w:rPr>
        <w:t>In re Columbus S. Power Co.</w:t>
      </w:r>
      <w:r>
        <w:rPr>
          <w:rFonts w:cs="Arial"/>
        </w:rPr>
        <w:t>, 128 Ohio St. 3d 512, 2011-Ohio-1788 ¶¶ 31-35.</w:t>
      </w:r>
    </w:p>
  </w:footnote>
  <w:footnote w:id="6">
    <w:p w:rsidR="00E00239" w:rsidRDefault="00C75211">
      <w:pPr>
        <w:pStyle w:val="FootnoteText"/>
        <w:spacing w:after="120"/>
        <w:rPr>
          <w:rFonts w:cs="Arial"/>
        </w:rPr>
      </w:pPr>
      <w:r>
        <w:rPr>
          <w:rStyle w:val="FootnoteReference"/>
          <w:rFonts w:cs="Arial"/>
        </w:rPr>
        <w:footnoteRef/>
      </w:r>
      <w:r>
        <w:rPr>
          <w:rFonts w:cs="Arial"/>
        </w:rPr>
        <w:t xml:space="preserve"> </w:t>
      </w:r>
      <w:r>
        <w:rPr>
          <w:rFonts w:cs="Arial"/>
          <w:i/>
        </w:rPr>
        <w:t xml:space="preserve">See </w:t>
      </w:r>
      <w:r>
        <w:rPr>
          <w:rFonts w:cs="Arial"/>
        </w:rPr>
        <w:t>Section 4928.143, Revised Code.</w:t>
      </w:r>
    </w:p>
  </w:footnote>
  <w:footnote w:id="7">
    <w:p w:rsidR="00E00239" w:rsidRDefault="00C75211">
      <w:pPr>
        <w:pStyle w:val="FootnoteText"/>
        <w:spacing w:after="120"/>
        <w:rPr>
          <w:rFonts w:cs="Arial"/>
        </w:rPr>
      </w:pPr>
      <w:r>
        <w:rPr>
          <w:rStyle w:val="FootnoteReference"/>
          <w:rFonts w:cs="Arial"/>
        </w:rPr>
        <w:footnoteRef/>
      </w:r>
      <w:r>
        <w:rPr>
          <w:rFonts w:cs="Arial"/>
        </w:rPr>
        <w:t xml:space="preserve"> </w:t>
      </w:r>
      <w:r>
        <w:rPr>
          <w:rFonts w:cs="Arial"/>
          <w:i/>
        </w:rPr>
        <w:t>Id.</w:t>
      </w:r>
    </w:p>
  </w:footnote>
  <w:footnote w:id="8">
    <w:p w:rsidR="00E00239" w:rsidRDefault="00C75211">
      <w:pPr>
        <w:pStyle w:val="FootnoteText"/>
        <w:spacing w:after="120"/>
        <w:rPr>
          <w:rFonts w:cs="Arial"/>
        </w:rPr>
      </w:pPr>
      <w:r>
        <w:rPr>
          <w:rStyle w:val="FootnoteReference"/>
          <w:rFonts w:cs="Arial"/>
        </w:rPr>
        <w:footnoteRef/>
      </w:r>
      <w:r>
        <w:rPr>
          <w:rFonts w:cs="Arial"/>
        </w:rPr>
        <w:t xml:space="preserve"> Section</w:t>
      </w:r>
      <w:r>
        <w:rPr>
          <w:rFonts w:cs="Arial"/>
        </w:rPr>
        <w:t xml:space="preserve"> 4928.40(A), Revised Code; Section 4928.141(A), Revised Code.</w:t>
      </w:r>
    </w:p>
  </w:footnote>
  <w:footnote w:id="9">
    <w:p w:rsidR="00E00239" w:rsidRDefault="00C75211">
      <w:pPr>
        <w:autoSpaceDE w:val="0"/>
        <w:autoSpaceDN w:val="0"/>
        <w:adjustRightInd w:val="0"/>
        <w:spacing w:after="120" w:line="240" w:lineRule="auto"/>
        <w:rPr>
          <w:rFonts w:cs="Arial"/>
          <w:sz w:val="20"/>
          <w:szCs w:val="20"/>
        </w:rPr>
      </w:pPr>
      <w:r>
        <w:rPr>
          <w:rStyle w:val="FootnoteReference"/>
          <w:rFonts w:cs="Arial"/>
          <w:szCs w:val="20"/>
        </w:rPr>
        <w:footnoteRef/>
      </w:r>
      <w:r>
        <w:rPr>
          <w:rFonts w:cs="Arial"/>
          <w:sz w:val="20"/>
          <w:szCs w:val="20"/>
        </w:rPr>
        <w:t xml:space="preserve"> </w:t>
      </w:r>
      <w:r>
        <w:rPr>
          <w:rFonts w:cs="Arial"/>
          <w:i/>
          <w:sz w:val="20"/>
          <w:szCs w:val="20"/>
        </w:rPr>
        <w:t xml:space="preserve">See </w:t>
      </w:r>
      <w:r>
        <w:rPr>
          <w:rFonts w:cs="Arial"/>
          <w:sz w:val="20"/>
          <w:szCs w:val="20"/>
        </w:rPr>
        <w:t>Testimony of J. Edward Hess (May 4, 2012);</w:t>
      </w:r>
      <w:r>
        <w:rPr>
          <w:rFonts w:cs="Arial"/>
          <w:i/>
          <w:sz w:val="20"/>
          <w:szCs w:val="20"/>
        </w:rPr>
        <w:t xml:space="preserve"> </w:t>
      </w:r>
      <w:r>
        <w:rPr>
          <w:rFonts w:cs="Arial"/>
          <w:sz w:val="20"/>
          <w:szCs w:val="20"/>
        </w:rPr>
        <w:t>Testimony of Kevin M. Murray (May 4, 2012).  OP also references its “litigation position” in its Case No. 10-2929-EL-UNC, to claim that a discoun</w:t>
      </w:r>
      <w:r>
        <w:rPr>
          <w:rFonts w:cs="Arial"/>
          <w:sz w:val="20"/>
          <w:szCs w:val="20"/>
        </w:rPr>
        <w:t>t from its unreasonably $355/MW-day charge requested in that case is somehow a benefit.  Reference to the Testimony of Kevin Murray, and J. Edward Hess in that case, however, demonstrate that the $355/MW-day charge is another request for transition revenue</w:t>
      </w:r>
      <w:r>
        <w:rPr>
          <w:rFonts w:cs="Arial"/>
          <w:sz w:val="20"/>
          <w:szCs w:val="20"/>
        </w:rPr>
        <w:t xml:space="preserve">s.  </w:t>
      </w:r>
      <w:r>
        <w:rPr>
          <w:rFonts w:cs="Arial"/>
          <w:i/>
          <w:color w:val="auto"/>
          <w:sz w:val="20"/>
          <w:szCs w:val="20"/>
        </w:rPr>
        <w:t>In the Matter of the Commission Review of the Capacity Charges of Ohio Power Company and Columbus Southern Power Company</w:t>
      </w:r>
      <w:r>
        <w:rPr>
          <w:rFonts w:cs="Arial"/>
          <w:color w:val="auto"/>
          <w:sz w:val="20"/>
          <w:szCs w:val="20"/>
        </w:rPr>
        <w:t>, Case No. 10-2929-EL-UNC, Testimony of Kevin M. Murray (Apr. 4, 2012) (hereinafter “</w:t>
      </w:r>
      <w:r>
        <w:rPr>
          <w:rFonts w:cs="Arial"/>
          <w:i/>
          <w:color w:val="auto"/>
          <w:sz w:val="20"/>
          <w:szCs w:val="20"/>
        </w:rPr>
        <w:t>OP Capacity Case</w:t>
      </w:r>
      <w:r>
        <w:rPr>
          <w:rFonts w:cs="Arial"/>
          <w:color w:val="auto"/>
          <w:sz w:val="20"/>
          <w:szCs w:val="20"/>
        </w:rPr>
        <w:t xml:space="preserve">”); </w:t>
      </w:r>
      <w:r>
        <w:rPr>
          <w:rFonts w:cs="Arial"/>
          <w:i/>
          <w:color w:val="auto"/>
          <w:sz w:val="20"/>
          <w:szCs w:val="20"/>
        </w:rPr>
        <w:t>OP Capacity Case</w:t>
      </w:r>
      <w:r>
        <w:rPr>
          <w:rFonts w:cs="Arial"/>
          <w:color w:val="auto"/>
          <w:sz w:val="20"/>
          <w:szCs w:val="20"/>
        </w:rPr>
        <w:t>,</w:t>
      </w:r>
      <w:r>
        <w:rPr>
          <w:rFonts w:cs="Arial"/>
          <w:i/>
          <w:color w:val="auto"/>
          <w:sz w:val="20"/>
          <w:szCs w:val="20"/>
        </w:rPr>
        <w:t xml:space="preserve"> </w:t>
      </w:r>
      <w:r>
        <w:rPr>
          <w:rFonts w:cs="Arial"/>
          <w:color w:val="auto"/>
          <w:sz w:val="20"/>
          <w:szCs w:val="20"/>
        </w:rPr>
        <w:t xml:space="preserve">Testimony of J. Edward Hess (Apr. 4, 3012).  OP also requests approval of the $355/MW-day charge in this proceeding. Testimony of William Allen at 15-16 (March 30, 2012). </w:t>
      </w:r>
    </w:p>
  </w:footnote>
  <w:footnote w:id="10">
    <w:p w:rsidR="00E00239" w:rsidRDefault="00C75211">
      <w:pPr>
        <w:pStyle w:val="FootnoteText"/>
        <w:spacing w:after="120"/>
      </w:pPr>
      <w:r>
        <w:rPr>
          <w:rStyle w:val="FootnoteReference"/>
        </w:rPr>
        <w:footnoteRef/>
      </w:r>
      <w:r>
        <w:t xml:space="preserve"> Testimony of William Allen at 6 (Mar. 30, 2012).</w:t>
      </w:r>
    </w:p>
  </w:footnote>
  <w:footnote w:id="11">
    <w:p w:rsidR="00E00239" w:rsidRDefault="00C75211">
      <w:pPr>
        <w:pStyle w:val="FootnoteText"/>
        <w:spacing w:after="120"/>
        <w:rPr>
          <w:rFonts w:cs="Arial"/>
        </w:rPr>
      </w:pPr>
      <w:r>
        <w:rPr>
          <w:rStyle w:val="FootnoteReference"/>
          <w:rFonts w:cs="Arial"/>
        </w:rPr>
        <w:footnoteRef/>
      </w:r>
      <w:r>
        <w:rPr>
          <w:rFonts w:cs="Arial"/>
        </w:rPr>
        <w:t xml:space="preserve"> Testimony of Robert Powers at 4</w:t>
      </w:r>
      <w:r>
        <w:rPr>
          <w:rFonts w:cs="Arial"/>
        </w:rPr>
        <w:t xml:space="preserve"> (Mar. 30, 2012).</w:t>
      </w:r>
    </w:p>
  </w:footnote>
  <w:footnote w:id="12">
    <w:p w:rsidR="00E00239" w:rsidRDefault="00C75211">
      <w:pPr>
        <w:pStyle w:val="FootnoteText"/>
        <w:spacing w:after="120"/>
      </w:pPr>
      <w:r>
        <w:rPr>
          <w:rStyle w:val="FootnoteReference"/>
        </w:rPr>
        <w:footnoteRef/>
      </w:r>
      <w:r>
        <w:t xml:space="preserve"> </w:t>
      </w:r>
      <w:r>
        <w:rPr>
          <w:rFonts w:cs="Arial"/>
        </w:rPr>
        <w:t>Section 4928.40(A), Revised Code; Section 4928.141(A), Revised Code.</w:t>
      </w:r>
    </w:p>
  </w:footnote>
  <w:footnote w:id="13">
    <w:p w:rsidR="00E00239" w:rsidRDefault="00C75211">
      <w:pPr>
        <w:pStyle w:val="FootnoteText"/>
        <w:spacing w:after="120"/>
      </w:pPr>
      <w:r>
        <w:rPr>
          <w:rStyle w:val="FootnoteReference"/>
        </w:rPr>
        <w:footnoteRef/>
      </w:r>
      <w:r>
        <w:t xml:space="preserve"> Testimony of J. Edward Hess (May 4, 2012); Testimony of Kevin M. Murray (May 4, 2012); </w:t>
      </w:r>
      <w:r>
        <w:rPr>
          <w:i/>
        </w:rPr>
        <w:t>see also OP Capacity Case</w:t>
      </w:r>
      <w:r>
        <w:t xml:space="preserve">, </w:t>
      </w:r>
      <w:r>
        <w:rPr>
          <w:rFonts w:cs="Arial"/>
          <w:color w:val="auto"/>
        </w:rPr>
        <w:t xml:space="preserve">Testimony of Kevin M. Murray (Apr. 4, 2012); </w:t>
      </w:r>
      <w:r>
        <w:rPr>
          <w:rFonts w:cs="Arial"/>
          <w:i/>
          <w:color w:val="auto"/>
        </w:rPr>
        <w:t>OP Cap</w:t>
      </w:r>
      <w:r>
        <w:rPr>
          <w:rFonts w:cs="Arial"/>
          <w:i/>
          <w:color w:val="auto"/>
        </w:rPr>
        <w:t>acity Case</w:t>
      </w:r>
      <w:r>
        <w:rPr>
          <w:rFonts w:cs="Arial"/>
          <w:color w:val="auto"/>
        </w:rPr>
        <w:t>,</w:t>
      </w:r>
      <w:r>
        <w:rPr>
          <w:rFonts w:cs="Arial"/>
          <w:i/>
          <w:color w:val="auto"/>
        </w:rPr>
        <w:t xml:space="preserve"> </w:t>
      </w:r>
      <w:r>
        <w:rPr>
          <w:rFonts w:cs="Arial"/>
          <w:color w:val="auto"/>
        </w:rPr>
        <w:t>Testimony of J. Edward Hess (Apr. 4, 3012).</w:t>
      </w:r>
    </w:p>
  </w:footnote>
  <w:footnote w:id="14">
    <w:p w:rsidR="00E00239" w:rsidRDefault="00C75211">
      <w:pPr>
        <w:pStyle w:val="FootnoteText"/>
        <w:spacing w:after="120"/>
      </w:pPr>
      <w:r>
        <w:rPr>
          <w:rStyle w:val="FootnoteReference"/>
        </w:rPr>
        <w:footnoteRef/>
      </w:r>
      <w:r>
        <w:t xml:space="preserve"> </w:t>
      </w:r>
      <w:r>
        <w:rPr>
          <w:i/>
        </w:rPr>
        <w:t>In the Matter of the Application of Columbus Southern Power Company for Approval of an Electric Transition Plan and Application for Receipt of Transition Revenues</w:t>
      </w:r>
      <w:r>
        <w:t xml:space="preserve">, Case Nos. 99-1729-EL-ETP, </w:t>
      </w:r>
      <w:r>
        <w:rPr>
          <w:i/>
        </w:rPr>
        <w:t>et al.</w:t>
      </w:r>
      <w:r>
        <w:t xml:space="preserve">, </w:t>
      </w:r>
      <w:r>
        <w:t>Stipulation and Recommendation at 3 (May 8, 2000).</w:t>
      </w:r>
    </w:p>
  </w:footnote>
  <w:footnote w:id="15">
    <w:p w:rsidR="00E00239" w:rsidRDefault="00C75211">
      <w:pPr>
        <w:pStyle w:val="FootnoteText"/>
      </w:pPr>
      <w:r>
        <w:rPr>
          <w:rStyle w:val="FootnoteReference"/>
        </w:rPr>
        <w:footnoteRef/>
      </w:r>
      <w:r>
        <w:t xml:space="preserve"> As further demonstrated by the Testimony of J. Edward Hess and Kevin Murray, the retail stability rider suffers from the same defect in that it requests transition revenues.</w:t>
      </w:r>
    </w:p>
  </w:footnote>
  <w:footnote w:id="16">
    <w:p w:rsidR="00E00239" w:rsidRDefault="00C75211">
      <w:pPr>
        <w:pStyle w:val="FootnoteText"/>
        <w:spacing w:after="120"/>
      </w:pPr>
      <w:r>
        <w:rPr>
          <w:rStyle w:val="FootnoteReference"/>
        </w:rPr>
        <w:footnoteRef/>
      </w:r>
      <w:r>
        <w:t xml:space="preserve"> Section 4928.143, Revised C</w:t>
      </w:r>
      <w:r>
        <w:t>ode.</w:t>
      </w:r>
    </w:p>
  </w:footnote>
  <w:footnote w:id="17">
    <w:p w:rsidR="00E00239" w:rsidRDefault="00C75211">
      <w:pPr>
        <w:pStyle w:val="FootnoteText"/>
        <w:spacing w:after="120"/>
      </w:pPr>
      <w:r>
        <w:rPr>
          <w:rStyle w:val="FootnoteReference"/>
        </w:rPr>
        <w:footnoteRef/>
      </w:r>
      <w:r>
        <w:t xml:space="preserve"> </w:t>
      </w:r>
      <w:r>
        <w:rPr>
          <w:i/>
        </w:rPr>
        <w:t>Id.</w:t>
      </w:r>
    </w:p>
  </w:footnote>
  <w:footnote w:id="18">
    <w:p w:rsidR="00E00239" w:rsidRDefault="00C75211">
      <w:pPr>
        <w:pStyle w:val="FootnoteText"/>
      </w:pPr>
      <w:r>
        <w:rPr>
          <w:rStyle w:val="FootnoteReference"/>
        </w:rPr>
        <w:footnoteRef/>
      </w:r>
      <w:r>
        <w:t xml:space="preserve"> Testimony of J. Edward Hess at 22-24 (May 4, 2012).</w:t>
      </w:r>
    </w:p>
  </w:footnote>
  <w:footnote w:id="19">
    <w:p w:rsidR="00E00239" w:rsidRDefault="00C75211">
      <w:pPr>
        <w:pStyle w:val="FootnoteText"/>
        <w:spacing w:after="120"/>
        <w:rPr>
          <w:rFonts w:cs="Arial"/>
        </w:rPr>
      </w:pPr>
      <w:r>
        <w:rPr>
          <w:rStyle w:val="FootnoteReference"/>
          <w:rFonts w:cs="Arial"/>
        </w:rPr>
        <w:footnoteRef/>
      </w:r>
      <w:r>
        <w:rPr>
          <w:rFonts w:cs="Arial"/>
        </w:rPr>
        <w:t xml:space="preserve"> Entry at 3 (Apr. 25, 2012); </w:t>
      </w:r>
      <w:r>
        <w:rPr>
          <w:rFonts w:cs="Arial"/>
          <w:i/>
        </w:rPr>
        <w:t xml:space="preserve">see also </w:t>
      </w:r>
      <w:r>
        <w:rPr>
          <w:rFonts w:cs="Arial"/>
        </w:rPr>
        <w:t>Opinion and Order at 30 (Dec. 14, 2011) (requiring the inclusion of the Turning Point Solar project as a cost of the ESP in the ESP v. MRO test).</w:t>
      </w:r>
    </w:p>
  </w:footnote>
  <w:footnote w:id="20">
    <w:p w:rsidR="00E00239" w:rsidRDefault="00C75211">
      <w:pPr>
        <w:pStyle w:val="FootnoteText"/>
        <w:spacing w:after="120"/>
        <w:rPr>
          <w:rFonts w:cs="Arial"/>
        </w:rPr>
      </w:pPr>
      <w:r>
        <w:rPr>
          <w:rStyle w:val="FootnoteReference"/>
          <w:rFonts w:cs="Arial"/>
        </w:rPr>
        <w:footnoteRef/>
      </w:r>
      <w:r>
        <w:rPr>
          <w:rFonts w:cs="Arial"/>
        </w:rPr>
        <w:t xml:space="preserve"> Supp</w:t>
      </w:r>
      <w:r>
        <w:rPr>
          <w:rFonts w:cs="Arial"/>
        </w:rPr>
        <w:t xml:space="preserve">lemental Testimony of Laura Thomas at 2. </w:t>
      </w:r>
    </w:p>
  </w:footnote>
  <w:footnote w:id="21">
    <w:p w:rsidR="00E00239" w:rsidRDefault="00C75211">
      <w:pPr>
        <w:pStyle w:val="FootnoteText"/>
      </w:pPr>
      <w:r>
        <w:rPr>
          <w:rStyle w:val="FootnoteReference"/>
        </w:rPr>
        <w:footnoteRef/>
      </w:r>
      <w:r>
        <w:t xml:space="preserve"> Direct Testimony of Laura Thomas at 19.</w:t>
      </w:r>
    </w:p>
    <w:p w:rsidR="00E00239" w:rsidRDefault="00C75211">
      <w:pPr>
        <w:pStyle w:val="FootnoteText"/>
      </w:pPr>
      <w:r>
        <w:t> </w:t>
      </w:r>
    </w:p>
  </w:footnote>
  <w:footnote w:id="22">
    <w:p w:rsidR="00E00239" w:rsidRDefault="00C75211">
      <w:pPr>
        <w:pStyle w:val="FootnoteText"/>
      </w:pPr>
      <w:r>
        <w:rPr>
          <w:rStyle w:val="FootnoteReference"/>
        </w:rPr>
        <w:footnoteRef/>
      </w:r>
      <w:r>
        <w:t xml:space="preserve"> </w:t>
      </w:r>
      <w:r>
        <w:rPr>
          <w:i/>
        </w:rPr>
        <w:t>In the Matter of the Continuation of the Rate Freeze and Extension of the Market Development Period for the Monongahela Power Company</w:t>
      </w:r>
      <w:r>
        <w:t>, Case No. 04-480-EL-UNC, Opinion a</w:t>
      </w:r>
      <w:r>
        <w:t>nd Order at 18-19 (Dec. 8, 2004) (finding it imprudent for MonPower to not enter an agreement at capped rates).</w:t>
      </w:r>
    </w:p>
    <w:p w:rsidR="00E00239" w:rsidRDefault="00E00239">
      <w:pPr>
        <w:pStyle w:val="FootnoteText"/>
      </w:pPr>
    </w:p>
  </w:footnote>
  <w:footnote w:id="23">
    <w:p w:rsidR="00E00239" w:rsidRDefault="00C75211">
      <w:pPr>
        <w:pStyle w:val="FootnoteText"/>
      </w:pPr>
      <w:r>
        <w:rPr>
          <w:rStyle w:val="FootnoteReference"/>
        </w:rPr>
        <w:footnoteRef/>
      </w:r>
      <w:r>
        <w:t xml:space="preserve"> </w:t>
      </w:r>
      <w:r>
        <w:rPr>
          <w:i/>
        </w:rPr>
        <w:t>In the Matter of Application of Duke Energy Ohio, Inc. for Approval of a Market Rate Offer to Conduct a Competitive Bidding Process for a Sta</w:t>
      </w:r>
      <w:r>
        <w:rPr>
          <w:i/>
        </w:rPr>
        <w:t>ndard Service Offer Electric Generation Supply, Accounting Modifications, and Tariffs for Generation Service</w:t>
      </w:r>
      <w:r>
        <w:t xml:space="preserve">, Case No. 10-2586-EL-SSO, Opinion and Order at 25 (Feb. 23, 2011). </w:t>
      </w:r>
    </w:p>
    <w:p w:rsidR="00E00239" w:rsidRDefault="00E00239">
      <w:pPr>
        <w:pStyle w:val="FootnoteText"/>
      </w:pPr>
    </w:p>
  </w:footnote>
  <w:footnote w:id="24">
    <w:p w:rsidR="00E00239" w:rsidRDefault="00C75211">
      <w:pPr>
        <w:pStyle w:val="FootnoteText"/>
        <w:spacing w:after="120"/>
        <w:rPr>
          <w:rFonts w:cs="Arial"/>
        </w:rPr>
      </w:pPr>
      <w:r>
        <w:rPr>
          <w:rStyle w:val="FootnoteReference"/>
          <w:rFonts w:cs="Arial"/>
        </w:rPr>
        <w:footnoteRef/>
      </w:r>
      <w:r>
        <w:rPr>
          <w:rFonts w:cs="Arial"/>
        </w:rPr>
        <w:t xml:space="preserve"> Direct Testimony of Laura Thomas at 20.</w:t>
      </w:r>
    </w:p>
  </w:footnote>
  <w:footnote w:id="25">
    <w:p w:rsidR="00E00239" w:rsidRDefault="00C75211">
      <w:pPr>
        <w:pStyle w:val="FootnoteText"/>
      </w:pPr>
      <w:r>
        <w:rPr>
          <w:rStyle w:val="FootnoteReference"/>
        </w:rPr>
        <w:footnoteRef/>
      </w:r>
      <w:r>
        <w:t xml:space="preserve"> </w:t>
      </w:r>
      <w:r>
        <w:rPr>
          <w:rFonts w:cs="Arial"/>
        </w:rPr>
        <w:t xml:space="preserve">In the Application and Testimony OP cites to/references the following cases that were resolved by the Stipulation: </w:t>
      </w:r>
      <w:r>
        <w:rPr>
          <w:rFonts w:cs="Arial"/>
          <w:i/>
        </w:rPr>
        <w:t xml:space="preserve">In the Matter of the Application of Columbus Southern Power Company and Ohio Power Company, Individually and, if Their Proposed Merger is </w:t>
      </w:r>
      <w:r>
        <w:rPr>
          <w:rFonts w:cs="Arial"/>
          <w:i/>
        </w:rPr>
        <w:t>Approved, as a Merged Company (collectively, AEP Ohio) for an Increase in Electric Distribution Rates</w:t>
      </w:r>
      <w:r>
        <w:rPr>
          <w:rFonts w:cs="Arial"/>
        </w:rPr>
        <w:t xml:space="preserve">, Case Nos. 11-351-EL-AIR, </w:t>
      </w:r>
      <w:r>
        <w:rPr>
          <w:rFonts w:cs="Arial"/>
          <w:i/>
        </w:rPr>
        <w:t>et al.</w:t>
      </w:r>
      <w:r>
        <w:rPr>
          <w:rFonts w:cs="Arial"/>
        </w:rPr>
        <w:t xml:space="preserve">, Stipulation at 14 (Nov. 23, 2011); </w:t>
      </w:r>
      <w:r>
        <w:rPr>
          <w:rFonts w:cs="Arial"/>
          <w:i/>
        </w:rPr>
        <w:t>In the Matter of the Application of Columbus Southern Power Company and Ohio Power Co</w:t>
      </w:r>
      <w:r>
        <w:rPr>
          <w:rFonts w:cs="Arial"/>
          <w:i/>
        </w:rPr>
        <w:t>mpany for Authority to Establish a Standard Service Offer Pursuant to §4928.143, Ohio Rev. Code, in the Form of an Electric Security Plan</w:t>
      </w:r>
      <w:r>
        <w:rPr>
          <w:rFonts w:cs="Arial"/>
        </w:rPr>
        <w:t xml:space="preserve">, Case Nos. 11-346-EL-SSO, </w:t>
      </w:r>
      <w:r>
        <w:rPr>
          <w:rFonts w:cs="Arial"/>
          <w:i/>
        </w:rPr>
        <w:t>et al.</w:t>
      </w:r>
      <w:r>
        <w:rPr>
          <w:rFonts w:cs="Arial"/>
        </w:rPr>
        <w:t xml:space="preserve">, Stipulation at 28-29 (Sep. 7, 2011); </w:t>
      </w:r>
      <w:r>
        <w:rPr>
          <w:rFonts w:cs="Arial"/>
          <w:i/>
        </w:rPr>
        <w:t>In the Matter of the Application of FirstEnergy</w:t>
      </w:r>
      <w:r>
        <w:rPr>
          <w:rFonts w:cs="Arial"/>
          <w:i/>
        </w:rPr>
        <w:t xml:space="preserve"> Corp. on behalf of Ohio Edison Company, The Cleveland Electric Illuminating Company, and the Toledo Edison Company for Approval of Their Transitions Plans and For Authorization to Collect for Transition Revenues</w:t>
      </w:r>
      <w:r>
        <w:rPr>
          <w:rFonts w:cs="Arial"/>
        </w:rPr>
        <w:t xml:space="preserve">, Case Nos. 99-1212-EL-ETP, </w:t>
      </w:r>
      <w:r>
        <w:rPr>
          <w:rFonts w:cs="Arial"/>
          <w:i/>
        </w:rPr>
        <w:t>et al.</w:t>
      </w:r>
      <w:r>
        <w:rPr>
          <w:rFonts w:cs="Arial"/>
        </w:rPr>
        <w:t>, Stipulat</w:t>
      </w:r>
      <w:r>
        <w:rPr>
          <w:rFonts w:cs="Arial"/>
        </w:rPr>
        <w:t xml:space="preserve">ion at 17-18 (Apr. 17, 2000); </w:t>
      </w:r>
      <w:r>
        <w:rPr>
          <w:rFonts w:cs="Arial"/>
          <w:i/>
        </w:rPr>
        <w:t>In the Matter of the Application of Duke Energy Ohio for Authority to Establish a Standard Service Offer Pursuant to Section 4928.143, Revised Code, in the Form of an Electric Security Plan, Accounting Modifications and Tariff</w:t>
      </w:r>
      <w:r>
        <w:rPr>
          <w:rFonts w:cs="Arial"/>
          <w:i/>
        </w:rPr>
        <w:t>s for Generation Service</w:t>
      </w:r>
      <w:r>
        <w:rPr>
          <w:rFonts w:cs="Arial"/>
        </w:rPr>
        <w:t xml:space="preserve">, Stipulation at 41-42 (Oct. 24, 2011); </w:t>
      </w:r>
      <w:r>
        <w:rPr>
          <w:rFonts w:cs="Arial"/>
          <w:i/>
        </w:rPr>
        <w:t>In the Matter of the Application of Ohio Edison Company, The Cleveland Electric Illuminating Company and The Toledo Edison Company for Authority to</w:t>
      </w:r>
      <w:r>
        <w:rPr>
          <w:i/>
        </w:rPr>
        <w:t xml:space="preserve"> </w:t>
      </w:r>
      <w:r>
        <w:rPr>
          <w:rFonts w:cs="Arial"/>
          <w:i/>
        </w:rPr>
        <w:t xml:space="preserve">Establish a Standard Service Offer Pursuant </w:t>
      </w:r>
      <w:r>
        <w:rPr>
          <w:rFonts w:cs="Arial"/>
          <w:i/>
        </w:rPr>
        <w:t>to R.C. § 4928.143 in the Form of an Electric Security Plan</w:t>
      </w:r>
      <w:r>
        <w:rPr>
          <w:rFonts w:cs="Arial"/>
        </w:rPr>
        <w:t>, Case No. 10-388-EL-SSO, Stipulation at 34 (Mar. 23, 2010).  Each of these stipulations contain</w:t>
      </w:r>
      <w:r>
        <w:t>s</w:t>
      </w:r>
      <w:r>
        <w:rPr>
          <w:rFonts w:cs="Arial"/>
        </w:rPr>
        <w:t xml:space="preserve"> provisions prohibiting citation to them as precedent to support propositions in future proceedings.</w:t>
      </w:r>
    </w:p>
  </w:footnote>
  <w:footnote w:id="26">
    <w:p w:rsidR="00E00239" w:rsidRDefault="00C75211">
      <w:pPr>
        <w:pStyle w:val="FootnoteText"/>
        <w:spacing w:after="120"/>
        <w:rPr>
          <w:rFonts w:cs="Arial"/>
        </w:rPr>
      </w:pPr>
      <w:r>
        <w:rPr>
          <w:rStyle w:val="FootnoteReference"/>
          <w:rFonts w:cs="Arial"/>
        </w:rPr>
        <w:footnoteRef/>
      </w:r>
      <w:r>
        <w:rPr>
          <w:rFonts w:cs="Arial"/>
        </w:rPr>
        <w:t xml:space="preserve"> Exhibit RVH-6 at 3 (all caps text removed).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211" w:rsidRDefault="00C7521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239" w:rsidRDefault="00E0023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239" w:rsidRDefault="00E0023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239" w:rsidRDefault="00E0023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239" w:rsidRDefault="00E00239">
    <w:pPr>
      <w:pStyle w:val="Heade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239" w:rsidRDefault="00E0023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239" w:rsidRDefault="00E00239">
    <w:pPr>
      <w:pStyle w:val="Header"/>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239" w:rsidRDefault="00E0023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239" w:rsidRDefault="00E0023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239" w:rsidRDefault="00E002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211" w:rsidRDefault="00C752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211" w:rsidRDefault="00C752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239" w:rsidRDefault="00E0023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239" w:rsidRDefault="00E0023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239" w:rsidRDefault="00E0023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239" w:rsidRDefault="00E0023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239" w:rsidRDefault="00E0023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239" w:rsidRDefault="00E002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1CF"/>
    <w:multiLevelType w:val="hybridMultilevel"/>
    <w:tmpl w:val="8B82663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67B5B39"/>
    <w:multiLevelType w:val="hybridMultilevel"/>
    <w:tmpl w:val="DA9657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6640E0"/>
    <w:multiLevelType w:val="hybridMultilevel"/>
    <w:tmpl w:val="506EF4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CC5A46"/>
    <w:multiLevelType w:val="hybridMultilevel"/>
    <w:tmpl w:val="9CE4743A"/>
    <w:lvl w:ilvl="0" w:tplc="744E485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272051"/>
    <w:multiLevelType w:val="hybridMultilevel"/>
    <w:tmpl w:val="A8D2F50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FE070D3"/>
    <w:multiLevelType w:val="hybridMultilevel"/>
    <w:tmpl w:val="27C8A88A"/>
    <w:lvl w:ilvl="0" w:tplc="A0240F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C13B3D"/>
    <w:multiLevelType w:val="hybridMultilevel"/>
    <w:tmpl w:val="D584E83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B724F3"/>
    <w:multiLevelType w:val="hybridMultilevel"/>
    <w:tmpl w:val="6CA68E7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2C66F9B"/>
    <w:multiLevelType w:val="hybridMultilevel"/>
    <w:tmpl w:val="61E877D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A0A16DF"/>
    <w:multiLevelType w:val="hybridMultilevel"/>
    <w:tmpl w:val="04B6F4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A815A00"/>
    <w:multiLevelType w:val="hybridMultilevel"/>
    <w:tmpl w:val="D77C5A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5"/>
  </w:num>
  <w:num w:numId="3">
    <w:abstractNumId w:val="2"/>
  </w:num>
  <w:num w:numId="4">
    <w:abstractNumId w:val="4"/>
  </w:num>
  <w:num w:numId="5">
    <w:abstractNumId w:val="7"/>
  </w:num>
  <w:num w:numId="6">
    <w:abstractNumId w:val="1"/>
  </w:num>
  <w:num w:numId="7">
    <w:abstractNumId w:val="10"/>
  </w:num>
  <w:num w:numId="8">
    <w:abstractNumId w:val="0"/>
  </w:num>
  <w:num w:numId="9">
    <w:abstractNumId w:val="9"/>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239"/>
    <w:rsid w:val="00C75211"/>
    <w:rsid w:val="00E0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US" w:eastAsia="en-US" w:bidi="ar-SA"/>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color w:val="000000" w:themeColor="text1"/>
      <w:szCs w:val="22"/>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5B2C3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semiHidden/>
    <w:unhideWhenUsed/>
    <w:qFormat/>
    <w:rsid w:val="00A7453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styleId="FootnoteReference">
    <w:name w:val="footnote reference"/>
    <w:aliases w:val="Style 42,o,fr,(NECG) Footnote Reference,Style 17,Style 20,Style 13,Style 12,o1,fr1,o2,fr2,o3,fr3,Style 15,Style 8,Style 9,Style 18,Style 7,Style 19,Style 28"/>
    <w:basedOn w:val="DefaultParagraphFont"/>
    <w:uiPriority w:val="99"/>
    <w:unhideWhenUsed/>
    <w:rPr>
      <w:rFonts w:ascii="Arial" w:hAnsi="Arial"/>
      <w:sz w:val="20"/>
      <w:vertAlign w:val="superscript"/>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cstheme="minorBidi"/>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theme="minorBidi"/>
      <w:szCs w:val="22"/>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heme="minorBidi"/>
      <w:szCs w:val="22"/>
    </w:rPr>
  </w:style>
  <w:style w:type="table" w:styleId="TableGrid">
    <w:name w:val="Table Grid"/>
    <w:basedOn w:val="TableNormal"/>
    <w:uiPriority w:val="59"/>
    <w:pPr>
      <w:spacing w:after="0" w:line="240" w:lineRule="auto"/>
      <w:jc w:val="left"/>
    </w:pPr>
    <w:rPr>
      <w:rFonts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pPr>
      <w:spacing w:after="0" w:line="240" w:lineRule="auto"/>
      <w:jc w:val="center"/>
    </w:pPr>
    <w:rPr>
      <w:rFonts w:cs="Arial"/>
      <w:b/>
      <w:smallCaps/>
      <w:sz w:val="32"/>
      <w:szCs w:val="24"/>
    </w:rPr>
  </w:style>
  <w:style w:type="character" w:customStyle="1" w:styleId="TitleChar">
    <w:name w:val="Title Char"/>
    <w:basedOn w:val="DefaultParagraphFont"/>
    <w:link w:val="Title"/>
    <w:rPr>
      <w:rFonts w:cs="Arial"/>
      <w:b/>
      <w:smallCaps/>
      <w:sz w:val="32"/>
    </w:rPr>
  </w:style>
  <w:style w:type="paragraph" w:styleId="BodyText">
    <w:name w:val="Body Text"/>
    <w:basedOn w:val="Normal"/>
    <w:link w:val="BodyTextChar"/>
    <w:unhideWhenUsed/>
    <w:pPr>
      <w:spacing w:after="0" w:line="240" w:lineRule="auto"/>
    </w:pPr>
    <w:rPr>
      <w:rFonts w:cs="Arial"/>
      <w:szCs w:val="24"/>
    </w:rPr>
  </w:style>
  <w:style w:type="character" w:customStyle="1" w:styleId="BodyTextChar">
    <w:name w:val="Body Text Char"/>
    <w:basedOn w:val="DefaultParagraphFont"/>
    <w:link w:val="BodyText"/>
    <w:rPr>
      <w:rFonts w:cs="Arial"/>
    </w:rPr>
  </w:style>
  <w:style w:type="paragraph" w:styleId="BodyText3">
    <w:name w:val="Body Text 3"/>
    <w:basedOn w:val="Normal"/>
    <w:link w:val="BodyText3Char"/>
    <w:semiHidden/>
    <w:unhideWhenUsed/>
    <w:pPr>
      <w:spacing w:after="0" w:line="240" w:lineRule="auto"/>
      <w:jc w:val="left"/>
    </w:pPr>
    <w:rPr>
      <w:rFonts w:cs="Times New Roman"/>
      <w:b/>
      <w:szCs w:val="20"/>
    </w:rPr>
  </w:style>
  <w:style w:type="character" w:customStyle="1" w:styleId="BodyText3Char">
    <w:name w:val="Body Text 3 Char"/>
    <w:basedOn w:val="DefaultParagraphFont"/>
    <w:link w:val="BodyText3"/>
    <w:semiHidden/>
    <w:rPr>
      <w:b/>
      <w:szCs w:val="20"/>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sid w:val="00952796"/>
    <w:rPr>
      <w:sz w:val="16"/>
      <w:szCs w:val="16"/>
    </w:rPr>
  </w:style>
  <w:style w:type="paragraph" w:styleId="CommentText">
    <w:name w:val="annotation text"/>
    <w:basedOn w:val="Normal"/>
    <w:link w:val="CommentTextChar"/>
    <w:uiPriority w:val="99"/>
    <w:semiHidden/>
    <w:unhideWhenUsed/>
    <w:rsid w:val="00952796"/>
    <w:pPr>
      <w:spacing w:line="240" w:lineRule="auto"/>
    </w:pPr>
    <w:rPr>
      <w:sz w:val="20"/>
      <w:szCs w:val="20"/>
    </w:rPr>
  </w:style>
  <w:style w:type="character" w:customStyle="1" w:styleId="CommentTextChar">
    <w:name w:val="Comment Text Char"/>
    <w:basedOn w:val="DefaultParagraphFont"/>
    <w:link w:val="CommentText"/>
    <w:uiPriority w:val="99"/>
    <w:semiHidden/>
    <w:rsid w:val="00952796"/>
    <w:rPr>
      <w:rFonts w:cstheme="minorBid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952796"/>
    <w:rPr>
      <w:b/>
      <w:bCs/>
    </w:rPr>
  </w:style>
  <w:style w:type="character" w:customStyle="1" w:styleId="CommentSubjectChar">
    <w:name w:val="Comment Subject Char"/>
    <w:basedOn w:val="CommentTextChar"/>
    <w:link w:val="CommentSubject"/>
    <w:uiPriority w:val="99"/>
    <w:semiHidden/>
    <w:rsid w:val="00952796"/>
    <w:rPr>
      <w:rFonts w:cstheme="minorBidi"/>
      <w:b/>
      <w:bCs/>
      <w:color w:val="000000" w:themeColor="text1"/>
      <w:sz w:val="20"/>
      <w:szCs w:val="20"/>
    </w:rPr>
  </w:style>
  <w:style w:type="paragraph" w:styleId="BalloonText">
    <w:name w:val="Balloon Text"/>
    <w:basedOn w:val="Normal"/>
    <w:link w:val="BalloonTextChar"/>
    <w:uiPriority w:val="99"/>
    <w:semiHidden/>
    <w:unhideWhenUsed/>
    <w:rsid w:val="00952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796"/>
    <w:rPr>
      <w:rFonts w:ascii="Tahoma" w:hAnsi="Tahoma" w:cs="Tahoma"/>
      <w:color w:val="000000" w:themeColor="text1"/>
      <w:sz w:val="16"/>
      <w:szCs w:val="16"/>
    </w:rPr>
  </w:style>
  <w:style w:type="character" w:customStyle="1" w:styleId="Heading4Char">
    <w:name w:val="Heading 4 Char"/>
    <w:basedOn w:val="DefaultParagraphFont"/>
    <w:link w:val="Heading4"/>
    <w:uiPriority w:val="9"/>
    <w:semiHidden/>
    <w:rsid w:val="005B2C3B"/>
    <w:rPr>
      <w:rFonts w:asciiTheme="majorHAnsi" w:eastAsiaTheme="majorEastAsia" w:hAnsiTheme="majorHAnsi" w:cstheme="majorBidi"/>
      <w:b/>
      <w:bCs/>
      <w:i/>
      <w:iCs/>
      <w:color w:val="4F81BD" w:themeColor="accent1"/>
      <w:szCs w:val="22"/>
    </w:rPr>
  </w:style>
  <w:style w:type="table" w:customStyle="1" w:styleId="TableGrid1">
    <w:name w:val="Table Grid1"/>
    <w:basedOn w:val="TableNormal"/>
    <w:next w:val="TableGrid"/>
    <w:uiPriority w:val="59"/>
    <w:pPr>
      <w:spacing w:after="0" w:line="240" w:lineRule="auto"/>
      <w:jc w:val="left"/>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basedOn w:val="DefaultParagraphFont"/>
    <w:link w:val="Heading9"/>
    <w:uiPriority w:val="9"/>
    <w:semiHidden/>
    <w:rsid w:val="00A74535"/>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US" w:eastAsia="en-US" w:bidi="ar-SA"/>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color w:val="000000" w:themeColor="text1"/>
      <w:szCs w:val="22"/>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5B2C3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semiHidden/>
    <w:unhideWhenUsed/>
    <w:qFormat/>
    <w:rsid w:val="00A7453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styleId="FootnoteReference">
    <w:name w:val="footnote reference"/>
    <w:aliases w:val="Style 42,o,fr,(NECG) Footnote Reference,Style 17,Style 20,Style 13,Style 12,o1,fr1,o2,fr2,o3,fr3,Style 15,Style 8,Style 9,Style 18,Style 7,Style 19,Style 28"/>
    <w:basedOn w:val="DefaultParagraphFont"/>
    <w:uiPriority w:val="99"/>
    <w:unhideWhenUsed/>
    <w:rPr>
      <w:rFonts w:ascii="Arial" w:hAnsi="Arial"/>
      <w:sz w:val="20"/>
      <w:vertAlign w:val="superscript"/>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cstheme="minorBidi"/>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theme="minorBidi"/>
      <w:szCs w:val="22"/>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heme="minorBidi"/>
      <w:szCs w:val="22"/>
    </w:rPr>
  </w:style>
  <w:style w:type="table" w:styleId="TableGrid">
    <w:name w:val="Table Grid"/>
    <w:basedOn w:val="TableNormal"/>
    <w:uiPriority w:val="59"/>
    <w:pPr>
      <w:spacing w:after="0" w:line="240" w:lineRule="auto"/>
      <w:jc w:val="left"/>
    </w:pPr>
    <w:rPr>
      <w:rFonts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pPr>
      <w:spacing w:after="0" w:line="240" w:lineRule="auto"/>
      <w:jc w:val="center"/>
    </w:pPr>
    <w:rPr>
      <w:rFonts w:cs="Arial"/>
      <w:b/>
      <w:smallCaps/>
      <w:sz w:val="32"/>
      <w:szCs w:val="24"/>
    </w:rPr>
  </w:style>
  <w:style w:type="character" w:customStyle="1" w:styleId="TitleChar">
    <w:name w:val="Title Char"/>
    <w:basedOn w:val="DefaultParagraphFont"/>
    <w:link w:val="Title"/>
    <w:rPr>
      <w:rFonts w:cs="Arial"/>
      <w:b/>
      <w:smallCaps/>
      <w:sz w:val="32"/>
    </w:rPr>
  </w:style>
  <w:style w:type="paragraph" w:styleId="BodyText">
    <w:name w:val="Body Text"/>
    <w:basedOn w:val="Normal"/>
    <w:link w:val="BodyTextChar"/>
    <w:unhideWhenUsed/>
    <w:pPr>
      <w:spacing w:after="0" w:line="240" w:lineRule="auto"/>
    </w:pPr>
    <w:rPr>
      <w:rFonts w:cs="Arial"/>
      <w:szCs w:val="24"/>
    </w:rPr>
  </w:style>
  <w:style w:type="character" w:customStyle="1" w:styleId="BodyTextChar">
    <w:name w:val="Body Text Char"/>
    <w:basedOn w:val="DefaultParagraphFont"/>
    <w:link w:val="BodyText"/>
    <w:rPr>
      <w:rFonts w:cs="Arial"/>
    </w:rPr>
  </w:style>
  <w:style w:type="paragraph" w:styleId="BodyText3">
    <w:name w:val="Body Text 3"/>
    <w:basedOn w:val="Normal"/>
    <w:link w:val="BodyText3Char"/>
    <w:semiHidden/>
    <w:unhideWhenUsed/>
    <w:pPr>
      <w:spacing w:after="0" w:line="240" w:lineRule="auto"/>
      <w:jc w:val="left"/>
    </w:pPr>
    <w:rPr>
      <w:rFonts w:cs="Times New Roman"/>
      <w:b/>
      <w:szCs w:val="20"/>
    </w:rPr>
  </w:style>
  <w:style w:type="character" w:customStyle="1" w:styleId="BodyText3Char">
    <w:name w:val="Body Text 3 Char"/>
    <w:basedOn w:val="DefaultParagraphFont"/>
    <w:link w:val="BodyText3"/>
    <w:semiHidden/>
    <w:rPr>
      <w:b/>
      <w:szCs w:val="20"/>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sid w:val="00952796"/>
    <w:rPr>
      <w:sz w:val="16"/>
      <w:szCs w:val="16"/>
    </w:rPr>
  </w:style>
  <w:style w:type="paragraph" w:styleId="CommentText">
    <w:name w:val="annotation text"/>
    <w:basedOn w:val="Normal"/>
    <w:link w:val="CommentTextChar"/>
    <w:uiPriority w:val="99"/>
    <w:semiHidden/>
    <w:unhideWhenUsed/>
    <w:rsid w:val="00952796"/>
    <w:pPr>
      <w:spacing w:line="240" w:lineRule="auto"/>
    </w:pPr>
    <w:rPr>
      <w:sz w:val="20"/>
      <w:szCs w:val="20"/>
    </w:rPr>
  </w:style>
  <w:style w:type="character" w:customStyle="1" w:styleId="CommentTextChar">
    <w:name w:val="Comment Text Char"/>
    <w:basedOn w:val="DefaultParagraphFont"/>
    <w:link w:val="CommentText"/>
    <w:uiPriority w:val="99"/>
    <w:semiHidden/>
    <w:rsid w:val="00952796"/>
    <w:rPr>
      <w:rFonts w:cstheme="minorBid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952796"/>
    <w:rPr>
      <w:b/>
      <w:bCs/>
    </w:rPr>
  </w:style>
  <w:style w:type="character" w:customStyle="1" w:styleId="CommentSubjectChar">
    <w:name w:val="Comment Subject Char"/>
    <w:basedOn w:val="CommentTextChar"/>
    <w:link w:val="CommentSubject"/>
    <w:uiPriority w:val="99"/>
    <w:semiHidden/>
    <w:rsid w:val="00952796"/>
    <w:rPr>
      <w:rFonts w:cstheme="minorBidi"/>
      <w:b/>
      <w:bCs/>
      <w:color w:val="000000" w:themeColor="text1"/>
      <w:sz w:val="20"/>
      <w:szCs w:val="20"/>
    </w:rPr>
  </w:style>
  <w:style w:type="paragraph" w:styleId="BalloonText">
    <w:name w:val="Balloon Text"/>
    <w:basedOn w:val="Normal"/>
    <w:link w:val="BalloonTextChar"/>
    <w:uiPriority w:val="99"/>
    <w:semiHidden/>
    <w:unhideWhenUsed/>
    <w:rsid w:val="00952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796"/>
    <w:rPr>
      <w:rFonts w:ascii="Tahoma" w:hAnsi="Tahoma" w:cs="Tahoma"/>
      <w:color w:val="000000" w:themeColor="text1"/>
      <w:sz w:val="16"/>
      <w:szCs w:val="16"/>
    </w:rPr>
  </w:style>
  <w:style w:type="character" w:customStyle="1" w:styleId="Heading4Char">
    <w:name w:val="Heading 4 Char"/>
    <w:basedOn w:val="DefaultParagraphFont"/>
    <w:link w:val="Heading4"/>
    <w:uiPriority w:val="9"/>
    <w:semiHidden/>
    <w:rsid w:val="005B2C3B"/>
    <w:rPr>
      <w:rFonts w:asciiTheme="majorHAnsi" w:eastAsiaTheme="majorEastAsia" w:hAnsiTheme="majorHAnsi" w:cstheme="majorBidi"/>
      <w:b/>
      <w:bCs/>
      <w:i/>
      <w:iCs/>
      <w:color w:val="4F81BD" w:themeColor="accent1"/>
      <w:szCs w:val="22"/>
    </w:rPr>
  </w:style>
  <w:style w:type="table" w:customStyle="1" w:styleId="TableGrid1">
    <w:name w:val="Table Grid1"/>
    <w:basedOn w:val="TableNormal"/>
    <w:next w:val="TableGrid"/>
    <w:uiPriority w:val="59"/>
    <w:pPr>
      <w:spacing w:after="0" w:line="240" w:lineRule="auto"/>
      <w:jc w:val="left"/>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basedOn w:val="DefaultParagraphFont"/>
    <w:link w:val="Heading9"/>
    <w:uiPriority w:val="9"/>
    <w:semiHidden/>
    <w:rsid w:val="00A74535"/>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118038">
      <w:bodyDiv w:val="1"/>
      <w:marLeft w:val="0"/>
      <w:marRight w:val="0"/>
      <w:marTop w:val="0"/>
      <w:marBottom w:val="0"/>
      <w:divBdr>
        <w:top w:val="none" w:sz="0" w:space="0" w:color="auto"/>
        <w:left w:val="none" w:sz="0" w:space="0" w:color="auto"/>
        <w:bottom w:val="none" w:sz="0" w:space="0" w:color="auto"/>
        <w:right w:val="none" w:sz="0" w:space="0" w:color="auto"/>
      </w:divBdr>
    </w:div>
    <w:div w:id="1032922936">
      <w:bodyDiv w:val="1"/>
      <w:marLeft w:val="0"/>
      <w:marRight w:val="0"/>
      <w:marTop w:val="0"/>
      <w:marBottom w:val="0"/>
      <w:divBdr>
        <w:top w:val="none" w:sz="0" w:space="0" w:color="auto"/>
        <w:left w:val="none" w:sz="0" w:space="0" w:color="auto"/>
        <w:bottom w:val="none" w:sz="0" w:space="0" w:color="auto"/>
        <w:right w:val="none" w:sz="0" w:space="0" w:color="auto"/>
      </w:divBdr>
    </w:div>
    <w:div w:id="1632205973">
      <w:bodyDiv w:val="1"/>
      <w:marLeft w:val="0"/>
      <w:marRight w:val="0"/>
      <w:marTop w:val="0"/>
      <w:marBottom w:val="0"/>
      <w:divBdr>
        <w:top w:val="none" w:sz="0" w:space="0" w:color="auto"/>
        <w:left w:val="none" w:sz="0" w:space="0" w:color="auto"/>
        <w:bottom w:val="none" w:sz="0" w:space="0" w:color="auto"/>
        <w:right w:val="none" w:sz="0" w:space="0" w:color="auto"/>
      </w:divBdr>
      <w:divsChild>
        <w:div w:id="601838870">
          <w:marLeft w:val="0"/>
          <w:marRight w:val="-5040"/>
          <w:marTop w:val="0"/>
          <w:marBottom w:val="0"/>
          <w:divBdr>
            <w:top w:val="none" w:sz="0" w:space="0" w:color="auto"/>
            <w:left w:val="none" w:sz="0" w:space="0" w:color="auto"/>
            <w:bottom w:val="none" w:sz="0" w:space="0" w:color="auto"/>
            <w:right w:val="none" w:sz="0" w:space="0" w:color="auto"/>
          </w:divBdr>
          <w:divsChild>
            <w:div w:id="812717452">
              <w:marLeft w:val="0"/>
              <w:marRight w:val="5040"/>
              <w:marTop w:val="0"/>
              <w:marBottom w:val="0"/>
              <w:divBdr>
                <w:top w:val="none" w:sz="0" w:space="0" w:color="auto"/>
                <w:left w:val="none" w:sz="0" w:space="0" w:color="auto"/>
                <w:bottom w:val="none" w:sz="0" w:space="0" w:color="auto"/>
                <w:right w:val="none" w:sz="0" w:space="0" w:color="auto"/>
              </w:divBdr>
              <w:divsChild>
                <w:div w:id="128280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5993">
      <w:bodyDiv w:val="1"/>
      <w:marLeft w:val="0"/>
      <w:marRight w:val="0"/>
      <w:marTop w:val="0"/>
      <w:marBottom w:val="0"/>
      <w:divBdr>
        <w:top w:val="none" w:sz="0" w:space="0" w:color="auto"/>
        <w:left w:val="none" w:sz="0" w:space="0" w:color="auto"/>
        <w:bottom w:val="none" w:sz="0" w:space="0" w:color="auto"/>
        <w:right w:val="none" w:sz="0" w:space="0" w:color="auto"/>
      </w:divBdr>
      <w:divsChild>
        <w:div w:id="903835348">
          <w:marLeft w:val="0"/>
          <w:marRight w:val="-5040"/>
          <w:marTop w:val="0"/>
          <w:marBottom w:val="0"/>
          <w:divBdr>
            <w:top w:val="none" w:sz="0" w:space="0" w:color="auto"/>
            <w:left w:val="none" w:sz="0" w:space="0" w:color="auto"/>
            <w:bottom w:val="none" w:sz="0" w:space="0" w:color="auto"/>
            <w:right w:val="none" w:sz="0" w:space="0" w:color="auto"/>
          </w:divBdr>
          <w:divsChild>
            <w:div w:id="2079790953">
              <w:marLeft w:val="0"/>
              <w:marRight w:val="5040"/>
              <w:marTop w:val="0"/>
              <w:marBottom w:val="0"/>
              <w:divBdr>
                <w:top w:val="none" w:sz="0" w:space="0" w:color="auto"/>
                <w:left w:val="none" w:sz="0" w:space="0" w:color="auto"/>
                <w:bottom w:val="none" w:sz="0" w:space="0" w:color="auto"/>
                <w:right w:val="none" w:sz="0" w:space="0" w:color="auto"/>
              </w:divBdr>
              <w:divsChild>
                <w:div w:id="70884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1703">
      <w:bodyDiv w:val="1"/>
      <w:marLeft w:val="0"/>
      <w:marRight w:val="0"/>
      <w:marTop w:val="0"/>
      <w:marBottom w:val="0"/>
      <w:divBdr>
        <w:top w:val="none" w:sz="0" w:space="0" w:color="auto"/>
        <w:left w:val="none" w:sz="0" w:space="0" w:color="auto"/>
        <w:bottom w:val="none" w:sz="0" w:space="0" w:color="auto"/>
        <w:right w:val="none" w:sz="0" w:space="0" w:color="auto"/>
      </w:divBdr>
      <w:divsChild>
        <w:div w:id="2082824649">
          <w:marLeft w:val="0"/>
          <w:marRight w:val="-5040"/>
          <w:marTop w:val="0"/>
          <w:marBottom w:val="0"/>
          <w:divBdr>
            <w:top w:val="none" w:sz="0" w:space="0" w:color="auto"/>
            <w:left w:val="none" w:sz="0" w:space="0" w:color="auto"/>
            <w:bottom w:val="none" w:sz="0" w:space="0" w:color="auto"/>
            <w:right w:val="none" w:sz="0" w:space="0" w:color="auto"/>
          </w:divBdr>
          <w:divsChild>
            <w:div w:id="2126577727">
              <w:marLeft w:val="0"/>
              <w:marRight w:val="5040"/>
              <w:marTop w:val="0"/>
              <w:marBottom w:val="0"/>
              <w:divBdr>
                <w:top w:val="none" w:sz="0" w:space="0" w:color="auto"/>
                <w:left w:val="none" w:sz="0" w:space="0" w:color="auto"/>
                <w:bottom w:val="none" w:sz="0" w:space="0" w:color="auto"/>
                <w:right w:val="none" w:sz="0" w:space="0" w:color="auto"/>
              </w:divBdr>
              <w:divsChild>
                <w:div w:id="9032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8080</Words>
  <Characters>44687</Characters>
  <Application>Microsoft Office Word</Application>
  <DocSecurity>0</DocSecurity>
  <PresentationFormat/>
  <Lines>1655</Lines>
  <Paragraphs>1055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51712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to Strike Testimony ESP MOD (11-346) (C37550-2).DOCX</dc:title>
  <dc:subject>C37550:2 /font=8</dc:subject>
  <dc:creator/>
  <cp:keywords> </cp:keywords>
  <dc:description> </dc:description>
  <cp:lastModifiedBy/>
  <cp:revision>29</cp:revision>
  <cp:lastPrinted>2012-05-04T20:35:00Z</cp:lastPrinted>
  <dcterms:created xsi:type="dcterms:W3CDTF">2012-05-02T20:30:00Z</dcterms:created>
  <dcterms:modified xsi:type="dcterms:W3CDTF">2012-05-04T20:57:00Z</dcterms:modified>
  <cp:category> </cp:category>
  <cp:contentStatus> </cp:contentStatus>
</cp:coreProperties>
</file>