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76551" w:rsidRPr="004268AF" w:rsidP="004268AF" w14:paraId="43B06B4E" w14:textId="77777777">
      <w:pPr>
        <w:jc w:val="center"/>
        <w:rPr>
          <w:b/>
          <w:bCs/>
          <w:caps/>
        </w:rPr>
      </w:pPr>
      <w:r w:rsidRPr="004268AF">
        <w:rPr>
          <w:b/>
          <w:bCs/>
          <w:caps/>
        </w:rPr>
        <w:t>BEFORE</w:t>
      </w:r>
    </w:p>
    <w:p w:rsidR="00176551" w:rsidRPr="004268AF" w:rsidP="004268AF" w14:paraId="62116FC4" w14:textId="77777777">
      <w:pPr>
        <w:jc w:val="center"/>
        <w:rPr>
          <w:b/>
          <w:bCs/>
          <w:caps/>
        </w:rPr>
      </w:pPr>
      <w:r w:rsidRPr="004268AF">
        <w:rPr>
          <w:b/>
          <w:bCs/>
          <w:caps/>
        </w:rPr>
        <w:t>THE PUBLIC UTILITIES COMMISSION OF OHIO</w:t>
      </w:r>
    </w:p>
    <w:p w:rsidR="00176551" w:rsidRPr="004268AF" w:rsidP="004268AF" w14:paraId="51F9A9A3" w14:textId="77777777"/>
    <w:p w:rsidR="00176551" w:rsidRPr="004268AF" w:rsidP="004268AF" w14:paraId="71EDC095" w14:textId="77777777">
      <w:r w:rsidRPr="004268AF">
        <w:t xml:space="preserve">In the Matter of the Review of the </w:t>
      </w:r>
      <w:r w:rsidRPr="004268AF">
        <w:tab/>
      </w:r>
      <w:r w:rsidRPr="004268AF">
        <w:tab/>
        <w:t>)</w:t>
      </w:r>
    </w:p>
    <w:p w:rsidR="00176551" w:rsidRPr="004268AF" w:rsidP="004268AF" w14:paraId="49020352" w14:textId="77777777">
      <w:r w:rsidRPr="004268AF">
        <w:t>Political and Charitable Spending by Ohio</w:t>
      </w:r>
      <w:r w:rsidRPr="004268AF">
        <w:tab/>
        <w:t>)</w:t>
      </w:r>
      <w:r w:rsidRPr="004268AF">
        <w:tab/>
        <w:t>Case No. 20-1502-EL-UNC</w:t>
      </w:r>
    </w:p>
    <w:p w:rsidR="00176551" w:rsidRPr="004268AF" w:rsidP="004268AF" w14:paraId="6D464FE8" w14:textId="77777777">
      <w:r w:rsidRPr="004268AF">
        <w:t>Edison Company, The Cleveland Electric</w:t>
      </w:r>
      <w:r w:rsidRPr="004268AF">
        <w:tab/>
        <w:t>)</w:t>
      </w:r>
    </w:p>
    <w:p w:rsidR="00176551" w:rsidRPr="004268AF" w:rsidP="004268AF" w14:paraId="3D745F6F" w14:textId="77777777">
      <w:r w:rsidRPr="004268AF">
        <w:t>Illuminating Company, and the Toledo</w:t>
      </w:r>
      <w:r w:rsidRPr="004268AF">
        <w:tab/>
        <w:t>)</w:t>
      </w:r>
    </w:p>
    <w:p w:rsidR="00176551" w:rsidRPr="004268AF" w:rsidP="004268AF" w14:paraId="347DEB62" w14:textId="77777777">
      <w:r w:rsidRPr="004268AF">
        <w:t>Edison Company.</w:t>
      </w:r>
      <w:r w:rsidRPr="004268AF">
        <w:tab/>
      </w:r>
      <w:r w:rsidRPr="004268AF">
        <w:tab/>
      </w:r>
      <w:r w:rsidRPr="004268AF">
        <w:tab/>
      </w:r>
      <w:r w:rsidRPr="004268AF">
        <w:tab/>
        <w:t>)</w:t>
      </w:r>
    </w:p>
    <w:p w:rsidR="00176551" w:rsidRPr="004268AF" w:rsidP="004268AF" w14:paraId="5DBBE212" w14:textId="77777777">
      <w:pPr>
        <w:rPr>
          <w:b/>
          <w:bCs/>
          <w:u w:val="single"/>
        </w:rPr>
      </w:pP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p>
    <w:p w:rsidR="00176551" w:rsidRPr="004268AF" w:rsidP="004268AF" w14:paraId="0BDCB3B8" w14:textId="77777777">
      <w:pPr>
        <w:jc w:val="center"/>
        <w:rPr>
          <w:caps/>
        </w:rPr>
      </w:pPr>
    </w:p>
    <w:p w:rsidR="002824BC" w:rsidRPr="004268AF" w:rsidP="004268AF" w14:paraId="2E6BFD08" w14:textId="09BDDF19">
      <w:pPr>
        <w:jc w:val="center"/>
        <w:rPr>
          <w:b/>
          <w:bCs/>
        </w:rPr>
      </w:pPr>
      <w:r w:rsidRPr="004268AF">
        <w:rPr>
          <w:b/>
          <w:bCs/>
        </w:rPr>
        <w:t>MEMORANDUM CONTRA</w:t>
      </w:r>
      <w:r w:rsidRPr="004268AF" w:rsidR="000D46B9">
        <w:rPr>
          <w:b/>
          <w:bCs/>
        </w:rPr>
        <w:t xml:space="preserve"> </w:t>
      </w:r>
      <w:r w:rsidRPr="004268AF">
        <w:rPr>
          <w:b/>
          <w:bCs/>
        </w:rPr>
        <w:t xml:space="preserve">FIRSTENERGY’S INTERLOCUTORY APPEAL </w:t>
      </w:r>
    </w:p>
    <w:p w:rsidR="00176551" w:rsidRPr="004268AF" w:rsidP="004268AF" w14:paraId="46DEEA92" w14:textId="2A4244A6">
      <w:pPr>
        <w:jc w:val="center"/>
        <w:rPr>
          <w:b/>
          <w:bCs/>
        </w:rPr>
      </w:pPr>
      <w:r w:rsidRPr="004268AF">
        <w:rPr>
          <w:b/>
          <w:bCs/>
        </w:rPr>
        <w:t xml:space="preserve">BY </w:t>
      </w:r>
    </w:p>
    <w:p w:rsidR="00176551" w:rsidRPr="004268AF" w:rsidP="004268AF" w14:paraId="70D9BE39" w14:textId="77777777">
      <w:pPr>
        <w:jc w:val="center"/>
        <w:rPr>
          <w:b/>
          <w:bCs/>
        </w:rPr>
      </w:pPr>
      <w:r w:rsidRPr="004268AF">
        <w:rPr>
          <w:b/>
          <w:bCs/>
        </w:rPr>
        <w:t>OFFICE OF THE OHIO CONSUMERS' COUNSEL</w:t>
      </w:r>
    </w:p>
    <w:p w:rsidR="00176551" w:rsidRPr="004268AF" w:rsidP="004268AF" w14:paraId="6C639314"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176551" w:rsidRPr="004268AF" w:rsidP="004268AF" w14:paraId="430E6891" w14:textId="319098C7">
      <w:pPr>
        <w:pStyle w:val="NoSpacing"/>
        <w:spacing w:line="240" w:lineRule="auto"/>
        <w:ind w:firstLine="0"/>
      </w:pPr>
    </w:p>
    <w:p w:rsidR="00B133F7" w:rsidRPr="004268AF" w:rsidP="004268AF" w14:paraId="1341CEDB" w14:textId="77777777">
      <w:pPr>
        <w:pStyle w:val="NoSpacing"/>
        <w:spacing w:line="240" w:lineRule="auto"/>
        <w:ind w:firstLine="0"/>
      </w:pPr>
    </w:p>
    <w:p w:rsidR="006D4B35" w:rsidRPr="004268AF" w:rsidP="004268AF" w14:paraId="3BBFED36" w14:textId="631F9278">
      <w:pPr>
        <w:ind w:left="4320"/>
      </w:pPr>
      <w:r w:rsidRPr="004268AF">
        <w:t>Bruce Weston (0016973)</w:t>
      </w:r>
    </w:p>
    <w:p w:rsidR="006D4B35" w:rsidRPr="004268AF" w:rsidP="004268AF" w14:paraId="4CFBFA62" w14:textId="77777777">
      <w:pPr>
        <w:ind w:left="4320"/>
      </w:pPr>
      <w:r w:rsidRPr="004268AF">
        <w:t>Ohio Consumers’ Counsel</w:t>
      </w:r>
    </w:p>
    <w:p w:rsidR="00284394" w:rsidRPr="004268AF" w:rsidP="004268AF" w14:paraId="188C1FDD" w14:textId="77777777">
      <w:pPr>
        <w:suppressLineNumbers/>
        <w:ind w:left="4320"/>
        <w:rPr>
          <w:i/>
          <w:iCs/>
          <w:u w:val="single"/>
        </w:rPr>
      </w:pPr>
    </w:p>
    <w:p w:rsidR="006D4B35" w:rsidRPr="004268AF" w:rsidP="004268AF" w14:paraId="0D65D96A" w14:textId="342F603F">
      <w:pPr>
        <w:suppressLineNumbers/>
        <w:ind w:left="4320"/>
      </w:pPr>
      <w:r w:rsidRPr="004268AF">
        <w:t>Maureen R. Willis (0020847)</w:t>
      </w:r>
    </w:p>
    <w:p w:rsidR="006D4B35" w:rsidRPr="004268AF" w:rsidP="004268AF" w14:paraId="17527E8B" w14:textId="77777777">
      <w:pPr>
        <w:suppressLineNumbers/>
        <w:ind w:left="4320"/>
      </w:pPr>
      <w:r w:rsidRPr="004268AF">
        <w:t>Counsel of Record</w:t>
      </w:r>
    </w:p>
    <w:p w:rsidR="006D4B35" w:rsidRPr="004268AF" w:rsidP="004268AF" w14:paraId="52CD5577" w14:textId="77777777">
      <w:pPr>
        <w:suppressLineNumbers/>
        <w:ind w:left="4320"/>
      </w:pPr>
      <w:r w:rsidRPr="004268AF">
        <w:t>John Finnigan (0018689)</w:t>
      </w:r>
      <w:r w:rsidRPr="004268AF">
        <w:tab/>
      </w:r>
    </w:p>
    <w:p w:rsidR="006D4B35" w:rsidRPr="004268AF" w:rsidP="004268AF" w14:paraId="2A548E33" w14:textId="77777777">
      <w:pPr>
        <w:suppressLineNumbers/>
        <w:ind w:left="4320"/>
      </w:pPr>
      <w:r w:rsidRPr="004268AF">
        <w:t>Assistant Consumers’ Counsel</w:t>
      </w:r>
    </w:p>
    <w:p w:rsidR="006D4B35" w:rsidRPr="004268AF" w:rsidP="004268AF" w14:paraId="08DFF773" w14:textId="77777777">
      <w:pPr>
        <w:suppressLineNumbers/>
        <w:ind w:left="4320"/>
        <w:rPr>
          <w:b/>
        </w:rPr>
      </w:pPr>
    </w:p>
    <w:p w:rsidR="006D4B35" w:rsidRPr="004268AF" w:rsidP="004268AF" w14:paraId="13249DBE" w14:textId="77777777">
      <w:pPr>
        <w:suppressLineNumbers/>
        <w:ind w:left="4320"/>
        <w:rPr>
          <w:b/>
          <w:bCs/>
        </w:rPr>
      </w:pPr>
      <w:r w:rsidRPr="004268AF">
        <w:rPr>
          <w:b/>
        </w:rPr>
        <w:t>Office of the Ohio Consumers’ Counsel</w:t>
      </w:r>
    </w:p>
    <w:p w:rsidR="006D4B35" w:rsidRPr="004268AF" w:rsidP="004268AF" w14:paraId="7EC446E1" w14:textId="77777777">
      <w:pPr>
        <w:suppressLineNumbers/>
        <w:ind w:left="4320"/>
        <w:rPr>
          <w:bCs/>
        </w:rPr>
      </w:pPr>
      <w:r w:rsidRPr="004268AF">
        <w:t>65 East State Street, Suite 700</w:t>
      </w:r>
    </w:p>
    <w:p w:rsidR="006D4B35" w:rsidRPr="004268AF" w:rsidP="004268AF" w14:paraId="4AE0232B" w14:textId="77777777">
      <w:pPr>
        <w:suppressLineNumbers/>
        <w:ind w:left="4320"/>
        <w:rPr>
          <w:bCs/>
        </w:rPr>
      </w:pPr>
      <w:r w:rsidRPr="004268AF">
        <w:t>Columbus, Ohio 43215</w:t>
      </w:r>
    </w:p>
    <w:p w:rsidR="006D4B35" w:rsidRPr="004268AF" w:rsidP="004268AF" w14:paraId="13B20529" w14:textId="77777777">
      <w:pPr>
        <w:suppressLineNumbers/>
        <w:ind w:left="4320"/>
      </w:pPr>
      <w:r w:rsidRPr="004268AF">
        <w:t>Telephone [Willis]: (614) 466-9567</w:t>
      </w:r>
    </w:p>
    <w:p w:rsidR="006D4B35" w:rsidRPr="004268AF" w:rsidP="004268AF" w14:paraId="2F7CB5E2" w14:textId="77777777">
      <w:pPr>
        <w:suppressLineNumbers/>
        <w:ind w:left="4320"/>
      </w:pPr>
      <w:r w:rsidRPr="004268AF">
        <w:t>Telephone [Finnigan]: (614) 466-9585</w:t>
      </w:r>
    </w:p>
    <w:p w:rsidR="006D4B35" w:rsidRPr="004268AF" w:rsidP="004268AF" w14:paraId="5E5A7D96" w14:textId="77777777">
      <w:pPr>
        <w:suppressLineNumbers/>
        <w:ind w:left="4320"/>
        <w:rPr>
          <w:color w:val="0000FF"/>
        </w:rPr>
      </w:pPr>
      <w:hyperlink r:id="rId6" w:history="1">
        <w:r w:rsidRPr="004268AF" w:rsidR="00B54BEE">
          <w:rPr>
            <w:rStyle w:val="Hyperlink"/>
            <w:color w:val="0000FF"/>
          </w:rPr>
          <w:t>maureen.willis@occ.ohio.gov</w:t>
        </w:r>
      </w:hyperlink>
    </w:p>
    <w:p w:rsidR="006D4B35" w:rsidRPr="004268AF" w:rsidP="004268AF" w14:paraId="5090BF34" w14:textId="77777777">
      <w:pPr>
        <w:suppressLineNumbers/>
        <w:ind w:left="4320"/>
        <w:rPr>
          <w:color w:val="0000FF"/>
        </w:rPr>
      </w:pPr>
      <w:hyperlink r:id="rId7" w:history="1">
        <w:r w:rsidRPr="004268AF" w:rsidR="00B54BEE">
          <w:rPr>
            <w:rStyle w:val="Hyperlink"/>
            <w:color w:val="0000FF"/>
          </w:rPr>
          <w:t>john.finnigan@occ.ohio.gov</w:t>
        </w:r>
      </w:hyperlink>
    </w:p>
    <w:p w:rsidR="00264E1E" w:rsidRPr="004268AF" w:rsidP="004268AF" w14:paraId="2681D3B7" w14:textId="76DDC74B">
      <w:pPr>
        <w:ind w:left="4320" w:hanging="4320"/>
        <w:sectPr w:rsidSect="00F90850">
          <w:headerReference w:type="even" r:id="rId8"/>
          <w:headerReference w:type="default" r:id="rId9"/>
          <w:footerReference w:type="even" r:id="rId10"/>
          <w:footerReference w:type="default" r:id="rId11"/>
          <w:pgSz w:w="12240" w:h="15840"/>
          <w:pgMar w:top="1440" w:right="1800" w:bottom="1440" w:left="1800" w:header="0" w:footer="757" w:gutter="0"/>
          <w:pgNumType w:start="1"/>
          <w:cols w:space="720"/>
          <w:titlePg/>
          <w:docGrid w:linePitch="326"/>
        </w:sectPr>
      </w:pPr>
      <w:r w:rsidRPr="004268AF">
        <w:t>March</w:t>
      </w:r>
      <w:r w:rsidRPr="004268AF" w:rsidR="00B54BEE">
        <w:t xml:space="preserve"> </w:t>
      </w:r>
      <w:r w:rsidRPr="004268AF">
        <w:t>21</w:t>
      </w:r>
      <w:r w:rsidRPr="004268AF" w:rsidR="00B54BEE">
        <w:t>, 2022</w:t>
      </w:r>
      <w:r w:rsidRPr="004268AF" w:rsidR="00B54BEE">
        <w:tab/>
        <w:t>(willing to accept service by e-mail)</w:t>
      </w:r>
    </w:p>
    <w:p w:rsidR="00264E1E" w:rsidRPr="004268AF" w:rsidP="004268AF" w14:paraId="6F90EAA8" w14:textId="77777777">
      <w:pPr>
        <w:pStyle w:val="HTMLPreformatted"/>
        <w:jc w:val="center"/>
        <w:rPr>
          <w:rFonts w:ascii="Times New Roman" w:hAnsi="Times New Roman" w:cs="Times New Roman"/>
          <w:b/>
          <w:bCs/>
          <w:sz w:val="24"/>
          <w:szCs w:val="24"/>
          <w:u w:val="single"/>
        </w:rPr>
      </w:pPr>
      <w:r w:rsidRPr="004268AF">
        <w:rPr>
          <w:rFonts w:ascii="Times New Roman" w:hAnsi="Times New Roman" w:cs="Times New Roman"/>
          <w:b/>
          <w:bCs/>
          <w:sz w:val="24"/>
          <w:szCs w:val="24"/>
          <w:u w:val="single"/>
        </w:rPr>
        <w:t>TABLE OF CONTENTS</w:t>
      </w:r>
    </w:p>
    <w:p w:rsidR="00264E1E" w:rsidRPr="004268AF" w:rsidP="004268AF" w14:paraId="25870F9E" w14:textId="258A32BA">
      <w:pPr>
        <w:pStyle w:val="HTMLPreformatted"/>
        <w:tabs>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sidRPr="004268AF">
        <w:rPr>
          <w:rFonts w:ascii="Times New Roman" w:hAnsi="Times New Roman" w:cs="Times New Roman"/>
          <w:b/>
          <w:bCs/>
          <w:sz w:val="24"/>
          <w:szCs w:val="24"/>
        </w:rPr>
        <w:tab/>
      </w:r>
      <w:r w:rsidRPr="004268AF">
        <w:rPr>
          <w:rFonts w:ascii="Times New Roman" w:hAnsi="Times New Roman" w:cs="Times New Roman"/>
          <w:b/>
          <w:bCs/>
          <w:sz w:val="24"/>
          <w:szCs w:val="24"/>
        </w:rPr>
        <w:tab/>
      </w:r>
    </w:p>
    <w:p w:rsidR="005825F1" w:rsidRPr="004268AF" w:rsidP="004268AF" w14:paraId="621684EC" w14:textId="56111406">
      <w:pPr>
        <w:pStyle w:val="HTMLPreformatted"/>
        <w:jc w:val="right"/>
        <w:rPr>
          <w:rFonts w:ascii="Times New Roman" w:hAnsi="Times New Roman" w:cs="Times New Roman"/>
          <w:b/>
          <w:bCs/>
          <w:sz w:val="24"/>
          <w:szCs w:val="24"/>
        </w:rPr>
      </w:pPr>
      <w:r w:rsidRPr="004268AF">
        <w:rPr>
          <w:rFonts w:ascii="Times New Roman" w:hAnsi="Times New Roman" w:cs="Times New Roman"/>
          <w:b/>
          <w:bCs/>
          <w:sz w:val="24"/>
          <w:szCs w:val="24"/>
        </w:rPr>
        <w:t>PAGE</w:t>
      </w:r>
    </w:p>
    <w:p w:rsidR="00620B29" w:rsidRPr="004268AF" w:rsidP="004268AF" w14:paraId="683A0FC8" w14:textId="77777777">
      <w:pPr>
        <w:pStyle w:val="HTMLPreformatted"/>
        <w:jc w:val="right"/>
        <w:rPr>
          <w:rFonts w:ascii="Times New Roman" w:hAnsi="Times New Roman" w:cs="Times New Roman"/>
          <w:b/>
          <w:bCs/>
          <w:sz w:val="24"/>
          <w:szCs w:val="24"/>
        </w:rPr>
      </w:pPr>
    </w:p>
    <w:p w:rsidR="000C15C4" w14:paraId="1BCF084F" w14:textId="598B4DE3">
      <w:pPr>
        <w:pStyle w:val="TOC1"/>
        <w:rPr>
          <w:rFonts w:asciiTheme="minorHAnsi" w:eastAsiaTheme="minorEastAsia" w:hAnsiTheme="minorHAnsi" w:cstheme="minorBidi"/>
          <w:noProof/>
          <w:sz w:val="22"/>
          <w:szCs w:val="22"/>
        </w:rPr>
      </w:pPr>
      <w:r w:rsidRPr="004268AF">
        <w:rPr>
          <w:b/>
          <w:bCs/>
        </w:rPr>
        <w:fldChar w:fldCharType="begin"/>
      </w:r>
      <w:r w:rsidRPr="004268AF">
        <w:rPr>
          <w:b/>
          <w:bCs/>
        </w:rPr>
        <w:instrText xml:space="preserve"> TOC \o "1-3" \h \z \u </w:instrText>
      </w:r>
      <w:r w:rsidRPr="004268AF">
        <w:rPr>
          <w:b/>
          <w:bCs/>
        </w:rPr>
        <w:fldChar w:fldCharType="separate"/>
      </w:r>
      <w:hyperlink w:anchor="_Toc98774467" w:history="1">
        <w:r w:rsidRPr="00F63EEB">
          <w:rPr>
            <w:rStyle w:val="Hyperlink"/>
            <w:noProof/>
          </w:rPr>
          <w:t>I.</w:t>
        </w:r>
        <w:r>
          <w:rPr>
            <w:rFonts w:asciiTheme="minorHAnsi" w:eastAsiaTheme="minorEastAsia" w:hAnsiTheme="minorHAnsi" w:cstheme="minorBidi"/>
            <w:noProof/>
            <w:sz w:val="22"/>
            <w:szCs w:val="22"/>
          </w:rPr>
          <w:tab/>
        </w:r>
        <w:r w:rsidRPr="00F63EEB">
          <w:rPr>
            <w:rStyle w:val="Hyperlink"/>
            <w:noProof/>
          </w:rPr>
          <w:t>INTRODUCTION</w:t>
        </w:r>
        <w:r>
          <w:rPr>
            <w:noProof/>
            <w:webHidden/>
          </w:rPr>
          <w:tab/>
        </w:r>
        <w:r>
          <w:rPr>
            <w:noProof/>
            <w:webHidden/>
          </w:rPr>
          <w:fldChar w:fldCharType="begin"/>
        </w:r>
        <w:r>
          <w:rPr>
            <w:noProof/>
            <w:webHidden/>
          </w:rPr>
          <w:instrText xml:space="preserve"> PAGEREF _Toc98774467 \h </w:instrText>
        </w:r>
        <w:r>
          <w:rPr>
            <w:noProof/>
            <w:webHidden/>
          </w:rPr>
          <w:fldChar w:fldCharType="separate"/>
        </w:r>
        <w:r>
          <w:rPr>
            <w:noProof/>
            <w:webHidden/>
          </w:rPr>
          <w:t>1</w:t>
        </w:r>
        <w:r>
          <w:rPr>
            <w:noProof/>
            <w:webHidden/>
          </w:rPr>
          <w:fldChar w:fldCharType="end"/>
        </w:r>
      </w:hyperlink>
    </w:p>
    <w:p w:rsidR="000C15C4" w14:paraId="707E8641" w14:textId="3B857BDC">
      <w:pPr>
        <w:pStyle w:val="TOC1"/>
        <w:rPr>
          <w:rFonts w:asciiTheme="minorHAnsi" w:eastAsiaTheme="minorEastAsia" w:hAnsiTheme="minorHAnsi" w:cstheme="minorBidi"/>
          <w:noProof/>
          <w:sz w:val="22"/>
          <w:szCs w:val="22"/>
        </w:rPr>
      </w:pPr>
      <w:hyperlink w:anchor="_Toc98774468" w:history="1">
        <w:r w:rsidRPr="00F63EEB">
          <w:rPr>
            <w:rStyle w:val="Hyperlink"/>
            <w:noProof/>
          </w:rPr>
          <w:t>II.</w:t>
        </w:r>
        <w:r>
          <w:rPr>
            <w:rFonts w:asciiTheme="minorHAnsi" w:eastAsiaTheme="minorEastAsia" w:hAnsiTheme="minorHAnsi" w:cstheme="minorBidi"/>
            <w:noProof/>
            <w:sz w:val="22"/>
            <w:szCs w:val="22"/>
          </w:rPr>
          <w:tab/>
        </w:r>
        <w:r w:rsidRPr="00F63EEB">
          <w:rPr>
            <w:rStyle w:val="Hyperlink"/>
            <w:noProof/>
          </w:rPr>
          <w:t>BACKGROUND</w:t>
        </w:r>
        <w:r>
          <w:rPr>
            <w:noProof/>
            <w:webHidden/>
          </w:rPr>
          <w:tab/>
        </w:r>
        <w:r>
          <w:rPr>
            <w:noProof/>
            <w:webHidden/>
          </w:rPr>
          <w:fldChar w:fldCharType="begin"/>
        </w:r>
        <w:r>
          <w:rPr>
            <w:noProof/>
            <w:webHidden/>
          </w:rPr>
          <w:instrText xml:space="preserve"> PAGEREF _Toc98774468 \h </w:instrText>
        </w:r>
        <w:r>
          <w:rPr>
            <w:noProof/>
            <w:webHidden/>
          </w:rPr>
          <w:fldChar w:fldCharType="separate"/>
        </w:r>
        <w:r>
          <w:rPr>
            <w:noProof/>
            <w:webHidden/>
          </w:rPr>
          <w:t>3</w:t>
        </w:r>
        <w:r>
          <w:rPr>
            <w:noProof/>
            <w:webHidden/>
          </w:rPr>
          <w:fldChar w:fldCharType="end"/>
        </w:r>
      </w:hyperlink>
    </w:p>
    <w:p w:rsidR="000C15C4" w14:paraId="40F1575C" w14:textId="16F13CA2">
      <w:pPr>
        <w:pStyle w:val="TOC1"/>
        <w:rPr>
          <w:rFonts w:asciiTheme="minorHAnsi" w:eastAsiaTheme="minorEastAsia" w:hAnsiTheme="minorHAnsi" w:cstheme="minorBidi"/>
          <w:noProof/>
          <w:sz w:val="22"/>
          <w:szCs w:val="22"/>
        </w:rPr>
      </w:pPr>
      <w:hyperlink w:anchor="_Toc98774469" w:history="1">
        <w:r w:rsidRPr="00F63EEB">
          <w:rPr>
            <w:rStyle w:val="Hyperlink"/>
            <w:noProof/>
          </w:rPr>
          <w:t xml:space="preserve">III. </w:t>
        </w:r>
        <w:r>
          <w:rPr>
            <w:rFonts w:asciiTheme="minorHAnsi" w:eastAsiaTheme="minorEastAsia" w:hAnsiTheme="minorHAnsi" w:cstheme="minorBidi"/>
            <w:noProof/>
            <w:sz w:val="22"/>
            <w:szCs w:val="22"/>
          </w:rPr>
          <w:tab/>
        </w:r>
        <w:r w:rsidRPr="00F63EEB">
          <w:rPr>
            <w:rStyle w:val="Hyperlink"/>
            <w:noProof/>
          </w:rPr>
          <w:t>ARGUMENT</w:t>
        </w:r>
        <w:r>
          <w:rPr>
            <w:noProof/>
            <w:webHidden/>
          </w:rPr>
          <w:tab/>
        </w:r>
        <w:r>
          <w:rPr>
            <w:noProof/>
            <w:webHidden/>
          </w:rPr>
          <w:fldChar w:fldCharType="begin"/>
        </w:r>
        <w:r>
          <w:rPr>
            <w:noProof/>
            <w:webHidden/>
          </w:rPr>
          <w:instrText xml:space="preserve"> PAGEREF _Toc98774469 \h </w:instrText>
        </w:r>
        <w:r>
          <w:rPr>
            <w:noProof/>
            <w:webHidden/>
          </w:rPr>
          <w:fldChar w:fldCharType="separate"/>
        </w:r>
        <w:r>
          <w:rPr>
            <w:noProof/>
            <w:webHidden/>
          </w:rPr>
          <w:t>6</w:t>
        </w:r>
        <w:r>
          <w:rPr>
            <w:noProof/>
            <w:webHidden/>
          </w:rPr>
          <w:fldChar w:fldCharType="end"/>
        </w:r>
      </w:hyperlink>
    </w:p>
    <w:p w:rsidR="000C15C4" w14:paraId="05B1460F" w14:textId="40B356C0">
      <w:pPr>
        <w:pStyle w:val="TOC2"/>
        <w:tabs>
          <w:tab w:val="left" w:pos="1440"/>
        </w:tabs>
        <w:rPr>
          <w:rFonts w:asciiTheme="minorHAnsi" w:eastAsiaTheme="minorEastAsia" w:hAnsiTheme="minorHAnsi" w:cstheme="minorBidi"/>
          <w:noProof/>
          <w:sz w:val="22"/>
          <w:szCs w:val="22"/>
        </w:rPr>
      </w:pPr>
      <w:hyperlink w:anchor="_Toc98774470" w:history="1">
        <w:r w:rsidRPr="00F63EEB">
          <w:rPr>
            <w:rStyle w:val="Hyperlink"/>
            <w:noProof/>
          </w:rPr>
          <w:t>A.</w:t>
        </w:r>
        <w:r>
          <w:rPr>
            <w:rFonts w:asciiTheme="minorHAnsi" w:eastAsiaTheme="minorEastAsia" w:hAnsiTheme="minorHAnsi" w:cstheme="minorBidi"/>
            <w:noProof/>
            <w:sz w:val="22"/>
            <w:szCs w:val="22"/>
          </w:rPr>
          <w:tab/>
        </w:r>
        <w:r w:rsidRPr="00F63EEB">
          <w:rPr>
            <w:rStyle w:val="Hyperlink"/>
            <w:noProof/>
          </w:rPr>
          <w:t xml:space="preserve">The FirstEnergy Utilities do not qualify for an immediate </w:t>
        </w:r>
        <w:r>
          <w:rPr>
            <w:rStyle w:val="Hyperlink"/>
            <w:noProof/>
          </w:rPr>
          <w:br/>
        </w:r>
        <w:r w:rsidRPr="00F63EEB">
          <w:rPr>
            <w:rStyle w:val="Hyperlink"/>
            <w:noProof/>
          </w:rPr>
          <w:t xml:space="preserve">appeal (under O.A.C. 4901-1-15(A)(1)) and “lack[] the requisite </w:t>
        </w:r>
        <w:r>
          <w:rPr>
            <w:rStyle w:val="Hyperlink"/>
            <w:noProof/>
          </w:rPr>
          <w:br/>
        </w:r>
        <w:r w:rsidRPr="00F63EEB">
          <w:rPr>
            <w:rStyle w:val="Hyperlink"/>
            <w:noProof/>
          </w:rPr>
          <w:t xml:space="preserve">standing to raise the issues presented” such that their appeal </w:t>
        </w:r>
        <w:r>
          <w:rPr>
            <w:rStyle w:val="Hyperlink"/>
            <w:noProof/>
          </w:rPr>
          <w:br/>
        </w:r>
        <w:r w:rsidRPr="00F63EEB">
          <w:rPr>
            <w:rStyle w:val="Hyperlink"/>
            <w:noProof/>
          </w:rPr>
          <w:t>should be “dismissed” under O.A.C. 4901-1-15(E)(2).</w:t>
        </w:r>
        <w:r>
          <w:rPr>
            <w:noProof/>
            <w:webHidden/>
          </w:rPr>
          <w:tab/>
        </w:r>
        <w:r>
          <w:rPr>
            <w:noProof/>
            <w:webHidden/>
          </w:rPr>
          <w:fldChar w:fldCharType="begin"/>
        </w:r>
        <w:r>
          <w:rPr>
            <w:noProof/>
            <w:webHidden/>
          </w:rPr>
          <w:instrText xml:space="preserve"> PAGEREF _Toc98774470 \h </w:instrText>
        </w:r>
        <w:r>
          <w:rPr>
            <w:noProof/>
            <w:webHidden/>
          </w:rPr>
          <w:fldChar w:fldCharType="separate"/>
        </w:r>
        <w:r>
          <w:rPr>
            <w:noProof/>
            <w:webHidden/>
          </w:rPr>
          <w:t>7</w:t>
        </w:r>
        <w:r>
          <w:rPr>
            <w:noProof/>
            <w:webHidden/>
          </w:rPr>
          <w:fldChar w:fldCharType="end"/>
        </w:r>
      </w:hyperlink>
    </w:p>
    <w:p w:rsidR="000C15C4" w14:paraId="7CD9548F" w14:textId="055E844F">
      <w:pPr>
        <w:pStyle w:val="TOC2"/>
        <w:tabs>
          <w:tab w:val="left" w:pos="1440"/>
        </w:tabs>
        <w:rPr>
          <w:rFonts w:asciiTheme="minorHAnsi" w:eastAsiaTheme="minorEastAsia" w:hAnsiTheme="minorHAnsi" w:cstheme="minorBidi"/>
          <w:noProof/>
          <w:sz w:val="22"/>
          <w:szCs w:val="22"/>
        </w:rPr>
      </w:pPr>
      <w:hyperlink w:anchor="_Toc98774471" w:history="1">
        <w:r w:rsidRPr="00F63EEB">
          <w:rPr>
            <w:rStyle w:val="Hyperlink"/>
            <w:noProof/>
          </w:rPr>
          <w:t>B.</w:t>
        </w:r>
        <w:r>
          <w:rPr>
            <w:rFonts w:asciiTheme="minorHAnsi" w:eastAsiaTheme="minorEastAsia" w:hAnsiTheme="minorHAnsi" w:cstheme="minorBidi"/>
            <w:noProof/>
            <w:sz w:val="22"/>
            <w:szCs w:val="22"/>
          </w:rPr>
          <w:tab/>
        </w:r>
        <w:r w:rsidRPr="00F63EEB">
          <w:rPr>
            <w:rStyle w:val="Hyperlink"/>
            <w:noProof/>
            <w:shd w:val="clear" w:color="auto" w:fill="FFFFFF"/>
          </w:rPr>
          <w:t xml:space="preserve">In addition to not qualifying for an appeal under </w:t>
        </w:r>
        <w:r w:rsidRPr="00F63EEB">
          <w:rPr>
            <w:rStyle w:val="Hyperlink"/>
            <w:noProof/>
          </w:rPr>
          <w:t xml:space="preserve">O.A.C. </w:t>
        </w:r>
        <w:r>
          <w:rPr>
            <w:rStyle w:val="Hyperlink"/>
            <w:noProof/>
          </w:rPr>
          <w:br/>
        </w:r>
        <w:r w:rsidRPr="00F63EEB">
          <w:rPr>
            <w:rStyle w:val="Hyperlink"/>
            <w:noProof/>
          </w:rPr>
          <w:t xml:space="preserve">4901-1-15(A), </w:t>
        </w:r>
        <w:r w:rsidRPr="00F63EEB">
          <w:rPr>
            <w:rStyle w:val="Hyperlink"/>
            <w:noProof/>
            <w:shd w:val="clear" w:color="auto" w:fill="FFFFFF"/>
          </w:rPr>
          <w:t xml:space="preserve">the FirstEnergy Utilities failed to claim that the </w:t>
        </w:r>
        <w:r>
          <w:rPr>
            <w:rStyle w:val="Hyperlink"/>
            <w:noProof/>
            <w:shd w:val="clear" w:color="auto" w:fill="FFFFFF"/>
          </w:rPr>
          <w:br/>
        </w:r>
        <w:r w:rsidRPr="00F63EEB">
          <w:rPr>
            <w:rStyle w:val="Hyperlink"/>
            <w:noProof/>
            <w:shd w:val="clear" w:color="auto" w:fill="FFFFFF"/>
          </w:rPr>
          <w:t xml:space="preserve">appeal presents a new or novel question of interpretation, law, </w:t>
        </w:r>
        <w:r>
          <w:rPr>
            <w:rStyle w:val="Hyperlink"/>
            <w:noProof/>
            <w:shd w:val="clear" w:color="auto" w:fill="FFFFFF"/>
          </w:rPr>
          <w:br/>
        </w:r>
        <w:r w:rsidRPr="00F63EEB">
          <w:rPr>
            <w:rStyle w:val="Hyperlink"/>
            <w:noProof/>
            <w:shd w:val="clear" w:color="auto" w:fill="FFFFFF"/>
          </w:rPr>
          <w:t xml:space="preserve">or policy, or is taken from a ruling which represents a departure </w:t>
        </w:r>
        <w:r>
          <w:rPr>
            <w:rStyle w:val="Hyperlink"/>
            <w:noProof/>
            <w:shd w:val="clear" w:color="auto" w:fill="FFFFFF"/>
          </w:rPr>
          <w:br/>
        </w:r>
        <w:r w:rsidRPr="00F63EEB">
          <w:rPr>
            <w:rStyle w:val="Hyperlink"/>
            <w:noProof/>
            <w:shd w:val="clear" w:color="auto" w:fill="FFFFFF"/>
          </w:rPr>
          <w:t xml:space="preserve">from past precedent, under </w:t>
        </w:r>
        <w:r w:rsidRPr="00F63EEB">
          <w:rPr>
            <w:rStyle w:val="Hyperlink"/>
            <w:noProof/>
          </w:rPr>
          <w:t>O.A.C. 4901-1-15(B)</w:t>
        </w:r>
        <w:r w:rsidRPr="00F63EEB">
          <w:rPr>
            <w:rStyle w:val="Hyperlink"/>
            <w:noProof/>
            <w:shd w:val="clear" w:color="auto" w:fill="FFFFFF"/>
          </w:rPr>
          <w:t>.</w:t>
        </w:r>
        <w:r>
          <w:rPr>
            <w:noProof/>
            <w:webHidden/>
          </w:rPr>
          <w:tab/>
        </w:r>
        <w:r>
          <w:rPr>
            <w:noProof/>
            <w:webHidden/>
          </w:rPr>
          <w:fldChar w:fldCharType="begin"/>
        </w:r>
        <w:r>
          <w:rPr>
            <w:noProof/>
            <w:webHidden/>
          </w:rPr>
          <w:instrText xml:space="preserve"> PAGEREF _Toc98774471 \h </w:instrText>
        </w:r>
        <w:r>
          <w:rPr>
            <w:noProof/>
            <w:webHidden/>
          </w:rPr>
          <w:fldChar w:fldCharType="separate"/>
        </w:r>
        <w:r>
          <w:rPr>
            <w:noProof/>
            <w:webHidden/>
          </w:rPr>
          <w:t>9</w:t>
        </w:r>
        <w:r>
          <w:rPr>
            <w:noProof/>
            <w:webHidden/>
          </w:rPr>
          <w:fldChar w:fldCharType="end"/>
        </w:r>
      </w:hyperlink>
    </w:p>
    <w:p w:rsidR="000C15C4" w14:paraId="388DEB1C" w14:textId="12B8CF4C">
      <w:pPr>
        <w:pStyle w:val="TOC2"/>
        <w:tabs>
          <w:tab w:val="left" w:pos="1440"/>
        </w:tabs>
        <w:rPr>
          <w:rFonts w:asciiTheme="minorHAnsi" w:eastAsiaTheme="minorEastAsia" w:hAnsiTheme="minorHAnsi" w:cstheme="minorBidi"/>
          <w:noProof/>
          <w:sz w:val="22"/>
          <w:szCs w:val="22"/>
        </w:rPr>
      </w:pPr>
      <w:hyperlink w:anchor="_Toc98774472" w:history="1">
        <w:r w:rsidRPr="00F63EEB">
          <w:rPr>
            <w:rStyle w:val="Hyperlink"/>
            <w:noProof/>
          </w:rPr>
          <w:t>C.</w:t>
        </w:r>
        <w:r>
          <w:rPr>
            <w:rFonts w:asciiTheme="minorHAnsi" w:eastAsiaTheme="minorEastAsia" w:hAnsiTheme="minorHAnsi" w:cstheme="minorBidi"/>
            <w:noProof/>
            <w:sz w:val="22"/>
            <w:szCs w:val="22"/>
          </w:rPr>
          <w:tab/>
        </w:r>
        <w:r w:rsidRPr="00F63EEB">
          <w:rPr>
            <w:rStyle w:val="Hyperlink"/>
            <w:noProof/>
          </w:rPr>
          <w:t xml:space="preserve">The PUCO Commissioners should dismiss the FirstEnergy </w:t>
        </w:r>
        <w:r>
          <w:rPr>
            <w:rStyle w:val="Hyperlink"/>
            <w:noProof/>
          </w:rPr>
          <w:br/>
        </w:r>
        <w:r w:rsidRPr="00F63EEB">
          <w:rPr>
            <w:rStyle w:val="Hyperlink"/>
            <w:noProof/>
          </w:rPr>
          <w:t xml:space="preserve">Utilities’ Interlocutory Appeal because they “failed to show </w:t>
        </w:r>
        <w:r>
          <w:rPr>
            <w:rStyle w:val="Hyperlink"/>
            <w:noProof/>
          </w:rPr>
          <w:br/>
        </w:r>
        <w:r w:rsidRPr="00F63EEB">
          <w:rPr>
            <w:rStyle w:val="Hyperlink"/>
            <w:noProof/>
          </w:rPr>
          <w:t>prejudice as a result of the ruling…,” per O.A.C. 4901-1-15(E)(2).</w:t>
        </w:r>
        <w:r>
          <w:rPr>
            <w:noProof/>
            <w:webHidden/>
          </w:rPr>
          <w:tab/>
        </w:r>
        <w:r>
          <w:rPr>
            <w:noProof/>
            <w:webHidden/>
          </w:rPr>
          <w:fldChar w:fldCharType="begin"/>
        </w:r>
        <w:r>
          <w:rPr>
            <w:noProof/>
            <w:webHidden/>
          </w:rPr>
          <w:instrText xml:space="preserve"> PAGEREF _Toc98774472 \h </w:instrText>
        </w:r>
        <w:r>
          <w:rPr>
            <w:noProof/>
            <w:webHidden/>
          </w:rPr>
          <w:fldChar w:fldCharType="separate"/>
        </w:r>
        <w:r>
          <w:rPr>
            <w:noProof/>
            <w:webHidden/>
          </w:rPr>
          <w:t>10</w:t>
        </w:r>
        <w:r>
          <w:rPr>
            <w:noProof/>
            <w:webHidden/>
          </w:rPr>
          <w:fldChar w:fldCharType="end"/>
        </w:r>
      </w:hyperlink>
    </w:p>
    <w:p w:rsidR="000C15C4" w14:paraId="37816012" w14:textId="1D782506">
      <w:pPr>
        <w:pStyle w:val="TOC2"/>
        <w:tabs>
          <w:tab w:val="left" w:pos="1440"/>
        </w:tabs>
        <w:rPr>
          <w:rFonts w:asciiTheme="minorHAnsi" w:eastAsiaTheme="minorEastAsia" w:hAnsiTheme="minorHAnsi" w:cstheme="minorBidi"/>
          <w:noProof/>
          <w:sz w:val="22"/>
          <w:szCs w:val="22"/>
        </w:rPr>
      </w:pPr>
      <w:hyperlink w:anchor="_Toc98774473" w:history="1">
        <w:r w:rsidRPr="00F63EEB">
          <w:rPr>
            <w:rStyle w:val="Hyperlink"/>
            <w:noProof/>
          </w:rPr>
          <w:t>D.</w:t>
        </w:r>
        <w:r>
          <w:rPr>
            <w:rFonts w:asciiTheme="minorHAnsi" w:eastAsiaTheme="minorEastAsia" w:hAnsiTheme="minorHAnsi" w:cstheme="minorBidi"/>
            <w:noProof/>
            <w:sz w:val="22"/>
            <w:szCs w:val="22"/>
          </w:rPr>
          <w:tab/>
        </w:r>
        <w:r w:rsidRPr="00F63EEB">
          <w:rPr>
            <w:rStyle w:val="Hyperlink"/>
            <w:noProof/>
          </w:rPr>
          <w:t xml:space="preserve">The Attorney Examiner’s ruling requiring the release of </w:t>
        </w:r>
        <w:r>
          <w:rPr>
            <w:rStyle w:val="Hyperlink"/>
            <w:noProof/>
          </w:rPr>
          <w:br/>
        </w:r>
        <w:r w:rsidRPr="00F63EEB">
          <w:rPr>
            <w:rStyle w:val="Hyperlink"/>
            <w:noProof/>
          </w:rPr>
          <w:t xml:space="preserve">information supplied by FirstEnergy to FERC was lawful under </w:t>
        </w:r>
        <w:r>
          <w:rPr>
            <w:rStyle w:val="Hyperlink"/>
            <w:noProof/>
          </w:rPr>
          <w:br/>
        </w:r>
        <w:r w:rsidRPr="00F63EEB">
          <w:rPr>
            <w:rStyle w:val="Hyperlink"/>
            <w:noProof/>
          </w:rPr>
          <w:t>R.C. 4903.082 and O.A.C. 4901-1-16(B).</w:t>
        </w:r>
        <w:r>
          <w:rPr>
            <w:noProof/>
            <w:webHidden/>
          </w:rPr>
          <w:tab/>
        </w:r>
        <w:r>
          <w:rPr>
            <w:noProof/>
            <w:webHidden/>
          </w:rPr>
          <w:fldChar w:fldCharType="begin"/>
        </w:r>
        <w:r>
          <w:rPr>
            <w:noProof/>
            <w:webHidden/>
          </w:rPr>
          <w:instrText xml:space="preserve"> PAGEREF _Toc98774473 \h </w:instrText>
        </w:r>
        <w:r>
          <w:rPr>
            <w:noProof/>
            <w:webHidden/>
          </w:rPr>
          <w:fldChar w:fldCharType="separate"/>
        </w:r>
        <w:r>
          <w:rPr>
            <w:noProof/>
            <w:webHidden/>
          </w:rPr>
          <w:t>12</w:t>
        </w:r>
        <w:r>
          <w:rPr>
            <w:noProof/>
            <w:webHidden/>
          </w:rPr>
          <w:fldChar w:fldCharType="end"/>
        </w:r>
      </w:hyperlink>
    </w:p>
    <w:p w:rsidR="000C15C4" w14:paraId="794F76A4" w14:textId="0291F2AD">
      <w:pPr>
        <w:pStyle w:val="TOC3"/>
        <w:tabs>
          <w:tab w:val="left" w:pos="2160"/>
        </w:tabs>
        <w:rPr>
          <w:rFonts w:asciiTheme="minorHAnsi" w:eastAsiaTheme="minorEastAsia" w:hAnsiTheme="minorHAnsi" w:cstheme="minorBidi"/>
          <w:noProof/>
          <w:sz w:val="22"/>
          <w:szCs w:val="22"/>
        </w:rPr>
      </w:pPr>
      <w:hyperlink w:anchor="_Toc98774474" w:history="1">
        <w:r w:rsidRPr="00F63EEB">
          <w:rPr>
            <w:rStyle w:val="Hyperlink"/>
            <w:noProof/>
          </w:rPr>
          <w:t>1.</w:t>
        </w:r>
        <w:r>
          <w:rPr>
            <w:rFonts w:asciiTheme="minorHAnsi" w:eastAsiaTheme="minorEastAsia" w:hAnsiTheme="minorHAnsi" w:cstheme="minorBidi"/>
            <w:noProof/>
            <w:sz w:val="22"/>
            <w:szCs w:val="22"/>
          </w:rPr>
          <w:tab/>
        </w:r>
        <w:r w:rsidRPr="00F63EEB">
          <w:rPr>
            <w:rStyle w:val="Hyperlink"/>
            <w:noProof/>
          </w:rPr>
          <w:t xml:space="preserve">OCC is entitled to the documents FirstEnergy provided </w:t>
        </w:r>
        <w:r>
          <w:rPr>
            <w:rStyle w:val="Hyperlink"/>
            <w:noProof/>
          </w:rPr>
          <w:br/>
        </w:r>
        <w:r w:rsidRPr="00F63EEB">
          <w:rPr>
            <w:rStyle w:val="Hyperlink"/>
            <w:noProof/>
          </w:rPr>
          <w:t xml:space="preserve">to FERC, which are relevant to this case. OCC is entitled </w:t>
        </w:r>
        <w:r>
          <w:rPr>
            <w:rStyle w:val="Hyperlink"/>
            <w:noProof/>
          </w:rPr>
          <w:br/>
        </w:r>
        <w:r w:rsidRPr="00F63EEB">
          <w:rPr>
            <w:rStyle w:val="Hyperlink"/>
            <w:noProof/>
          </w:rPr>
          <w:t xml:space="preserve">to the FERC documents pursuant to OCC’s broad rights of discovery as provided by R.C. 4903.082 and O.A.C. </w:t>
        </w:r>
        <w:r>
          <w:rPr>
            <w:rStyle w:val="Hyperlink"/>
            <w:noProof/>
          </w:rPr>
          <w:br/>
        </w:r>
        <w:r w:rsidRPr="00F63EEB">
          <w:rPr>
            <w:rStyle w:val="Hyperlink"/>
            <w:noProof/>
          </w:rPr>
          <w:t>4901-1-16(B).</w:t>
        </w:r>
        <w:r>
          <w:rPr>
            <w:noProof/>
            <w:webHidden/>
          </w:rPr>
          <w:tab/>
        </w:r>
        <w:r>
          <w:rPr>
            <w:noProof/>
            <w:webHidden/>
          </w:rPr>
          <w:fldChar w:fldCharType="begin"/>
        </w:r>
        <w:r>
          <w:rPr>
            <w:noProof/>
            <w:webHidden/>
          </w:rPr>
          <w:instrText xml:space="preserve"> PAGEREF _Toc98774474 \h </w:instrText>
        </w:r>
        <w:r>
          <w:rPr>
            <w:noProof/>
            <w:webHidden/>
          </w:rPr>
          <w:fldChar w:fldCharType="separate"/>
        </w:r>
        <w:r>
          <w:rPr>
            <w:noProof/>
            <w:webHidden/>
          </w:rPr>
          <w:t>12</w:t>
        </w:r>
        <w:r>
          <w:rPr>
            <w:noProof/>
            <w:webHidden/>
          </w:rPr>
          <w:fldChar w:fldCharType="end"/>
        </w:r>
      </w:hyperlink>
    </w:p>
    <w:p w:rsidR="000C15C4" w14:paraId="78876530" w14:textId="0619C438">
      <w:pPr>
        <w:pStyle w:val="TOC3"/>
        <w:tabs>
          <w:tab w:val="left" w:pos="2160"/>
        </w:tabs>
        <w:rPr>
          <w:rFonts w:asciiTheme="minorHAnsi" w:eastAsiaTheme="minorEastAsia" w:hAnsiTheme="minorHAnsi" w:cstheme="minorBidi"/>
          <w:noProof/>
          <w:sz w:val="22"/>
          <w:szCs w:val="22"/>
        </w:rPr>
      </w:pPr>
      <w:hyperlink w:anchor="_Toc98774475" w:history="1">
        <w:r w:rsidRPr="00F63EEB">
          <w:rPr>
            <w:rStyle w:val="Hyperlink"/>
            <w:noProof/>
          </w:rPr>
          <w:t>2.</w:t>
        </w:r>
        <w:r>
          <w:rPr>
            <w:rFonts w:asciiTheme="minorHAnsi" w:eastAsiaTheme="minorEastAsia" w:hAnsiTheme="minorHAnsi" w:cstheme="minorBidi"/>
            <w:noProof/>
            <w:sz w:val="22"/>
            <w:szCs w:val="22"/>
          </w:rPr>
          <w:tab/>
        </w:r>
        <w:r w:rsidRPr="00F63EEB">
          <w:rPr>
            <w:rStyle w:val="Hyperlink"/>
            <w:noProof/>
          </w:rPr>
          <w:t xml:space="preserve">The documents FirstEnergy produced for the FERC audit </w:t>
        </w:r>
        <w:r>
          <w:rPr>
            <w:rStyle w:val="Hyperlink"/>
            <w:noProof/>
          </w:rPr>
          <w:br/>
        </w:r>
        <w:r w:rsidRPr="00F63EEB">
          <w:rPr>
            <w:rStyle w:val="Hyperlink"/>
            <w:noProof/>
          </w:rPr>
          <w:t xml:space="preserve">are not covered by any privilege now that the audit is </w:t>
        </w:r>
        <w:r>
          <w:rPr>
            <w:rStyle w:val="Hyperlink"/>
            <w:noProof/>
          </w:rPr>
          <w:br/>
        </w:r>
        <w:r w:rsidRPr="00F63EEB">
          <w:rPr>
            <w:rStyle w:val="Hyperlink"/>
            <w:noProof/>
          </w:rPr>
          <w:t>concluded.</w:t>
        </w:r>
        <w:r>
          <w:rPr>
            <w:noProof/>
            <w:webHidden/>
          </w:rPr>
          <w:tab/>
        </w:r>
        <w:r>
          <w:rPr>
            <w:noProof/>
            <w:webHidden/>
          </w:rPr>
          <w:fldChar w:fldCharType="begin"/>
        </w:r>
        <w:r>
          <w:rPr>
            <w:noProof/>
            <w:webHidden/>
          </w:rPr>
          <w:instrText xml:space="preserve"> PAGEREF _Toc98774475 \h </w:instrText>
        </w:r>
        <w:r>
          <w:rPr>
            <w:noProof/>
            <w:webHidden/>
          </w:rPr>
          <w:fldChar w:fldCharType="separate"/>
        </w:r>
        <w:r>
          <w:rPr>
            <w:noProof/>
            <w:webHidden/>
          </w:rPr>
          <w:t>15</w:t>
        </w:r>
        <w:r>
          <w:rPr>
            <w:noProof/>
            <w:webHidden/>
          </w:rPr>
          <w:fldChar w:fldCharType="end"/>
        </w:r>
      </w:hyperlink>
    </w:p>
    <w:p w:rsidR="000C15C4" w14:paraId="7D41ED20" w14:textId="22D0ED8B">
      <w:pPr>
        <w:pStyle w:val="TOC1"/>
        <w:rPr>
          <w:rFonts w:asciiTheme="minorHAnsi" w:eastAsiaTheme="minorEastAsia" w:hAnsiTheme="minorHAnsi" w:cstheme="minorBidi"/>
          <w:noProof/>
          <w:sz w:val="22"/>
          <w:szCs w:val="22"/>
        </w:rPr>
      </w:pPr>
      <w:hyperlink w:anchor="_Toc98774476" w:history="1">
        <w:r w:rsidRPr="00F63EEB">
          <w:rPr>
            <w:rStyle w:val="Hyperlink"/>
            <w:noProof/>
          </w:rPr>
          <w:t>IV.</w:t>
        </w:r>
        <w:r>
          <w:rPr>
            <w:rFonts w:asciiTheme="minorHAnsi" w:eastAsiaTheme="minorEastAsia" w:hAnsiTheme="minorHAnsi" w:cstheme="minorBidi"/>
            <w:noProof/>
            <w:sz w:val="22"/>
            <w:szCs w:val="22"/>
          </w:rPr>
          <w:tab/>
        </w:r>
        <w:r w:rsidRPr="00F63EEB">
          <w:rPr>
            <w:rStyle w:val="Hyperlink"/>
            <w:noProof/>
          </w:rPr>
          <w:t>CONCLUSION</w:t>
        </w:r>
        <w:r>
          <w:rPr>
            <w:noProof/>
            <w:webHidden/>
          </w:rPr>
          <w:tab/>
        </w:r>
        <w:r>
          <w:rPr>
            <w:noProof/>
            <w:webHidden/>
          </w:rPr>
          <w:fldChar w:fldCharType="begin"/>
        </w:r>
        <w:r>
          <w:rPr>
            <w:noProof/>
            <w:webHidden/>
          </w:rPr>
          <w:instrText xml:space="preserve"> PAGEREF _Toc98774476 \h </w:instrText>
        </w:r>
        <w:r>
          <w:rPr>
            <w:noProof/>
            <w:webHidden/>
          </w:rPr>
          <w:fldChar w:fldCharType="separate"/>
        </w:r>
        <w:r>
          <w:rPr>
            <w:noProof/>
            <w:webHidden/>
          </w:rPr>
          <w:t>16</w:t>
        </w:r>
        <w:r>
          <w:rPr>
            <w:noProof/>
            <w:webHidden/>
          </w:rPr>
          <w:fldChar w:fldCharType="end"/>
        </w:r>
      </w:hyperlink>
    </w:p>
    <w:p w:rsidR="005825F1" w:rsidRPr="004268AF" w:rsidP="004268AF" w14:paraId="56D1AA33" w14:textId="6532ED38">
      <w:pPr>
        <w:pStyle w:val="HTMLPreformatted"/>
        <w:rPr>
          <w:rFonts w:ascii="Times New Roman" w:hAnsi="Times New Roman" w:cs="Times New Roman"/>
          <w:b/>
          <w:bCs/>
          <w:sz w:val="24"/>
          <w:szCs w:val="24"/>
        </w:rPr>
      </w:pPr>
      <w:r w:rsidRPr="004268AF">
        <w:rPr>
          <w:rFonts w:ascii="Times New Roman" w:hAnsi="Times New Roman" w:cs="Times New Roman"/>
          <w:b/>
          <w:bCs/>
          <w:sz w:val="24"/>
          <w:szCs w:val="24"/>
        </w:rPr>
        <w:fldChar w:fldCharType="end"/>
      </w:r>
    </w:p>
    <w:p w:rsidR="005825F1" w:rsidRPr="004268AF" w:rsidP="004268AF" w14:paraId="4420D84B" w14:textId="77777777">
      <w:pPr>
        <w:pStyle w:val="HTMLPreformatted"/>
        <w:jc w:val="both"/>
        <w:rPr>
          <w:rFonts w:ascii="Times New Roman" w:hAnsi="Times New Roman" w:cs="Times New Roman"/>
          <w:b/>
          <w:bCs/>
          <w:sz w:val="24"/>
          <w:szCs w:val="24"/>
        </w:rPr>
      </w:pPr>
    </w:p>
    <w:p w:rsidR="00F93CF3" w:rsidRPr="004268AF" w:rsidP="004268AF" w14:paraId="4EB57C26" w14:textId="77777777"/>
    <w:p w:rsidR="00F93CF3" w:rsidRPr="004268AF" w:rsidP="004268AF" w14:paraId="01010A6D" w14:textId="248F2D41">
      <w:pPr>
        <w:tabs>
          <w:tab w:val="left" w:pos="6616"/>
        </w:tabs>
        <w:rPr>
          <w:rFonts w:eastAsia="Courier New"/>
          <w:b/>
          <w:bCs/>
        </w:rPr>
      </w:pPr>
      <w:r w:rsidRPr="004268AF">
        <w:rPr>
          <w:rFonts w:eastAsia="Courier New"/>
          <w:b/>
          <w:bCs/>
        </w:rPr>
        <w:tab/>
      </w:r>
    </w:p>
    <w:p w:rsidR="00F93CF3" w:rsidRPr="004268AF" w:rsidP="004268AF" w14:paraId="6DCA2AF8" w14:textId="4FDE772F">
      <w:pPr>
        <w:tabs>
          <w:tab w:val="left" w:pos="6616"/>
        </w:tabs>
        <w:sectPr w:rsidSect="005E1B13">
          <w:footerReference w:type="first" r:id="rId12"/>
          <w:pgSz w:w="12240" w:h="15840"/>
          <w:pgMar w:top="1440" w:right="1800" w:bottom="1440" w:left="1800" w:header="0" w:footer="757" w:gutter="0"/>
          <w:pgNumType w:fmt="lowerRoman" w:start="1"/>
          <w:cols w:space="720"/>
          <w:titlePg/>
          <w:docGrid w:linePitch="326"/>
        </w:sectPr>
      </w:pPr>
      <w:r w:rsidRPr="004268AF">
        <w:tab/>
      </w:r>
    </w:p>
    <w:p w:rsidR="00C5631F" w:rsidRPr="004268AF" w:rsidP="004268AF" w14:paraId="1C4238AD" w14:textId="77777777">
      <w:pPr>
        <w:jc w:val="center"/>
        <w:rPr>
          <w:b/>
          <w:bCs/>
          <w:caps/>
        </w:rPr>
      </w:pPr>
      <w:r w:rsidRPr="004268AF">
        <w:rPr>
          <w:b/>
          <w:bCs/>
          <w:caps/>
        </w:rPr>
        <w:t>BEFORE</w:t>
      </w:r>
    </w:p>
    <w:p w:rsidR="00BF5C65" w:rsidRPr="004268AF" w:rsidP="004268AF" w14:paraId="3384F9AC" w14:textId="77777777">
      <w:pPr>
        <w:jc w:val="center"/>
        <w:rPr>
          <w:b/>
          <w:bCs/>
          <w:caps/>
        </w:rPr>
      </w:pPr>
      <w:r w:rsidRPr="004268AF">
        <w:rPr>
          <w:b/>
          <w:bCs/>
          <w:caps/>
        </w:rPr>
        <w:t>THE PUBLIC UTILITIES COMMISSION OF OHIO</w:t>
      </w:r>
    </w:p>
    <w:p w:rsidR="00C5631F" w:rsidRPr="004268AF" w:rsidP="004268AF" w14:paraId="0F6B1780" w14:textId="77777777"/>
    <w:p w:rsidR="00C5631F" w:rsidRPr="004268AF" w:rsidP="004268AF" w14:paraId="1A713F14" w14:textId="77777777">
      <w:r w:rsidRPr="004268AF">
        <w:t xml:space="preserve">In the Matter of the Review of the </w:t>
      </w:r>
      <w:r w:rsidRPr="004268AF">
        <w:tab/>
      </w:r>
      <w:r w:rsidRPr="004268AF">
        <w:tab/>
        <w:t>)</w:t>
      </w:r>
    </w:p>
    <w:p w:rsidR="00BF5C65" w:rsidRPr="004268AF" w:rsidP="004268AF" w14:paraId="058D90E0" w14:textId="77777777">
      <w:r w:rsidRPr="004268AF">
        <w:t>Political and Charitable Spending by Ohio</w:t>
      </w:r>
      <w:r w:rsidRPr="004268AF">
        <w:tab/>
        <w:t>)</w:t>
      </w:r>
      <w:r w:rsidRPr="004268AF">
        <w:tab/>
        <w:t>Case No. 20-1502-EL-UNC</w:t>
      </w:r>
    </w:p>
    <w:p w:rsidR="00BF5C65" w:rsidRPr="004268AF" w:rsidP="004268AF" w14:paraId="22FB941B" w14:textId="77777777">
      <w:r w:rsidRPr="004268AF">
        <w:t>Edison Company, The Cleveland Electric</w:t>
      </w:r>
      <w:r w:rsidRPr="004268AF">
        <w:tab/>
        <w:t>)</w:t>
      </w:r>
    </w:p>
    <w:p w:rsidR="00BF5C65" w:rsidRPr="004268AF" w:rsidP="004268AF" w14:paraId="286D822A" w14:textId="77777777">
      <w:r w:rsidRPr="004268AF">
        <w:t>Illuminating Company, and the Toledo</w:t>
      </w:r>
      <w:r w:rsidRPr="004268AF">
        <w:tab/>
        <w:t>)</w:t>
      </w:r>
    </w:p>
    <w:p w:rsidR="00BF5C65" w:rsidRPr="004268AF" w:rsidP="004268AF" w14:paraId="0C273B22" w14:textId="77777777">
      <w:r w:rsidRPr="004268AF">
        <w:t>Edison Company.</w:t>
      </w:r>
      <w:r w:rsidRPr="004268AF">
        <w:tab/>
      </w:r>
      <w:r w:rsidRPr="004268AF">
        <w:tab/>
      </w:r>
      <w:r w:rsidRPr="004268AF">
        <w:tab/>
      </w:r>
      <w:r w:rsidRPr="004268AF">
        <w:tab/>
        <w:t>)</w:t>
      </w:r>
    </w:p>
    <w:p w:rsidR="00C5631F" w:rsidRPr="004268AF" w:rsidP="004268AF" w14:paraId="581451D4" w14:textId="77777777">
      <w:pPr>
        <w:rPr>
          <w:b/>
          <w:bCs/>
          <w:u w:val="single"/>
        </w:rPr>
      </w:pP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sidR="009B316C">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r w:rsidRPr="004268AF">
        <w:rPr>
          <w:b/>
          <w:bCs/>
          <w:u w:val="single"/>
        </w:rPr>
        <w:tab/>
      </w:r>
    </w:p>
    <w:p w:rsidR="00BF5C65" w:rsidRPr="004268AF" w:rsidP="004268AF" w14:paraId="1E9420FD" w14:textId="77777777">
      <w:pPr>
        <w:jc w:val="center"/>
        <w:rPr>
          <w:caps/>
        </w:rPr>
      </w:pPr>
    </w:p>
    <w:p w:rsidR="002824BC" w:rsidRPr="004268AF" w:rsidP="004268AF" w14:paraId="6CDD376D" w14:textId="2942C3B4">
      <w:pPr>
        <w:jc w:val="center"/>
        <w:rPr>
          <w:b/>
          <w:bCs/>
        </w:rPr>
      </w:pPr>
      <w:bookmarkStart w:id="0" w:name="_Hlk94867082"/>
      <w:r w:rsidRPr="004268AF">
        <w:rPr>
          <w:b/>
          <w:bCs/>
        </w:rPr>
        <w:t>MEMORANDUM CONTRA</w:t>
      </w:r>
      <w:r w:rsidRPr="004268AF" w:rsidR="000D46B9">
        <w:rPr>
          <w:b/>
          <w:bCs/>
        </w:rPr>
        <w:t xml:space="preserve"> </w:t>
      </w:r>
      <w:r w:rsidRPr="004268AF">
        <w:rPr>
          <w:b/>
          <w:bCs/>
        </w:rPr>
        <w:t xml:space="preserve">FIRSTENERGY’S INTERLOCUTORY APPEAL </w:t>
      </w:r>
    </w:p>
    <w:p w:rsidR="00C12465" w:rsidRPr="004268AF" w:rsidP="004268AF" w14:paraId="43C269F7" w14:textId="135B16D0">
      <w:pPr>
        <w:jc w:val="center"/>
        <w:rPr>
          <w:b/>
          <w:bCs/>
        </w:rPr>
      </w:pPr>
      <w:r w:rsidRPr="004268AF">
        <w:rPr>
          <w:b/>
          <w:bCs/>
        </w:rPr>
        <w:t xml:space="preserve">BY </w:t>
      </w:r>
    </w:p>
    <w:p w:rsidR="00070127" w:rsidRPr="004268AF" w:rsidP="004268AF" w14:paraId="0559C869" w14:textId="5C4A4578">
      <w:pPr>
        <w:jc w:val="center"/>
        <w:rPr>
          <w:b/>
          <w:bCs/>
        </w:rPr>
      </w:pPr>
      <w:r w:rsidRPr="004268AF">
        <w:rPr>
          <w:b/>
          <w:bCs/>
        </w:rPr>
        <w:t>OFFICE OF THE OHIO CONSUMERS' COUNSEL</w:t>
      </w:r>
    </w:p>
    <w:bookmarkEnd w:id="0"/>
    <w:p w:rsidR="00DE6E5C" w:rsidRPr="004268AF" w:rsidP="004268AF" w14:paraId="6604578C" w14:textId="7777777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p w:rsidR="000850C0" w:rsidRPr="004268AF" w:rsidP="004268AF" w14:paraId="4F9F765E" w14:textId="08B110B0">
      <w:pPr>
        <w:pStyle w:val="NoSpacing"/>
        <w:spacing w:line="240" w:lineRule="auto"/>
      </w:pPr>
    </w:p>
    <w:p w:rsidR="00D866A2" w:rsidRPr="004268AF" w:rsidP="00B2748C" w14:paraId="4482EB6B" w14:textId="1FB696A5">
      <w:pPr>
        <w:pStyle w:val="Heading1"/>
        <w:numPr>
          <w:ilvl w:val="0"/>
          <w:numId w:val="0"/>
        </w:numPr>
        <w:tabs>
          <w:tab w:val="left" w:pos="7920"/>
        </w:tabs>
        <w:ind w:left="720" w:hanging="720"/>
        <w:rPr>
          <w:rFonts w:ascii="Times New Roman" w:hAnsi="Times New Roman" w:cs="Times New Roman"/>
          <w:szCs w:val="24"/>
        </w:rPr>
      </w:pPr>
      <w:bookmarkStart w:id="1" w:name="_Toc98774467"/>
      <w:r>
        <w:rPr>
          <w:rFonts w:ascii="Times New Roman" w:hAnsi="Times New Roman" w:cs="Times New Roman"/>
          <w:szCs w:val="24"/>
        </w:rPr>
        <w:t>I.</w:t>
      </w:r>
      <w:r>
        <w:rPr>
          <w:rFonts w:ascii="Times New Roman" w:hAnsi="Times New Roman" w:cs="Times New Roman"/>
          <w:szCs w:val="24"/>
        </w:rPr>
        <w:tab/>
      </w:r>
      <w:r w:rsidRPr="004268AF" w:rsidR="00B54BEE">
        <w:rPr>
          <w:rFonts w:ascii="Times New Roman" w:hAnsi="Times New Roman" w:cs="Times New Roman"/>
          <w:szCs w:val="24"/>
        </w:rPr>
        <w:t>INTRODUCTION</w:t>
      </w:r>
      <w:bookmarkEnd w:id="1"/>
    </w:p>
    <w:p w:rsidR="00897552" w:rsidRPr="004268AF" w:rsidP="004268AF" w14:paraId="60C5B530" w14:textId="55EF47B3">
      <w:pPr>
        <w:pStyle w:val="NoSpacing"/>
      </w:pPr>
      <w:r w:rsidRPr="004268AF">
        <w:t>A</w:t>
      </w:r>
      <w:r w:rsidRPr="004268AF" w:rsidR="00E52E1C">
        <w:t xml:space="preserve">fter </w:t>
      </w:r>
      <w:r w:rsidRPr="004268AF">
        <w:t xml:space="preserve">nearly a year of delay </w:t>
      </w:r>
      <w:r w:rsidRPr="004268AF" w:rsidR="00E52E1C">
        <w:t>for</w:t>
      </w:r>
      <w:r w:rsidRPr="004268AF" w:rsidR="007E0474">
        <w:t xml:space="preserve"> OCC’s case preparation, </w:t>
      </w:r>
      <w:r w:rsidRPr="004268AF">
        <w:t xml:space="preserve">PUCO </w:t>
      </w:r>
      <w:r w:rsidRPr="004268AF" w:rsidR="002824BC">
        <w:t xml:space="preserve">Attorney Examiner </w:t>
      </w:r>
      <w:r w:rsidRPr="004268AF" w:rsidR="00E52E1C">
        <w:t>Megan Addi</w:t>
      </w:r>
      <w:r w:rsidRPr="004268AF" w:rsidR="00A771DA">
        <w:t>so</w:t>
      </w:r>
      <w:r w:rsidRPr="004268AF" w:rsidR="00E52E1C">
        <w:t>n</w:t>
      </w:r>
      <w:r w:rsidRPr="004268AF" w:rsidR="00A771DA">
        <w:t xml:space="preserve"> </w:t>
      </w:r>
      <w:r w:rsidRPr="004268AF" w:rsidR="00767D1E">
        <w:t xml:space="preserve">rightly </w:t>
      </w:r>
      <w:r w:rsidRPr="004268AF" w:rsidR="00F2452E">
        <w:t xml:space="preserve">granted OCC’s </w:t>
      </w:r>
      <w:r w:rsidRPr="004268AF" w:rsidR="003C2687">
        <w:t xml:space="preserve">renewed </w:t>
      </w:r>
      <w:r w:rsidRPr="004268AF" w:rsidR="00F2452E">
        <w:t xml:space="preserve">request to </w:t>
      </w:r>
      <w:r w:rsidRPr="004268AF" w:rsidR="003C2687">
        <w:t>order</w:t>
      </w:r>
      <w:r w:rsidRPr="004268AF" w:rsidR="00F2452E">
        <w:t xml:space="preserve"> </w:t>
      </w:r>
      <w:r w:rsidRPr="004268AF" w:rsidR="002824BC">
        <w:t xml:space="preserve">the FirstEnergy Utilities to </w:t>
      </w:r>
      <w:r w:rsidRPr="004268AF" w:rsidR="003C2687">
        <w:t xml:space="preserve">turn over </w:t>
      </w:r>
      <w:r w:rsidRPr="004268AF" w:rsidR="007E0474">
        <w:t xml:space="preserve">the </w:t>
      </w:r>
      <w:r w:rsidRPr="004268AF" w:rsidR="002824BC">
        <w:t>documents th</w:t>
      </w:r>
      <w:r w:rsidRPr="004268AF" w:rsidR="007E0474">
        <w:t>at FirstEnergy</w:t>
      </w:r>
      <w:r w:rsidRPr="004268AF" w:rsidR="002824BC">
        <w:t xml:space="preserve"> </w:t>
      </w:r>
      <w:r w:rsidRPr="004268AF" w:rsidR="00961540">
        <w:t>provided</w:t>
      </w:r>
      <w:r w:rsidRPr="004268AF" w:rsidR="002824BC">
        <w:t xml:space="preserve"> to FERC.</w:t>
      </w:r>
      <w:r>
        <w:rPr>
          <w:rStyle w:val="FootnoteReference"/>
        </w:rPr>
        <w:footnoteReference w:id="2"/>
      </w:r>
      <w:r w:rsidRPr="004268AF" w:rsidR="002824BC">
        <w:t xml:space="preserve"> </w:t>
      </w:r>
      <w:r w:rsidRPr="004268AF" w:rsidR="003C2687">
        <w:t>The federal regulator obtained those documents for its audit of FirstEnergy Corp. and its subsidiaries</w:t>
      </w:r>
      <w:r w:rsidRPr="004268AF" w:rsidR="00C279E0">
        <w:t xml:space="preserve">, regarding </w:t>
      </w:r>
      <w:r w:rsidRPr="004268AF" w:rsidR="00751640">
        <w:t xml:space="preserve">accounting and recordkeeping for affiliates, </w:t>
      </w:r>
      <w:r w:rsidRPr="004268AF" w:rsidR="00C279E0">
        <w:t>including H</w:t>
      </w:r>
      <w:r w:rsidRPr="004268AF" w:rsidR="00751640">
        <w:t>.B.</w:t>
      </w:r>
      <w:r w:rsidRPr="004268AF" w:rsidR="00C279E0">
        <w:t xml:space="preserve"> 6 </w:t>
      </w:r>
      <w:r w:rsidRPr="004268AF" w:rsidR="00681794">
        <w:t>matters</w:t>
      </w:r>
      <w:r w:rsidRPr="004268AF" w:rsidR="003C2687">
        <w:t>.</w:t>
      </w:r>
      <w:r w:rsidRPr="004268AF" w:rsidR="002824BC">
        <w:t xml:space="preserve"> </w:t>
      </w:r>
      <w:r w:rsidRPr="004268AF" w:rsidR="007E0474">
        <w:t>But t</w:t>
      </w:r>
      <w:r w:rsidRPr="004268AF" w:rsidR="002824BC">
        <w:t>he FirstEnergy Utilities</w:t>
      </w:r>
      <w:r w:rsidRPr="004268AF" w:rsidR="00987845">
        <w:t>, that are owned by a company now charged with a federal crime,</w:t>
      </w:r>
      <w:r w:rsidRPr="004268AF" w:rsidR="002824BC">
        <w:t xml:space="preserve"> </w:t>
      </w:r>
      <w:r w:rsidRPr="004268AF" w:rsidR="007E0474">
        <w:t>are not done with delay</w:t>
      </w:r>
      <w:r w:rsidRPr="004268AF" w:rsidR="001E0436">
        <w:t>ing OCC’s access to the documents</w:t>
      </w:r>
      <w:r w:rsidRPr="004268AF" w:rsidR="007E0474">
        <w:t xml:space="preserve">. They </w:t>
      </w:r>
      <w:r w:rsidRPr="004268AF" w:rsidR="002824BC">
        <w:t xml:space="preserve">now seek an interlocutory appeal of </w:t>
      </w:r>
      <w:r w:rsidRPr="004268AF" w:rsidR="001E0436">
        <w:t>the Attorney Examiner’s</w:t>
      </w:r>
      <w:r w:rsidRPr="004268AF" w:rsidR="002824BC">
        <w:t xml:space="preserve"> ruling</w:t>
      </w:r>
      <w:r w:rsidRPr="004268AF" w:rsidR="00EC71B4">
        <w:t>,</w:t>
      </w:r>
      <w:r w:rsidRPr="004268AF" w:rsidR="00F2452E">
        <w:t xml:space="preserve"> asking PUCO Commissioners</w:t>
      </w:r>
      <w:r w:rsidRPr="004268AF" w:rsidR="001E0436">
        <w:t xml:space="preserve"> to keep the documents secret from OCC.</w:t>
      </w:r>
    </w:p>
    <w:p w:rsidR="00E93938" w:rsidRPr="004268AF" w:rsidP="004268AF" w14:paraId="2DE2DB34" w14:textId="6875B267">
      <w:pPr>
        <w:pStyle w:val="NoSpacing"/>
      </w:pPr>
      <w:r w:rsidRPr="004268AF">
        <w:t xml:space="preserve">Keeping the FirstEnergy documents from OCC is the last thing the PUCO should do if justice is to </w:t>
      </w:r>
      <w:r w:rsidRPr="004268AF" w:rsidR="00A771DA">
        <w:t xml:space="preserve">be </w:t>
      </w:r>
      <w:r w:rsidRPr="004268AF" w:rsidR="000B5E7D">
        <w:t>achieved</w:t>
      </w:r>
      <w:r w:rsidRPr="004268AF">
        <w:t xml:space="preserve"> in this case. </w:t>
      </w:r>
      <w:r w:rsidRPr="004268AF" w:rsidR="00987845">
        <w:t xml:space="preserve">Let’s remember just one of </w:t>
      </w:r>
      <w:r w:rsidRPr="004268AF" w:rsidR="00C31190">
        <w:t>FERC’s</w:t>
      </w:r>
      <w:r w:rsidRPr="004268AF" w:rsidR="00987845">
        <w:t xml:space="preserve"> shocking revelations</w:t>
      </w:r>
      <w:r w:rsidRPr="004268AF" w:rsidR="00C31190">
        <w:t xml:space="preserve"> in the audit</w:t>
      </w:r>
      <w:r w:rsidRPr="004268AF" w:rsidR="00987845">
        <w:t xml:space="preserve"> </w:t>
      </w:r>
      <w:r w:rsidRPr="004268AF" w:rsidR="00C31190">
        <w:t>of FirstEnergy that calls out for examination here</w:t>
      </w:r>
      <w:r w:rsidRPr="004268AF" w:rsidR="00987845">
        <w:t>:</w:t>
      </w:r>
    </w:p>
    <w:p w:rsidR="00EC71B4" w:rsidRPr="004268AF" w:rsidP="00030983" w14:paraId="1EEC6AA9" w14:textId="4D7EE6C9">
      <w:pPr>
        <w:pStyle w:val="NoSpacing"/>
        <w:spacing w:line="240" w:lineRule="auto"/>
        <w:ind w:left="1440" w:right="1440" w:firstLine="0"/>
      </w:pPr>
      <w:r w:rsidRPr="004268AF">
        <w:t>[e]ven more concerning, several factual assertions agreed to by FirstEnergy in DPA [Deferred Prosecution Agreement] and the remedies FirstEnergy agreed to undertake,</w:t>
      </w:r>
      <w:r w:rsidRPr="004268AF">
        <w:rPr>
          <w:i/>
          <w:iCs/>
        </w:rPr>
        <w:t xml:space="preserve"> point towards internal controls having been possibly obfuscated or circumvented to conceal or mislead as to the actual amounts, nature, and purpose of the lobbying expenditures made, </w:t>
      </w:r>
      <w:r w:rsidRPr="004268AF">
        <w:t>and as a result, the improper inclusion of lobbying and other nonutility costs in wholesale transmission billing rates</w:t>
      </w:r>
      <w:r w:rsidRPr="004268AF">
        <w:rPr>
          <w:i/>
          <w:iCs/>
        </w:rPr>
        <w:t xml:space="preserve">. </w:t>
      </w:r>
      <w:r w:rsidRPr="004268AF">
        <w:t>(Emphasis added.)</w:t>
      </w:r>
      <w:r w:rsidRPr="004268AF">
        <w:rPr>
          <w:rStyle w:val="HeaderChar"/>
        </w:rPr>
        <w:t xml:space="preserve"> </w:t>
      </w:r>
      <w:r>
        <w:rPr>
          <w:rStyle w:val="FootnoteReference"/>
        </w:rPr>
        <w:footnoteReference w:id="3"/>
      </w:r>
    </w:p>
    <w:p w:rsidR="00D97C2E" w:rsidRPr="004268AF" w:rsidP="004268AF" w14:paraId="18687999" w14:textId="77777777">
      <w:pPr>
        <w:pStyle w:val="NoSpacing"/>
        <w:spacing w:line="240" w:lineRule="auto"/>
        <w:ind w:left="1440" w:firstLine="0"/>
      </w:pPr>
    </w:p>
    <w:p w:rsidR="00767D1E" w:rsidRPr="004268AF" w:rsidP="004268AF" w14:paraId="7CC915ED" w14:textId="135BB6EC">
      <w:pPr>
        <w:pStyle w:val="NoSpacing"/>
      </w:pPr>
      <w:r w:rsidRPr="004268AF">
        <w:t>T</w:t>
      </w:r>
      <w:r w:rsidRPr="004268AF" w:rsidR="00B37835">
        <w:t xml:space="preserve">he PUCO should dismiss </w:t>
      </w:r>
      <w:r w:rsidRPr="004268AF">
        <w:t>FirstEnergy</w:t>
      </w:r>
      <w:r w:rsidRPr="004268AF" w:rsidR="00C32F25">
        <w:t xml:space="preserve"> Utilities </w:t>
      </w:r>
      <w:r w:rsidRPr="004268AF">
        <w:t>interlocutory</w:t>
      </w:r>
      <w:r w:rsidRPr="004268AF" w:rsidR="00B37835">
        <w:t xml:space="preserve"> appeal</w:t>
      </w:r>
      <w:r w:rsidRPr="004268AF" w:rsidR="00A70C56">
        <w:t xml:space="preserve"> or affirm </w:t>
      </w:r>
      <w:r w:rsidRPr="004268AF" w:rsidR="004F703C">
        <w:t>the Attorney Examiner’s ruling, per O.A.C. 4901-1-15(E)</w:t>
      </w:r>
      <w:r w:rsidRPr="004268AF" w:rsidR="00D71F19">
        <w:t>.</w:t>
      </w:r>
      <w:r w:rsidRPr="004268AF" w:rsidR="00E03E71">
        <w:t xml:space="preserve"> </w:t>
      </w:r>
      <w:r w:rsidRPr="004268AF" w:rsidR="00040EE9">
        <w:t xml:space="preserve">For one, OCC has a right to obtain the information in discovery for case preparation, per R.C. 4903.082 and O.A.C. 4901-1-16 et seq. </w:t>
      </w:r>
      <w:r w:rsidRPr="004268AF" w:rsidR="00621530">
        <w:t>Two, t</w:t>
      </w:r>
      <w:r w:rsidRPr="004268AF" w:rsidR="00D71F19">
        <w:t xml:space="preserve">he </w:t>
      </w:r>
      <w:r w:rsidRPr="004268AF" w:rsidR="0094310E">
        <w:t>FirstEnergy U</w:t>
      </w:r>
      <w:r w:rsidRPr="004268AF" w:rsidR="00D71F19">
        <w:t xml:space="preserve">tilities </w:t>
      </w:r>
      <w:r w:rsidRPr="004268AF" w:rsidR="00D271C1">
        <w:t xml:space="preserve">were not adversely affected by the ruling </w:t>
      </w:r>
      <w:r w:rsidRPr="004268AF" w:rsidR="000B5E7D">
        <w:t>(</w:t>
      </w:r>
      <w:r w:rsidRPr="004268AF" w:rsidR="00D271C1">
        <w:t>under O.A.C. 4901-1-15(A)</w:t>
      </w:r>
      <w:r w:rsidRPr="004268AF" w:rsidR="000B5E7D">
        <w:t>)</w:t>
      </w:r>
      <w:r w:rsidRPr="004268AF" w:rsidR="004651DB">
        <w:t xml:space="preserve"> and thus, the PUCO should not entertain the </w:t>
      </w:r>
      <w:r w:rsidRPr="004268AF" w:rsidR="005949A7">
        <w:t xml:space="preserve">immediate interlocutory </w:t>
      </w:r>
      <w:r w:rsidRPr="004268AF" w:rsidR="004651DB">
        <w:t>appeal.</w:t>
      </w:r>
      <w:r w:rsidRPr="004268AF" w:rsidR="00E03E71">
        <w:t xml:space="preserve"> </w:t>
      </w:r>
      <w:r w:rsidRPr="004268AF" w:rsidR="004651DB">
        <w:t xml:space="preserve">Three, the FirstEnergy Utilities </w:t>
      </w:r>
      <w:r w:rsidRPr="004268AF" w:rsidR="00D71F19">
        <w:t xml:space="preserve">lack the standing to raise </w:t>
      </w:r>
      <w:r w:rsidRPr="004268AF" w:rsidR="0094310E">
        <w:t xml:space="preserve">FERC’s </w:t>
      </w:r>
      <w:r w:rsidRPr="004268AF" w:rsidR="00D71F19">
        <w:t xml:space="preserve">federal interest in the confidentiality </w:t>
      </w:r>
      <w:r w:rsidRPr="004268AF" w:rsidR="00B87D0A">
        <w:t xml:space="preserve">of </w:t>
      </w:r>
      <w:r w:rsidRPr="004268AF" w:rsidR="0094310E">
        <w:t>its</w:t>
      </w:r>
      <w:r w:rsidRPr="004268AF" w:rsidR="00D71F19">
        <w:t xml:space="preserve"> audits.</w:t>
      </w:r>
      <w:r w:rsidRPr="004268AF" w:rsidR="00E03E71">
        <w:t xml:space="preserve"> </w:t>
      </w:r>
      <w:r w:rsidRPr="004268AF" w:rsidR="004651DB">
        <w:t xml:space="preserve">Four, </w:t>
      </w:r>
      <w:r w:rsidRPr="004268AF" w:rsidR="0094310E">
        <w:t xml:space="preserve">the FirstEnergy Utilities have failed to show </w:t>
      </w:r>
      <w:r w:rsidRPr="004268AF" w:rsidR="00D271C1">
        <w:t>that the ruling is a new or novel matter or a departure from past precedent</w:t>
      </w:r>
      <w:r w:rsidRPr="004268AF" w:rsidR="004651DB">
        <w:t>, as required under O.A.C. 49021-1-15(B)</w:t>
      </w:r>
      <w:r w:rsidRPr="004268AF" w:rsidR="000B5E7D">
        <w:t>.</w:t>
      </w:r>
      <w:r w:rsidRPr="004268AF" w:rsidR="00E03E71">
        <w:t xml:space="preserve"> </w:t>
      </w:r>
      <w:r w:rsidRPr="004268AF" w:rsidR="004651DB">
        <w:t>Five</w:t>
      </w:r>
      <w:r w:rsidRPr="004268AF" w:rsidR="00D271C1">
        <w:t xml:space="preserve">, the FirstEnergy Utilities have failed to show </w:t>
      </w:r>
      <w:r w:rsidRPr="004268AF" w:rsidR="00912B0E">
        <w:t xml:space="preserve">undue </w:t>
      </w:r>
      <w:r w:rsidRPr="004268AF" w:rsidR="0094310E">
        <w:t>prejudice</w:t>
      </w:r>
      <w:r w:rsidRPr="004268AF" w:rsidR="00912B0E">
        <w:t xml:space="preserve"> or expense</w:t>
      </w:r>
      <w:r w:rsidRPr="004268AF" w:rsidR="0094310E">
        <w:t xml:space="preserve"> as a result of the ruling</w:t>
      </w:r>
      <w:r w:rsidRPr="004268AF" w:rsidR="00912B0E">
        <w:t xml:space="preserve"> under O.A.C. 4901-1-15(B).</w:t>
      </w:r>
      <w:r w:rsidRPr="004268AF" w:rsidR="00E03E71">
        <w:t xml:space="preserve"> </w:t>
      </w:r>
    </w:p>
    <w:p w:rsidR="000E5113" w:rsidRPr="004268AF" w:rsidP="004268AF" w14:paraId="6B3340CE" w14:textId="579E8F8B">
      <w:pPr>
        <w:pStyle w:val="NoSpacing"/>
      </w:pPr>
      <w:r w:rsidRPr="004268AF">
        <w:t>T</w:t>
      </w:r>
      <w:r w:rsidRPr="004268AF" w:rsidR="00A46692">
        <w:t>he</w:t>
      </w:r>
      <w:r w:rsidRPr="004268AF" w:rsidR="008D5B67">
        <w:t>se</w:t>
      </w:r>
      <w:r w:rsidRPr="004268AF" w:rsidR="00A46692">
        <w:t xml:space="preserve"> issues</w:t>
      </w:r>
      <w:r w:rsidRPr="004268AF" w:rsidR="008D5B67">
        <w:t xml:space="preserve"> affecting the Ohio public</w:t>
      </w:r>
      <w:r w:rsidRPr="004268AF" w:rsidR="00A46692">
        <w:t xml:space="preserve"> cry out</w:t>
      </w:r>
      <w:r w:rsidRPr="004268AF" w:rsidR="008D5B67">
        <w:t xml:space="preserve"> for</w:t>
      </w:r>
      <w:r w:rsidRPr="004268AF" w:rsidR="00A46692">
        <w:t xml:space="preserve"> </w:t>
      </w:r>
      <w:r w:rsidRPr="004268AF" w:rsidR="008D5B67">
        <w:t>justice that is</w:t>
      </w:r>
      <w:r w:rsidRPr="004268AF" w:rsidR="00A46692">
        <w:t xml:space="preserve"> transparen</w:t>
      </w:r>
      <w:r w:rsidRPr="004268AF" w:rsidR="008D5B67">
        <w:t>t</w:t>
      </w:r>
      <w:r w:rsidRPr="004268AF" w:rsidR="00A46692">
        <w:t xml:space="preserve"> and complete</w:t>
      </w:r>
      <w:r w:rsidRPr="004268AF" w:rsidR="00767D1E">
        <w:t>, which are objectives that require information for learning if FirstEnergy has wrongly charged Ohioans for its bad acts.</w:t>
      </w:r>
      <w:r w:rsidRPr="004268AF" w:rsidR="00E03E71">
        <w:t xml:space="preserve"> </w:t>
      </w:r>
      <w:r w:rsidRPr="004268AF" w:rsidR="00767D1E">
        <w:t>The</w:t>
      </w:r>
      <w:r w:rsidRPr="004268AF" w:rsidR="00A46692">
        <w:t xml:space="preserve"> PUCO is </w:t>
      </w:r>
      <w:r w:rsidRPr="004268AF" w:rsidR="00767D1E">
        <w:t xml:space="preserve">here </w:t>
      </w:r>
      <w:r w:rsidRPr="004268AF" w:rsidR="00A46692">
        <w:t xml:space="preserve">presented with the extraordinary </w:t>
      </w:r>
      <w:r w:rsidRPr="004268AF" w:rsidR="00767D1E">
        <w:t>circumstances</w:t>
      </w:r>
      <w:r w:rsidRPr="004268AF" w:rsidR="00A46692">
        <w:t xml:space="preserve"> of FirstEnergy</w:t>
      </w:r>
      <w:r w:rsidRPr="004268AF" w:rsidR="00767D1E">
        <w:t>’s</w:t>
      </w:r>
      <w:r w:rsidRPr="004268AF" w:rsidR="00A46692">
        <w:t xml:space="preserve"> </w:t>
      </w:r>
      <w:r w:rsidRPr="004268AF" w:rsidR="00767D1E">
        <w:t xml:space="preserve">activities </w:t>
      </w:r>
      <w:r w:rsidRPr="004268AF" w:rsidR="00A46692">
        <w:t>regarding the making of law (</w:t>
      </w:r>
      <w:r w:rsidRPr="004268AF" w:rsidR="00751640">
        <w:t>H.B.6</w:t>
      </w:r>
      <w:r w:rsidRPr="004268AF" w:rsidR="00A46692">
        <w:t>) and regarding regulation (involving the highest level of the PUCO).</w:t>
      </w:r>
    </w:p>
    <w:p w:rsidR="004F703C" w:rsidRPr="004268AF" w:rsidP="004268AF" w14:paraId="6C82BFCC" w14:textId="7E45F55A">
      <w:pPr>
        <w:pStyle w:val="NoSpacing"/>
        <w:ind w:firstLine="0"/>
      </w:pPr>
      <w:r w:rsidRPr="004268AF">
        <w:tab/>
        <w:t>As Louis Brandeis wrote, a few years before appointment to the United States Supreme Court:</w:t>
      </w:r>
      <w:r w:rsidR="004268AF">
        <w:t xml:space="preserve"> </w:t>
      </w:r>
    </w:p>
    <w:p w:rsidR="00D271C1" w:rsidRPr="004268AF" w:rsidP="00030983" w14:paraId="30058758" w14:textId="3ABA42FD">
      <w:pPr>
        <w:pStyle w:val="NoSpacing"/>
        <w:spacing w:line="240" w:lineRule="auto"/>
        <w:ind w:left="1440" w:right="1440" w:firstLine="0"/>
      </w:pPr>
      <w:r w:rsidRPr="004268AF">
        <w:t>Publicity is justly commended as a remedy for social and industrial diseases. Sunlight is said to be the best of disinfectants; electric light the most efficient policeman.</w:t>
      </w:r>
      <w:r>
        <w:rPr>
          <w:rStyle w:val="FootnoteReference"/>
        </w:rPr>
        <w:footnoteReference w:id="4"/>
      </w:r>
    </w:p>
    <w:p w:rsidR="00D271C1" w:rsidRPr="004268AF" w:rsidP="004268AF" w14:paraId="5D838FC5" w14:textId="77777777">
      <w:pPr>
        <w:pStyle w:val="NoSpacing"/>
        <w:spacing w:line="240" w:lineRule="auto"/>
        <w:ind w:firstLine="0"/>
      </w:pPr>
    </w:p>
    <w:p w:rsidR="00AE0058" w:rsidRPr="004268AF" w:rsidP="004268AF" w14:paraId="50EE8C0A" w14:textId="738D28F5">
      <w:pPr>
        <w:pStyle w:val="NoSpacing"/>
      </w:pPr>
      <w:r w:rsidRPr="004268AF">
        <w:t>T</w:t>
      </w:r>
      <w:r w:rsidRPr="004268AF" w:rsidR="000D171F">
        <w:t>he PUCO</w:t>
      </w:r>
      <w:r w:rsidRPr="004268AF" w:rsidR="004F703C">
        <w:t xml:space="preserve"> Commissioners should </w:t>
      </w:r>
      <w:r w:rsidRPr="004268AF" w:rsidR="007C4BF0">
        <w:t xml:space="preserve">not allow FirstEnergy </w:t>
      </w:r>
      <w:r w:rsidRPr="004268AF" w:rsidR="00C32F25">
        <w:t xml:space="preserve">Utilities </w:t>
      </w:r>
      <w:r w:rsidRPr="004268AF" w:rsidR="007C4BF0">
        <w:t xml:space="preserve">to waste any more of OCC’s time for trying to shed needed sunlight in this investigation. The PUCO Commissioners should </w:t>
      </w:r>
      <w:r w:rsidRPr="004268AF" w:rsidR="004F703C">
        <w:t>dismiss FirstEnergy</w:t>
      </w:r>
      <w:r w:rsidRPr="004268AF" w:rsidR="00C32F25">
        <w:t xml:space="preserve"> Utilities’</w:t>
      </w:r>
      <w:r w:rsidRPr="004268AF" w:rsidR="004F703C">
        <w:t xml:space="preserve"> Interlocutory Appeal or affirm the Attorney</w:t>
      </w:r>
      <w:r w:rsidRPr="004268AF">
        <w:t xml:space="preserve"> Examiner’s</w:t>
      </w:r>
      <w:r w:rsidRPr="004268AF" w:rsidR="004F703C">
        <w:t xml:space="preserve"> ruling.</w:t>
      </w:r>
      <w:r w:rsidRPr="004268AF" w:rsidR="00E03E71">
        <w:t xml:space="preserve"> </w:t>
      </w:r>
    </w:p>
    <w:p w:rsidR="00894822" w:rsidRPr="004268AF" w:rsidP="004268AF" w14:paraId="096934A5" w14:textId="77777777">
      <w:pPr>
        <w:pStyle w:val="NoSpacing"/>
        <w:spacing w:line="240" w:lineRule="auto"/>
      </w:pPr>
    </w:p>
    <w:p w:rsidR="00D379A0" w:rsidRPr="004268AF" w:rsidP="004268AF" w14:paraId="338CCC31" w14:textId="29B25B8B">
      <w:pPr>
        <w:pStyle w:val="Heading1"/>
        <w:numPr>
          <w:ilvl w:val="0"/>
          <w:numId w:val="0"/>
        </w:numPr>
        <w:ind w:left="720" w:hanging="720"/>
        <w:rPr>
          <w:rFonts w:ascii="Times New Roman" w:hAnsi="Times New Roman" w:cs="Times New Roman"/>
          <w:szCs w:val="24"/>
        </w:rPr>
      </w:pPr>
      <w:bookmarkStart w:id="2" w:name="_Toc98774468"/>
      <w:r w:rsidRPr="004268AF">
        <w:rPr>
          <w:rFonts w:ascii="Times New Roman" w:hAnsi="Times New Roman" w:cs="Times New Roman"/>
          <w:szCs w:val="24"/>
        </w:rPr>
        <w:t>II.</w:t>
      </w:r>
      <w:r w:rsidRPr="004268AF">
        <w:rPr>
          <w:rFonts w:ascii="Times New Roman" w:hAnsi="Times New Roman" w:cs="Times New Roman"/>
          <w:szCs w:val="24"/>
        </w:rPr>
        <w:tab/>
        <w:t>BACKGROUND</w:t>
      </w:r>
      <w:bookmarkEnd w:id="2"/>
      <w:r w:rsidRPr="004268AF">
        <w:rPr>
          <w:rFonts w:ascii="Times New Roman" w:hAnsi="Times New Roman" w:cs="Times New Roman"/>
          <w:szCs w:val="24"/>
        </w:rPr>
        <w:t xml:space="preserve"> </w:t>
      </w:r>
    </w:p>
    <w:p w:rsidR="00E86543" w:rsidRPr="004268AF" w:rsidP="004268AF" w14:paraId="15CE1068" w14:textId="1E1E54FD">
      <w:pPr>
        <w:pStyle w:val="NoSpacing"/>
      </w:pPr>
      <w:r w:rsidRPr="004268AF">
        <w:t xml:space="preserve">The FirstEnergy Utilities have long sought to withhold from the public all information </w:t>
      </w:r>
      <w:r w:rsidRPr="004268AF" w:rsidR="00BA4AAE">
        <w:t xml:space="preserve">FirstEnergy </w:t>
      </w:r>
      <w:r w:rsidRPr="004268AF">
        <w:t>provided for FERC’s audit of FirstEnergy Corp. and its subsidiaries. That audit spanned the period January</w:t>
      </w:r>
      <w:r w:rsidRPr="004268AF" w:rsidR="00751640">
        <w:t xml:space="preserve"> </w:t>
      </w:r>
      <w:r w:rsidRPr="004268AF">
        <w:t xml:space="preserve">1, 2015 to September 30, 2021, a period that covered the scandalous and criminal activity associated with H.B. 6. </w:t>
      </w:r>
    </w:p>
    <w:p w:rsidR="00B26DCF" w:rsidRPr="004268AF" w:rsidP="004268AF" w14:paraId="133664F4" w14:textId="1DA95A6C">
      <w:pPr>
        <w:spacing w:line="480" w:lineRule="auto"/>
        <w:ind w:firstLine="720"/>
      </w:pPr>
      <w:r w:rsidRPr="004268AF">
        <w:t>OCC</w:t>
      </w:r>
      <w:r w:rsidRPr="004268AF" w:rsidR="000D171F">
        <w:t xml:space="preserve">’s quest for this information </w:t>
      </w:r>
      <w:r w:rsidRPr="004268AF" w:rsidR="00CB7F26">
        <w:t xml:space="preserve">began almost </w:t>
      </w:r>
      <w:r w:rsidRPr="004268AF" w:rsidR="00D44C2E">
        <w:t xml:space="preserve">a year ago, </w:t>
      </w:r>
      <w:r w:rsidRPr="004268AF" w:rsidR="00CB7F26">
        <w:t xml:space="preserve">when </w:t>
      </w:r>
      <w:r w:rsidRPr="004268AF" w:rsidR="00D44C2E">
        <w:t xml:space="preserve">OCC served </w:t>
      </w:r>
      <w:r w:rsidRPr="004268AF" w:rsidR="00CB7F26">
        <w:t xml:space="preserve">its fifth and seventh set of discovery </w:t>
      </w:r>
      <w:r w:rsidRPr="004268AF" w:rsidR="00D44C2E">
        <w:t>on the FirstEnergy Utilities</w:t>
      </w:r>
      <w:r w:rsidRPr="004268AF" w:rsidR="00CB7F26">
        <w:t>.</w:t>
      </w:r>
      <w:r>
        <w:rPr>
          <w:rStyle w:val="FootnoteReference"/>
        </w:rPr>
        <w:footnoteReference w:id="5"/>
      </w:r>
      <w:r w:rsidRPr="004268AF" w:rsidR="00CB7F26">
        <w:t xml:space="preserve"> After receiving “responses” </w:t>
      </w:r>
      <w:r w:rsidRPr="004268AF" w:rsidR="000D43AF">
        <w:t>(mostly objections) from FirstEnergy</w:t>
      </w:r>
      <w:r w:rsidRPr="004268AF" w:rsidR="00C32F25">
        <w:t xml:space="preserve"> Utilities</w:t>
      </w:r>
      <w:r w:rsidRPr="004268AF" w:rsidR="000D43AF">
        <w:t xml:space="preserve">, and </w:t>
      </w:r>
      <w:r w:rsidRPr="004268AF" w:rsidR="00B54BEE">
        <w:t xml:space="preserve">being unable </w:t>
      </w:r>
      <w:r w:rsidRPr="004268AF" w:rsidR="000D43AF">
        <w:t>to resolve</w:t>
      </w:r>
      <w:r w:rsidRPr="004268AF" w:rsidR="0085033F">
        <w:t xml:space="preserve"> </w:t>
      </w:r>
      <w:r w:rsidRPr="004268AF" w:rsidR="009021EB">
        <w:t>the</w:t>
      </w:r>
      <w:r w:rsidRPr="004268AF" w:rsidR="000D43AF">
        <w:t xml:space="preserve"> discovery dispute, OCC filed </w:t>
      </w:r>
      <w:r w:rsidRPr="004268AF" w:rsidR="000E04C2">
        <w:t>M</w:t>
      </w:r>
      <w:r w:rsidRPr="004268AF" w:rsidR="000D43AF">
        <w:t>otion</w:t>
      </w:r>
      <w:r w:rsidRPr="004268AF" w:rsidR="00A170DC">
        <w:t>s</w:t>
      </w:r>
      <w:r w:rsidRPr="004268AF" w:rsidR="000D43AF">
        <w:t xml:space="preserve"> to </w:t>
      </w:r>
      <w:r w:rsidRPr="004268AF" w:rsidR="000E04C2">
        <w:t>C</w:t>
      </w:r>
      <w:r w:rsidRPr="004268AF" w:rsidR="000D43AF">
        <w:t>ompel.</w:t>
      </w:r>
      <w:r>
        <w:rPr>
          <w:rStyle w:val="FootnoteReference"/>
        </w:rPr>
        <w:footnoteReference w:id="6"/>
      </w:r>
      <w:r w:rsidRPr="004268AF" w:rsidR="00BE2605">
        <w:t xml:space="preserve"> </w:t>
      </w:r>
      <w:r w:rsidRPr="004268AF" w:rsidR="000D43AF">
        <w:t>A prehearing conference was held on August 31, 2021, where the Attorney Examiner’s ruled on OCC’s Motion</w:t>
      </w:r>
      <w:r w:rsidRPr="004268AF" w:rsidR="00A170DC">
        <w:t>s</w:t>
      </w:r>
      <w:r w:rsidRPr="004268AF" w:rsidR="000D43AF">
        <w:t xml:space="preserve"> to Compel.</w:t>
      </w:r>
      <w:r w:rsidRPr="004268AF" w:rsidR="00BE2605">
        <w:t xml:space="preserve"> </w:t>
      </w:r>
    </w:p>
    <w:p w:rsidR="00E86543" w:rsidRPr="004268AF" w:rsidP="004268AF" w14:paraId="7B40BE60" w14:textId="77777777">
      <w:pPr>
        <w:spacing w:line="480" w:lineRule="auto"/>
        <w:ind w:firstLine="720"/>
      </w:pPr>
      <w:r w:rsidRPr="004268AF">
        <w:t>At that prehearing conference</w:t>
      </w:r>
      <w:r w:rsidRPr="004268AF" w:rsidR="000E04C2">
        <w:t>, the parties discussed</w:t>
      </w:r>
      <w:r w:rsidRPr="004268AF">
        <w:t xml:space="preserve"> OCC</w:t>
      </w:r>
      <w:r w:rsidRPr="004268AF" w:rsidR="008E769E">
        <w:t>’s</w:t>
      </w:r>
      <w:r w:rsidRPr="004268AF">
        <w:t xml:space="preserve"> discovery related to FERC’s investigation (OCC RPD 5-001 and OCC INT 6-003)</w:t>
      </w:r>
      <w:r w:rsidRPr="004268AF" w:rsidR="00BE2711">
        <w:t>.</w:t>
      </w:r>
      <w:r w:rsidRPr="004268AF" w:rsidR="00BE2605">
        <w:rPr>
          <w:i/>
          <w:iCs/>
        </w:rPr>
        <w:t xml:space="preserve"> </w:t>
      </w:r>
      <w:r w:rsidRPr="004268AF" w:rsidR="00BE2711">
        <w:t xml:space="preserve">OCC advised </w:t>
      </w:r>
      <w:r w:rsidRPr="004268AF" w:rsidR="008E769E">
        <w:t>PUCO Examiner Price</w:t>
      </w:r>
      <w:r w:rsidRPr="004268AF" w:rsidR="00BE2711">
        <w:t xml:space="preserve"> that OCC </w:t>
      </w:r>
      <w:r w:rsidRPr="004268AF">
        <w:t>would narrow</w:t>
      </w:r>
      <w:r w:rsidRPr="004268AF" w:rsidR="00BE2711">
        <w:t xml:space="preserve"> it</w:t>
      </w:r>
      <w:r w:rsidRPr="004268AF" w:rsidR="00BC57D1">
        <w:t>s</w:t>
      </w:r>
      <w:r w:rsidRPr="004268AF" w:rsidR="00BE2711">
        <w:t xml:space="preserve"> document request to documents supplied by FirstEnergy to FERC, </w:t>
      </w:r>
      <w:r w:rsidRPr="004268AF">
        <w:t>instead of also including</w:t>
      </w:r>
      <w:r w:rsidRPr="004268AF" w:rsidR="00BE2711">
        <w:t xml:space="preserve"> information that FERC communicated to </w:t>
      </w:r>
      <w:r w:rsidRPr="004268AF" w:rsidR="00BC57D1">
        <w:t>FirstEnergy</w:t>
      </w:r>
      <w:r w:rsidRPr="004268AF" w:rsidR="00BE2711">
        <w:t>.</w:t>
      </w:r>
      <w:r>
        <w:rPr>
          <w:rStyle w:val="FootnoteReference"/>
        </w:rPr>
        <w:footnoteReference w:id="7"/>
      </w:r>
      <w:r w:rsidRPr="004268AF" w:rsidR="00BE2605">
        <w:rPr>
          <w:i/>
          <w:iCs/>
        </w:rPr>
        <w:t xml:space="preserve"> </w:t>
      </w:r>
      <w:r w:rsidRPr="004268AF">
        <w:t>But</w:t>
      </w:r>
      <w:r w:rsidRPr="004268AF">
        <w:rPr>
          <w:i/>
          <w:iCs/>
        </w:rPr>
        <w:t xml:space="preserve"> </w:t>
      </w:r>
      <w:r w:rsidRPr="004268AF" w:rsidR="00A96447">
        <w:t xml:space="preserve">Examiner Price denied OCC’s </w:t>
      </w:r>
      <w:r w:rsidRPr="004268AF" w:rsidR="000E04C2">
        <w:t>M</w:t>
      </w:r>
      <w:r w:rsidRPr="004268AF" w:rsidR="00A96447">
        <w:t>otion</w:t>
      </w:r>
      <w:r w:rsidRPr="004268AF" w:rsidR="00A170DC">
        <w:t>s</w:t>
      </w:r>
      <w:r w:rsidRPr="004268AF" w:rsidR="00A96447">
        <w:t xml:space="preserve"> to </w:t>
      </w:r>
      <w:r w:rsidRPr="004268AF" w:rsidR="000E04C2">
        <w:t>C</w:t>
      </w:r>
      <w:r w:rsidRPr="004268AF" w:rsidR="00A96447">
        <w:t>ompel</w:t>
      </w:r>
      <w:r w:rsidRPr="004268AF" w:rsidR="000E04C2">
        <w:t>,</w:t>
      </w:r>
      <w:r w:rsidRPr="004268AF" w:rsidR="00A96447">
        <w:t xml:space="preserve"> finding that “We will let FERC proceed with their investigation in a confidential matter.</w:t>
      </w:r>
      <w:r w:rsidRPr="004268AF" w:rsidR="00BE2605">
        <w:t xml:space="preserve"> </w:t>
      </w:r>
      <w:r w:rsidRPr="004268AF" w:rsidR="00A96447">
        <w:t xml:space="preserve">If and when a public audit is released by FERC, we can </w:t>
      </w:r>
      <w:r w:rsidRPr="004268AF" w:rsidR="00A96447">
        <w:rPr>
          <w:i/>
          <w:iCs/>
        </w:rPr>
        <w:t>revisit</w:t>
      </w:r>
      <w:r w:rsidRPr="004268AF" w:rsidR="00A96447">
        <w:t xml:space="preserve"> this issue at that time.”</w:t>
      </w:r>
      <w:r>
        <w:rPr>
          <w:rStyle w:val="FootnoteReference"/>
        </w:rPr>
        <w:footnoteReference w:id="8"/>
      </w:r>
    </w:p>
    <w:p w:rsidR="00BA4AAE" w:rsidRPr="004268AF" w:rsidP="004268AF" w14:paraId="57D6741E" w14:textId="2A60C223">
      <w:pPr>
        <w:spacing w:line="480" w:lineRule="auto"/>
        <w:ind w:firstLine="720"/>
      </w:pPr>
      <w:r w:rsidRPr="004268AF">
        <w:t xml:space="preserve"> </w:t>
      </w:r>
      <w:r w:rsidRPr="004268AF" w:rsidR="00B54BEE">
        <w:t>On February 4, 2022, FERC publicly released its audit report.</w:t>
      </w:r>
      <w:r w:rsidRPr="004268AF">
        <w:t xml:space="preserve"> </w:t>
      </w:r>
      <w:r w:rsidRPr="004268AF" w:rsidR="00F3045E">
        <w:t xml:space="preserve">The audit report contains seven findings of noncompliance and 38 recommendations that require FirstEnergy and its subsidiaries to take corrective actions (including apparently refunds to consumers). </w:t>
      </w:r>
      <w:r w:rsidRPr="004268AF" w:rsidR="000D406D">
        <w:t xml:space="preserve">FERC’s audit </w:t>
      </w:r>
      <w:r w:rsidRPr="004268AF" w:rsidR="00CA5B4E">
        <w:t>f</w:t>
      </w:r>
      <w:r w:rsidRPr="004268AF" w:rsidR="000D406D">
        <w:t>indings included its acknowledgement of “</w:t>
      </w:r>
      <w:r w:rsidRPr="004268AF" w:rsidR="00CA5B4E">
        <w:t>significant</w:t>
      </w:r>
      <w:r w:rsidRPr="004268AF" w:rsidR="000D406D">
        <w:t xml:space="preserve"> </w:t>
      </w:r>
      <w:r w:rsidRPr="004268AF" w:rsidR="00CA5B4E">
        <w:t>shortcomings</w:t>
      </w:r>
      <w:r w:rsidRPr="004268AF" w:rsidR="000D406D">
        <w:t xml:space="preserve">” in </w:t>
      </w:r>
      <w:r w:rsidRPr="004268AF" w:rsidR="00CA5B4E">
        <w:t>FirstEnergy</w:t>
      </w:r>
      <w:r w:rsidRPr="004268AF" w:rsidR="000D406D">
        <w:t xml:space="preserve"> and its </w:t>
      </w:r>
      <w:r w:rsidRPr="004268AF" w:rsidR="00CA5B4E">
        <w:t>subsidiaries</w:t>
      </w:r>
      <w:r w:rsidRPr="004268AF" w:rsidR="000D406D">
        <w:t xml:space="preserve">’ internal controls over financial reporting for expenses </w:t>
      </w:r>
      <w:r w:rsidRPr="004268AF" w:rsidR="00CA5B4E">
        <w:t>relating</w:t>
      </w:r>
      <w:r w:rsidRPr="004268AF" w:rsidR="000D406D">
        <w:t xml:space="preserve"> </w:t>
      </w:r>
      <w:r w:rsidRPr="004268AF" w:rsidR="00CA5B4E">
        <w:t>t</w:t>
      </w:r>
      <w:r w:rsidRPr="004268AF" w:rsidR="000D406D">
        <w:t xml:space="preserve">o </w:t>
      </w:r>
      <w:r w:rsidRPr="004268AF" w:rsidR="00CA5B4E">
        <w:t>civic</w:t>
      </w:r>
      <w:r w:rsidRPr="004268AF" w:rsidR="000D406D">
        <w:t>, political and lobbying activities.</w:t>
      </w:r>
      <w:r w:rsidRPr="004268AF" w:rsidR="00E03E71">
        <w:t xml:space="preserve"> </w:t>
      </w:r>
    </w:p>
    <w:p w:rsidR="00B2527A" w:rsidRPr="004268AF" w:rsidP="00030983" w14:paraId="1ACEE5B1" w14:textId="114C5C39">
      <w:pPr>
        <w:spacing w:line="480" w:lineRule="auto"/>
        <w:ind w:firstLine="720"/>
        <w:rPr>
          <w:i/>
          <w:iCs/>
        </w:rPr>
      </w:pPr>
      <w:r w:rsidRPr="004268AF">
        <w:t xml:space="preserve">As recounted above, </w:t>
      </w:r>
      <w:r w:rsidRPr="004268AF" w:rsidR="000D406D">
        <w:t>FERC additionally noted that</w:t>
      </w:r>
      <w:r w:rsidRPr="004268AF">
        <w:t xml:space="preserve"> “several factual assertions agreed to by FirstEnergy</w:t>
      </w:r>
      <w:r w:rsidRPr="004268AF" w:rsidR="00C32F25">
        <w:t xml:space="preserve"> Corp.</w:t>
      </w:r>
      <w:r w:rsidRPr="004268AF" w:rsidR="00E03E71">
        <w:t xml:space="preserve"> </w:t>
      </w:r>
      <w:r w:rsidRPr="004268AF">
        <w:t>in…” the U.S. Deferred Prosecution Agreement</w:t>
      </w:r>
      <w:r w:rsidRPr="004268AF" w:rsidR="00FF4D4B">
        <w:t>:</w:t>
      </w:r>
      <w:r w:rsidRPr="004268AF">
        <w:t xml:space="preserve"> </w:t>
      </w:r>
    </w:p>
    <w:p w:rsidR="00CA5B4E" w:rsidRPr="004268AF" w:rsidP="00030983" w14:paraId="5A1FD6B2" w14:textId="3D2E4CBC">
      <w:pPr>
        <w:ind w:left="1440" w:right="1440"/>
      </w:pPr>
      <w:r w:rsidRPr="004268AF">
        <w:rPr>
          <w:i/>
          <w:iCs/>
        </w:rPr>
        <w:t xml:space="preserve">point towards internal controls having been possibly obfuscated or circumvented to conceal or mislead as to the actual amounts, nature, and purpose of the lobbying expenditures made, </w:t>
      </w:r>
      <w:r w:rsidRPr="004268AF">
        <w:t>and as a result, the improper inclusion of lobbying and other nonutility costs in wholesale transmission billing rates</w:t>
      </w:r>
      <w:r w:rsidRPr="004268AF">
        <w:rPr>
          <w:i/>
          <w:iCs/>
        </w:rPr>
        <w:t xml:space="preserve">. </w:t>
      </w:r>
      <w:r w:rsidRPr="004268AF">
        <w:t>(Emphasis added.)</w:t>
      </w:r>
      <w:r w:rsidRPr="004268AF">
        <w:rPr>
          <w:rStyle w:val="FootnoteReference"/>
        </w:rPr>
        <w:t xml:space="preserve"> </w:t>
      </w:r>
      <w:r>
        <w:rPr>
          <w:rStyle w:val="FootnoteReference"/>
        </w:rPr>
        <w:footnoteReference w:id="9"/>
      </w:r>
    </w:p>
    <w:p w:rsidR="00B2527A" w:rsidRPr="004268AF" w:rsidP="004268AF" w14:paraId="74824202" w14:textId="77777777">
      <w:pPr>
        <w:ind w:left="1350"/>
      </w:pPr>
    </w:p>
    <w:p w:rsidR="00C87A78" w:rsidRPr="004268AF" w:rsidP="004268AF" w14:paraId="41F4CA2F" w14:textId="2B98A1CC">
      <w:pPr>
        <w:spacing w:line="480" w:lineRule="auto"/>
        <w:ind w:firstLine="720"/>
      </w:pPr>
      <w:r w:rsidRPr="004268AF">
        <w:t>The very same day that</w:t>
      </w:r>
      <w:r w:rsidRPr="004268AF" w:rsidR="00961540">
        <w:t xml:space="preserve"> FERC released the audit report</w:t>
      </w:r>
      <w:r w:rsidRPr="004268AF" w:rsidR="00B54BEE">
        <w:t xml:space="preserve">, OCC filed a letter in this docket asking </w:t>
      </w:r>
      <w:r w:rsidRPr="004268AF" w:rsidR="0098134A">
        <w:t xml:space="preserve">Attorney Examiner Price to revisit OCC’s </w:t>
      </w:r>
      <w:r w:rsidRPr="004268AF" w:rsidR="000E04C2">
        <w:t>M</w:t>
      </w:r>
      <w:r w:rsidRPr="004268AF" w:rsidR="0098134A">
        <w:t>otion</w:t>
      </w:r>
      <w:r w:rsidRPr="004268AF" w:rsidR="00A170DC">
        <w:t>s</w:t>
      </w:r>
      <w:r w:rsidRPr="004268AF" w:rsidR="0098134A">
        <w:t xml:space="preserve"> to </w:t>
      </w:r>
      <w:r w:rsidRPr="004268AF" w:rsidR="000E04C2">
        <w:t>C</w:t>
      </w:r>
      <w:r w:rsidRPr="004268AF" w:rsidR="0098134A">
        <w:t xml:space="preserve">ompel discovery, </w:t>
      </w:r>
      <w:r w:rsidRPr="004268AF" w:rsidR="00B54BEE">
        <w:t>as he earlier invited in his</w:t>
      </w:r>
      <w:r w:rsidRPr="004268AF" w:rsidR="0098134A">
        <w:t xml:space="preserve"> Aug</w:t>
      </w:r>
      <w:r w:rsidRPr="004268AF" w:rsidR="004563C7">
        <w:t>ust</w:t>
      </w:r>
      <w:r w:rsidRPr="004268AF" w:rsidR="0098134A">
        <w:t xml:space="preserve"> 31, 2021 ruling.</w:t>
      </w:r>
      <w:r>
        <w:rPr>
          <w:rStyle w:val="FootnoteReference"/>
        </w:rPr>
        <w:footnoteReference w:id="10"/>
      </w:r>
      <w:r w:rsidRPr="004268AF" w:rsidR="0098134A">
        <w:t xml:space="preserve"> </w:t>
      </w:r>
      <w:r w:rsidRPr="004268AF" w:rsidR="004563C7">
        <w:t>On February 10, 2022, a</w:t>
      </w:r>
      <w:r w:rsidRPr="004268AF" w:rsidR="0098134A">
        <w:t xml:space="preserve"> prehearing conference includ</w:t>
      </w:r>
      <w:r w:rsidRPr="004268AF" w:rsidR="00B54BEE">
        <w:t>ed</w:t>
      </w:r>
      <w:r w:rsidRPr="004268AF" w:rsidR="0098134A">
        <w:t xml:space="preserve"> </w:t>
      </w:r>
      <w:r w:rsidRPr="004268AF" w:rsidR="000D171F">
        <w:t xml:space="preserve">discussion of </w:t>
      </w:r>
      <w:r w:rsidRPr="004268AF" w:rsidR="0098134A">
        <w:t xml:space="preserve">OCC’s request </w:t>
      </w:r>
      <w:r w:rsidRPr="004268AF" w:rsidR="00B54BEE">
        <w:t xml:space="preserve">for Examiner Price </w:t>
      </w:r>
      <w:r w:rsidRPr="004268AF" w:rsidR="0098134A">
        <w:t xml:space="preserve">to revisit </w:t>
      </w:r>
      <w:r w:rsidRPr="004268AF" w:rsidR="00B54BEE">
        <w:t>his 2021 denial of OCC’s</w:t>
      </w:r>
      <w:r w:rsidRPr="004268AF" w:rsidR="0098134A">
        <w:t xml:space="preserve"> Motion</w:t>
      </w:r>
      <w:r w:rsidRPr="004268AF" w:rsidR="00A170DC">
        <w:t>s</w:t>
      </w:r>
      <w:r w:rsidRPr="004268AF" w:rsidR="0098134A">
        <w:t xml:space="preserve"> to Compel seeking FERC </w:t>
      </w:r>
      <w:r w:rsidRPr="004268AF" w:rsidR="003710AC">
        <w:t>audit</w:t>
      </w:r>
      <w:r w:rsidRPr="004268AF" w:rsidR="00B54BEE">
        <w:t>-</w:t>
      </w:r>
      <w:r w:rsidRPr="004268AF" w:rsidR="0098134A">
        <w:t>related documents.</w:t>
      </w:r>
      <w:r w:rsidRPr="004268AF" w:rsidR="00BE2605">
        <w:t xml:space="preserve"> </w:t>
      </w:r>
    </w:p>
    <w:p w:rsidR="001C0B5C" w:rsidRPr="004268AF" w:rsidP="004268AF" w14:paraId="3B5170A6" w14:textId="420483BF">
      <w:pPr>
        <w:spacing w:line="480" w:lineRule="auto"/>
        <w:ind w:firstLine="720"/>
      </w:pPr>
      <w:r w:rsidRPr="004268AF">
        <w:t xml:space="preserve">The first issue </w:t>
      </w:r>
      <w:r w:rsidRPr="004268AF" w:rsidR="00C87A78">
        <w:t>addressed</w:t>
      </w:r>
      <w:r w:rsidRPr="004268AF">
        <w:t xml:space="preserve"> by the Examiner Price</w:t>
      </w:r>
      <w:r w:rsidRPr="004268AF" w:rsidR="00C87A78">
        <w:t xml:space="preserve"> at the prehearing</w:t>
      </w:r>
      <w:r w:rsidRPr="004268AF">
        <w:t xml:space="preserve"> was OCC’s “motion to compel . . . requesting FirstEnergy </w:t>
      </w:r>
      <w:r w:rsidRPr="004268AF" w:rsidR="00C32F25">
        <w:t xml:space="preserve">Utilities </w:t>
      </w:r>
      <w:r w:rsidRPr="004268AF">
        <w:t>to disclose all documents given [by</w:t>
      </w:r>
      <w:r w:rsidRPr="004268AF" w:rsidR="00CE7B07">
        <w:t xml:space="preserve"> </w:t>
      </w:r>
      <w:r w:rsidRPr="004268AF">
        <w:t>FirstEnergy] to the Federal Energy Regulatory Commission as part of their recent audit of the FirstEnergy utilities.”</w:t>
      </w:r>
      <w:r>
        <w:rPr>
          <w:rStyle w:val="FootnoteReference"/>
        </w:rPr>
        <w:footnoteReference w:id="11"/>
      </w:r>
      <w:r w:rsidRPr="004268AF" w:rsidR="00543AD7">
        <w:t xml:space="preserve"> </w:t>
      </w:r>
      <w:r w:rsidRPr="004268AF">
        <w:t xml:space="preserve">OCC argued that the documents given by the FirstEnergy </w:t>
      </w:r>
      <w:r w:rsidRPr="004268AF" w:rsidR="003710AC">
        <w:t xml:space="preserve">Corp. and its subsidiaries </w:t>
      </w:r>
      <w:r w:rsidRPr="004268AF">
        <w:t>to FERC are not confidential – the public has the right to see them.</w:t>
      </w:r>
      <w:r>
        <w:rPr>
          <w:rStyle w:val="FootnoteReference"/>
        </w:rPr>
        <w:footnoteReference w:id="12"/>
      </w:r>
      <w:r w:rsidRPr="004268AF" w:rsidR="00543AD7">
        <w:t xml:space="preserve"> </w:t>
      </w:r>
      <w:r w:rsidRPr="004268AF">
        <w:t>The FirstEnergy Utilities asserted that the public has no right to see documents that they gave to FERC because, in the Attorney Examiner’s words, they are “confidential.”</w:t>
      </w:r>
      <w:r>
        <w:rPr>
          <w:rStyle w:val="FootnoteReference"/>
        </w:rPr>
        <w:footnoteReference w:id="13"/>
      </w:r>
      <w:r w:rsidRPr="004268AF" w:rsidR="00543AD7">
        <w:t xml:space="preserve"> </w:t>
      </w:r>
    </w:p>
    <w:p w:rsidR="00D311AB" w:rsidRPr="004268AF" w:rsidP="004268AF" w14:paraId="11DBE6B0" w14:textId="26534CCF">
      <w:pPr>
        <w:spacing w:line="480" w:lineRule="auto"/>
        <w:ind w:firstLine="720"/>
      </w:pPr>
      <w:r w:rsidRPr="004268AF">
        <w:t>Examiner</w:t>
      </w:r>
      <w:r w:rsidRPr="004268AF" w:rsidR="001C0B5C">
        <w:t xml:space="preserve"> Price did not then rule on the merits of OCC’s request to revisit his earlier ruling. But</w:t>
      </w:r>
      <w:r w:rsidRPr="004268AF">
        <w:t xml:space="preserve"> </w:t>
      </w:r>
      <w:r w:rsidRPr="004268AF" w:rsidR="001C0B5C">
        <w:t xml:space="preserve">the Examiner </w:t>
      </w:r>
      <w:r w:rsidRPr="004268AF" w:rsidR="00C87A78">
        <w:t xml:space="preserve">asked </w:t>
      </w:r>
      <w:r w:rsidRPr="004268AF">
        <w:t xml:space="preserve">parties to file memoranda addressing </w:t>
      </w:r>
      <w:r w:rsidRPr="004268AF" w:rsidR="005E5E6A">
        <w:rPr>
          <w:rFonts w:eastAsiaTheme="minorHAnsi"/>
        </w:rPr>
        <w:t>“the narrow question of</w:t>
      </w:r>
      <w:r w:rsidRPr="004268AF" w:rsidR="00BE2605">
        <w:rPr>
          <w:rFonts w:eastAsiaTheme="minorHAnsi"/>
        </w:rPr>
        <w:t xml:space="preserve"> </w:t>
      </w:r>
      <w:r w:rsidRPr="004268AF" w:rsidR="005E5E6A">
        <w:rPr>
          <w:rFonts w:eastAsiaTheme="minorHAnsi"/>
        </w:rPr>
        <w:t>once the FERC audit report has been released whether the confidentiality provisions are still in place</w:t>
      </w:r>
      <w:r w:rsidRPr="004268AF">
        <w:t>.</w:t>
      </w:r>
      <w:r w:rsidRPr="004268AF" w:rsidR="005E5E6A">
        <w:t>”</w:t>
      </w:r>
      <w:r>
        <w:rPr>
          <w:rStyle w:val="FootnoteReference"/>
        </w:rPr>
        <w:footnoteReference w:id="14"/>
      </w:r>
      <w:r w:rsidRPr="004268AF">
        <w:t xml:space="preserve"> </w:t>
      </w:r>
    </w:p>
    <w:p w:rsidR="0082602F" w:rsidRPr="004268AF" w:rsidP="004268AF" w14:paraId="64B65738" w14:textId="4CC5DBC4">
      <w:pPr>
        <w:spacing w:line="480" w:lineRule="auto"/>
        <w:ind w:firstLine="720"/>
      </w:pPr>
      <w:r w:rsidRPr="004268AF">
        <w:t>The</w:t>
      </w:r>
      <w:r w:rsidRPr="004268AF" w:rsidR="00420347">
        <w:t>n</w:t>
      </w:r>
      <w:r w:rsidRPr="004268AF" w:rsidR="00B2527A">
        <w:t>,</w:t>
      </w:r>
      <w:r w:rsidRPr="004268AF">
        <w:t xml:space="preserve"> Attorney Examiner</w:t>
      </w:r>
      <w:r w:rsidRPr="004268AF" w:rsidR="00FF4D4B">
        <w:t xml:space="preserve"> Megan Addison</w:t>
      </w:r>
      <w:r w:rsidRPr="004268AF" w:rsidR="00420347">
        <w:t xml:space="preserve"> </w:t>
      </w:r>
      <w:r w:rsidRPr="004268AF">
        <w:t>ruled at the March 11, 2022 prehearing conference that the FirstEnergy Utilities must produce</w:t>
      </w:r>
      <w:r w:rsidRPr="004268AF" w:rsidR="00792C44">
        <w:t xml:space="preserve"> to OCC the</w:t>
      </w:r>
      <w:r w:rsidRPr="004268AF">
        <w:t xml:space="preserve"> documents provided to FERC for </w:t>
      </w:r>
      <w:r w:rsidRPr="004268AF" w:rsidR="00792C44">
        <w:t xml:space="preserve">its </w:t>
      </w:r>
      <w:r w:rsidRPr="004268AF">
        <w:t>audit of FirstEnergy Corp. and its subsidiaries.</w:t>
      </w:r>
      <w:r>
        <w:rPr>
          <w:rStyle w:val="FootnoteReference"/>
        </w:rPr>
        <w:footnoteReference w:id="15"/>
      </w:r>
      <w:r w:rsidRPr="004268AF" w:rsidR="00E03E71">
        <w:t xml:space="preserve"> </w:t>
      </w:r>
      <w:r w:rsidRPr="004268AF">
        <w:t>The FirstEnergy Utilities now seek an interlocutory appeal of this ruling</w:t>
      </w:r>
      <w:r w:rsidRPr="004268AF" w:rsidR="00792C44">
        <w:t>, asking the PUCO Commissioners to keep the documents from OCC (and thus from the PUCO for its decision-making)</w:t>
      </w:r>
      <w:r w:rsidRPr="004268AF">
        <w:t>.</w:t>
      </w:r>
      <w:r>
        <w:rPr>
          <w:rStyle w:val="FootnoteReference"/>
        </w:rPr>
        <w:footnoteReference w:id="16"/>
      </w:r>
      <w:r w:rsidRPr="004268AF" w:rsidR="00E03E71">
        <w:t xml:space="preserve"> </w:t>
      </w:r>
    </w:p>
    <w:p w:rsidR="00057476" w:rsidRPr="004268AF" w:rsidP="004268AF" w14:paraId="09B9A8B2" w14:textId="77777777">
      <w:pPr>
        <w:ind w:firstLine="720"/>
        <w:rPr>
          <w:i/>
          <w:iCs/>
        </w:rPr>
      </w:pPr>
    </w:p>
    <w:p w:rsidR="005E43C9" w:rsidRPr="004268AF" w:rsidP="004268AF" w14:paraId="61F5F7C0" w14:textId="1C39715C">
      <w:pPr>
        <w:pStyle w:val="Heading1"/>
        <w:numPr>
          <w:ilvl w:val="0"/>
          <w:numId w:val="0"/>
        </w:numPr>
        <w:ind w:left="720" w:hanging="720"/>
        <w:rPr>
          <w:rFonts w:ascii="Times New Roman" w:hAnsi="Times New Roman" w:cs="Times New Roman"/>
          <w:szCs w:val="24"/>
        </w:rPr>
      </w:pPr>
      <w:bookmarkStart w:id="3" w:name="_Toc98774469"/>
      <w:r w:rsidRPr="004268AF">
        <w:rPr>
          <w:rFonts w:ascii="Times New Roman" w:hAnsi="Times New Roman" w:cs="Times New Roman"/>
          <w:szCs w:val="24"/>
        </w:rPr>
        <w:t xml:space="preserve">III. </w:t>
      </w:r>
      <w:r w:rsidRPr="004268AF" w:rsidR="00057476">
        <w:rPr>
          <w:rFonts w:ascii="Times New Roman" w:hAnsi="Times New Roman" w:cs="Times New Roman"/>
          <w:szCs w:val="24"/>
        </w:rPr>
        <w:tab/>
      </w:r>
      <w:r w:rsidRPr="004268AF">
        <w:rPr>
          <w:rFonts w:ascii="Times New Roman" w:hAnsi="Times New Roman" w:cs="Times New Roman"/>
          <w:szCs w:val="24"/>
        </w:rPr>
        <w:t>ARGUMENT</w:t>
      </w:r>
      <w:bookmarkEnd w:id="3"/>
    </w:p>
    <w:p w:rsidR="00E52E1C" w:rsidRPr="004268AF" w:rsidP="004268AF" w14:paraId="07BCAF74" w14:textId="004CF85B">
      <w:pPr>
        <w:spacing w:line="480" w:lineRule="auto"/>
        <w:ind w:firstLine="720"/>
        <w:rPr>
          <w:color w:val="333333"/>
          <w:shd w:val="clear" w:color="auto" w:fill="FFFFFF"/>
        </w:rPr>
      </w:pPr>
      <w:r w:rsidRPr="004268AF">
        <w:rPr>
          <w:color w:val="333333"/>
          <w:shd w:val="clear" w:color="auto" w:fill="FFFFFF"/>
        </w:rPr>
        <w:t>Ohio Administrative Code 4901-1-15 provides for an interlocutory appeal when the conditions</w:t>
      </w:r>
      <w:r w:rsidRPr="004268AF" w:rsidR="00571652">
        <w:rPr>
          <w:color w:val="333333"/>
          <w:shd w:val="clear" w:color="auto" w:fill="FFFFFF"/>
        </w:rPr>
        <w:t xml:space="preserve"> of section A </w:t>
      </w:r>
      <w:r w:rsidRPr="004268AF" w:rsidR="005949A7">
        <w:rPr>
          <w:color w:val="333333"/>
          <w:shd w:val="clear" w:color="auto" w:fill="FFFFFF"/>
        </w:rPr>
        <w:t xml:space="preserve">(“immediate interlocutory appeal) </w:t>
      </w:r>
      <w:r w:rsidRPr="004268AF" w:rsidR="00571652">
        <w:rPr>
          <w:color w:val="333333"/>
          <w:shd w:val="clear" w:color="auto" w:fill="FFFFFF"/>
        </w:rPr>
        <w:t xml:space="preserve">or section B </w:t>
      </w:r>
      <w:r w:rsidRPr="004268AF" w:rsidR="005949A7">
        <w:rPr>
          <w:color w:val="333333"/>
          <w:shd w:val="clear" w:color="auto" w:fill="FFFFFF"/>
        </w:rPr>
        <w:t xml:space="preserve">(certification of an interlocutory appeal) </w:t>
      </w:r>
      <w:r w:rsidRPr="004268AF" w:rsidR="00571652">
        <w:rPr>
          <w:color w:val="333333"/>
          <w:shd w:val="clear" w:color="auto" w:fill="FFFFFF"/>
        </w:rPr>
        <w:t>are met</w:t>
      </w:r>
      <w:r>
        <w:rPr>
          <w:color w:val="333333"/>
          <w:shd w:val="clear" w:color="auto" w:fill="FFFFFF"/>
        </w:rPr>
        <w:t>.</w:t>
      </w:r>
    </w:p>
    <w:p w:rsidR="0044626C" w:rsidRPr="004268AF" w:rsidP="004268AF" w14:paraId="4C8492D4" w14:textId="7E64F158">
      <w:pPr>
        <w:spacing w:line="480" w:lineRule="auto"/>
        <w:ind w:firstLine="720"/>
        <w:rPr>
          <w:color w:val="333333"/>
          <w:shd w:val="clear" w:color="auto" w:fill="FFFFFF"/>
        </w:rPr>
      </w:pPr>
      <w:r w:rsidRPr="004268AF">
        <w:rPr>
          <w:color w:val="333333"/>
          <w:shd w:val="clear" w:color="auto" w:fill="FFFFFF"/>
        </w:rPr>
        <w:t xml:space="preserve">Ohio Administrative Code 4901-1-15 (A) provides for an </w:t>
      </w:r>
      <w:r w:rsidRPr="004268AF" w:rsidR="005949A7">
        <w:rPr>
          <w:color w:val="333333"/>
          <w:shd w:val="clear" w:color="auto" w:fill="FFFFFF"/>
        </w:rPr>
        <w:t xml:space="preserve">immediate </w:t>
      </w:r>
      <w:r w:rsidRPr="004268AF">
        <w:rPr>
          <w:color w:val="333333"/>
          <w:shd w:val="clear" w:color="auto" w:fill="FFFFFF"/>
        </w:rPr>
        <w:t>interlocutory appeal from an Attorney Examiner’s ruling that, inter alia, grants a motion to compel discovery.</w:t>
      </w:r>
      <w:r w:rsidRPr="004268AF" w:rsidR="00E03E71">
        <w:rPr>
          <w:color w:val="333333"/>
          <w:shd w:val="clear" w:color="auto" w:fill="FFFFFF"/>
        </w:rPr>
        <w:t xml:space="preserve"> </w:t>
      </w:r>
      <w:r w:rsidRPr="004268AF">
        <w:rPr>
          <w:color w:val="333333"/>
          <w:shd w:val="clear" w:color="auto" w:fill="FFFFFF"/>
        </w:rPr>
        <w:t xml:space="preserve">Even so, the party taking the appeal must show it is </w:t>
      </w:r>
      <w:r w:rsidRPr="004268AF" w:rsidR="009454F4">
        <w:rPr>
          <w:color w:val="333333"/>
          <w:shd w:val="clear" w:color="auto" w:fill="FFFFFF"/>
        </w:rPr>
        <w:t>“</w:t>
      </w:r>
      <w:r w:rsidRPr="004268AF">
        <w:rPr>
          <w:color w:val="333333"/>
          <w:shd w:val="clear" w:color="auto" w:fill="FFFFFF"/>
        </w:rPr>
        <w:t>adversely affected</w:t>
      </w:r>
      <w:r w:rsidRPr="004268AF" w:rsidR="009454F4">
        <w:rPr>
          <w:color w:val="333333"/>
          <w:shd w:val="clear" w:color="auto" w:fill="FFFFFF"/>
        </w:rPr>
        <w:t>”</w:t>
      </w:r>
      <w:r w:rsidRPr="004268AF">
        <w:rPr>
          <w:color w:val="333333"/>
          <w:shd w:val="clear" w:color="auto" w:fill="FFFFFF"/>
        </w:rPr>
        <w:t xml:space="preserve"> by the ruling.</w:t>
      </w:r>
      <w:r w:rsidRPr="004268AF" w:rsidR="00E03E71">
        <w:rPr>
          <w:color w:val="333333"/>
          <w:shd w:val="clear" w:color="auto" w:fill="FFFFFF"/>
        </w:rPr>
        <w:t xml:space="preserve"> </w:t>
      </w:r>
      <w:r w:rsidRPr="004268AF">
        <w:rPr>
          <w:color w:val="333333"/>
          <w:shd w:val="clear" w:color="auto" w:fill="FFFFFF"/>
        </w:rPr>
        <w:t xml:space="preserve">The FirstEnergy Utilities have applied for </w:t>
      </w:r>
      <w:r w:rsidRPr="004268AF" w:rsidR="009454F4">
        <w:rPr>
          <w:color w:val="333333"/>
          <w:shd w:val="clear" w:color="auto" w:fill="FFFFFF"/>
        </w:rPr>
        <w:t xml:space="preserve">an </w:t>
      </w:r>
      <w:r w:rsidRPr="004268AF">
        <w:rPr>
          <w:color w:val="333333"/>
          <w:shd w:val="clear" w:color="auto" w:fill="FFFFFF"/>
        </w:rPr>
        <w:t>immediate interlocutory appeal to the PUCO under this provision.</w:t>
      </w:r>
      <w:r w:rsidRPr="004268AF" w:rsidR="00E03E71">
        <w:rPr>
          <w:color w:val="333333"/>
          <w:shd w:val="clear" w:color="auto" w:fill="FFFFFF"/>
        </w:rPr>
        <w:t xml:space="preserve"> </w:t>
      </w:r>
    </w:p>
    <w:p w:rsidR="0044626C" w:rsidRPr="004268AF" w:rsidP="004268AF" w14:paraId="70C29382" w14:textId="1485CF60">
      <w:pPr>
        <w:spacing w:line="480" w:lineRule="auto"/>
        <w:ind w:firstLine="720"/>
        <w:rPr>
          <w:color w:val="333333"/>
          <w:shd w:val="clear" w:color="auto" w:fill="FFFFFF"/>
        </w:rPr>
      </w:pPr>
      <w:r w:rsidRPr="004268AF">
        <w:rPr>
          <w:color w:val="333333"/>
          <w:shd w:val="clear" w:color="auto" w:fill="FFFFFF"/>
        </w:rPr>
        <w:t xml:space="preserve">Ohio Administrative Code 4901-1-15 (B) allows </w:t>
      </w:r>
      <w:r w:rsidRPr="004268AF" w:rsidR="005949A7">
        <w:rPr>
          <w:color w:val="333333"/>
          <w:shd w:val="clear" w:color="auto" w:fill="FFFFFF"/>
        </w:rPr>
        <w:t xml:space="preserve">an interlocutory appeal if </w:t>
      </w:r>
      <w:r w:rsidRPr="004268AF">
        <w:rPr>
          <w:color w:val="333333"/>
          <w:shd w:val="clear" w:color="auto" w:fill="FFFFFF"/>
        </w:rPr>
        <w:t xml:space="preserve">the attorney examiner </w:t>
      </w:r>
      <w:r w:rsidRPr="004268AF" w:rsidR="005949A7">
        <w:rPr>
          <w:color w:val="333333"/>
          <w:shd w:val="clear" w:color="auto" w:fill="FFFFFF"/>
        </w:rPr>
        <w:t>certifies the appeal.</w:t>
      </w:r>
      <w:r w:rsidRPr="004268AF" w:rsidR="00E03E71">
        <w:rPr>
          <w:color w:val="333333"/>
          <w:shd w:val="clear" w:color="auto" w:fill="FFFFFF"/>
        </w:rPr>
        <w:t xml:space="preserve"> </w:t>
      </w:r>
      <w:r w:rsidRPr="004268AF" w:rsidR="005949A7">
        <w:rPr>
          <w:color w:val="333333"/>
          <w:shd w:val="clear" w:color="auto" w:fill="FFFFFF"/>
        </w:rPr>
        <w:t xml:space="preserve">In order to have an appeal certified, the PUCO must find that the appeal meets both of the following conditions: </w:t>
      </w:r>
    </w:p>
    <w:p w:rsidR="00E52E1C" w:rsidRPr="00DF6D5B" w:rsidP="00DF6D5B" w14:paraId="5BBC9BC3" w14:textId="70177DA1">
      <w:pPr>
        <w:pStyle w:val="ListParagraph"/>
        <w:numPr>
          <w:ilvl w:val="0"/>
          <w:numId w:val="27"/>
        </w:numPr>
        <w:tabs>
          <w:tab w:val="left" w:pos="7290"/>
        </w:tabs>
        <w:ind w:right="1440" w:hanging="720"/>
        <w:rPr>
          <w:shd w:val="clear" w:color="auto" w:fill="FFFFFF"/>
        </w:rPr>
      </w:pPr>
      <w:r w:rsidRPr="00DF6D5B">
        <w:rPr>
          <w:shd w:val="clear" w:color="auto" w:fill="FFFFFF"/>
        </w:rPr>
        <w:t xml:space="preserve">the appeal presents a new or novel question of interpretation, law, or policy, or is taken from a ruling which represents a departure from past precedent; and </w:t>
      </w:r>
    </w:p>
    <w:p w:rsidR="00E52E1C" w:rsidRPr="00DF6D5B" w:rsidP="00DF6D5B" w14:paraId="6DB06892" w14:textId="77777777">
      <w:pPr>
        <w:pStyle w:val="ListParagraph"/>
        <w:tabs>
          <w:tab w:val="left" w:pos="7290"/>
        </w:tabs>
        <w:ind w:left="2160" w:right="1440" w:hanging="720"/>
        <w:rPr>
          <w:shd w:val="clear" w:color="auto" w:fill="FFFFFF"/>
        </w:rPr>
      </w:pPr>
    </w:p>
    <w:p w:rsidR="00E52E1C" w:rsidRPr="00DF6D5B" w:rsidP="00DF6D5B" w14:paraId="23A895FD" w14:textId="77777777">
      <w:pPr>
        <w:pStyle w:val="ListParagraph"/>
        <w:numPr>
          <w:ilvl w:val="0"/>
          <w:numId w:val="27"/>
        </w:numPr>
        <w:tabs>
          <w:tab w:val="left" w:pos="7290"/>
        </w:tabs>
        <w:ind w:right="1440" w:hanging="720"/>
        <w:rPr>
          <w:shd w:val="clear" w:color="auto" w:fill="FFFFFF"/>
        </w:rPr>
      </w:pPr>
      <w:r w:rsidRPr="00DF6D5B">
        <w:rPr>
          <w:shd w:val="clear" w:color="auto" w:fill="FFFFFF"/>
        </w:rPr>
        <w:t>an immediate determination by the commission is needed to prevent the likelihood of undue prejudice or expense to one or more of the parties, should the commission ultimately reverse the ruling in question.</w:t>
      </w:r>
      <w:r>
        <w:rPr>
          <w:rStyle w:val="FootnoteReference"/>
          <w:shd w:val="clear" w:color="auto" w:fill="FFFFFF"/>
        </w:rPr>
        <w:footnoteReference w:id="17"/>
      </w:r>
    </w:p>
    <w:p w:rsidR="00E52E1C" w:rsidRPr="004268AF" w:rsidP="004268AF" w14:paraId="158EC296" w14:textId="77777777">
      <w:pPr>
        <w:rPr>
          <w:color w:val="333333"/>
          <w:shd w:val="clear" w:color="auto" w:fill="FFFFFF"/>
        </w:rPr>
      </w:pPr>
    </w:p>
    <w:p w:rsidR="00731F7D" w:rsidRPr="004268AF" w:rsidP="004268AF" w14:paraId="1A4789AC" w14:textId="340232A9">
      <w:pPr>
        <w:spacing w:line="480" w:lineRule="auto"/>
      </w:pPr>
      <w:r w:rsidRPr="004268AF">
        <w:tab/>
        <w:t xml:space="preserve">In the present case, </w:t>
      </w:r>
      <w:r w:rsidRPr="004268AF" w:rsidR="00BE1449">
        <w:t xml:space="preserve">the </w:t>
      </w:r>
      <w:r w:rsidRPr="004268AF">
        <w:t xml:space="preserve">FirstEnergy </w:t>
      </w:r>
      <w:r w:rsidRPr="004268AF" w:rsidR="00BE1449">
        <w:t>Utilities have failed to show that they have been adversely affected by the ruling, which they must do under O.A.C. 4901-1-15(A).</w:t>
      </w:r>
      <w:r w:rsidRPr="004268AF" w:rsidR="00E03E71">
        <w:t xml:space="preserve"> </w:t>
      </w:r>
      <w:r w:rsidRPr="004268AF" w:rsidR="00BE1449">
        <w:t>For this reason, the PUCO should not accept the appeal.</w:t>
      </w:r>
      <w:r w:rsidRPr="004268AF" w:rsidR="00E03E71">
        <w:t xml:space="preserve"> </w:t>
      </w:r>
      <w:r w:rsidRPr="004268AF" w:rsidR="00BE1449">
        <w:t>And the FirstEnergy Utilities have not shown that their appeal meets the conditions of O.A.C. 4901-1-15(B). The appeal should not be certified.</w:t>
      </w:r>
      <w:r w:rsidRPr="004268AF" w:rsidR="00E03E71">
        <w:t xml:space="preserve"> </w:t>
      </w:r>
    </w:p>
    <w:p w:rsidR="00E52E1C" w:rsidRPr="004268AF" w:rsidP="004268AF" w14:paraId="20CBA666" w14:textId="6A6EE0F0">
      <w:pPr>
        <w:spacing w:line="480" w:lineRule="auto"/>
        <w:ind w:firstLine="360"/>
      </w:pPr>
      <w:r w:rsidRPr="004268AF">
        <w:t>The PUCO should, consistent with O.A.</w:t>
      </w:r>
      <w:r w:rsidRPr="004268AF" w:rsidR="00731F7D">
        <w:t xml:space="preserve">C. </w:t>
      </w:r>
      <w:r w:rsidRPr="004268AF">
        <w:t>4901-1-15</w:t>
      </w:r>
      <w:r w:rsidRPr="004268AF" w:rsidR="00731F7D">
        <w:t>(E)</w:t>
      </w:r>
      <w:r w:rsidRPr="004268AF">
        <w:t xml:space="preserve"> either affirm the attorney examiner ruling or dismiss the appeal</w:t>
      </w:r>
      <w:r w:rsidRPr="004268AF" w:rsidR="00731F7D">
        <w:t>.</w:t>
      </w:r>
      <w:r w:rsidRPr="004268AF" w:rsidR="00E03E71">
        <w:t xml:space="preserve"> </w:t>
      </w:r>
      <w:r w:rsidRPr="004268AF" w:rsidR="00731F7D">
        <w:t xml:space="preserve">Dismissal of the appeal would be especially appropriate given that </w:t>
      </w:r>
      <w:r w:rsidRPr="004268AF">
        <w:t>the FirstEnergy Utilities lack standing to raise the issues and have not shown prejudice as a result of the ruling.</w:t>
      </w:r>
      <w:r w:rsidRPr="004268AF" w:rsidR="00E03E71">
        <w:t xml:space="preserve"> </w:t>
      </w:r>
    </w:p>
    <w:p w:rsidR="00B60CE0" w:rsidRPr="004268AF" w:rsidP="004268AF" w14:paraId="78371838" w14:textId="4FDCABC0">
      <w:pPr>
        <w:pStyle w:val="Heading2"/>
        <w:rPr>
          <w:rFonts w:cs="Times New Roman"/>
          <w:szCs w:val="24"/>
        </w:rPr>
      </w:pPr>
      <w:bookmarkStart w:id="4" w:name="_Toc98774470"/>
      <w:r w:rsidRPr="004268AF">
        <w:rPr>
          <w:rFonts w:cs="Times New Roman"/>
          <w:szCs w:val="24"/>
        </w:rPr>
        <w:t>The FirstEnergy Utilities</w:t>
      </w:r>
      <w:r w:rsidRPr="004268AF" w:rsidR="00DF4B08">
        <w:rPr>
          <w:rFonts w:cs="Times New Roman"/>
          <w:szCs w:val="24"/>
        </w:rPr>
        <w:t xml:space="preserve"> do not qualify for an immediate appeal (under O.A.C.</w:t>
      </w:r>
      <w:r w:rsidRPr="004268AF" w:rsidR="00E03E71">
        <w:rPr>
          <w:rFonts w:cs="Times New Roman"/>
          <w:szCs w:val="24"/>
        </w:rPr>
        <w:t xml:space="preserve"> </w:t>
      </w:r>
      <w:r w:rsidRPr="004268AF" w:rsidR="00DF4B08">
        <w:rPr>
          <w:rFonts w:cs="Times New Roman"/>
          <w:szCs w:val="24"/>
        </w:rPr>
        <w:t xml:space="preserve">4901-1-15(A)(1)) and </w:t>
      </w:r>
      <w:r w:rsidRPr="004268AF" w:rsidR="003A6A59">
        <w:rPr>
          <w:rFonts w:cs="Times New Roman"/>
          <w:szCs w:val="24"/>
        </w:rPr>
        <w:t>“</w:t>
      </w:r>
      <w:r w:rsidRPr="004268AF">
        <w:rPr>
          <w:rFonts w:cs="Times New Roman"/>
          <w:szCs w:val="24"/>
        </w:rPr>
        <w:t>lack</w:t>
      </w:r>
      <w:r w:rsidRPr="004268AF" w:rsidR="003A6A59">
        <w:rPr>
          <w:rFonts w:cs="Times New Roman"/>
          <w:szCs w:val="24"/>
        </w:rPr>
        <w:t>[]</w:t>
      </w:r>
      <w:r w:rsidRPr="004268AF">
        <w:rPr>
          <w:rFonts w:cs="Times New Roman"/>
          <w:szCs w:val="24"/>
        </w:rPr>
        <w:t xml:space="preserve"> </w:t>
      </w:r>
      <w:r w:rsidRPr="004268AF" w:rsidR="003A6A59">
        <w:rPr>
          <w:rFonts w:cs="Times New Roman"/>
          <w:szCs w:val="24"/>
        </w:rPr>
        <w:t xml:space="preserve">the requisite </w:t>
      </w:r>
      <w:r w:rsidRPr="004268AF">
        <w:rPr>
          <w:rFonts w:cs="Times New Roman"/>
          <w:szCs w:val="24"/>
        </w:rPr>
        <w:t xml:space="preserve">standing to </w:t>
      </w:r>
      <w:r w:rsidRPr="004268AF" w:rsidR="003A6A59">
        <w:rPr>
          <w:rFonts w:cs="Times New Roman"/>
          <w:szCs w:val="24"/>
        </w:rPr>
        <w:t xml:space="preserve">raise the issues presented” </w:t>
      </w:r>
      <w:r w:rsidRPr="004268AF" w:rsidR="00DF4B08">
        <w:rPr>
          <w:rFonts w:cs="Times New Roman"/>
          <w:szCs w:val="24"/>
        </w:rPr>
        <w:t xml:space="preserve">such that their appeal should be “dismissed” </w:t>
      </w:r>
      <w:r w:rsidRPr="004268AF" w:rsidR="008E5112">
        <w:rPr>
          <w:rFonts w:cs="Times New Roman"/>
          <w:szCs w:val="24"/>
        </w:rPr>
        <w:t>under O.A.C.</w:t>
      </w:r>
      <w:r w:rsidRPr="004268AF" w:rsidR="00DF4B08">
        <w:rPr>
          <w:rFonts w:cs="Times New Roman"/>
          <w:szCs w:val="24"/>
        </w:rPr>
        <w:t xml:space="preserve"> 4901-1-15(E)(2)</w:t>
      </w:r>
      <w:r w:rsidRPr="004268AF">
        <w:rPr>
          <w:rFonts w:cs="Times New Roman"/>
          <w:szCs w:val="24"/>
        </w:rPr>
        <w:t>.</w:t>
      </w:r>
      <w:bookmarkEnd w:id="4"/>
    </w:p>
    <w:p w:rsidR="00305A3B" w:rsidRPr="004268AF" w:rsidP="004268AF" w14:paraId="7C933C6B" w14:textId="2323A80A">
      <w:pPr>
        <w:spacing w:line="480" w:lineRule="auto"/>
        <w:ind w:firstLine="720"/>
      </w:pPr>
      <w:r w:rsidRPr="004268AF">
        <w:t xml:space="preserve">The </w:t>
      </w:r>
      <w:r w:rsidRPr="004268AF" w:rsidR="00E52E1C">
        <w:t>FirstEnergy</w:t>
      </w:r>
      <w:r w:rsidRPr="004268AF" w:rsidR="00571652">
        <w:t xml:space="preserve"> </w:t>
      </w:r>
      <w:r w:rsidRPr="004268AF">
        <w:t xml:space="preserve">Utilities </w:t>
      </w:r>
      <w:r w:rsidRPr="004268AF" w:rsidR="00571652">
        <w:t>claim</w:t>
      </w:r>
      <w:r w:rsidRPr="004268AF" w:rsidR="00E03E71">
        <w:t xml:space="preserve"> </w:t>
      </w:r>
      <w:r w:rsidRPr="004268AF" w:rsidR="00571652">
        <w:t xml:space="preserve">that </w:t>
      </w:r>
      <w:r w:rsidRPr="004268AF">
        <w:t>they</w:t>
      </w:r>
      <w:r w:rsidRPr="004268AF" w:rsidR="00E03E71">
        <w:t xml:space="preserve"> </w:t>
      </w:r>
      <w:r w:rsidRPr="004268AF" w:rsidR="00571652">
        <w:t>qualif</w:t>
      </w:r>
      <w:r w:rsidRPr="004268AF">
        <w:t>y</w:t>
      </w:r>
      <w:r w:rsidRPr="004268AF" w:rsidR="00571652">
        <w:t xml:space="preserve"> for an immediate interlocutory appeal under O.A.C. 4901-1-15(A)</w:t>
      </w:r>
      <w:r w:rsidRPr="004268AF" w:rsidR="004A0D62">
        <w:t>(1)</w:t>
      </w:r>
      <w:r w:rsidRPr="004268AF" w:rsidR="00571652">
        <w:t>.</w:t>
      </w:r>
      <w:r w:rsidRPr="004268AF" w:rsidR="00E03E71">
        <w:t xml:space="preserve"> </w:t>
      </w:r>
      <w:r w:rsidRPr="004268AF" w:rsidR="004A0D62">
        <w:t>That rule allows</w:t>
      </w:r>
      <w:r w:rsidRPr="004268AF">
        <w:t xml:space="preserve"> any party that is adversely affected by a ruling granting a motion to compel discovery </w:t>
      </w:r>
      <w:r w:rsidRPr="004268AF" w:rsidR="004A0D62">
        <w:t>to</w:t>
      </w:r>
      <w:r w:rsidRPr="004268AF">
        <w:t xml:space="preserve"> seek an</w:t>
      </w:r>
      <w:r w:rsidRPr="004268AF" w:rsidR="004A0D62">
        <w:t xml:space="preserve"> immediate</w:t>
      </w:r>
      <w:r w:rsidRPr="004268AF">
        <w:t xml:space="preserve"> interlocutory appeal.</w:t>
      </w:r>
      <w:r w:rsidRPr="004268AF" w:rsidR="00E03E71">
        <w:t xml:space="preserve"> </w:t>
      </w:r>
      <w:r w:rsidRPr="004268AF">
        <w:t>In the present case, however, the FirstEnergy Utilities w</w:t>
      </w:r>
      <w:r w:rsidR="00670EE1">
        <w:t>ere</w:t>
      </w:r>
      <w:r w:rsidRPr="004268AF">
        <w:t xml:space="preserve"> not adversely affected by the ruling</w:t>
      </w:r>
      <w:r w:rsidRPr="004268AF" w:rsidR="004A0D62">
        <w:t>.</w:t>
      </w:r>
      <w:r w:rsidRPr="004268AF">
        <w:t xml:space="preserve"> </w:t>
      </w:r>
      <w:r w:rsidRPr="004268AF" w:rsidR="004A0D62">
        <w:t xml:space="preserve">That’s </w:t>
      </w:r>
      <w:r w:rsidRPr="004268AF" w:rsidR="00512951">
        <w:t>because any</w:t>
      </w:r>
      <w:r w:rsidRPr="004268AF">
        <w:t xml:space="preserve"> harm that they claim from supposedly “violating the important federal interest in the confidentiality of audit materials” is an alleged, potential harm to FERC, and not to the utilities themselves.</w:t>
      </w:r>
    </w:p>
    <w:p w:rsidR="00DF4B08" w:rsidRPr="004268AF" w:rsidP="004268AF" w14:paraId="71AF9623" w14:textId="740B389C">
      <w:pPr>
        <w:spacing w:line="480" w:lineRule="auto"/>
        <w:ind w:firstLine="720"/>
      </w:pPr>
      <w:r w:rsidRPr="004268AF">
        <w:t>Additionally, FirstEnergy</w:t>
      </w:r>
      <w:r w:rsidRPr="004268AF" w:rsidR="000B75BF">
        <w:t xml:space="preserve"> Utilities’</w:t>
      </w:r>
      <w:r w:rsidRPr="004268AF" w:rsidR="00E03E71">
        <w:t xml:space="preserve"> </w:t>
      </w:r>
      <w:r w:rsidRPr="004268AF">
        <w:t xml:space="preserve">appeal should be “dismiss[ed]” because it lacks “standing” under O.A.C. 4901-1-15(E)(2) to appeal or raise the issue of confidentiality. The duty (if there is one) to keep this information confidential is a limitation on FERC, not on FirstEnergy. </w:t>
      </w:r>
    </w:p>
    <w:p w:rsidR="008E5112" w:rsidRPr="004268AF" w:rsidP="004268AF" w14:paraId="7F0791F2" w14:textId="48CD44B4">
      <w:pPr>
        <w:spacing w:line="480" w:lineRule="auto"/>
        <w:ind w:firstLine="720"/>
      </w:pPr>
      <w:r w:rsidRPr="004268AF">
        <w:t>In this regard, t</w:t>
      </w:r>
      <w:r w:rsidRPr="004268AF" w:rsidR="00B60CE0">
        <w:t>he FirstEnergy Utilities assert that “the information requested is confidential, non-public, and protected from disclosure under the Federal Power Act. That includes 16 U.S.C. §825, 42 U.S.C. §16452(d), and FERC’s regulations, including 18 C.F.R. Part 388.”</w:t>
      </w:r>
      <w:r>
        <w:rPr>
          <w:rStyle w:val="FootnoteReference"/>
        </w:rPr>
        <w:footnoteReference w:id="18"/>
      </w:r>
      <w:r w:rsidRPr="004268AF" w:rsidR="00E03E71">
        <w:t xml:space="preserve"> </w:t>
      </w:r>
      <w:r w:rsidRPr="004268AF" w:rsidR="00B60CE0">
        <w:t>OCC does not concede that the information remains confidential when, as is the case here, the audit has already been concluded.</w:t>
      </w:r>
      <w:r w:rsidRPr="004268AF" w:rsidR="00E03E71">
        <w:t xml:space="preserve"> </w:t>
      </w:r>
    </w:p>
    <w:p w:rsidR="00B60CE0" w:rsidRPr="004268AF" w:rsidP="004268AF" w14:paraId="21C7B88D" w14:textId="40E81FCE">
      <w:pPr>
        <w:spacing w:line="480" w:lineRule="auto"/>
        <w:ind w:firstLine="720"/>
      </w:pPr>
      <w:r w:rsidRPr="004268AF">
        <w:t>In any event</w:t>
      </w:r>
      <w:r w:rsidRPr="004268AF" w:rsidR="004A0D62">
        <w:t xml:space="preserve"> and as stated</w:t>
      </w:r>
      <w:r w:rsidRPr="004268AF">
        <w:t xml:space="preserve">, </w:t>
      </w:r>
      <w:r w:rsidRPr="004268AF" w:rsidR="000B75BF">
        <w:t xml:space="preserve">the </w:t>
      </w:r>
      <w:r w:rsidRPr="004268AF">
        <w:t>FirstEnergy</w:t>
      </w:r>
      <w:r w:rsidRPr="004268AF" w:rsidR="000B75BF">
        <w:t xml:space="preserve"> Utilities </w:t>
      </w:r>
      <w:r w:rsidRPr="004268AF">
        <w:t xml:space="preserve">lack standing to raise the issue of confidentiality because the duty to keep this information confidential </w:t>
      </w:r>
      <w:r w:rsidRPr="004268AF" w:rsidR="004A0D62">
        <w:t>is a limitation on</w:t>
      </w:r>
      <w:r w:rsidRPr="004268AF">
        <w:t xml:space="preserve"> FERC Staff, not</w:t>
      </w:r>
      <w:r w:rsidRPr="004268AF" w:rsidR="004A0D62">
        <w:t xml:space="preserve"> on</w:t>
      </w:r>
      <w:r w:rsidRPr="004268AF">
        <w:t xml:space="preserve"> the utilities producing information to FERC.</w:t>
      </w:r>
    </w:p>
    <w:p w:rsidR="00B60CE0" w:rsidRPr="004268AF" w:rsidP="004268AF" w14:paraId="05FFC5CE" w14:textId="241907F7">
      <w:pPr>
        <w:spacing w:line="480" w:lineRule="auto"/>
        <w:ind w:firstLine="720"/>
      </w:pPr>
      <w:r w:rsidRPr="004268AF">
        <w:t xml:space="preserve">The first statute </w:t>
      </w:r>
      <w:r w:rsidRPr="004268AF" w:rsidR="000B75BF">
        <w:t xml:space="preserve">the </w:t>
      </w:r>
      <w:r w:rsidRPr="004268AF">
        <w:t xml:space="preserve">FirstEnergy </w:t>
      </w:r>
      <w:r w:rsidRPr="004268AF" w:rsidR="000B75BF">
        <w:t xml:space="preserve">Utilities </w:t>
      </w:r>
      <w:r w:rsidRPr="004268AF">
        <w:t xml:space="preserve">cite, 16 U.S.C. 825(b), in pertinent part reads: </w:t>
      </w:r>
    </w:p>
    <w:p w:rsidR="00B60CE0" w:rsidRPr="004268AF" w:rsidP="00DF6D5B" w14:paraId="40541560" w14:textId="77777777">
      <w:pPr>
        <w:ind w:left="1440" w:right="1440"/>
      </w:pPr>
      <w:r w:rsidRPr="004268AF">
        <w:t xml:space="preserve">No </w:t>
      </w:r>
      <w:r w:rsidRPr="004268AF">
        <w:rPr>
          <w:i/>
          <w:iCs/>
        </w:rPr>
        <w:t>member, officer, or employee of the Commission</w:t>
      </w:r>
      <w:r w:rsidRPr="004268AF">
        <w:t xml:space="preserve"> shall divulge any fact or information which may come to his knowledge during the course of examination of books or other accounts*** except insofar as he may be directed by the Commission or by a court. (Emphasis added).</w:t>
      </w:r>
    </w:p>
    <w:p w:rsidR="00B60CE0" w:rsidRPr="004268AF" w:rsidP="004268AF" w14:paraId="74C4DDC9" w14:textId="77777777"/>
    <w:p w:rsidR="00B60CE0" w:rsidRPr="004268AF" w:rsidP="004268AF" w14:paraId="3F7D6706" w14:textId="77777777">
      <w:pPr>
        <w:ind w:firstLine="720"/>
      </w:pPr>
      <w:r w:rsidRPr="004268AF">
        <w:t>The second statute, 42 U.S.C. 16452, in pertinent part reads:</w:t>
      </w:r>
    </w:p>
    <w:p w:rsidR="00B60CE0" w:rsidRPr="004268AF" w:rsidP="004268AF" w14:paraId="48E62686" w14:textId="77777777"/>
    <w:p w:rsidR="00B60CE0" w:rsidRPr="004268AF" w:rsidP="00DF6D5B" w14:paraId="4060B840" w14:textId="77777777">
      <w:pPr>
        <w:ind w:left="1440" w:right="1440"/>
      </w:pPr>
      <w:r w:rsidRPr="004268AF">
        <w:t xml:space="preserve">No </w:t>
      </w:r>
      <w:r w:rsidRPr="004268AF">
        <w:rPr>
          <w:i/>
          <w:iCs/>
        </w:rPr>
        <w:t>member, officer, or employee of the Commission</w:t>
      </w:r>
      <w:r w:rsidRPr="004268AF">
        <w:t xml:space="preserve"> shall divulge any fact or information which may come to his or her knowledge during the course of examination of books, accounts, memoranda, or other records as provided in this section, except as may be directed by the Commission or by a court of competent jurisdiction. (Emphasis added). </w:t>
      </w:r>
    </w:p>
    <w:p w:rsidR="00B60CE0" w:rsidRPr="004268AF" w:rsidP="004268AF" w14:paraId="5989335C" w14:textId="77777777">
      <w:pPr>
        <w:ind w:left="1440"/>
      </w:pPr>
    </w:p>
    <w:p w:rsidR="00B60CE0" w:rsidRPr="004268AF" w:rsidP="004268AF" w14:paraId="4A01B23F" w14:textId="5D22719E">
      <w:pPr>
        <w:spacing w:line="480" w:lineRule="auto"/>
        <w:ind w:firstLine="720"/>
      </w:pPr>
      <w:r w:rsidRPr="004268AF">
        <w:rPr>
          <w:i/>
          <w:iCs/>
        </w:rPr>
        <w:t>These provisions apply to the FERC Staff, not the FirstEnergy Utilities</w:t>
      </w:r>
      <w:r w:rsidRPr="004268AF">
        <w:t>. They only prevent disclosure of information by the Staff of FERC. Nothing in these laws prevent the FirstEnergy Utilities from providing information that FirstEnergy Corp or its subsidiaries provided to the FERC audit staff during the FERC audit.</w:t>
      </w:r>
      <w:r>
        <w:rPr>
          <w:rStyle w:val="FootnoteReference"/>
        </w:rPr>
        <w:footnoteReference w:id="19"/>
      </w:r>
      <w:r w:rsidRPr="004268AF" w:rsidR="00E03E71">
        <w:t xml:space="preserve"> </w:t>
      </w:r>
      <w:r w:rsidRPr="004268AF">
        <w:t xml:space="preserve">As a result, </w:t>
      </w:r>
      <w:r w:rsidRPr="004268AF" w:rsidR="000B75BF">
        <w:t xml:space="preserve">the </w:t>
      </w:r>
      <w:r w:rsidRPr="004268AF" w:rsidR="00237037">
        <w:t>FirstEnergy Utilities</w:t>
      </w:r>
      <w:r w:rsidRPr="004268AF">
        <w:t xml:space="preserve"> lack standing to raise a claim of confidentiality under statutes that apply only to FERC Staff.</w:t>
      </w:r>
      <w:r w:rsidRPr="004268AF" w:rsidR="00731F7D">
        <w:t xml:space="preserve"> </w:t>
      </w:r>
      <w:r w:rsidRPr="004268AF" w:rsidR="009454F4">
        <w:t xml:space="preserve">And </w:t>
      </w:r>
      <w:r w:rsidRPr="004268AF" w:rsidR="000B75BF">
        <w:t xml:space="preserve">the </w:t>
      </w:r>
      <w:r w:rsidRPr="004268AF" w:rsidR="009454F4">
        <w:t xml:space="preserve">FirstEnergy </w:t>
      </w:r>
      <w:r w:rsidRPr="004268AF" w:rsidR="000B75BF">
        <w:t>Utilities are</w:t>
      </w:r>
      <w:r w:rsidRPr="004268AF" w:rsidR="009454F4">
        <w:t xml:space="preserve"> not adversely affected because any harm that they claim</w:t>
      </w:r>
      <w:r w:rsidRPr="004268AF" w:rsidR="00A24EF8">
        <w:t xml:space="preserve"> from supposedly “violating the important federal interest in the confidentiality of audit materials” is an alleged, potential harm to FERC, and not to the utilities themselves.</w:t>
      </w:r>
    </w:p>
    <w:p w:rsidR="00E52E1C" w:rsidRPr="004268AF" w:rsidP="004268AF" w14:paraId="0E1DA548" w14:textId="1AC2B05F">
      <w:pPr>
        <w:pStyle w:val="Heading2"/>
        <w:rPr>
          <w:rFonts w:cs="Times New Roman"/>
          <w:szCs w:val="24"/>
        </w:rPr>
      </w:pPr>
      <w:bookmarkStart w:id="5" w:name="_Toc98774471"/>
      <w:r w:rsidRPr="004268AF">
        <w:rPr>
          <w:rFonts w:cs="Times New Roman"/>
          <w:szCs w:val="24"/>
          <w:shd w:val="clear" w:color="auto" w:fill="FFFFFF"/>
        </w:rPr>
        <w:t xml:space="preserve">In addition to not qualifying for an appeal under </w:t>
      </w:r>
      <w:r w:rsidRPr="004268AF">
        <w:rPr>
          <w:rFonts w:cs="Times New Roman"/>
          <w:szCs w:val="24"/>
        </w:rPr>
        <w:t xml:space="preserve">O.A.C. 4901-1-15(A), </w:t>
      </w:r>
      <w:r w:rsidRPr="004268AF">
        <w:rPr>
          <w:rFonts w:cs="Times New Roman"/>
          <w:szCs w:val="24"/>
          <w:shd w:val="clear" w:color="auto" w:fill="FFFFFF"/>
        </w:rPr>
        <w:t>the FirstEnergy Utilities failed to</w:t>
      </w:r>
      <w:r w:rsidRPr="004268AF" w:rsidR="008E5112">
        <w:rPr>
          <w:rFonts w:cs="Times New Roman"/>
          <w:szCs w:val="24"/>
          <w:shd w:val="clear" w:color="auto" w:fill="FFFFFF"/>
        </w:rPr>
        <w:t xml:space="preserve"> claim </w:t>
      </w:r>
      <w:r w:rsidRPr="004268AF">
        <w:rPr>
          <w:rFonts w:cs="Times New Roman"/>
          <w:szCs w:val="24"/>
          <w:shd w:val="clear" w:color="auto" w:fill="FFFFFF"/>
        </w:rPr>
        <w:t>that the appeal presents a new or novel question of interpretation, law, or policy, or is taken from a ruling which represents a departure from past precedent</w:t>
      </w:r>
      <w:r w:rsidRPr="004268AF" w:rsidR="008E5112">
        <w:rPr>
          <w:rFonts w:cs="Times New Roman"/>
          <w:szCs w:val="24"/>
          <w:shd w:val="clear" w:color="auto" w:fill="FFFFFF"/>
        </w:rPr>
        <w:t xml:space="preserve">, under </w:t>
      </w:r>
      <w:r w:rsidRPr="004268AF" w:rsidR="008E5112">
        <w:rPr>
          <w:rFonts w:cs="Times New Roman"/>
          <w:szCs w:val="24"/>
        </w:rPr>
        <w:t>O.A.C. 4901-1-15(B)</w:t>
      </w:r>
      <w:r w:rsidRPr="004268AF">
        <w:rPr>
          <w:rFonts w:cs="Times New Roman"/>
          <w:szCs w:val="24"/>
          <w:shd w:val="clear" w:color="auto" w:fill="FFFFFF"/>
        </w:rPr>
        <w:t>.</w:t>
      </w:r>
      <w:bookmarkEnd w:id="5"/>
    </w:p>
    <w:p w:rsidR="00C24C9A" w:rsidRPr="004268AF" w:rsidP="004268AF" w14:paraId="3CA245AD" w14:textId="60F6DDED">
      <w:pPr>
        <w:spacing w:line="480" w:lineRule="auto"/>
        <w:ind w:firstLine="720"/>
      </w:pPr>
      <w:r w:rsidRPr="004268AF">
        <w:t>Having tried (and failed) to qualify for an interlocutory appeal under section A of O.A.C. 4901-1-15, t</w:t>
      </w:r>
      <w:r w:rsidRPr="004268AF" w:rsidR="00E52E1C">
        <w:t xml:space="preserve">he FirstEnergy Utilities </w:t>
      </w:r>
      <w:r w:rsidRPr="004268AF">
        <w:t xml:space="preserve">did not argue that they qualify under section B of the rule. </w:t>
      </w:r>
      <w:r w:rsidRPr="004268AF" w:rsidR="007228BD">
        <w:t>So,</w:t>
      </w:r>
      <w:r w:rsidRPr="004268AF">
        <w:t xml:space="preserve"> their appeal should not be certified. We note that they do not qualify under section B, even if they had argued that point, for the following reasons. </w:t>
      </w:r>
    </w:p>
    <w:p w:rsidR="00E52E1C" w:rsidRPr="004268AF" w:rsidP="004268AF" w14:paraId="45149A13" w14:textId="6DAC7867">
      <w:pPr>
        <w:spacing w:line="480" w:lineRule="auto"/>
        <w:ind w:firstLine="720"/>
      </w:pPr>
      <w:r w:rsidRPr="004268AF">
        <w:t>In Ohio, it is common</w:t>
      </w:r>
      <w:r w:rsidRPr="004268AF" w:rsidR="00EA23C9">
        <w:t xml:space="preserve"> </w:t>
      </w:r>
      <w:r w:rsidRPr="004268AF" w:rsidR="00EA23C9">
        <w:rPr>
          <w:i/>
          <w:iCs/>
        </w:rPr>
        <w:t>(not new or novel)</w:t>
      </w:r>
      <w:r w:rsidRPr="004268AF">
        <w:t xml:space="preserve"> practice for parties to file discovery requests with the utility seeking communications that a utility had with Staff or a Staff auditor.</w:t>
      </w:r>
      <w:r w:rsidRPr="004268AF" w:rsidR="00E03E71">
        <w:t xml:space="preserve"> </w:t>
      </w:r>
      <w:r w:rsidRPr="004268AF">
        <w:t>This is the same thing OCC did by requesting the documents FirstEnergy provided for the FERC audit.</w:t>
      </w:r>
      <w:r w:rsidRPr="004268AF" w:rsidR="00E03E71">
        <w:t xml:space="preserve"> </w:t>
      </w:r>
      <w:r w:rsidRPr="004268AF">
        <w:t>Indeed, Attorney Examiner Price should have allowed OCC to obtain these documents when OCC initially requested them, without requiring OCC to wait until the audit was completed.</w:t>
      </w:r>
      <w:r w:rsidRPr="004268AF" w:rsidR="00E03E71">
        <w:t xml:space="preserve"> </w:t>
      </w:r>
    </w:p>
    <w:p w:rsidR="00E52E1C" w:rsidRPr="004268AF" w:rsidP="004268AF" w14:paraId="426792E9" w14:textId="22D054B9">
      <w:pPr>
        <w:spacing w:line="480" w:lineRule="auto"/>
        <w:ind w:firstLine="720"/>
      </w:pPr>
      <w:r w:rsidRPr="004268AF">
        <w:t>The Attorney Examiner</w:t>
      </w:r>
      <w:r w:rsidRPr="004268AF" w:rsidR="00A24EF8">
        <w:t>’s ruling requiring the production of discovery in response to a motion to compel raises no new or novel question.</w:t>
      </w:r>
      <w:r w:rsidRPr="004268AF" w:rsidR="00E03E71">
        <w:t xml:space="preserve"> </w:t>
      </w:r>
      <w:r w:rsidRPr="004268AF" w:rsidR="002651FE">
        <w:t xml:space="preserve">And it does not represent a departure from past precedent. The PUCO </w:t>
      </w:r>
      <w:r w:rsidRPr="004268AF">
        <w:t>should therefore reject the FirstEnergy Utilities’ request for an interlocutory appeal.</w:t>
      </w:r>
    </w:p>
    <w:p w:rsidR="00086FE6" w:rsidRPr="004268AF" w:rsidP="004268AF" w14:paraId="39DD4DD7" w14:textId="2053F540">
      <w:pPr>
        <w:pStyle w:val="Heading2"/>
        <w:rPr>
          <w:rFonts w:cs="Times New Roman"/>
          <w:szCs w:val="24"/>
        </w:rPr>
      </w:pPr>
      <w:bookmarkStart w:id="6" w:name="_Toc98774472"/>
      <w:r w:rsidRPr="004268AF">
        <w:rPr>
          <w:rFonts w:cs="Times New Roman"/>
          <w:szCs w:val="24"/>
        </w:rPr>
        <w:t>The</w:t>
      </w:r>
      <w:r w:rsidRPr="004268AF" w:rsidR="00BA4AAE">
        <w:rPr>
          <w:rFonts w:cs="Times New Roman"/>
          <w:szCs w:val="24"/>
        </w:rPr>
        <w:t xml:space="preserve"> PUCO Commissioners should d</w:t>
      </w:r>
      <w:r w:rsidRPr="004268AF" w:rsidR="007D6825">
        <w:rPr>
          <w:rFonts w:cs="Times New Roman"/>
          <w:szCs w:val="24"/>
        </w:rPr>
        <w:t>ismiss</w:t>
      </w:r>
      <w:r w:rsidRPr="004268AF" w:rsidR="00BA4AAE">
        <w:rPr>
          <w:rFonts w:cs="Times New Roman"/>
          <w:szCs w:val="24"/>
        </w:rPr>
        <w:t xml:space="preserve"> the</w:t>
      </w:r>
      <w:r w:rsidRPr="004268AF">
        <w:rPr>
          <w:rFonts w:cs="Times New Roman"/>
          <w:szCs w:val="24"/>
        </w:rPr>
        <w:t xml:space="preserve"> FirstEnergy Utilities</w:t>
      </w:r>
      <w:r w:rsidRPr="004268AF" w:rsidR="00BA4AAE">
        <w:rPr>
          <w:rFonts w:cs="Times New Roman"/>
          <w:szCs w:val="24"/>
        </w:rPr>
        <w:t>’ Interlocutory Appeal because they</w:t>
      </w:r>
      <w:r w:rsidRPr="004268AF">
        <w:rPr>
          <w:rFonts w:cs="Times New Roman"/>
          <w:szCs w:val="24"/>
        </w:rPr>
        <w:t xml:space="preserve"> </w:t>
      </w:r>
      <w:r w:rsidRPr="004268AF" w:rsidR="00BA4AAE">
        <w:rPr>
          <w:rFonts w:cs="Times New Roman"/>
          <w:szCs w:val="24"/>
        </w:rPr>
        <w:t>“</w:t>
      </w:r>
      <w:r w:rsidRPr="004268AF">
        <w:rPr>
          <w:rFonts w:cs="Times New Roman"/>
          <w:szCs w:val="24"/>
        </w:rPr>
        <w:t>failed to show prejudice as a result of the ruling</w:t>
      </w:r>
      <w:r w:rsidRPr="004268AF" w:rsidR="00BA4AAE">
        <w:rPr>
          <w:rFonts w:cs="Times New Roman"/>
          <w:szCs w:val="24"/>
        </w:rPr>
        <w:t>…,” per O.A.C. 4901-1-15(E)(2)</w:t>
      </w:r>
      <w:r w:rsidRPr="004268AF">
        <w:rPr>
          <w:rFonts w:cs="Times New Roman"/>
          <w:szCs w:val="24"/>
        </w:rPr>
        <w:t>.</w:t>
      </w:r>
      <w:bookmarkEnd w:id="6"/>
    </w:p>
    <w:p w:rsidR="00B60CE0" w:rsidRPr="004268AF" w:rsidP="004268AF" w14:paraId="5959442C" w14:textId="543B356A">
      <w:pPr>
        <w:spacing w:line="480" w:lineRule="auto"/>
        <w:ind w:firstLine="720"/>
      </w:pPr>
      <w:r w:rsidRPr="004268AF">
        <w:t xml:space="preserve">The FirstEnergy Utilities’ </w:t>
      </w:r>
      <w:r w:rsidRPr="004268AF" w:rsidR="00751640">
        <w:t>I</w:t>
      </w:r>
      <w:r w:rsidRPr="004268AF">
        <w:t xml:space="preserve">nterlocutory </w:t>
      </w:r>
      <w:r w:rsidRPr="004268AF" w:rsidR="00751640">
        <w:t>A</w:t>
      </w:r>
      <w:r w:rsidRPr="004268AF">
        <w:t xml:space="preserve">ppeal should also be </w:t>
      </w:r>
      <w:r w:rsidRPr="004268AF" w:rsidR="002651FE">
        <w:t>dismissed</w:t>
      </w:r>
      <w:r w:rsidRPr="004268AF">
        <w:t xml:space="preserve"> because they fail</w:t>
      </w:r>
      <w:r w:rsidRPr="004268AF" w:rsidR="00E03E71">
        <w:t xml:space="preserve"> </w:t>
      </w:r>
      <w:r w:rsidRPr="004268AF">
        <w:t>to show that it is prejudiced by the Attorney Examiner’s March 13, 2022 ruling.</w:t>
      </w:r>
      <w:r w:rsidRPr="004268AF" w:rsidR="00E03E71">
        <w:t xml:space="preserve"> </w:t>
      </w:r>
      <w:r w:rsidRPr="004268AF">
        <w:t>OCC seeks documents that FirstEnergy produced to FERC for the FERC audit.</w:t>
      </w:r>
      <w:r w:rsidRPr="004268AF" w:rsidR="00E03E71">
        <w:t xml:space="preserve"> </w:t>
      </w:r>
      <w:r w:rsidRPr="004268AF">
        <w:t xml:space="preserve">The FERC audit is now concluded, so the FirstEnergy Utilities cannot demonstrate any harm </w:t>
      </w:r>
      <w:r w:rsidRPr="004268AF" w:rsidR="002651FE">
        <w:t xml:space="preserve">from </w:t>
      </w:r>
      <w:r w:rsidRPr="004268AF">
        <w:t>producing the documents to OCC at this time.</w:t>
      </w:r>
      <w:r w:rsidRPr="004268AF" w:rsidR="00652ADF">
        <w:t xml:space="preserve"> </w:t>
      </w:r>
    </w:p>
    <w:p w:rsidR="00CE54E3" w:rsidRPr="004268AF" w:rsidP="004268AF" w14:paraId="02FF6FF9" w14:textId="6FC57EDB">
      <w:pPr>
        <w:spacing w:line="480" w:lineRule="auto"/>
        <w:ind w:firstLine="720"/>
      </w:pPr>
      <w:r w:rsidRPr="004268AF">
        <w:t xml:space="preserve">The </w:t>
      </w:r>
      <w:r w:rsidRPr="004268AF" w:rsidR="00B60CE0">
        <w:t xml:space="preserve">FirstEnergy </w:t>
      </w:r>
      <w:r w:rsidRPr="004268AF">
        <w:t xml:space="preserve">Utilities </w:t>
      </w:r>
      <w:r w:rsidRPr="004268AF" w:rsidR="00B60CE0">
        <w:t>briefly argued at page 17 of</w:t>
      </w:r>
      <w:r w:rsidRPr="004268AF" w:rsidR="00E03E71">
        <w:t xml:space="preserve"> </w:t>
      </w:r>
      <w:r w:rsidRPr="004268AF">
        <w:t>their</w:t>
      </w:r>
      <w:r w:rsidRPr="004268AF" w:rsidR="00B60CE0">
        <w:t xml:space="preserve"> Interlocutory Appeal that</w:t>
      </w:r>
      <w:r w:rsidRPr="004268AF">
        <w:t xml:space="preserve"> they</w:t>
      </w:r>
      <w:r w:rsidRPr="004268AF" w:rsidR="00E03E71">
        <w:t xml:space="preserve"> </w:t>
      </w:r>
      <w:r w:rsidRPr="004268AF" w:rsidR="00B60CE0">
        <w:t>would be prejudiced by producing the</w:t>
      </w:r>
      <w:r w:rsidR="008437FE">
        <w:t xml:space="preserve"> documents they provided to</w:t>
      </w:r>
      <w:r w:rsidRPr="004268AF" w:rsidR="00B60CE0">
        <w:t xml:space="preserve"> FERC</w:t>
      </w:r>
      <w:r w:rsidRPr="004268AF" w:rsidR="00943AA6">
        <w:t>.</w:t>
      </w:r>
      <w:r w:rsidRPr="004268AF" w:rsidR="00B60CE0">
        <w:t xml:space="preserve"> </w:t>
      </w:r>
      <w:r w:rsidRPr="004268AF" w:rsidR="00943AA6">
        <w:t>B</w:t>
      </w:r>
      <w:r w:rsidRPr="004268AF" w:rsidR="00B60CE0">
        <w:t xml:space="preserve">ut </w:t>
      </w:r>
      <w:r w:rsidRPr="004268AF">
        <w:t xml:space="preserve">the </w:t>
      </w:r>
      <w:r w:rsidRPr="004268AF" w:rsidR="00B60CE0">
        <w:t>FirstEnergy</w:t>
      </w:r>
      <w:r w:rsidRPr="004268AF">
        <w:t xml:space="preserve"> Utilities’</w:t>
      </w:r>
      <w:r w:rsidRPr="004268AF" w:rsidR="00F24119">
        <w:t xml:space="preserve"> </w:t>
      </w:r>
      <w:r w:rsidRPr="004268AF" w:rsidR="00B60CE0">
        <w:t xml:space="preserve">argument is </w:t>
      </w:r>
      <w:r w:rsidRPr="004268AF" w:rsidR="00F1044F">
        <w:t>flawed</w:t>
      </w:r>
      <w:r w:rsidRPr="004268AF" w:rsidR="00B60CE0">
        <w:t>.</w:t>
      </w:r>
      <w:r w:rsidRPr="004268AF" w:rsidR="00943AA6">
        <w:t xml:space="preserve"> It is millions of Ohioans who </w:t>
      </w:r>
      <w:r w:rsidRPr="004268AF" w:rsidR="000A3B00">
        <w:t>are</w:t>
      </w:r>
      <w:r w:rsidRPr="004268AF" w:rsidR="00943AA6">
        <w:t xml:space="preserve"> be</w:t>
      </w:r>
      <w:r w:rsidRPr="004268AF" w:rsidR="000A3B00">
        <w:t>ing</w:t>
      </w:r>
      <w:r w:rsidRPr="004268AF" w:rsidR="00943AA6">
        <w:t xml:space="preserve"> prejudiced if the documents are not provided to OCC.</w:t>
      </w:r>
      <w:r w:rsidRPr="004268AF" w:rsidR="00B60CE0">
        <w:t xml:space="preserve"> </w:t>
      </w:r>
    </w:p>
    <w:p w:rsidR="00652ADF" w:rsidRPr="004268AF" w:rsidP="004268AF" w14:paraId="43FBB551" w14:textId="66B503D7">
      <w:pPr>
        <w:spacing w:line="480" w:lineRule="auto"/>
        <w:ind w:firstLine="720"/>
      </w:pPr>
      <w:r w:rsidRPr="004268AF">
        <w:t xml:space="preserve">First, </w:t>
      </w:r>
      <w:r w:rsidRPr="004268AF" w:rsidR="000B75BF">
        <w:t xml:space="preserve">the </w:t>
      </w:r>
      <w:r w:rsidRPr="004268AF">
        <w:t xml:space="preserve">FirstEnergy </w:t>
      </w:r>
      <w:r w:rsidRPr="004268AF" w:rsidR="000B75BF">
        <w:t xml:space="preserve">Utilities’ </w:t>
      </w:r>
      <w:r w:rsidRPr="004268AF">
        <w:t xml:space="preserve">claims </w:t>
      </w:r>
      <w:r w:rsidRPr="004268AF" w:rsidR="000B75BF">
        <w:t xml:space="preserve">they </w:t>
      </w:r>
      <w:r w:rsidRPr="004268AF">
        <w:t xml:space="preserve">would be prejudiced because FERC has an ongoing investigation. </w:t>
      </w:r>
      <w:r>
        <w:rPr>
          <w:rStyle w:val="FootnoteReference"/>
        </w:rPr>
        <w:footnoteReference w:id="20"/>
      </w:r>
      <w:r w:rsidRPr="004268AF">
        <w:t xml:space="preserve"> This argument has no merit because the FERC investigation is a separate proceeding and OCC does not seek any documents from the investigation case.</w:t>
      </w:r>
      <w:r w:rsidRPr="004268AF" w:rsidR="00E03E71">
        <w:t xml:space="preserve"> </w:t>
      </w:r>
    </w:p>
    <w:p w:rsidR="00652ADF" w:rsidRPr="004268AF" w:rsidP="004268AF" w14:paraId="6AAA34F9" w14:textId="0C0D75D7">
      <w:pPr>
        <w:spacing w:line="480" w:lineRule="auto"/>
        <w:ind w:firstLine="720"/>
      </w:pPr>
      <w:r w:rsidRPr="004268AF">
        <w:t xml:space="preserve">Second, </w:t>
      </w:r>
      <w:r w:rsidRPr="004268AF" w:rsidR="000B75BF">
        <w:t xml:space="preserve">the </w:t>
      </w:r>
      <w:r w:rsidRPr="004268AF">
        <w:t xml:space="preserve">FirstEnergy </w:t>
      </w:r>
      <w:r w:rsidRPr="004268AF" w:rsidR="000B75BF">
        <w:t xml:space="preserve">Utilities </w:t>
      </w:r>
      <w:r w:rsidRPr="004268AF">
        <w:t>argue that “compelling production of all FERC communications here runs the risk of re-litigating issues in this case that FERC has already disposed of.”</w:t>
      </w:r>
      <w:r w:rsidRPr="004268AF" w:rsidR="00E03E71">
        <w:t xml:space="preserve"> </w:t>
      </w:r>
      <w:r w:rsidRPr="004268AF">
        <w:t>This argument is without merit because the PUCO is doing a parallel investigation of FirstEnergy’s political and charitable spending in support of H.B. 6.</w:t>
      </w:r>
      <w:r w:rsidRPr="004268AF" w:rsidR="00E03E71">
        <w:t xml:space="preserve"> </w:t>
      </w:r>
      <w:r w:rsidRPr="004268AF">
        <w:t xml:space="preserve">The fact that FERC </w:t>
      </w:r>
      <w:r w:rsidRPr="004268AF" w:rsidR="00F1044F">
        <w:t xml:space="preserve">also did an audit and </w:t>
      </w:r>
      <w:r w:rsidRPr="004268AF">
        <w:t>is also investigating this matter does not deprive the PUCO of its jurisdiction nor does it deprive OCC of its rights to discovery.</w:t>
      </w:r>
      <w:r w:rsidRPr="004268AF" w:rsidR="00E03E71">
        <w:t xml:space="preserve"> </w:t>
      </w:r>
    </w:p>
    <w:p w:rsidR="00B60CE0" w:rsidRPr="004268AF" w:rsidP="004268AF" w14:paraId="50992BE4" w14:textId="7DDC646A">
      <w:pPr>
        <w:spacing w:line="480" w:lineRule="auto"/>
        <w:ind w:firstLine="720"/>
      </w:pPr>
      <w:r w:rsidRPr="004268AF">
        <w:t xml:space="preserve">Finally, </w:t>
      </w:r>
      <w:r w:rsidRPr="004268AF" w:rsidR="000B75BF">
        <w:t xml:space="preserve">the </w:t>
      </w:r>
      <w:r w:rsidRPr="004268AF">
        <w:t xml:space="preserve">FirstEnergy </w:t>
      </w:r>
      <w:r w:rsidRPr="004268AF" w:rsidR="000B75BF">
        <w:t xml:space="preserve">Utilities’ </w:t>
      </w:r>
      <w:r w:rsidRPr="004268AF">
        <w:t xml:space="preserve">claim that </w:t>
      </w:r>
      <w:r w:rsidRPr="004268AF" w:rsidR="000B75BF">
        <w:t xml:space="preserve">they </w:t>
      </w:r>
      <w:r w:rsidRPr="004268AF">
        <w:t xml:space="preserve">would be prejudiced because requiring </w:t>
      </w:r>
      <w:r w:rsidR="00B46D0A">
        <w:t>them</w:t>
      </w:r>
      <w:r w:rsidRPr="004268AF">
        <w:t xml:space="preserve"> to produce the </w:t>
      </w:r>
      <w:r w:rsidR="00B46D0A">
        <w:t xml:space="preserve">documents they provided to </w:t>
      </w:r>
      <w:r w:rsidRPr="004268AF">
        <w:t>FERC “interferes with FERC’s ability to proceed in a considered and orderly fashion and severely undermines FERC’s</w:t>
      </w:r>
      <w:r w:rsidR="003A2843">
        <w:t xml:space="preserve"> </w:t>
      </w:r>
      <w:r w:rsidRPr="004268AF">
        <w:t>and Congress’s guarantees of confidentiality.”</w:t>
      </w:r>
      <w:r w:rsidRPr="004268AF" w:rsidR="00E03E71">
        <w:t xml:space="preserve"> </w:t>
      </w:r>
      <w:r w:rsidRPr="004268AF">
        <w:t xml:space="preserve">This argument must fail </w:t>
      </w:r>
      <w:r w:rsidRPr="004268AF" w:rsidR="000B75BF">
        <w:t>because the</w:t>
      </w:r>
      <w:r w:rsidRPr="004268AF" w:rsidR="00E03E71">
        <w:t xml:space="preserve"> </w:t>
      </w:r>
      <w:r w:rsidRPr="004268AF">
        <w:t xml:space="preserve">FirstEnergy </w:t>
      </w:r>
      <w:r w:rsidRPr="004268AF" w:rsidR="000B75BF">
        <w:t xml:space="preserve">Utilities are </w:t>
      </w:r>
      <w:r w:rsidRPr="004268AF">
        <w:t>confusing the FERC audit case with the FERC investigation case.</w:t>
      </w:r>
      <w:r w:rsidRPr="004268AF" w:rsidR="00E03E71">
        <w:t xml:space="preserve"> </w:t>
      </w:r>
      <w:r w:rsidRPr="004268AF">
        <w:t xml:space="preserve">The audit is concluded and there </w:t>
      </w:r>
      <w:r w:rsidRPr="004268AF" w:rsidR="00F1044F">
        <w:t>is no ongoing FERC audit that would be interfered with by FirstEnergy producing</w:t>
      </w:r>
      <w:r w:rsidRPr="004268AF">
        <w:t xml:space="preserve"> the documents OCC seeks.</w:t>
      </w:r>
    </w:p>
    <w:p w:rsidR="00B60CE0" w:rsidRPr="004268AF" w:rsidP="004268AF" w14:paraId="1F35B6DA" w14:textId="3421C575">
      <w:pPr>
        <w:spacing w:line="480" w:lineRule="auto"/>
        <w:ind w:firstLine="720"/>
      </w:pPr>
      <w:r w:rsidRPr="004268AF">
        <w:t>The Attorney Examiner’s ruling simply required FirstEnergy to produce documents from another proceeding that are highly relevant to this proceeding.</w:t>
      </w:r>
      <w:r w:rsidRPr="004268AF" w:rsidR="00E03E71">
        <w:t xml:space="preserve"> </w:t>
      </w:r>
      <w:r w:rsidRPr="004268AF">
        <w:t>Parties are often asked to produce information from other proceedings, where relevant to a current proceeding.</w:t>
      </w:r>
      <w:r w:rsidRPr="004268AF" w:rsidR="00E03E71">
        <w:t xml:space="preserve"> </w:t>
      </w:r>
      <w:r w:rsidRPr="004268AF">
        <w:t xml:space="preserve">The FERC audit is </w:t>
      </w:r>
      <w:r w:rsidRPr="004268AF" w:rsidR="007228BD">
        <w:t>finished,</w:t>
      </w:r>
      <w:r w:rsidRPr="004268AF">
        <w:t xml:space="preserve"> and FirstEnergy has accepted FERC’s findings</w:t>
      </w:r>
      <w:r w:rsidR="00774C61">
        <w:t>.</w:t>
      </w:r>
      <w:r w:rsidRPr="004268AF">
        <w:t xml:space="preserve"> </w:t>
      </w:r>
      <w:r w:rsidR="00774C61">
        <w:t>T</w:t>
      </w:r>
      <w:r w:rsidRPr="004268AF" w:rsidR="009F7F06">
        <w:t xml:space="preserve">he </w:t>
      </w:r>
      <w:r w:rsidRPr="004268AF" w:rsidR="00882D2B">
        <w:t>FirstEnergy Utilities</w:t>
      </w:r>
      <w:r w:rsidRPr="004268AF" w:rsidR="00E03E71">
        <w:t xml:space="preserve"> </w:t>
      </w:r>
      <w:r w:rsidRPr="004268AF">
        <w:t>would not suffer any harm by producing the documents to OCC.</w:t>
      </w:r>
      <w:r w:rsidRPr="004268AF" w:rsidR="00E03E71">
        <w:t xml:space="preserve"> </w:t>
      </w:r>
      <w:r w:rsidRPr="004268AF">
        <w:t xml:space="preserve">Moreover, FirstEnergy </w:t>
      </w:r>
      <w:r w:rsidRPr="004268AF" w:rsidR="009F7F06">
        <w:t xml:space="preserve">and its affiliates could </w:t>
      </w:r>
      <w:r w:rsidRPr="004268AF">
        <w:t xml:space="preserve">produce the documents </w:t>
      </w:r>
      <w:r w:rsidRPr="004268AF" w:rsidR="009F7F06">
        <w:t xml:space="preserve">under the existing </w:t>
      </w:r>
      <w:r w:rsidRPr="004268AF">
        <w:t>confidentiality agreement</w:t>
      </w:r>
      <w:r w:rsidRPr="004268AF" w:rsidR="009F7F06">
        <w:t>s they have with OCC and others.</w:t>
      </w:r>
      <w:r w:rsidRPr="004268AF" w:rsidR="00E03E71">
        <w:t xml:space="preserve"> </w:t>
      </w:r>
      <w:r w:rsidRPr="004268AF" w:rsidR="009F7F06">
        <w:t>This</w:t>
      </w:r>
      <w:r w:rsidRPr="004268AF" w:rsidR="00E03E71">
        <w:t xml:space="preserve"> </w:t>
      </w:r>
      <w:r w:rsidRPr="004268AF">
        <w:t xml:space="preserve">would protect any possible interest </w:t>
      </w:r>
      <w:r w:rsidRPr="004268AF" w:rsidR="009F7F06">
        <w:t xml:space="preserve">they </w:t>
      </w:r>
      <w:r w:rsidRPr="004268AF">
        <w:t>might have in maintaining the confidentiality of any information produced to FERC during the FERC audit.</w:t>
      </w:r>
    </w:p>
    <w:p w:rsidR="00086FE6" w:rsidRPr="004268AF" w:rsidP="004268AF" w14:paraId="134DEE96" w14:textId="5A58CC32">
      <w:pPr>
        <w:spacing w:line="480" w:lineRule="auto"/>
      </w:pPr>
      <w:r w:rsidRPr="004268AF">
        <w:tab/>
        <w:t xml:space="preserve"> The PUCO should therefore </w:t>
      </w:r>
      <w:r w:rsidRPr="004268AF" w:rsidR="000A3B00">
        <w:t xml:space="preserve">dismiss </w:t>
      </w:r>
      <w:r w:rsidRPr="004268AF" w:rsidR="009F7F06">
        <w:t xml:space="preserve">the </w:t>
      </w:r>
      <w:r w:rsidRPr="004268AF">
        <w:t>FirstEnergy</w:t>
      </w:r>
      <w:r w:rsidRPr="004268AF" w:rsidR="009F7F06">
        <w:t xml:space="preserve"> Utilities’</w:t>
      </w:r>
      <w:r w:rsidRPr="004268AF">
        <w:t xml:space="preserve"> </w:t>
      </w:r>
      <w:r w:rsidRPr="004268AF" w:rsidR="002B0EDA">
        <w:t>I</w:t>
      </w:r>
      <w:r w:rsidRPr="004268AF">
        <w:t xml:space="preserve">nterlocutory </w:t>
      </w:r>
      <w:r w:rsidRPr="004268AF" w:rsidR="002B0EDA">
        <w:t>Ap</w:t>
      </w:r>
      <w:r w:rsidRPr="004268AF">
        <w:t xml:space="preserve">peal because </w:t>
      </w:r>
      <w:r w:rsidRPr="004268AF" w:rsidR="009F7F06">
        <w:t>they</w:t>
      </w:r>
      <w:r w:rsidRPr="004268AF">
        <w:t xml:space="preserve"> failed to demonstrate it is prejudiced by the Attorney Examiner’s ruling</w:t>
      </w:r>
      <w:r w:rsidRPr="004268AF" w:rsidR="00B01181">
        <w:t>, as required by O.A.C. 4901-1-15(E)(2)</w:t>
      </w:r>
      <w:r w:rsidRPr="004268AF">
        <w:t xml:space="preserve">. </w:t>
      </w:r>
    </w:p>
    <w:p w:rsidR="00F1044F" w:rsidRPr="004268AF" w:rsidP="004268AF" w14:paraId="229A1C2D" w14:textId="11D43F22">
      <w:pPr>
        <w:pStyle w:val="Heading2"/>
        <w:rPr>
          <w:rFonts w:cs="Times New Roman"/>
          <w:szCs w:val="24"/>
        </w:rPr>
      </w:pPr>
      <w:bookmarkStart w:id="7" w:name="_Toc98774473"/>
      <w:r w:rsidRPr="004268AF">
        <w:rPr>
          <w:rFonts w:cs="Times New Roman"/>
          <w:szCs w:val="24"/>
        </w:rPr>
        <w:t>The Attorney Examiner’s ruling requiring the release of information supplied by FirstEnergy to FERC was</w:t>
      </w:r>
      <w:r w:rsidRPr="004268AF" w:rsidR="000A3B00">
        <w:rPr>
          <w:rFonts w:cs="Times New Roman"/>
          <w:szCs w:val="24"/>
        </w:rPr>
        <w:t xml:space="preserve"> lawfu</w:t>
      </w:r>
      <w:r w:rsidRPr="004268AF" w:rsidR="00086FE6">
        <w:rPr>
          <w:rFonts w:cs="Times New Roman"/>
          <w:szCs w:val="24"/>
        </w:rPr>
        <w:t xml:space="preserve">l </w:t>
      </w:r>
      <w:r w:rsidRPr="004268AF" w:rsidR="001357F1">
        <w:rPr>
          <w:rFonts w:cs="Times New Roman"/>
          <w:szCs w:val="24"/>
        </w:rPr>
        <w:t>under R.C. 4903.082 and O.A.C. 4901-1-16(B)</w:t>
      </w:r>
      <w:r w:rsidRPr="004268AF" w:rsidR="00086FE6">
        <w:rPr>
          <w:rFonts w:cs="Times New Roman"/>
          <w:szCs w:val="24"/>
        </w:rPr>
        <w:t>.</w:t>
      </w:r>
      <w:bookmarkEnd w:id="7"/>
      <w:r w:rsidRPr="004268AF">
        <w:rPr>
          <w:rFonts w:cs="Times New Roman"/>
          <w:szCs w:val="24"/>
        </w:rPr>
        <w:t xml:space="preserve"> </w:t>
      </w:r>
    </w:p>
    <w:p w:rsidR="007D7662" w:rsidRPr="004268AF" w:rsidP="004268AF" w14:paraId="58BCC70F" w14:textId="40E1E2B4">
      <w:pPr>
        <w:pStyle w:val="Heading3"/>
        <w:rPr>
          <w:rFonts w:cs="Times New Roman"/>
        </w:rPr>
      </w:pPr>
      <w:bookmarkStart w:id="8" w:name="_Toc98774474"/>
      <w:r>
        <w:rPr>
          <w:rFonts w:cs="Times New Roman"/>
        </w:rPr>
        <w:t>OCC is entitled to t</w:t>
      </w:r>
      <w:r w:rsidRPr="004268AF" w:rsidR="00F1044F">
        <w:rPr>
          <w:rFonts w:cs="Times New Roman"/>
        </w:rPr>
        <w:t>he documents FirstEnergy pro</w:t>
      </w:r>
      <w:r>
        <w:rPr>
          <w:rFonts w:cs="Times New Roman"/>
        </w:rPr>
        <w:t>vided</w:t>
      </w:r>
      <w:r w:rsidRPr="004268AF" w:rsidR="00F1044F">
        <w:rPr>
          <w:rFonts w:cs="Times New Roman"/>
        </w:rPr>
        <w:t xml:space="preserve"> to FERC</w:t>
      </w:r>
      <w:r w:rsidR="009C1D77">
        <w:rPr>
          <w:rFonts w:cs="Times New Roman"/>
        </w:rPr>
        <w:t>, which</w:t>
      </w:r>
      <w:r w:rsidRPr="004268AF" w:rsidR="00F1044F">
        <w:rPr>
          <w:rFonts w:cs="Times New Roman"/>
        </w:rPr>
        <w:t xml:space="preserve"> are relevant to this case</w:t>
      </w:r>
      <w:r w:rsidRPr="004268AF" w:rsidR="00086FE6">
        <w:rPr>
          <w:rFonts w:cs="Times New Roman"/>
        </w:rPr>
        <w:t>.</w:t>
      </w:r>
      <w:r w:rsidRPr="004268AF" w:rsidR="000A3B00">
        <w:rPr>
          <w:rFonts w:cs="Times New Roman"/>
        </w:rPr>
        <w:t xml:space="preserve"> </w:t>
      </w:r>
      <w:r w:rsidRPr="004268AF" w:rsidR="001357F1">
        <w:rPr>
          <w:rFonts w:cs="Times New Roman"/>
        </w:rPr>
        <w:t>OCC is entitled to the FERC documents pursuant to OCC’s broad rights of discovery as provided by R.C. 4903.082 and O.A.C. 4901-1-16(B).</w:t>
      </w:r>
      <w:bookmarkEnd w:id="8"/>
    </w:p>
    <w:p w:rsidR="00E46352" w:rsidRPr="004268AF" w:rsidP="004268AF" w14:paraId="3FB4CB0C" w14:textId="2759F5C2">
      <w:pPr>
        <w:spacing w:line="480" w:lineRule="auto"/>
        <w:ind w:firstLine="720"/>
      </w:pPr>
      <w:r w:rsidRPr="004268AF">
        <w:t xml:space="preserve">The </w:t>
      </w:r>
      <w:r w:rsidRPr="004268AF" w:rsidR="00C157CA">
        <w:t>FirstEnergy</w:t>
      </w:r>
      <w:r w:rsidRPr="004268AF">
        <w:t xml:space="preserve"> Utilities’</w:t>
      </w:r>
      <w:r w:rsidRPr="004268AF" w:rsidR="00C157CA">
        <w:t xml:space="preserve"> </w:t>
      </w:r>
      <w:r w:rsidRPr="004268AF" w:rsidR="002B0EDA">
        <w:t>I</w:t>
      </w:r>
      <w:r w:rsidRPr="004268AF" w:rsidR="00C157CA">
        <w:t>nterlocutory</w:t>
      </w:r>
      <w:r w:rsidRPr="004268AF" w:rsidR="002B0EDA">
        <w:t xml:space="preserve"> A</w:t>
      </w:r>
      <w:r w:rsidRPr="004268AF" w:rsidR="00C157CA">
        <w:t>ppeal should be denied because the Attorney Examiner made the correct ruling</w:t>
      </w:r>
      <w:r w:rsidRPr="004268AF" w:rsidR="00BB74E5">
        <w:t xml:space="preserve"> under</w:t>
      </w:r>
      <w:r w:rsidRPr="004268AF" w:rsidR="001357F1">
        <w:t xml:space="preserve"> R.C. 4903.082 and O.A.C. 4901-1-16(B)</w:t>
      </w:r>
      <w:r w:rsidRPr="004268AF" w:rsidR="00C157CA">
        <w:t>.</w:t>
      </w:r>
      <w:r w:rsidRPr="004268AF" w:rsidR="00E03E71">
        <w:t xml:space="preserve"> </w:t>
      </w:r>
      <w:r w:rsidRPr="004268AF" w:rsidR="00086FE6">
        <w:t>In the first instance, t</w:t>
      </w:r>
      <w:r w:rsidRPr="004268AF" w:rsidR="00F1044F">
        <w:t>he</w:t>
      </w:r>
      <w:r w:rsidR="00BC1B30">
        <w:t xml:space="preserve"> documents that FirstEnergy provided to</w:t>
      </w:r>
      <w:r w:rsidRPr="004268AF" w:rsidR="00F1044F">
        <w:t xml:space="preserve"> FERC are highly relevant to the present case.</w:t>
      </w:r>
      <w:r w:rsidRPr="004268AF" w:rsidR="00E03E71">
        <w:t xml:space="preserve"> </w:t>
      </w:r>
      <w:r w:rsidRPr="004268AF" w:rsidR="00086FE6">
        <w:t>T</w:t>
      </w:r>
      <w:r w:rsidRPr="004268AF" w:rsidR="00F1044F">
        <w:t xml:space="preserve">his case pertains to the </w:t>
      </w:r>
      <w:r w:rsidRPr="004268AF" w:rsidR="00086FE6">
        <w:t xml:space="preserve">political and charitable </w:t>
      </w:r>
      <w:r w:rsidRPr="004268AF" w:rsidR="00F1044F">
        <w:t>expenses FirstEnergy Service Company allocated to the Ohio utilities</w:t>
      </w:r>
      <w:r w:rsidRPr="004268AF" w:rsidR="00086FE6">
        <w:t xml:space="preserve"> related to H.B. 6</w:t>
      </w:r>
      <w:r w:rsidRPr="004268AF" w:rsidR="00F1044F">
        <w:t xml:space="preserve">. </w:t>
      </w:r>
    </w:p>
    <w:p w:rsidR="001357F1" w:rsidRPr="004268AF" w:rsidP="004268AF" w14:paraId="3C95E5DB" w14:textId="5D02BD12">
      <w:pPr>
        <w:pStyle w:val="ListParagraph"/>
        <w:autoSpaceDE w:val="0"/>
        <w:autoSpaceDN w:val="0"/>
        <w:adjustRightInd w:val="0"/>
        <w:spacing w:line="480" w:lineRule="auto"/>
        <w:ind w:left="0" w:firstLine="720"/>
        <w:rPr>
          <w:color w:val="000000"/>
        </w:rPr>
      </w:pPr>
      <w:r w:rsidRPr="004268AF">
        <w:t>A</w:t>
      </w:r>
      <w:r w:rsidRPr="004268AF">
        <w:rPr>
          <w:color w:val="000000"/>
        </w:rPr>
        <w:t>ccording to the PUCO “the policy of discovery is to allow the parties to prepare cases and to encourage them to prepare thoroughly without taking undue advantage of the other side’s industry or efforts.”</w:t>
      </w:r>
      <w:r>
        <w:rPr>
          <w:vertAlign w:val="superscript"/>
        </w:rPr>
        <w:footnoteReference w:id="21"/>
      </w:r>
      <w:r w:rsidRPr="004268AF" w:rsidR="00E03E71">
        <w:rPr>
          <w:color w:val="000000"/>
        </w:rPr>
        <w:t xml:space="preserve"> </w:t>
      </w:r>
      <w:r w:rsidRPr="004268AF">
        <w:rPr>
          <w:color w:val="000000"/>
        </w:rPr>
        <w:t>The PUCO’s rules on discovery “</w:t>
      </w:r>
      <w:r w:rsidRPr="004268AF">
        <w:rPr>
          <w:i/>
          <w:color w:val="000000"/>
        </w:rPr>
        <w:t>do not create an additional field of combat to delay trials or to appropriate the Commission’s time and resources</w:t>
      </w:r>
      <w:r w:rsidRPr="004268AF">
        <w:rPr>
          <w:color w:val="000000"/>
        </w:rPr>
        <w:t>; they are designed to confine discovery procedures to counsel and to expedite the administration of the Commission proceedings.”</w:t>
      </w:r>
      <w:r>
        <w:rPr>
          <w:vertAlign w:val="superscript"/>
        </w:rPr>
        <w:footnoteReference w:id="22"/>
      </w:r>
      <w:r w:rsidRPr="004268AF">
        <w:rPr>
          <w:color w:val="000000"/>
        </w:rPr>
        <w:t xml:space="preserve"> The rules are also intended to "minimize commission intervention in the discovery process."</w:t>
      </w:r>
      <w:r>
        <w:rPr>
          <w:rStyle w:val="FootnoteReference"/>
          <w:rFonts w:eastAsiaTheme="majorEastAsia"/>
          <w:color w:val="000000"/>
        </w:rPr>
        <w:footnoteReference w:id="23"/>
      </w:r>
      <w:r w:rsidRPr="004268AF">
        <w:rPr>
          <w:color w:val="000000"/>
        </w:rPr>
        <w:t xml:space="preserve"> These rules are intended to facilitate full and reasonable discovery, consistent with the statutory discovery rights parties are afforded under R.C. 4903.082.</w:t>
      </w:r>
      <w:r w:rsidRPr="004268AF" w:rsidR="00E03E71">
        <w:rPr>
          <w:color w:val="000000"/>
        </w:rPr>
        <w:t xml:space="preserve"> </w:t>
      </w:r>
    </w:p>
    <w:p w:rsidR="000A3B00" w:rsidRPr="004268AF" w:rsidP="004268AF" w14:paraId="74F81B21" w14:textId="7399E6CE">
      <w:pPr>
        <w:autoSpaceDE w:val="0"/>
        <w:autoSpaceDN w:val="0"/>
        <w:adjustRightInd w:val="0"/>
        <w:spacing w:line="480" w:lineRule="auto"/>
        <w:ind w:firstLine="720"/>
      </w:pPr>
      <w:r w:rsidRPr="004268AF">
        <w:t>R.C. 4903.082 states that “[a]ll parties and intervenors shall be granted ample rights of discovery” and that the PUCO shall aid full and reasonable discovery.</w:t>
      </w:r>
      <w:r w:rsidRPr="004268AF">
        <w:rPr>
          <w:i/>
          <w:iCs/>
        </w:rPr>
        <w:t xml:space="preserve"> See</w:t>
      </w:r>
      <w:r w:rsidRPr="004268AF">
        <w:t xml:space="preserve"> </w:t>
      </w:r>
      <w:r w:rsidRPr="004268AF">
        <w:rPr>
          <w:i/>
          <w:iCs/>
        </w:rPr>
        <w:t>OCC v. PUC,</w:t>
      </w:r>
      <w:r w:rsidRPr="004268AF">
        <w:t xml:space="preserve"> 111 Ohio St.3d 300, 2006-Ohio-5789. The discovery statute was effective in 1983 as part of a more comprehensive regulatory reform.</w:t>
      </w:r>
      <w:r w:rsidRPr="004268AF" w:rsidR="00E03E71">
        <w:t xml:space="preserve"> </w:t>
      </w:r>
      <w:r w:rsidRPr="004268AF">
        <w:t>R.C. 4903.082 was intended to protect discovery rights for parties in PUCO cases.</w:t>
      </w:r>
      <w:r w:rsidRPr="004268AF" w:rsidR="00E03E71">
        <w:t xml:space="preserve"> </w:t>
      </w:r>
    </w:p>
    <w:p w:rsidR="001357F1" w:rsidRPr="004268AF" w:rsidP="004268AF" w14:paraId="5D9FCE29" w14:textId="78FB52F7">
      <w:pPr>
        <w:autoSpaceDE w:val="0"/>
        <w:autoSpaceDN w:val="0"/>
        <w:adjustRightInd w:val="0"/>
        <w:spacing w:line="480" w:lineRule="auto"/>
        <w:ind w:firstLine="720"/>
      </w:pPr>
      <w:r w:rsidRPr="004268AF">
        <w:t>Yet all these years later, the FirstEnergy Utilities are impeding OCC’s discovery efforts. The PUCO should not allow the FirstEnergy Utilities’ obstruct and delay tactics to be used to deny OCC the ample discovery rights allowed under Ohio law and PUCO rules.</w:t>
      </w:r>
      <w:r w:rsidRPr="004268AF" w:rsidR="00E03E71">
        <w:t xml:space="preserve"> </w:t>
      </w:r>
      <w:r w:rsidRPr="004268AF">
        <w:t xml:space="preserve">OCC, as a party in this proceeding, is entitled to timely and complete responses to its discovery inquiries. Additionally, R.C. 4903.082 directs the PUCO to ensure that parties are allowed “full and reasonable discovery” under its rules. </w:t>
      </w:r>
    </w:p>
    <w:p w:rsidR="001357F1" w:rsidRPr="004268AF" w:rsidP="004268AF" w14:paraId="73E74FBB" w14:textId="20BF0F28">
      <w:pPr>
        <w:autoSpaceDE w:val="0"/>
        <w:autoSpaceDN w:val="0"/>
        <w:adjustRightInd w:val="0"/>
        <w:spacing w:line="480" w:lineRule="auto"/>
      </w:pPr>
      <w:r w:rsidRPr="004268AF">
        <w:rPr>
          <w:color w:val="000000"/>
        </w:rPr>
        <w:tab/>
        <w:t>The PUCO has also adopted rules that specifically define the scope of discovery.</w:t>
      </w:r>
      <w:r w:rsidRPr="004268AF" w:rsidR="00E03E71">
        <w:rPr>
          <w:color w:val="000000"/>
        </w:rPr>
        <w:t xml:space="preserve"> </w:t>
      </w:r>
      <w:r w:rsidRPr="004268AF">
        <w:rPr>
          <w:color w:val="000000"/>
        </w:rPr>
        <w:t>O.A.C. 4901-1-16(B) provides:</w:t>
      </w:r>
    </w:p>
    <w:p w:rsidR="001357F1" w:rsidRPr="004268AF" w:rsidP="00DF6D5B" w14:paraId="0BEAB312" w14:textId="314776A0">
      <w:pPr>
        <w:autoSpaceDE w:val="0"/>
        <w:autoSpaceDN w:val="0"/>
        <w:adjustRightInd w:val="0"/>
        <w:ind w:left="1440" w:right="1440"/>
        <w:rPr>
          <w:color w:val="000000"/>
        </w:rPr>
      </w:pPr>
      <w:r w:rsidRPr="004268AF">
        <w:rPr>
          <w:color w:val="000000"/>
        </w:rPr>
        <w:t>any party to a commission proceeding may obtain discovery of any matter, not privileged, which is relevant to the subject matter of the proceeding.</w:t>
      </w:r>
      <w:r w:rsidRPr="004268AF" w:rsidR="00E03E71">
        <w:rPr>
          <w:color w:val="000000"/>
        </w:rPr>
        <w:t xml:space="preserve"> </w:t>
      </w:r>
      <w:r w:rsidRPr="004268AF">
        <w:rPr>
          <w:color w:val="000000"/>
        </w:rPr>
        <w:t xml:space="preserve">It is not a ground for objection that the information sought would be inadmissible at the hearing, if the information sought </w:t>
      </w:r>
      <w:r w:rsidRPr="004268AF">
        <w:rPr>
          <w:i/>
          <w:color w:val="000000"/>
        </w:rPr>
        <w:t>appears</w:t>
      </w:r>
      <w:r w:rsidRPr="004268AF">
        <w:rPr>
          <w:color w:val="000000"/>
        </w:rPr>
        <w:t xml:space="preserve"> reasonably calculated to lead to the discovery of admissible evidence. (Emphasis added.)</w:t>
      </w:r>
    </w:p>
    <w:p w:rsidR="001357F1" w:rsidRPr="004268AF" w:rsidP="004268AF" w14:paraId="45E47003" w14:textId="77777777">
      <w:pPr>
        <w:autoSpaceDE w:val="0"/>
        <w:autoSpaceDN w:val="0"/>
        <w:adjustRightInd w:val="0"/>
        <w:ind w:left="1440"/>
        <w:rPr>
          <w:color w:val="000000"/>
        </w:rPr>
      </w:pPr>
    </w:p>
    <w:p w:rsidR="001357F1" w:rsidRPr="004268AF" w:rsidP="004268AF" w14:paraId="67A9FEF3" w14:textId="08F56BF0">
      <w:pPr>
        <w:autoSpaceDE w:val="0"/>
        <w:autoSpaceDN w:val="0"/>
        <w:adjustRightInd w:val="0"/>
        <w:spacing w:line="480" w:lineRule="auto"/>
        <w:rPr>
          <w:color w:val="000000"/>
        </w:rPr>
      </w:pPr>
      <w:r w:rsidRPr="004268AF">
        <w:rPr>
          <w:color w:val="000000"/>
        </w:rPr>
        <w:tab/>
        <w:t>The PUCO’s rule is similar to Ohio Civ. R. 26 (B)(1), which governs the scope of discovery in civil cases. Civ. R. 26(B) has been liberally construed to allow for broad discovery of any unprivileged matter relevant to the subject matter of the pending proceeding.</w:t>
      </w:r>
      <w:r>
        <w:rPr>
          <w:vertAlign w:val="superscript"/>
        </w:rPr>
        <w:footnoteReference w:id="24"/>
      </w:r>
      <w:r w:rsidRPr="004268AF" w:rsidR="00E03E71">
        <w:rPr>
          <w:color w:val="000000"/>
        </w:rPr>
        <w:t xml:space="preserve"> </w:t>
      </w:r>
      <w:r w:rsidRPr="004268AF">
        <w:rPr>
          <w:color w:val="000000"/>
        </w:rPr>
        <w:t>This scope of discovery also applies to requests for production.</w:t>
      </w:r>
      <w:r w:rsidRPr="004268AF" w:rsidR="00E03E71">
        <w:rPr>
          <w:color w:val="000000"/>
        </w:rPr>
        <w:t xml:space="preserve"> </w:t>
      </w:r>
      <w:r w:rsidRPr="004268AF">
        <w:rPr>
          <w:color w:val="000000"/>
        </w:rPr>
        <w:t xml:space="preserve">Requests for production may elicit documents within the possession, custody, or control, of the party upon whom the discovery is served, under O.A.C. 4901-1-20. </w:t>
      </w:r>
    </w:p>
    <w:p w:rsidR="001357F1" w:rsidRPr="004268AF" w:rsidP="004268AF" w14:paraId="7FA6A4A3" w14:textId="21B8902D">
      <w:pPr>
        <w:autoSpaceDE w:val="0"/>
        <w:autoSpaceDN w:val="0"/>
        <w:adjustRightInd w:val="0"/>
        <w:spacing w:line="480" w:lineRule="auto"/>
        <w:rPr>
          <w:color w:val="000000"/>
        </w:rPr>
      </w:pPr>
      <w:r w:rsidRPr="004268AF">
        <w:rPr>
          <w:color w:val="000000"/>
        </w:rPr>
        <w:tab/>
        <w:t>OCC’s right to discovery is assured by law, rule and Supreme Court of Ohio (“Court”) precedent.</w:t>
      </w:r>
      <w:r>
        <w:rPr>
          <w:color w:val="000000"/>
          <w:vertAlign w:val="superscript"/>
        </w:rPr>
        <w:footnoteReference w:id="25"/>
      </w:r>
      <w:r w:rsidRPr="004268AF">
        <w:rPr>
          <w:color w:val="000000"/>
        </w:rPr>
        <w:t xml:space="preserve"> OCC is entitled to timely and complete responses to its discovery inquiries.</w:t>
      </w:r>
    </w:p>
    <w:p w:rsidR="00F1044F" w:rsidRPr="004268AF" w:rsidP="004268AF" w14:paraId="6B0C29FB" w14:textId="0FE42D91">
      <w:pPr>
        <w:spacing w:line="480" w:lineRule="auto"/>
        <w:ind w:firstLine="720"/>
      </w:pPr>
      <w:r w:rsidRPr="004268AF">
        <w:t>We know from OCC’s discovery in this case and from the Blue Ridge Audit in Case No. 20-1629-EL-RDR that FirstEnergy Service Company charged the FirstEnergy Ohio Utilities for political and charitable activities in 2017 and 2018. That included payments to Generation Now and Hardworking Ohioans, as well as payments to Sustainability Funding Alliance.</w:t>
      </w:r>
      <w:r>
        <w:rPr>
          <w:rStyle w:val="FootnoteReference"/>
        </w:rPr>
        <w:footnoteReference w:id="26"/>
      </w:r>
      <w:r w:rsidRPr="004268AF">
        <w:t xml:space="preserve"> We still don’t know (a year and a half after this investigatory case was opened) if that is the extent of the political and charitable spending that was allocated to the Ohio FirstEnergy Utilities by FirstEnergy Service Company (or any other FirstEnergy affiliate). </w:t>
      </w:r>
    </w:p>
    <w:p w:rsidR="00F1044F" w:rsidRPr="004268AF" w:rsidP="004268AF" w14:paraId="4CB36A42" w14:textId="2B9A8E2B">
      <w:pPr>
        <w:spacing w:line="480" w:lineRule="auto"/>
        <w:ind w:firstLine="720"/>
      </w:pPr>
      <w:r w:rsidRPr="004268AF">
        <w:t xml:space="preserve">The FERC audit includes the period related to H.B. 6 activities (January 1, 2017 to December 31, 2019). The FERC audit covered information about how FirstEnergy Service Company charged its franchised public utilities (including the FirstEnergy Ohio utilities) for lobbying expenses, donations, and costs lacking supporting documentation (misallocated costs). </w:t>
      </w:r>
    </w:p>
    <w:p w:rsidR="00FF3528" w:rsidRPr="004268AF" w:rsidP="004268AF" w14:paraId="74AB9320" w14:textId="1A9A463D">
      <w:pPr>
        <w:spacing w:line="480" w:lineRule="auto"/>
        <w:ind w:firstLine="720"/>
      </w:pPr>
      <w:r w:rsidRPr="004268AF">
        <w:t>With respect to external lobbying expenses, FERC’s audit staff discovered that FirstEnergy Service Company improperly recorded $10.9 million of lobbying costs in utility operating expense accounts.</w:t>
      </w:r>
      <w:r>
        <w:rPr>
          <w:rStyle w:val="FootnoteReference"/>
          <w:rFonts w:eastAsiaTheme="majorEastAsia"/>
        </w:rPr>
        <w:footnoteReference w:id="27"/>
      </w:r>
      <w:r w:rsidRPr="004268AF">
        <w:t xml:space="preserve"> FERC Staff also identified $20.9 million of payments to entities associated with the former PUCO chairman.</w:t>
      </w:r>
      <w:r>
        <w:rPr>
          <w:rStyle w:val="FootnoteReference"/>
          <w:rFonts w:eastAsiaTheme="majorEastAsia"/>
        </w:rPr>
        <w:footnoteReference w:id="28"/>
      </w:r>
      <w:r w:rsidRPr="004268AF">
        <w:t xml:space="preserve"> And the FERC Staff identified $28.98 million in payments to sixteen entities associated with one person that were improperly classified or misallocated to certain FirstEnergy regulated utilities.</w:t>
      </w:r>
      <w:r>
        <w:rPr>
          <w:rStyle w:val="FootnoteReference"/>
          <w:rFonts w:eastAsiaTheme="majorEastAsia"/>
        </w:rPr>
        <w:footnoteReference w:id="29"/>
      </w:r>
      <w:r w:rsidRPr="004268AF">
        <w:t xml:space="preserve"> FERC </w:t>
      </w:r>
      <w:r w:rsidRPr="004268AF" w:rsidR="002B0EDA">
        <w:t>S</w:t>
      </w:r>
      <w:r w:rsidRPr="004268AF">
        <w:t>taff also found that internal lobbyists (in the Governmental Affairs department) were incorrectly recording their labor costs, resulting in FirstEnergy Service Company including such costs to FirstEnergy transmission affiliates, who in turn charged their customers.</w:t>
      </w:r>
      <w:r>
        <w:rPr>
          <w:rStyle w:val="FootnoteReference"/>
          <w:rFonts w:eastAsiaTheme="majorEastAsia"/>
        </w:rPr>
        <w:footnoteReference w:id="30"/>
      </w:r>
      <w:r w:rsidRPr="004268AF">
        <w:t xml:space="preserve"> </w:t>
      </w:r>
    </w:p>
    <w:p w:rsidR="00FF3528" w:rsidRPr="004268AF" w:rsidP="004268AF" w14:paraId="75382C9B" w14:textId="29CB3505">
      <w:pPr>
        <w:spacing w:line="480" w:lineRule="auto"/>
        <w:ind w:firstLine="720"/>
      </w:pPr>
      <w:r w:rsidRPr="004268AF">
        <w:t xml:space="preserve">FERC’s audit gives the clearest picture yet of the ongoing FirstEnergy misdeeds involving H.B. 6. The </w:t>
      </w:r>
      <w:r w:rsidR="00113B2E">
        <w:t xml:space="preserve">documents provided by FirstEnergy to FERC </w:t>
      </w:r>
      <w:r w:rsidRPr="004268AF">
        <w:t>should be analyzed and thoroughly reviewed by the parties to this case and other cases involving the H</w:t>
      </w:r>
      <w:r w:rsidRPr="004268AF" w:rsidR="002B0EDA">
        <w:t>.</w:t>
      </w:r>
      <w:r w:rsidRPr="004268AF">
        <w:t>B</w:t>
      </w:r>
      <w:r w:rsidRPr="004268AF" w:rsidR="002B0EDA">
        <w:t>.</w:t>
      </w:r>
      <w:r w:rsidRPr="004268AF">
        <w:t xml:space="preserve"> 6 investigation. Significantly, FirstEnergy Corp., in large part, does not appear to be contesting the FERC findings and its recommendations for improvement.</w:t>
      </w:r>
      <w:r w:rsidRPr="004268AF" w:rsidR="00E03E71">
        <w:t xml:space="preserve"> </w:t>
      </w:r>
      <w:r w:rsidRPr="004268AF">
        <w:t>The</w:t>
      </w:r>
      <w:r w:rsidR="0071283E">
        <w:t xml:space="preserve"> documents FirstEnergy provided to</w:t>
      </w:r>
      <w:r w:rsidRPr="004268AF">
        <w:t xml:space="preserve"> FERC are therefore highly relevant to this case.</w:t>
      </w:r>
    </w:p>
    <w:p w:rsidR="00FF3528" w:rsidRPr="004268AF" w:rsidP="004268AF" w14:paraId="0A9A974C" w14:textId="1E93873D">
      <w:pPr>
        <w:pStyle w:val="Heading3"/>
        <w:rPr>
          <w:rFonts w:cs="Times New Roman"/>
        </w:rPr>
      </w:pPr>
      <w:bookmarkStart w:id="9" w:name="_Toc98774475"/>
      <w:r w:rsidRPr="004268AF">
        <w:rPr>
          <w:rFonts w:cs="Times New Roman"/>
        </w:rPr>
        <w:t>The documents FirstEnergy produced for the FERC audit are not covered by any privilege now that the audit is concluded.</w:t>
      </w:r>
      <w:bookmarkEnd w:id="9"/>
    </w:p>
    <w:p w:rsidR="005E7A38" w:rsidRPr="004268AF" w:rsidP="004268AF" w14:paraId="2A2FB952" w14:textId="34B9A854">
      <w:pPr>
        <w:spacing w:line="480" w:lineRule="auto"/>
        <w:ind w:firstLine="720"/>
      </w:pPr>
      <w:r w:rsidRPr="004268AF">
        <w:t>In Section A, above, OCC presented the applicable statutes that cover the confidentiality of information presented to FERC.</w:t>
      </w:r>
      <w:r w:rsidRPr="004268AF" w:rsidR="00E03E71">
        <w:t xml:space="preserve"> </w:t>
      </w:r>
      <w:r w:rsidRPr="004268AF">
        <w:t xml:space="preserve">OCC provided these statutes to demonstrate that </w:t>
      </w:r>
      <w:r w:rsidRPr="004268AF" w:rsidR="009F7F06">
        <w:t xml:space="preserve">the </w:t>
      </w:r>
      <w:r w:rsidRPr="004268AF">
        <w:t>FirstEnergy</w:t>
      </w:r>
      <w:r w:rsidRPr="004268AF" w:rsidR="009F7F06">
        <w:t xml:space="preserve"> Utilities</w:t>
      </w:r>
      <w:r w:rsidRPr="004268AF" w:rsidR="00E03E71">
        <w:t xml:space="preserve"> </w:t>
      </w:r>
      <w:r w:rsidRPr="004268AF">
        <w:t>lack standing to raise the confidentiality issue.</w:t>
      </w:r>
      <w:r w:rsidRPr="004268AF" w:rsidR="00E03E71">
        <w:t xml:space="preserve"> </w:t>
      </w:r>
      <w:r w:rsidRPr="004268AF">
        <w:t>The statutes also demonstrate that the documents FirstEnergy produced to FERC are not confidential in any sense now that the FERC audit has been concluded.</w:t>
      </w:r>
      <w:r w:rsidRPr="004268AF" w:rsidR="00E03E71">
        <w:t xml:space="preserve"> </w:t>
      </w:r>
      <w:r w:rsidRPr="004268AF">
        <w:t>The Attorney Examiner correctly concluded that there would be no violation of th</w:t>
      </w:r>
      <w:r w:rsidR="00EC6D0D">
        <w:t>e</w:t>
      </w:r>
      <w:r w:rsidRPr="004268AF">
        <w:t xml:space="preserve"> Federal Power Act by granting OCC’s motions to compel. </w:t>
      </w:r>
      <w:r w:rsidRPr="004268AF" w:rsidR="000D171F">
        <w:t>OCC sought d</w:t>
      </w:r>
      <w:r w:rsidRPr="004268AF">
        <w:t>isclosure from the FirstEnergy Utilities</w:t>
      </w:r>
      <w:r w:rsidRPr="004268AF" w:rsidR="000D171F">
        <w:t>, not FERC Staff</w:t>
      </w:r>
      <w:r w:rsidRPr="004268AF">
        <w:t xml:space="preserve">. </w:t>
      </w:r>
    </w:p>
    <w:p w:rsidR="007E09D6" w:rsidRPr="004268AF" w:rsidP="004268AF" w14:paraId="5799B070" w14:textId="37E47E11">
      <w:pPr>
        <w:spacing w:line="480" w:lineRule="auto"/>
        <w:ind w:firstLine="720"/>
      </w:pPr>
      <w:r w:rsidRPr="004268AF">
        <w:t>As discussed in Section III.B, above, t</w:t>
      </w:r>
      <w:r w:rsidRPr="004268AF" w:rsidR="005E7A38">
        <w:t xml:space="preserve">he FirstEnergy Utilities have not cited to </w:t>
      </w:r>
      <w:r w:rsidRPr="004268AF" w:rsidR="005E7A38">
        <w:rPr>
          <w:i/>
          <w:iCs/>
        </w:rPr>
        <w:t xml:space="preserve">any </w:t>
      </w:r>
      <w:r w:rsidRPr="004268AF" w:rsidR="005E7A38">
        <w:t>authority to support their position of keeping documents FirstEnergy Co</w:t>
      </w:r>
      <w:r w:rsidRPr="004268AF" w:rsidR="005949A7">
        <w:t>r</w:t>
      </w:r>
      <w:r w:rsidRPr="004268AF" w:rsidR="005E7A38">
        <w:t>p and its subsidiaries gave to FERC from the public</w:t>
      </w:r>
      <w:r w:rsidRPr="004268AF" w:rsidR="00086FE6">
        <w:t xml:space="preserve"> now that the FERC audit has been concluded</w:t>
      </w:r>
      <w:r w:rsidRPr="004268AF" w:rsidR="005E7A38">
        <w:t>.</w:t>
      </w:r>
      <w:r w:rsidRPr="004268AF" w:rsidR="00E03E71">
        <w:t xml:space="preserve"> </w:t>
      </w:r>
    </w:p>
    <w:p w:rsidR="006C18CD" w:rsidRPr="004268AF" w:rsidP="004268AF" w14:paraId="5A9D2145" w14:textId="33F282B2">
      <w:pPr>
        <w:spacing w:line="480" w:lineRule="auto"/>
        <w:ind w:firstLine="720"/>
      </w:pPr>
      <w:r w:rsidRPr="004268AF">
        <w:t>In fact, Attorney Examiner Price should have allowed OCC to obtain these documents when OCC initially requested them</w:t>
      </w:r>
      <w:r w:rsidRPr="004268AF" w:rsidR="007E09D6">
        <w:t xml:space="preserve"> in 2021</w:t>
      </w:r>
      <w:r w:rsidRPr="004268AF">
        <w:t>, without requiring OCC to wait until the audit was completed.</w:t>
      </w:r>
      <w:r w:rsidRPr="004268AF" w:rsidR="00E03E71">
        <w:t xml:space="preserve"> </w:t>
      </w:r>
      <w:r w:rsidRPr="004268AF">
        <w:t>In any event, Examiner Megan Addison</w:t>
      </w:r>
      <w:r w:rsidRPr="004268AF" w:rsidR="007E09D6">
        <w:t xml:space="preserve"> </w:t>
      </w:r>
      <w:r w:rsidRPr="004268AF">
        <w:t xml:space="preserve">certainly issued the correct ruling at this </w:t>
      </w:r>
      <w:r w:rsidRPr="004268AF" w:rsidR="007228BD">
        <w:t>time now that</w:t>
      </w:r>
      <w:r w:rsidRPr="004268AF">
        <w:t xml:space="preserve"> the FERC audit is complete.</w:t>
      </w:r>
      <w:r w:rsidRPr="004268AF" w:rsidR="00E03E71">
        <w:t xml:space="preserve"> </w:t>
      </w:r>
      <w:r w:rsidRPr="004268AF">
        <w:t xml:space="preserve">The PUCO should therefore deny </w:t>
      </w:r>
      <w:r w:rsidRPr="004268AF" w:rsidR="009F7F06">
        <w:t xml:space="preserve">the </w:t>
      </w:r>
      <w:r w:rsidRPr="004268AF">
        <w:t>FirstEnergy</w:t>
      </w:r>
      <w:r w:rsidRPr="004268AF" w:rsidR="009F7F06">
        <w:t xml:space="preserve"> Utilities’</w:t>
      </w:r>
      <w:r w:rsidRPr="004268AF" w:rsidR="00E03E71">
        <w:t xml:space="preserve"> </w:t>
      </w:r>
      <w:r w:rsidRPr="004268AF" w:rsidR="003B7E24">
        <w:t>I</w:t>
      </w:r>
      <w:r w:rsidRPr="004268AF">
        <w:t xml:space="preserve">nterlocutory </w:t>
      </w:r>
      <w:r w:rsidRPr="004268AF" w:rsidR="003B7E24">
        <w:t>A</w:t>
      </w:r>
      <w:r w:rsidRPr="004268AF">
        <w:t>ppeal.</w:t>
      </w:r>
    </w:p>
    <w:p w:rsidR="008E5092" w:rsidRPr="004268AF" w:rsidP="004268AF" w14:paraId="58B19407" w14:textId="77777777">
      <w:pPr>
        <w:ind w:firstLine="720"/>
      </w:pPr>
    </w:p>
    <w:p w:rsidR="00142848" w:rsidRPr="004268AF" w:rsidP="004268AF" w14:paraId="282EF326" w14:textId="0EAA6A2B">
      <w:pPr>
        <w:pStyle w:val="Heading1"/>
        <w:numPr>
          <w:ilvl w:val="0"/>
          <w:numId w:val="0"/>
        </w:numPr>
        <w:rPr>
          <w:rFonts w:ascii="Times New Roman" w:hAnsi="Times New Roman" w:cs="Times New Roman"/>
          <w:szCs w:val="24"/>
        </w:rPr>
      </w:pPr>
      <w:bookmarkStart w:id="10" w:name="_Toc98774476"/>
      <w:r w:rsidRPr="004268AF">
        <w:rPr>
          <w:rFonts w:ascii="Times New Roman" w:hAnsi="Times New Roman" w:cs="Times New Roman"/>
          <w:szCs w:val="24"/>
        </w:rPr>
        <w:t>IV</w:t>
      </w:r>
      <w:r w:rsidRPr="004268AF" w:rsidR="008F2724">
        <w:rPr>
          <w:rFonts w:ascii="Times New Roman" w:hAnsi="Times New Roman" w:cs="Times New Roman"/>
          <w:szCs w:val="24"/>
        </w:rPr>
        <w:t>.</w:t>
      </w:r>
      <w:r w:rsidRPr="004268AF" w:rsidR="008F2724">
        <w:rPr>
          <w:rFonts w:ascii="Times New Roman" w:hAnsi="Times New Roman" w:cs="Times New Roman"/>
          <w:szCs w:val="24"/>
        </w:rPr>
        <w:tab/>
      </w:r>
      <w:r w:rsidRPr="004268AF" w:rsidR="00336AC5">
        <w:rPr>
          <w:rFonts w:ascii="Times New Roman" w:hAnsi="Times New Roman" w:cs="Times New Roman"/>
          <w:szCs w:val="24"/>
        </w:rPr>
        <w:t>CONCLUSION</w:t>
      </w:r>
      <w:bookmarkEnd w:id="10"/>
    </w:p>
    <w:p w:rsidR="00142848" w:rsidRPr="004268AF" w:rsidP="004268AF" w14:paraId="32CDEC60" w14:textId="761088CD">
      <w:pPr>
        <w:widowControl w:val="0"/>
        <w:autoSpaceDE w:val="0"/>
        <w:autoSpaceDN w:val="0"/>
        <w:spacing w:before="1" w:line="480" w:lineRule="auto"/>
        <w:rPr>
          <w:b/>
          <w:bCs/>
        </w:rPr>
      </w:pPr>
      <w:r w:rsidRPr="004268AF">
        <w:tab/>
      </w:r>
      <w:r w:rsidRPr="004268AF" w:rsidR="00B54BEE">
        <w:t xml:space="preserve">The PUCO should </w:t>
      </w:r>
      <w:r w:rsidRPr="004268AF" w:rsidR="000061AC">
        <w:t xml:space="preserve">affirm Examiner </w:t>
      </w:r>
      <w:r w:rsidRPr="004268AF" w:rsidR="00C9555C">
        <w:t>Megan Addison</w:t>
      </w:r>
      <w:r w:rsidRPr="004268AF" w:rsidR="000061AC">
        <w:t xml:space="preserve">’s ruling or dismiss </w:t>
      </w:r>
      <w:r w:rsidRPr="004268AF">
        <w:t>FirstEnergy’s interlocutory appeal</w:t>
      </w:r>
      <w:r w:rsidRPr="004268AF" w:rsidR="000061AC">
        <w:t>, per O.A.C. 4901-1-15(E)(1) and (2)</w:t>
      </w:r>
      <w:r w:rsidRPr="004268AF">
        <w:t xml:space="preserve">. </w:t>
      </w:r>
      <w:r w:rsidRPr="004268AF" w:rsidR="00D80E0F">
        <w:t>Th</w:t>
      </w:r>
      <w:r w:rsidRPr="004268AF" w:rsidR="00D2496A">
        <w:t>e PUCO Examiner’s</w:t>
      </w:r>
      <w:r w:rsidRPr="004268AF" w:rsidR="00D80E0F">
        <w:t xml:space="preserve"> ruling and </w:t>
      </w:r>
      <w:r w:rsidRPr="004268AF" w:rsidR="00D2496A">
        <w:t>more</w:t>
      </w:r>
      <w:r w:rsidRPr="004268AF" w:rsidR="00D80E0F">
        <w:t xml:space="preserve"> like it are needed to shine </w:t>
      </w:r>
      <w:r w:rsidRPr="004268AF" w:rsidR="00184716">
        <w:t>a</w:t>
      </w:r>
      <w:r w:rsidRPr="004268AF" w:rsidR="00D80E0F">
        <w:t xml:space="preserve"> light on FirstEnergy </w:t>
      </w:r>
      <w:r w:rsidRPr="004268AF" w:rsidR="00C8032C">
        <w:t>toward getting to truth and justice for millions of Ohi</w:t>
      </w:r>
      <w:r w:rsidRPr="004268AF">
        <w:t>o</w:t>
      </w:r>
      <w:r w:rsidRPr="004268AF" w:rsidR="000A3B00">
        <w:t>ans.</w:t>
      </w:r>
      <w:r w:rsidR="004268AF">
        <w:t xml:space="preserve"> </w:t>
      </w:r>
    </w:p>
    <w:p w:rsidR="00DF6D5B" w14:paraId="3BCDCE2F" w14:textId="77777777">
      <w:pPr>
        <w:spacing w:after="160" w:line="259" w:lineRule="auto"/>
      </w:pPr>
      <w:r>
        <w:br w:type="page"/>
      </w:r>
    </w:p>
    <w:p w:rsidR="00F90850" w:rsidRPr="004268AF" w:rsidP="004268AF" w14:paraId="5F8D2DD6" w14:textId="2C43B043">
      <w:pPr>
        <w:ind w:left="4320"/>
      </w:pPr>
      <w:r w:rsidRPr="004268AF">
        <w:t>Respectfully submitted,</w:t>
      </w:r>
    </w:p>
    <w:p w:rsidR="00F90850" w:rsidRPr="004268AF" w:rsidP="004268AF" w14:paraId="46244A93" w14:textId="77777777">
      <w:pPr>
        <w:ind w:left="4320"/>
      </w:pPr>
    </w:p>
    <w:p w:rsidR="00F90850" w:rsidRPr="004268AF" w:rsidP="004268AF" w14:paraId="794DCF74" w14:textId="77777777">
      <w:pPr>
        <w:ind w:left="4320"/>
      </w:pPr>
      <w:r w:rsidRPr="004268AF">
        <w:t>Bruce Weston (0016973)</w:t>
      </w:r>
    </w:p>
    <w:p w:rsidR="00F90850" w:rsidRPr="004268AF" w:rsidP="004268AF" w14:paraId="391C7E1E" w14:textId="77777777">
      <w:pPr>
        <w:ind w:left="4320"/>
      </w:pPr>
      <w:r w:rsidRPr="004268AF">
        <w:t>Ohio Consumers’ Counsel</w:t>
      </w:r>
    </w:p>
    <w:p w:rsidR="00F90850" w:rsidRPr="004268AF" w:rsidP="004268AF" w14:paraId="151F0ACF" w14:textId="77777777">
      <w:pPr>
        <w:ind w:left="4954"/>
      </w:pPr>
    </w:p>
    <w:p w:rsidR="00F90850" w:rsidRPr="004268AF" w:rsidP="004268AF" w14:paraId="62EE6CBB" w14:textId="77777777">
      <w:pPr>
        <w:suppressLineNumbers/>
        <w:ind w:left="4320"/>
      </w:pPr>
      <w:r w:rsidRPr="004268AF">
        <w:rPr>
          <w:i/>
          <w:iCs/>
          <w:u w:val="single"/>
        </w:rPr>
        <w:t>/s/ Maureen R. Willis</w:t>
      </w:r>
      <w:r w:rsidRPr="004268AF">
        <w:rPr>
          <w:i/>
          <w:iCs/>
          <w:u w:val="single"/>
        </w:rPr>
        <w:tab/>
      </w:r>
      <w:r w:rsidRPr="004268AF">
        <w:rPr>
          <w:i/>
          <w:iCs/>
          <w:u w:val="single"/>
        </w:rPr>
        <w:tab/>
      </w:r>
    </w:p>
    <w:p w:rsidR="00F90850" w:rsidRPr="004268AF" w:rsidP="004268AF" w14:paraId="6FCE3159" w14:textId="77777777">
      <w:pPr>
        <w:suppressLineNumbers/>
        <w:ind w:left="4320"/>
      </w:pPr>
      <w:r w:rsidRPr="004268AF">
        <w:t>Maureen R. Willis</w:t>
      </w:r>
      <w:r w:rsidRPr="004268AF" w:rsidR="001F6DC9">
        <w:t xml:space="preserve"> (0020847)</w:t>
      </w:r>
    </w:p>
    <w:p w:rsidR="00F90850" w:rsidRPr="004268AF" w:rsidP="004268AF" w14:paraId="5448275B" w14:textId="77777777">
      <w:pPr>
        <w:suppressLineNumbers/>
        <w:ind w:left="4320"/>
      </w:pPr>
      <w:r w:rsidRPr="004268AF">
        <w:t>Counsel of Record</w:t>
      </w:r>
    </w:p>
    <w:p w:rsidR="00F90850" w:rsidRPr="004268AF" w:rsidP="004268AF" w14:paraId="6F1AA9FE" w14:textId="77777777">
      <w:pPr>
        <w:suppressLineNumbers/>
        <w:ind w:left="4320"/>
      </w:pPr>
      <w:r w:rsidRPr="004268AF">
        <w:t>John Finnigan (0018689)</w:t>
      </w:r>
      <w:r w:rsidRPr="004268AF">
        <w:tab/>
      </w:r>
    </w:p>
    <w:p w:rsidR="00F90850" w:rsidRPr="004268AF" w:rsidP="004268AF" w14:paraId="6CF8709A" w14:textId="77777777">
      <w:pPr>
        <w:suppressLineNumbers/>
        <w:ind w:left="4320"/>
      </w:pPr>
      <w:r w:rsidRPr="004268AF">
        <w:t>Assistant Consumers’ Counsel</w:t>
      </w:r>
    </w:p>
    <w:p w:rsidR="00F90850" w:rsidRPr="004268AF" w:rsidP="004268AF" w14:paraId="1204C38D" w14:textId="77777777">
      <w:pPr>
        <w:suppressLineNumbers/>
        <w:ind w:left="4320"/>
        <w:rPr>
          <w:b/>
        </w:rPr>
      </w:pPr>
    </w:p>
    <w:p w:rsidR="00F90850" w:rsidRPr="004268AF" w:rsidP="004268AF" w14:paraId="5BCEB896" w14:textId="77777777">
      <w:pPr>
        <w:suppressLineNumbers/>
        <w:ind w:left="4320"/>
        <w:rPr>
          <w:b/>
          <w:bCs/>
        </w:rPr>
      </w:pPr>
      <w:r w:rsidRPr="004268AF">
        <w:rPr>
          <w:b/>
        </w:rPr>
        <w:t>Office of the Ohio Consumers’ Counsel</w:t>
      </w:r>
    </w:p>
    <w:p w:rsidR="00F90850" w:rsidRPr="004268AF" w:rsidP="004268AF" w14:paraId="248C2D75" w14:textId="77777777">
      <w:pPr>
        <w:suppressLineNumbers/>
        <w:ind w:left="4320"/>
        <w:rPr>
          <w:bCs/>
        </w:rPr>
      </w:pPr>
      <w:r w:rsidRPr="004268AF">
        <w:t>65 East State Street, Suite 700</w:t>
      </w:r>
    </w:p>
    <w:p w:rsidR="00F90850" w:rsidRPr="004268AF" w:rsidP="004268AF" w14:paraId="30B8A89D" w14:textId="77777777">
      <w:pPr>
        <w:suppressLineNumbers/>
        <w:ind w:left="4320"/>
        <w:rPr>
          <w:bCs/>
        </w:rPr>
      </w:pPr>
      <w:r w:rsidRPr="004268AF">
        <w:t>Columbus, Ohio 43215</w:t>
      </w:r>
    </w:p>
    <w:p w:rsidR="00F90850" w:rsidRPr="004268AF" w:rsidP="004268AF" w14:paraId="372950F9" w14:textId="77777777">
      <w:pPr>
        <w:suppressLineNumbers/>
        <w:ind w:left="4320"/>
      </w:pPr>
      <w:r w:rsidRPr="004268AF">
        <w:t>Telephone [Willis]: (614) 466-9567</w:t>
      </w:r>
    </w:p>
    <w:p w:rsidR="00F90850" w:rsidRPr="004268AF" w:rsidP="004268AF" w14:paraId="4714344D" w14:textId="77777777">
      <w:pPr>
        <w:suppressLineNumbers/>
        <w:ind w:left="4320"/>
      </w:pPr>
      <w:r w:rsidRPr="004268AF">
        <w:t>Telephone [Finnigan]: (614) 466-9585</w:t>
      </w:r>
    </w:p>
    <w:p w:rsidR="00F90850" w:rsidRPr="004268AF" w:rsidP="004268AF" w14:paraId="6D2751A0" w14:textId="77777777">
      <w:pPr>
        <w:suppressLineNumbers/>
        <w:ind w:left="4320"/>
        <w:rPr>
          <w:color w:val="0000FF"/>
        </w:rPr>
      </w:pPr>
      <w:hyperlink r:id="rId6" w:history="1">
        <w:r w:rsidRPr="004268AF" w:rsidR="00D71A7C">
          <w:rPr>
            <w:rStyle w:val="Hyperlink"/>
            <w:color w:val="0000FF"/>
          </w:rPr>
          <w:t>maureen.willis@occ.ohio.gov</w:t>
        </w:r>
      </w:hyperlink>
    </w:p>
    <w:p w:rsidR="00F90850" w:rsidRPr="004268AF" w:rsidP="004268AF" w14:paraId="1873574C" w14:textId="77777777">
      <w:pPr>
        <w:suppressLineNumbers/>
        <w:ind w:left="4320"/>
        <w:rPr>
          <w:color w:val="0000FF"/>
        </w:rPr>
      </w:pPr>
      <w:hyperlink r:id="rId7" w:history="1">
        <w:r w:rsidRPr="004268AF" w:rsidR="00D71A7C">
          <w:rPr>
            <w:rStyle w:val="Hyperlink"/>
            <w:color w:val="0000FF"/>
          </w:rPr>
          <w:t>john.finnigan@occ.ohio.gov</w:t>
        </w:r>
      </w:hyperlink>
    </w:p>
    <w:p w:rsidR="00541CF8" w:rsidRPr="004268AF" w:rsidP="004268AF" w14:paraId="488C0D18" w14:textId="7F3C1CA4">
      <w:pPr>
        <w:suppressLineNumbers/>
        <w:ind w:left="4320"/>
        <w:rPr>
          <w:b/>
          <w:color w:val="221F1F"/>
          <w:u w:val="thick" w:color="221F1F"/>
        </w:rPr>
      </w:pPr>
      <w:r w:rsidRPr="004268AF">
        <w:t>(willing to accept service by e-mail)</w:t>
      </w:r>
      <w:r w:rsidRPr="004268AF">
        <w:rPr>
          <w:b/>
          <w:color w:val="221F1F"/>
          <w:u w:val="thick" w:color="221F1F"/>
        </w:rPr>
        <w:br w:type="page"/>
      </w:r>
    </w:p>
    <w:p w:rsidR="00BF5C65" w:rsidRPr="004268AF" w:rsidP="004268AF" w14:paraId="3FDF3EBD" w14:textId="77777777">
      <w:pPr>
        <w:spacing w:before="39"/>
        <w:ind w:left="122"/>
        <w:jc w:val="center"/>
        <w:rPr>
          <w:b/>
        </w:rPr>
      </w:pPr>
      <w:r w:rsidRPr="004268AF">
        <w:rPr>
          <w:b/>
          <w:color w:val="221F1F"/>
          <w:u w:val="thick" w:color="221F1F"/>
        </w:rPr>
        <w:t>CERTIFICATE OF SERVICE</w:t>
      </w:r>
    </w:p>
    <w:p w:rsidR="00BF5C65" w:rsidRPr="004268AF" w:rsidP="004268AF" w14:paraId="7276BD83" w14:textId="77777777">
      <w:pPr>
        <w:pStyle w:val="BodyText"/>
        <w:spacing w:before="8"/>
        <w:rPr>
          <w:b/>
        </w:rPr>
      </w:pPr>
    </w:p>
    <w:p w:rsidR="00BF5C65" w:rsidRPr="004268AF" w:rsidP="004268AF" w14:paraId="50513729" w14:textId="3D185A0C">
      <w:pPr>
        <w:pStyle w:val="BodyText"/>
        <w:spacing w:before="61" w:line="480" w:lineRule="auto"/>
        <w:ind w:firstLine="720"/>
      </w:pPr>
      <w:r w:rsidRPr="004268AF">
        <w:rPr>
          <w:color w:val="221F1F"/>
        </w:rPr>
        <w:t xml:space="preserve">I hereby certify that a copy of the foregoing </w:t>
      </w:r>
      <w:r w:rsidRPr="004268AF" w:rsidR="001A206E">
        <w:rPr>
          <w:color w:val="221F1F"/>
        </w:rPr>
        <w:t>Memorandum</w:t>
      </w:r>
      <w:r w:rsidRPr="004268AF" w:rsidR="00CA182D">
        <w:rPr>
          <w:color w:val="221F1F"/>
        </w:rPr>
        <w:t xml:space="preserve"> </w:t>
      </w:r>
      <w:r w:rsidRPr="004268AF" w:rsidR="00672E6F">
        <w:rPr>
          <w:color w:val="221F1F"/>
        </w:rPr>
        <w:t xml:space="preserve">Contra </w:t>
      </w:r>
      <w:r w:rsidRPr="004268AF">
        <w:rPr>
          <w:color w:val="221F1F"/>
        </w:rPr>
        <w:t xml:space="preserve">was served on the persons stated below via electronic transmission, this </w:t>
      </w:r>
      <w:r w:rsidRPr="004268AF" w:rsidR="00672E6F">
        <w:rPr>
          <w:color w:val="221F1F"/>
        </w:rPr>
        <w:t>21st</w:t>
      </w:r>
      <w:r w:rsidRPr="004268AF" w:rsidR="006A48F2">
        <w:rPr>
          <w:color w:val="221F1F"/>
        </w:rPr>
        <w:t xml:space="preserve"> </w:t>
      </w:r>
      <w:r w:rsidRPr="004268AF">
        <w:rPr>
          <w:color w:val="221F1F"/>
        </w:rPr>
        <w:t xml:space="preserve">day of </w:t>
      </w:r>
      <w:r w:rsidRPr="004268AF" w:rsidR="00672E6F">
        <w:rPr>
          <w:color w:val="221F1F"/>
        </w:rPr>
        <w:t>March</w:t>
      </w:r>
      <w:r w:rsidRPr="004268AF">
        <w:rPr>
          <w:color w:val="221F1F"/>
        </w:rPr>
        <w:t xml:space="preserve"> 2022.</w:t>
      </w:r>
    </w:p>
    <w:p w:rsidR="00BF5C65" w:rsidRPr="004268AF" w:rsidP="004268AF" w14:paraId="56BE0160" w14:textId="77777777">
      <w:pPr>
        <w:ind w:left="4320"/>
        <w:rPr>
          <w:i/>
        </w:rPr>
      </w:pPr>
      <w:r w:rsidRPr="004268AF">
        <w:rPr>
          <w:i/>
          <w:color w:val="221F1F"/>
          <w:u w:val="single" w:color="221F1F"/>
        </w:rPr>
        <w:t>/s/ Maureen R.</w:t>
      </w:r>
      <w:r w:rsidRPr="004268AF">
        <w:rPr>
          <w:i/>
          <w:color w:val="221F1F"/>
          <w:spacing w:val="-8"/>
          <w:u w:val="single" w:color="221F1F"/>
        </w:rPr>
        <w:t xml:space="preserve"> </w:t>
      </w:r>
      <w:r w:rsidRPr="004268AF">
        <w:rPr>
          <w:i/>
          <w:color w:val="221F1F"/>
          <w:u w:val="single" w:color="221F1F"/>
        </w:rPr>
        <w:t>Willis</w:t>
      </w:r>
      <w:r w:rsidRPr="004268AF" w:rsidR="00F90850">
        <w:rPr>
          <w:i/>
          <w:color w:val="221F1F"/>
          <w:u w:val="single" w:color="221F1F"/>
        </w:rPr>
        <w:tab/>
      </w:r>
      <w:r w:rsidRPr="004268AF" w:rsidR="00F90850">
        <w:rPr>
          <w:i/>
          <w:color w:val="221F1F"/>
          <w:u w:val="single" w:color="221F1F"/>
        </w:rPr>
        <w:tab/>
      </w:r>
    </w:p>
    <w:p w:rsidR="00BF5C65" w:rsidRPr="004268AF" w:rsidP="004268AF" w14:paraId="5247A5C7" w14:textId="77777777">
      <w:pPr>
        <w:pStyle w:val="BodyText"/>
        <w:ind w:left="4320"/>
      </w:pPr>
      <w:r w:rsidRPr="004268AF">
        <w:rPr>
          <w:color w:val="221F1F"/>
        </w:rPr>
        <w:t>Maureen R. Willis</w:t>
      </w:r>
    </w:p>
    <w:p w:rsidR="00BF5C65" w:rsidRPr="004268AF" w:rsidP="004268AF" w14:paraId="21AF9E55" w14:textId="77777777">
      <w:pPr>
        <w:pStyle w:val="BodyText"/>
        <w:ind w:left="4320"/>
      </w:pPr>
      <w:r w:rsidRPr="004268AF">
        <w:rPr>
          <w:color w:val="221F1F"/>
        </w:rPr>
        <w:t>Assistant Consumers’ Counsel</w:t>
      </w:r>
    </w:p>
    <w:p w:rsidR="00BF5C65" w:rsidRPr="004268AF" w:rsidP="004268AF" w14:paraId="6959F0F4" w14:textId="77777777">
      <w:pPr>
        <w:pStyle w:val="BodyText"/>
      </w:pPr>
    </w:p>
    <w:p w:rsidR="00BF5C65" w:rsidRPr="004268AF" w:rsidP="004268AF" w14:paraId="3A7DA4D2" w14:textId="77777777">
      <w:pPr>
        <w:pStyle w:val="BodyText"/>
        <w:spacing w:line="276" w:lineRule="auto"/>
      </w:pPr>
      <w:r w:rsidRPr="004268AF">
        <w:rPr>
          <w:color w:val="221F1F"/>
        </w:rPr>
        <w:t>The PUCO’s e-filing system will electronically serve notice of the filing of this document on the following parties:</w:t>
      </w:r>
    </w:p>
    <w:p w:rsidR="00BF5C65" w:rsidRPr="004268AF" w:rsidP="004268AF" w14:paraId="0128E083" w14:textId="77777777">
      <w:pPr>
        <w:spacing w:before="201"/>
        <w:ind w:left="120"/>
        <w:jc w:val="center"/>
        <w:rPr>
          <w:b/>
          <w:color w:val="221F1F"/>
          <w:u w:val="thick" w:color="221F1F"/>
        </w:rPr>
      </w:pPr>
      <w:r w:rsidRPr="004268AF">
        <w:rPr>
          <w:b/>
          <w:color w:val="221F1F"/>
          <w:u w:val="thick" w:color="221F1F"/>
        </w:rPr>
        <w:t>SERVICE LIST</w:t>
      </w:r>
    </w:p>
    <w:p w:rsidR="00F90850" w:rsidRPr="004268AF" w:rsidP="004268AF" w14:paraId="1839BB5D" w14:textId="77777777">
      <w:pPr>
        <w:ind w:left="115"/>
        <w:jc w:val="center"/>
        <w:rPr>
          <w:b/>
          <w:color w:val="221F1F"/>
          <w:u w:val="thick" w:color="221F1F"/>
        </w:rPr>
      </w:pPr>
    </w:p>
    <w:tbl>
      <w:tblPr>
        <w:tblW w:w="0" w:type="auto"/>
        <w:tblLook w:val="04A0"/>
      </w:tblPr>
      <w:tblGrid>
        <w:gridCol w:w="4860"/>
        <w:gridCol w:w="3780"/>
      </w:tblGrid>
      <w:tr w14:paraId="28F1EBB8" w14:textId="77777777" w:rsidTr="003001EB">
        <w:tblPrEx>
          <w:tblW w:w="0" w:type="auto"/>
          <w:tblLook w:val="04A0"/>
        </w:tblPrEx>
        <w:tc>
          <w:tcPr>
            <w:tcW w:w="4860" w:type="dxa"/>
            <w:shd w:val="clear" w:color="auto" w:fill="auto"/>
          </w:tcPr>
          <w:p w:rsidR="00B570E8" w:rsidRPr="004268AF" w:rsidP="004268AF" w14:paraId="04912BC8" w14:textId="77777777">
            <w:pPr>
              <w:pStyle w:val="CommentText"/>
              <w:rPr>
                <w:bCs/>
                <w:color w:val="0000FF"/>
                <w:sz w:val="24"/>
                <w:szCs w:val="24"/>
                <w:u w:val="single"/>
              </w:rPr>
            </w:pPr>
            <w:hyperlink r:id="rId13" w:history="1">
              <w:r w:rsidRPr="004268AF" w:rsidR="00C157CA">
                <w:rPr>
                  <w:rStyle w:val="Hyperlink"/>
                  <w:bCs/>
                  <w:color w:val="0000FF"/>
                  <w:sz w:val="24"/>
                  <w:szCs w:val="24"/>
                </w:rPr>
                <w:t>werner.margard@ohioAGO.gov</w:t>
              </w:r>
            </w:hyperlink>
          </w:p>
          <w:p w:rsidR="00B570E8" w:rsidRPr="004268AF" w:rsidP="004268AF" w14:paraId="50494510" w14:textId="77777777">
            <w:pPr>
              <w:pStyle w:val="CommentText"/>
              <w:rPr>
                <w:rStyle w:val="Hyperlink"/>
                <w:bCs/>
                <w:color w:val="0000FF"/>
                <w:sz w:val="24"/>
                <w:szCs w:val="24"/>
              </w:rPr>
            </w:pPr>
            <w:hyperlink r:id="rId14" w:history="1">
              <w:r w:rsidRPr="004268AF" w:rsidR="00C157CA">
                <w:rPr>
                  <w:rStyle w:val="Hyperlink"/>
                  <w:color w:val="0000FF"/>
                  <w:sz w:val="24"/>
                  <w:szCs w:val="24"/>
                </w:rPr>
                <w:t>s</w:t>
              </w:r>
              <w:r w:rsidRPr="004268AF" w:rsidR="00C157CA">
                <w:rPr>
                  <w:rStyle w:val="Hyperlink"/>
                  <w:bCs/>
                  <w:color w:val="0000FF"/>
                  <w:sz w:val="24"/>
                  <w:szCs w:val="24"/>
                </w:rPr>
                <w:t>arah.feldkamp@ohioAGO.gov</w:t>
              </w:r>
            </w:hyperlink>
          </w:p>
          <w:p w:rsidR="00B570E8" w:rsidRPr="004268AF" w:rsidP="004268AF" w14:paraId="25EB5380" w14:textId="77777777">
            <w:pPr>
              <w:pStyle w:val="CommentText"/>
              <w:rPr>
                <w:bCs/>
                <w:color w:val="0000FF"/>
                <w:sz w:val="24"/>
                <w:szCs w:val="24"/>
                <w:u w:val="single"/>
              </w:rPr>
            </w:pPr>
            <w:hyperlink r:id="rId15" w:history="1">
              <w:r w:rsidRPr="004268AF" w:rsidR="00C157CA">
                <w:rPr>
                  <w:rStyle w:val="Hyperlink"/>
                  <w:color w:val="0000FF"/>
                  <w:sz w:val="24"/>
                  <w:szCs w:val="24"/>
                </w:rPr>
                <w:t>t</w:t>
              </w:r>
              <w:r w:rsidRPr="004268AF" w:rsidR="00C157CA">
                <w:rPr>
                  <w:rStyle w:val="Hyperlink"/>
                  <w:bCs/>
                  <w:color w:val="0000FF"/>
                  <w:sz w:val="24"/>
                  <w:szCs w:val="24"/>
                </w:rPr>
                <w:t>homas.lindgren@ohioAGO.gov</w:t>
              </w:r>
            </w:hyperlink>
          </w:p>
          <w:p w:rsidR="00B570E8" w:rsidRPr="004268AF" w:rsidP="004268AF" w14:paraId="4FEF236D" w14:textId="77777777">
            <w:pPr>
              <w:pStyle w:val="CommentText"/>
              <w:rPr>
                <w:bCs/>
                <w:color w:val="0000FF"/>
                <w:sz w:val="24"/>
                <w:szCs w:val="24"/>
                <w:u w:val="single"/>
              </w:rPr>
            </w:pPr>
            <w:hyperlink r:id="rId16" w:history="1">
              <w:r w:rsidRPr="004268AF" w:rsidR="00C157CA">
                <w:rPr>
                  <w:rStyle w:val="Hyperlink"/>
                  <w:bCs/>
                  <w:color w:val="0000FF"/>
                  <w:sz w:val="24"/>
                  <w:szCs w:val="24"/>
                </w:rPr>
                <w:t>rlazer@elpc.org</w:t>
              </w:r>
            </w:hyperlink>
          </w:p>
          <w:p w:rsidR="00B570E8" w:rsidRPr="004268AF" w:rsidP="004268AF" w14:paraId="242EE2D8" w14:textId="77777777">
            <w:pPr>
              <w:pStyle w:val="CommentText"/>
              <w:rPr>
                <w:rStyle w:val="Hyperlink"/>
                <w:bCs/>
                <w:color w:val="0000FF"/>
                <w:sz w:val="24"/>
                <w:szCs w:val="24"/>
              </w:rPr>
            </w:pPr>
            <w:hyperlink r:id="rId17" w:history="1">
              <w:r w:rsidRPr="004268AF" w:rsidR="00C157CA">
                <w:rPr>
                  <w:rStyle w:val="Hyperlink"/>
                  <w:bCs/>
                  <w:color w:val="0000FF"/>
                  <w:sz w:val="24"/>
                  <w:szCs w:val="24"/>
                </w:rPr>
                <w:t>rkelter@elpc.org</w:t>
              </w:r>
            </w:hyperlink>
          </w:p>
          <w:p w:rsidR="00B570E8" w:rsidRPr="004268AF" w:rsidP="004268AF" w14:paraId="35C12E91" w14:textId="77777777">
            <w:pPr>
              <w:pStyle w:val="CommentText"/>
              <w:rPr>
                <w:bCs/>
                <w:color w:val="0000FF"/>
                <w:sz w:val="24"/>
                <w:szCs w:val="24"/>
                <w:u w:val="single"/>
              </w:rPr>
            </w:pPr>
            <w:hyperlink r:id="rId18" w:history="1">
              <w:r w:rsidRPr="004268AF" w:rsidR="00C157CA">
                <w:rPr>
                  <w:rStyle w:val="Hyperlink"/>
                  <w:bCs/>
                  <w:color w:val="0000FF"/>
                  <w:sz w:val="24"/>
                  <w:szCs w:val="24"/>
                </w:rPr>
                <w:t>jweber@elpc.org</w:t>
              </w:r>
            </w:hyperlink>
          </w:p>
          <w:p w:rsidR="00B570E8" w:rsidRPr="004268AF" w:rsidP="004268AF" w14:paraId="4F24500F" w14:textId="77777777">
            <w:pPr>
              <w:pStyle w:val="CommentText"/>
              <w:rPr>
                <w:bCs/>
                <w:color w:val="0000FF"/>
                <w:sz w:val="24"/>
                <w:szCs w:val="24"/>
              </w:rPr>
            </w:pPr>
            <w:hyperlink r:id="rId19" w:history="1">
              <w:r w:rsidRPr="004268AF" w:rsidR="00C157CA">
                <w:rPr>
                  <w:rStyle w:val="Hyperlink"/>
                  <w:bCs/>
                  <w:color w:val="0000FF"/>
                  <w:sz w:val="24"/>
                  <w:szCs w:val="24"/>
                </w:rPr>
                <w:t>trhayslaw@gmail.com</w:t>
              </w:r>
            </w:hyperlink>
          </w:p>
          <w:p w:rsidR="00B570E8" w:rsidRPr="004268AF" w:rsidP="004268AF" w14:paraId="3F20320E" w14:textId="77777777">
            <w:pPr>
              <w:pStyle w:val="CommentText"/>
              <w:rPr>
                <w:bCs/>
                <w:color w:val="0000FF"/>
                <w:sz w:val="24"/>
                <w:szCs w:val="24"/>
              </w:rPr>
            </w:pPr>
            <w:hyperlink r:id="rId20" w:history="1">
              <w:r w:rsidRPr="004268AF" w:rsidR="00C157CA">
                <w:rPr>
                  <w:rStyle w:val="Hyperlink"/>
                  <w:bCs/>
                  <w:color w:val="0000FF"/>
                  <w:sz w:val="24"/>
                  <w:szCs w:val="24"/>
                </w:rPr>
                <w:t>leslie.kovacik@toledo.oh.gov</w:t>
              </w:r>
            </w:hyperlink>
          </w:p>
          <w:p w:rsidR="00B570E8" w:rsidRPr="004268AF" w:rsidP="004268AF" w14:paraId="512D1E6C" w14:textId="77777777">
            <w:pPr>
              <w:pStyle w:val="CommentText"/>
              <w:rPr>
                <w:bCs/>
                <w:color w:val="0000FF"/>
                <w:sz w:val="24"/>
                <w:szCs w:val="24"/>
                <w:u w:val="single"/>
              </w:rPr>
            </w:pPr>
            <w:hyperlink r:id="rId21" w:history="1">
              <w:r w:rsidRPr="004268AF" w:rsidR="00C157CA">
                <w:rPr>
                  <w:rStyle w:val="Hyperlink"/>
                  <w:bCs/>
                  <w:color w:val="0000FF"/>
                  <w:sz w:val="24"/>
                  <w:szCs w:val="24"/>
                </w:rPr>
                <w:t>evan.betterton@igs.com</w:t>
              </w:r>
            </w:hyperlink>
          </w:p>
          <w:p w:rsidR="00B570E8" w:rsidRPr="004268AF" w:rsidP="004268AF" w14:paraId="4AF4FF2F" w14:textId="77777777">
            <w:pPr>
              <w:pStyle w:val="CommentText"/>
              <w:rPr>
                <w:bCs/>
                <w:color w:val="0000FF"/>
                <w:sz w:val="24"/>
                <w:szCs w:val="24"/>
              </w:rPr>
            </w:pPr>
            <w:hyperlink r:id="rId22" w:history="1">
              <w:r w:rsidRPr="004268AF" w:rsidR="00C157CA">
                <w:rPr>
                  <w:rStyle w:val="Hyperlink"/>
                  <w:bCs/>
                  <w:color w:val="0000FF"/>
                  <w:sz w:val="24"/>
                  <w:szCs w:val="24"/>
                </w:rPr>
                <w:t>joe.oliker@igs.com</w:t>
              </w:r>
            </w:hyperlink>
          </w:p>
          <w:p w:rsidR="00B570E8" w:rsidRPr="004268AF" w:rsidP="004268AF" w14:paraId="33EE81C5" w14:textId="77777777">
            <w:pPr>
              <w:pStyle w:val="CommentText"/>
              <w:rPr>
                <w:bCs/>
                <w:color w:val="0000FF"/>
                <w:sz w:val="24"/>
                <w:szCs w:val="24"/>
              </w:rPr>
            </w:pPr>
            <w:hyperlink r:id="rId23" w:history="1">
              <w:r w:rsidRPr="004268AF" w:rsidR="00C157CA">
                <w:rPr>
                  <w:rStyle w:val="Hyperlink"/>
                  <w:bCs/>
                  <w:color w:val="0000FF"/>
                  <w:sz w:val="24"/>
                  <w:szCs w:val="24"/>
                </w:rPr>
                <w:t>michael.nugent@igs.com</w:t>
              </w:r>
            </w:hyperlink>
          </w:p>
          <w:p w:rsidR="00B570E8" w:rsidRPr="004268AF" w:rsidP="004268AF" w14:paraId="5FF53848" w14:textId="77777777">
            <w:pPr>
              <w:pStyle w:val="CommentText"/>
              <w:rPr>
                <w:bCs/>
                <w:color w:val="0000FF"/>
                <w:sz w:val="24"/>
                <w:szCs w:val="24"/>
              </w:rPr>
            </w:pPr>
            <w:hyperlink r:id="rId24" w:history="1">
              <w:r w:rsidRPr="004268AF" w:rsidR="00C157CA">
                <w:rPr>
                  <w:rStyle w:val="Hyperlink"/>
                  <w:bCs/>
                  <w:color w:val="0000FF"/>
                  <w:sz w:val="24"/>
                  <w:szCs w:val="24"/>
                </w:rPr>
                <w:t>mkurtz@BKLlawfirm.com</w:t>
              </w:r>
            </w:hyperlink>
          </w:p>
          <w:p w:rsidR="00B570E8" w:rsidRPr="004268AF" w:rsidP="004268AF" w14:paraId="5D7D1A91" w14:textId="77777777">
            <w:pPr>
              <w:pStyle w:val="CommentText"/>
              <w:rPr>
                <w:bCs/>
                <w:color w:val="0000FF"/>
                <w:sz w:val="24"/>
                <w:szCs w:val="24"/>
                <w:u w:val="single"/>
              </w:rPr>
            </w:pPr>
            <w:hyperlink r:id="rId25" w:history="1">
              <w:r w:rsidRPr="004268AF" w:rsidR="00C157CA">
                <w:rPr>
                  <w:rStyle w:val="Hyperlink"/>
                  <w:bCs/>
                  <w:color w:val="0000FF"/>
                  <w:sz w:val="24"/>
                  <w:szCs w:val="24"/>
                </w:rPr>
                <w:t>kboehm@BKLlawfirm.com</w:t>
              </w:r>
            </w:hyperlink>
          </w:p>
          <w:p w:rsidR="00B570E8" w:rsidRPr="004268AF" w:rsidP="004268AF" w14:paraId="2371028C" w14:textId="77777777">
            <w:pPr>
              <w:pStyle w:val="CommentText"/>
              <w:rPr>
                <w:bCs/>
                <w:color w:val="0000FF"/>
                <w:sz w:val="24"/>
                <w:szCs w:val="24"/>
                <w:u w:val="single"/>
              </w:rPr>
            </w:pPr>
            <w:hyperlink r:id="rId26" w:history="1">
              <w:r w:rsidRPr="004268AF" w:rsidR="00C157CA">
                <w:rPr>
                  <w:rStyle w:val="Hyperlink"/>
                  <w:bCs/>
                  <w:color w:val="0000FF"/>
                  <w:sz w:val="24"/>
                  <w:szCs w:val="24"/>
                </w:rPr>
                <w:t>jkylercohn@BKLlawfirm.com</w:t>
              </w:r>
            </w:hyperlink>
          </w:p>
          <w:p w:rsidR="00B570E8" w:rsidRPr="004268AF" w:rsidP="004268AF" w14:paraId="417B6E7B" w14:textId="77777777">
            <w:pPr>
              <w:pStyle w:val="CommentText"/>
              <w:rPr>
                <w:bCs/>
                <w:color w:val="0000FF"/>
                <w:sz w:val="24"/>
                <w:szCs w:val="24"/>
                <w:u w:val="single"/>
              </w:rPr>
            </w:pPr>
          </w:p>
          <w:p w:rsidR="00B570E8" w:rsidRPr="004268AF" w:rsidP="004268AF" w14:paraId="374A324F" w14:textId="77777777">
            <w:pPr>
              <w:pStyle w:val="CommentText"/>
              <w:rPr>
                <w:bCs/>
                <w:color w:val="0000FF"/>
                <w:sz w:val="24"/>
                <w:szCs w:val="24"/>
                <w:u w:val="single"/>
              </w:rPr>
            </w:pPr>
          </w:p>
          <w:p w:rsidR="00B570E8" w:rsidRPr="004268AF" w:rsidP="004268AF" w14:paraId="3478E16F" w14:textId="77777777">
            <w:pPr>
              <w:pStyle w:val="CommentText"/>
              <w:rPr>
                <w:bCs/>
                <w:sz w:val="24"/>
                <w:szCs w:val="24"/>
              </w:rPr>
            </w:pPr>
            <w:r w:rsidRPr="004268AF">
              <w:rPr>
                <w:bCs/>
                <w:sz w:val="24"/>
                <w:szCs w:val="24"/>
              </w:rPr>
              <w:t>Attorney Examiners:</w:t>
            </w:r>
          </w:p>
          <w:p w:rsidR="00B570E8" w:rsidRPr="004268AF" w:rsidP="004268AF" w14:paraId="1C6D25E9" w14:textId="77777777">
            <w:pPr>
              <w:pStyle w:val="CommentText"/>
              <w:rPr>
                <w:bCs/>
                <w:color w:val="0000FF"/>
                <w:sz w:val="24"/>
                <w:szCs w:val="24"/>
                <w:u w:val="single"/>
              </w:rPr>
            </w:pPr>
            <w:hyperlink r:id="rId27" w:history="1">
              <w:r w:rsidRPr="004268AF" w:rsidR="00C157CA">
                <w:rPr>
                  <w:rStyle w:val="Hyperlink"/>
                  <w:color w:val="0000FF"/>
                  <w:sz w:val="24"/>
                  <w:szCs w:val="24"/>
                </w:rPr>
                <w:t>m</w:t>
              </w:r>
              <w:r w:rsidRPr="004268AF" w:rsidR="00C157CA">
                <w:rPr>
                  <w:rStyle w:val="Hyperlink"/>
                  <w:bCs/>
                  <w:color w:val="0000FF"/>
                  <w:sz w:val="24"/>
                  <w:szCs w:val="24"/>
                </w:rPr>
                <w:t>egan.addison@puco.ohio.gov</w:t>
              </w:r>
            </w:hyperlink>
          </w:p>
          <w:p w:rsidR="00B570E8" w:rsidRPr="004268AF" w:rsidP="004268AF" w14:paraId="2254132B" w14:textId="77777777">
            <w:pPr>
              <w:pStyle w:val="CommentText"/>
              <w:rPr>
                <w:bCs/>
                <w:color w:val="0000FF"/>
                <w:sz w:val="24"/>
                <w:szCs w:val="24"/>
              </w:rPr>
            </w:pPr>
            <w:hyperlink r:id="rId28" w:history="1">
              <w:r w:rsidRPr="004268AF" w:rsidR="00C157CA">
                <w:rPr>
                  <w:rStyle w:val="Hyperlink"/>
                  <w:color w:val="0000FF"/>
                  <w:sz w:val="24"/>
                  <w:szCs w:val="24"/>
                </w:rPr>
                <w:t>j</w:t>
              </w:r>
              <w:r w:rsidRPr="004268AF" w:rsidR="00C157CA">
                <w:rPr>
                  <w:rStyle w:val="Hyperlink"/>
                  <w:bCs/>
                  <w:color w:val="0000FF"/>
                  <w:sz w:val="24"/>
                  <w:szCs w:val="24"/>
                </w:rPr>
                <w:t>acqueline.st.john@puco.ohio.gov</w:t>
              </w:r>
            </w:hyperlink>
          </w:p>
        </w:tc>
        <w:tc>
          <w:tcPr>
            <w:tcW w:w="3780" w:type="dxa"/>
            <w:shd w:val="clear" w:color="auto" w:fill="auto"/>
          </w:tcPr>
          <w:p w:rsidR="00B570E8" w:rsidRPr="004268AF" w:rsidP="004268AF" w14:paraId="0E7022F4" w14:textId="77777777">
            <w:pPr>
              <w:pStyle w:val="CommentText"/>
              <w:rPr>
                <w:bCs/>
                <w:color w:val="0000FF"/>
                <w:sz w:val="24"/>
                <w:szCs w:val="24"/>
                <w:u w:val="single"/>
              </w:rPr>
            </w:pPr>
            <w:hyperlink r:id="rId29" w:history="1">
              <w:r w:rsidRPr="004268AF" w:rsidR="00C157CA">
                <w:rPr>
                  <w:rStyle w:val="Hyperlink"/>
                  <w:bCs/>
                  <w:color w:val="0000FF"/>
                  <w:sz w:val="24"/>
                  <w:szCs w:val="24"/>
                </w:rPr>
                <w:t>bknipe@firstenergycorp.com</w:t>
              </w:r>
            </w:hyperlink>
          </w:p>
          <w:p w:rsidR="00B570E8" w:rsidRPr="004268AF" w:rsidP="004268AF" w14:paraId="7EF9A54E" w14:textId="77777777">
            <w:pPr>
              <w:pStyle w:val="CommentText"/>
              <w:rPr>
                <w:bCs/>
                <w:color w:val="0000FF"/>
                <w:sz w:val="24"/>
                <w:szCs w:val="24"/>
              </w:rPr>
            </w:pPr>
            <w:hyperlink r:id="rId30" w:history="1">
              <w:r w:rsidRPr="004268AF" w:rsidR="00C157CA">
                <w:rPr>
                  <w:rStyle w:val="Hyperlink"/>
                  <w:bCs/>
                  <w:color w:val="0000FF"/>
                  <w:sz w:val="24"/>
                  <w:szCs w:val="24"/>
                </w:rPr>
                <w:t>mrgladman@jonesday.com</w:t>
              </w:r>
            </w:hyperlink>
          </w:p>
          <w:p w:rsidR="00B570E8" w:rsidRPr="004268AF" w:rsidP="004268AF" w14:paraId="4A47AA28" w14:textId="77777777">
            <w:pPr>
              <w:pStyle w:val="CommentText"/>
              <w:rPr>
                <w:bCs/>
                <w:color w:val="0000FF"/>
                <w:sz w:val="24"/>
                <w:szCs w:val="24"/>
              </w:rPr>
            </w:pPr>
            <w:hyperlink r:id="rId31" w:history="1">
              <w:r w:rsidRPr="004268AF" w:rsidR="00C157CA">
                <w:rPr>
                  <w:rStyle w:val="Hyperlink"/>
                  <w:bCs/>
                  <w:color w:val="0000FF"/>
                  <w:sz w:val="24"/>
                  <w:szCs w:val="24"/>
                </w:rPr>
                <w:t>mdengler@jonesday.com</w:t>
              </w:r>
            </w:hyperlink>
          </w:p>
          <w:p w:rsidR="00B570E8" w:rsidRPr="004268AF" w:rsidP="004268AF" w14:paraId="3A578E15" w14:textId="77777777">
            <w:pPr>
              <w:pStyle w:val="CommentText"/>
              <w:rPr>
                <w:bCs/>
                <w:color w:val="0000FF"/>
                <w:sz w:val="24"/>
                <w:szCs w:val="24"/>
                <w:u w:val="single"/>
              </w:rPr>
            </w:pPr>
            <w:hyperlink r:id="rId32" w:history="1">
              <w:r w:rsidRPr="004268AF" w:rsidR="00C157CA">
                <w:rPr>
                  <w:rStyle w:val="Hyperlink"/>
                  <w:bCs/>
                  <w:color w:val="0000FF"/>
                  <w:sz w:val="24"/>
                  <w:szCs w:val="24"/>
                </w:rPr>
                <w:t>radoringo@jonesday.com</w:t>
              </w:r>
            </w:hyperlink>
          </w:p>
          <w:p w:rsidR="00B570E8" w:rsidRPr="004268AF" w:rsidP="004268AF" w14:paraId="4BF29565" w14:textId="77777777">
            <w:pPr>
              <w:pStyle w:val="CommentText"/>
              <w:rPr>
                <w:bCs/>
                <w:color w:val="0000FF"/>
                <w:sz w:val="24"/>
                <w:szCs w:val="24"/>
              </w:rPr>
            </w:pPr>
            <w:hyperlink r:id="rId33" w:history="1">
              <w:r w:rsidRPr="004268AF" w:rsidR="00C157CA">
                <w:rPr>
                  <w:rStyle w:val="Hyperlink"/>
                  <w:bCs/>
                  <w:color w:val="0000FF"/>
                  <w:sz w:val="24"/>
                  <w:szCs w:val="24"/>
                </w:rPr>
                <w:t>sgoyal@jonesday.com</w:t>
              </w:r>
            </w:hyperlink>
          </w:p>
          <w:p w:rsidR="00B570E8" w:rsidRPr="004268AF" w:rsidP="004268AF" w14:paraId="345A0E65" w14:textId="77777777">
            <w:pPr>
              <w:pStyle w:val="CommentText"/>
              <w:rPr>
                <w:bCs/>
                <w:color w:val="0000FF"/>
                <w:sz w:val="24"/>
                <w:szCs w:val="24"/>
              </w:rPr>
            </w:pPr>
            <w:hyperlink r:id="rId34" w:history="1">
              <w:r w:rsidRPr="004268AF" w:rsidR="00C157CA">
                <w:rPr>
                  <w:rStyle w:val="Hyperlink"/>
                  <w:bCs/>
                  <w:color w:val="0000FF"/>
                  <w:sz w:val="24"/>
                  <w:szCs w:val="24"/>
                </w:rPr>
                <w:t>dborchers@bricker.com</w:t>
              </w:r>
            </w:hyperlink>
          </w:p>
          <w:p w:rsidR="00B570E8" w:rsidRPr="004268AF" w:rsidP="004268AF" w14:paraId="7DE71633" w14:textId="77777777">
            <w:pPr>
              <w:pStyle w:val="CommentText"/>
              <w:rPr>
                <w:bCs/>
                <w:color w:val="0000FF"/>
                <w:sz w:val="24"/>
                <w:szCs w:val="24"/>
                <w:u w:val="single"/>
              </w:rPr>
            </w:pPr>
            <w:hyperlink r:id="rId35" w:history="1">
              <w:r w:rsidRPr="004268AF" w:rsidR="00C157CA">
                <w:rPr>
                  <w:rStyle w:val="Hyperlink"/>
                  <w:bCs/>
                  <w:color w:val="0000FF"/>
                  <w:sz w:val="24"/>
                  <w:szCs w:val="24"/>
                </w:rPr>
                <w:t>dparram@bricker.com</w:t>
              </w:r>
            </w:hyperlink>
          </w:p>
          <w:p w:rsidR="00B570E8" w:rsidRPr="004268AF" w:rsidP="004268AF" w14:paraId="254B96BE" w14:textId="77777777">
            <w:pPr>
              <w:pStyle w:val="CommentText"/>
              <w:rPr>
                <w:bCs/>
                <w:color w:val="0000FF"/>
                <w:sz w:val="24"/>
                <w:szCs w:val="24"/>
              </w:rPr>
            </w:pPr>
            <w:hyperlink r:id="rId36" w:history="1">
              <w:r w:rsidRPr="004268AF" w:rsidR="00C157CA">
                <w:rPr>
                  <w:rStyle w:val="Hyperlink"/>
                  <w:bCs/>
                  <w:color w:val="0000FF"/>
                  <w:sz w:val="24"/>
                  <w:szCs w:val="24"/>
                </w:rPr>
                <w:t>rmains@bricker.com</w:t>
              </w:r>
            </w:hyperlink>
          </w:p>
          <w:p w:rsidR="00B570E8" w:rsidRPr="004268AF" w:rsidP="004268AF" w14:paraId="5FE2C65F" w14:textId="77777777">
            <w:pPr>
              <w:pStyle w:val="CommentText"/>
              <w:rPr>
                <w:bCs/>
                <w:color w:val="0000FF"/>
                <w:sz w:val="24"/>
                <w:szCs w:val="24"/>
              </w:rPr>
            </w:pPr>
            <w:hyperlink r:id="rId37" w:history="1">
              <w:r w:rsidRPr="004268AF" w:rsidR="00C157CA">
                <w:rPr>
                  <w:rStyle w:val="Hyperlink"/>
                  <w:bCs/>
                  <w:color w:val="0000FF"/>
                  <w:sz w:val="24"/>
                  <w:szCs w:val="24"/>
                </w:rPr>
                <w:t>ctavenor@theOEC.org</w:t>
              </w:r>
            </w:hyperlink>
          </w:p>
          <w:p w:rsidR="00B570E8" w:rsidRPr="004268AF" w:rsidP="004268AF" w14:paraId="19E11211" w14:textId="77777777">
            <w:pPr>
              <w:pStyle w:val="CommentText"/>
              <w:rPr>
                <w:bCs/>
                <w:color w:val="0000FF"/>
                <w:sz w:val="24"/>
                <w:szCs w:val="24"/>
                <w:u w:val="single"/>
              </w:rPr>
            </w:pPr>
            <w:hyperlink r:id="rId38" w:history="1">
              <w:r w:rsidRPr="004268AF" w:rsidR="00C157CA">
                <w:rPr>
                  <w:rStyle w:val="Hyperlink"/>
                  <w:bCs/>
                  <w:color w:val="0000FF"/>
                  <w:sz w:val="24"/>
                  <w:szCs w:val="24"/>
                </w:rPr>
                <w:t>rdove@keglerbrown.com</w:t>
              </w:r>
            </w:hyperlink>
          </w:p>
          <w:p w:rsidR="00B570E8" w:rsidRPr="004268AF" w:rsidP="004268AF" w14:paraId="6A7ECAB3" w14:textId="77777777">
            <w:pPr>
              <w:pStyle w:val="CommentText"/>
              <w:rPr>
                <w:bCs/>
                <w:color w:val="0000FF"/>
                <w:sz w:val="24"/>
                <w:szCs w:val="24"/>
                <w:u w:val="single"/>
              </w:rPr>
            </w:pPr>
            <w:hyperlink r:id="rId39" w:history="1">
              <w:r w:rsidRPr="004268AF" w:rsidR="00C157CA">
                <w:rPr>
                  <w:rStyle w:val="Hyperlink"/>
                  <w:bCs/>
                  <w:color w:val="0000FF"/>
                  <w:sz w:val="24"/>
                  <w:szCs w:val="24"/>
                </w:rPr>
                <w:t>mpritchard@mcneeslaw.com</w:t>
              </w:r>
            </w:hyperlink>
          </w:p>
          <w:p w:rsidR="00B570E8" w:rsidRPr="004268AF" w:rsidP="004268AF" w14:paraId="1D331B88" w14:textId="77777777">
            <w:pPr>
              <w:pStyle w:val="CommentText"/>
              <w:rPr>
                <w:bCs/>
                <w:color w:val="0000FF"/>
                <w:sz w:val="24"/>
                <w:szCs w:val="24"/>
                <w:u w:val="single"/>
              </w:rPr>
            </w:pPr>
            <w:hyperlink r:id="rId40" w:history="1">
              <w:r w:rsidRPr="004268AF" w:rsidR="00C157CA">
                <w:rPr>
                  <w:rStyle w:val="Hyperlink"/>
                  <w:bCs/>
                  <w:color w:val="0000FF"/>
                  <w:sz w:val="24"/>
                  <w:szCs w:val="24"/>
                </w:rPr>
                <w:t>bmckenney@mcneeslaw.com</w:t>
              </w:r>
            </w:hyperlink>
          </w:p>
          <w:p w:rsidR="00B570E8" w:rsidRPr="004268AF" w:rsidP="004268AF" w14:paraId="4CB3F677" w14:textId="77777777">
            <w:pPr>
              <w:pStyle w:val="CommentText"/>
              <w:rPr>
                <w:bCs/>
                <w:color w:val="0000FF"/>
                <w:sz w:val="24"/>
                <w:szCs w:val="24"/>
              </w:rPr>
            </w:pPr>
            <w:hyperlink r:id="rId41" w:history="1">
              <w:r w:rsidRPr="004268AF" w:rsidR="00C157CA">
                <w:rPr>
                  <w:rStyle w:val="Hyperlink"/>
                  <w:bCs/>
                  <w:color w:val="0000FF"/>
                  <w:sz w:val="24"/>
                  <w:szCs w:val="24"/>
                </w:rPr>
                <w:t>Bojko@carpenterlipps.com</w:t>
              </w:r>
            </w:hyperlink>
          </w:p>
          <w:p w:rsidR="00B570E8" w:rsidRPr="004268AF" w:rsidP="004268AF" w14:paraId="2F0306B4" w14:textId="77777777">
            <w:pPr>
              <w:pStyle w:val="CommentText"/>
              <w:rPr>
                <w:rStyle w:val="Hyperlink"/>
                <w:bCs/>
                <w:color w:val="0000FF"/>
                <w:sz w:val="24"/>
                <w:szCs w:val="24"/>
              </w:rPr>
            </w:pPr>
            <w:hyperlink r:id="rId42" w:history="1">
              <w:r w:rsidRPr="004268AF" w:rsidR="00C157CA">
                <w:rPr>
                  <w:rStyle w:val="Hyperlink"/>
                  <w:bCs/>
                  <w:color w:val="0000FF"/>
                  <w:sz w:val="24"/>
                  <w:szCs w:val="24"/>
                </w:rPr>
                <w:t>Donadio@carpenterlipps.com</w:t>
              </w:r>
            </w:hyperlink>
          </w:p>
          <w:p w:rsidR="00B570E8" w:rsidRPr="004268AF" w:rsidP="004268AF" w14:paraId="2224E835" w14:textId="77777777">
            <w:pPr>
              <w:pStyle w:val="CommentText"/>
              <w:rPr>
                <w:bCs/>
                <w:color w:val="0000FF"/>
                <w:sz w:val="24"/>
                <w:szCs w:val="24"/>
                <w:u w:val="single"/>
              </w:rPr>
            </w:pPr>
            <w:hyperlink r:id="rId43" w:history="1">
              <w:r w:rsidRPr="004268AF" w:rsidR="00C157CA">
                <w:rPr>
                  <w:rStyle w:val="Hyperlink"/>
                  <w:bCs/>
                  <w:color w:val="0000FF"/>
                  <w:sz w:val="24"/>
                  <w:szCs w:val="24"/>
                </w:rPr>
                <w:t>mwise@mcdonaldhopkins.com</w:t>
              </w:r>
            </w:hyperlink>
          </w:p>
          <w:p w:rsidR="00B570E8" w:rsidRPr="004268AF" w:rsidP="004268AF" w14:paraId="7CECF14C" w14:textId="77777777">
            <w:pPr>
              <w:pStyle w:val="CommentText"/>
              <w:rPr>
                <w:bCs/>
                <w:color w:val="0000FF"/>
                <w:sz w:val="24"/>
                <w:szCs w:val="24"/>
                <w:u w:val="single"/>
              </w:rPr>
            </w:pPr>
            <w:hyperlink r:id="rId44" w:history="1">
              <w:r w:rsidRPr="004268AF" w:rsidR="00C157CA">
                <w:rPr>
                  <w:rStyle w:val="Hyperlink"/>
                  <w:bCs/>
                  <w:color w:val="0000FF"/>
                  <w:sz w:val="24"/>
                  <w:szCs w:val="24"/>
                </w:rPr>
                <w:t>trent@hubaydougherty.com</w:t>
              </w:r>
            </w:hyperlink>
          </w:p>
        </w:tc>
      </w:tr>
    </w:tbl>
    <w:p w:rsidR="00F90850" w:rsidRPr="004268AF" w:rsidP="004268AF" w14:paraId="0E72416A" w14:textId="77777777">
      <w:pPr>
        <w:spacing w:before="201"/>
        <w:rPr>
          <w:b/>
          <w:color w:val="221F1F"/>
          <w:u w:val="thick" w:color="221F1F"/>
        </w:rPr>
      </w:pPr>
    </w:p>
    <w:sectPr w:rsidSect="00F90850">
      <w:pgSz w:w="12240" w:h="15840"/>
      <w:pgMar w:top="1440" w:right="1800" w:bottom="1440" w:left="1800" w:header="0" w:footer="757"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A59" w14:paraId="0E0281EF" w14:textId="77777777">
    <w:pPr>
      <w:pStyle w:val="Footer"/>
    </w:pPr>
  </w:p>
  <w:p w:rsidR="003A6A59" w14:paraId="113F5B9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911702"/>
      <w:docPartObj>
        <w:docPartGallery w:val="Page Numbers (Bottom of Page)"/>
        <w:docPartUnique/>
      </w:docPartObj>
    </w:sdtPr>
    <w:sdtEndPr>
      <w:rPr>
        <w:noProof/>
      </w:rPr>
    </w:sdtEndPr>
    <w:sdtContent>
      <w:p w:rsidR="003A6A59" w14:paraId="07F95BA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590685"/>
      <w:docPartObj>
        <w:docPartGallery w:val="Page Numbers (Bottom of Page)"/>
        <w:docPartUnique/>
      </w:docPartObj>
    </w:sdtPr>
    <w:sdtEndPr>
      <w:rPr>
        <w:noProof/>
      </w:rPr>
    </w:sdtEndPr>
    <w:sdtContent>
      <w:p w:rsidR="003A6A59" w14:paraId="5554C189" w14:textId="7BDB3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3325" w:rsidP="00E46E42" w14:paraId="6008AE17" w14:textId="77777777">
      <w:r>
        <w:separator/>
      </w:r>
    </w:p>
  </w:footnote>
  <w:footnote w:type="continuationSeparator" w:id="1">
    <w:p w:rsidR="00653325" w:rsidP="00E46E42" w14:paraId="7CAE2869" w14:textId="77777777">
      <w:r>
        <w:continuationSeparator/>
      </w:r>
    </w:p>
  </w:footnote>
  <w:footnote w:id="2">
    <w:p w:rsidR="003A6A59" w:rsidP="00E03E71" w14:paraId="0FF318D0" w14:textId="118B7864">
      <w:pPr>
        <w:pStyle w:val="FootnoteText"/>
        <w:spacing w:after="120"/>
      </w:pPr>
      <w:r>
        <w:rPr>
          <w:rStyle w:val="FootnoteReference"/>
        </w:rPr>
        <w:footnoteRef/>
      </w:r>
      <w:r>
        <w:t xml:space="preserve"> Transcript of Prehearing Conference on Mar</w:t>
      </w:r>
      <w:r w:rsidR="00EE557F">
        <w:t>.</w:t>
      </w:r>
      <w:r>
        <w:t xml:space="preserve"> 11, 2022 </w:t>
      </w:r>
      <w:r w:rsidRPr="00F1044F">
        <w:t>a</w:t>
      </w:r>
      <w:r w:rsidRPr="000D171F">
        <w:t>t</w:t>
      </w:r>
      <w:r>
        <w:t xml:space="preserve"> </w:t>
      </w:r>
      <w:r w:rsidRPr="00F1044F">
        <w:t>58</w:t>
      </w:r>
      <w:r>
        <w:t>.</w:t>
      </w:r>
    </w:p>
  </w:footnote>
  <w:footnote w:id="3">
    <w:p w:rsidR="003A6A59" w:rsidP="00E03E71" w14:paraId="4D04A29D" w14:textId="77777777">
      <w:pPr>
        <w:pStyle w:val="FootnoteText"/>
        <w:spacing w:after="120"/>
      </w:pPr>
      <w:r>
        <w:rPr>
          <w:rStyle w:val="FootnoteReference"/>
        </w:rPr>
        <w:footnoteRef/>
      </w:r>
      <w:r>
        <w:t xml:space="preserve"> FERC Audit Report at 48 (Feb. 4, 2022), Docket No. FA19-1-000 (emphasis added).</w:t>
      </w:r>
    </w:p>
  </w:footnote>
  <w:footnote w:id="4">
    <w:p w:rsidR="003A6A59" w:rsidP="00E03E71" w14:paraId="16A8B3A3" w14:textId="3D84273F">
      <w:pPr>
        <w:pStyle w:val="FootnoteText"/>
        <w:spacing w:after="120"/>
      </w:pPr>
      <w:r>
        <w:rPr>
          <w:rStyle w:val="FootnoteReference"/>
        </w:rPr>
        <w:footnoteRef/>
      </w:r>
      <w:r>
        <w:t xml:space="preserve"> Harper’s Weekly, Volume 58, Number 2974, What Publicity Can Do by Louis D. Brandeis, Start Page 10, Quote Page 10, The McClure Publications, New York (Dec. 20, 2013).</w:t>
      </w:r>
    </w:p>
  </w:footnote>
  <w:footnote w:id="5">
    <w:p w:rsidR="003A6A59" w:rsidP="00E03E71" w14:paraId="03DE8A76" w14:textId="0446B8B2">
      <w:pPr>
        <w:pStyle w:val="FootnoteText"/>
        <w:spacing w:after="120"/>
      </w:pPr>
      <w:r>
        <w:rPr>
          <w:rStyle w:val="FootnoteReference"/>
        </w:rPr>
        <w:footnoteRef/>
      </w:r>
      <w:r>
        <w:t xml:space="preserve"> OCC’s Fifth Set of Discovery was served on Feb</w:t>
      </w:r>
      <w:r w:rsidR="00B26854">
        <w:t>.</w:t>
      </w:r>
      <w:r>
        <w:t xml:space="preserve"> 19, 2021; OCC’s Seventh Set of Discovery was served on Apr. 2, 2021. </w:t>
      </w:r>
    </w:p>
  </w:footnote>
  <w:footnote w:id="6">
    <w:p w:rsidR="003A6A59" w:rsidP="00E03E71" w14:paraId="193D2053" w14:textId="740820E9">
      <w:pPr>
        <w:pStyle w:val="FootnoteText"/>
        <w:spacing w:after="120"/>
      </w:pPr>
      <w:r>
        <w:rPr>
          <w:rStyle w:val="FootnoteReference"/>
        </w:rPr>
        <w:footnoteRef/>
      </w:r>
      <w:r>
        <w:t xml:space="preserve"> OCC Motions to Compel (Jun. 29, 2021). </w:t>
      </w:r>
    </w:p>
  </w:footnote>
  <w:footnote w:id="7">
    <w:p w:rsidR="003A6A59" w:rsidP="00E03E71" w14:paraId="6E33D281" w14:textId="76E379C3">
      <w:pPr>
        <w:pStyle w:val="FootnoteText"/>
        <w:spacing w:after="120"/>
      </w:pPr>
      <w:r>
        <w:rPr>
          <w:rStyle w:val="FootnoteReference"/>
        </w:rPr>
        <w:footnoteRef/>
      </w:r>
      <w:r>
        <w:t xml:space="preserve"> Tr. 16 (Aug. 31, 2021); </w:t>
      </w:r>
      <w:r w:rsidRPr="00F87488">
        <w:rPr>
          <w:i/>
          <w:iCs/>
        </w:rPr>
        <w:t>see also</w:t>
      </w:r>
      <w:r>
        <w:t xml:space="preserve"> OCC Motion to </w:t>
      </w:r>
      <w:r w:rsidRPr="009D083A">
        <w:t>Compel at 17.</w:t>
      </w:r>
      <w:r>
        <w:t xml:space="preserve"> </w:t>
      </w:r>
    </w:p>
  </w:footnote>
  <w:footnote w:id="8">
    <w:p w:rsidR="003A6A59" w:rsidP="00E03E71" w14:paraId="3EF3FE6B" w14:textId="2FA44606">
      <w:pPr>
        <w:pStyle w:val="FootnoteText"/>
        <w:spacing w:after="120"/>
      </w:pPr>
      <w:r>
        <w:rPr>
          <w:rStyle w:val="FootnoteReference"/>
        </w:rPr>
        <w:footnoteRef/>
      </w:r>
      <w:r>
        <w:t xml:space="preserve"> Tr. 18; 36-37 (Aug. 31, 2021) (emphasis added). </w:t>
      </w:r>
    </w:p>
  </w:footnote>
  <w:footnote w:id="9">
    <w:p w:rsidR="003A6A59" w:rsidP="00E03E71" w14:paraId="542F79FF" w14:textId="77777777">
      <w:pPr>
        <w:pStyle w:val="FootnoteText"/>
        <w:spacing w:after="120"/>
      </w:pPr>
      <w:r>
        <w:rPr>
          <w:rStyle w:val="FootnoteReference"/>
        </w:rPr>
        <w:footnoteRef/>
      </w:r>
      <w:r>
        <w:t xml:space="preserve"> FERC Audit Report at 48 (Feb. 4, 2022), Docket No. FA19-1-000 (emphasis added).</w:t>
      </w:r>
    </w:p>
  </w:footnote>
  <w:footnote w:id="10">
    <w:p w:rsidR="003A6A59" w:rsidP="00E03E71" w14:paraId="03104972" w14:textId="38E3A691">
      <w:pPr>
        <w:pStyle w:val="FootnoteText"/>
        <w:spacing w:after="120"/>
      </w:pPr>
      <w:r>
        <w:rPr>
          <w:rStyle w:val="FootnoteReference"/>
        </w:rPr>
        <w:footnoteRef/>
      </w:r>
      <w:r>
        <w:t xml:space="preserve"> Correspondence by Office of the Ohio Consumers’ Counsel (Feb. 7, 2022).</w:t>
      </w:r>
    </w:p>
  </w:footnote>
  <w:footnote w:id="11">
    <w:p w:rsidR="003A6A59" w:rsidP="00E03E71" w14:paraId="5B17B443" w14:textId="0FC31612">
      <w:pPr>
        <w:pStyle w:val="FootnoteText"/>
        <w:spacing w:after="120"/>
      </w:pPr>
      <w:r>
        <w:rPr>
          <w:rStyle w:val="FootnoteReference"/>
        </w:rPr>
        <w:footnoteRef/>
      </w:r>
      <w:r>
        <w:t xml:space="preserve"> Tr. 9, lines 11-15 (Feb. 10, 2022). </w:t>
      </w:r>
    </w:p>
  </w:footnote>
  <w:footnote w:id="12">
    <w:p w:rsidR="003A6A59" w:rsidRPr="001A5AD3" w:rsidP="00E03E71" w14:paraId="1798FABC" w14:textId="00677200">
      <w:pPr>
        <w:pStyle w:val="FootnoteText"/>
        <w:spacing w:after="120"/>
      </w:pPr>
      <w:r>
        <w:rPr>
          <w:rStyle w:val="FootnoteReference"/>
        </w:rPr>
        <w:footnoteRef/>
      </w:r>
      <w:r>
        <w:t xml:space="preserve"> </w:t>
      </w:r>
      <w:r>
        <w:rPr>
          <w:i/>
          <w:iCs/>
        </w:rPr>
        <w:t xml:space="preserve">See Id. </w:t>
      </w:r>
      <w:r>
        <w:t>at 10, 23.</w:t>
      </w:r>
    </w:p>
  </w:footnote>
  <w:footnote w:id="13">
    <w:p w:rsidR="003A6A59" w:rsidRPr="001A5AD3" w:rsidP="00E03E71" w14:paraId="5040D18F" w14:textId="4BC1820D">
      <w:pPr>
        <w:pStyle w:val="FootnoteText"/>
        <w:spacing w:after="120"/>
      </w:pPr>
      <w:r>
        <w:rPr>
          <w:rStyle w:val="FootnoteReference"/>
        </w:rPr>
        <w:footnoteRef/>
      </w:r>
      <w:r>
        <w:t xml:space="preserve"> </w:t>
      </w:r>
      <w:r>
        <w:rPr>
          <w:i/>
          <w:iCs/>
        </w:rPr>
        <w:t xml:space="preserve">Id. </w:t>
      </w:r>
      <w:r>
        <w:t>at 14.</w:t>
      </w:r>
    </w:p>
  </w:footnote>
  <w:footnote w:id="14">
    <w:p w:rsidR="003A6A59" w:rsidRPr="005D1EFB" w:rsidP="00E03E71" w14:paraId="3069B946" w14:textId="77777777">
      <w:pPr>
        <w:pStyle w:val="FootnoteText"/>
        <w:spacing w:after="120"/>
        <w:rPr>
          <w:i/>
          <w:iCs/>
        </w:rPr>
      </w:pPr>
      <w:r>
        <w:rPr>
          <w:rStyle w:val="FootnoteReference"/>
        </w:rPr>
        <w:footnoteRef/>
      </w:r>
      <w:r>
        <w:t xml:space="preserve"> </w:t>
      </w:r>
      <w:r>
        <w:rPr>
          <w:i/>
          <w:iCs/>
        </w:rPr>
        <w:t>Id.</w:t>
      </w:r>
    </w:p>
  </w:footnote>
  <w:footnote w:id="15">
    <w:p w:rsidR="003A6A59" w:rsidP="00E03E71" w14:paraId="5A3355C9" w14:textId="67CDF614">
      <w:pPr>
        <w:pStyle w:val="FootnoteText"/>
        <w:spacing w:after="120"/>
      </w:pPr>
      <w:r>
        <w:rPr>
          <w:rStyle w:val="FootnoteReference"/>
        </w:rPr>
        <w:footnoteRef/>
      </w:r>
      <w:r>
        <w:t xml:space="preserve"> Transcript of Prehearing Conference on March 11, </w:t>
      </w:r>
      <w:r w:rsidRPr="00F1044F">
        <w:t>2022 a</w:t>
      </w:r>
      <w:r w:rsidRPr="000D171F">
        <w:t>t</w:t>
      </w:r>
      <w:r w:rsidR="00EC2A92">
        <w:t xml:space="preserve"> </w:t>
      </w:r>
      <w:r w:rsidRPr="00F1044F">
        <w:t>58.</w:t>
      </w:r>
    </w:p>
  </w:footnote>
  <w:footnote w:id="16">
    <w:p w:rsidR="003A6A59" w:rsidP="00E03E71" w14:paraId="7E6ED5E2" w14:textId="77777777">
      <w:pPr>
        <w:pStyle w:val="FootnoteText"/>
        <w:spacing w:after="120"/>
      </w:pPr>
      <w:r>
        <w:rPr>
          <w:rStyle w:val="FootnoteReference"/>
        </w:rPr>
        <w:footnoteRef/>
      </w:r>
      <w:r>
        <w:t xml:space="preserve"> Interlocutory Appeal Concerning Discovery of Non-Public Audit Materials Produced to the Federal Energy Regulatory Commission (Mar. 16, 2022).</w:t>
      </w:r>
    </w:p>
  </w:footnote>
  <w:footnote w:id="17">
    <w:p w:rsidR="003A6A59" w:rsidP="00E03E71" w14:paraId="3FBB497B" w14:textId="77777777">
      <w:pPr>
        <w:pStyle w:val="FootnoteText"/>
        <w:spacing w:after="120"/>
      </w:pPr>
      <w:r>
        <w:rPr>
          <w:rStyle w:val="FootnoteReference"/>
        </w:rPr>
        <w:footnoteRef/>
      </w:r>
      <w:r>
        <w:t xml:space="preserve"> O.A.C. 4901-1-15(B).</w:t>
      </w:r>
    </w:p>
  </w:footnote>
  <w:footnote w:id="18">
    <w:p w:rsidR="003A6A59" w:rsidRPr="0072490E" w:rsidP="00E03E71" w14:paraId="0CF9F6A5" w14:textId="77777777">
      <w:pPr>
        <w:pStyle w:val="FootnoteText"/>
        <w:spacing w:after="120"/>
      </w:pPr>
      <w:r>
        <w:rPr>
          <w:rStyle w:val="FootnoteReference"/>
        </w:rPr>
        <w:footnoteRef/>
      </w:r>
      <w:r>
        <w:t xml:space="preserve"> </w:t>
      </w:r>
      <w:r>
        <w:rPr>
          <w:i/>
          <w:iCs/>
        </w:rPr>
        <w:t xml:space="preserve">See </w:t>
      </w:r>
      <w:r w:rsidRPr="0072490E">
        <w:t>OCC Motions to Compel, attachments (Jun</w:t>
      </w:r>
      <w:r>
        <w:t>.</w:t>
      </w:r>
      <w:r w:rsidRPr="0072490E">
        <w:t xml:space="preserve"> 29, 2021). </w:t>
      </w:r>
    </w:p>
  </w:footnote>
  <w:footnote w:id="19">
    <w:p w:rsidR="003A6A59" w:rsidRPr="00531044" w:rsidP="00E03E71" w14:paraId="6C77C652" w14:textId="77777777">
      <w:pPr>
        <w:pStyle w:val="FootnoteText"/>
        <w:spacing w:after="120"/>
      </w:pPr>
      <w:r w:rsidRPr="00531044">
        <w:rPr>
          <w:rStyle w:val="FootnoteReference"/>
        </w:rPr>
        <w:footnoteRef/>
      </w:r>
      <w:r w:rsidRPr="00531044">
        <w:t xml:space="preserve"> OCC researched this topic and was unable to find related case law that establishes the non-disclosure requirements of 16 U.S.C. 825 and 42 U.S.C. 16452 as applicable to public utilities. OCC conveyed this to the FirstEnergy Utilities during its discussion of this issue at the meet and confer on the 6</w:t>
      </w:r>
      <w:r w:rsidRPr="00531044">
        <w:rPr>
          <w:vertAlign w:val="superscript"/>
        </w:rPr>
        <w:t>th</w:t>
      </w:r>
      <w:r w:rsidRPr="00531044">
        <w:t xml:space="preserve"> set of discovery. OCC invited the Utilities to provide authority to support their contention that the non-disclosure requirements of these laws apply to the utilities. </w:t>
      </w:r>
      <w:r w:rsidRPr="009364D6">
        <w:rPr>
          <w:b/>
          <w:bCs/>
          <w:i/>
          <w:iCs/>
        </w:rPr>
        <w:t xml:space="preserve">They were unable and/or unwilling to do so. </w:t>
      </w:r>
    </w:p>
  </w:footnote>
  <w:footnote w:id="20">
    <w:p w:rsidR="003A6A59" w:rsidP="00E03E71" w14:paraId="23B018C5" w14:textId="4666BD55">
      <w:pPr>
        <w:pStyle w:val="FootnoteText"/>
        <w:spacing w:after="120"/>
      </w:pPr>
      <w:r>
        <w:rPr>
          <w:rStyle w:val="FootnoteReference"/>
        </w:rPr>
        <w:footnoteRef/>
      </w:r>
      <w:r w:rsidR="00092CBB">
        <w:t xml:space="preserve"> </w:t>
      </w:r>
      <w:r w:rsidR="00751640">
        <w:t xml:space="preserve">FirstEnergy </w:t>
      </w:r>
      <w:r w:rsidRPr="00DF6D5B" w:rsidR="00DF6D5B">
        <w:t>Utilities Interlocutory</w:t>
      </w:r>
      <w:r w:rsidRPr="00DF6D5B" w:rsidR="002B0EDA">
        <w:t xml:space="preserve"> Appeal at 6-7, 14-18.</w:t>
      </w:r>
    </w:p>
  </w:footnote>
  <w:footnote w:id="21">
    <w:p w:rsidR="003A6A59" w:rsidRPr="001049DE" w:rsidP="00E03E71" w14:paraId="370704CA" w14:textId="77777777">
      <w:pPr>
        <w:spacing w:after="120"/>
        <w:rPr>
          <w:sz w:val="20"/>
          <w:szCs w:val="20"/>
        </w:rPr>
      </w:pPr>
      <w:r w:rsidRPr="001049DE">
        <w:rPr>
          <w:rStyle w:val="FootnoteReference"/>
          <w:rFonts w:eastAsiaTheme="majorEastAsia"/>
          <w:sz w:val="20"/>
          <w:szCs w:val="20"/>
        </w:rPr>
        <w:footnoteRef/>
      </w:r>
      <w:r w:rsidRPr="001049DE">
        <w:rPr>
          <w:sz w:val="20"/>
          <w:szCs w:val="20"/>
        </w:rPr>
        <w:t xml:space="preserve"> </w:t>
      </w:r>
      <w:r w:rsidRPr="001049DE">
        <w:rPr>
          <w:i/>
          <w:sz w:val="20"/>
          <w:szCs w:val="20"/>
        </w:rPr>
        <w:t>In the Matter of the Investigation into the Perry Nuclear Power Plant</w:t>
      </w:r>
      <w:r w:rsidRPr="001049DE">
        <w:rPr>
          <w:sz w:val="20"/>
          <w:szCs w:val="20"/>
        </w:rPr>
        <w:t>, Case No. 85-521-EL-COI, Entry at 23 (Mar. 17, 1987).</w:t>
      </w:r>
    </w:p>
  </w:footnote>
  <w:footnote w:id="22">
    <w:p w:rsidR="003A6A59" w:rsidRPr="001049DE" w:rsidP="00E03E71" w14:paraId="234F91BA" w14:textId="438700FB">
      <w:pPr>
        <w:spacing w:after="120"/>
        <w:rPr>
          <w:sz w:val="20"/>
          <w:szCs w:val="20"/>
        </w:rPr>
      </w:pPr>
      <w:r w:rsidRPr="001049DE">
        <w:rPr>
          <w:rStyle w:val="FootnoteReference"/>
          <w:rFonts w:eastAsiaTheme="majorEastAsia"/>
          <w:sz w:val="20"/>
          <w:szCs w:val="20"/>
        </w:rPr>
        <w:footnoteRef/>
      </w:r>
      <w:r w:rsidRPr="001049DE">
        <w:rPr>
          <w:sz w:val="20"/>
          <w:szCs w:val="20"/>
        </w:rPr>
        <w:t xml:space="preserve"> </w:t>
      </w:r>
      <w:r w:rsidRPr="001049DE">
        <w:rPr>
          <w:i/>
          <w:sz w:val="20"/>
          <w:szCs w:val="20"/>
        </w:rPr>
        <w:t>Id.</w:t>
      </w:r>
      <w:r w:rsidRPr="001049DE">
        <w:rPr>
          <w:sz w:val="20"/>
          <w:szCs w:val="20"/>
        </w:rPr>
        <w:t>, citing</w:t>
      </w:r>
      <w:r w:rsidRPr="001049DE">
        <w:rPr>
          <w:i/>
          <w:sz w:val="20"/>
          <w:szCs w:val="20"/>
        </w:rPr>
        <w:t xml:space="preserve"> Penn Central Transportation Co. v. Armco Steel Corp</w:t>
      </w:r>
      <w:r w:rsidRPr="001049DE">
        <w:rPr>
          <w:sz w:val="20"/>
          <w:szCs w:val="20"/>
        </w:rPr>
        <w:t>. (C.P. 1971), 27 Ohio Misc. 76</w:t>
      </w:r>
      <w:r w:rsidR="00E03E71">
        <w:rPr>
          <w:sz w:val="20"/>
          <w:szCs w:val="20"/>
        </w:rPr>
        <w:t xml:space="preserve"> </w:t>
      </w:r>
      <w:r w:rsidRPr="001049DE">
        <w:rPr>
          <w:sz w:val="20"/>
          <w:szCs w:val="20"/>
        </w:rPr>
        <w:t>(emphasis added).</w:t>
      </w:r>
      <w:r w:rsidR="00E03E71">
        <w:rPr>
          <w:sz w:val="20"/>
          <w:szCs w:val="20"/>
        </w:rPr>
        <w:t xml:space="preserve"> </w:t>
      </w:r>
    </w:p>
  </w:footnote>
  <w:footnote w:id="23">
    <w:p w:rsidR="003A6A59" w:rsidRPr="001049DE" w:rsidP="00E03E71" w14:paraId="3E9645F7" w14:textId="77777777">
      <w:pPr>
        <w:pStyle w:val="FootnoteText"/>
        <w:spacing w:after="120"/>
      </w:pPr>
      <w:r w:rsidRPr="001049DE">
        <w:rPr>
          <w:rStyle w:val="FootnoteReference"/>
          <w:rFonts w:eastAsiaTheme="majorEastAsia"/>
        </w:rPr>
        <w:footnoteRef/>
      </w:r>
      <w:r w:rsidRPr="001049DE">
        <w:t xml:space="preserve"> Ohio Admin. Code 4901-1-16(A).</w:t>
      </w:r>
    </w:p>
  </w:footnote>
  <w:footnote w:id="24">
    <w:p w:rsidR="003A6A59" w:rsidRPr="001049DE" w:rsidP="00E03E71" w14:paraId="5FE5E2B8" w14:textId="77777777">
      <w:pPr>
        <w:spacing w:after="120"/>
        <w:rPr>
          <w:sz w:val="20"/>
          <w:szCs w:val="20"/>
        </w:rPr>
      </w:pPr>
      <w:r w:rsidRPr="001049DE">
        <w:rPr>
          <w:rStyle w:val="FootnoteReference"/>
          <w:rFonts w:eastAsiaTheme="majorEastAsia"/>
          <w:sz w:val="20"/>
          <w:szCs w:val="20"/>
        </w:rPr>
        <w:footnoteRef/>
      </w:r>
      <w:r w:rsidRPr="001049DE">
        <w:rPr>
          <w:sz w:val="20"/>
          <w:szCs w:val="20"/>
        </w:rPr>
        <w:t xml:space="preserve"> </w:t>
      </w:r>
      <w:r w:rsidRPr="001049DE">
        <w:rPr>
          <w:i/>
          <w:sz w:val="20"/>
          <w:szCs w:val="20"/>
        </w:rPr>
        <w:t>Ohio Consumers’ Counsel v. Pub. Util. Comm</w:t>
      </w:r>
      <w:r w:rsidRPr="001049DE">
        <w:rPr>
          <w:sz w:val="20"/>
          <w:szCs w:val="20"/>
        </w:rPr>
        <w:t xml:space="preserve">., 111 Ohio St.3d 300, 2006-Ohio-5789, citing to </w:t>
      </w:r>
      <w:r w:rsidRPr="001049DE">
        <w:rPr>
          <w:i/>
          <w:sz w:val="20"/>
          <w:szCs w:val="20"/>
        </w:rPr>
        <w:t>Moskovitz v. Mt. Sinai Med. Ctr.</w:t>
      </w:r>
      <w:r w:rsidRPr="001049DE">
        <w:rPr>
          <w:sz w:val="20"/>
          <w:szCs w:val="20"/>
        </w:rPr>
        <w:t xml:space="preserve"> (1994), 69 Ohio St.3d 638, 661 and </w:t>
      </w:r>
      <w:r w:rsidRPr="001049DE">
        <w:rPr>
          <w:i/>
          <w:sz w:val="20"/>
          <w:szCs w:val="20"/>
        </w:rPr>
        <w:t>Disciplinary Counsel v. O’Neill</w:t>
      </w:r>
      <w:r w:rsidRPr="001049DE">
        <w:rPr>
          <w:sz w:val="20"/>
          <w:szCs w:val="20"/>
        </w:rPr>
        <w:t xml:space="preserve"> (1996), 75 Ohio St.3d 1479. </w:t>
      </w:r>
    </w:p>
  </w:footnote>
  <w:footnote w:id="25">
    <w:p w:rsidR="003A6A59" w:rsidRPr="001049DE" w:rsidP="00E03E71" w14:paraId="11379599" w14:textId="77777777">
      <w:pPr>
        <w:spacing w:after="120"/>
        <w:rPr>
          <w:sz w:val="20"/>
          <w:szCs w:val="20"/>
        </w:rPr>
      </w:pPr>
      <w:r w:rsidRPr="001049DE">
        <w:rPr>
          <w:rStyle w:val="FootnoteReference"/>
          <w:rFonts w:eastAsiaTheme="majorEastAsia"/>
          <w:sz w:val="20"/>
          <w:szCs w:val="20"/>
        </w:rPr>
        <w:footnoteRef/>
      </w:r>
      <w:r w:rsidRPr="001049DE">
        <w:rPr>
          <w:sz w:val="20"/>
          <w:szCs w:val="20"/>
        </w:rPr>
        <w:t xml:space="preserve"> </w:t>
      </w:r>
      <w:r w:rsidRPr="001049DE">
        <w:rPr>
          <w:i/>
          <w:sz w:val="20"/>
          <w:szCs w:val="20"/>
        </w:rPr>
        <w:t>OCC v. PUC</w:t>
      </w:r>
      <w:r w:rsidRPr="001049DE">
        <w:rPr>
          <w:sz w:val="20"/>
          <w:szCs w:val="20"/>
        </w:rPr>
        <w:t xml:space="preserve">, 111 Ohio St.3d 300, 2006-Ohio-5789, 856 N.E.2d 213. </w:t>
      </w:r>
    </w:p>
  </w:footnote>
  <w:footnote w:id="26">
    <w:p w:rsidR="003A6A59" w:rsidRPr="00531044" w:rsidP="00E03E71" w14:paraId="1A004B5B" w14:textId="77777777">
      <w:pPr>
        <w:pStyle w:val="FootnoteText"/>
        <w:spacing w:after="120"/>
      </w:pPr>
      <w:r w:rsidRPr="00531044">
        <w:rPr>
          <w:rStyle w:val="FootnoteReference"/>
        </w:rPr>
        <w:footnoteRef/>
      </w:r>
      <w:r w:rsidRPr="00531044">
        <w:t xml:space="preserve"> Deposition of Santino Fanelli at 129-137 (Mar</w:t>
      </w:r>
      <w:r>
        <w:t>.</w:t>
      </w:r>
      <w:r w:rsidRPr="00531044">
        <w:t xml:space="preserve"> 9, 2021). </w:t>
      </w:r>
    </w:p>
  </w:footnote>
  <w:footnote w:id="27">
    <w:p w:rsidR="003A6A59" w:rsidRPr="00E03E71" w:rsidP="00E03E71" w14:paraId="07142B6D" w14:textId="77777777">
      <w:pPr>
        <w:pStyle w:val="FootnoteText"/>
        <w:spacing w:after="120"/>
        <w:rPr>
          <w:bCs/>
        </w:rPr>
      </w:pPr>
      <w:r w:rsidRPr="00E03E71">
        <w:rPr>
          <w:rStyle w:val="FootnoteReference"/>
          <w:rFonts w:eastAsiaTheme="majorEastAsia"/>
          <w:bCs/>
        </w:rPr>
        <w:footnoteRef/>
      </w:r>
      <w:r w:rsidRPr="00E03E71">
        <w:rPr>
          <w:bCs/>
        </w:rPr>
        <w:t xml:space="preserve"> </w:t>
      </w:r>
      <w:r w:rsidRPr="00E03E71">
        <w:rPr>
          <w:bCs/>
          <w:i/>
          <w:iCs/>
        </w:rPr>
        <w:t>Id</w:t>
      </w:r>
      <w:r w:rsidRPr="00E03E71">
        <w:rPr>
          <w:bCs/>
        </w:rPr>
        <w:t xml:space="preserve">. at 5; 48. </w:t>
      </w:r>
    </w:p>
  </w:footnote>
  <w:footnote w:id="28">
    <w:p w:rsidR="003A6A59" w:rsidRPr="00E03E71" w:rsidP="00E03E71" w14:paraId="2BD2A47A" w14:textId="77777777">
      <w:pPr>
        <w:pStyle w:val="FootnoteText"/>
        <w:spacing w:after="120"/>
        <w:rPr>
          <w:bCs/>
        </w:rPr>
      </w:pPr>
      <w:r w:rsidRPr="00E03E71">
        <w:rPr>
          <w:rStyle w:val="FootnoteReference"/>
          <w:rFonts w:eastAsiaTheme="majorEastAsia"/>
          <w:bCs/>
        </w:rPr>
        <w:footnoteRef/>
      </w:r>
      <w:r w:rsidRPr="00E03E71">
        <w:rPr>
          <w:bCs/>
        </w:rPr>
        <w:t xml:space="preserve"> </w:t>
      </w:r>
      <w:r w:rsidRPr="00E03E71">
        <w:rPr>
          <w:bCs/>
          <w:i/>
          <w:iCs/>
        </w:rPr>
        <w:t>Id.</w:t>
      </w:r>
      <w:r w:rsidRPr="00E03E71">
        <w:rPr>
          <w:bCs/>
        </w:rPr>
        <w:t xml:space="preserve"> at 50-51. </w:t>
      </w:r>
    </w:p>
  </w:footnote>
  <w:footnote w:id="29">
    <w:p w:rsidR="003A6A59" w:rsidRPr="00E03E71" w:rsidP="00E03E71" w14:paraId="4AFCB8C8" w14:textId="77777777">
      <w:pPr>
        <w:pStyle w:val="FootnoteText"/>
        <w:spacing w:after="120"/>
        <w:rPr>
          <w:bCs/>
        </w:rPr>
      </w:pPr>
      <w:r w:rsidRPr="00E03E71">
        <w:rPr>
          <w:rStyle w:val="FootnoteReference"/>
          <w:rFonts w:eastAsiaTheme="majorEastAsia"/>
          <w:bCs/>
        </w:rPr>
        <w:footnoteRef/>
      </w:r>
      <w:r w:rsidRPr="00E03E71">
        <w:rPr>
          <w:bCs/>
        </w:rPr>
        <w:t xml:space="preserve"> </w:t>
      </w:r>
      <w:r w:rsidRPr="00E03E71">
        <w:rPr>
          <w:bCs/>
          <w:i/>
          <w:iCs/>
        </w:rPr>
        <w:t>Id.</w:t>
      </w:r>
      <w:r w:rsidRPr="00E03E71">
        <w:rPr>
          <w:bCs/>
        </w:rPr>
        <w:t xml:space="preserve"> at 51. </w:t>
      </w:r>
    </w:p>
  </w:footnote>
  <w:footnote w:id="30">
    <w:p w:rsidR="003A6A59" w:rsidRPr="003D33FF" w:rsidP="00E03E71" w14:paraId="5C49B00A" w14:textId="77777777">
      <w:pPr>
        <w:pStyle w:val="FootnoteText"/>
        <w:spacing w:after="120"/>
        <w:rPr>
          <w:b/>
          <w:bCs/>
        </w:rPr>
      </w:pPr>
      <w:r w:rsidRPr="00E03E71">
        <w:rPr>
          <w:rStyle w:val="FootnoteReference"/>
          <w:rFonts w:eastAsiaTheme="majorEastAsia"/>
          <w:bCs/>
        </w:rPr>
        <w:footnoteRef/>
      </w:r>
      <w:r w:rsidRPr="003D33FF">
        <w:t xml:space="preserve"> </w:t>
      </w:r>
      <w:r w:rsidRPr="003D33FF">
        <w:rPr>
          <w:i/>
          <w:iCs/>
        </w:rPr>
        <w:t>Id.</w:t>
      </w:r>
      <w:r w:rsidRPr="003D33FF">
        <w:t xml:space="preserve"> at 51-52.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A59" w14:paraId="635333FF" w14:textId="77777777">
    <w:pPr>
      <w:pStyle w:val="Header"/>
    </w:pPr>
  </w:p>
  <w:p w:rsidR="003A6A59" w14:paraId="09FEB5D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6A59" w14:paraId="7FFA1361" w14:textId="77777777">
    <w:pPr>
      <w:pStyle w:val="Header"/>
    </w:pPr>
  </w:p>
  <w:p w:rsidR="003A6A59" w14:paraId="37C6631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D34F6"/>
    <w:multiLevelType w:val="hybridMultilevel"/>
    <w:tmpl w:val="E3F0ED9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13CA56C5"/>
    <w:multiLevelType w:val="hybridMultilevel"/>
    <w:tmpl w:val="0C18443A"/>
    <w:lvl w:ilvl="0">
      <w:start w:val="1"/>
      <w:numFmt w:val="upperRoman"/>
      <w:lvlText w:val="%1."/>
      <w:lvlJc w:val="left"/>
      <w:pPr>
        <w:ind w:left="860" w:hanging="720"/>
      </w:pPr>
      <w:rPr>
        <w:rFonts w:ascii="Times New Roman" w:eastAsia="Times New Roman" w:hAnsi="Times New Roman" w:cs="Times New Roman" w:hint="default"/>
        <w:color w:val="221F1F"/>
        <w:spacing w:val="-3"/>
        <w:w w:val="99"/>
        <w:sz w:val="24"/>
        <w:szCs w:val="24"/>
        <w:lang w:val="en-US" w:eastAsia="en-US" w:bidi="en-US"/>
      </w:rPr>
    </w:lvl>
    <w:lvl w:ilvl="1">
      <w:start w:val="1"/>
      <w:numFmt w:val="upperLetter"/>
      <w:lvlText w:val="%2."/>
      <w:lvlJc w:val="left"/>
      <w:pPr>
        <w:ind w:left="1580" w:hanging="720"/>
      </w:pPr>
      <w:rPr>
        <w:rFonts w:ascii="Times New Roman" w:eastAsia="Times New Roman" w:hAnsi="Times New Roman" w:cs="Times New Roman" w:hint="default"/>
        <w:color w:val="221F1F"/>
        <w:spacing w:val="-1"/>
        <w:w w:val="99"/>
        <w:sz w:val="24"/>
        <w:szCs w:val="24"/>
        <w:lang w:val="en-US" w:eastAsia="en-US" w:bidi="en-US"/>
      </w:rPr>
    </w:lvl>
    <w:lvl w:ilvl="2">
      <w:start w:val="1"/>
      <w:numFmt w:val="decimal"/>
      <w:lvlText w:val="%3."/>
      <w:lvlJc w:val="left"/>
      <w:pPr>
        <w:ind w:left="2300" w:hanging="720"/>
      </w:pPr>
      <w:rPr>
        <w:rFonts w:ascii="Times New Roman" w:eastAsia="Times New Roman" w:hAnsi="Times New Roman" w:cs="Times New Roman" w:hint="default"/>
        <w:color w:val="221F1F"/>
        <w:w w:val="99"/>
        <w:sz w:val="24"/>
        <w:szCs w:val="24"/>
        <w:lang w:val="en-US" w:eastAsia="en-US" w:bidi="en-US"/>
      </w:rPr>
    </w:lvl>
    <w:lvl w:ilvl="3">
      <w:start w:val="0"/>
      <w:numFmt w:val="bullet"/>
      <w:lvlText w:val="•"/>
      <w:lvlJc w:val="left"/>
      <w:pPr>
        <w:ind w:left="3162" w:hanging="720"/>
      </w:pPr>
      <w:rPr>
        <w:rFonts w:hint="default"/>
        <w:lang w:val="en-US" w:eastAsia="en-US" w:bidi="en-US"/>
      </w:rPr>
    </w:lvl>
    <w:lvl w:ilvl="4">
      <w:start w:val="0"/>
      <w:numFmt w:val="bullet"/>
      <w:lvlText w:val="•"/>
      <w:lvlJc w:val="left"/>
      <w:pPr>
        <w:ind w:left="4025" w:hanging="720"/>
      </w:pPr>
      <w:rPr>
        <w:rFonts w:hint="default"/>
        <w:lang w:val="en-US" w:eastAsia="en-US" w:bidi="en-US"/>
      </w:rPr>
    </w:lvl>
    <w:lvl w:ilvl="5">
      <w:start w:val="0"/>
      <w:numFmt w:val="bullet"/>
      <w:lvlText w:val="•"/>
      <w:lvlJc w:val="left"/>
      <w:pPr>
        <w:ind w:left="4887" w:hanging="720"/>
      </w:pPr>
      <w:rPr>
        <w:rFonts w:hint="default"/>
        <w:lang w:val="en-US" w:eastAsia="en-US" w:bidi="en-US"/>
      </w:rPr>
    </w:lvl>
    <w:lvl w:ilvl="6">
      <w:start w:val="0"/>
      <w:numFmt w:val="bullet"/>
      <w:lvlText w:val="•"/>
      <w:lvlJc w:val="left"/>
      <w:pPr>
        <w:ind w:left="5750" w:hanging="720"/>
      </w:pPr>
      <w:rPr>
        <w:rFonts w:hint="default"/>
        <w:lang w:val="en-US" w:eastAsia="en-US" w:bidi="en-US"/>
      </w:rPr>
    </w:lvl>
    <w:lvl w:ilvl="7">
      <w:start w:val="0"/>
      <w:numFmt w:val="bullet"/>
      <w:lvlText w:val="•"/>
      <w:lvlJc w:val="left"/>
      <w:pPr>
        <w:ind w:left="6612" w:hanging="720"/>
      </w:pPr>
      <w:rPr>
        <w:rFonts w:hint="default"/>
        <w:lang w:val="en-US" w:eastAsia="en-US" w:bidi="en-US"/>
      </w:rPr>
    </w:lvl>
    <w:lvl w:ilvl="8">
      <w:start w:val="0"/>
      <w:numFmt w:val="bullet"/>
      <w:lvlText w:val="•"/>
      <w:lvlJc w:val="left"/>
      <w:pPr>
        <w:ind w:left="7475" w:hanging="720"/>
      </w:pPr>
      <w:rPr>
        <w:rFonts w:hint="default"/>
        <w:lang w:val="en-US" w:eastAsia="en-US" w:bidi="en-US"/>
      </w:rPr>
    </w:lvl>
  </w:abstractNum>
  <w:abstractNum w:abstractNumId="2">
    <w:nsid w:val="200D4177"/>
    <w:multiLevelType w:val="hybridMultilevel"/>
    <w:tmpl w:val="38A801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
    <w:nsid w:val="20FF1190"/>
    <w:multiLevelType w:val="hybridMultilevel"/>
    <w:tmpl w:val="AF609F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47606B8"/>
    <w:multiLevelType w:val="hybridMultilevel"/>
    <w:tmpl w:val="4BEAC9B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9D342B1"/>
    <w:multiLevelType w:val="hybridMultilevel"/>
    <w:tmpl w:val="2E5E123C"/>
    <w:lvl w:ilvl="0">
      <w:start w:val="1"/>
      <w:numFmt w:val="upperRoman"/>
      <w:pStyle w:val="Heading1"/>
      <w:lvlText w:val="%1."/>
      <w:lvlJc w:val="righ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A7150F"/>
    <w:multiLevelType w:val="hybridMultilevel"/>
    <w:tmpl w:val="3662B9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18E2E67"/>
    <w:multiLevelType w:val="hybridMultilevel"/>
    <w:tmpl w:val="151C41B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31D7B6A"/>
    <w:multiLevelType w:val="hybridMultilevel"/>
    <w:tmpl w:val="D5B40CAC"/>
    <w:lvl w:ilvl="0">
      <w:start w:val="1"/>
      <w:numFmt w:val="decimal"/>
      <w:lvlText w:val="%1."/>
      <w:lvlJc w:val="left"/>
      <w:pPr>
        <w:ind w:left="2700" w:hanging="720"/>
      </w:pPr>
      <w:rPr>
        <w:rFonts w:ascii="Times New Roman" w:eastAsia="Times New Roman" w:hAnsi="Times New Roman" w:cs="Times New Roman" w:hint="default"/>
        <w:b/>
        <w:bCs/>
        <w:i w:val="0"/>
        <w:iCs w:val="0"/>
        <w:w w:val="100"/>
        <w:sz w:val="24"/>
        <w:szCs w:val="24"/>
      </w:rPr>
    </w:lvl>
    <w:lvl w:ilvl="1">
      <w:start w:val="0"/>
      <w:numFmt w:val="bullet"/>
      <w:lvlText w:val="•"/>
      <w:lvlJc w:val="left"/>
      <w:pPr>
        <w:ind w:left="2700" w:hanging="720"/>
      </w:pPr>
      <w:rPr>
        <w:rFonts w:hint="default"/>
      </w:rPr>
    </w:lvl>
    <w:lvl w:ilvl="2">
      <w:start w:val="0"/>
      <w:numFmt w:val="bullet"/>
      <w:lvlText w:val="•"/>
      <w:lvlJc w:val="left"/>
      <w:pPr>
        <w:ind w:left="3528" w:hanging="720"/>
      </w:pPr>
      <w:rPr>
        <w:rFonts w:hint="default"/>
      </w:rPr>
    </w:lvl>
    <w:lvl w:ilvl="3">
      <w:start w:val="0"/>
      <w:numFmt w:val="bullet"/>
      <w:lvlText w:val="•"/>
      <w:lvlJc w:val="left"/>
      <w:pPr>
        <w:ind w:left="4357" w:hanging="720"/>
      </w:pPr>
      <w:rPr>
        <w:rFonts w:hint="default"/>
      </w:rPr>
    </w:lvl>
    <w:lvl w:ilvl="4">
      <w:start w:val="0"/>
      <w:numFmt w:val="bullet"/>
      <w:lvlText w:val="•"/>
      <w:lvlJc w:val="left"/>
      <w:pPr>
        <w:ind w:left="5186" w:hanging="720"/>
      </w:pPr>
      <w:rPr>
        <w:rFonts w:hint="default"/>
      </w:rPr>
    </w:lvl>
    <w:lvl w:ilvl="5">
      <w:start w:val="0"/>
      <w:numFmt w:val="bullet"/>
      <w:lvlText w:val="•"/>
      <w:lvlJc w:val="left"/>
      <w:pPr>
        <w:ind w:left="6015" w:hanging="720"/>
      </w:pPr>
      <w:rPr>
        <w:rFonts w:hint="default"/>
      </w:rPr>
    </w:lvl>
    <w:lvl w:ilvl="6">
      <w:start w:val="0"/>
      <w:numFmt w:val="bullet"/>
      <w:lvlText w:val="•"/>
      <w:lvlJc w:val="left"/>
      <w:pPr>
        <w:ind w:left="6844" w:hanging="720"/>
      </w:pPr>
      <w:rPr>
        <w:rFonts w:hint="default"/>
      </w:rPr>
    </w:lvl>
    <w:lvl w:ilvl="7">
      <w:start w:val="0"/>
      <w:numFmt w:val="bullet"/>
      <w:lvlText w:val="•"/>
      <w:lvlJc w:val="left"/>
      <w:pPr>
        <w:ind w:left="7673" w:hanging="720"/>
      </w:pPr>
      <w:rPr>
        <w:rFonts w:hint="default"/>
      </w:rPr>
    </w:lvl>
    <w:lvl w:ilvl="8">
      <w:start w:val="0"/>
      <w:numFmt w:val="bullet"/>
      <w:lvlText w:val="•"/>
      <w:lvlJc w:val="left"/>
      <w:pPr>
        <w:ind w:left="8502" w:hanging="720"/>
      </w:pPr>
      <w:rPr>
        <w:rFonts w:hint="default"/>
      </w:rPr>
    </w:lvl>
  </w:abstractNum>
  <w:abstractNum w:abstractNumId="9">
    <w:nsid w:val="45E93EE1"/>
    <w:multiLevelType w:val="hybridMultilevel"/>
    <w:tmpl w:val="01BE18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1514B62"/>
    <w:multiLevelType w:val="hybridMultilevel"/>
    <w:tmpl w:val="D5B40CAC"/>
    <w:lvl w:ilvl="0">
      <w:start w:val="1"/>
      <w:numFmt w:val="decimal"/>
      <w:lvlText w:val="%1."/>
      <w:lvlJc w:val="left"/>
      <w:pPr>
        <w:ind w:left="2700" w:hanging="720"/>
      </w:pPr>
      <w:rPr>
        <w:rFonts w:ascii="Times New Roman" w:eastAsia="Times New Roman" w:hAnsi="Times New Roman" w:cs="Times New Roman" w:hint="default"/>
        <w:b/>
        <w:bCs/>
        <w:i w:val="0"/>
        <w:iCs w:val="0"/>
        <w:w w:val="100"/>
        <w:sz w:val="24"/>
        <w:szCs w:val="24"/>
      </w:rPr>
    </w:lvl>
    <w:lvl w:ilvl="1">
      <w:start w:val="0"/>
      <w:numFmt w:val="bullet"/>
      <w:lvlText w:val="•"/>
      <w:lvlJc w:val="left"/>
      <w:pPr>
        <w:ind w:left="2700" w:hanging="720"/>
      </w:pPr>
      <w:rPr>
        <w:rFonts w:hint="default"/>
      </w:rPr>
    </w:lvl>
    <w:lvl w:ilvl="2">
      <w:start w:val="0"/>
      <w:numFmt w:val="bullet"/>
      <w:lvlText w:val="•"/>
      <w:lvlJc w:val="left"/>
      <w:pPr>
        <w:ind w:left="3528" w:hanging="720"/>
      </w:pPr>
      <w:rPr>
        <w:rFonts w:hint="default"/>
      </w:rPr>
    </w:lvl>
    <w:lvl w:ilvl="3">
      <w:start w:val="0"/>
      <w:numFmt w:val="bullet"/>
      <w:lvlText w:val="•"/>
      <w:lvlJc w:val="left"/>
      <w:pPr>
        <w:ind w:left="4357" w:hanging="720"/>
      </w:pPr>
      <w:rPr>
        <w:rFonts w:hint="default"/>
      </w:rPr>
    </w:lvl>
    <w:lvl w:ilvl="4">
      <w:start w:val="0"/>
      <w:numFmt w:val="bullet"/>
      <w:lvlText w:val="•"/>
      <w:lvlJc w:val="left"/>
      <w:pPr>
        <w:ind w:left="5186" w:hanging="720"/>
      </w:pPr>
      <w:rPr>
        <w:rFonts w:hint="default"/>
      </w:rPr>
    </w:lvl>
    <w:lvl w:ilvl="5">
      <w:start w:val="0"/>
      <w:numFmt w:val="bullet"/>
      <w:lvlText w:val="•"/>
      <w:lvlJc w:val="left"/>
      <w:pPr>
        <w:ind w:left="6015" w:hanging="720"/>
      </w:pPr>
      <w:rPr>
        <w:rFonts w:hint="default"/>
      </w:rPr>
    </w:lvl>
    <w:lvl w:ilvl="6">
      <w:start w:val="0"/>
      <w:numFmt w:val="bullet"/>
      <w:lvlText w:val="•"/>
      <w:lvlJc w:val="left"/>
      <w:pPr>
        <w:ind w:left="6844" w:hanging="720"/>
      </w:pPr>
      <w:rPr>
        <w:rFonts w:hint="default"/>
      </w:rPr>
    </w:lvl>
    <w:lvl w:ilvl="7">
      <w:start w:val="0"/>
      <w:numFmt w:val="bullet"/>
      <w:lvlText w:val="•"/>
      <w:lvlJc w:val="left"/>
      <w:pPr>
        <w:ind w:left="7673" w:hanging="720"/>
      </w:pPr>
      <w:rPr>
        <w:rFonts w:hint="default"/>
      </w:rPr>
    </w:lvl>
    <w:lvl w:ilvl="8">
      <w:start w:val="0"/>
      <w:numFmt w:val="bullet"/>
      <w:lvlText w:val="•"/>
      <w:lvlJc w:val="left"/>
      <w:pPr>
        <w:ind w:left="8502" w:hanging="720"/>
      </w:pPr>
      <w:rPr>
        <w:rFonts w:hint="default"/>
      </w:rPr>
    </w:lvl>
  </w:abstractNum>
  <w:abstractNum w:abstractNumId="11">
    <w:nsid w:val="574D5CA3"/>
    <w:multiLevelType w:val="hybridMultilevel"/>
    <w:tmpl w:val="DBC0DE78"/>
    <w:lvl w:ilvl="0">
      <w:start w:val="1"/>
      <w:numFmt w:val="upperLetter"/>
      <w:pStyle w:val="Heading2"/>
      <w:lvlText w:val="%1."/>
      <w:lvlJc w:val="left"/>
      <w:pPr>
        <w:ind w:left="1080" w:hanging="360"/>
      </w:pPr>
      <w:rPr>
        <w:specVanish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15C45C2"/>
    <w:multiLevelType w:val="hybridMultilevel"/>
    <w:tmpl w:val="18D893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7D1047F"/>
    <w:multiLevelType w:val="hybridMultilevel"/>
    <w:tmpl w:val="589E2F30"/>
    <w:lvl w:ilvl="0">
      <w:start w:val="5"/>
      <w:numFmt w:val="lowerRoman"/>
      <w:lvlText w:val="%1."/>
      <w:lvlJc w:val="left"/>
      <w:pPr>
        <w:tabs>
          <w:tab w:val="num" w:pos="7200"/>
        </w:tabs>
        <w:ind w:left="7200" w:hanging="4320"/>
      </w:pPr>
      <w:rPr>
        <w:rFonts w:hint="default"/>
      </w:rPr>
    </w:lvl>
    <w:lvl w:ilvl="1" w:tentative="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4">
    <w:nsid w:val="684B481D"/>
    <w:multiLevelType w:val="hybridMultilevel"/>
    <w:tmpl w:val="EED628A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8E73476"/>
    <w:multiLevelType w:val="hybridMultilevel"/>
    <w:tmpl w:val="E5CC858A"/>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623072"/>
    <w:multiLevelType w:val="hybridMultilevel"/>
    <w:tmpl w:val="01BE184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9F35115"/>
    <w:multiLevelType w:val="hybridMultilevel"/>
    <w:tmpl w:val="C4489FE2"/>
    <w:lvl w:ilvl="0">
      <w:start w:val="1"/>
      <w:numFmt w:val="decimal"/>
      <w:lvlText w:val="[%1]"/>
      <w:lvlJc w:val="left"/>
      <w:pPr>
        <w:ind w:left="1260" w:hanging="341"/>
      </w:pPr>
      <w:rPr>
        <w:rFonts w:ascii="Times New Roman" w:eastAsia="Times New Roman" w:hAnsi="Times New Roman" w:cs="Times New Roman" w:hint="default"/>
        <w:b w:val="0"/>
        <w:bCs w:val="0"/>
        <w:i w:val="0"/>
        <w:iCs w:val="0"/>
        <w:spacing w:val="0"/>
        <w:w w:val="1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A6F6DA8"/>
    <w:multiLevelType w:val="hybridMultilevel"/>
    <w:tmpl w:val="85CC89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D54F97"/>
    <w:multiLevelType w:val="hybridMultilevel"/>
    <w:tmpl w:val="5568E5EC"/>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3135FA1"/>
    <w:multiLevelType w:val="hybridMultilevel"/>
    <w:tmpl w:val="E436987E"/>
    <w:lvl w:ilvl="0">
      <w:start w:val="1"/>
      <w:numFmt w:val="upperRoman"/>
      <w:lvlText w:val="%1."/>
      <w:lvlJc w:val="left"/>
      <w:pPr>
        <w:ind w:left="900" w:hanging="360"/>
      </w:pPr>
      <w:rPr>
        <w:rFonts w:ascii="Times New Roman" w:eastAsia="Times New Roman" w:hAnsi="Times New Roman" w:cs="Times New Roman" w:hint="default"/>
        <w:b/>
        <w:bCs/>
        <w:i w:val="0"/>
        <w:iCs w:val="0"/>
        <w:w w:val="100"/>
        <w:sz w:val="24"/>
        <w:szCs w:val="24"/>
      </w:rPr>
    </w:lvl>
    <w:lvl w:ilvl="1">
      <w:start w:val="1"/>
      <w:numFmt w:val="upperLetter"/>
      <w:lvlText w:val="%2."/>
      <w:lvlJc w:val="left"/>
      <w:pPr>
        <w:ind w:left="1260" w:hanging="360"/>
      </w:pPr>
      <w:rPr>
        <w:rFonts w:ascii="Times New Roman" w:eastAsia="Times New Roman" w:hAnsi="Times New Roman" w:cs="Times New Roman" w:hint="default"/>
        <w:b/>
        <w:bCs/>
        <w:i w:val="0"/>
        <w:iCs w:val="0"/>
        <w:spacing w:val="-1"/>
        <w:w w:val="100"/>
        <w:sz w:val="24"/>
        <w:szCs w:val="24"/>
      </w:rPr>
    </w:lvl>
    <w:lvl w:ilvl="2">
      <w:start w:val="1"/>
      <w:numFmt w:val="decimal"/>
      <w:lvlText w:val="[%3]"/>
      <w:lvlJc w:val="left"/>
      <w:pPr>
        <w:ind w:left="1260" w:hanging="341"/>
      </w:pPr>
      <w:rPr>
        <w:rFonts w:ascii="Times New Roman" w:eastAsia="Times New Roman" w:hAnsi="Times New Roman" w:cs="Times New Roman" w:hint="default"/>
        <w:b w:val="0"/>
        <w:bCs w:val="0"/>
        <w:i w:val="0"/>
        <w:iCs w:val="0"/>
        <w:spacing w:val="0"/>
        <w:w w:val="100"/>
        <w:sz w:val="24"/>
        <w:szCs w:val="24"/>
      </w:rPr>
    </w:lvl>
    <w:lvl w:ilvl="3">
      <w:start w:val="0"/>
      <w:numFmt w:val="bullet"/>
      <w:lvlText w:val="•"/>
      <w:lvlJc w:val="left"/>
      <w:pPr>
        <w:ind w:left="3237" w:hanging="341"/>
      </w:pPr>
      <w:rPr>
        <w:rFonts w:hint="default"/>
      </w:rPr>
    </w:lvl>
    <w:lvl w:ilvl="4">
      <w:start w:val="0"/>
      <w:numFmt w:val="bullet"/>
      <w:lvlText w:val="•"/>
      <w:lvlJc w:val="left"/>
      <w:pPr>
        <w:ind w:left="4226" w:hanging="341"/>
      </w:pPr>
      <w:rPr>
        <w:rFonts w:hint="default"/>
      </w:rPr>
    </w:lvl>
    <w:lvl w:ilvl="5">
      <w:start w:val="0"/>
      <w:numFmt w:val="bullet"/>
      <w:lvlText w:val="•"/>
      <w:lvlJc w:val="left"/>
      <w:pPr>
        <w:ind w:left="5215" w:hanging="341"/>
      </w:pPr>
      <w:rPr>
        <w:rFonts w:hint="default"/>
      </w:rPr>
    </w:lvl>
    <w:lvl w:ilvl="6">
      <w:start w:val="0"/>
      <w:numFmt w:val="bullet"/>
      <w:lvlText w:val="•"/>
      <w:lvlJc w:val="left"/>
      <w:pPr>
        <w:ind w:left="6204" w:hanging="341"/>
      </w:pPr>
      <w:rPr>
        <w:rFonts w:hint="default"/>
      </w:rPr>
    </w:lvl>
    <w:lvl w:ilvl="7">
      <w:start w:val="0"/>
      <w:numFmt w:val="bullet"/>
      <w:lvlText w:val="•"/>
      <w:lvlJc w:val="left"/>
      <w:pPr>
        <w:ind w:left="7193" w:hanging="341"/>
      </w:pPr>
      <w:rPr>
        <w:rFonts w:hint="default"/>
      </w:rPr>
    </w:lvl>
    <w:lvl w:ilvl="8">
      <w:start w:val="0"/>
      <w:numFmt w:val="bullet"/>
      <w:lvlText w:val="•"/>
      <w:lvlJc w:val="left"/>
      <w:pPr>
        <w:ind w:left="8182" w:hanging="341"/>
      </w:pPr>
      <w:rPr>
        <w:rFonts w:hint="default"/>
      </w:rPr>
    </w:lvl>
  </w:abstractNum>
  <w:abstractNum w:abstractNumId="21">
    <w:nsid w:val="76BE3A3B"/>
    <w:multiLevelType w:val="hybridMultilevel"/>
    <w:tmpl w:val="3EA4761A"/>
    <w:lvl w:ilvl="0">
      <w:start w:val="3"/>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1"/>
    <w:lvlOverride w:ilvl="0">
      <w:startOverride w:val="1"/>
    </w:lvlOverride>
  </w:num>
  <w:num w:numId="5">
    <w:abstractNumId w:val="11"/>
    <w:lvlOverride w:ilvl="0">
      <w:startOverride w:val="1"/>
    </w:lvlOverride>
  </w:num>
  <w:num w:numId="6">
    <w:abstractNumId w:val="14"/>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9"/>
  </w:num>
  <w:num w:numId="11">
    <w:abstractNumId w:val="1"/>
  </w:num>
  <w:num w:numId="12">
    <w:abstractNumId w:val="3"/>
  </w:num>
  <w:num w:numId="13">
    <w:abstractNumId w:val="18"/>
  </w:num>
  <w:num w:numId="14">
    <w:abstractNumId w:val="4"/>
  </w:num>
  <w:num w:numId="15">
    <w:abstractNumId w:val="15"/>
  </w:num>
  <w:num w:numId="16">
    <w:abstractNumId w:val="21"/>
  </w:num>
  <w:num w:numId="17">
    <w:abstractNumId w:val="12"/>
  </w:num>
  <w:num w:numId="18">
    <w:abstractNumId w:val="7"/>
  </w:num>
  <w:num w:numId="19">
    <w:abstractNumId w:val="6"/>
  </w:num>
  <w:num w:numId="20">
    <w:abstractNumId w:val="20"/>
  </w:num>
  <w:num w:numId="21">
    <w:abstractNumId w:val="8"/>
  </w:num>
  <w:num w:numId="22">
    <w:abstractNumId w:val="10"/>
  </w:num>
  <w:num w:numId="23">
    <w:abstractNumId w:val="17"/>
  </w:num>
  <w:num w:numId="24">
    <w:abstractNumId w:val="16"/>
  </w:num>
  <w:num w:numId="25">
    <w:abstractNumId w:val="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1F"/>
    <w:rsid w:val="00003ABC"/>
    <w:rsid w:val="0000472F"/>
    <w:rsid w:val="000061AC"/>
    <w:rsid w:val="00016CB7"/>
    <w:rsid w:val="00021217"/>
    <w:rsid w:val="00026D96"/>
    <w:rsid w:val="00030983"/>
    <w:rsid w:val="00030E53"/>
    <w:rsid w:val="00032FCA"/>
    <w:rsid w:val="00035DB6"/>
    <w:rsid w:val="00037963"/>
    <w:rsid w:val="00040EE9"/>
    <w:rsid w:val="0004570A"/>
    <w:rsid w:val="00046858"/>
    <w:rsid w:val="00050583"/>
    <w:rsid w:val="0005150D"/>
    <w:rsid w:val="00052925"/>
    <w:rsid w:val="00057476"/>
    <w:rsid w:val="00057743"/>
    <w:rsid w:val="0006168D"/>
    <w:rsid w:val="0006179C"/>
    <w:rsid w:val="00061E39"/>
    <w:rsid w:val="000621BE"/>
    <w:rsid w:val="000657AB"/>
    <w:rsid w:val="00070127"/>
    <w:rsid w:val="00076272"/>
    <w:rsid w:val="00076C6E"/>
    <w:rsid w:val="000771C7"/>
    <w:rsid w:val="0008091F"/>
    <w:rsid w:val="000850C0"/>
    <w:rsid w:val="00086061"/>
    <w:rsid w:val="00086FE6"/>
    <w:rsid w:val="000900C1"/>
    <w:rsid w:val="00092CBB"/>
    <w:rsid w:val="000A200E"/>
    <w:rsid w:val="000A3B00"/>
    <w:rsid w:val="000A610B"/>
    <w:rsid w:val="000B0051"/>
    <w:rsid w:val="000B0C8A"/>
    <w:rsid w:val="000B3A9F"/>
    <w:rsid w:val="000B5E7D"/>
    <w:rsid w:val="000B75BF"/>
    <w:rsid w:val="000C1118"/>
    <w:rsid w:val="000C15C4"/>
    <w:rsid w:val="000C1BC5"/>
    <w:rsid w:val="000D0916"/>
    <w:rsid w:val="000D171F"/>
    <w:rsid w:val="000D406D"/>
    <w:rsid w:val="000D43AF"/>
    <w:rsid w:val="000D46B9"/>
    <w:rsid w:val="000D52A2"/>
    <w:rsid w:val="000D6841"/>
    <w:rsid w:val="000D7036"/>
    <w:rsid w:val="000E04C2"/>
    <w:rsid w:val="000E24B0"/>
    <w:rsid w:val="000E474E"/>
    <w:rsid w:val="000E5113"/>
    <w:rsid w:val="000F3537"/>
    <w:rsid w:val="000F486D"/>
    <w:rsid w:val="000F6140"/>
    <w:rsid w:val="000F7309"/>
    <w:rsid w:val="001049DE"/>
    <w:rsid w:val="0010633B"/>
    <w:rsid w:val="00107AA7"/>
    <w:rsid w:val="00110280"/>
    <w:rsid w:val="00113B2E"/>
    <w:rsid w:val="00114B6A"/>
    <w:rsid w:val="00115561"/>
    <w:rsid w:val="00130D15"/>
    <w:rsid w:val="00134202"/>
    <w:rsid w:val="001343FF"/>
    <w:rsid w:val="00134C89"/>
    <w:rsid w:val="001357F1"/>
    <w:rsid w:val="00142848"/>
    <w:rsid w:val="00144524"/>
    <w:rsid w:val="00144754"/>
    <w:rsid w:val="00146946"/>
    <w:rsid w:val="00146DA5"/>
    <w:rsid w:val="00153E1E"/>
    <w:rsid w:val="00170697"/>
    <w:rsid w:val="00175115"/>
    <w:rsid w:val="0017643E"/>
    <w:rsid w:val="00176551"/>
    <w:rsid w:val="00184716"/>
    <w:rsid w:val="00184E09"/>
    <w:rsid w:val="001853D0"/>
    <w:rsid w:val="00191258"/>
    <w:rsid w:val="001A206E"/>
    <w:rsid w:val="001A43F6"/>
    <w:rsid w:val="001A57C9"/>
    <w:rsid w:val="001A5AD3"/>
    <w:rsid w:val="001B184F"/>
    <w:rsid w:val="001C0B5C"/>
    <w:rsid w:val="001C1E23"/>
    <w:rsid w:val="001C3724"/>
    <w:rsid w:val="001D3A68"/>
    <w:rsid w:val="001E0436"/>
    <w:rsid w:val="001E53EF"/>
    <w:rsid w:val="001F0191"/>
    <w:rsid w:val="001F025A"/>
    <w:rsid w:val="001F0AFA"/>
    <w:rsid w:val="001F222D"/>
    <w:rsid w:val="001F6DC9"/>
    <w:rsid w:val="0020164E"/>
    <w:rsid w:val="002069FA"/>
    <w:rsid w:val="00211590"/>
    <w:rsid w:val="00214163"/>
    <w:rsid w:val="00217C6A"/>
    <w:rsid w:val="002234FB"/>
    <w:rsid w:val="00226182"/>
    <w:rsid w:val="00227EB3"/>
    <w:rsid w:val="0023240C"/>
    <w:rsid w:val="002368A5"/>
    <w:rsid w:val="00237037"/>
    <w:rsid w:val="002503F2"/>
    <w:rsid w:val="00251BEA"/>
    <w:rsid w:val="00252EF8"/>
    <w:rsid w:val="00263344"/>
    <w:rsid w:val="00264E1E"/>
    <w:rsid w:val="002651FE"/>
    <w:rsid w:val="00266351"/>
    <w:rsid w:val="002704F6"/>
    <w:rsid w:val="0027731F"/>
    <w:rsid w:val="0027787A"/>
    <w:rsid w:val="002824BC"/>
    <w:rsid w:val="00284394"/>
    <w:rsid w:val="0028474E"/>
    <w:rsid w:val="00285CA0"/>
    <w:rsid w:val="00296BCA"/>
    <w:rsid w:val="002A3B3C"/>
    <w:rsid w:val="002A3D56"/>
    <w:rsid w:val="002A3E75"/>
    <w:rsid w:val="002A4A04"/>
    <w:rsid w:val="002A735C"/>
    <w:rsid w:val="002B0EDA"/>
    <w:rsid w:val="002B396B"/>
    <w:rsid w:val="002B3A2E"/>
    <w:rsid w:val="002B3D44"/>
    <w:rsid w:val="002B471D"/>
    <w:rsid w:val="002B69F8"/>
    <w:rsid w:val="002C1480"/>
    <w:rsid w:val="002C4D8C"/>
    <w:rsid w:val="002C7F07"/>
    <w:rsid w:val="002D570A"/>
    <w:rsid w:val="002D6D1C"/>
    <w:rsid w:val="002E7493"/>
    <w:rsid w:val="002E7AEF"/>
    <w:rsid w:val="002F081E"/>
    <w:rsid w:val="002F6BDA"/>
    <w:rsid w:val="002F74F2"/>
    <w:rsid w:val="003017AA"/>
    <w:rsid w:val="00302E3F"/>
    <w:rsid w:val="00305A3B"/>
    <w:rsid w:val="00311BF7"/>
    <w:rsid w:val="00314F41"/>
    <w:rsid w:val="00321604"/>
    <w:rsid w:val="00330FF2"/>
    <w:rsid w:val="00331F6F"/>
    <w:rsid w:val="00336AC5"/>
    <w:rsid w:val="0034180C"/>
    <w:rsid w:val="00345256"/>
    <w:rsid w:val="00345C4A"/>
    <w:rsid w:val="00356C42"/>
    <w:rsid w:val="00362247"/>
    <w:rsid w:val="00362566"/>
    <w:rsid w:val="003710AC"/>
    <w:rsid w:val="0037428E"/>
    <w:rsid w:val="00376408"/>
    <w:rsid w:val="0038135D"/>
    <w:rsid w:val="00382434"/>
    <w:rsid w:val="0039039B"/>
    <w:rsid w:val="003A2843"/>
    <w:rsid w:val="003A4DC8"/>
    <w:rsid w:val="003A6A59"/>
    <w:rsid w:val="003B4030"/>
    <w:rsid w:val="003B7E24"/>
    <w:rsid w:val="003C2687"/>
    <w:rsid w:val="003C287F"/>
    <w:rsid w:val="003C553E"/>
    <w:rsid w:val="003C57F0"/>
    <w:rsid w:val="003D33FF"/>
    <w:rsid w:val="003D4367"/>
    <w:rsid w:val="003D6B5A"/>
    <w:rsid w:val="003E4321"/>
    <w:rsid w:val="003E4FBE"/>
    <w:rsid w:val="003E680B"/>
    <w:rsid w:val="003F00AC"/>
    <w:rsid w:val="00406AEB"/>
    <w:rsid w:val="00407AB7"/>
    <w:rsid w:val="00413927"/>
    <w:rsid w:val="00413B98"/>
    <w:rsid w:val="00420347"/>
    <w:rsid w:val="00424D4C"/>
    <w:rsid w:val="004268AF"/>
    <w:rsid w:val="0043014C"/>
    <w:rsid w:val="004341D7"/>
    <w:rsid w:val="00435C84"/>
    <w:rsid w:val="00435FE2"/>
    <w:rsid w:val="00436C06"/>
    <w:rsid w:val="004401CC"/>
    <w:rsid w:val="004460D0"/>
    <w:rsid w:val="0044626C"/>
    <w:rsid w:val="00451384"/>
    <w:rsid w:val="00452147"/>
    <w:rsid w:val="004563C7"/>
    <w:rsid w:val="004651DB"/>
    <w:rsid w:val="0047186A"/>
    <w:rsid w:val="00476482"/>
    <w:rsid w:val="00476B96"/>
    <w:rsid w:val="00481AC7"/>
    <w:rsid w:val="0049496E"/>
    <w:rsid w:val="00495EEE"/>
    <w:rsid w:val="004A08C6"/>
    <w:rsid w:val="004A0D62"/>
    <w:rsid w:val="004A4E2B"/>
    <w:rsid w:val="004A6AB5"/>
    <w:rsid w:val="004B6E60"/>
    <w:rsid w:val="004C51C0"/>
    <w:rsid w:val="004D2BFD"/>
    <w:rsid w:val="004E3DD7"/>
    <w:rsid w:val="004F0431"/>
    <w:rsid w:val="004F346C"/>
    <w:rsid w:val="004F3D35"/>
    <w:rsid w:val="004F438D"/>
    <w:rsid w:val="004F703C"/>
    <w:rsid w:val="004F74ED"/>
    <w:rsid w:val="004F76A3"/>
    <w:rsid w:val="004F7966"/>
    <w:rsid w:val="0050273B"/>
    <w:rsid w:val="005033A9"/>
    <w:rsid w:val="00512951"/>
    <w:rsid w:val="00517541"/>
    <w:rsid w:val="00525E9C"/>
    <w:rsid w:val="005268EB"/>
    <w:rsid w:val="00531044"/>
    <w:rsid w:val="00534CAE"/>
    <w:rsid w:val="005365B1"/>
    <w:rsid w:val="00541CF8"/>
    <w:rsid w:val="00541E45"/>
    <w:rsid w:val="00543AD7"/>
    <w:rsid w:val="00547C4A"/>
    <w:rsid w:val="00547F43"/>
    <w:rsid w:val="00550F5F"/>
    <w:rsid w:val="00561AEE"/>
    <w:rsid w:val="005700D8"/>
    <w:rsid w:val="00571652"/>
    <w:rsid w:val="005825F1"/>
    <w:rsid w:val="00586910"/>
    <w:rsid w:val="00586BEF"/>
    <w:rsid w:val="00586DDF"/>
    <w:rsid w:val="00593792"/>
    <w:rsid w:val="00593D60"/>
    <w:rsid w:val="005949A7"/>
    <w:rsid w:val="00596CEE"/>
    <w:rsid w:val="005A1090"/>
    <w:rsid w:val="005A5B73"/>
    <w:rsid w:val="005A6FAF"/>
    <w:rsid w:val="005B6CB3"/>
    <w:rsid w:val="005C0408"/>
    <w:rsid w:val="005C2762"/>
    <w:rsid w:val="005C6EBC"/>
    <w:rsid w:val="005D1EFB"/>
    <w:rsid w:val="005D3740"/>
    <w:rsid w:val="005D541A"/>
    <w:rsid w:val="005D5BA4"/>
    <w:rsid w:val="005E1B13"/>
    <w:rsid w:val="005E3E2B"/>
    <w:rsid w:val="005E43C9"/>
    <w:rsid w:val="005E5E6A"/>
    <w:rsid w:val="005E5FF9"/>
    <w:rsid w:val="005E61A2"/>
    <w:rsid w:val="005E7A38"/>
    <w:rsid w:val="005F2BC2"/>
    <w:rsid w:val="005F2E2F"/>
    <w:rsid w:val="00601F0B"/>
    <w:rsid w:val="0060222E"/>
    <w:rsid w:val="00605A6A"/>
    <w:rsid w:val="006104D7"/>
    <w:rsid w:val="006201BF"/>
    <w:rsid w:val="00620B29"/>
    <w:rsid w:val="00621530"/>
    <w:rsid w:val="00626D54"/>
    <w:rsid w:val="006316CE"/>
    <w:rsid w:val="00645CF7"/>
    <w:rsid w:val="006467EE"/>
    <w:rsid w:val="006472DC"/>
    <w:rsid w:val="00652ADF"/>
    <w:rsid w:val="00653325"/>
    <w:rsid w:val="00657383"/>
    <w:rsid w:val="00666A5B"/>
    <w:rsid w:val="00670EE1"/>
    <w:rsid w:val="00672E6F"/>
    <w:rsid w:val="006758F2"/>
    <w:rsid w:val="00677A41"/>
    <w:rsid w:val="00681794"/>
    <w:rsid w:val="006845A2"/>
    <w:rsid w:val="00690AAA"/>
    <w:rsid w:val="0069170F"/>
    <w:rsid w:val="00691E7D"/>
    <w:rsid w:val="0069547C"/>
    <w:rsid w:val="006956D1"/>
    <w:rsid w:val="006A27E0"/>
    <w:rsid w:val="006A48F2"/>
    <w:rsid w:val="006B05B7"/>
    <w:rsid w:val="006B1B50"/>
    <w:rsid w:val="006B3B10"/>
    <w:rsid w:val="006B3F44"/>
    <w:rsid w:val="006B5600"/>
    <w:rsid w:val="006B6E9F"/>
    <w:rsid w:val="006C18CD"/>
    <w:rsid w:val="006C31A9"/>
    <w:rsid w:val="006C795A"/>
    <w:rsid w:val="006D3189"/>
    <w:rsid w:val="006D4B35"/>
    <w:rsid w:val="006D53B3"/>
    <w:rsid w:val="006D6DE5"/>
    <w:rsid w:val="006E0D74"/>
    <w:rsid w:val="006E2ED4"/>
    <w:rsid w:val="006F1476"/>
    <w:rsid w:val="006F214B"/>
    <w:rsid w:val="00701100"/>
    <w:rsid w:val="00703CE8"/>
    <w:rsid w:val="0070414F"/>
    <w:rsid w:val="00705CCA"/>
    <w:rsid w:val="00706BB8"/>
    <w:rsid w:val="0071283E"/>
    <w:rsid w:val="007228BD"/>
    <w:rsid w:val="0072490E"/>
    <w:rsid w:val="00724972"/>
    <w:rsid w:val="00727D81"/>
    <w:rsid w:val="00731F7D"/>
    <w:rsid w:val="007337D7"/>
    <w:rsid w:val="00744CC6"/>
    <w:rsid w:val="00747F97"/>
    <w:rsid w:val="00751640"/>
    <w:rsid w:val="00753439"/>
    <w:rsid w:val="007534B1"/>
    <w:rsid w:val="00761845"/>
    <w:rsid w:val="00767D1E"/>
    <w:rsid w:val="0077141E"/>
    <w:rsid w:val="00774159"/>
    <w:rsid w:val="00774C61"/>
    <w:rsid w:val="007753B7"/>
    <w:rsid w:val="007757E5"/>
    <w:rsid w:val="007831BD"/>
    <w:rsid w:val="0078537F"/>
    <w:rsid w:val="00787AFD"/>
    <w:rsid w:val="00792C44"/>
    <w:rsid w:val="007938B3"/>
    <w:rsid w:val="007B6A8A"/>
    <w:rsid w:val="007C12A4"/>
    <w:rsid w:val="007C1C96"/>
    <w:rsid w:val="007C4BF0"/>
    <w:rsid w:val="007D6825"/>
    <w:rsid w:val="007D7662"/>
    <w:rsid w:val="007E0474"/>
    <w:rsid w:val="007E09D6"/>
    <w:rsid w:val="007E0B3D"/>
    <w:rsid w:val="007E2791"/>
    <w:rsid w:val="007E3DF6"/>
    <w:rsid w:val="007E7C42"/>
    <w:rsid w:val="007F38CC"/>
    <w:rsid w:val="007F3B79"/>
    <w:rsid w:val="00806CA4"/>
    <w:rsid w:val="008140BF"/>
    <w:rsid w:val="00816791"/>
    <w:rsid w:val="00816EAC"/>
    <w:rsid w:val="00825F73"/>
    <w:rsid w:val="0082602F"/>
    <w:rsid w:val="0082726F"/>
    <w:rsid w:val="008314B4"/>
    <w:rsid w:val="008437FE"/>
    <w:rsid w:val="00847A54"/>
    <w:rsid w:val="0085033F"/>
    <w:rsid w:val="00853958"/>
    <w:rsid w:val="00854E2C"/>
    <w:rsid w:val="008571CA"/>
    <w:rsid w:val="00860518"/>
    <w:rsid w:val="00862F36"/>
    <w:rsid w:val="00866C3C"/>
    <w:rsid w:val="00872113"/>
    <w:rsid w:val="00875DD2"/>
    <w:rsid w:val="00880E28"/>
    <w:rsid w:val="00881A85"/>
    <w:rsid w:val="00882D2B"/>
    <w:rsid w:val="00892B51"/>
    <w:rsid w:val="00892BA0"/>
    <w:rsid w:val="00894822"/>
    <w:rsid w:val="00896E4B"/>
    <w:rsid w:val="00897552"/>
    <w:rsid w:val="008A43AF"/>
    <w:rsid w:val="008A7896"/>
    <w:rsid w:val="008B1505"/>
    <w:rsid w:val="008B2F21"/>
    <w:rsid w:val="008B48A7"/>
    <w:rsid w:val="008C0646"/>
    <w:rsid w:val="008D552A"/>
    <w:rsid w:val="008D5B67"/>
    <w:rsid w:val="008D6D30"/>
    <w:rsid w:val="008E5092"/>
    <w:rsid w:val="008E5112"/>
    <w:rsid w:val="008E680D"/>
    <w:rsid w:val="008E769E"/>
    <w:rsid w:val="008F2724"/>
    <w:rsid w:val="008F52C4"/>
    <w:rsid w:val="00901B4F"/>
    <w:rsid w:val="009021EB"/>
    <w:rsid w:val="00904376"/>
    <w:rsid w:val="009053C4"/>
    <w:rsid w:val="00912B0E"/>
    <w:rsid w:val="00925528"/>
    <w:rsid w:val="00932243"/>
    <w:rsid w:val="009334D5"/>
    <w:rsid w:val="009364D6"/>
    <w:rsid w:val="00937C4F"/>
    <w:rsid w:val="00937D63"/>
    <w:rsid w:val="0094310E"/>
    <w:rsid w:val="00943AA6"/>
    <w:rsid w:val="00944430"/>
    <w:rsid w:val="009454F4"/>
    <w:rsid w:val="009467B9"/>
    <w:rsid w:val="0094683E"/>
    <w:rsid w:val="0094735C"/>
    <w:rsid w:val="00951DB7"/>
    <w:rsid w:val="009613E3"/>
    <w:rsid w:val="00961540"/>
    <w:rsid w:val="00961A0C"/>
    <w:rsid w:val="00965F0C"/>
    <w:rsid w:val="00970034"/>
    <w:rsid w:val="009734DD"/>
    <w:rsid w:val="0098134A"/>
    <w:rsid w:val="00984178"/>
    <w:rsid w:val="0098481D"/>
    <w:rsid w:val="00987845"/>
    <w:rsid w:val="00993E09"/>
    <w:rsid w:val="00997123"/>
    <w:rsid w:val="009B316C"/>
    <w:rsid w:val="009B5264"/>
    <w:rsid w:val="009C1D77"/>
    <w:rsid w:val="009D083A"/>
    <w:rsid w:val="009D16D3"/>
    <w:rsid w:val="009D6CED"/>
    <w:rsid w:val="009E4E54"/>
    <w:rsid w:val="009E5F4E"/>
    <w:rsid w:val="009F1DD6"/>
    <w:rsid w:val="009F5331"/>
    <w:rsid w:val="009F7F06"/>
    <w:rsid w:val="00A01654"/>
    <w:rsid w:val="00A0190E"/>
    <w:rsid w:val="00A039BC"/>
    <w:rsid w:val="00A1645E"/>
    <w:rsid w:val="00A170DC"/>
    <w:rsid w:val="00A178A1"/>
    <w:rsid w:val="00A22FCF"/>
    <w:rsid w:val="00A24EF8"/>
    <w:rsid w:val="00A3244C"/>
    <w:rsid w:val="00A404E0"/>
    <w:rsid w:val="00A40AB4"/>
    <w:rsid w:val="00A4413F"/>
    <w:rsid w:val="00A4615E"/>
    <w:rsid w:val="00A46692"/>
    <w:rsid w:val="00A600AD"/>
    <w:rsid w:val="00A60275"/>
    <w:rsid w:val="00A65493"/>
    <w:rsid w:val="00A70C56"/>
    <w:rsid w:val="00A771DA"/>
    <w:rsid w:val="00A93D9D"/>
    <w:rsid w:val="00A96447"/>
    <w:rsid w:val="00A976F7"/>
    <w:rsid w:val="00AA6066"/>
    <w:rsid w:val="00AB4D3A"/>
    <w:rsid w:val="00AB7308"/>
    <w:rsid w:val="00AC15B2"/>
    <w:rsid w:val="00AC4268"/>
    <w:rsid w:val="00AC5047"/>
    <w:rsid w:val="00AC748B"/>
    <w:rsid w:val="00AD013E"/>
    <w:rsid w:val="00AD2915"/>
    <w:rsid w:val="00AD2EFF"/>
    <w:rsid w:val="00AD4180"/>
    <w:rsid w:val="00AD78DB"/>
    <w:rsid w:val="00AE0058"/>
    <w:rsid w:val="00AF0860"/>
    <w:rsid w:val="00AF39CE"/>
    <w:rsid w:val="00B01181"/>
    <w:rsid w:val="00B07F61"/>
    <w:rsid w:val="00B11DD5"/>
    <w:rsid w:val="00B133F7"/>
    <w:rsid w:val="00B233F8"/>
    <w:rsid w:val="00B23E24"/>
    <w:rsid w:val="00B246D5"/>
    <w:rsid w:val="00B2527A"/>
    <w:rsid w:val="00B26854"/>
    <w:rsid w:val="00B26DCF"/>
    <w:rsid w:val="00B2748C"/>
    <w:rsid w:val="00B3304D"/>
    <w:rsid w:val="00B33A5D"/>
    <w:rsid w:val="00B346B6"/>
    <w:rsid w:val="00B35CD3"/>
    <w:rsid w:val="00B37835"/>
    <w:rsid w:val="00B4508F"/>
    <w:rsid w:val="00B46D0A"/>
    <w:rsid w:val="00B53461"/>
    <w:rsid w:val="00B53646"/>
    <w:rsid w:val="00B54BEE"/>
    <w:rsid w:val="00B570E8"/>
    <w:rsid w:val="00B60AC8"/>
    <w:rsid w:val="00B60CE0"/>
    <w:rsid w:val="00B80934"/>
    <w:rsid w:val="00B85150"/>
    <w:rsid w:val="00B87D0A"/>
    <w:rsid w:val="00B93683"/>
    <w:rsid w:val="00B937FF"/>
    <w:rsid w:val="00BA2E0F"/>
    <w:rsid w:val="00BA4AAE"/>
    <w:rsid w:val="00BA647A"/>
    <w:rsid w:val="00BA672A"/>
    <w:rsid w:val="00BB0050"/>
    <w:rsid w:val="00BB0412"/>
    <w:rsid w:val="00BB528F"/>
    <w:rsid w:val="00BB74E5"/>
    <w:rsid w:val="00BB79CA"/>
    <w:rsid w:val="00BC1B30"/>
    <w:rsid w:val="00BC57D1"/>
    <w:rsid w:val="00BD2EEF"/>
    <w:rsid w:val="00BE1449"/>
    <w:rsid w:val="00BE1832"/>
    <w:rsid w:val="00BE2605"/>
    <w:rsid w:val="00BE2711"/>
    <w:rsid w:val="00BE44CC"/>
    <w:rsid w:val="00BE75C1"/>
    <w:rsid w:val="00BF52E6"/>
    <w:rsid w:val="00BF5C65"/>
    <w:rsid w:val="00BF5D20"/>
    <w:rsid w:val="00BF6677"/>
    <w:rsid w:val="00BF67DD"/>
    <w:rsid w:val="00C006F7"/>
    <w:rsid w:val="00C00E65"/>
    <w:rsid w:val="00C0120E"/>
    <w:rsid w:val="00C02435"/>
    <w:rsid w:val="00C12465"/>
    <w:rsid w:val="00C1451A"/>
    <w:rsid w:val="00C157CA"/>
    <w:rsid w:val="00C15CE8"/>
    <w:rsid w:val="00C1605B"/>
    <w:rsid w:val="00C21472"/>
    <w:rsid w:val="00C246FF"/>
    <w:rsid w:val="00C24C9A"/>
    <w:rsid w:val="00C279E0"/>
    <w:rsid w:val="00C31190"/>
    <w:rsid w:val="00C31B80"/>
    <w:rsid w:val="00C32F25"/>
    <w:rsid w:val="00C4145F"/>
    <w:rsid w:val="00C47CFD"/>
    <w:rsid w:val="00C5631F"/>
    <w:rsid w:val="00C56724"/>
    <w:rsid w:val="00C648B4"/>
    <w:rsid w:val="00C64F37"/>
    <w:rsid w:val="00C702B8"/>
    <w:rsid w:val="00C733F3"/>
    <w:rsid w:val="00C8032C"/>
    <w:rsid w:val="00C80616"/>
    <w:rsid w:val="00C87A78"/>
    <w:rsid w:val="00C913CA"/>
    <w:rsid w:val="00C9555C"/>
    <w:rsid w:val="00CA182D"/>
    <w:rsid w:val="00CA3E6C"/>
    <w:rsid w:val="00CA4940"/>
    <w:rsid w:val="00CA5AD4"/>
    <w:rsid w:val="00CA5B4E"/>
    <w:rsid w:val="00CA78A3"/>
    <w:rsid w:val="00CB5683"/>
    <w:rsid w:val="00CB7F26"/>
    <w:rsid w:val="00CC544D"/>
    <w:rsid w:val="00CC609E"/>
    <w:rsid w:val="00CD2A37"/>
    <w:rsid w:val="00CD3A89"/>
    <w:rsid w:val="00CD536B"/>
    <w:rsid w:val="00CE214F"/>
    <w:rsid w:val="00CE54E3"/>
    <w:rsid w:val="00CE69BF"/>
    <w:rsid w:val="00CE6CA3"/>
    <w:rsid w:val="00CE7B07"/>
    <w:rsid w:val="00CF0467"/>
    <w:rsid w:val="00CF4FB7"/>
    <w:rsid w:val="00D0086E"/>
    <w:rsid w:val="00D10825"/>
    <w:rsid w:val="00D10BB7"/>
    <w:rsid w:val="00D11C13"/>
    <w:rsid w:val="00D130C6"/>
    <w:rsid w:val="00D136CF"/>
    <w:rsid w:val="00D20182"/>
    <w:rsid w:val="00D211E0"/>
    <w:rsid w:val="00D2496A"/>
    <w:rsid w:val="00D271C1"/>
    <w:rsid w:val="00D311AB"/>
    <w:rsid w:val="00D34C9A"/>
    <w:rsid w:val="00D365C4"/>
    <w:rsid w:val="00D379A0"/>
    <w:rsid w:val="00D40D1A"/>
    <w:rsid w:val="00D425DF"/>
    <w:rsid w:val="00D44C2E"/>
    <w:rsid w:val="00D45FF5"/>
    <w:rsid w:val="00D472BD"/>
    <w:rsid w:val="00D5271B"/>
    <w:rsid w:val="00D52872"/>
    <w:rsid w:val="00D63001"/>
    <w:rsid w:val="00D71A7C"/>
    <w:rsid w:val="00D71F19"/>
    <w:rsid w:val="00D73184"/>
    <w:rsid w:val="00D80051"/>
    <w:rsid w:val="00D80E0F"/>
    <w:rsid w:val="00D857E0"/>
    <w:rsid w:val="00D86600"/>
    <w:rsid w:val="00D866A2"/>
    <w:rsid w:val="00D9299F"/>
    <w:rsid w:val="00D97C2E"/>
    <w:rsid w:val="00DA3D76"/>
    <w:rsid w:val="00DA3E1B"/>
    <w:rsid w:val="00DA3EF6"/>
    <w:rsid w:val="00DA7F2B"/>
    <w:rsid w:val="00DB72A9"/>
    <w:rsid w:val="00DC06AD"/>
    <w:rsid w:val="00DC09C2"/>
    <w:rsid w:val="00DD21AA"/>
    <w:rsid w:val="00DD38CC"/>
    <w:rsid w:val="00DE02A9"/>
    <w:rsid w:val="00DE6E5C"/>
    <w:rsid w:val="00DF0D19"/>
    <w:rsid w:val="00DF3E7A"/>
    <w:rsid w:val="00DF4B08"/>
    <w:rsid w:val="00DF6D5B"/>
    <w:rsid w:val="00E008F2"/>
    <w:rsid w:val="00E00903"/>
    <w:rsid w:val="00E03378"/>
    <w:rsid w:val="00E03E71"/>
    <w:rsid w:val="00E05DD4"/>
    <w:rsid w:val="00E12E74"/>
    <w:rsid w:val="00E23D2E"/>
    <w:rsid w:val="00E25A06"/>
    <w:rsid w:val="00E32233"/>
    <w:rsid w:val="00E32D09"/>
    <w:rsid w:val="00E432B1"/>
    <w:rsid w:val="00E46352"/>
    <w:rsid w:val="00E46E42"/>
    <w:rsid w:val="00E52E1C"/>
    <w:rsid w:val="00E537C5"/>
    <w:rsid w:val="00E53899"/>
    <w:rsid w:val="00E61D5A"/>
    <w:rsid w:val="00E63BF4"/>
    <w:rsid w:val="00E711A6"/>
    <w:rsid w:val="00E848D5"/>
    <w:rsid w:val="00E86543"/>
    <w:rsid w:val="00E87702"/>
    <w:rsid w:val="00E90F0B"/>
    <w:rsid w:val="00E9219D"/>
    <w:rsid w:val="00E93938"/>
    <w:rsid w:val="00E95CD5"/>
    <w:rsid w:val="00E96765"/>
    <w:rsid w:val="00EA23C9"/>
    <w:rsid w:val="00EA586C"/>
    <w:rsid w:val="00EA5D20"/>
    <w:rsid w:val="00EB3C04"/>
    <w:rsid w:val="00EB5CB8"/>
    <w:rsid w:val="00EB7C74"/>
    <w:rsid w:val="00EC2231"/>
    <w:rsid w:val="00EC2A92"/>
    <w:rsid w:val="00EC6D0D"/>
    <w:rsid w:val="00EC71B4"/>
    <w:rsid w:val="00ED4A0B"/>
    <w:rsid w:val="00ED7560"/>
    <w:rsid w:val="00EE25D1"/>
    <w:rsid w:val="00EE3CC5"/>
    <w:rsid w:val="00EE53FD"/>
    <w:rsid w:val="00EE557F"/>
    <w:rsid w:val="00EF08A0"/>
    <w:rsid w:val="00EF1C42"/>
    <w:rsid w:val="00EF2646"/>
    <w:rsid w:val="00EF63B5"/>
    <w:rsid w:val="00F019C9"/>
    <w:rsid w:val="00F01B2B"/>
    <w:rsid w:val="00F03B04"/>
    <w:rsid w:val="00F06176"/>
    <w:rsid w:val="00F07A36"/>
    <w:rsid w:val="00F1044F"/>
    <w:rsid w:val="00F1260E"/>
    <w:rsid w:val="00F12741"/>
    <w:rsid w:val="00F130AF"/>
    <w:rsid w:val="00F141EE"/>
    <w:rsid w:val="00F15D34"/>
    <w:rsid w:val="00F17D62"/>
    <w:rsid w:val="00F22E68"/>
    <w:rsid w:val="00F24119"/>
    <w:rsid w:val="00F2452E"/>
    <w:rsid w:val="00F3031B"/>
    <w:rsid w:val="00F3045E"/>
    <w:rsid w:val="00F3294F"/>
    <w:rsid w:val="00F34D39"/>
    <w:rsid w:val="00F36B2C"/>
    <w:rsid w:val="00F40B2C"/>
    <w:rsid w:val="00F46680"/>
    <w:rsid w:val="00F507AB"/>
    <w:rsid w:val="00F531E0"/>
    <w:rsid w:val="00F57761"/>
    <w:rsid w:val="00F57851"/>
    <w:rsid w:val="00F57985"/>
    <w:rsid w:val="00F611BF"/>
    <w:rsid w:val="00F61FCF"/>
    <w:rsid w:val="00F63EEB"/>
    <w:rsid w:val="00F7015C"/>
    <w:rsid w:val="00F70F6E"/>
    <w:rsid w:val="00F72A9E"/>
    <w:rsid w:val="00F745C1"/>
    <w:rsid w:val="00F77E79"/>
    <w:rsid w:val="00F81CEB"/>
    <w:rsid w:val="00F85360"/>
    <w:rsid w:val="00F87488"/>
    <w:rsid w:val="00F90850"/>
    <w:rsid w:val="00F93CF3"/>
    <w:rsid w:val="00F96240"/>
    <w:rsid w:val="00FA2A60"/>
    <w:rsid w:val="00FB0C1B"/>
    <w:rsid w:val="00FB0EC9"/>
    <w:rsid w:val="00FB3860"/>
    <w:rsid w:val="00FB55E6"/>
    <w:rsid w:val="00FB5EEB"/>
    <w:rsid w:val="00FC550D"/>
    <w:rsid w:val="00FD02A6"/>
    <w:rsid w:val="00FD3F2E"/>
    <w:rsid w:val="00FE0921"/>
    <w:rsid w:val="00FE2B89"/>
    <w:rsid w:val="00FF032C"/>
    <w:rsid w:val="00FF037B"/>
    <w:rsid w:val="00FF080B"/>
    <w:rsid w:val="00FF3528"/>
    <w:rsid w:val="00FF4D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748C"/>
    <w:pPr>
      <w:keepNext/>
      <w:numPr>
        <w:numId w:val="2"/>
      </w:numPr>
      <w:spacing w:after="240"/>
      <w:outlineLvl w:val="0"/>
    </w:pPr>
    <w:rPr>
      <w:rFonts w:ascii="Times New Roman Bold" w:hAnsi="Times New Roman Bold" w:eastAsiaTheme="majorEastAsia" w:cstheme="majorBidi"/>
      <w:b/>
      <w:caps/>
      <w:color w:val="000000" w:themeColor="text1"/>
      <w:szCs w:val="32"/>
    </w:rPr>
  </w:style>
  <w:style w:type="paragraph" w:styleId="Heading2">
    <w:name w:val="heading 2"/>
    <w:basedOn w:val="Normal"/>
    <w:next w:val="Normal"/>
    <w:link w:val="Heading2Char"/>
    <w:uiPriority w:val="9"/>
    <w:unhideWhenUsed/>
    <w:qFormat/>
    <w:rsid w:val="00882D2B"/>
    <w:pPr>
      <w:keepNext/>
      <w:keepLines/>
      <w:numPr>
        <w:numId w:val="3"/>
      </w:numPr>
      <w:spacing w:after="240"/>
      <w:ind w:left="1440" w:hanging="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938B3"/>
    <w:pPr>
      <w:keepNext/>
      <w:keepLines/>
      <w:numPr>
        <w:numId w:val="10"/>
      </w:numPr>
      <w:spacing w:after="240"/>
      <w:ind w:left="2160" w:hanging="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1F0191"/>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E42"/>
    <w:pPr>
      <w:tabs>
        <w:tab w:val="center" w:pos="4680"/>
        <w:tab w:val="right" w:pos="9360"/>
      </w:tabs>
    </w:pPr>
  </w:style>
  <w:style w:type="character" w:customStyle="1" w:styleId="HeaderChar">
    <w:name w:val="Header Char"/>
    <w:basedOn w:val="DefaultParagraphFont"/>
    <w:link w:val="Header"/>
    <w:uiPriority w:val="99"/>
    <w:rsid w:val="00E46E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6E42"/>
    <w:pPr>
      <w:tabs>
        <w:tab w:val="center" w:pos="4680"/>
        <w:tab w:val="right" w:pos="9360"/>
      </w:tabs>
    </w:pPr>
  </w:style>
  <w:style w:type="character" w:customStyle="1" w:styleId="FooterChar">
    <w:name w:val="Footer Char"/>
    <w:basedOn w:val="DefaultParagraphFont"/>
    <w:link w:val="Footer"/>
    <w:uiPriority w:val="99"/>
    <w:rsid w:val="00E46E4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48C"/>
    <w:rPr>
      <w:rFonts w:ascii="Times New Roman Bold" w:hAnsi="Times New Roman Bold" w:eastAsiaTheme="majorEastAsia" w:cstheme="majorBidi"/>
      <w:b/>
      <w:caps/>
      <w:color w:val="000000" w:themeColor="text1"/>
      <w:sz w:val="24"/>
      <w:szCs w:val="32"/>
    </w:rPr>
  </w:style>
  <w:style w:type="character" w:customStyle="1" w:styleId="Heading2Char">
    <w:name w:val="Heading 2 Char"/>
    <w:basedOn w:val="DefaultParagraphFont"/>
    <w:link w:val="Heading2"/>
    <w:uiPriority w:val="9"/>
    <w:rsid w:val="00882D2B"/>
    <w:rPr>
      <w:rFonts w:ascii="Times New Roman" w:hAnsi="Times New Roman" w:eastAsiaTheme="majorEastAsia" w:cstheme="majorBidi"/>
      <w:b/>
      <w:sz w:val="24"/>
      <w:szCs w:val="26"/>
    </w:rPr>
  </w:style>
  <w:style w:type="character" w:styleId="Hyperlink">
    <w:name w:val="Hyperlink"/>
    <w:basedOn w:val="DefaultParagraphFont"/>
    <w:uiPriority w:val="99"/>
    <w:unhideWhenUsed/>
    <w:rsid w:val="00E008F2"/>
    <w:rPr>
      <w:color w:val="0563C1" w:themeColor="hyperlink"/>
      <w:u w:val="single"/>
    </w:rPr>
  </w:style>
  <w:style w:type="character" w:customStyle="1" w:styleId="UnresolvedMention1">
    <w:name w:val="Unresolved Mention1"/>
    <w:basedOn w:val="DefaultParagraphFont"/>
    <w:uiPriority w:val="99"/>
    <w:semiHidden/>
    <w:unhideWhenUsed/>
    <w:rsid w:val="00E008F2"/>
    <w:rPr>
      <w:color w:val="605E5C"/>
      <w:shd w:val="clear" w:color="auto" w:fill="E1DFDD"/>
    </w:rPr>
  </w:style>
  <w:style w:type="character" w:styleId="CommentReference">
    <w:name w:val="annotation reference"/>
    <w:basedOn w:val="DefaultParagraphFont"/>
    <w:uiPriority w:val="99"/>
    <w:semiHidden/>
    <w:unhideWhenUsed/>
    <w:rsid w:val="00F06176"/>
    <w:rPr>
      <w:sz w:val="16"/>
      <w:szCs w:val="16"/>
    </w:rPr>
  </w:style>
  <w:style w:type="paragraph" w:styleId="CommentText">
    <w:name w:val="annotation text"/>
    <w:basedOn w:val="Normal"/>
    <w:link w:val="CommentTextChar"/>
    <w:unhideWhenUsed/>
    <w:rsid w:val="00F06176"/>
    <w:rPr>
      <w:sz w:val="20"/>
      <w:szCs w:val="20"/>
    </w:rPr>
  </w:style>
  <w:style w:type="character" w:customStyle="1" w:styleId="CommentTextChar">
    <w:name w:val="Comment Text Char"/>
    <w:basedOn w:val="DefaultParagraphFont"/>
    <w:link w:val="CommentText"/>
    <w:rsid w:val="00F061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176"/>
    <w:rPr>
      <w:b/>
      <w:bCs/>
    </w:rPr>
  </w:style>
  <w:style w:type="character" w:customStyle="1" w:styleId="CommentSubjectChar">
    <w:name w:val="Comment Subject Char"/>
    <w:basedOn w:val="CommentTextChar"/>
    <w:link w:val="CommentSubject"/>
    <w:uiPriority w:val="99"/>
    <w:semiHidden/>
    <w:rsid w:val="00F06176"/>
    <w:rPr>
      <w:rFonts w:ascii="Times New Roman" w:eastAsia="Times New Roman" w:hAnsi="Times New Roman" w:cs="Times New Roman"/>
      <w:b/>
      <w:bCs/>
      <w:sz w:val="20"/>
      <w:szCs w:val="20"/>
    </w:rPr>
  </w:style>
  <w:style w:type="paragraph" w:styleId="ListParagraph">
    <w:name w:val="List Paragraph"/>
    <w:basedOn w:val="Normal"/>
    <w:uiPriority w:val="34"/>
    <w:qFormat/>
    <w:rsid w:val="00F3294F"/>
    <w:pPr>
      <w:ind w:left="720"/>
      <w:contextualSpacing/>
    </w:pPr>
  </w:style>
  <w:style w:type="character" w:customStyle="1" w:styleId="LBFileStampAtCursor">
    <w:name w:val="*LBFileStampAtCursor"/>
    <w:aliases w:val="FSC"/>
    <w:rsid w:val="005A6FAF"/>
    <w:rPr>
      <w:rFonts w:ascii="Times New Roman" w:hAnsi="Times New Roman" w:cs="Times New Roman"/>
      <w:sz w:val="16"/>
      <w:szCs w:val="32"/>
    </w:rPr>
  </w:style>
  <w:style w:type="paragraph" w:customStyle="1" w:styleId="LBFileStampAtEnd">
    <w:name w:val="*LBFileStampAtEnd"/>
    <w:aliases w:val="FSE"/>
    <w:basedOn w:val="Normal"/>
    <w:rsid w:val="005A6FAF"/>
    <w:pPr>
      <w:spacing w:before="360"/>
    </w:pPr>
    <w:rPr>
      <w:sz w:val="16"/>
      <w:szCs w:val="32"/>
    </w:rPr>
  </w:style>
  <w:style w:type="character" w:customStyle="1" w:styleId="Heading3Char">
    <w:name w:val="Heading 3 Char"/>
    <w:basedOn w:val="DefaultParagraphFont"/>
    <w:link w:val="Heading3"/>
    <w:uiPriority w:val="9"/>
    <w:rsid w:val="007938B3"/>
    <w:rPr>
      <w:rFonts w:ascii="Times New Roman" w:hAnsi="Times New Roman" w:eastAsiaTheme="majorEastAsia" w:cstheme="majorBidi"/>
      <w:b/>
      <w:sz w:val="24"/>
      <w:szCs w:val="24"/>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5700D8"/>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5700D8"/>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5700D8"/>
    <w:rPr>
      <w:vertAlign w:val="superscript"/>
    </w:rPr>
  </w:style>
  <w:style w:type="paragraph" w:styleId="BodyText">
    <w:name w:val="Body Text"/>
    <w:basedOn w:val="Normal"/>
    <w:link w:val="BodyTextChar"/>
    <w:uiPriority w:val="1"/>
    <w:qFormat/>
    <w:rsid w:val="00BF5C65"/>
    <w:pPr>
      <w:widowControl w:val="0"/>
      <w:autoSpaceDE w:val="0"/>
      <w:autoSpaceDN w:val="0"/>
    </w:pPr>
    <w:rPr>
      <w:lang w:bidi="en-US"/>
    </w:rPr>
  </w:style>
  <w:style w:type="character" w:customStyle="1" w:styleId="BodyTextChar">
    <w:name w:val="Body Text Char"/>
    <w:basedOn w:val="DefaultParagraphFont"/>
    <w:link w:val="BodyText"/>
    <w:uiPriority w:val="1"/>
    <w:rsid w:val="00BF5C65"/>
    <w:rPr>
      <w:rFonts w:ascii="Times New Roman" w:eastAsia="Times New Roman" w:hAnsi="Times New Roman" w:cs="Times New Roman"/>
      <w:sz w:val="24"/>
      <w:szCs w:val="24"/>
      <w:lang w:bidi="en-US"/>
    </w:rPr>
  </w:style>
  <w:style w:type="paragraph" w:styleId="HTMLPreformatted">
    <w:name w:val="HTML Preformatted"/>
    <w:aliases w:val=" Char,Char"/>
    <w:basedOn w:val="Normal"/>
    <w:link w:val="HTMLPreformattedChar"/>
    <w:unhideWhenUsed/>
    <w:rsid w:val="0004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04570A"/>
    <w:rPr>
      <w:rFonts w:ascii="Courier New" w:eastAsia="Courier New" w:hAnsi="Courier New" w:cs="Courier New"/>
      <w:sz w:val="20"/>
      <w:szCs w:val="20"/>
    </w:rPr>
  </w:style>
  <w:style w:type="paragraph" w:styleId="Revision">
    <w:name w:val="Revision"/>
    <w:hidden/>
    <w:uiPriority w:val="99"/>
    <w:semiHidden/>
    <w:rsid w:val="00B233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BA0"/>
    <w:rPr>
      <w:sz w:val="18"/>
      <w:szCs w:val="18"/>
    </w:rPr>
  </w:style>
  <w:style w:type="character" w:customStyle="1" w:styleId="BalloonTextChar">
    <w:name w:val="Balloon Text Char"/>
    <w:basedOn w:val="DefaultParagraphFont"/>
    <w:link w:val="BalloonText"/>
    <w:uiPriority w:val="99"/>
    <w:semiHidden/>
    <w:rsid w:val="00892BA0"/>
    <w:rPr>
      <w:rFonts w:ascii="Times New Roman" w:eastAsia="Times New Roman" w:hAnsi="Times New Roman" w:cs="Times New Roman"/>
      <w:sz w:val="18"/>
      <w:szCs w:val="18"/>
    </w:rPr>
  </w:style>
  <w:style w:type="character" w:customStyle="1" w:styleId="UnresolvedMention2">
    <w:name w:val="Unresolved Mention2"/>
    <w:basedOn w:val="DefaultParagraphFont"/>
    <w:uiPriority w:val="99"/>
    <w:rsid w:val="00FA2A60"/>
    <w:rPr>
      <w:color w:val="605E5C"/>
      <w:shd w:val="clear" w:color="auto" w:fill="E1DFDD"/>
    </w:rPr>
  </w:style>
  <w:style w:type="paragraph" w:styleId="TOC1">
    <w:name w:val="toc 1"/>
    <w:basedOn w:val="Normal"/>
    <w:next w:val="Normal"/>
    <w:autoRedefine/>
    <w:uiPriority w:val="39"/>
    <w:unhideWhenUsed/>
    <w:rsid w:val="00CA4940"/>
    <w:pPr>
      <w:tabs>
        <w:tab w:val="decimal" w:leader="dot" w:pos="9360"/>
      </w:tabs>
      <w:spacing w:after="240"/>
      <w:ind w:left="720" w:hanging="720"/>
    </w:pPr>
  </w:style>
  <w:style w:type="paragraph" w:styleId="TOC2">
    <w:name w:val="toc 2"/>
    <w:basedOn w:val="Normal"/>
    <w:next w:val="Normal"/>
    <w:autoRedefine/>
    <w:uiPriority w:val="39"/>
    <w:unhideWhenUsed/>
    <w:rsid w:val="005825F1"/>
    <w:pPr>
      <w:tabs>
        <w:tab w:val="decimal" w:leader="dot" w:pos="9360"/>
      </w:tabs>
      <w:spacing w:after="240"/>
      <w:ind w:left="1440" w:hanging="720"/>
    </w:pPr>
  </w:style>
  <w:style w:type="paragraph" w:styleId="TOC3">
    <w:name w:val="toc 3"/>
    <w:basedOn w:val="Normal"/>
    <w:next w:val="Normal"/>
    <w:autoRedefine/>
    <w:uiPriority w:val="39"/>
    <w:unhideWhenUsed/>
    <w:rsid w:val="005825F1"/>
    <w:pPr>
      <w:tabs>
        <w:tab w:val="decimal" w:leader="dot" w:pos="936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yperlink" Target="mailto:werner.margard@ohioAGO.gov" TargetMode="External" /><Relationship Id="rId14" Type="http://schemas.openxmlformats.org/officeDocument/2006/relationships/hyperlink" Target="mailto:sarah.feldkamp@ohioAGO.gov" TargetMode="External" /><Relationship Id="rId15" Type="http://schemas.openxmlformats.org/officeDocument/2006/relationships/hyperlink" Target="mailto:thomas.lindgren@ohioAGO.gov" TargetMode="External" /><Relationship Id="rId16" Type="http://schemas.openxmlformats.org/officeDocument/2006/relationships/hyperlink" Target="mailto:rlazer@elpc.org" TargetMode="External" /><Relationship Id="rId17" Type="http://schemas.openxmlformats.org/officeDocument/2006/relationships/hyperlink" Target="mailto:rkelter@elpc.org" TargetMode="External" /><Relationship Id="rId18" Type="http://schemas.openxmlformats.org/officeDocument/2006/relationships/hyperlink" Target="mailto:jweber@elpc.org" TargetMode="External" /><Relationship Id="rId19" Type="http://schemas.openxmlformats.org/officeDocument/2006/relationships/hyperlink" Target="mailto:trhayslaw@gmail.com" TargetMode="External" /><Relationship Id="rId2" Type="http://schemas.openxmlformats.org/officeDocument/2006/relationships/settings" Target="settings.xml" /><Relationship Id="rId20" Type="http://schemas.openxmlformats.org/officeDocument/2006/relationships/hyperlink" Target="mailto:leslie.kovacik@toledo.oh.gov" TargetMode="External" /><Relationship Id="rId21" Type="http://schemas.openxmlformats.org/officeDocument/2006/relationships/hyperlink" Target="mailto:evan.betterton@igs.com" TargetMode="External" /><Relationship Id="rId22" Type="http://schemas.openxmlformats.org/officeDocument/2006/relationships/hyperlink" Target="mailto:joe.oliker@igs.com" TargetMode="External" /><Relationship Id="rId23" Type="http://schemas.openxmlformats.org/officeDocument/2006/relationships/hyperlink" Target="mailto:michael.nugent@igs.com" TargetMode="External" /><Relationship Id="rId24" Type="http://schemas.openxmlformats.org/officeDocument/2006/relationships/hyperlink" Target="mailto:mkurtz@BKLlawfirm.com" TargetMode="External" /><Relationship Id="rId25" Type="http://schemas.openxmlformats.org/officeDocument/2006/relationships/hyperlink" Target="mailto:kboehm@BKLlawfirm.com" TargetMode="External" /><Relationship Id="rId26" Type="http://schemas.openxmlformats.org/officeDocument/2006/relationships/hyperlink" Target="mailto:jkylercohn@BKLlawfirm.com" TargetMode="External" /><Relationship Id="rId27" Type="http://schemas.openxmlformats.org/officeDocument/2006/relationships/hyperlink" Target="mailto:megan.addison@puco.ohio.gov" TargetMode="External" /><Relationship Id="rId28" Type="http://schemas.openxmlformats.org/officeDocument/2006/relationships/hyperlink" Target="mailto:jacqueline.st.john@puco.ohio.gov"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sgoyal@jonesday.com" TargetMode="External" /><Relationship Id="rId34" Type="http://schemas.openxmlformats.org/officeDocument/2006/relationships/hyperlink" Target="mailto:dborchers@bricker.com" TargetMode="External" /><Relationship Id="rId35" Type="http://schemas.openxmlformats.org/officeDocument/2006/relationships/hyperlink" Target="mailto:dparram@bricker.com" TargetMode="External" /><Relationship Id="rId36" Type="http://schemas.openxmlformats.org/officeDocument/2006/relationships/hyperlink" Target="mailto:rmains@bricker.com" TargetMode="External" /><Relationship Id="rId37" Type="http://schemas.openxmlformats.org/officeDocument/2006/relationships/hyperlink" Target="mailto:ctavenor@theOEC.org" TargetMode="External" /><Relationship Id="rId38" Type="http://schemas.openxmlformats.org/officeDocument/2006/relationships/hyperlink" Target="mailto:rdove@keglerbrown.com" TargetMode="External" /><Relationship Id="rId39" Type="http://schemas.openxmlformats.org/officeDocument/2006/relationships/hyperlink" Target="mailto:mpritchard@mcneeslaw.com" TargetMode="External" /><Relationship Id="rId4" Type="http://schemas.openxmlformats.org/officeDocument/2006/relationships/fontTable" Target="fontTable.xml" /><Relationship Id="rId40" Type="http://schemas.openxmlformats.org/officeDocument/2006/relationships/hyperlink" Target="mailto:bmckenney@mcneeslaw.com" TargetMode="External" /><Relationship Id="rId41" Type="http://schemas.openxmlformats.org/officeDocument/2006/relationships/hyperlink" Target="mailto:Bojko@carpenterlipps.com" TargetMode="External" /><Relationship Id="rId42" Type="http://schemas.openxmlformats.org/officeDocument/2006/relationships/hyperlink" Target="mailto:Donadio@carpenterlipps.com" TargetMode="External" /><Relationship Id="rId43" Type="http://schemas.openxmlformats.org/officeDocument/2006/relationships/hyperlink" Target="mailto:mwise@mcdonaldhopkins.com" TargetMode="External" /><Relationship Id="rId44" Type="http://schemas.openxmlformats.org/officeDocument/2006/relationships/hyperlink" Target="mailto:trent@hubaydougherty.com" TargetMode="Externa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0F52-0DAE-4171-9A8C-F0D25CE6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2022-03-21T21:02:31Z</dcterms:created>
  <dcterms:modified xsi:type="dcterms:W3CDTF">2022-03-21T21:02:31Z</dcterms:modified>
</cp:coreProperties>
</file>