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B16F65" w:rsidRDefault="002156EF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-1038225</wp:posOffset>
            </wp:positionV>
            <wp:extent cx="2609850" cy="876300"/>
            <wp:effectExtent l="0" t="0" r="0" b="0"/>
            <wp:wrapNone/>
            <wp:docPr id="4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="00B16F65"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940560" w:rsidRDefault="00D763FB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June 23</w:t>
      </w:r>
      <w:r w:rsidR="00134168">
        <w:rPr>
          <w:rFonts w:ascii="Arial" w:hAnsi="Arial" w:cs="Arial"/>
          <w:noProof/>
          <w:sz w:val="20"/>
          <w:szCs w:val="20"/>
        </w:rPr>
        <w:t>, 2017</w:t>
      </w: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3E20E3" w:rsidRPr="00940560" w:rsidRDefault="003E20E3" w:rsidP="003E20E3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r>
        <w:rPr>
          <w:rFonts w:ascii="Arial" w:hAnsi="Arial" w:cs="Arial"/>
          <w:sz w:val="20"/>
          <w:szCs w:val="20"/>
        </w:rPr>
        <w:t>Betty McCauley, Docketing Division</w:t>
      </w:r>
    </w:p>
    <w:p w:rsidR="003E20E3" w:rsidRPr="00940560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3E20E3" w:rsidRPr="00940560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3E20E3" w:rsidRPr="00940560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3E20E3" w:rsidRPr="00940560" w:rsidRDefault="003E20E3" w:rsidP="003E20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0E3" w:rsidRPr="00940560" w:rsidRDefault="003E20E3" w:rsidP="003E20E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Re:</w:t>
      </w:r>
      <w:r w:rsidRPr="00940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CenturyTel of Ohio, Inc.</w:t>
      </w:r>
      <w:r w:rsidRPr="001D5294">
        <w:rPr>
          <w:rFonts w:ascii="Arial" w:hAnsi="Arial" w:cs="Arial"/>
          <w:sz w:val="20"/>
          <w:szCs w:val="20"/>
        </w:rPr>
        <w:t xml:space="preserve"> d/b/a CenturyLink</w:t>
      </w:r>
      <w:r w:rsidRPr="00940560">
        <w:rPr>
          <w:rFonts w:ascii="Arial" w:hAnsi="Arial" w:cs="Arial"/>
          <w:sz w:val="20"/>
          <w:szCs w:val="20"/>
        </w:rPr>
        <w:t xml:space="preserve"> </w:t>
      </w:r>
    </w:p>
    <w:p w:rsidR="003E20E3" w:rsidRDefault="003E20E3" w:rsidP="00134168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</w:r>
      <w:r w:rsidRPr="00695586">
        <w:rPr>
          <w:rFonts w:ascii="Arial" w:hAnsi="Arial" w:cs="Arial"/>
          <w:sz w:val="20"/>
          <w:szCs w:val="20"/>
        </w:rPr>
        <w:t>Case No.</w:t>
      </w:r>
      <w:bookmarkStart w:id="0" w:name="OLE_LINK1"/>
      <w:r w:rsidRPr="00695586">
        <w:rPr>
          <w:rFonts w:ascii="Arial" w:hAnsi="Arial" w:cs="Arial"/>
          <w:sz w:val="20"/>
          <w:szCs w:val="20"/>
        </w:rPr>
        <w:t xml:space="preserve"> 90-5010-TP-TRF</w:t>
      </w:r>
      <w:bookmarkEnd w:id="0"/>
      <w:r w:rsidRPr="00695586">
        <w:rPr>
          <w:rFonts w:ascii="Arial" w:hAnsi="Arial" w:cs="Arial"/>
          <w:sz w:val="20"/>
          <w:szCs w:val="20"/>
        </w:rPr>
        <w:t xml:space="preserve"> and Case No. </w:t>
      </w:r>
      <w:r w:rsidR="00134168" w:rsidRPr="00134168">
        <w:rPr>
          <w:rFonts w:ascii="Arial" w:hAnsi="Arial" w:cs="Arial"/>
          <w:sz w:val="20"/>
          <w:szCs w:val="20"/>
        </w:rPr>
        <w:t>17-1204-TP-ZTA</w:t>
      </w:r>
    </w:p>
    <w:p w:rsidR="00134168" w:rsidRPr="00940560" w:rsidRDefault="00134168" w:rsidP="00134168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</w:p>
    <w:p w:rsidR="003E20E3" w:rsidRPr="00B16F65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Ms. McCauley</w:t>
      </w:r>
      <w:r w:rsidRPr="00B16F65">
        <w:rPr>
          <w:rFonts w:ascii="Arial" w:hAnsi="Arial" w:cs="Arial"/>
          <w:sz w:val="20"/>
          <w:szCs w:val="20"/>
        </w:rPr>
        <w:t>:</w:t>
      </w:r>
    </w:p>
    <w:p w:rsidR="003E20E3" w:rsidRPr="00B16F65" w:rsidRDefault="003E20E3" w:rsidP="00134168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D763FB" w:rsidRDefault="003E20E3" w:rsidP="00D763F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>Enclosed for filin</w:t>
      </w:r>
      <w:r w:rsidRPr="000C317E">
        <w:rPr>
          <w:rFonts w:ascii="Arial" w:hAnsi="Arial" w:cs="Arial"/>
          <w:sz w:val="20"/>
          <w:szCs w:val="20"/>
        </w:rPr>
        <w:t xml:space="preserve">g is CenturyTel of Ohio, Inc. d/b/a CenturyLink’s tariff to increase </w:t>
      </w:r>
      <w:r>
        <w:rPr>
          <w:rFonts w:ascii="Arial" w:hAnsi="Arial" w:cs="Arial"/>
          <w:sz w:val="20"/>
          <w:szCs w:val="20"/>
        </w:rPr>
        <w:t xml:space="preserve">Business and </w:t>
      </w:r>
      <w:r w:rsidRPr="003E20E3">
        <w:rPr>
          <w:rFonts w:ascii="Arial" w:hAnsi="Arial" w:cs="Arial"/>
          <w:sz w:val="20"/>
          <w:szCs w:val="20"/>
        </w:rPr>
        <w:t>Residential/Church Initial Line rate</w:t>
      </w:r>
      <w:r>
        <w:rPr>
          <w:rFonts w:ascii="Arial" w:hAnsi="Arial" w:cs="Arial"/>
          <w:sz w:val="20"/>
          <w:szCs w:val="20"/>
        </w:rPr>
        <w:t xml:space="preserve">s. </w:t>
      </w:r>
      <w:r w:rsidR="000C5231">
        <w:rPr>
          <w:rFonts w:ascii="Arial" w:hAnsi="Arial" w:cs="Arial"/>
          <w:sz w:val="20"/>
          <w:szCs w:val="20"/>
        </w:rPr>
        <w:t>This filing also reflects the new maximum rates for these services.</w:t>
      </w:r>
    </w:p>
    <w:tbl>
      <w:tblPr>
        <w:tblW w:w="0" w:type="auto"/>
        <w:tblLook w:val="04A0"/>
      </w:tblPr>
      <w:tblGrid>
        <w:gridCol w:w="1008"/>
        <w:gridCol w:w="990"/>
        <w:gridCol w:w="1890"/>
      </w:tblGrid>
      <w:tr w:rsidR="001936AC" w:rsidRPr="001936AC" w:rsidTr="001936AC">
        <w:tc>
          <w:tcPr>
            <w:tcW w:w="1008" w:type="dxa"/>
            <w:vAlign w:val="center"/>
            <w:hideMark/>
          </w:tcPr>
          <w:p w:rsidR="001936AC" w:rsidRPr="001936AC" w:rsidRDefault="001936AC" w:rsidP="00193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936A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Section</w:t>
            </w:r>
          </w:p>
        </w:tc>
        <w:tc>
          <w:tcPr>
            <w:tcW w:w="990" w:type="dxa"/>
            <w:vAlign w:val="center"/>
            <w:hideMark/>
          </w:tcPr>
          <w:p w:rsidR="001936AC" w:rsidRPr="001936AC" w:rsidRDefault="001936AC" w:rsidP="00193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936A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Sheet</w:t>
            </w:r>
          </w:p>
        </w:tc>
        <w:tc>
          <w:tcPr>
            <w:tcW w:w="1890" w:type="dxa"/>
            <w:vAlign w:val="center"/>
            <w:hideMark/>
          </w:tcPr>
          <w:p w:rsidR="001936AC" w:rsidRPr="001936AC" w:rsidRDefault="001936AC" w:rsidP="00193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936A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Revision</w:t>
            </w:r>
          </w:p>
        </w:tc>
      </w:tr>
      <w:tr w:rsidR="001936AC" w:rsidRPr="001936AC" w:rsidTr="001936AC">
        <w:tc>
          <w:tcPr>
            <w:tcW w:w="1008" w:type="dxa"/>
            <w:hideMark/>
          </w:tcPr>
          <w:p w:rsidR="001936AC" w:rsidRPr="001936AC" w:rsidRDefault="001936AC" w:rsidP="00193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36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:rsidR="001936AC" w:rsidRPr="001936AC" w:rsidRDefault="001936AC" w:rsidP="00193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1936AC" w:rsidRPr="001936AC" w:rsidRDefault="001936AC" w:rsidP="00193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  <w:r w:rsidRPr="001936AC">
              <w:rPr>
                <w:rFonts w:ascii="Arial" w:eastAsia="Times New Roman" w:hAnsi="Arial" w:cs="Arial"/>
                <w:sz w:val="20"/>
                <w:szCs w:val="20"/>
              </w:rPr>
              <w:t xml:space="preserve"> Revised</w:t>
            </w:r>
          </w:p>
        </w:tc>
      </w:tr>
      <w:tr w:rsidR="001936AC" w:rsidRPr="001936AC" w:rsidTr="001936AC">
        <w:tc>
          <w:tcPr>
            <w:tcW w:w="1008" w:type="dxa"/>
            <w:hideMark/>
          </w:tcPr>
          <w:p w:rsidR="001936AC" w:rsidRPr="001936AC" w:rsidRDefault="001936AC" w:rsidP="00193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:rsidR="001936AC" w:rsidRDefault="001936AC" w:rsidP="00193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90" w:type="dxa"/>
            <w:hideMark/>
          </w:tcPr>
          <w:p w:rsidR="001936AC" w:rsidRDefault="001936AC" w:rsidP="00193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1st</w:t>
            </w:r>
            <w:r w:rsidRPr="001936AC">
              <w:rPr>
                <w:rFonts w:ascii="Arial" w:eastAsia="Times New Roman" w:hAnsi="Arial" w:cs="Arial"/>
                <w:sz w:val="20"/>
                <w:szCs w:val="20"/>
              </w:rPr>
              <w:t xml:space="preserve"> Revised</w:t>
            </w:r>
          </w:p>
        </w:tc>
      </w:tr>
    </w:tbl>
    <w:p w:rsidR="003E20E3" w:rsidRDefault="003E20E3" w:rsidP="00134168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1936AC" w:rsidRPr="00242C67" w:rsidRDefault="001936AC" w:rsidP="001936A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ED507F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is is an</w:t>
      </w:r>
      <w:r w:rsidRPr="00ED507F">
        <w:rPr>
          <w:rFonts w:ascii="Arial" w:hAnsi="Arial" w:cs="Arial"/>
          <w:sz w:val="20"/>
          <w:szCs w:val="20"/>
        </w:rPr>
        <w:t xml:space="preserve"> </w:t>
      </w:r>
      <w:r w:rsidRPr="00D763FB">
        <w:rPr>
          <w:rFonts w:ascii="Arial" w:hAnsi="Arial" w:cs="Arial"/>
          <w:b/>
          <w:sz w:val="20"/>
          <w:szCs w:val="20"/>
        </w:rPr>
        <w:t>amended</w:t>
      </w:r>
      <w:r>
        <w:rPr>
          <w:rFonts w:ascii="Arial" w:hAnsi="Arial" w:cs="Arial"/>
          <w:sz w:val="20"/>
          <w:szCs w:val="20"/>
        </w:rPr>
        <w:t xml:space="preserve"> filing. The original </w:t>
      </w:r>
      <w:r w:rsidRPr="00ED507F">
        <w:rPr>
          <w:rFonts w:ascii="Arial" w:hAnsi="Arial" w:cs="Arial"/>
          <w:sz w:val="20"/>
          <w:szCs w:val="20"/>
        </w:rPr>
        <w:t xml:space="preserve">tariff sheets </w:t>
      </w:r>
      <w:r>
        <w:rPr>
          <w:rFonts w:ascii="Arial" w:hAnsi="Arial" w:cs="Arial"/>
          <w:sz w:val="20"/>
          <w:szCs w:val="20"/>
        </w:rPr>
        <w:t>were</w:t>
      </w:r>
      <w:r w:rsidRPr="00ED507F">
        <w:rPr>
          <w:rFonts w:ascii="Arial" w:hAnsi="Arial" w:cs="Arial"/>
          <w:sz w:val="20"/>
          <w:szCs w:val="20"/>
        </w:rPr>
        <w:t xml:space="preserve"> filed with a</w:t>
      </w:r>
      <w:r>
        <w:rPr>
          <w:rFonts w:ascii="Arial" w:hAnsi="Arial" w:cs="Arial"/>
          <w:sz w:val="20"/>
          <w:szCs w:val="20"/>
        </w:rPr>
        <w:t xml:space="preserve"> May 12, 2017</w:t>
      </w:r>
      <w:r w:rsidRPr="00ED507F">
        <w:rPr>
          <w:rFonts w:ascii="Arial" w:hAnsi="Arial" w:cs="Arial"/>
          <w:sz w:val="20"/>
          <w:szCs w:val="20"/>
        </w:rPr>
        <w:t xml:space="preserve"> issue date and an effective date of </w:t>
      </w:r>
      <w:r>
        <w:rPr>
          <w:rFonts w:ascii="Arial" w:hAnsi="Arial" w:cs="Arial"/>
          <w:sz w:val="20"/>
          <w:szCs w:val="20"/>
        </w:rPr>
        <w:t>May 15, 2017</w:t>
      </w:r>
      <w:r w:rsidRPr="00ED507F">
        <w:rPr>
          <w:rFonts w:ascii="Arial" w:hAnsi="Arial" w:cs="Arial"/>
          <w:sz w:val="20"/>
          <w:szCs w:val="20"/>
        </w:rPr>
        <w:t>.</w:t>
      </w:r>
      <w:r w:rsidRPr="00242C67">
        <w:rPr>
          <w:rFonts w:ascii="Arial" w:hAnsi="Arial" w:cs="Arial"/>
          <w:sz w:val="20"/>
          <w:szCs w:val="20"/>
        </w:rPr>
        <w:t xml:space="preserve">  </w:t>
      </w:r>
      <w:r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>
        <w:rPr>
          <w:rFonts w:ascii="Arial" w:hAnsi="Arial" w:cs="Arial"/>
          <w:sz w:val="20"/>
          <w:szCs w:val="20"/>
        </w:rPr>
        <w:t xml:space="preserve">Mr. </w:t>
      </w:r>
      <w:r w:rsidRPr="006B11D0">
        <w:rPr>
          <w:rFonts w:ascii="Arial" w:hAnsi="Arial" w:cs="Arial"/>
          <w:sz w:val="20"/>
          <w:szCs w:val="20"/>
        </w:rPr>
        <w:t>Joshua</w:t>
      </w:r>
      <w:r>
        <w:rPr>
          <w:rFonts w:ascii="Arial" w:hAnsi="Arial" w:cs="Arial"/>
          <w:sz w:val="20"/>
          <w:szCs w:val="20"/>
        </w:rPr>
        <w:t xml:space="preserve"> </w:t>
      </w:r>
      <w:r w:rsidRPr="006B11D0">
        <w:rPr>
          <w:rFonts w:ascii="Arial" w:hAnsi="Arial" w:cs="Arial"/>
          <w:sz w:val="20"/>
          <w:szCs w:val="20"/>
        </w:rPr>
        <w:t>Motzer</w:t>
      </w:r>
      <w:r w:rsidRPr="00F21973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(</w:t>
      </w:r>
      <w:r w:rsidRPr="00242C67">
        <w:rPr>
          <w:rFonts w:ascii="Arial" w:hAnsi="Arial" w:cs="Arial"/>
          <w:sz w:val="20"/>
          <w:szCs w:val="20"/>
        </w:rPr>
        <w:t>614</w:t>
      </w:r>
      <w:r>
        <w:rPr>
          <w:rFonts w:ascii="Arial" w:hAnsi="Arial" w:cs="Arial"/>
          <w:sz w:val="20"/>
          <w:szCs w:val="20"/>
        </w:rPr>
        <w:t>) 221-</w:t>
      </w:r>
      <w:r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:rsidR="003E20E3" w:rsidRPr="000C317E" w:rsidRDefault="003E20E3" w:rsidP="003E20E3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3E20E3" w:rsidRPr="000C317E" w:rsidRDefault="003E20E3" w:rsidP="003E20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3E20E3" w:rsidRPr="000C317E" w:rsidRDefault="006110EA" w:rsidP="003E20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89535</wp:posOffset>
            </wp:positionV>
            <wp:extent cx="1247775" cy="371475"/>
            <wp:effectExtent l="19050" t="0" r="9525" b="0"/>
            <wp:wrapNone/>
            <wp:docPr id="2" name="Picture 1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0E3" w:rsidRDefault="003E20E3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6110EA" w:rsidRDefault="006110EA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6110EA" w:rsidRDefault="006110EA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3E20E3" w:rsidRDefault="003E20E3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Zarneisha Dixon</w:t>
      </w:r>
    </w:p>
    <w:p w:rsidR="003E20E3" w:rsidRPr="00F21973" w:rsidRDefault="003E20E3" w:rsidP="003E20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0E3" w:rsidRDefault="003E20E3" w:rsidP="003E20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3E20E3" w:rsidRPr="00F21973" w:rsidRDefault="003E20E3" w:rsidP="003E20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0E3" w:rsidRPr="00F21973" w:rsidRDefault="003E20E3" w:rsidP="003E20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cc:  </w:t>
      </w:r>
      <w:r>
        <w:rPr>
          <w:rFonts w:ascii="Arial" w:hAnsi="Arial" w:cs="Arial"/>
          <w:sz w:val="20"/>
          <w:szCs w:val="20"/>
        </w:rPr>
        <w:t>Joshua Motzer, CenturyLink</w:t>
      </w:r>
    </w:p>
    <w:p w:rsidR="003E20E3" w:rsidRDefault="003E20E3" w:rsidP="00134168">
      <w:pPr>
        <w:tabs>
          <w:tab w:val="left" w:pos="56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E20E3" w:rsidRDefault="00DF6D7C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5pt;margin-top:615.75pt;width:250.5pt;height:108.75pt;z-index:251660288;mso-position-horizontal-relative:page;mso-position-vertical-relative:page" filled="f" stroked="f">
            <v:textbox style="mso-next-textbox:#_x0000_s1026">
              <w:txbxContent>
                <w:p w:rsidR="00157E64" w:rsidRPr="00157E64" w:rsidRDefault="00157E64" w:rsidP="00157E64"/>
              </w:txbxContent>
            </v:textbox>
            <w10:wrap anchorx="page" anchory="page"/>
          </v:shape>
        </w:pict>
      </w:r>
    </w:p>
    <w:p w:rsidR="00157E64" w:rsidRPr="003E20E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>OH</w:t>
      </w:r>
      <w:r w:rsidR="00134168">
        <w:rPr>
          <w:rFonts w:ascii="Arial" w:hAnsi="Arial" w:cs="Arial"/>
          <w:sz w:val="16"/>
          <w:szCs w:val="16"/>
        </w:rPr>
        <w:t xml:space="preserve"> 17</w:t>
      </w:r>
      <w:r>
        <w:rPr>
          <w:rFonts w:ascii="Arial" w:hAnsi="Arial" w:cs="Arial"/>
          <w:sz w:val="16"/>
          <w:szCs w:val="16"/>
        </w:rPr>
        <w:t>-01 (CT)</w:t>
      </w:r>
    </w:p>
    <w:p w:rsid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b/>
          <w:color w:val="00B050"/>
          <w:sz w:val="20"/>
          <w:szCs w:val="20"/>
        </w:rPr>
      </w:pPr>
    </w:p>
    <w:p w:rsidR="00157E64" w:rsidRDefault="00157E64" w:rsidP="003E20E3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</w:rPr>
      </w:pPr>
    </w:p>
    <w:p w:rsidR="00157E64" w:rsidRP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b/>
          <w:color w:val="00B050"/>
          <w:sz w:val="20"/>
          <w:szCs w:val="20"/>
        </w:rPr>
      </w:pPr>
      <w:r w:rsidRPr="00157E64">
        <w:rPr>
          <w:rFonts w:ascii="Arial" w:eastAsia="Times New Roman" w:hAnsi="Arial" w:cs="Arial"/>
          <w:b/>
          <w:color w:val="00B050"/>
          <w:sz w:val="20"/>
          <w:szCs w:val="20"/>
        </w:rPr>
        <w:t>ZARNEISHA DIXON</w:t>
      </w:r>
    </w:p>
    <w:p w:rsidR="00157E64" w:rsidRP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57E64">
        <w:rPr>
          <w:rFonts w:ascii="Arial" w:eastAsia="Times New Roman" w:hAnsi="Arial" w:cs="Arial"/>
          <w:sz w:val="18"/>
          <w:szCs w:val="18"/>
        </w:rPr>
        <w:t>CenturyLink Regulatory Operations Analyst - Tariffs</w:t>
      </w:r>
    </w:p>
    <w:p w:rsidR="00D763FB" w:rsidRPr="00D763FB" w:rsidRDefault="00DF6D7C" w:rsidP="00D763FB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hyperlink r:id="rId8" w:history="1">
        <w:r w:rsidR="00157E64" w:rsidRPr="00157E64">
          <w:rPr>
            <w:rFonts w:ascii="Arial" w:eastAsia="Times New Roman" w:hAnsi="Arial"/>
            <w:color w:val="0000FF"/>
            <w:sz w:val="18"/>
            <w:u w:val="single"/>
          </w:rPr>
          <w:t>Zarneisha.Dixon@Centurylink.com</w:t>
        </w:r>
      </w:hyperlink>
    </w:p>
    <w:p w:rsidR="00D763FB" w:rsidRPr="00D763FB" w:rsidRDefault="00D763FB" w:rsidP="00D763FB">
      <w:pPr>
        <w:tabs>
          <w:tab w:val="left" w:pos="441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763FB">
        <w:rPr>
          <w:rFonts w:ascii="Arial" w:eastAsia="Times New Roman" w:hAnsi="Arial" w:cs="Arial"/>
          <w:sz w:val="18"/>
          <w:szCs w:val="18"/>
        </w:rPr>
        <w:t xml:space="preserve">600 New </w:t>
      </w:r>
      <w:proofErr w:type="gramStart"/>
      <w:r w:rsidRPr="00D763FB">
        <w:rPr>
          <w:rFonts w:ascii="Arial" w:eastAsia="Times New Roman" w:hAnsi="Arial" w:cs="Arial"/>
          <w:sz w:val="18"/>
          <w:szCs w:val="18"/>
        </w:rPr>
        <w:t>Century</w:t>
      </w:r>
      <w:proofErr w:type="gramEnd"/>
      <w:r w:rsidRPr="00D763FB">
        <w:rPr>
          <w:rFonts w:ascii="Arial" w:eastAsia="Times New Roman" w:hAnsi="Arial" w:cs="Arial"/>
          <w:sz w:val="18"/>
          <w:szCs w:val="18"/>
        </w:rPr>
        <w:t xml:space="preserve"> Pkwy</w:t>
      </w:r>
    </w:p>
    <w:p w:rsidR="00D763FB" w:rsidRPr="00D763FB" w:rsidRDefault="00D763FB" w:rsidP="00D763FB">
      <w:pPr>
        <w:tabs>
          <w:tab w:val="left" w:pos="441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763FB">
        <w:rPr>
          <w:rFonts w:ascii="Arial" w:eastAsia="Times New Roman" w:hAnsi="Arial" w:cs="Arial"/>
          <w:sz w:val="18"/>
          <w:szCs w:val="18"/>
        </w:rPr>
        <w:t>New Century, KS 66031</w:t>
      </w:r>
    </w:p>
    <w:p w:rsidR="00D763FB" w:rsidRPr="00D763FB" w:rsidRDefault="00D763FB" w:rsidP="00D763FB">
      <w:pPr>
        <w:tabs>
          <w:tab w:val="left" w:pos="441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u w:val="single"/>
        </w:rPr>
      </w:pPr>
      <w:r w:rsidRPr="00D763FB">
        <w:rPr>
          <w:rFonts w:ascii="Arial" w:eastAsia="Times New Roman" w:hAnsi="Arial" w:cs="Arial"/>
          <w:sz w:val="18"/>
          <w:szCs w:val="18"/>
        </w:rPr>
        <w:t>Mailstop: 1D222</w:t>
      </w:r>
      <w:r w:rsidRPr="00D763FB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D763FB">
        <w:rPr>
          <w:rFonts w:ascii="Arial" w:eastAsia="Times New Roman" w:hAnsi="Arial" w:cs="Arial"/>
          <w:sz w:val="18"/>
          <w:szCs w:val="18"/>
        </w:rPr>
        <w:t>tel</w:t>
      </w:r>
      <w:proofErr w:type="spellEnd"/>
      <w:r w:rsidRPr="00D763FB">
        <w:rPr>
          <w:rFonts w:ascii="Arial" w:eastAsia="Times New Roman" w:hAnsi="Arial" w:cs="Arial"/>
          <w:sz w:val="18"/>
          <w:szCs w:val="18"/>
        </w:rPr>
        <w:t>: 913-353-7090</w:t>
      </w:r>
    </w:p>
    <w:p w:rsidR="00BD600E" w:rsidRPr="001C280D" w:rsidRDefault="00BD600E" w:rsidP="00D763FB">
      <w:pPr>
        <w:tabs>
          <w:tab w:val="left" w:pos="44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sectPr w:rsidR="00BD600E" w:rsidRPr="001C280D" w:rsidSect="00D25615">
      <w:headerReference w:type="default" r:id="rId9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1C" w:rsidRDefault="00B7051C" w:rsidP="007649B5">
      <w:pPr>
        <w:spacing w:after="0" w:line="240" w:lineRule="auto"/>
      </w:pPr>
      <w:r>
        <w:separator/>
      </w:r>
    </w:p>
  </w:endnote>
  <w:endnote w:type="continuationSeparator" w:id="0">
    <w:p w:rsidR="00B7051C" w:rsidRDefault="00B7051C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1C" w:rsidRDefault="00B7051C" w:rsidP="007649B5">
      <w:pPr>
        <w:spacing w:after="0" w:line="240" w:lineRule="auto"/>
      </w:pPr>
      <w:r>
        <w:separator/>
      </w:r>
    </w:p>
  </w:footnote>
  <w:footnote w:type="continuationSeparator" w:id="0">
    <w:p w:rsidR="00B7051C" w:rsidRDefault="00B7051C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1C" w:rsidRDefault="00B7051C">
    <w:pPr>
      <w:pStyle w:val="Header"/>
    </w:pPr>
  </w:p>
  <w:p w:rsidR="00B7051C" w:rsidRDefault="00B7051C" w:rsidP="00786CBC">
    <w:pPr>
      <w:pStyle w:val="Header"/>
      <w:tabs>
        <w:tab w:val="clear" w:pos="4680"/>
        <w:tab w:val="clear" w:pos="9360"/>
        <w:tab w:val="left" w:pos="73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200AD"/>
    <w:rsid w:val="0004232F"/>
    <w:rsid w:val="0004393B"/>
    <w:rsid w:val="00047797"/>
    <w:rsid w:val="000846CE"/>
    <w:rsid w:val="00086EE0"/>
    <w:rsid w:val="000A0C31"/>
    <w:rsid w:val="000B2480"/>
    <w:rsid w:val="000C2C6F"/>
    <w:rsid w:val="000C317E"/>
    <w:rsid w:val="000C5231"/>
    <w:rsid w:val="000E04BA"/>
    <w:rsid w:val="000E4E4E"/>
    <w:rsid w:val="00112041"/>
    <w:rsid w:val="0011541E"/>
    <w:rsid w:val="00120BAB"/>
    <w:rsid w:val="00132B41"/>
    <w:rsid w:val="00134168"/>
    <w:rsid w:val="00146608"/>
    <w:rsid w:val="00157E64"/>
    <w:rsid w:val="00162EC4"/>
    <w:rsid w:val="00170F2A"/>
    <w:rsid w:val="00175D92"/>
    <w:rsid w:val="001936AC"/>
    <w:rsid w:val="00194402"/>
    <w:rsid w:val="001A638F"/>
    <w:rsid w:val="001C280D"/>
    <w:rsid w:val="001C64D4"/>
    <w:rsid w:val="001D51DC"/>
    <w:rsid w:val="001D5294"/>
    <w:rsid w:val="001E6F57"/>
    <w:rsid w:val="002133AF"/>
    <w:rsid w:val="002156EF"/>
    <w:rsid w:val="00217F3A"/>
    <w:rsid w:val="00220276"/>
    <w:rsid w:val="00240DB8"/>
    <w:rsid w:val="00242C67"/>
    <w:rsid w:val="00244C82"/>
    <w:rsid w:val="0026577E"/>
    <w:rsid w:val="00270C5B"/>
    <w:rsid w:val="00272EB9"/>
    <w:rsid w:val="00274E2C"/>
    <w:rsid w:val="00277F90"/>
    <w:rsid w:val="0028717D"/>
    <w:rsid w:val="00291A8C"/>
    <w:rsid w:val="002A5602"/>
    <w:rsid w:val="002B5805"/>
    <w:rsid w:val="002D40A4"/>
    <w:rsid w:val="002E02AD"/>
    <w:rsid w:val="00300FB7"/>
    <w:rsid w:val="00321B8E"/>
    <w:rsid w:val="0034151B"/>
    <w:rsid w:val="00352106"/>
    <w:rsid w:val="00381644"/>
    <w:rsid w:val="003862B6"/>
    <w:rsid w:val="00387484"/>
    <w:rsid w:val="003974FC"/>
    <w:rsid w:val="003C5F23"/>
    <w:rsid w:val="003D4B4D"/>
    <w:rsid w:val="003E20E3"/>
    <w:rsid w:val="00403A14"/>
    <w:rsid w:val="00406168"/>
    <w:rsid w:val="004124D8"/>
    <w:rsid w:val="00415646"/>
    <w:rsid w:val="00417FB4"/>
    <w:rsid w:val="004301F8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10ABB"/>
    <w:rsid w:val="005772B7"/>
    <w:rsid w:val="005919F5"/>
    <w:rsid w:val="00592BA9"/>
    <w:rsid w:val="005A2AB9"/>
    <w:rsid w:val="005C2E3F"/>
    <w:rsid w:val="005F0F59"/>
    <w:rsid w:val="006054CB"/>
    <w:rsid w:val="006110EA"/>
    <w:rsid w:val="006111E8"/>
    <w:rsid w:val="00631CD7"/>
    <w:rsid w:val="006655E7"/>
    <w:rsid w:val="00666CB9"/>
    <w:rsid w:val="00693C8E"/>
    <w:rsid w:val="006964A2"/>
    <w:rsid w:val="006B11D0"/>
    <w:rsid w:val="006B5E25"/>
    <w:rsid w:val="006C00D1"/>
    <w:rsid w:val="006E732D"/>
    <w:rsid w:val="006F3785"/>
    <w:rsid w:val="00700CFC"/>
    <w:rsid w:val="00751AE3"/>
    <w:rsid w:val="007620AC"/>
    <w:rsid w:val="007649B5"/>
    <w:rsid w:val="00770F63"/>
    <w:rsid w:val="00773CF2"/>
    <w:rsid w:val="00776ED5"/>
    <w:rsid w:val="00786CBC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6D09"/>
    <w:rsid w:val="00846DF0"/>
    <w:rsid w:val="0085653E"/>
    <w:rsid w:val="008B3C38"/>
    <w:rsid w:val="008C38A9"/>
    <w:rsid w:val="008F24C0"/>
    <w:rsid w:val="008F4D7A"/>
    <w:rsid w:val="00907FB9"/>
    <w:rsid w:val="00910BC8"/>
    <w:rsid w:val="00940560"/>
    <w:rsid w:val="00964943"/>
    <w:rsid w:val="00966000"/>
    <w:rsid w:val="00991515"/>
    <w:rsid w:val="009A23E6"/>
    <w:rsid w:val="009E1A9F"/>
    <w:rsid w:val="009E60F0"/>
    <w:rsid w:val="009E6401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911C5"/>
    <w:rsid w:val="00A915B8"/>
    <w:rsid w:val="00AC2F7F"/>
    <w:rsid w:val="00AE245F"/>
    <w:rsid w:val="00AE5480"/>
    <w:rsid w:val="00AF1826"/>
    <w:rsid w:val="00AF411E"/>
    <w:rsid w:val="00B120E1"/>
    <w:rsid w:val="00B127D8"/>
    <w:rsid w:val="00B14AC4"/>
    <w:rsid w:val="00B16F65"/>
    <w:rsid w:val="00B23123"/>
    <w:rsid w:val="00B26FF4"/>
    <w:rsid w:val="00B30E4F"/>
    <w:rsid w:val="00B560BE"/>
    <w:rsid w:val="00B7051C"/>
    <w:rsid w:val="00B806CA"/>
    <w:rsid w:val="00BB0973"/>
    <w:rsid w:val="00BC270C"/>
    <w:rsid w:val="00BC3D9B"/>
    <w:rsid w:val="00BD600E"/>
    <w:rsid w:val="00C22D6D"/>
    <w:rsid w:val="00C35EA1"/>
    <w:rsid w:val="00C6477E"/>
    <w:rsid w:val="00C74B06"/>
    <w:rsid w:val="00C871B4"/>
    <w:rsid w:val="00CA12F1"/>
    <w:rsid w:val="00CB4E6E"/>
    <w:rsid w:val="00CB5065"/>
    <w:rsid w:val="00CC094A"/>
    <w:rsid w:val="00D1610C"/>
    <w:rsid w:val="00D23750"/>
    <w:rsid w:val="00D25615"/>
    <w:rsid w:val="00D763FB"/>
    <w:rsid w:val="00DB1178"/>
    <w:rsid w:val="00DC3169"/>
    <w:rsid w:val="00DC4702"/>
    <w:rsid w:val="00DC5D39"/>
    <w:rsid w:val="00DC6E5B"/>
    <w:rsid w:val="00DD6E23"/>
    <w:rsid w:val="00DE1FC4"/>
    <w:rsid w:val="00DF0F5F"/>
    <w:rsid w:val="00DF6D7C"/>
    <w:rsid w:val="00E01FF0"/>
    <w:rsid w:val="00E43924"/>
    <w:rsid w:val="00E454FB"/>
    <w:rsid w:val="00E53AA1"/>
    <w:rsid w:val="00E557A8"/>
    <w:rsid w:val="00E576E1"/>
    <w:rsid w:val="00E64F65"/>
    <w:rsid w:val="00E93CC1"/>
    <w:rsid w:val="00E9614C"/>
    <w:rsid w:val="00EA3C2C"/>
    <w:rsid w:val="00EA591D"/>
    <w:rsid w:val="00EC4116"/>
    <w:rsid w:val="00EC75CC"/>
    <w:rsid w:val="00ED0FE7"/>
    <w:rsid w:val="00ED507F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eisha.Dixon@Centurylin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CenturyLink Employee</cp:lastModifiedBy>
  <cp:revision>4</cp:revision>
  <cp:lastPrinted>2015-02-24T16:13:00Z</cp:lastPrinted>
  <dcterms:created xsi:type="dcterms:W3CDTF">2017-06-23T18:40:00Z</dcterms:created>
  <dcterms:modified xsi:type="dcterms:W3CDTF">2017-06-23T19:00:00Z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