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34D8F" w14:textId="77777777" w:rsidR="00CB5644" w:rsidRPr="002D54AC" w:rsidRDefault="00CB5644" w:rsidP="00CB5644">
      <w:pPr>
        <w:jc w:val="center"/>
        <w:rPr>
          <w:b/>
          <w:sz w:val="26"/>
          <w:szCs w:val="26"/>
        </w:rPr>
      </w:pPr>
      <w:r w:rsidRPr="002D54AC">
        <w:rPr>
          <w:b/>
          <w:sz w:val="26"/>
          <w:szCs w:val="26"/>
        </w:rPr>
        <w:t>BEFORE</w:t>
      </w:r>
    </w:p>
    <w:p w14:paraId="66834249" w14:textId="77777777" w:rsidR="00CB5644" w:rsidRDefault="00CB5644" w:rsidP="00CB5644">
      <w:pPr>
        <w:jc w:val="center"/>
        <w:rPr>
          <w:b/>
          <w:sz w:val="26"/>
          <w:szCs w:val="26"/>
        </w:rPr>
      </w:pPr>
      <w:r w:rsidRPr="002D54AC">
        <w:rPr>
          <w:b/>
          <w:sz w:val="26"/>
          <w:szCs w:val="26"/>
        </w:rPr>
        <w:t>THE PUBLIC UTILITIES COMMISSION OF OHIO</w:t>
      </w:r>
    </w:p>
    <w:p w14:paraId="5492D478" w14:textId="77777777" w:rsidR="00E10679" w:rsidRDefault="00E10679" w:rsidP="00CB5644">
      <w:pPr>
        <w:jc w:val="center"/>
        <w:rPr>
          <w:b/>
          <w:sz w:val="26"/>
          <w:szCs w:val="26"/>
        </w:rPr>
      </w:pPr>
    </w:p>
    <w:p w14:paraId="1FEDD34A" w14:textId="77777777" w:rsidR="00E10679" w:rsidRDefault="00E10679" w:rsidP="00CB5644">
      <w:pPr>
        <w:jc w:val="center"/>
        <w:rPr>
          <w:b/>
          <w:sz w:val="26"/>
          <w:szCs w:val="26"/>
        </w:rPr>
      </w:pPr>
    </w:p>
    <w:tbl>
      <w:tblPr>
        <w:tblW w:w="0" w:type="auto"/>
        <w:tblLook w:val="01E0" w:firstRow="1" w:lastRow="1" w:firstColumn="1" w:lastColumn="1" w:noHBand="0" w:noVBand="0"/>
      </w:tblPr>
      <w:tblGrid>
        <w:gridCol w:w="4590"/>
        <w:gridCol w:w="289"/>
        <w:gridCol w:w="4481"/>
      </w:tblGrid>
      <w:tr w:rsidR="00B51A1D" w14:paraId="472DE3DA" w14:textId="77777777" w:rsidTr="00C77DF7">
        <w:tc>
          <w:tcPr>
            <w:tcW w:w="4698" w:type="dxa"/>
          </w:tcPr>
          <w:p w14:paraId="01CF939B" w14:textId="77777777" w:rsidR="00B51A1D" w:rsidRPr="00221496" w:rsidRDefault="00B51A1D" w:rsidP="00C77DF7">
            <w:pPr>
              <w:pStyle w:val="Title"/>
              <w:tabs>
                <w:tab w:val="left" w:pos="5130"/>
                <w:tab w:val="left" w:pos="5670"/>
              </w:tabs>
              <w:jc w:val="left"/>
              <w:rPr>
                <w:rFonts w:ascii="Times New Roman" w:hAnsi="Times New Roman"/>
                <w:sz w:val="26"/>
                <w:szCs w:val="26"/>
              </w:rPr>
            </w:pPr>
            <w:bookmarkStart w:id="0" w:name="_Toc260212957"/>
            <w:r w:rsidRPr="00221496">
              <w:rPr>
                <w:rFonts w:ascii="Times New Roman" w:hAnsi="Times New Roman"/>
                <w:sz w:val="26"/>
                <w:szCs w:val="26"/>
              </w:rPr>
              <w:t>In the Matter of</w:t>
            </w:r>
            <w:r>
              <w:rPr>
                <w:rFonts w:ascii="Times New Roman" w:hAnsi="Times New Roman"/>
                <w:sz w:val="26"/>
                <w:szCs w:val="26"/>
              </w:rPr>
              <w:t xml:space="preserve"> the Application of The Ohio Power Company to Adjust its Throughput Balancing Adjustment Rider.</w:t>
            </w:r>
          </w:p>
        </w:tc>
        <w:tc>
          <w:tcPr>
            <w:tcW w:w="270" w:type="dxa"/>
          </w:tcPr>
          <w:p w14:paraId="135E4CFF" w14:textId="77777777" w:rsidR="00B51A1D" w:rsidRPr="00221496" w:rsidRDefault="00B51A1D" w:rsidP="00C77DF7">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23BC8225" w14:textId="77777777" w:rsidR="00B51A1D" w:rsidRPr="00221496" w:rsidRDefault="00B51A1D" w:rsidP="00C77DF7">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14:paraId="11D99611" w14:textId="77777777" w:rsidR="00B51A1D" w:rsidRPr="00221496" w:rsidRDefault="00B51A1D" w:rsidP="00C77DF7">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14:paraId="635ECEBC" w14:textId="77777777" w:rsidR="00B51A1D" w:rsidRPr="00221496" w:rsidRDefault="00B51A1D" w:rsidP="00C77DF7">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15-439-EL-RDR</w:t>
            </w:r>
          </w:p>
        </w:tc>
      </w:tr>
    </w:tbl>
    <w:p w14:paraId="468B0F11" w14:textId="77777777" w:rsidR="00B51A1D" w:rsidRPr="002D54AC" w:rsidRDefault="00B51A1D" w:rsidP="00B51A1D">
      <w:pPr>
        <w:pStyle w:val="Title"/>
        <w:tabs>
          <w:tab w:val="left" w:pos="5130"/>
          <w:tab w:val="left" w:pos="5670"/>
        </w:tabs>
        <w:rPr>
          <w:rFonts w:ascii="Times New Roman" w:hAnsi="Times New Roman"/>
          <w:sz w:val="26"/>
          <w:szCs w:val="26"/>
        </w:rPr>
      </w:pPr>
    </w:p>
    <w:p w14:paraId="5FCDD617" w14:textId="77777777" w:rsidR="00B51A1D" w:rsidRDefault="00B51A1D" w:rsidP="00B51A1D">
      <w:pPr>
        <w:pStyle w:val="Title"/>
        <w:tabs>
          <w:tab w:val="left" w:pos="5130"/>
          <w:tab w:val="left" w:pos="5670"/>
        </w:tabs>
        <w:jc w:val="left"/>
        <w:rPr>
          <w:rFonts w:ascii="Times New Roman" w:hAnsi="Times New Roman"/>
          <w:sz w:val="26"/>
          <w:szCs w:val="26"/>
        </w:rPr>
      </w:pPr>
    </w:p>
    <w:p w14:paraId="13FD7024" w14:textId="77777777" w:rsidR="00B51A1D" w:rsidRDefault="00B51A1D" w:rsidP="00B51A1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7CC3D404" w14:textId="77777777" w:rsidR="00B51A1D" w:rsidRPr="00E10679" w:rsidRDefault="00B51A1D" w:rsidP="00B51A1D">
      <w:pPr>
        <w:pStyle w:val="Title"/>
        <w:tabs>
          <w:tab w:val="left" w:pos="9360"/>
        </w:tabs>
        <w:rPr>
          <w:rFonts w:ascii="Times New Roman" w:hAnsi="Times New Roman"/>
          <w:b/>
          <w:sz w:val="32"/>
          <w:szCs w:val="32"/>
        </w:rPr>
      </w:pPr>
      <w:r>
        <w:rPr>
          <w:rFonts w:ascii="Times New Roman" w:hAnsi="Times New Roman"/>
          <w:b/>
          <w:sz w:val="32"/>
          <w:szCs w:val="32"/>
        </w:rPr>
        <w:t>COMMENTS</w:t>
      </w:r>
    </w:p>
    <w:p w14:paraId="7FA98D78" w14:textId="77777777" w:rsidR="00B51A1D" w:rsidRPr="002D54AC" w:rsidRDefault="00B51A1D" w:rsidP="00B51A1D">
      <w:pPr>
        <w:pStyle w:val="PlainText"/>
        <w:jc w:val="center"/>
        <w:outlineLvl w:val="0"/>
        <w:rPr>
          <w:rFonts w:ascii="Times New Roman" w:hAnsi="Times New Roman"/>
          <w:sz w:val="26"/>
          <w:szCs w:val="26"/>
        </w:rPr>
      </w:pPr>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p>
    <w:p w14:paraId="26A523B7" w14:textId="77777777" w:rsidR="00B51A1D" w:rsidRDefault="00B51A1D" w:rsidP="00B51A1D">
      <w:pPr>
        <w:pStyle w:val="PlainText"/>
        <w:jc w:val="center"/>
        <w:outlineLvl w:val="0"/>
        <w:rPr>
          <w:rFonts w:ascii="Times New Roman" w:hAnsi="Times New Roman"/>
          <w:sz w:val="26"/>
          <w:szCs w:val="26"/>
        </w:rPr>
      </w:pPr>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r w:rsidRPr="002D54AC">
        <w:rPr>
          <w:rFonts w:ascii="Times New Roman" w:hAnsi="Times New Roman"/>
          <w:sz w:val="26"/>
          <w:szCs w:val="26"/>
        </w:rPr>
        <w:t xml:space="preserve"> </w:t>
      </w:r>
    </w:p>
    <w:p w14:paraId="2857E558" w14:textId="77777777" w:rsidR="00B51A1D" w:rsidRDefault="00B51A1D" w:rsidP="00B51A1D">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14:paraId="4F062DD8" w14:textId="77777777" w:rsidR="00CB5644" w:rsidRPr="00613023" w:rsidRDefault="00CB5644" w:rsidP="0064436A">
      <w:pPr>
        <w:pStyle w:val="Heading1"/>
      </w:pPr>
      <w:r w:rsidRPr="00613023">
        <w:t>INTRODUCTION</w:t>
      </w:r>
      <w:bookmarkEnd w:id="0"/>
    </w:p>
    <w:p w14:paraId="3B199F3F" w14:textId="6768E5DB" w:rsidR="00B51A1D" w:rsidRPr="00B174C3" w:rsidRDefault="0064436A" w:rsidP="005D440D">
      <w:pPr>
        <w:pStyle w:val="textstyle0"/>
      </w:pPr>
      <w:r>
        <w:tab/>
      </w:r>
      <w:r w:rsidR="00B51A1D" w:rsidRPr="00B174C3">
        <w:t>The Commission, in Case No. 11-351-EL-AIR, authorized the Ohio Power Company (Company) to initiate a three year pilot program establishing the Pilot Throughput Balancing Adjustment Rider (PTBAR) as a rate decoupling mechanism.  The use of PTBAR should remove revenue</w:t>
      </w:r>
      <w:r w:rsidR="001F519F">
        <w:t>-</w:t>
      </w:r>
      <w:r w:rsidR="00B51A1D" w:rsidRPr="00B174C3">
        <w:t xml:space="preserve">related disincentives that </w:t>
      </w:r>
      <w:r w:rsidR="005D440D">
        <w:t xml:space="preserve">the Company </w:t>
      </w:r>
      <w:r w:rsidR="00B51A1D" w:rsidRPr="00B174C3">
        <w:t>may have to implement energy efficiency programs, while also removing the “lost distribution reve</w:t>
      </w:r>
      <w:r w:rsidR="00B51A1D">
        <w:softHyphen/>
      </w:r>
      <w:r w:rsidR="00B51A1D" w:rsidRPr="00B174C3">
        <w:t xml:space="preserve">nues” that would otherwise potentially be recovered as a part of the Company’s energy efficiency program costs.  The Commission directed </w:t>
      </w:r>
      <w:r w:rsidR="005D440D">
        <w:t>the Company</w:t>
      </w:r>
      <w:r w:rsidR="00B51A1D" w:rsidRPr="00B174C3">
        <w:t xml:space="preserve"> to establish the PTBAR at an initial zero dollar level, and then to file annual updates establishing non-zero rates for the rider for three successive calendar years.  The Pilot will be for the years 2012, 2013 and 2014 with the rider applicable for July 2013 through June 2016, with a final true-up in October 2016.  The rates </w:t>
      </w:r>
      <w:r w:rsidR="001F519F">
        <w:t>are</w:t>
      </w:r>
      <w:r w:rsidR="00B51A1D" w:rsidRPr="00B174C3">
        <w:t xml:space="preserve"> based upon actual observed differences between distribution revenues collected through volumetric charges for each kilowatt-</w:t>
      </w:r>
      <w:r w:rsidR="00B51A1D" w:rsidRPr="00B174C3">
        <w:lastRenderedPageBreak/>
        <w:t xml:space="preserve">hour sold, and the test year target volumetric distribution revenues established in Case No. 11-351-EL-AIR.   </w:t>
      </w:r>
    </w:p>
    <w:p w14:paraId="60FEFD51" w14:textId="77777777" w:rsidR="00B51A1D" w:rsidRPr="00B174C3" w:rsidRDefault="00B51A1D" w:rsidP="005D440D">
      <w:pPr>
        <w:pStyle w:val="textstyle0"/>
      </w:pPr>
      <w:r>
        <w:tab/>
      </w:r>
      <w:r w:rsidRPr="00B174C3">
        <w:t>The Application filed on February 27, 2015 is the third application to establish non-zero rates.  The filing includes rate calculations and supporting schedules for two rate classes in the Columbus Southern Power rate zone – Residential and GS-1 – and for the same two rate classes in the Ohio Power rate zone.  The Application filed on March 1, 2013 was the first application to establish non-zero rates and the Application filed on March 3, 2014 was the second application to establish non-zero rates.</w:t>
      </w:r>
    </w:p>
    <w:p w14:paraId="3148E691" w14:textId="6706618F" w:rsidR="00B51A1D" w:rsidRPr="00B174C3" w:rsidRDefault="00B51A1D" w:rsidP="005D440D">
      <w:pPr>
        <w:pStyle w:val="textstyle0"/>
      </w:pPr>
      <w:r>
        <w:tab/>
      </w:r>
      <w:r w:rsidRPr="00B174C3">
        <w:t xml:space="preserve">The Commission also directed </w:t>
      </w:r>
      <w:r w:rsidR="005D440D">
        <w:t>the Company</w:t>
      </w:r>
      <w:r w:rsidRPr="00B174C3">
        <w:t xml:space="preserve"> to file a set of metrics to evaluat</w:t>
      </w:r>
      <w:r w:rsidR="005D440D">
        <w:t>e</w:t>
      </w:r>
      <w:r w:rsidRPr="00B174C3">
        <w:t xml:space="preserve"> the pilot program.  The Company made such filing, as directed, on June 14, 2012 in Case No. 10-3126-EL-UNC, “Aligning Electric Distribution Utility Rate Structure.”  The metrics proposed by the Company are shown in the Appendix to these Comments.  </w:t>
      </w:r>
    </w:p>
    <w:p w14:paraId="54C20FDB" w14:textId="77777777" w:rsidR="00B51A1D" w:rsidRPr="00B174C3" w:rsidRDefault="00B51A1D" w:rsidP="00B51A1D">
      <w:pPr>
        <w:pStyle w:val="Heading1"/>
      </w:pPr>
      <w:r w:rsidRPr="00B174C3">
        <w:t>Analysis and Recommendations</w:t>
      </w:r>
    </w:p>
    <w:p w14:paraId="33E733D4" w14:textId="77777777" w:rsidR="00B51A1D" w:rsidRPr="00B174C3" w:rsidRDefault="00B51A1D" w:rsidP="005D440D">
      <w:pPr>
        <w:pStyle w:val="textstyle0"/>
      </w:pPr>
      <w:r>
        <w:tab/>
      </w:r>
      <w:r w:rsidRPr="00B174C3">
        <w:t xml:space="preserve">Staff reviewed the filing for accuracy and reasonableness.  The rates appear to be accurately calculated using appropriate rate determinants and appropriate methodology.  Staff supports approval of the rates as filed.  </w:t>
      </w:r>
    </w:p>
    <w:p w14:paraId="47BC1BBD" w14:textId="44FFA77C" w:rsidR="00B51A1D" w:rsidRDefault="00B51A1D" w:rsidP="005D440D">
      <w:pPr>
        <w:pStyle w:val="textstyle0"/>
      </w:pPr>
      <w:r>
        <w:tab/>
      </w:r>
      <w:r w:rsidRPr="00B174C3">
        <w:t xml:space="preserve">With regard to the proposed metrics (Appendix), Staff is waiting for the Company to file the cost of service study to draw any conclusions.  It may be useful to make a couple of preliminary observations.  </w:t>
      </w:r>
    </w:p>
    <w:p w14:paraId="13F77DEA" w14:textId="77777777" w:rsidR="0013579E" w:rsidRPr="00B174C3" w:rsidRDefault="0013579E" w:rsidP="005D440D">
      <w:pPr>
        <w:pStyle w:val="textstyle0"/>
      </w:pPr>
    </w:p>
    <w:p w14:paraId="5CE90BDA" w14:textId="77777777" w:rsidR="00156723" w:rsidRDefault="00156723" w:rsidP="00156723">
      <w:pPr>
        <w:pStyle w:val="ListParagraph"/>
        <w:rPr>
          <w:rFonts w:ascii="Times New Roman" w:hAnsi="Times New Roman" w:cs="Times New Roman"/>
          <w:sz w:val="26"/>
          <w:szCs w:val="26"/>
        </w:rPr>
      </w:pPr>
    </w:p>
    <w:p w14:paraId="73789F9B" w14:textId="77777777" w:rsidR="00156723" w:rsidRDefault="00156723" w:rsidP="00156723">
      <w:pPr>
        <w:pStyle w:val="ListParagraph"/>
        <w:rPr>
          <w:rFonts w:ascii="Times New Roman" w:hAnsi="Times New Roman" w:cs="Times New Roman"/>
          <w:sz w:val="26"/>
          <w:szCs w:val="26"/>
        </w:rPr>
      </w:pPr>
    </w:p>
    <w:p w14:paraId="168105B1" w14:textId="77777777" w:rsidR="00B51A1D" w:rsidRPr="00B51A1D" w:rsidRDefault="00B51A1D" w:rsidP="00B51A1D">
      <w:pPr>
        <w:pStyle w:val="ListParagraph"/>
        <w:numPr>
          <w:ilvl w:val="0"/>
          <w:numId w:val="7"/>
        </w:numPr>
        <w:rPr>
          <w:rFonts w:ascii="Times New Roman" w:hAnsi="Times New Roman" w:cs="Times New Roman"/>
          <w:sz w:val="26"/>
          <w:szCs w:val="26"/>
        </w:rPr>
      </w:pPr>
      <w:r w:rsidRPr="00B51A1D">
        <w:rPr>
          <w:rFonts w:ascii="Times New Roman" w:hAnsi="Times New Roman" w:cs="Times New Roman"/>
          <w:sz w:val="26"/>
          <w:szCs w:val="26"/>
        </w:rPr>
        <w:t xml:space="preserve">The PTBAR rates are as follows.  </w:t>
      </w:r>
    </w:p>
    <w:p w14:paraId="6EC41D95" w14:textId="77777777" w:rsidR="00B51A1D" w:rsidRPr="00B174C3" w:rsidRDefault="00B51A1D" w:rsidP="00B51A1D">
      <w:pPr>
        <w:ind w:left="2160"/>
        <w:rPr>
          <w:sz w:val="24"/>
          <w:szCs w:val="24"/>
        </w:rPr>
      </w:pPr>
    </w:p>
    <w:tbl>
      <w:tblPr>
        <w:tblW w:w="4240" w:type="dxa"/>
        <w:jc w:val="center"/>
        <w:tblLook w:val="04A0" w:firstRow="1" w:lastRow="0" w:firstColumn="1" w:lastColumn="0" w:noHBand="0" w:noVBand="1"/>
      </w:tblPr>
      <w:tblGrid>
        <w:gridCol w:w="1386"/>
        <w:gridCol w:w="1061"/>
        <w:gridCol w:w="1386"/>
        <w:gridCol w:w="1061"/>
      </w:tblGrid>
      <w:tr w:rsidR="00B51A1D" w:rsidRPr="00B51A1D" w14:paraId="1638C0C1" w14:textId="77777777" w:rsidTr="00C77DF7">
        <w:trPr>
          <w:trHeight w:val="300"/>
          <w:jc w:val="center"/>
        </w:trPr>
        <w:tc>
          <w:tcPr>
            <w:tcW w:w="42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FC580" w14:textId="77777777" w:rsidR="00B51A1D" w:rsidRPr="00B51A1D" w:rsidRDefault="00B51A1D" w:rsidP="00C77DF7">
            <w:pPr>
              <w:jc w:val="center"/>
              <w:rPr>
                <w:color w:val="000000"/>
                <w:sz w:val="26"/>
                <w:szCs w:val="26"/>
              </w:rPr>
            </w:pPr>
            <w:r w:rsidRPr="00B51A1D">
              <w:rPr>
                <w:color w:val="000000"/>
                <w:sz w:val="26"/>
                <w:szCs w:val="26"/>
              </w:rPr>
              <w:t>Magnitude of PTBAR Rates (cents / KWh)</w:t>
            </w:r>
          </w:p>
        </w:tc>
      </w:tr>
      <w:tr w:rsidR="00B51A1D" w:rsidRPr="00B51A1D" w14:paraId="41139F8B" w14:textId="77777777" w:rsidTr="00C77DF7">
        <w:trPr>
          <w:trHeight w:val="300"/>
          <w:jc w:val="center"/>
        </w:trPr>
        <w:tc>
          <w:tcPr>
            <w:tcW w:w="42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76C54" w14:textId="77777777" w:rsidR="00B51A1D" w:rsidRPr="00B51A1D" w:rsidRDefault="00B51A1D" w:rsidP="00C77DF7">
            <w:pPr>
              <w:rPr>
                <w:color w:val="000000"/>
                <w:sz w:val="26"/>
                <w:szCs w:val="26"/>
              </w:rPr>
            </w:pPr>
            <w:r w:rsidRPr="00B51A1D">
              <w:rPr>
                <w:color w:val="000000"/>
                <w:sz w:val="26"/>
                <w:szCs w:val="26"/>
              </w:rPr>
              <w:t> </w:t>
            </w:r>
          </w:p>
        </w:tc>
      </w:tr>
      <w:tr w:rsidR="00B51A1D" w:rsidRPr="00B51A1D" w14:paraId="193E1EB5" w14:textId="77777777" w:rsidTr="00C77DF7">
        <w:trPr>
          <w:trHeight w:val="300"/>
          <w:jc w:val="center"/>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C66D9" w14:textId="77777777" w:rsidR="00B51A1D" w:rsidRPr="00B51A1D" w:rsidRDefault="00B51A1D" w:rsidP="00C77DF7">
            <w:pPr>
              <w:jc w:val="center"/>
              <w:rPr>
                <w:color w:val="000000"/>
                <w:sz w:val="26"/>
                <w:szCs w:val="26"/>
              </w:rPr>
            </w:pPr>
            <w:r w:rsidRPr="00B51A1D">
              <w:rPr>
                <w:color w:val="000000"/>
                <w:sz w:val="26"/>
                <w:szCs w:val="26"/>
              </w:rPr>
              <w:t>Columbus Southern</w:t>
            </w:r>
          </w:p>
        </w:tc>
        <w:tc>
          <w:tcPr>
            <w:tcW w:w="21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625405" w14:textId="77777777" w:rsidR="00B51A1D" w:rsidRPr="00B51A1D" w:rsidRDefault="00B51A1D" w:rsidP="00C77DF7">
            <w:pPr>
              <w:jc w:val="center"/>
              <w:rPr>
                <w:color w:val="000000"/>
                <w:sz w:val="26"/>
                <w:szCs w:val="26"/>
              </w:rPr>
            </w:pPr>
            <w:r w:rsidRPr="00B51A1D">
              <w:rPr>
                <w:color w:val="000000"/>
                <w:sz w:val="26"/>
                <w:szCs w:val="26"/>
              </w:rPr>
              <w:t>Ohio Power</w:t>
            </w:r>
          </w:p>
        </w:tc>
      </w:tr>
      <w:tr w:rsidR="00B51A1D" w:rsidRPr="00B51A1D" w14:paraId="0DB5BBFE" w14:textId="77777777" w:rsidTr="00C77DF7">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7F2CC5E4" w14:textId="77777777" w:rsidR="00B51A1D" w:rsidRPr="00B51A1D" w:rsidRDefault="00B51A1D" w:rsidP="00C77DF7">
            <w:pPr>
              <w:rPr>
                <w:color w:val="000000"/>
                <w:sz w:val="26"/>
                <w:szCs w:val="26"/>
              </w:rPr>
            </w:pPr>
            <w:r w:rsidRPr="00B51A1D">
              <w:rPr>
                <w:color w:val="000000"/>
                <w:sz w:val="26"/>
                <w:szCs w:val="26"/>
              </w:rPr>
              <w:t>Residential</w:t>
            </w:r>
          </w:p>
        </w:tc>
        <w:tc>
          <w:tcPr>
            <w:tcW w:w="903" w:type="dxa"/>
            <w:tcBorders>
              <w:top w:val="nil"/>
              <w:left w:val="nil"/>
              <w:bottom w:val="single" w:sz="4" w:space="0" w:color="auto"/>
              <w:right w:val="single" w:sz="4" w:space="0" w:color="auto"/>
            </w:tcBorders>
            <w:shd w:val="clear" w:color="auto" w:fill="auto"/>
            <w:noWrap/>
            <w:vAlign w:val="bottom"/>
            <w:hideMark/>
          </w:tcPr>
          <w:p w14:paraId="73B0A83F" w14:textId="77777777" w:rsidR="00B51A1D" w:rsidRPr="00B51A1D" w:rsidRDefault="00B51A1D" w:rsidP="00C77DF7">
            <w:pPr>
              <w:rPr>
                <w:color w:val="000000"/>
                <w:sz w:val="26"/>
                <w:szCs w:val="26"/>
              </w:rPr>
            </w:pPr>
            <w:r w:rsidRPr="00B51A1D">
              <w:rPr>
                <w:color w:val="000000"/>
                <w:sz w:val="26"/>
                <w:szCs w:val="26"/>
              </w:rPr>
              <w:t>GS=1</w:t>
            </w:r>
          </w:p>
        </w:tc>
        <w:tc>
          <w:tcPr>
            <w:tcW w:w="1217" w:type="dxa"/>
            <w:tcBorders>
              <w:top w:val="nil"/>
              <w:left w:val="nil"/>
              <w:bottom w:val="single" w:sz="4" w:space="0" w:color="auto"/>
              <w:right w:val="single" w:sz="4" w:space="0" w:color="auto"/>
            </w:tcBorders>
            <w:shd w:val="clear" w:color="auto" w:fill="auto"/>
            <w:noWrap/>
            <w:vAlign w:val="bottom"/>
            <w:hideMark/>
          </w:tcPr>
          <w:p w14:paraId="5B3372CB" w14:textId="77777777" w:rsidR="00B51A1D" w:rsidRPr="00B51A1D" w:rsidRDefault="00B51A1D" w:rsidP="00C77DF7">
            <w:pPr>
              <w:rPr>
                <w:color w:val="000000"/>
                <w:sz w:val="26"/>
                <w:szCs w:val="26"/>
              </w:rPr>
            </w:pPr>
            <w:r w:rsidRPr="00B51A1D">
              <w:rPr>
                <w:color w:val="000000"/>
                <w:sz w:val="26"/>
                <w:szCs w:val="26"/>
              </w:rPr>
              <w:t>Residential</w:t>
            </w:r>
          </w:p>
        </w:tc>
        <w:tc>
          <w:tcPr>
            <w:tcW w:w="903" w:type="dxa"/>
            <w:tcBorders>
              <w:top w:val="nil"/>
              <w:left w:val="nil"/>
              <w:bottom w:val="single" w:sz="4" w:space="0" w:color="auto"/>
              <w:right w:val="single" w:sz="4" w:space="0" w:color="auto"/>
            </w:tcBorders>
            <w:shd w:val="clear" w:color="auto" w:fill="auto"/>
            <w:noWrap/>
            <w:vAlign w:val="bottom"/>
            <w:hideMark/>
          </w:tcPr>
          <w:p w14:paraId="5FC7C3F7" w14:textId="77777777" w:rsidR="00B51A1D" w:rsidRPr="00B51A1D" w:rsidRDefault="00B51A1D" w:rsidP="00C77DF7">
            <w:pPr>
              <w:rPr>
                <w:color w:val="000000"/>
                <w:sz w:val="26"/>
                <w:szCs w:val="26"/>
              </w:rPr>
            </w:pPr>
            <w:r w:rsidRPr="00B51A1D">
              <w:rPr>
                <w:color w:val="000000"/>
                <w:sz w:val="26"/>
                <w:szCs w:val="26"/>
              </w:rPr>
              <w:t>GS=1</w:t>
            </w:r>
          </w:p>
        </w:tc>
      </w:tr>
      <w:tr w:rsidR="00B51A1D" w:rsidRPr="00B51A1D" w14:paraId="4BFA17C7" w14:textId="77777777" w:rsidTr="00C77DF7">
        <w:trPr>
          <w:trHeight w:val="300"/>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14:paraId="0FF9A9E9" w14:textId="77777777" w:rsidR="00B51A1D" w:rsidRPr="00B51A1D" w:rsidRDefault="00B51A1D" w:rsidP="00C77DF7">
            <w:pPr>
              <w:jc w:val="right"/>
              <w:rPr>
                <w:color w:val="000000"/>
                <w:sz w:val="26"/>
                <w:szCs w:val="26"/>
              </w:rPr>
            </w:pPr>
            <w:r w:rsidRPr="00B51A1D">
              <w:rPr>
                <w:color w:val="000000"/>
                <w:sz w:val="26"/>
                <w:szCs w:val="26"/>
              </w:rPr>
              <w:t>0.17270</w:t>
            </w:r>
          </w:p>
        </w:tc>
        <w:tc>
          <w:tcPr>
            <w:tcW w:w="903" w:type="dxa"/>
            <w:tcBorders>
              <w:top w:val="nil"/>
              <w:left w:val="nil"/>
              <w:bottom w:val="single" w:sz="4" w:space="0" w:color="auto"/>
              <w:right w:val="single" w:sz="4" w:space="0" w:color="auto"/>
            </w:tcBorders>
            <w:shd w:val="clear" w:color="auto" w:fill="auto"/>
            <w:noWrap/>
            <w:vAlign w:val="bottom"/>
            <w:hideMark/>
          </w:tcPr>
          <w:p w14:paraId="77F810AE" w14:textId="77777777" w:rsidR="00B51A1D" w:rsidRPr="00B51A1D" w:rsidRDefault="00B51A1D" w:rsidP="00C77DF7">
            <w:pPr>
              <w:jc w:val="right"/>
              <w:rPr>
                <w:color w:val="000000"/>
                <w:sz w:val="26"/>
                <w:szCs w:val="26"/>
              </w:rPr>
            </w:pPr>
            <w:r w:rsidRPr="00B51A1D">
              <w:rPr>
                <w:color w:val="000000"/>
                <w:sz w:val="26"/>
                <w:szCs w:val="26"/>
              </w:rPr>
              <w:t>0.06763</w:t>
            </w:r>
          </w:p>
        </w:tc>
        <w:tc>
          <w:tcPr>
            <w:tcW w:w="1217" w:type="dxa"/>
            <w:tcBorders>
              <w:top w:val="nil"/>
              <w:left w:val="nil"/>
              <w:bottom w:val="single" w:sz="4" w:space="0" w:color="auto"/>
              <w:right w:val="single" w:sz="4" w:space="0" w:color="auto"/>
            </w:tcBorders>
            <w:shd w:val="clear" w:color="auto" w:fill="auto"/>
            <w:noWrap/>
            <w:vAlign w:val="bottom"/>
            <w:hideMark/>
          </w:tcPr>
          <w:p w14:paraId="02A4D688" w14:textId="77777777" w:rsidR="00B51A1D" w:rsidRPr="00B51A1D" w:rsidRDefault="00B51A1D" w:rsidP="00C77DF7">
            <w:pPr>
              <w:jc w:val="right"/>
              <w:rPr>
                <w:color w:val="000000"/>
                <w:sz w:val="26"/>
                <w:szCs w:val="26"/>
              </w:rPr>
            </w:pPr>
            <w:r w:rsidRPr="00B51A1D">
              <w:rPr>
                <w:color w:val="000000"/>
                <w:sz w:val="26"/>
                <w:szCs w:val="26"/>
              </w:rPr>
              <w:t>0.13952</w:t>
            </w:r>
          </w:p>
        </w:tc>
        <w:tc>
          <w:tcPr>
            <w:tcW w:w="903" w:type="dxa"/>
            <w:tcBorders>
              <w:top w:val="nil"/>
              <w:left w:val="nil"/>
              <w:bottom w:val="single" w:sz="4" w:space="0" w:color="auto"/>
              <w:right w:val="single" w:sz="4" w:space="0" w:color="auto"/>
            </w:tcBorders>
            <w:shd w:val="clear" w:color="auto" w:fill="auto"/>
            <w:noWrap/>
            <w:vAlign w:val="bottom"/>
            <w:hideMark/>
          </w:tcPr>
          <w:p w14:paraId="08C6C181" w14:textId="77777777" w:rsidR="00B51A1D" w:rsidRPr="00B51A1D" w:rsidRDefault="00B51A1D" w:rsidP="00C77DF7">
            <w:pPr>
              <w:jc w:val="right"/>
              <w:rPr>
                <w:color w:val="000000"/>
                <w:sz w:val="26"/>
                <w:szCs w:val="26"/>
              </w:rPr>
            </w:pPr>
            <w:r w:rsidRPr="00B51A1D">
              <w:rPr>
                <w:color w:val="000000"/>
                <w:sz w:val="26"/>
                <w:szCs w:val="26"/>
              </w:rPr>
              <w:t>0.01056</w:t>
            </w:r>
          </w:p>
        </w:tc>
      </w:tr>
    </w:tbl>
    <w:p w14:paraId="546F1AAE" w14:textId="77777777" w:rsidR="00B51A1D" w:rsidRPr="00B51A1D" w:rsidRDefault="00B51A1D" w:rsidP="00B51A1D">
      <w:pPr>
        <w:rPr>
          <w:sz w:val="26"/>
          <w:szCs w:val="26"/>
        </w:rPr>
      </w:pPr>
    </w:p>
    <w:p w14:paraId="455F5742" w14:textId="77777777" w:rsidR="00B51A1D" w:rsidRPr="00B51A1D" w:rsidRDefault="00B51A1D" w:rsidP="00B51A1D">
      <w:pPr>
        <w:ind w:left="1800" w:firstLine="360"/>
        <w:rPr>
          <w:sz w:val="26"/>
          <w:szCs w:val="26"/>
        </w:rPr>
      </w:pPr>
    </w:p>
    <w:tbl>
      <w:tblPr>
        <w:tblW w:w="4788" w:type="dxa"/>
        <w:jc w:val="center"/>
        <w:tblLook w:val="04A0" w:firstRow="1" w:lastRow="0" w:firstColumn="1" w:lastColumn="0" w:noHBand="0" w:noVBand="1"/>
      </w:tblPr>
      <w:tblGrid>
        <w:gridCol w:w="1708"/>
        <w:gridCol w:w="825"/>
        <w:gridCol w:w="1430"/>
        <w:gridCol w:w="825"/>
      </w:tblGrid>
      <w:tr w:rsidR="00B51A1D" w:rsidRPr="00B51A1D" w14:paraId="15FAC274" w14:textId="77777777" w:rsidTr="00B51A1D">
        <w:trPr>
          <w:trHeight w:val="300"/>
          <w:jc w:val="center"/>
        </w:trPr>
        <w:tc>
          <w:tcPr>
            <w:tcW w:w="4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354D7" w14:textId="77777777" w:rsidR="00B51A1D" w:rsidRPr="00B51A1D" w:rsidRDefault="00B51A1D" w:rsidP="00C77DF7">
            <w:pPr>
              <w:jc w:val="center"/>
              <w:rPr>
                <w:color w:val="000000"/>
                <w:sz w:val="26"/>
                <w:szCs w:val="26"/>
              </w:rPr>
            </w:pPr>
            <w:r w:rsidRPr="00B51A1D">
              <w:rPr>
                <w:color w:val="000000"/>
                <w:sz w:val="26"/>
                <w:szCs w:val="26"/>
              </w:rPr>
              <w:t>Percent Change from 2014 PTBAR Rates</w:t>
            </w:r>
          </w:p>
        </w:tc>
      </w:tr>
      <w:tr w:rsidR="00B51A1D" w:rsidRPr="00B51A1D" w14:paraId="113A84CF" w14:textId="77777777" w:rsidTr="00B51A1D">
        <w:trPr>
          <w:trHeight w:val="300"/>
          <w:jc w:val="center"/>
        </w:trPr>
        <w:tc>
          <w:tcPr>
            <w:tcW w:w="47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A9D7" w14:textId="77777777" w:rsidR="00B51A1D" w:rsidRPr="00B51A1D" w:rsidRDefault="00B51A1D" w:rsidP="00C77DF7">
            <w:pPr>
              <w:rPr>
                <w:color w:val="000000"/>
                <w:sz w:val="26"/>
                <w:szCs w:val="26"/>
              </w:rPr>
            </w:pPr>
            <w:r w:rsidRPr="00B51A1D">
              <w:rPr>
                <w:color w:val="000000"/>
                <w:sz w:val="26"/>
                <w:szCs w:val="26"/>
              </w:rPr>
              <w:t> </w:t>
            </w:r>
          </w:p>
        </w:tc>
      </w:tr>
      <w:tr w:rsidR="00B51A1D" w:rsidRPr="00B51A1D" w14:paraId="1CDA93D7" w14:textId="77777777" w:rsidTr="00B51A1D">
        <w:trPr>
          <w:trHeight w:val="300"/>
          <w:jc w:val="center"/>
        </w:trPr>
        <w:tc>
          <w:tcPr>
            <w:tcW w:w="2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5BBAA" w14:textId="77777777" w:rsidR="00B51A1D" w:rsidRPr="00B51A1D" w:rsidRDefault="00B51A1D" w:rsidP="00C77DF7">
            <w:pPr>
              <w:jc w:val="center"/>
              <w:rPr>
                <w:color w:val="000000"/>
                <w:sz w:val="26"/>
                <w:szCs w:val="26"/>
              </w:rPr>
            </w:pPr>
            <w:r w:rsidRPr="00B51A1D">
              <w:rPr>
                <w:color w:val="000000"/>
                <w:sz w:val="26"/>
                <w:szCs w:val="26"/>
              </w:rPr>
              <w:t>Columbus Southern</w:t>
            </w:r>
          </w:p>
        </w:tc>
        <w:tc>
          <w:tcPr>
            <w:tcW w:w="225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FD20A8" w14:textId="77777777" w:rsidR="00B51A1D" w:rsidRPr="00B51A1D" w:rsidRDefault="00B51A1D" w:rsidP="00C77DF7">
            <w:pPr>
              <w:jc w:val="center"/>
              <w:rPr>
                <w:color w:val="000000"/>
                <w:sz w:val="26"/>
                <w:szCs w:val="26"/>
              </w:rPr>
            </w:pPr>
            <w:r w:rsidRPr="00B51A1D">
              <w:rPr>
                <w:color w:val="000000"/>
                <w:sz w:val="26"/>
                <w:szCs w:val="26"/>
              </w:rPr>
              <w:t>Ohio Power</w:t>
            </w:r>
          </w:p>
        </w:tc>
      </w:tr>
      <w:tr w:rsidR="00B51A1D" w:rsidRPr="00B51A1D" w14:paraId="5B6FD34B" w14:textId="77777777" w:rsidTr="00B51A1D">
        <w:trPr>
          <w:trHeight w:val="300"/>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08666B89" w14:textId="77777777" w:rsidR="00B51A1D" w:rsidRPr="00B51A1D" w:rsidRDefault="00B51A1D" w:rsidP="00C77DF7">
            <w:pPr>
              <w:rPr>
                <w:color w:val="000000"/>
                <w:sz w:val="26"/>
                <w:szCs w:val="26"/>
              </w:rPr>
            </w:pPr>
            <w:r w:rsidRPr="00B51A1D">
              <w:rPr>
                <w:color w:val="000000"/>
                <w:sz w:val="26"/>
                <w:szCs w:val="26"/>
              </w:rPr>
              <w:t>Residential</w:t>
            </w:r>
          </w:p>
        </w:tc>
        <w:tc>
          <w:tcPr>
            <w:tcW w:w="825" w:type="dxa"/>
            <w:tcBorders>
              <w:top w:val="nil"/>
              <w:left w:val="nil"/>
              <w:bottom w:val="single" w:sz="4" w:space="0" w:color="auto"/>
              <w:right w:val="single" w:sz="4" w:space="0" w:color="auto"/>
            </w:tcBorders>
            <w:shd w:val="clear" w:color="auto" w:fill="auto"/>
            <w:noWrap/>
            <w:vAlign w:val="bottom"/>
            <w:hideMark/>
          </w:tcPr>
          <w:p w14:paraId="5C3824BC" w14:textId="77777777" w:rsidR="00B51A1D" w:rsidRPr="00B51A1D" w:rsidRDefault="00B51A1D" w:rsidP="00C77DF7">
            <w:pPr>
              <w:rPr>
                <w:color w:val="000000"/>
                <w:sz w:val="26"/>
                <w:szCs w:val="26"/>
              </w:rPr>
            </w:pPr>
            <w:r w:rsidRPr="00B51A1D">
              <w:rPr>
                <w:color w:val="000000"/>
                <w:sz w:val="26"/>
                <w:szCs w:val="26"/>
              </w:rPr>
              <w:t>GS=1</w:t>
            </w:r>
          </w:p>
        </w:tc>
        <w:tc>
          <w:tcPr>
            <w:tcW w:w="1430" w:type="dxa"/>
            <w:tcBorders>
              <w:top w:val="nil"/>
              <w:left w:val="nil"/>
              <w:bottom w:val="single" w:sz="4" w:space="0" w:color="auto"/>
              <w:right w:val="single" w:sz="4" w:space="0" w:color="auto"/>
            </w:tcBorders>
            <w:shd w:val="clear" w:color="auto" w:fill="auto"/>
            <w:noWrap/>
            <w:vAlign w:val="bottom"/>
            <w:hideMark/>
          </w:tcPr>
          <w:p w14:paraId="70E62273" w14:textId="77777777" w:rsidR="00B51A1D" w:rsidRPr="00B51A1D" w:rsidRDefault="00B51A1D" w:rsidP="00C77DF7">
            <w:pPr>
              <w:rPr>
                <w:color w:val="000000"/>
                <w:sz w:val="26"/>
                <w:szCs w:val="26"/>
              </w:rPr>
            </w:pPr>
            <w:r w:rsidRPr="00B51A1D">
              <w:rPr>
                <w:color w:val="000000"/>
                <w:sz w:val="26"/>
                <w:szCs w:val="26"/>
              </w:rPr>
              <w:t>Residential</w:t>
            </w:r>
          </w:p>
        </w:tc>
        <w:tc>
          <w:tcPr>
            <w:tcW w:w="825" w:type="dxa"/>
            <w:tcBorders>
              <w:top w:val="nil"/>
              <w:left w:val="nil"/>
              <w:bottom w:val="single" w:sz="4" w:space="0" w:color="auto"/>
              <w:right w:val="single" w:sz="4" w:space="0" w:color="auto"/>
            </w:tcBorders>
            <w:shd w:val="clear" w:color="auto" w:fill="auto"/>
            <w:noWrap/>
            <w:vAlign w:val="bottom"/>
            <w:hideMark/>
          </w:tcPr>
          <w:p w14:paraId="47C49408" w14:textId="77777777" w:rsidR="00B51A1D" w:rsidRPr="00B51A1D" w:rsidRDefault="00B51A1D" w:rsidP="00C77DF7">
            <w:pPr>
              <w:rPr>
                <w:color w:val="000000"/>
                <w:sz w:val="26"/>
                <w:szCs w:val="26"/>
              </w:rPr>
            </w:pPr>
            <w:r w:rsidRPr="00B51A1D">
              <w:rPr>
                <w:color w:val="000000"/>
                <w:sz w:val="26"/>
                <w:szCs w:val="26"/>
              </w:rPr>
              <w:t>GS=1</w:t>
            </w:r>
          </w:p>
        </w:tc>
      </w:tr>
      <w:tr w:rsidR="00B51A1D" w:rsidRPr="00B51A1D" w14:paraId="0DD9C6B1" w14:textId="77777777" w:rsidTr="00B51A1D">
        <w:trPr>
          <w:trHeight w:val="300"/>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6C09BCA9" w14:textId="77777777" w:rsidR="00B51A1D" w:rsidRPr="00B51A1D" w:rsidRDefault="00B51A1D" w:rsidP="00C77DF7">
            <w:pPr>
              <w:jc w:val="right"/>
              <w:rPr>
                <w:color w:val="000000"/>
                <w:sz w:val="26"/>
                <w:szCs w:val="26"/>
              </w:rPr>
            </w:pPr>
            <w:r w:rsidRPr="00B51A1D">
              <w:rPr>
                <w:color w:val="000000"/>
                <w:sz w:val="26"/>
                <w:szCs w:val="26"/>
              </w:rPr>
              <w:t>7%</w:t>
            </w:r>
          </w:p>
        </w:tc>
        <w:tc>
          <w:tcPr>
            <w:tcW w:w="825" w:type="dxa"/>
            <w:tcBorders>
              <w:top w:val="nil"/>
              <w:left w:val="nil"/>
              <w:bottom w:val="single" w:sz="4" w:space="0" w:color="auto"/>
              <w:right w:val="single" w:sz="4" w:space="0" w:color="auto"/>
            </w:tcBorders>
            <w:shd w:val="clear" w:color="auto" w:fill="auto"/>
            <w:noWrap/>
            <w:vAlign w:val="bottom"/>
            <w:hideMark/>
          </w:tcPr>
          <w:p w14:paraId="4C97861F" w14:textId="77777777" w:rsidR="00B51A1D" w:rsidRPr="00B51A1D" w:rsidRDefault="00B51A1D" w:rsidP="00C77DF7">
            <w:pPr>
              <w:jc w:val="right"/>
              <w:rPr>
                <w:color w:val="000000"/>
                <w:sz w:val="26"/>
                <w:szCs w:val="26"/>
              </w:rPr>
            </w:pPr>
            <w:r w:rsidRPr="00B51A1D">
              <w:rPr>
                <w:color w:val="000000"/>
                <w:sz w:val="26"/>
                <w:szCs w:val="26"/>
              </w:rPr>
              <w:t>-3%</w:t>
            </w:r>
          </w:p>
        </w:tc>
        <w:tc>
          <w:tcPr>
            <w:tcW w:w="1430" w:type="dxa"/>
            <w:tcBorders>
              <w:top w:val="nil"/>
              <w:left w:val="nil"/>
              <w:bottom w:val="single" w:sz="4" w:space="0" w:color="auto"/>
              <w:right w:val="single" w:sz="4" w:space="0" w:color="auto"/>
            </w:tcBorders>
            <w:shd w:val="clear" w:color="auto" w:fill="auto"/>
            <w:noWrap/>
            <w:vAlign w:val="bottom"/>
            <w:hideMark/>
          </w:tcPr>
          <w:p w14:paraId="6C012E4C" w14:textId="77777777" w:rsidR="00B51A1D" w:rsidRPr="00B51A1D" w:rsidRDefault="00B51A1D" w:rsidP="00C77DF7">
            <w:pPr>
              <w:jc w:val="right"/>
              <w:rPr>
                <w:color w:val="000000"/>
                <w:sz w:val="26"/>
                <w:szCs w:val="26"/>
              </w:rPr>
            </w:pPr>
            <w:r w:rsidRPr="00B51A1D">
              <w:rPr>
                <w:color w:val="000000"/>
                <w:sz w:val="26"/>
                <w:szCs w:val="26"/>
              </w:rPr>
              <w:t>-6%</w:t>
            </w:r>
          </w:p>
        </w:tc>
        <w:tc>
          <w:tcPr>
            <w:tcW w:w="825" w:type="dxa"/>
            <w:tcBorders>
              <w:top w:val="nil"/>
              <w:left w:val="nil"/>
              <w:bottom w:val="single" w:sz="4" w:space="0" w:color="auto"/>
              <w:right w:val="single" w:sz="4" w:space="0" w:color="auto"/>
            </w:tcBorders>
            <w:shd w:val="clear" w:color="auto" w:fill="auto"/>
            <w:noWrap/>
            <w:vAlign w:val="bottom"/>
            <w:hideMark/>
          </w:tcPr>
          <w:p w14:paraId="045A0E0D" w14:textId="77777777" w:rsidR="00B51A1D" w:rsidRPr="00B51A1D" w:rsidRDefault="00B51A1D" w:rsidP="00C77DF7">
            <w:pPr>
              <w:jc w:val="right"/>
              <w:rPr>
                <w:color w:val="000000"/>
                <w:sz w:val="26"/>
                <w:szCs w:val="26"/>
              </w:rPr>
            </w:pPr>
            <w:r w:rsidRPr="00B51A1D">
              <w:rPr>
                <w:color w:val="000000"/>
                <w:sz w:val="26"/>
                <w:szCs w:val="26"/>
              </w:rPr>
              <w:t>-42%</w:t>
            </w:r>
          </w:p>
        </w:tc>
      </w:tr>
    </w:tbl>
    <w:p w14:paraId="76A83017" w14:textId="77777777" w:rsidR="00B51A1D" w:rsidRPr="00B174C3" w:rsidRDefault="00B51A1D" w:rsidP="00B51A1D">
      <w:pPr>
        <w:ind w:left="1800" w:firstLine="360"/>
        <w:rPr>
          <w:sz w:val="24"/>
          <w:szCs w:val="24"/>
        </w:rPr>
      </w:pPr>
      <w:r w:rsidRPr="00B174C3">
        <w:rPr>
          <w:sz w:val="24"/>
          <w:szCs w:val="24"/>
        </w:rPr>
        <w:tab/>
      </w:r>
    </w:p>
    <w:p w14:paraId="2D49E09C" w14:textId="77777777" w:rsidR="00B51A1D" w:rsidRPr="00B51A1D" w:rsidRDefault="00B51A1D" w:rsidP="00B51A1D">
      <w:pPr>
        <w:pStyle w:val="ListParagraph"/>
        <w:numPr>
          <w:ilvl w:val="0"/>
          <w:numId w:val="7"/>
        </w:numPr>
        <w:rPr>
          <w:rFonts w:ascii="Times New Roman" w:hAnsi="Times New Roman" w:cs="Times New Roman"/>
          <w:sz w:val="26"/>
          <w:szCs w:val="26"/>
        </w:rPr>
      </w:pPr>
      <w:r w:rsidRPr="00B51A1D">
        <w:rPr>
          <w:rFonts w:ascii="Times New Roman" w:hAnsi="Times New Roman" w:cs="Times New Roman"/>
          <w:sz w:val="26"/>
          <w:szCs w:val="26"/>
        </w:rPr>
        <w:t xml:space="preserve">The rate cap was invoked for the Residential rate class in the Columbus Southern rate zone.  The balance of the actual vs. target revenues exceeded the 3% rate cap by 31%.  The rates for the remaining three rate classes were under the cap.  </w:t>
      </w:r>
    </w:p>
    <w:p w14:paraId="063A9D10" w14:textId="77777777" w:rsidR="00B51A1D" w:rsidRPr="00B174C3" w:rsidRDefault="00B51A1D" w:rsidP="00B51A1D">
      <w:pPr>
        <w:rPr>
          <w:sz w:val="24"/>
          <w:szCs w:val="24"/>
        </w:rPr>
      </w:pPr>
    </w:p>
    <w:p w14:paraId="11A820DE" w14:textId="14796AB8" w:rsidR="00B51A1D" w:rsidRPr="00B51A1D" w:rsidRDefault="00B51A1D" w:rsidP="00B51A1D">
      <w:pPr>
        <w:rPr>
          <w:sz w:val="26"/>
          <w:szCs w:val="26"/>
        </w:rPr>
      </w:pPr>
      <w:r w:rsidRPr="00B51A1D">
        <w:rPr>
          <w:noProof/>
          <w:sz w:val="26"/>
          <w:szCs w:val="26"/>
        </w:rPr>
        <w:drawing>
          <wp:inline distT="0" distB="0" distL="0" distR="0" wp14:anchorId="1AB9414D" wp14:editId="0B9CABD9">
            <wp:extent cx="5943600" cy="89916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9160"/>
                    </a:xfrm>
                    <a:prstGeom prst="rect">
                      <a:avLst/>
                    </a:prstGeom>
                    <a:noFill/>
                    <a:ln>
                      <a:noFill/>
                    </a:ln>
                  </pic:spPr>
                </pic:pic>
              </a:graphicData>
            </a:graphic>
          </wp:inline>
        </w:drawing>
      </w:r>
    </w:p>
    <w:p w14:paraId="7A01A502" w14:textId="77777777" w:rsidR="00B51A1D" w:rsidRPr="00B174C3" w:rsidRDefault="00B51A1D" w:rsidP="00B51A1D">
      <w:pPr>
        <w:rPr>
          <w:sz w:val="24"/>
          <w:szCs w:val="24"/>
        </w:rPr>
      </w:pPr>
    </w:p>
    <w:p w14:paraId="2C243F0E" w14:textId="77777777" w:rsidR="00B51A1D" w:rsidRDefault="00B51A1D" w:rsidP="00B51A1D">
      <w:pPr>
        <w:pStyle w:val="ListParagraph"/>
        <w:numPr>
          <w:ilvl w:val="0"/>
          <w:numId w:val="7"/>
        </w:numPr>
        <w:rPr>
          <w:rFonts w:ascii="Times New Roman" w:hAnsi="Times New Roman" w:cs="Times New Roman"/>
          <w:sz w:val="26"/>
          <w:szCs w:val="26"/>
        </w:rPr>
      </w:pPr>
      <w:r w:rsidRPr="00B51A1D">
        <w:rPr>
          <w:rFonts w:ascii="Times New Roman" w:hAnsi="Times New Roman" w:cs="Times New Roman"/>
          <w:sz w:val="26"/>
          <w:szCs w:val="26"/>
        </w:rPr>
        <w:t>PTBAR rates reflect both positive and negative differences between actual month</w:t>
      </w:r>
      <w:r>
        <w:rPr>
          <w:rFonts w:ascii="Times New Roman" w:hAnsi="Times New Roman" w:cs="Times New Roman"/>
          <w:sz w:val="26"/>
          <w:szCs w:val="26"/>
        </w:rPr>
        <w:softHyphen/>
      </w:r>
      <w:r w:rsidRPr="00B51A1D">
        <w:rPr>
          <w:rFonts w:ascii="Times New Roman" w:hAnsi="Times New Roman" w:cs="Times New Roman"/>
          <w:sz w:val="26"/>
          <w:szCs w:val="26"/>
        </w:rPr>
        <w:t>ly volumetric distribution revenues and the targeted volumetric distribution levels; however, the annual filings have not produced any refunds to the customers.</w:t>
      </w:r>
      <w:r>
        <w:rPr>
          <w:rFonts w:ascii="Times New Roman" w:hAnsi="Times New Roman" w:cs="Times New Roman"/>
          <w:sz w:val="26"/>
          <w:szCs w:val="26"/>
        </w:rPr>
        <w:br/>
      </w:r>
    </w:p>
    <w:p w14:paraId="0593C359" w14:textId="77777777" w:rsidR="00B51A1D" w:rsidRPr="00B51A1D" w:rsidRDefault="00B51A1D" w:rsidP="00B51A1D">
      <w:pPr>
        <w:pStyle w:val="ListParagraph"/>
        <w:numPr>
          <w:ilvl w:val="0"/>
          <w:numId w:val="7"/>
        </w:numPr>
        <w:rPr>
          <w:rFonts w:ascii="Times New Roman" w:hAnsi="Times New Roman" w:cs="Times New Roman"/>
          <w:sz w:val="26"/>
          <w:szCs w:val="26"/>
        </w:rPr>
      </w:pPr>
      <w:r w:rsidRPr="00B51A1D">
        <w:rPr>
          <w:rFonts w:ascii="Times New Roman" w:hAnsi="Times New Roman" w:cs="Times New Roman"/>
          <w:sz w:val="26"/>
          <w:szCs w:val="26"/>
        </w:rPr>
        <w:t>The rates established in Case No. 13-568-EL-RDR have under (over) collected the agreed upon amount through December 2014 as follows.</w:t>
      </w:r>
    </w:p>
    <w:p w14:paraId="10B9D6D8" w14:textId="77777777" w:rsidR="00B51A1D" w:rsidRPr="00B51A1D" w:rsidRDefault="00B51A1D" w:rsidP="00B51A1D">
      <w:pPr>
        <w:pStyle w:val="ListParagraph"/>
        <w:rPr>
          <w:rFonts w:ascii="Times New Roman" w:hAnsi="Times New Roman" w:cs="Times New Roman"/>
          <w:sz w:val="26"/>
          <w:szCs w:val="26"/>
        </w:rPr>
      </w:pPr>
    </w:p>
    <w:tbl>
      <w:tblPr>
        <w:tblW w:w="5015" w:type="dxa"/>
        <w:jc w:val="center"/>
        <w:tblLook w:val="04A0" w:firstRow="1" w:lastRow="0" w:firstColumn="1" w:lastColumn="0" w:noHBand="0" w:noVBand="1"/>
      </w:tblPr>
      <w:tblGrid>
        <w:gridCol w:w="1386"/>
        <w:gridCol w:w="1126"/>
        <w:gridCol w:w="1386"/>
        <w:gridCol w:w="1117"/>
      </w:tblGrid>
      <w:tr w:rsidR="00B51A1D" w:rsidRPr="00B51A1D" w14:paraId="2967ACAD" w14:textId="77777777" w:rsidTr="0013579E">
        <w:trPr>
          <w:trHeight w:val="300"/>
          <w:jc w:val="center"/>
        </w:trPr>
        <w:tc>
          <w:tcPr>
            <w:tcW w:w="50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ADEF2" w14:textId="77777777" w:rsidR="00B51A1D" w:rsidRPr="00B51A1D" w:rsidRDefault="00B51A1D" w:rsidP="00C77DF7">
            <w:pPr>
              <w:jc w:val="center"/>
              <w:rPr>
                <w:color w:val="000000"/>
                <w:sz w:val="26"/>
                <w:szCs w:val="26"/>
              </w:rPr>
            </w:pPr>
            <w:r w:rsidRPr="00B51A1D">
              <w:rPr>
                <w:color w:val="000000"/>
                <w:sz w:val="26"/>
                <w:szCs w:val="26"/>
              </w:rPr>
              <w:t>Amount Under / (Over) Collected from 2014</w:t>
            </w:r>
          </w:p>
        </w:tc>
      </w:tr>
      <w:tr w:rsidR="00B51A1D" w:rsidRPr="00B51A1D" w14:paraId="191A5616" w14:textId="77777777" w:rsidTr="0013579E">
        <w:trPr>
          <w:trHeight w:val="300"/>
          <w:jc w:val="center"/>
        </w:trPr>
        <w:tc>
          <w:tcPr>
            <w:tcW w:w="501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83C9F" w14:textId="77777777" w:rsidR="00B51A1D" w:rsidRPr="00B51A1D" w:rsidRDefault="00B51A1D" w:rsidP="00C77DF7">
            <w:pPr>
              <w:rPr>
                <w:color w:val="000000"/>
                <w:sz w:val="26"/>
                <w:szCs w:val="26"/>
              </w:rPr>
            </w:pPr>
            <w:r w:rsidRPr="00B51A1D">
              <w:rPr>
                <w:color w:val="000000"/>
                <w:sz w:val="26"/>
                <w:szCs w:val="26"/>
              </w:rPr>
              <w:t> </w:t>
            </w:r>
          </w:p>
        </w:tc>
      </w:tr>
      <w:tr w:rsidR="00B51A1D" w:rsidRPr="00B51A1D" w14:paraId="59536B7F" w14:textId="77777777" w:rsidTr="0013579E">
        <w:trPr>
          <w:trHeight w:val="300"/>
          <w:jc w:val="center"/>
        </w:trPr>
        <w:tc>
          <w:tcPr>
            <w:tcW w:w="2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557EB" w14:textId="77777777" w:rsidR="00B51A1D" w:rsidRPr="00B51A1D" w:rsidRDefault="00B51A1D" w:rsidP="00C77DF7">
            <w:pPr>
              <w:jc w:val="center"/>
              <w:rPr>
                <w:color w:val="000000"/>
                <w:sz w:val="26"/>
                <w:szCs w:val="26"/>
              </w:rPr>
            </w:pPr>
            <w:r w:rsidRPr="00B51A1D">
              <w:rPr>
                <w:color w:val="000000"/>
                <w:sz w:val="26"/>
                <w:szCs w:val="26"/>
              </w:rPr>
              <w:t>Columbus Southern</w:t>
            </w:r>
          </w:p>
        </w:tc>
        <w:tc>
          <w:tcPr>
            <w:tcW w:w="25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EAA89E" w14:textId="77777777" w:rsidR="00B51A1D" w:rsidRPr="00B51A1D" w:rsidRDefault="00B51A1D" w:rsidP="00C77DF7">
            <w:pPr>
              <w:jc w:val="center"/>
              <w:rPr>
                <w:color w:val="000000"/>
                <w:sz w:val="26"/>
                <w:szCs w:val="26"/>
              </w:rPr>
            </w:pPr>
            <w:r w:rsidRPr="00B51A1D">
              <w:rPr>
                <w:color w:val="000000"/>
                <w:sz w:val="26"/>
                <w:szCs w:val="26"/>
              </w:rPr>
              <w:t>Ohio Power</w:t>
            </w:r>
          </w:p>
        </w:tc>
      </w:tr>
      <w:tr w:rsidR="00B51A1D" w:rsidRPr="00B51A1D" w14:paraId="5ED3B21A" w14:textId="77777777" w:rsidTr="0013579E">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04FC685" w14:textId="77777777" w:rsidR="00B51A1D" w:rsidRPr="00B51A1D" w:rsidRDefault="00B51A1D" w:rsidP="00C77DF7">
            <w:pPr>
              <w:rPr>
                <w:color w:val="000000"/>
                <w:sz w:val="26"/>
                <w:szCs w:val="26"/>
              </w:rPr>
            </w:pPr>
            <w:r w:rsidRPr="00B51A1D">
              <w:rPr>
                <w:color w:val="000000"/>
                <w:sz w:val="26"/>
                <w:szCs w:val="26"/>
              </w:rPr>
              <w:t>Residential</w:t>
            </w:r>
          </w:p>
        </w:tc>
        <w:tc>
          <w:tcPr>
            <w:tcW w:w="1126" w:type="dxa"/>
            <w:tcBorders>
              <w:top w:val="nil"/>
              <w:left w:val="nil"/>
              <w:bottom w:val="single" w:sz="4" w:space="0" w:color="auto"/>
              <w:right w:val="single" w:sz="4" w:space="0" w:color="auto"/>
            </w:tcBorders>
            <w:shd w:val="clear" w:color="auto" w:fill="auto"/>
            <w:noWrap/>
            <w:vAlign w:val="bottom"/>
            <w:hideMark/>
          </w:tcPr>
          <w:p w14:paraId="3F7FBEEC" w14:textId="77777777" w:rsidR="00B51A1D" w:rsidRPr="00B51A1D" w:rsidRDefault="00B51A1D" w:rsidP="00C77DF7">
            <w:pPr>
              <w:rPr>
                <w:color w:val="000000"/>
                <w:sz w:val="26"/>
                <w:szCs w:val="26"/>
              </w:rPr>
            </w:pPr>
            <w:r w:rsidRPr="00B51A1D">
              <w:rPr>
                <w:color w:val="000000"/>
                <w:sz w:val="26"/>
                <w:szCs w:val="26"/>
              </w:rPr>
              <w:t>GS=1</w:t>
            </w:r>
          </w:p>
        </w:tc>
        <w:tc>
          <w:tcPr>
            <w:tcW w:w="1386" w:type="dxa"/>
            <w:tcBorders>
              <w:top w:val="nil"/>
              <w:left w:val="nil"/>
              <w:bottom w:val="single" w:sz="4" w:space="0" w:color="auto"/>
              <w:right w:val="single" w:sz="4" w:space="0" w:color="auto"/>
            </w:tcBorders>
            <w:shd w:val="clear" w:color="auto" w:fill="auto"/>
            <w:noWrap/>
            <w:vAlign w:val="bottom"/>
            <w:hideMark/>
          </w:tcPr>
          <w:p w14:paraId="22CC3F13" w14:textId="77777777" w:rsidR="00B51A1D" w:rsidRPr="00B51A1D" w:rsidRDefault="00B51A1D" w:rsidP="00C77DF7">
            <w:pPr>
              <w:rPr>
                <w:color w:val="000000"/>
                <w:sz w:val="26"/>
                <w:szCs w:val="26"/>
              </w:rPr>
            </w:pPr>
            <w:r w:rsidRPr="00B51A1D">
              <w:rPr>
                <w:color w:val="000000"/>
                <w:sz w:val="26"/>
                <w:szCs w:val="26"/>
              </w:rPr>
              <w:t>Residential</w:t>
            </w:r>
          </w:p>
        </w:tc>
        <w:tc>
          <w:tcPr>
            <w:tcW w:w="1117" w:type="dxa"/>
            <w:tcBorders>
              <w:top w:val="nil"/>
              <w:left w:val="nil"/>
              <w:bottom w:val="single" w:sz="4" w:space="0" w:color="auto"/>
              <w:right w:val="single" w:sz="4" w:space="0" w:color="auto"/>
            </w:tcBorders>
            <w:shd w:val="clear" w:color="auto" w:fill="auto"/>
            <w:noWrap/>
            <w:vAlign w:val="bottom"/>
            <w:hideMark/>
          </w:tcPr>
          <w:p w14:paraId="109C7F7E" w14:textId="77777777" w:rsidR="00B51A1D" w:rsidRPr="00B51A1D" w:rsidRDefault="00B51A1D" w:rsidP="00C77DF7">
            <w:pPr>
              <w:rPr>
                <w:color w:val="000000"/>
                <w:sz w:val="26"/>
                <w:szCs w:val="26"/>
              </w:rPr>
            </w:pPr>
            <w:r w:rsidRPr="00B51A1D">
              <w:rPr>
                <w:color w:val="000000"/>
                <w:sz w:val="26"/>
                <w:szCs w:val="26"/>
              </w:rPr>
              <w:t>GS=1</w:t>
            </w:r>
          </w:p>
        </w:tc>
      </w:tr>
      <w:tr w:rsidR="00B51A1D" w:rsidRPr="00B51A1D" w14:paraId="5BB463B0" w14:textId="77777777" w:rsidTr="0013579E">
        <w:trPr>
          <w:trHeight w:val="300"/>
          <w:jc w:val="center"/>
        </w:trPr>
        <w:tc>
          <w:tcPr>
            <w:tcW w:w="1386" w:type="dxa"/>
            <w:tcBorders>
              <w:top w:val="nil"/>
              <w:left w:val="single" w:sz="4" w:space="0" w:color="auto"/>
              <w:bottom w:val="single" w:sz="4" w:space="0" w:color="auto"/>
              <w:right w:val="single" w:sz="4" w:space="0" w:color="auto"/>
            </w:tcBorders>
            <w:shd w:val="clear" w:color="auto" w:fill="auto"/>
            <w:noWrap/>
            <w:vAlign w:val="bottom"/>
            <w:hideMark/>
          </w:tcPr>
          <w:p w14:paraId="7A648B86" w14:textId="77777777" w:rsidR="00B51A1D" w:rsidRPr="00B51A1D" w:rsidRDefault="00B51A1D" w:rsidP="00C77DF7">
            <w:pPr>
              <w:rPr>
                <w:color w:val="000000"/>
                <w:sz w:val="26"/>
                <w:szCs w:val="26"/>
              </w:rPr>
            </w:pPr>
            <w:r w:rsidRPr="00B51A1D">
              <w:rPr>
                <w:color w:val="000000"/>
                <w:sz w:val="26"/>
                <w:szCs w:val="26"/>
              </w:rPr>
              <w:t xml:space="preserve"> $  (152,843)</w:t>
            </w:r>
          </w:p>
        </w:tc>
        <w:tc>
          <w:tcPr>
            <w:tcW w:w="1126" w:type="dxa"/>
            <w:tcBorders>
              <w:top w:val="nil"/>
              <w:left w:val="nil"/>
              <w:bottom w:val="single" w:sz="4" w:space="0" w:color="auto"/>
              <w:right w:val="single" w:sz="4" w:space="0" w:color="auto"/>
            </w:tcBorders>
            <w:shd w:val="clear" w:color="auto" w:fill="auto"/>
            <w:noWrap/>
            <w:vAlign w:val="bottom"/>
            <w:hideMark/>
          </w:tcPr>
          <w:p w14:paraId="7E498C16" w14:textId="77777777" w:rsidR="00B51A1D" w:rsidRPr="00B51A1D" w:rsidRDefault="00B51A1D" w:rsidP="00C77DF7">
            <w:pPr>
              <w:rPr>
                <w:color w:val="000000"/>
                <w:sz w:val="26"/>
                <w:szCs w:val="26"/>
              </w:rPr>
            </w:pPr>
            <w:r w:rsidRPr="00B51A1D">
              <w:rPr>
                <w:color w:val="000000"/>
                <w:sz w:val="26"/>
                <w:szCs w:val="26"/>
              </w:rPr>
              <w:t xml:space="preserve"> $        487 </w:t>
            </w:r>
          </w:p>
        </w:tc>
        <w:tc>
          <w:tcPr>
            <w:tcW w:w="1386" w:type="dxa"/>
            <w:tcBorders>
              <w:top w:val="nil"/>
              <w:left w:val="nil"/>
              <w:bottom w:val="single" w:sz="4" w:space="0" w:color="auto"/>
              <w:right w:val="single" w:sz="4" w:space="0" w:color="auto"/>
            </w:tcBorders>
            <w:shd w:val="clear" w:color="auto" w:fill="auto"/>
            <w:noWrap/>
            <w:vAlign w:val="bottom"/>
            <w:hideMark/>
          </w:tcPr>
          <w:p w14:paraId="6690244C" w14:textId="77777777" w:rsidR="00B51A1D" w:rsidRPr="00B51A1D" w:rsidRDefault="00B51A1D" w:rsidP="00C77DF7">
            <w:pPr>
              <w:rPr>
                <w:color w:val="000000"/>
                <w:sz w:val="26"/>
                <w:szCs w:val="26"/>
              </w:rPr>
            </w:pPr>
            <w:r w:rsidRPr="00B51A1D">
              <w:rPr>
                <w:color w:val="000000"/>
                <w:sz w:val="26"/>
                <w:szCs w:val="26"/>
              </w:rPr>
              <w:t xml:space="preserve"> $  (223,406)</w:t>
            </w:r>
          </w:p>
        </w:tc>
        <w:tc>
          <w:tcPr>
            <w:tcW w:w="1117" w:type="dxa"/>
            <w:tcBorders>
              <w:top w:val="nil"/>
              <w:left w:val="nil"/>
              <w:bottom w:val="single" w:sz="4" w:space="0" w:color="auto"/>
              <w:right w:val="single" w:sz="4" w:space="0" w:color="auto"/>
            </w:tcBorders>
            <w:shd w:val="clear" w:color="auto" w:fill="auto"/>
            <w:noWrap/>
            <w:vAlign w:val="bottom"/>
            <w:hideMark/>
          </w:tcPr>
          <w:p w14:paraId="42CD5EA3" w14:textId="77777777" w:rsidR="00B51A1D" w:rsidRPr="00B51A1D" w:rsidRDefault="00B51A1D" w:rsidP="00C77DF7">
            <w:pPr>
              <w:rPr>
                <w:color w:val="000000"/>
                <w:sz w:val="26"/>
                <w:szCs w:val="26"/>
              </w:rPr>
            </w:pPr>
            <w:r w:rsidRPr="00B51A1D">
              <w:rPr>
                <w:color w:val="000000"/>
                <w:sz w:val="26"/>
                <w:szCs w:val="26"/>
              </w:rPr>
              <w:t xml:space="preserve"> $  (5,850)</w:t>
            </w:r>
          </w:p>
        </w:tc>
      </w:tr>
    </w:tbl>
    <w:p w14:paraId="326133ED" w14:textId="77777777" w:rsidR="00B51A1D" w:rsidRPr="00B174C3" w:rsidRDefault="00B51A1D" w:rsidP="00B51A1D">
      <w:pPr>
        <w:pStyle w:val="ListParagraph"/>
        <w:ind w:left="1440" w:firstLine="720"/>
        <w:rPr>
          <w:sz w:val="24"/>
          <w:szCs w:val="24"/>
        </w:rPr>
      </w:pPr>
      <w:r w:rsidRPr="00B174C3">
        <w:rPr>
          <w:sz w:val="24"/>
          <w:szCs w:val="24"/>
        </w:rPr>
        <w:tab/>
      </w:r>
    </w:p>
    <w:p w14:paraId="5611CE88" w14:textId="77777777" w:rsidR="00B51A1D" w:rsidRPr="00B174C3" w:rsidRDefault="00B51A1D" w:rsidP="005D440D">
      <w:pPr>
        <w:pStyle w:val="textstyle0"/>
      </w:pPr>
      <w:r>
        <w:tab/>
      </w:r>
      <w:r w:rsidRPr="00B174C3">
        <w:t xml:space="preserve">Further observations and any analysis will benefit from more complete data as the cost of service study is filed this year.  </w:t>
      </w:r>
    </w:p>
    <w:p w14:paraId="042D2388" w14:textId="26966CBF" w:rsidR="00B51A1D" w:rsidRPr="00B174C3" w:rsidRDefault="00B51A1D" w:rsidP="005D440D">
      <w:pPr>
        <w:pStyle w:val="textstyle0"/>
      </w:pPr>
      <w:r>
        <w:tab/>
      </w:r>
      <w:r w:rsidRPr="00B174C3">
        <w:t>The Commission ordered the Company to update its cost of service study and to file that update prior to the final year of the pilot rate, and to file such update in Case No 11-351-EL-AIR.</w:t>
      </w:r>
      <w:r>
        <w:rPr>
          <w:rStyle w:val="FootnoteReference"/>
        </w:rPr>
        <w:footnoteReference w:id="1"/>
      </w:r>
      <w:r w:rsidRPr="00B174C3">
        <w:t xml:space="preserve">  Staff recommends </w:t>
      </w:r>
      <w:r w:rsidR="00156723">
        <w:t xml:space="preserve">to </w:t>
      </w:r>
      <w:r w:rsidRPr="00B174C3">
        <w:t xml:space="preserve">the Commission that the Company </w:t>
      </w:r>
      <w:r w:rsidR="00156723">
        <w:t>be</w:t>
      </w:r>
      <w:r w:rsidR="00156723" w:rsidRPr="00B174C3">
        <w:t xml:space="preserve"> </w:t>
      </w:r>
      <w:r w:rsidRPr="00B174C3">
        <w:t xml:space="preserve">required to file its cost of service update before (per the recommendation below) the </w:t>
      </w:r>
      <w:proofErr w:type="spellStart"/>
      <w:r w:rsidRPr="00B174C3">
        <w:t>PTBAR</w:t>
      </w:r>
      <w:proofErr w:type="spellEnd"/>
      <w:r w:rsidRPr="00B174C3">
        <w:t xml:space="preserve"> rate adjustments go into effect, July 1, 2015.  The Commission should also clarify that the cost of service update should compare the distribution reve</w:t>
      </w:r>
      <w:r>
        <w:softHyphen/>
      </w:r>
      <w:r w:rsidR="00EA1C15">
        <w:t>nues received under PTBAR versus</w:t>
      </w:r>
      <w:r w:rsidRPr="00B174C3">
        <w:t xml:space="preserve"> the revenues that would have been received absent the PTBAR</w:t>
      </w:r>
      <w:r>
        <w:t xml:space="preserve"> and report the number of kilowatt-hours for each rate class by month for the pilot years.</w:t>
      </w:r>
    </w:p>
    <w:p w14:paraId="16090EFC" w14:textId="592E5E0B" w:rsidR="005D440D" w:rsidRDefault="00B51A1D" w:rsidP="005D440D">
      <w:pPr>
        <w:pStyle w:val="textstyle0"/>
      </w:pPr>
      <w:r>
        <w:tab/>
      </w:r>
      <w:r w:rsidRPr="00B174C3">
        <w:t>For purposes of evaluating the PTBAR, Staff recommends</w:t>
      </w:r>
      <w:r w:rsidR="005D440D">
        <w:t xml:space="preserve"> that</w:t>
      </w:r>
      <w:r w:rsidRPr="00B174C3">
        <w:t xml:space="preserve"> the Commission direct the Company to submit a complete analysis of the PTBAR in terms of how well it achieved the objectives of decoupling distribution revenues from sales volumes, and removing disincentives to offer energy efficiency.  </w:t>
      </w:r>
      <w:r w:rsidR="005D440D">
        <w:t>In its next and annual filing t</w:t>
      </w:r>
      <w:r w:rsidRPr="00B174C3">
        <w:t>he Company should also evaluate other impacts the PTBAR may have had as expressed by the met</w:t>
      </w:r>
      <w:r>
        <w:softHyphen/>
      </w:r>
      <w:r w:rsidRPr="00B174C3">
        <w:t>rics filed in Case No. 10-3126-EL-UNC and appended to these comments.  This will provide the opportunity for review and comment by Staff, interveners, and the Com</w:t>
      </w:r>
      <w:r w:rsidR="007B0471">
        <w:softHyphen/>
      </w:r>
      <w:r w:rsidRPr="00B174C3">
        <w:t>mission.</w:t>
      </w:r>
    </w:p>
    <w:p w14:paraId="52B8D001" w14:textId="749097E2" w:rsidR="00B51A1D" w:rsidRPr="00B174C3" w:rsidRDefault="00B51A1D" w:rsidP="005D440D">
      <w:pPr>
        <w:pStyle w:val="textstyle0"/>
      </w:pPr>
      <w:r w:rsidRPr="00B174C3">
        <w:t xml:space="preserve">  </w:t>
      </w:r>
    </w:p>
    <w:p w14:paraId="171087AA" w14:textId="77777777" w:rsidR="00200A0A" w:rsidRPr="0064436A" w:rsidRDefault="00200A0A" w:rsidP="00782C48">
      <w:pPr>
        <w:pStyle w:val="textstyle0"/>
        <w:ind w:left="4320" w:firstLine="720"/>
      </w:pPr>
      <w:r w:rsidRPr="0064436A">
        <w:t>Respectfully submitted,</w:t>
      </w:r>
    </w:p>
    <w:p w14:paraId="70313B4E" w14:textId="77777777" w:rsidR="00200A0A" w:rsidRPr="0064436A" w:rsidRDefault="00C90964" w:rsidP="00200A0A">
      <w:pPr>
        <w:tabs>
          <w:tab w:val="left" w:pos="9348"/>
        </w:tabs>
        <w:ind w:left="5040"/>
        <w:rPr>
          <w:sz w:val="26"/>
          <w:szCs w:val="26"/>
        </w:rPr>
      </w:pPr>
      <w:r>
        <w:rPr>
          <w:b/>
          <w:sz w:val="26"/>
          <w:szCs w:val="26"/>
        </w:rPr>
        <w:t>Michael DeWine</w:t>
      </w:r>
    </w:p>
    <w:p w14:paraId="2BBD022B" w14:textId="77777777" w:rsidR="00200A0A" w:rsidRPr="0064436A" w:rsidRDefault="00200A0A" w:rsidP="00200A0A">
      <w:pPr>
        <w:tabs>
          <w:tab w:val="left" w:pos="9348"/>
        </w:tabs>
        <w:ind w:left="5040"/>
        <w:rPr>
          <w:sz w:val="26"/>
          <w:szCs w:val="26"/>
        </w:rPr>
      </w:pPr>
      <w:r w:rsidRPr="0064436A">
        <w:rPr>
          <w:sz w:val="26"/>
          <w:szCs w:val="26"/>
        </w:rPr>
        <w:t>Ohio Attorney General</w:t>
      </w:r>
    </w:p>
    <w:p w14:paraId="0D08F594" w14:textId="77777777" w:rsidR="00200A0A" w:rsidRPr="0064436A" w:rsidRDefault="00200A0A" w:rsidP="00200A0A">
      <w:pPr>
        <w:tabs>
          <w:tab w:val="left" w:pos="9348"/>
        </w:tabs>
        <w:ind w:left="5040"/>
        <w:rPr>
          <w:sz w:val="26"/>
          <w:szCs w:val="26"/>
        </w:rPr>
      </w:pPr>
    </w:p>
    <w:p w14:paraId="2BC1ECF5" w14:textId="77777777" w:rsidR="000753F8" w:rsidRDefault="00BC5B75" w:rsidP="00200A0A">
      <w:pPr>
        <w:tabs>
          <w:tab w:val="left" w:pos="9348"/>
        </w:tabs>
        <w:ind w:left="5040"/>
        <w:rPr>
          <w:b/>
          <w:sz w:val="26"/>
          <w:szCs w:val="26"/>
        </w:rPr>
      </w:pPr>
      <w:r>
        <w:rPr>
          <w:b/>
          <w:sz w:val="26"/>
          <w:szCs w:val="26"/>
        </w:rPr>
        <w:t>William L. Wright</w:t>
      </w:r>
    </w:p>
    <w:p w14:paraId="49AC43B4" w14:textId="77777777" w:rsidR="00200A0A" w:rsidRPr="0064436A" w:rsidRDefault="00200A0A" w:rsidP="00200A0A">
      <w:pPr>
        <w:tabs>
          <w:tab w:val="left" w:pos="9348"/>
        </w:tabs>
        <w:ind w:left="5040"/>
        <w:rPr>
          <w:sz w:val="26"/>
          <w:szCs w:val="26"/>
        </w:rPr>
      </w:pPr>
      <w:r w:rsidRPr="0064436A">
        <w:rPr>
          <w:sz w:val="26"/>
          <w:szCs w:val="26"/>
        </w:rPr>
        <w:t>Section Chief</w:t>
      </w:r>
    </w:p>
    <w:p w14:paraId="70AE1BEA" w14:textId="77777777" w:rsidR="00200A0A" w:rsidRPr="0064436A" w:rsidRDefault="00200A0A" w:rsidP="00200A0A">
      <w:pPr>
        <w:tabs>
          <w:tab w:val="left" w:pos="9348"/>
        </w:tabs>
        <w:ind w:left="5040"/>
        <w:rPr>
          <w:sz w:val="26"/>
          <w:szCs w:val="26"/>
        </w:rPr>
      </w:pPr>
    </w:p>
    <w:p w14:paraId="463D4328" w14:textId="1DDEC6C9" w:rsidR="00200A0A" w:rsidRPr="0064436A" w:rsidRDefault="0070554A" w:rsidP="00200A0A">
      <w:pPr>
        <w:tabs>
          <w:tab w:val="left" w:pos="9348"/>
        </w:tabs>
        <w:ind w:left="5040"/>
        <w:rPr>
          <w:sz w:val="26"/>
          <w:szCs w:val="26"/>
          <w:u w:val="single"/>
        </w:rPr>
      </w:pPr>
      <w:r>
        <w:rPr>
          <w:rFonts w:ascii="AR BERKLEY" w:hAnsi="AR BERKLEY"/>
          <w:sz w:val="32"/>
          <w:szCs w:val="32"/>
          <w:u w:val="single"/>
        </w:rPr>
        <w:t>Ryan P. O’Rourke</w:t>
      </w:r>
      <w:r w:rsidR="00200A0A" w:rsidRPr="0064436A">
        <w:rPr>
          <w:sz w:val="26"/>
          <w:szCs w:val="26"/>
          <w:u w:val="single"/>
        </w:rPr>
        <w:tab/>
      </w:r>
    </w:p>
    <w:p w14:paraId="37462FE5" w14:textId="77777777" w:rsidR="00E45A7D" w:rsidRPr="0064436A" w:rsidRDefault="00B51A1D" w:rsidP="00E45A7D">
      <w:pPr>
        <w:tabs>
          <w:tab w:val="left" w:pos="9348"/>
        </w:tabs>
        <w:ind w:left="5040"/>
        <w:rPr>
          <w:b/>
          <w:sz w:val="26"/>
          <w:szCs w:val="26"/>
        </w:rPr>
      </w:pPr>
      <w:r>
        <w:rPr>
          <w:b/>
          <w:sz w:val="26"/>
          <w:szCs w:val="26"/>
        </w:rPr>
        <w:t>Ryan P. O’Rourke</w:t>
      </w:r>
    </w:p>
    <w:p w14:paraId="1AA84048" w14:textId="77777777" w:rsidR="00200A0A" w:rsidRPr="0064436A" w:rsidRDefault="00200A0A" w:rsidP="00200A0A">
      <w:pPr>
        <w:tabs>
          <w:tab w:val="left" w:pos="9348"/>
        </w:tabs>
        <w:ind w:left="5040"/>
        <w:rPr>
          <w:sz w:val="26"/>
          <w:szCs w:val="26"/>
        </w:rPr>
      </w:pPr>
      <w:r w:rsidRPr="0064436A">
        <w:rPr>
          <w:sz w:val="26"/>
          <w:szCs w:val="26"/>
        </w:rPr>
        <w:t>Assistant Attorney General</w:t>
      </w:r>
    </w:p>
    <w:p w14:paraId="43B6C6B3" w14:textId="77777777" w:rsidR="00200A0A" w:rsidRPr="0064436A" w:rsidRDefault="00200A0A" w:rsidP="00200A0A">
      <w:pPr>
        <w:tabs>
          <w:tab w:val="left" w:pos="9348"/>
        </w:tabs>
        <w:ind w:left="5040"/>
        <w:rPr>
          <w:sz w:val="26"/>
          <w:szCs w:val="26"/>
        </w:rPr>
      </w:pPr>
      <w:r w:rsidRPr="0064436A">
        <w:rPr>
          <w:sz w:val="26"/>
          <w:szCs w:val="26"/>
        </w:rPr>
        <w:t>Public Utilities Section</w:t>
      </w:r>
    </w:p>
    <w:p w14:paraId="55F191E0" w14:textId="77777777"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14:paraId="2F7617D7" w14:textId="77777777" w:rsidR="00200A0A" w:rsidRPr="0064436A" w:rsidRDefault="00200A0A" w:rsidP="00200A0A">
      <w:pPr>
        <w:tabs>
          <w:tab w:val="left" w:pos="9348"/>
        </w:tabs>
        <w:ind w:left="5040"/>
        <w:rPr>
          <w:sz w:val="26"/>
          <w:szCs w:val="26"/>
        </w:rPr>
      </w:pPr>
      <w:r w:rsidRPr="0064436A">
        <w:rPr>
          <w:sz w:val="26"/>
          <w:szCs w:val="26"/>
        </w:rPr>
        <w:t>Columbus, OH  43215-3793</w:t>
      </w:r>
    </w:p>
    <w:p w14:paraId="607D684C" w14:textId="77777777"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14:paraId="4617199B" w14:textId="77777777" w:rsidR="008B058D" w:rsidRDefault="00200A0A" w:rsidP="00200A0A">
      <w:pPr>
        <w:tabs>
          <w:tab w:val="left" w:pos="9348"/>
        </w:tabs>
        <w:ind w:left="5040"/>
        <w:rPr>
          <w:sz w:val="26"/>
          <w:szCs w:val="26"/>
        </w:rPr>
      </w:pPr>
      <w:r w:rsidRPr="0064436A">
        <w:rPr>
          <w:sz w:val="26"/>
          <w:szCs w:val="26"/>
        </w:rPr>
        <w:t>614.644.8764 (fax)</w:t>
      </w:r>
    </w:p>
    <w:p w14:paraId="7F3E1BA8" w14:textId="77777777" w:rsidR="00E45A7D" w:rsidRPr="0064436A" w:rsidRDefault="0070554A" w:rsidP="00E45A7D">
      <w:pPr>
        <w:tabs>
          <w:tab w:val="left" w:pos="9348"/>
        </w:tabs>
        <w:ind w:left="5040"/>
        <w:rPr>
          <w:sz w:val="26"/>
          <w:szCs w:val="26"/>
        </w:rPr>
      </w:pPr>
      <w:hyperlink r:id="rId9" w:history="1">
        <w:r w:rsidR="00B51A1D" w:rsidRPr="008F373C">
          <w:rPr>
            <w:rStyle w:val="Hyperlink"/>
            <w:sz w:val="26"/>
            <w:szCs w:val="26"/>
          </w:rPr>
          <w:t>ryan.orourke@puc.state.oh.us</w:t>
        </w:r>
      </w:hyperlink>
    </w:p>
    <w:p w14:paraId="0CB7FFC2" w14:textId="77777777" w:rsidR="00200A0A" w:rsidRPr="0064436A" w:rsidRDefault="00200A0A" w:rsidP="00200A0A">
      <w:pPr>
        <w:tabs>
          <w:tab w:val="left" w:pos="9348"/>
        </w:tabs>
        <w:ind w:left="5040"/>
        <w:rPr>
          <w:b/>
          <w:sz w:val="26"/>
          <w:szCs w:val="26"/>
        </w:rPr>
      </w:pPr>
    </w:p>
    <w:p w14:paraId="09DB758B" w14:textId="4AAC3031" w:rsidR="00200A0A" w:rsidRPr="00934B92" w:rsidRDefault="00C95499" w:rsidP="0064436A">
      <w:pPr>
        <w:pStyle w:val="Heading1"/>
      </w:pPr>
      <w:bookmarkStart w:id="1" w:name="_Toc205862526"/>
      <w:bookmarkStart w:id="2" w:name="_Toc260212964"/>
      <w:r w:rsidRPr="00934B92">
        <w:rPr>
          <w:caps w:val="0"/>
        </w:rPr>
        <w:t>PROOF OF SERVICE</w:t>
      </w:r>
      <w:bookmarkEnd w:id="1"/>
      <w:bookmarkEnd w:id="2"/>
    </w:p>
    <w:p w14:paraId="43391496" w14:textId="77777777" w:rsidR="00200A0A" w:rsidRPr="00934B92" w:rsidRDefault="0064436A" w:rsidP="005D440D">
      <w:pPr>
        <w:pStyle w:val="textstyle0"/>
      </w:pPr>
      <w:r>
        <w:tab/>
      </w:r>
      <w:r w:rsidR="00200A0A" w:rsidRPr="00934B92">
        <w:t xml:space="preserve">I hereby certify that a true copy of the foregoing </w:t>
      </w:r>
      <w:r w:rsidR="00B51A1D">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B51A1D">
        <w:t>1</w:t>
      </w:r>
      <w:r w:rsidR="00B51A1D" w:rsidRPr="00B51A1D">
        <w:rPr>
          <w:vertAlign w:val="superscript"/>
        </w:rPr>
        <w:t>st</w:t>
      </w:r>
      <w:r w:rsidR="00B51A1D">
        <w:t xml:space="preserve"> </w:t>
      </w:r>
      <w:r w:rsidR="004B6358">
        <w:t>d</w:t>
      </w:r>
      <w:r w:rsidR="00200A0A" w:rsidRPr="00934B92">
        <w:t xml:space="preserve">ay of </w:t>
      </w:r>
      <w:r w:rsidR="00B51A1D">
        <w:t>May, 2015</w:t>
      </w:r>
      <w:r w:rsidR="00200A0A" w:rsidRPr="00934B92">
        <w:t>.</w:t>
      </w:r>
    </w:p>
    <w:p w14:paraId="0CA58A6F" w14:textId="6927134C" w:rsidR="00200A0A" w:rsidRPr="00DF3D54" w:rsidRDefault="0070554A" w:rsidP="00200A0A">
      <w:pPr>
        <w:tabs>
          <w:tab w:val="right" w:pos="9360"/>
        </w:tabs>
        <w:ind w:left="4320"/>
        <w:jc w:val="both"/>
        <w:rPr>
          <w:u w:val="single"/>
        </w:rPr>
      </w:pPr>
      <w:r>
        <w:rPr>
          <w:rFonts w:ascii="AR BERKLEY" w:hAnsi="AR BERKLEY"/>
          <w:sz w:val="32"/>
          <w:szCs w:val="32"/>
          <w:u w:val="single"/>
        </w:rPr>
        <w:t>Ryan P. O’Rourke</w:t>
      </w:r>
      <w:r w:rsidR="00200A0A" w:rsidRPr="00DF3D54">
        <w:rPr>
          <w:u w:val="single"/>
        </w:rPr>
        <w:tab/>
      </w:r>
    </w:p>
    <w:p w14:paraId="45BC7FE4" w14:textId="77777777" w:rsidR="00200A0A" w:rsidRPr="00DF3D54" w:rsidRDefault="00B51A1D" w:rsidP="00200A0A">
      <w:pPr>
        <w:ind w:left="4332"/>
        <w:jc w:val="both"/>
        <w:rPr>
          <w:b/>
          <w:sz w:val="26"/>
          <w:szCs w:val="26"/>
        </w:rPr>
      </w:pPr>
      <w:r>
        <w:rPr>
          <w:b/>
          <w:sz w:val="26"/>
          <w:szCs w:val="26"/>
        </w:rPr>
        <w:t>Ryan P. O’Rourke</w:t>
      </w:r>
    </w:p>
    <w:p w14:paraId="6B83372D" w14:textId="77777777" w:rsidR="00200A0A" w:rsidRDefault="00200A0A" w:rsidP="00200A0A">
      <w:pPr>
        <w:ind w:left="4332"/>
        <w:jc w:val="both"/>
        <w:rPr>
          <w:sz w:val="26"/>
          <w:szCs w:val="26"/>
        </w:rPr>
      </w:pPr>
      <w:bookmarkStart w:id="3" w:name="_GoBack"/>
      <w:bookmarkEnd w:id="3"/>
      <w:r w:rsidRPr="00DF3D54">
        <w:rPr>
          <w:sz w:val="26"/>
          <w:szCs w:val="26"/>
        </w:rPr>
        <w:t>Assistant Attorney General</w:t>
      </w:r>
    </w:p>
    <w:p w14:paraId="23E8A206" w14:textId="77777777" w:rsidR="00977F01" w:rsidRDefault="00977F01" w:rsidP="00200A0A">
      <w:pPr>
        <w:ind w:left="4332"/>
        <w:jc w:val="both"/>
        <w:rPr>
          <w:sz w:val="26"/>
          <w:szCs w:val="26"/>
        </w:rPr>
      </w:pPr>
    </w:p>
    <w:p w14:paraId="2E9C9094" w14:textId="77777777" w:rsidR="00977F01" w:rsidRDefault="00977F01" w:rsidP="00977F01">
      <w:pPr>
        <w:rPr>
          <w:b/>
          <w:sz w:val="26"/>
          <w:szCs w:val="26"/>
        </w:rPr>
      </w:pPr>
      <w:r w:rsidRPr="00DF3D54">
        <w:rPr>
          <w:b/>
          <w:sz w:val="26"/>
          <w:szCs w:val="26"/>
        </w:rPr>
        <w:t>Parties of Record:</w:t>
      </w:r>
    </w:p>
    <w:p w14:paraId="476353C8" w14:textId="77777777" w:rsidR="00977F01" w:rsidRPr="00DF3D54" w:rsidRDefault="00977F01" w:rsidP="00977F01">
      <w:pPr>
        <w:rPr>
          <w:b/>
          <w:sz w:val="26"/>
          <w:szCs w:val="26"/>
        </w:rPr>
      </w:pPr>
    </w:p>
    <w:tbl>
      <w:tblPr>
        <w:tblW w:w="0" w:type="auto"/>
        <w:tblLook w:val="01E0" w:firstRow="1" w:lastRow="1" w:firstColumn="1" w:lastColumn="1" w:noHBand="0" w:noVBand="0"/>
      </w:tblPr>
      <w:tblGrid>
        <w:gridCol w:w="4710"/>
        <w:gridCol w:w="4650"/>
      </w:tblGrid>
      <w:tr w:rsidR="00977F01" w:rsidRPr="00D2703A" w14:paraId="5BC3671D" w14:textId="77777777" w:rsidTr="002273AC">
        <w:tc>
          <w:tcPr>
            <w:tcW w:w="4788" w:type="dxa"/>
          </w:tcPr>
          <w:p w14:paraId="48920D93" w14:textId="77777777" w:rsidR="00977F01" w:rsidRDefault="00977F01" w:rsidP="002273AC">
            <w:pPr>
              <w:rPr>
                <w:sz w:val="26"/>
                <w:szCs w:val="26"/>
              </w:rPr>
            </w:pPr>
            <w:r>
              <w:rPr>
                <w:sz w:val="26"/>
                <w:szCs w:val="26"/>
              </w:rPr>
              <w:t>Steve</w:t>
            </w:r>
            <w:r w:rsidR="00B51A1D">
              <w:rPr>
                <w:sz w:val="26"/>
                <w:szCs w:val="26"/>
              </w:rPr>
              <w:t>n</w:t>
            </w:r>
            <w:r>
              <w:rPr>
                <w:sz w:val="26"/>
                <w:szCs w:val="26"/>
              </w:rPr>
              <w:t xml:space="preserve"> T. Nourse</w:t>
            </w:r>
          </w:p>
          <w:p w14:paraId="261FAC27" w14:textId="77777777" w:rsidR="00977F01" w:rsidRDefault="00977F01" w:rsidP="002273AC">
            <w:pPr>
              <w:rPr>
                <w:sz w:val="26"/>
                <w:szCs w:val="26"/>
              </w:rPr>
            </w:pPr>
            <w:r>
              <w:rPr>
                <w:sz w:val="26"/>
                <w:szCs w:val="26"/>
              </w:rPr>
              <w:t>American Electric Power Service Corp.</w:t>
            </w:r>
          </w:p>
          <w:p w14:paraId="281C0F4A" w14:textId="77777777" w:rsidR="00977F01" w:rsidRDefault="00977F01" w:rsidP="002273AC">
            <w:pPr>
              <w:rPr>
                <w:sz w:val="26"/>
                <w:szCs w:val="26"/>
              </w:rPr>
            </w:pPr>
            <w:r>
              <w:rPr>
                <w:sz w:val="26"/>
                <w:szCs w:val="26"/>
              </w:rPr>
              <w:t>1 Riverside Plaza, 29</w:t>
            </w:r>
            <w:r w:rsidRPr="001A5C2F">
              <w:rPr>
                <w:sz w:val="26"/>
                <w:szCs w:val="26"/>
                <w:vertAlign w:val="superscript"/>
              </w:rPr>
              <w:t>th</w:t>
            </w:r>
            <w:r>
              <w:rPr>
                <w:sz w:val="26"/>
                <w:szCs w:val="26"/>
              </w:rPr>
              <w:t xml:space="preserve"> Floor</w:t>
            </w:r>
          </w:p>
          <w:p w14:paraId="5783496C" w14:textId="77777777" w:rsidR="00977F01" w:rsidRDefault="00977F01" w:rsidP="002273AC">
            <w:pPr>
              <w:rPr>
                <w:sz w:val="26"/>
                <w:szCs w:val="26"/>
              </w:rPr>
            </w:pPr>
            <w:r>
              <w:rPr>
                <w:sz w:val="26"/>
                <w:szCs w:val="26"/>
              </w:rPr>
              <w:t>Columbus, OH  43215</w:t>
            </w:r>
          </w:p>
          <w:p w14:paraId="62A48F45" w14:textId="77777777" w:rsidR="00977F01" w:rsidRDefault="0070554A" w:rsidP="002273AC">
            <w:pPr>
              <w:rPr>
                <w:sz w:val="26"/>
                <w:szCs w:val="26"/>
              </w:rPr>
            </w:pPr>
            <w:hyperlink r:id="rId10" w:history="1">
              <w:r w:rsidR="00977F01" w:rsidRPr="00A22376">
                <w:rPr>
                  <w:rStyle w:val="Hyperlink"/>
                  <w:sz w:val="26"/>
                  <w:szCs w:val="26"/>
                </w:rPr>
                <w:t>stnourse@aep.com</w:t>
              </w:r>
            </w:hyperlink>
          </w:p>
          <w:p w14:paraId="5E193E81" w14:textId="77777777" w:rsidR="00977F01" w:rsidRDefault="00977F01" w:rsidP="002273AC">
            <w:pPr>
              <w:rPr>
                <w:sz w:val="26"/>
                <w:szCs w:val="26"/>
              </w:rPr>
            </w:pPr>
          </w:p>
          <w:p w14:paraId="097FBF0C" w14:textId="77777777" w:rsidR="00977F01" w:rsidRPr="00221496" w:rsidRDefault="00977F01" w:rsidP="002273AC">
            <w:pPr>
              <w:rPr>
                <w:sz w:val="26"/>
                <w:szCs w:val="26"/>
              </w:rPr>
            </w:pPr>
          </w:p>
        </w:tc>
        <w:tc>
          <w:tcPr>
            <w:tcW w:w="4788" w:type="dxa"/>
          </w:tcPr>
          <w:p w14:paraId="04D0DD38" w14:textId="77777777" w:rsidR="00977F01" w:rsidRPr="00221496" w:rsidRDefault="00977F01" w:rsidP="002273AC">
            <w:pPr>
              <w:rPr>
                <w:sz w:val="26"/>
                <w:szCs w:val="26"/>
              </w:rPr>
            </w:pPr>
          </w:p>
        </w:tc>
      </w:tr>
    </w:tbl>
    <w:p w14:paraId="72579F18" w14:textId="77777777" w:rsidR="00B51A1D" w:rsidRDefault="00B51A1D" w:rsidP="00200A0A">
      <w:pPr>
        <w:ind w:left="4332"/>
        <w:jc w:val="both"/>
        <w:rPr>
          <w:sz w:val="26"/>
          <w:szCs w:val="26"/>
        </w:rPr>
        <w:sectPr w:rsidR="00B51A1D" w:rsidSect="003B12DD">
          <w:footerReference w:type="default" r:id="rId11"/>
          <w:pgSz w:w="12240" w:h="15840" w:code="1"/>
          <w:pgMar w:top="1440" w:right="1440" w:bottom="1440" w:left="1440" w:header="720" w:footer="720" w:gutter="0"/>
          <w:pgNumType w:start="1"/>
          <w:cols w:space="720"/>
          <w:titlePg/>
          <w:docGrid w:linePitch="360"/>
        </w:sectPr>
      </w:pPr>
    </w:p>
    <w:p w14:paraId="267F5A93" w14:textId="77777777" w:rsidR="00B51A1D" w:rsidRPr="00B174C3" w:rsidRDefault="00B51A1D" w:rsidP="00B51A1D">
      <w:pPr>
        <w:jc w:val="center"/>
        <w:rPr>
          <w:sz w:val="24"/>
          <w:szCs w:val="24"/>
        </w:rPr>
      </w:pPr>
      <w:r w:rsidRPr="00B174C3">
        <w:rPr>
          <w:rFonts w:ascii="TimesNewRoman" w:hAnsi="TimesNewRoman" w:cs="TimesNewRoman"/>
          <w:b/>
          <w:sz w:val="24"/>
          <w:szCs w:val="24"/>
          <w:u w:val="single"/>
        </w:rPr>
        <w:t>Appendix</w:t>
      </w:r>
    </w:p>
    <w:p w14:paraId="7EC280CE" w14:textId="77777777" w:rsidR="00B51A1D" w:rsidRPr="00B174C3" w:rsidRDefault="00B51A1D" w:rsidP="00B51A1D">
      <w:pPr>
        <w:pStyle w:val="ListParagraph"/>
        <w:autoSpaceDE w:val="0"/>
        <w:autoSpaceDN w:val="0"/>
        <w:adjustRightInd w:val="0"/>
        <w:spacing w:after="0"/>
        <w:jc w:val="center"/>
        <w:rPr>
          <w:rFonts w:ascii="TimesNewRoman" w:hAnsi="TimesNewRoman" w:cs="TimesNewRoman"/>
          <w:sz w:val="24"/>
          <w:szCs w:val="24"/>
        </w:rPr>
      </w:pPr>
    </w:p>
    <w:p w14:paraId="06D46303" w14:textId="77777777" w:rsidR="00B51A1D" w:rsidRPr="00B174C3" w:rsidRDefault="00B51A1D" w:rsidP="00B51A1D">
      <w:pPr>
        <w:pStyle w:val="ListParagraph"/>
        <w:autoSpaceDE w:val="0"/>
        <w:autoSpaceDN w:val="0"/>
        <w:adjustRightInd w:val="0"/>
        <w:spacing w:after="0"/>
        <w:jc w:val="center"/>
        <w:rPr>
          <w:rFonts w:ascii="TimesNewRoman" w:hAnsi="TimesNewRoman" w:cs="TimesNewRoman"/>
          <w:sz w:val="24"/>
          <w:szCs w:val="24"/>
        </w:rPr>
      </w:pPr>
      <w:r w:rsidRPr="00B174C3">
        <w:rPr>
          <w:rFonts w:ascii="TimesNewRoman" w:hAnsi="TimesNewRoman" w:cs="TimesNewRoman"/>
          <w:sz w:val="24"/>
          <w:szCs w:val="24"/>
        </w:rPr>
        <w:t>Proposed Metrics for Evaluating the Throughput Balancing Adjustment Rider</w:t>
      </w:r>
    </w:p>
    <w:p w14:paraId="1CE72D74" w14:textId="77777777" w:rsidR="00B51A1D" w:rsidRPr="00B174C3" w:rsidRDefault="00B51A1D" w:rsidP="00B51A1D">
      <w:pPr>
        <w:pStyle w:val="ListParagraph"/>
        <w:autoSpaceDE w:val="0"/>
        <w:autoSpaceDN w:val="0"/>
        <w:adjustRightInd w:val="0"/>
        <w:spacing w:after="0"/>
        <w:jc w:val="center"/>
        <w:rPr>
          <w:rFonts w:ascii="TimesNewRoman" w:hAnsi="TimesNewRoman" w:cs="TimesNewRoman"/>
          <w:sz w:val="24"/>
          <w:szCs w:val="24"/>
        </w:rPr>
      </w:pPr>
      <w:r w:rsidRPr="00B174C3">
        <w:rPr>
          <w:rFonts w:ascii="TimesNewRoman" w:hAnsi="TimesNewRoman" w:cs="TimesNewRoman"/>
          <w:sz w:val="24"/>
          <w:szCs w:val="24"/>
        </w:rPr>
        <w:t>Case No. 10-3126-EL-UNC</w:t>
      </w:r>
    </w:p>
    <w:p w14:paraId="6BC779EE" w14:textId="77777777" w:rsidR="00B51A1D" w:rsidRPr="00B174C3" w:rsidRDefault="00B51A1D" w:rsidP="00B51A1D">
      <w:pPr>
        <w:pStyle w:val="ListParagraph"/>
        <w:autoSpaceDE w:val="0"/>
        <w:autoSpaceDN w:val="0"/>
        <w:adjustRightInd w:val="0"/>
        <w:spacing w:after="0"/>
        <w:rPr>
          <w:rFonts w:ascii="TimesNewRoman" w:hAnsi="TimesNewRoman" w:cs="TimesNewRoman"/>
          <w:sz w:val="24"/>
          <w:szCs w:val="24"/>
        </w:rPr>
      </w:pPr>
    </w:p>
    <w:p w14:paraId="5E9D818A" w14:textId="77777777" w:rsidR="00B51A1D" w:rsidRPr="00B174C3" w:rsidRDefault="00B51A1D" w:rsidP="00B51A1D">
      <w:pPr>
        <w:pStyle w:val="ListParagraph"/>
        <w:autoSpaceDE w:val="0"/>
        <w:autoSpaceDN w:val="0"/>
        <w:adjustRightInd w:val="0"/>
        <w:spacing w:after="0"/>
        <w:rPr>
          <w:rFonts w:ascii="TimesNewRoman" w:hAnsi="TimesNewRoman" w:cs="TimesNewRoman"/>
          <w:sz w:val="24"/>
          <w:szCs w:val="24"/>
        </w:rPr>
      </w:pPr>
    </w:p>
    <w:p w14:paraId="5B7F827E"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Were the rate adjustments produced by the mechanism small?</w:t>
      </w:r>
    </w:p>
    <w:p w14:paraId="45BE032D"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Type/Method: </w:t>
      </w:r>
      <w:r w:rsidRPr="00B174C3">
        <w:rPr>
          <w:rFonts w:ascii="TimesNewRoman" w:hAnsi="TimesNewRoman" w:cs="TimesNewRoman"/>
          <w:sz w:val="24"/>
          <w:szCs w:val="24"/>
        </w:rPr>
        <w:t>Using the actual size of the rate adjustment ($/kWh, % of revenue requirement) from the annual filings that implement the mecha</w:t>
      </w:r>
      <w:r>
        <w:rPr>
          <w:rFonts w:ascii="TimesNewRoman" w:hAnsi="TimesNewRoman" w:cs="TimesNewRoman"/>
          <w:sz w:val="24"/>
          <w:szCs w:val="24"/>
        </w:rPr>
        <w:softHyphen/>
      </w:r>
      <w:r w:rsidRPr="00B174C3">
        <w:rPr>
          <w:rFonts w:ascii="TimesNewRoman" w:hAnsi="TimesNewRoman" w:cs="TimesNewRoman"/>
          <w:sz w:val="24"/>
          <w:szCs w:val="24"/>
        </w:rPr>
        <w:t>nism</w:t>
      </w:r>
    </w:p>
    <w:p w14:paraId="258CA24D"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AEP Ohio to provide data</w:t>
      </w:r>
    </w:p>
    <w:p w14:paraId="1F3B2C5B" w14:textId="77777777" w:rsidR="00B51A1D" w:rsidRPr="00B174C3" w:rsidRDefault="00B51A1D" w:rsidP="00B51A1D">
      <w:pPr>
        <w:pStyle w:val="ListParagraph"/>
        <w:autoSpaceDE w:val="0"/>
        <w:autoSpaceDN w:val="0"/>
        <w:adjustRightInd w:val="0"/>
        <w:spacing w:after="0"/>
        <w:ind w:left="1440"/>
        <w:rPr>
          <w:rFonts w:ascii="TimesNewRoman" w:hAnsi="TimesNewRoman" w:cs="TimesNewRoman"/>
          <w:sz w:val="24"/>
          <w:szCs w:val="24"/>
        </w:rPr>
      </w:pPr>
    </w:p>
    <w:p w14:paraId="3C21645E"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Did customers receive both refunds and surcharges under the mechanism?</w:t>
      </w:r>
    </w:p>
    <w:p w14:paraId="681444A9"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Type/Method: </w:t>
      </w:r>
      <w:r w:rsidRPr="00B174C3">
        <w:rPr>
          <w:rFonts w:ascii="TimesNewRoman" w:hAnsi="TimesNewRoman" w:cs="TimesNewRoman"/>
          <w:sz w:val="24"/>
          <w:szCs w:val="24"/>
        </w:rPr>
        <w:t>Using the si</w:t>
      </w:r>
      <w:r>
        <w:rPr>
          <w:rFonts w:ascii="TimesNewRoman" w:hAnsi="TimesNewRoman" w:cs="TimesNewRoman"/>
          <w:sz w:val="24"/>
          <w:szCs w:val="24"/>
        </w:rPr>
        <w:t>gn</w:t>
      </w:r>
      <w:r w:rsidRPr="00B174C3">
        <w:rPr>
          <w:rFonts w:ascii="TimesNewRoman" w:hAnsi="TimesNewRoman" w:cs="TimesNewRoman"/>
          <w:sz w:val="24"/>
          <w:szCs w:val="24"/>
        </w:rPr>
        <w:t xml:space="preserve"> of the rate adjustment from the annual fil</w:t>
      </w:r>
      <w:r>
        <w:rPr>
          <w:rFonts w:ascii="TimesNewRoman" w:hAnsi="TimesNewRoman" w:cs="TimesNewRoman"/>
          <w:sz w:val="24"/>
          <w:szCs w:val="24"/>
        </w:rPr>
        <w:softHyphen/>
      </w:r>
      <w:r w:rsidRPr="00B174C3">
        <w:rPr>
          <w:rFonts w:ascii="TimesNewRoman" w:hAnsi="TimesNewRoman" w:cs="TimesNewRoman"/>
          <w:sz w:val="24"/>
          <w:szCs w:val="24"/>
        </w:rPr>
        <w:t>ings that implement the mechanism</w:t>
      </w:r>
    </w:p>
    <w:p w14:paraId="6C9AF16A"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AEP Ohio to provide data</w:t>
      </w:r>
    </w:p>
    <w:p w14:paraId="0F2C708A" w14:textId="77777777" w:rsidR="00B51A1D" w:rsidRPr="00B174C3" w:rsidRDefault="00B51A1D" w:rsidP="00B51A1D">
      <w:pPr>
        <w:pStyle w:val="ListParagraph"/>
        <w:autoSpaceDE w:val="0"/>
        <w:autoSpaceDN w:val="0"/>
        <w:adjustRightInd w:val="0"/>
        <w:spacing w:after="0"/>
        <w:ind w:left="1440"/>
        <w:rPr>
          <w:rFonts w:ascii="TimesNewRoman" w:hAnsi="TimesNewRoman" w:cs="TimesNewRoman"/>
          <w:sz w:val="24"/>
          <w:szCs w:val="24"/>
        </w:rPr>
      </w:pPr>
    </w:p>
    <w:p w14:paraId="36E60984"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How did the mechanism perform relative to weather-adjusted revenues?</w:t>
      </w:r>
    </w:p>
    <w:p w14:paraId="3207ED50"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 </w:t>
      </w:r>
      <w:r w:rsidRPr="00B174C3">
        <w:rPr>
          <w:rFonts w:ascii="TimesNewRoman" w:hAnsi="TimesNewRoman" w:cs="TimesNewRoman"/>
          <w:sz w:val="24"/>
          <w:szCs w:val="24"/>
        </w:rPr>
        <w:t>By comparing rate adjustments with what the rate adjustments would have been had actual use been weather adjusted</w:t>
      </w:r>
    </w:p>
    <w:p w14:paraId="7527E02A" w14:textId="7BB0D689"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Method: </w:t>
      </w:r>
      <w:r w:rsidRPr="00B174C3">
        <w:rPr>
          <w:rFonts w:ascii="TimesNewRoman" w:hAnsi="TimesNewRoman" w:cs="TimesNewRoman"/>
          <w:sz w:val="24"/>
          <w:szCs w:val="24"/>
        </w:rPr>
        <w:t>Use the Company’s weather-adjusted use in the covered rate classes over the year, multiplied by the distribution energy charges to which the mechanism applies, compared to the “actual revenues” collected in distribution energy charges in the covered rate classes</w:t>
      </w:r>
    </w:p>
    <w:p w14:paraId="15CF9DC0"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AEP Ohio to provide data</w:t>
      </w:r>
    </w:p>
    <w:p w14:paraId="58E39734" w14:textId="77777777" w:rsidR="00B51A1D" w:rsidRPr="00B174C3" w:rsidRDefault="00B51A1D" w:rsidP="00B51A1D">
      <w:pPr>
        <w:pStyle w:val="ListParagraph"/>
        <w:autoSpaceDE w:val="0"/>
        <w:autoSpaceDN w:val="0"/>
        <w:adjustRightInd w:val="0"/>
        <w:spacing w:after="0"/>
        <w:ind w:left="1440"/>
        <w:rPr>
          <w:rFonts w:ascii="TimesNewRoman" w:hAnsi="TimesNewRoman" w:cs="TimesNewRoman"/>
          <w:sz w:val="24"/>
          <w:szCs w:val="24"/>
        </w:rPr>
      </w:pPr>
    </w:p>
    <w:p w14:paraId="2E2C9888"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Did the mechanism indeed reduce AEP-Ohio’s disincentive to promote energy efficiency in the covered rate classes?</w:t>
      </w:r>
    </w:p>
    <w:p w14:paraId="7FE46FCC"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 </w:t>
      </w:r>
      <w:r w:rsidRPr="00B174C3">
        <w:rPr>
          <w:rFonts w:ascii="TimesNewRoman" w:hAnsi="TimesNewRoman" w:cs="TimesNewRoman"/>
          <w:sz w:val="24"/>
          <w:szCs w:val="24"/>
        </w:rPr>
        <w:t>By reviewing AEP Ohio’s energy efficiency efforts in the covered rate classes, especially in areas that could not have been covered by a Lost Revenue Adjustment Mechanism (building codes, appliance stand</w:t>
      </w:r>
      <w:r>
        <w:rPr>
          <w:rFonts w:ascii="TimesNewRoman" w:hAnsi="TimesNewRoman" w:cs="TimesNewRoman"/>
          <w:sz w:val="24"/>
          <w:szCs w:val="24"/>
        </w:rPr>
        <w:softHyphen/>
      </w:r>
      <w:r w:rsidRPr="00B174C3">
        <w:rPr>
          <w:rFonts w:ascii="TimesNewRoman" w:hAnsi="TimesNewRoman" w:cs="TimesNewRoman"/>
          <w:sz w:val="24"/>
          <w:szCs w:val="24"/>
        </w:rPr>
        <w:t>ards, pilot energy 3 efficiency programs); by reviewing AEP Ohio’s market</w:t>
      </w:r>
      <w:r>
        <w:rPr>
          <w:rFonts w:ascii="TimesNewRoman" w:hAnsi="TimesNewRoman" w:cs="TimesNewRoman"/>
          <w:sz w:val="24"/>
          <w:szCs w:val="24"/>
        </w:rPr>
        <w:softHyphen/>
      </w:r>
      <w:r w:rsidRPr="00B174C3">
        <w:rPr>
          <w:rFonts w:ascii="TimesNewRoman" w:hAnsi="TimesNewRoman" w:cs="TimesNewRoman"/>
          <w:sz w:val="24"/>
          <w:szCs w:val="24"/>
        </w:rPr>
        <w:t>ing practices, by reviewing AEP Ohio’s culture and operational practices related to energy efficiency in the covered rate classes</w:t>
      </w:r>
    </w:p>
    <w:p w14:paraId="79A1CF81"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Method: </w:t>
      </w:r>
      <w:r w:rsidRPr="00B174C3">
        <w:rPr>
          <w:rFonts w:ascii="TimesNewRoman" w:hAnsi="TimesNewRoman" w:cs="TimesNewRoman"/>
          <w:sz w:val="24"/>
          <w:szCs w:val="24"/>
        </w:rPr>
        <w:t>Interviews with AEP Ohio employees, members of AEP Ohio Collaborative, review of energy efficiency efforts</w:t>
      </w:r>
    </w:p>
    <w:p w14:paraId="4FA2855E"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Commission Staff to provide data</w:t>
      </w:r>
      <w:r>
        <w:rPr>
          <w:rFonts w:ascii="TimesNewRoman" w:hAnsi="TimesNewRoman" w:cs="TimesNewRoman"/>
          <w:sz w:val="24"/>
          <w:szCs w:val="24"/>
        </w:rPr>
        <w:t xml:space="preserve"> </w:t>
      </w:r>
    </w:p>
    <w:p w14:paraId="28E34A94" w14:textId="77777777" w:rsidR="00B51A1D" w:rsidRPr="00B174C3" w:rsidRDefault="00B51A1D" w:rsidP="00B51A1D">
      <w:pPr>
        <w:pStyle w:val="ListParagraph"/>
        <w:autoSpaceDE w:val="0"/>
        <w:autoSpaceDN w:val="0"/>
        <w:adjustRightInd w:val="0"/>
        <w:spacing w:after="0"/>
        <w:ind w:left="1440"/>
        <w:rPr>
          <w:rFonts w:ascii="TimesNewRoman" w:hAnsi="TimesNewRoman" w:cs="TimesNewRoman"/>
          <w:sz w:val="24"/>
          <w:szCs w:val="24"/>
        </w:rPr>
      </w:pPr>
    </w:p>
    <w:p w14:paraId="32B0EB08"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Did the mechanism change use per customer in the covered rate classes, or the rate of growth in use per customer?</w:t>
      </w:r>
    </w:p>
    <w:p w14:paraId="48354E86"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Type/Method: </w:t>
      </w:r>
      <w:r w:rsidRPr="00B174C3">
        <w:rPr>
          <w:rFonts w:ascii="TimesNewRoman" w:hAnsi="TimesNewRoman" w:cs="TimesNewRoman"/>
          <w:sz w:val="24"/>
          <w:szCs w:val="24"/>
        </w:rPr>
        <w:t>Comparing the trend in weather-adjusted use per customer before and after the mechanism was implemented</w:t>
      </w:r>
    </w:p>
    <w:p w14:paraId="4012427F"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AEP Ohio to provide data</w:t>
      </w:r>
    </w:p>
    <w:p w14:paraId="178DD77C" w14:textId="77777777" w:rsidR="00B51A1D" w:rsidRPr="00B174C3" w:rsidRDefault="00B51A1D" w:rsidP="00B51A1D">
      <w:pPr>
        <w:pStyle w:val="ListParagraph"/>
        <w:autoSpaceDE w:val="0"/>
        <w:autoSpaceDN w:val="0"/>
        <w:adjustRightInd w:val="0"/>
        <w:spacing w:after="0"/>
        <w:ind w:left="1440"/>
        <w:rPr>
          <w:rFonts w:ascii="TimesNewRoman" w:hAnsi="TimesNewRoman" w:cs="TimesNewRoman"/>
          <w:sz w:val="24"/>
          <w:szCs w:val="24"/>
        </w:rPr>
      </w:pPr>
    </w:p>
    <w:p w14:paraId="37905F41"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How did the decoupling pilot revenues over the three years compare to a net lost revenue approach based on three vintage years?</w:t>
      </w:r>
    </w:p>
    <w:p w14:paraId="38A304B9"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Type/Method: </w:t>
      </w:r>
      <w:r w:rsidRPr="00B174C3">
        <w:rPr>
          <w:rFonts w:ascii="TimesNewRoman" w:hAnsi="TimesNewRoman" w:cs="TimesNewRoman"/>
          <w:sz w:val="24"/>
          <w:szCs w:val="24"/>
        </w:rPr>
        <w:t>Multiply the Company’s energy efficiency induced electric</w:t>
      </w:r>
      <w:r>
        <w:rPr>
          <w:rFonts w:ascii="TimesNewRoman" w:hAnsi="TimesNewRoman" w:cs="TimesNewRoman"/>
          <w:sz w:val="24"/>
          <w:szCs w:val="24"/>
        </w:rPr>
        <w:softHyphen/>
      </w:r>
      <w:r w:rsidRPr="00B174C3">
        <w:rPr>
          <w:rFonts w:ascii="TimesNewRoman" w:hAnsi="TimesNewRoman" w:cs="TimesNewRoman"/>
          <w:sz w:val="24"/>
          <w:szCs w:val="24"/>
        </w:rPr>
        <w:t>ity savings per measure per three vintage years, and multiply by the distri</w:t>
      </w:r>
      <w:r>
        <w:rPr>
          <w:rFonts w:ascii="TimesNewRoman" w:hAnsi="TimesNewRoman" w:cs="TimesNewRoman"/>
          <w:sz w:val="24"/>
          <w:szCs w:val="24"/>
        </w:rPr>
        <w:softHyphen/>
      </w:r>
      <w:r w:rsidRPr="00B174C3">
        <w:rPr>
          <w:rFonts w:ascii="TimesNewRoman" w:hAnsi="TimesNewRoman" w:cs="TimesNewRoman"/>
          <w:sz w:val="24"/>
          <w:szCs w:val="24"/>
        </w:rPr>
        <w:t>bution kWh rate.</w:t>
      </w:r>
    </w:p>
    <w:p w14:paraId="60F90B51"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AEP Ohio to provide data</w:t>
      </w:r>
    </w:p>
    <w:p w14:paraId="4D3401A9" w14:textId="77777777" w:rsidR="00B51A1D" w:rsidRPr="00B174C3" w:rsidRDefault="00B51A1D" w:rsidP="00B51A1D">
      <w:pPr>
        <w:pStyle w:val="ListParagraph"/>
        <w:autoSpaceDE w:val="0"/>
        <w:autoSpaceDN w:val="0"/>
        <w:adjustRightInd w:val="0"/>
        <w:spacing w:after="0"/>
        <w:ind w:left="1440"/>
        <w:rPr>
          <w:rFonts w:ascii="TimesNewRoman" w:hAnsi="TimesNewRoman" w:cs="TimesNewRoman"/>
          <w:sz w:val="24"/>
          <w:szCs w:val="24"/>
        </w:rPr>
      </w:pPr>
    </w:p>
    <w:p w14:paraId="5F308510" w14:textId="77777777" w:rsidR="00B51A1D" w:rsidRPr="00B174C3" w:rsidRDefault="00B51A1D" w:rsidP="00B51A1D">
      <w:pPr>
        <w:pStyle w:val="ListParagraph"/>
        <w:numPr>
          <w:ilvl w:val="0"/>
          <w:numId w:val="8"/>
        </w:numPr>
        <w:autoSpaceDE w:val="0"/>
        <w:autoSpaceDN w:val="0"/>
        <w:adjustRightInd w:val="0"/>
        <w:spacing w:after="0"/>
        <w:rPr>
          <w:rFonts w:ascii="TimesNewRoman" w:hAnsi="TimesNewRoman" w:cs="TimesNewRoman"/>
          <w:sz w:val="24"/>
          <w:szCs w:val="24"/>
        </w:rPr>
      </w:pPr>
      <w:r w:rsidRPr="00B174C3">
        <w:rPr>
          <w:rFonts w:ascii="TimesNewRoman" w:hAnsi="TimesNewRoman" w:cs="TimesNewRoman"/>
          <w:sz w:val="24"/>
          <w:szCs w:val="24"/>
        </w:rPr>
        <w:t>Were there periods where the 3% cap provision applied?</w:t>
      </w:r>
    </w:p>
    <w:p w14:paraId="636D9A64" w14:textId="77777777" w:rsidR="00B51A1D" w:rsidRPr="00B174C3" w:rsidRDefault="00B51A1D" w:rsidP="00B51A1D">
      <w:pPr>
        <w:pStyle w:val="ListParagraph"/>
        <w:numPr>
          <w:ilvl w:val="1"/>
          <w:numId w:val="8"/>
        </w:numPr>
        <w:autoSpaceDE w:val="0"/>
        <w:autoSpaceDN w:val="0"/>
        <w:adjustRightInd w:val="0"/>
        <w:spacing w:after="0"/>
        <w:rPr>
          <w:rFonts w:ascii="TimesNewRoman" w:hAnsi="TimesNewRoman" w:cs="TimesNewRoman"/>
          <w:sz w:val="24"/>
          <w:szCs w:val="24"/>
        </w:rPr>
      </w:pPr>
      <w:r w:rsidRPr="00B174C3">
        <w:rPr>
          <w:rFonts w:ascii="TimesNewRoman,Bold" w:hAnsi="TimesNewRoman,Bold" w:cs="TimesNewRoman,Bold"/>
          <w:b/>
          <w:bCs/>
          <w:sz w:val="24"/>
          <w:szCs w:val="24"/>
        </w:rPr>
        <w:t xml:space="preserve">Type/Method: </w:t>
      </w:r>
      <w:r w:rsidRPr="00B174C3">
        <w:rPr>
          <w:rFonts w:ascii="TimesNewRoman" w:hAnsi="TimesNewRoman" w:cs="TimesNewRoman"/>
          <w:sz w:val="24"/>
          <w:szCs w:val="24"/>
        </w:rPr>
        <w:t>To answer this question, any deferred revenue in the decoupling calculation would be identified</w:t>
      </w:r>
    </w:p>
    <w:p w14:paraId="7EC8D786" w14:textId="77777777" w:rsidR="00B51A1D" w:rsidRPr="00B174C3" w:rsidRDefault="00B51A1D" w:rsidP="00B51A1D">
      <w:pPr>
        <w:pStyle w:val="ListParagraph"/>
        <w:numPr>
          <w:ilvl w:val="1"/>
          <w:numId w:val="8"/>
        </w:numPr>
        <w:rPr>
          <w:rFonts w:ascii="TimesNewRoman" w:hAnsi="TimesNewRoman" w:cs="TimesNewRoman"/>
          <w:sz w:val="24"/>
          <w:szCs w:val="24"/>
        </w:rPr>
      </w:pPr>
      <w:r w:rsidRPr="00B174C3">
        <w:rPr>
          <w:rFonts w:ascii="TimesNewRoman,Bold" w:hAnsi="TimesNewRoman,Bold" w:cs="TimesNewRoman,Bold"/>
          <w:b/>
          <w:bCs/>
          <w:sz w:val="24"/>
          <w:szCs w:val="24"/>
        </w:rPr>
        <w:t xml:space="preserve">Source: </w:t>
      </w:r>
      <w:r w:rsidRPr="00B174C3">
        <w:rPr>
          <w:rFonts w:ascii="TimesNewRoman" w:hAnsi="TimesNewRoman" w:cs="TimesNewRoman"/>
          <w:sz w:val="24"/>
          <w:szCs w:val="24"/>
        </w:rPr>
        <w:t>AEP Ohio to provide data</w:t>
      </w:r>
    </w:p>
    <w:p w14:paraId="7A0130C7" w14:textId="77777777" w:rsidR="00977F01" w:rsidRPr="00DF3D54" w:rsidRDefault="00977F01" w:rsidP="00200A0A">
      <w:pPr>
        <w:ind w:left="4332"/>
        <w:jc w:val="both"/>
        <w:rPr>
          <w:sz w:val="26"/>
          <w:szCs w:val="26"/>
        </w:rPr>
      </w:pPr>
    </w:p>
    <w:sectPr w:rsidR="00977F01" w:rsidRPr="00DF3D54" w:rsidSect="003B12DD">
      <w:head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8284" w14:textId="77777777" w:rsidR="00B4228C" w:rsidRDefault="00B4228C" w:rsidP="008866FC">
      <w:pPr>
        <w:pStyle w:val="Title"/>
      </w:pPr>
      <w:r>
        <w:separator/>
      </w:r>
    </w:p>
  </w:endnote>
  <w:endnote w:type="continuationSeparator" w:id="0">
    <w:p w14:paraId="7E3081CF" w14:textId="77777777" w:rsidR="00B4228C" w:rsidRDefault="00B4228C"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B45D" w14:textId="77777777"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70554A">
      <w:rPr>
        <w:rStyle w:val="PageNumber"/>
        <w:noProof/>
        <w:sz w:val="24"/>
        <w:szCs w:val="24"/>
      </w:rPr>
      <w:t>5</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646D9" w14:textId="77777777" w:rsidR="00B4228C" w:rsidRDefault="00B4228C" w:rsidP="00663D6A">
      <w:pPr>
        <w:pStyle w:val="Title"/>
        <w:jc w:val="left"/>
      </w:pPr>
      <w:r>
        <w:separator/>
      </w:r>
    </w:p>
  </w:footnote>
  <w:footnote w:type="continuationSeparator" w:id="0">
    <w:p w14:paraId="40B540FA" w14:textId="77777777" w:rsidR="00B4228C" w:rsidRDefault="00B4228C" w:rsidP="008866FC">
      <w:pPr>
        <w:pStyle w:val="Title"/>
      </w:pPr>
      <w:r>
        <w:continuationSeparator/>
      </w:r>
    </w:p>
  </w:footnote>
  <w:footnote w:id="1">
    <w:p w14:paraId="2AAF732A" w14:textId="77777777" w:rsidR="00B51A1D" w:rsidRDefault="00B51A1D" w:rsidP="00B51A1D">
      <w:pPr>
        <w:pStyle w:val="FootnoteText"/>
      </w:pPr>
      <w:r>
        <w:rPr>
          <w:rStyle w:val="FootnoteReference"/>
        </w:rPr>
        <w:footnoteRef/>
      </w:r>
      <w:r>
        <w:t xml:space="preserve"> </w:t>
      </w:r>
      <w:r>
        <w:tab/>
      </w:r>
      <w:r>
        <w:tab/>
      </w:r>
      <w:r w:rsidRPr="00B51A1D">
        <w:rPr>
          <w:i/>
        </w:rPr>
        <w:t>In the Matter of the Application of Columbus Southern Power Company and Ohio Power Company, Individually and, if Their Proposed Merger is Approved, as a Merged Company (collectively, AEP Ohio)  for an Increase in Electric Distribution Rates</w:t>
      </w:r>
      <w:r>
        <w:t xml:space="preserve">, Case Nos. 11-351-EL-AIR, </w:t>
      </w:r>
      <w:r>
        <w:rPr>
          <w:i/>
        </w:rPr>
        <w:t>et al</w:t>
      </w:r>
      <w:r>
        <w:t>. (Opinion and Order at 10) (Dec. 14, 2011).</w:t>
      </w:r>
      <w:r w:rsidRPr="00B174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3F9B" w14:textId="77777777" w:rsidR="007B0471" w:rsidRPr="007B0471" w:rsidRDefault="007B0471" w:rsidP="007B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D6524" w14:textId="77777777" w:rsidR="007B0471" w:rsidRPr="007B0471" w:rsidRDefault="007B0471" w:rsidP="007B0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93034"/>
    <w:multiLevelType w:val="hybridMultilevel"/>
    <w:tmpl w:val="D2E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2A6A90"/>
    <w:multiLevelType w:val="hybridMultilevel"/>
    <w:tmpl w:val="D534C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1D"/>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314"/>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4A9"/>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79E"/>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6723"/>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19F"/>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40D"/>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54A"/>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C48"/>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71"/>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3D3"/>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5061"/>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28C"/>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A1D"/>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1C15"/>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82ADD7"/>
  <w15:docId w15:val="{1FB8557C-FBFA-4A4A-9DD9-22AD6C5D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5D440D"/>
    <w:pPr>
      <w:spacing w:line="480" w:lineRule="auto"/>
    </w:pPr>
    <w:rPr>
      <w:sz w:val="26"/>
      <w:szCs w:val="24"/>
    </w:rPr>
  </w:style>
  <w:style w:type="character" w:customStyle="1" w:styleId="textstyleChar">
    <w:name w:val="text style Char"/>
    <w:link w:val="textstyle0"/>
    <w:rsid w:val="005D440D"/>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ListParagraph">
    <w:name w:val="List Paragraph"/>
    <w:basedOn w:val="Normal"/>
    <w:uiPriority w:val="34"/>
    <w:qFormat/>
    <w:rsid w:val="00B51A1D"/>
    <w:pPr>
      <w:spacing w:after="200" w:line="276" w:lineRule="auto"/>
      <w:ind w:left="720"/>
      <w:contextualSpacing/>
    </w:pPr>
    <w:rPr>
      <w:rFonts w:ascii="Arial" w:eastAsia="Calibri" w:hAnsi="Arial" w:cs="Arial"/>
      <w:sz w:val="28"/>
      <w:szCs w:val="28"/>
    </w:rPr>
  </w:style>
  <w:style w:type="character" w:styleId="CommentReference">
    <w:name w:val="annotation reference"/>
    <w:uiPriority w:val="99"/>
    <w:semiHidden/>
    <w:unhideWhenUsed/>
    <w:rsid w:val="00B51A1D"/>
    <w:rPr>
      <w:sz w:val="16"/>
      <w:szCs w:val="16"/>
    </w:rPr>
  </w:style>
  <w:style w:type="paragraph" w:styleId="CommentText">
    <w:name w:val="annotation text"/>
    <w:basedOn w:val="Normal"/>
    <w:link w:val="CommentTextChar"/>
    <w:uiPriority w:val="99"/>
    <w:semiHidden/>
    <w:unhideWhenUsed/>
    <w:rsid w:val="00B51A1D"/>
    <w:pPr>
      <w:spacing w:after="200"/>
    </w:pPr>
    <w:rPr>
      <w:rFonts w:ascii="Arial" w:eastAsia="Calibri" w:hAnsi="Arial" w:cs="Arial"/>
    </w:rPr>
  </w:style>
  <w:style w:type="character" w:customStyle="1" w:styleId="CommentTextChar">
    <w:name w:val="Comment Text Char"/>
    <w:basedOn w:val="DefaultParagraphFont"/>
    <w:link w:val="CommentText"/>
    <w:uiPriority w:val="99"/>
    <w:semiHidden/>
    <w:rsid w:val="00B51A1D"/>
    <w:rPr>
      <w:rFonts w:ascii="Arial" w:eastAsia="Calibri" w:hAnsi="Arial" w:cs="Arial"/>
    </w:rPr>
  </w:style>
  <w:style w:type="paragraph" w:styleId="CommentSubject">
    <w:name w:val="annotation subject"/>
    <w:basedOn w:val="CommentText"/>
    <w:next w:val="CommentText"/>
    <w:link w:val="CommentSubjectChar"/>
    <w:semiHidden/>
    <w:unhideWhenUsed/>
    <w:rsid w:val="001F519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1F519F"/>
    <w:rPr>
      <w:rFonts w:ascii="Arial" w:eastAsia="Calibri" w:hAnsi="Arial" w:cs="Arial"/>
      <w:b/>
      <w:bCs/>
    </w:rPr>
  </w:style>
  <w:style w:type="paragraph" w:styleId="Revision">
    <w:name w:val="Revision"/>
    <w:hidden/>
    <w:uiPriority w:val="99"/>
    <w:semiHidden/>
    <w:rsid w:val="001F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yperlink" Target="mailto:ryan.orourke@puc.state.oh.u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01F8-0853-4991-BE03-562CFE48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Pleading.dotx</Template>
  <TotalTime>2</TotalTime>
  <Pages>8</Pages>
  <Words>1309</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8620</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3</cp:revision>
  <cp:lastPrinted>2010-04-28T14:16:00Z</cp:lastPrinted>
  <dcterms:created xsi:type="dcterms:W3CDTF">2015-05-01T12:30:00Z</dcterms:created>
  <dcterms:modified xsi:type="dcterms:W3CDTF">2015-05-01T12:31:00Z</dcterms:modified>
</cp:coreProperties>
</file>