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A819C" w14:textId="77777777" w:rsidR="00793394" w:rsidRPr="00793394" w:rsidRDefault="00793394" w:rsidP="00793394">
      <w:pPr>
        <w:jc w:val="center"/>
        <w:rPr>
          <w:rFonts w:eastAsia="Times New Roman" w:cs="Arial"/>
          <w:b/>
          <w:smallCaps/>
          <w:sz w:val="32"/>
          <w:szCs w:val="32"/>
        </w:rPr>
      </w:pPr>
      <w:bookmarkStart w:id="0" w:name="OLE_LINK1"/>
      <w:bookmarkStart w:id="1" w:name="OLE_LINK2"/>
      <w:r w:rsidRPr="00793394">
        <w:rPr>
          <w:rFonts w:eastAsia="Times New Roman" w:cs="Arial"/>
          <w:b/>
          <w:smallCaps/>
          <w:sz w:val="32"/>
          <w:szCs w:val="32"/>
        </w:rPr>
        <w:t>Before</w:t>
      </w:r>
    </w:p>
    <w:p w14:paraId="3ADB43DE" w14:textId="77777777" w:rsidR="00793394" w:rsidRPr="00793394" w:rsidRDefault="00793394" w:rsidP="00793394">
      <w:pPr>
        <w:jc w:val="center"/>
        <w:rPr>
          <w:rFonts w:eastAsia="Times New Roman" w:cs="Arial"/>
          <w:b/>
          <w:smallCaps/>
          <w:sz w:val="32"/>
          <w:szCs w:val="32"/>
        </w:rPr>
      </w:pPr>
      <w:r w:rsidRPr="00793394">
        <w:rPr>
          <w:rFonts w:eastAsia="Times New Roman" w:cs="Arial"/>
          <w:b/>
          <w:smallCaps/>
          <w:sz w:val="32"/>
          <w:szCs w:val="32"/>
        </w:rPr>
        <w:t>The Public Utilities Commission of Ohio</w:t>
      </w:r>
    </w:p>
    <w:p w14:paraId="08C781C8" w14:textId="77777777" w:rsidR="00793394" w:rsidRPr="00AA7DC3" w:rsidRDefault="00793394" w:rsidP="00793394">
      <w:pPr>
        <w:autoSpaceDE w:val="0"/>
        <w:autoSpaceDN w:val="0"/>
        <w:adjustRightInd w:val="0"/>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707"/>
        <w:gridCol w:w="4140"/>
      </w:tblGrid>
      <w:tr w:rsidR="00793394" w:rsidRPr="00AA7DC3" w14:paraId="15A8E5CC" w14:textId="77777777" w:rsidTr="00152635">
        <w:tc>
          <w:tcPr>
            <w:tcW w:w="4608" w:type="dxa"/>
          </w:tcPr>
          <w:p w14:paraId="68CA78DF" w14:textId="1192744E"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 xml:space="preserve">In the Matter of the Application of </w:t>
            </w:r>
            <w:r w:rsidRPr="00AA7DC3">
              <w:rPr>
                <w:rFonts w:ascii="Arial" w:eastAsia="Calibri" w:hAnsi="Arial" w:cs="Arial"/>
                <w:sz w:val="24"/>
                <w:szCs w:val="24"/>
              </w:rPr>
              <w:br/>
              <w:t>Duke Energy Ohio, Inc. for Authority to Establish a Standard Service Offer Pursuant to Section 4928.143, Revised Code, in the Form of an Electric Security Plan, Accounting Modifications and Tariffs for Generation Service.</w:t>
            </w:r>
          </w:p>
        </w:tc>
        <w:tc>
          <w:tcPr>
            <w:tcW w:w="720" w:type="dxa"/>
          </w:tcPr>
          <w:p w14:paraId="3A8BEB16"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24C6904C"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709A7D43"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71C46262"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15FF2AF0"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791EEADD"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32250A89"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tc>
        <w:tc>
          <w:tcPr>
            <w:tcW w:w="4248" w:type="dxa"/>
          </w:tcPr>
          <w:p w14:paraId="5211F320"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br/>
            </w:r>
            <w:r w:rsidRPr="00AA7DC3">
              <w:rPr>
                <w:rFonts w:ascii="Arial" w:eastAsia="Calibri" w:hAnsi="Arial" w:cs="Arial"/>
                <w:sz w:val="24"/>
                <w:szCs w:val="24"/>
              </w:rPr>
              <w:br/>
            </w:r>
            <w:r w:rsidRPr="00AA7DC3">
              <w:rPr>
                <w:rFonts w:ascii="Arial" w:eastAsia="Calibri" w:hAnsi="Arial" w:cs="Arial"/>
                <w:sz w:val="24"/>
                <w:szCs w:val="24"/>
              </w:rPr>
              <w:br/>
              <w:t>Case No. 17-1263-EL-SSO</w:t>
            </w:r>
          </w:p>
        </w:tc>
      </w:tr>
      <w:tr w:rsidR="00793394" w:rsidRPr="00AA7DC3" w14:paraId="6AD65D15" w14:textId="77777777" w:rsidTr="00152635">
        <w:tc>
          <w:tcPr>
            <w:tcW w:w="4608" w:type="dxa"/>
          </w:tcPr>
          <w:p w14:paraId="0B848E6A" w14:textId="77777777" w:rsidR="00793394" w:rsidRPr="00AA7DC3" w:rsidRDefault="00793394" w:rsidP="00793394">
            <w:pPr>
              <w:autoSpaceDE w:val="0"/>
              <w:autoSpaceDN w:val="0"/>
              <w:adjustRightInd w:val="0"/>
              <w:rPr>
                <w:rFonts w:ascii="Arial" w:eastAsia="Calibri" w:hAnsi="Arial" w:cs="Arial"/>
                <w:sz w:val="24"/>
                <w:szCs w:val="24"/>
              </w:rPr>
            </w:pPr>
          </w:p>
        </w:tc>
        <w:tc>
          <w:tcPr>
            <w:tcW w:w="720" w:type="dxa"/>
          </w:tcPr>
          <w:p w14:paraId="77584109" w14:textId="77777777" w:rsidR="00793394" w:rsidRPr="00AA7DC3" w:rsidRDefault="00793394" w:rsidP="00793394">
            <w:pPr>
              <w:autoSpaceDE w:val="0"/>
              <w:autoSpaceDN w:val="0"/>
              <w:adjustRightInd w:val="0"/>
              <w:rPr>
                <w:rFonts w:ascii="Arial" w:eastAsia="Calibri" w:hAnsi="Arial" w:cs="Arial"/>
                <w:sz w:val="24"/>
                <w:szCs w:val="24"/>
              </w:rPr>
            </w:pPr>
          </w:p>
        </w:tc>
        <w:tc>
          <w:tcPr>
            <w:tcW w:w="4248" w:type="dxa"/>
          </w:tcPr>
          <w:p w14:paraId="0FC3EFE2" w14:textId="77777777" w:rsidR="00793394" w:rsidRPr="00AA7DC3" w:rsidRDefault="00793394" w:rsidP="00793394">
            <w:pPr>
              <w:autoSpaceDE w:val="0"/>
              <w:autoSpaceDN w:val="0"/>
              <w:adjustRightInd w:val="0"/>
              <w:rPr>
                <w:rFonts w:ascii="Arial" w:eastAsia="Calibri" w:hAnsi="Arial" w:cs="Arial"/>
                <w:sz w:val="24"/>
                <w:szCs w:val="24"/>
              </w:rPr>
            </w:pPr>
          </w:p>
        </w:tc>
      </w:tr>
      <w:tr w:rsidR="00793394" w:rsidRPr="00AA7DC3" w14:paraId="71837CF0" w14:textId="77777777" w:rsidTr="00152635">
        <w:tc>
          <w:tcPr>
            <w:tcW w:w="4608" w:type="dxa"/>
          </w:tcPr>
          <w:p w14:paraId="3CBDE05F"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 xml:space="preserve">In the Matter of the Application of </w:t>
            </w:r>
            <w:r w:rsidRPr="00AA7DC3">
              <w:rPr>
                <w:rFonts w:ascii="Arial" w:eastAsia="Calibri" w:hAnsi="Arial" w:cs="Arial"/>
                <w:sz w:val="24"/>
                <w:szCs w:val="24"/>
              </w:rPr>
              <w:br/>
              <w:t>Duke Energy Ohio, Inc. for Authority to Amend its Certified Supplier Tariff, P.U.C.O. No. 20.</w:t>
            </w:r>
          </w:p>
        </w:tc>
        <w:tc>
          <w:tcPr>
            <w:tcW w:w="720" w:type="dxa"/>
          </w:tcPr>
          <w:p w14:paraId="5B556C29"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77233DF4"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1E0CAA69"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66F23FDB"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tc>
        <w:tc>
          <w:tcPr>
            <w:tcW w:w="4248" w:type="dxa"/>
          </w:tcPr>
          <w:p w14:paraId="768899DC"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br/>
              <w:t>Case No. 17-1264-EL-ATA</w:t>
            </w:r>
          </w:p>
        </w:tc>
      </w:tr>
      <w:tr w:rsidR="00793394" w:rsidRPr="00AA7DC3" w14:paraId="485F685D" w14:textId="77777777" w:rsidTr="00152635">
        <w:tc>
          <w:tcPr>
            <w:tcW w:w="4608" w:type="dxa"/>
          </w:tcPr>
          <w:p w14:paraId="5C5CF24E" w14:textId="77777777" w:rsidR="00793394" w:rsidRPr="00AA7DC3" w:rsidRDefault="00793394" w:rsidP="00793394">
            <w:pPr>
              <w:autoSpaceDE w:val="0"/>
              <w:autoSpaceDN w:val="0"/>
              <w:adjustRightInd w:val="0"/>
              <w:rPr>
                <w:rFonts w:ascii="Arial" w:eastAsia="Calibri" w:hAnsi="Arial" w:cs="Arial"/>
                <w:sz w:val="24"/>
                <w:szCs w:val="24"/>
              </w:rPr>
            </w:pPr>
          </w:p>
        </w:tc>
        <w:tc>
          <w:tcPr>
            <w:tcW w:w="720" w:type="dxa"/>
          </w:tcPr>
          <w:p w14:paraId="74C8828F" w14:textId="77777777" w:rsidR="00793394" w:rsidRPr="00AA7DC3" w:rsidRDefault="00793394" w:rsidP="00793394">
            <w:pPr>
              <w:autoSpaceDE w:val="0"/>
              <w:autoSpaceDN w:val="0"/>
              <w:adjustRightInd w:val="0"/>
              <w:rPr>
                <w:rFonts w:ascii="Arial" w:eastAsia="Calibri" w:hAnsi="Arial" w:cs="Arial"/>
                <w:sz w:val="24"/>
                <w:szCs w:val="24"/>
              </w:rPr>
            </w:pPr>
          </w:p>
        </w:tc>
        <w:tc>
          <w:tcPr>
            <w:tcW w:w="4248" w:type="dxa"/>
          </w:tcPr>
          <w:p w14:paraId="4B459B30" w14:textId="77777777" w:rsidR="00793394" w:rsidRPr="00AA7DC3" w:rsidRDefault="00793394" w:rsidP="00793394">
            <w:pPr>
              <w:autoSpaceDE w:val="0"/>
              <w:autoSpaceDN w:val="0"/>
              <w:adjustRightInd w:val="0"/>
              <w:rPr>
                <w:rFonts w:ascii="Arial" w:eastAsia="Calibri" w:hAnsi="Arial" w:cs="Arial"/>
                <w:sz w:val="24"/>
                <w:szCs w:val="24"/>
              </w:rPr>
            </w:pPr>
          </w:p>
        </w:tc>
      </w:tr>
      <w:tr w:rsidR="00793394" w:rsidRPr="00AA7DC3" w14:paraId="149CA638" w14:textId="77777777" w:rsidTr="00152635">
        <w:tc>
          <w:tcPr>
            <w:tcW w:w="4608" w:type="dxa"/>
          </w:tcPr>
          <w:p w14:paraId="0F338F28"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 xml:space="preserve">In the Matter of the Application of </w:t>
            </w:r>
            <w:r w:rsidRPr="00AA7DC3">
              <w:rPr>
                <w:rFonts w:ascii="Arial" w:eastAsia="Calibri" w:hAnsi="Arial" w:cs="Arial"/>
                <w:sz w:val="24"/>
                <w:szCs w:val="24"/>
              </w:rPr>
              <w:br/>
              <w:t>Duke Energy Ohio, Inc. for Authority to Defer Vegetation Management Costs.</w:t>
            </w:r>
          </w:p>
        </w:tc>
        <w:tc>
          <w:tcPr>
            <w:tcW w:w="720" w:type="dxa"/>
          </w:tcPr>
          <w:p w14:paraId="48079D10"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67215D1B"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05FDBD0A"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tc>
        <w:tc>
          <w:tcPr>
            <w:tcW w:w="4248" w:type="dxa"/>
          </w:tcPr>
          <w:p w14:paraId="7249CF25"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br/>
              <w:t>Case No. 17-1265-EL-AAM</w:t>
            </w:r>
          </w:p>
        </w:tc>
      </w:tr>
    </w:tbl>
    <w:p w14:paraId="58A17BD9" w14:textId="77777777" w:rsidR="00793394" w:rsidRPr="00AA7DC3" w:rsidRDefault="00793394" w:rsidP="00793394">
      <w:pPr>
        <w:autoSpaceDE w:val="0"/>
        <w:autoSpaceDN w:val="0"/>
        <w:adjustRightInd w:val="0"/>
        <w:rPr>
          <w:rFonts w:eastAsia="Calibri" w:cs="Arial"/>
        </w:rPr>
      </w:pPr>
    </w:p>
    <w:p w14:paraId="461914F0" w14:textId="77777777" w:rsidR="00793394" w:rsidRPr="00C27FC0" w:rsidRDefault="00793394" w:rsidP="00793394">
      <w:pPr>
        <w:tabs>
          <w:tab w:val="left" w:pos="5040"/>
        </w:tabs>
        <w:jc w:val="both"/>
        <w:rPr>
          <w:rFonts w:eastAsia="Times New Roman" w:cs="Arial"/>
        </w:rPr>
      </w:pPr>
    </w:p>
    <w:p w14:paraId="4B45249C" w14:textId="77777777" w:rsidR="00793394" w:rsidRPr="00793394" w:rsidRDefault="00793394" w:rsidP="00793394">
      <w:pPr>
        <w:pBdr>
          <w:top w:val="single" w:sz="12" w:space="1" w:color="auto"/>
        </w:pBdr>
        <w:jc w:val="center"/>
        <w:rPr>
          <w:rFonts w:cs="Arial"/>
          <w:b/>
          <w:sz w:val="28"/>
          <w:szCs w:val="28"/>
        </w:rPr>
      </w:pPr>
    </w:p>
    <w:bookmarkEnd w:id="0"/>
    <w:bookmarkEnd w:id="1"/>
    <w:p w14:paraId="369A6451" w14:textId="59A3F96B" w:rsidR="00793394" w:rsidRPr="000E7676" w:rsidRDefault="00793394" w:rsidP="00793394">
      <w:pPr>
        <w:jc w:val="center"/>
        <w:rPr>
          <w:rFonts w:cs="Arial"/>
          <w:b/>
          <w:smallCaps/>
          <w:sz w:val="32"/>
        </w:rPr>
      </w:pPr>
      <w:r w:rsidRPr="000E7676">
        <w:rPr>
          <w:rFonts w:cs="Arial"/>
          <w:b/>
          <w:smallCaps/>
          <w:sz w:val="32"/>
        </w:rPr>
        <w:t>Industrial Energy Users-Ohio</w:t>
      </w:r>
      <w:r>
        <w:rPr>
          <w:rFonts w:cs="Arial"/>
          <w:b/>
          <w:smallCaps/>
          <w:sz w:val="32"/>
        </w:rPr>
        <w:t>’s</w:t>
      </w:r>
    </w:p>
    <w:p w14:paraId="75F8C653" w14:textId="30FF8AFD" w:rsidR="00793394" w:rsidRDefault="00793394" w:rsidP="00793394">
      <w:pPr>
        <w:jc w:val="center"/>
        <w:rPr>
          <w:rFonts w:cs="Arial"/>
          <w:b/>
          <w:smallCaps/>
          <w:sz w:val="32"/>
        </w:rPr>
      </w:pPr>
      <w:r>
        <w:rPr>
          <w:rFonts w:cs="Arial"/>
          <w:b/>
          <w:smallCaps/>
          <w:sz w:val="32"/>
        </w:rPr>
        <w:t xml:space="preserve">Reply in Support of Motion to </w:t>
      </w:r>
      <w:r w:rsidRPr="00793394">
        <w:rPr>
          <w:rFonts w:cs="Arial"/>
          <w:b/>
          <w:smallCaps/>
          <w:sz w:val="32"/>
        </w:rPr>
        <w:t>Dismiss the</w:t>
      </w:r>
    </w:p>
    <w:p w14:paraId="1DBA46EA" w14:textId="6E86837F" w:rsidR="00793394" w:rsidRPr="000E7676" w:rsidRDefault="00793394" w:rsidP="00793394">
      <w:pPr>
        <w:jc w:val="center"/>
        <w:rPr>
          <w:rFonts w:cs="Arial"/>
          <w:b/>
          <w:smallCaps/>
          <w:sz w:val="32"/>
        </w:rPr>
      </w:pPr>
      <w:r w:rsidRPr="000E7676">
        <w:rPr>
          <w:rFonts w:cs="Arial"/>
          <w:b/>
          <w:smallCaps/>
          <w:sz w:val="32"/>
        </w:rPr>
        <w:t>Price Stabilization Rider</w:t>
      </w:r>
    </w:p>
    <w:p w14:paraId="2C99ED07" w14:textId="77777777" w:rsidR="00793394" w:rsidRPr="00793394" w:rsidRDefault="00793394" w:rsidP="00793394">
      <w:pPr>
        <w:pBdr>
          <w:bottom w:val="single" w:sz="12" w:space="1" w:color="auto"/>
        </w:pBdr>
        <w:jc w:val="center"/>
        <w:rPr>
          <w:rFonts w:eastAsia="Times New Roman" w:cs="Arial"/>
          <w:b/>
          <w:smallCaps/>
          <w:sz w:val="28"/>
          <w:u w:val="single"/>
        </w:rPr>
      </w:pPr>
    </w:p>
    <w:p w14:paraId="2826E60F" w14:textId="77777777" w:rsidR="00793394" w:rsidRPr="00793394" w:rsidRDefault="00793394" w:rsidP="00793394">
      <w:pPr>
        <w:jc w:val="center"/>
        <w:rPr>
          <w:rFonts w:eastAsia="Times New Roman" w:cs="Arial"/>
          <w:b/>
          <w:smallCaps/>
          <w:sz w:val="28"/>
          <w:u w:val="single"/>
        </w:rPr>
      </w:pPr>
    </w:p>
    <w:p w14:paraId="77548FFC" w14:textId="2B3FADF5" w:rsidR="00793394" w:rsidRDefault="00793394" w:rsidP="00793394">
      <w:pPr>
        <w:jc w:val="center"/>
        <w:rPr>
          <w:rFonts w:eastAsia="Times New Roman" w:cs="Arial"/>
          <w:b/>
          <w:smallCaps/>
          <w:sz w:val="28"/>
          <w:u w:val="single"/>
        </w:rPr>
      </w:pPr>
    </w:p>
    <w:p w14:paraId="7D9B9688" w14:textId="54EAEB26" w:rsidR="00D85D40" w:rsidRPr="00793394" w:rsidRDefault="00D85D40" w:rsidP="00793394">
      <w:pPr>
        <w:jc w:val="center"/>
        <w:rPr>
          <w:rFonts w:eastAsia="Times New Roman" w:cs="Arial"/>
          <w:b/>
          <w:smallCaps/>
          <w:sz w:val="28"/>
          <w:u w:val="single"/>
        </w:rPr>
      </w:pPr>
    </w:p>
    <w:p w14:paraId="02249BC7" w14:textId="77777777" w:rsidR="00793394" w:rsidRPr="00793394" w:rsidRDefault="00793394" w:rsidP="00793394">
      <w:pPr>
        <w:jc w:val="center"/>
        <w:rPr>
          <w:rFonts w:eastAsia="Times New Roman" w:cs="Arial"/>
          <w:b/>
          <w:smallCaps/>
          <w:sz w:val="28"/>
          <w:u w:val="single"/>
        </w:rPr>
      </w:pPr>
    </w:p>
    <w:p w14:paraId="5178E40E" w14:textId="77777777" w:rsidR="00793394" w:rsidRPr="00793394" w:rsidRDefault="00793394" w:rsidP="00793394">
      <w:pPr>
        <w:jc w:val="center"/>
        <w:rPr>
          <w:rFonts w:eastAsia="Times New Roman" w:cs="Arial"/>
          <w:b/>
          <w:smallCaps/>
          <w:sz w:val="28"/>
          <w:u w:val="single"/>
        </w:rPr>
      </w:pPr>
    </w:p>
    <w:p w14:paraId="25D1C0DC" w14:textId="77777777" w:rsidR="00793394" w:rsidRPr="00793394" w:rsidRDefault="00793394" w:rsidP="00793394">
      <w:pPr>
        <w:widowControl w:val="0"/>
        <w:ind w:left="4320"/>
        <w:jc w:val="both"/>
        <w:rPr>
          <w:rFonts w:eastAsia="Times New Roman" w:cs="Arial"/>
          <w:bCs/>
          <w:szCs w:val="20"/>
        </w:rPr>
      </w:pPr>
      <w:r w:rsidRPr="00793394">
        <w:rPr>
          <w:rFonts w:eastAsia="Times New Roman" w:cs="Arial"/>
          <w:bCs/>
          <w:szCs w:val="20"/>
        </w:rPr>
        <w:t>Frank P. Darr (Reg. No. 0025469)</w:t>
      </w:r>
    </w:p>
    <w:p w14:paraId="7AE0853F" w14:textId="77777777" w:rsidR="00793394" w:rsidRPr="00793394" w:rsidRDefault="00793394" w:rsidP="00793394">
      <w:pPr>
        <w:tabs>
          <w:tab w:val="right" w:pos="8640"/>
        </w:tabs>
        <w:ind w:left="4320"/>
        <w:jc w:val="both"/>
        <w:rPr>
          <w:rFonts w:eastAsia="Times New Roman" w:cs="Arial"/>
        </w:rPr>
      </w:pPr>
      <w:r w:rsidRPr="00793394">
        <w:rPr>
          <w:rFonts w:eastAsia="Times New Roman" w:cs="Arial"/>
        </w:rPr>
        <w:t>(Counsel of Record)</w:t>
      </w:r>
    </w:p>
    <w:p w14:paraId="1264AD1D" w14:textId="77777777" w:rsidR="00793394" w:rsidRPr="00793394" w:rsidRDefault="00793394" w:rsidP="00793394">
      <w:pPr>
        <w:widowControl w:val="0"/>
        <w:ind w:left="4320"/>
        <w:jc w:val="both"/>
        <w:rPr>
          <w:rFonts w:eastAsia="Times New Roman" w:cs="Arial"/>
          <w:bCs/>
          <w:szCs w:val="20"/>
        </w:rPr>
      </w:pPr>
      <w:r w:rsidRPr="00793394">
        <w:rPr>
          <w:rFonts w:eastAsia="Times New Roman" w:cs="Arial"/>
          <w:bCs/>
          <w:szCs w:val="20"/>
        </w:rPr>
        <w:t>Matthew R. Pritchard (Reg. No. 0088070)</w:t>
      </w:r>
    </w:p>
    <w:p w14:paraId="3B51E250" w14:textId="77777777" w:rsidR="00793394" w:rsidRPr="00793394" w:rsidRDefault="00793394" w:rsidP="00793394">
      <w:pPr>
        <w:widowControl w:val="0"/>
        <w:ind w:left="4320"/>
        <w:jc w:val="both"/>
        <w:rPr>
          <w:rFonts w:eastAsia="Times New Roman" w:cs="Arial"/>
          <w:bCs/>
          <w:smallCaps/>
        </w:rPr>
      </w:pPr>
      <w:r w:rsidRPr="00793394">
        <w:rPr>
          <w:rFonts w:eastAsia="Times New Roman" w:cs="Arial"/>
          <w:bCs/>
          <w:smallCaps/>
        </w:rPr>
        <w:t>McNees Wallace &amp; Nurick LLC</w:t>
      </w:r>
    </w:p>
    <w:p w14:paraId="4F63FA6B" w14:textId="77777777" w:rsidR="00793394" w:rsidRPr="00793394" w:rsidRDefault="00793394" w:rsidP="00793394">
      <w:pPr>
        <w:widowControl w:val="0"/>
        <w:ind w:left="4320"/>
        <w:jc w:val="both"/>
        <w:rPr>
          <w:rFonts w:eastAsia="Times New Roman" w:cs="Arial"/>
          <w:bCs/>
          <w:szCs w:val="20"/>
        </w:rPr>
      </w:pPr>
      <w:r w:rsidRPr="00793394">
        <w:rPr>
          <w:rFonts w:eastAsia="Times New Roman" w:cs="Arial"/>
          <w:bCs/>
          <w:szCs w:val="20"/>
        </w:rPr>
        <w:t>21 East State Street, 17</w:t>
      </w:r>
      <w:r w:rsidRPr="00793394">
        <w:rPr>
          <w:rFonts w:eastAsia="Times New Roman" w:cs="Arial"/>
          <w:bCs/>
          <w:szCs w:val="20"/>
          <w:vertAlign w:val="superscript"/>
        </w:rPr>
        <w:t>TH</w:t>
      </w:r>
      <w:r w:rsidRPr="00793394">
        <w:rPr>
          <w:rFonts w:eastAsia="Times New Roman" w:cs="Arial"/>
          <w:bCs/>
          <w:szCs w:val="20"/>
        </w:rPr>
        <w:t xml:space="preserve"> Floor</w:t>
      </w:r>
    </w:p>
    <w:p w14:paraId="498AAF2A" w14:textId="77777777" w:rsidR="00793394" w:rsidRPr="00793394" w:rsidRDefault="00793394" w:rsidP="00793394">
      <w:pPr>
        <w:ind w:left="4320"/>
        <w:jc w:val="both"/>
        <w:rPr>
          <w:rFonts w:eastAsia="Times New Roman" w:cs="Arial"/>
        </w:rPr>
      </w:pPr>
      <w:r w:rsidRPr="00793394">
        <w:rPr>
          <w:rFonts w:eastAsia="Times New Roman" w:cs="Arial"/>
        </w:rPr>
        <w:t>Columbus, OH  43215</w:t>
      </w:r>
    </w:p>
    <w:p w14:paraId="686EC55B" w14:textId="77777777" w:rsidR="00793394" w:rsidRPr="00793394" w:rsidRDefault="00793394" w:rsidP="00793394">
      <w:pPr>
        <w:ind w:left="4320"/>
        <w:jc w:val="both"/>
        <w:rPr>
          <w:rFonts w:eastAsia="Times New Roman" w:cs="Arial"/>
        </w:rPr>
      </w:pPr>
      <w:r w:rsidRPr="00793394">
        <w:rPr>
          <w:rFonts w:eastAsia="Times New Roman" w:cs="Arial"/>
        </w:rPr>
        <w:t>Telephone:  (614) 469-8000</w:t>
      </w:r>
    </w:p>
    <w:p w14:paraId="7C9631DC" w14:textId="77777777" w:rsidR="00793394" w:rsidRPr="00793394" w:rsidRDefault="00793394" w:rsidP="00793394">
      <w:pPr>
        <w:ind w:left="4320"/>
        <w:jc w:val="both"/>
        <w:rPr>
          <w:rFonts w:eastAsia="Times New Roman" w:cs="Arial"/>
        </w:rPr>
      </w:pPr>
      <w:r w:rsidRPr="00793394">
        <w:rPr>
          <w:rFonts w:eastAsia="Times New Roman" w:cs="Arial"/>
        </w:rPr>
        <w:t>Telecopier:  (614) 469-4653</w:t>
      </w:r>
    </w:p>
    <w:p w14:paraId="2903C427" w14:textId="77777777" w:rsidR="00793394" w:rsidRPr="00793394" w:rsidRDefault="00793394" w:rsidP="00793394">
      <w:pPr>
        <w:ind w:left="4320"/>
        <w:jc w:val="both"/>
        <w:rPr>
          <w:rFonts w:eastAsia="Times New Roman" w:cs="Arial"/>
        </w:rPr>
      </w:pPr>
      <w:r w:rsidRPr="00793394">
        <w:rPr>
          <w:rFonts w:eastAsia="Times New Roman" w:cs="Arial"/>
        </w:rPr>
        <w:t>fdarr@mwncmh.com</w:t>
      </w:r>
    </w:p>
    <w:p w14:paraId="1088D022" w14:textId="77777777" w:rsidR="00793394" w:rsidRPr="00793394" w:rsidRDefault="00793394" w:rsidP="00793394">
      <w:pPr>
        <w:ind w:left="4320"/>
        <w:jc w:val="both"/>
        <w:rPr>
          <w:rFonts w:eastAsia="Times New Roman" w:cs="Arial"/>
        </w:rPr>
      </w:pPr>
      <w:r w:rsidRPr="00793394">
        <w:rPr>
          <w:rFonts w:eastAsia="Times New Roman" w:cs="Arial"/>
        </w:rPr>
        <w:t>mpritchard@mwncmh.com</w:t>
      </w:r>
    </w:p>
    <w:p w14:paraId="6BA55229" w14:textId="77777777" w:rsidR="00793394" w:rsidRPr="00793394" w:rsidRDefault="00793394" w:rsidP="00793394">
      <w:pPr>
        <w:tabs>
          <w:tab w:val="left" w:pos="4320"/>
          <w:tab w:val="right" w:pos="8640"/>
        </w:tabs>
        <w:jc w:val="both"/>
        <w:rPr>
          <w:rFonts w:eastAsia="Times New Roman" w:cs="Arial"/>
        </w:rPr>
      </w:pPr>
    </w:p>
    <w:p w14:paraId="404DD65F" w14:textId="3DBD9EE2" w:rsidR="00793394" w:rsidRPr="00793394" w:rsidRDefault="00793394" w:rsidP="00793394">
      <w:pPr>
        <w:tabs>
          <w:tab w:val="left" w:pos="4320"/>
        </w:tabs>
        <w:ind w:left="4320" w:hanging="4320"/>
        <w:rPr>
          <w:rFonts w:eastAsia="Times New Roman" w:cs="Arial"/>
          <w:b/>
        </w:rPr>
        <w:sectPr w:rsidR="00793394" w:rsidRPr="00793394" w:rsidSect="001526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rsidRPr="00793394">
        <w:rPr>
          <w:rFonts w:eastAsia="Times New Roman" w:cs="Arial"/>
          <w:b/>
        </w:rPr>
        <w:t xml:space="preserve">October </w:t>
      </w:r>
      <w:r>
        <w:rPr>
          <w:rFonts w:eastAsia="Times New Roman" w:cs="Arial"/>
          <w:b/>
        </w:rPr>
        <w:t>2</w:t>
      </w:r>
      <w:r w:rsidRPr="00793394">
        <w:rPr>
          <w:rFonts w:eastAsia="Times New Roman" w:cs="Arial"/>
          <w:b/>
        </w:rPr>
        <w:t>3, 2017</w:t>
      </w:r>
      <w:r w:rsidRPr="00793394">
        <w:rPr>
          <w:rFonts w:eastAsia="Times New Roman" w:cs="Arial"/>
          <w:b/>
        </w:rPr>
        <w:tab/>
        <w:t>Attorneys for Industrial Energy Users-Ohio</w:t>
      </w:r>
    </w:p>
    <w:p w14:paraId="24CFEEFB" w14:textId="77777777" w:rsidR="00793394" w:rsidRPr="00793394" w:rsidRDefault="00793394" w:rsidP="00793394">
      <w:pPr>
        <w:tabs>
          <w:tab w:val="left" w:pos="4320"/>
        </w:tabs>
        <w:jc w:val="center"/>
        <w:rPr>
          <w:rFonts w:eastAsia="Times New Roman" w:cs="Arial"/>
          <w:b/>
          <w:smallCaps/>
          <w:sz w:val="28"/>
        </w:rPr>
      </w:pPr>
      <w:r w:rsidRPr="00793394">
        <w:rPr>
          <w:rFonts w:eastAsia="Times New Roman" w:cs="Arial"/>
          <w:b/>
          <w:smallCaps/>
          <w:sz w:val="28"/>
        </w:rPr>
        <w:lastRenderedPageBreak/>
        <w:t>Before</w:t>
      </w:r>
    </w:p>
    <w:p w14:paraId="580FD6D8" w14:textId="77777777" w:rsidR="00793394" w:rsidRPr="00AA7DC3" w:rsidRDefault="00793394" w:rsidP="00793394">
      <w:pPr>
        <w:jc w:val="center"/>
        <w:rPr>
          <w:rFonts w:eastAsia="Times New Roman" w:cs="Arial"/>
          <w:b/>
          <w:smallCaps/>
        </w:rPr>
      </w:pPr>
      <w:r w:rsidRPr="00AA7DC3">
        <w:rPr>
          <w:rFonts w:eastAsia="Times New Roman" w:cs="Arial"/>
          <w:b/>
          <w:smallCaps/>
        </w:rPr>
        <w:t>The Public Utilities Commission of Ohio</w:t>
      </w:r>
    </w:p>
    <w:p w14:paraId="72B1F721" w14:textId="77777777" w:rsidR="00793394" w:rsidRPr="00AA7DC3" w:rsidRDefault="00793394" w:rsidP="00793394">
      <w:pPr>
        <w:autoSpaceDE w:val="0"/>
        <w:autoSpaceDN w:val="0"/>
        <w:adjustRightInd w:val="0"/>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707"/>
        <w:gridCol w:w="4140"/>
      </w:tblGrid>
      <w:tr w:rsidR="00793394" w:rsidRPr="00AA7DC3" w14:paraId="22F20141" w14:textId="77777777" w:rsidTr="00152635">
        <w:tc>
          <w:tcPr>
            <w:tcW w:w="4608" w:type="dxa"/>
          </w:tcPr>
          <w:p w14:paraId="3062A4F3"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 xml:space="preserve">In the Matter of the Application of </w:t>
            </w:r>
            <w:r w:rsidRPr="00AA7DC3">
              <w:rPr>
                <w:rFonts w:ascii="Arial" w:eastAsia="Calibri" w:hAnsi="Arial" w:cs="Arial"/>
                <w:sz w:val="24"/>
                <w:szCs w:val="24"/>
              </w:rPr>
              <w:br/>
              <w:t>Duke Energy Ohio, Inc. for Authority to Establish a Standard Service Offer Pursuant to Section 4928.143, Revised Code, in the Form of an Electric Security Plan, Accounting Modifications and Tariffs for Generation Service.</w:t>
            </w:r>
          </w:p>
        </w:tc>
        <w:tc>
          <w:tcPr>
            <w:tcW w:w="720" w:type="dxa"/>
          </w:tcPr>
          <w:p w14:paraId="535ED0C6"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777C153E"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6E47D924"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55623064"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32E73EFA"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6C67BDB5"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62E5AE21"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tc>
        <w:tc>
          <w:tcPr>
            <w:tcW w:w="4248" w:type="dxa"/>
          </w:tcPr>
          <w:p w14:paraId="20561F0D"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br/>
            </w:r>
            <w:r w:rsidRPr="00AA7DC3">
              <w:rPr>
                <w:rFonts w:ascii="Arial" w:eastAsia="Calibri" w:hAnsi="Arial" w:cs="Arial"/>
                <w:sz w:val="24"/>
                <w:szCs w:val="24"/>
              </w:rPr>
              <w:br/>
            </w:r>
            <w:r w:rsidRPr="00AA7DC3">
              <w:rPr>
                <w:rFonts w:ascii="Arial" w:eastAsia="Calibri" w:hAnsi="Arial" w:cs="Arial"/>
                <w:sz w:val="24"/>
                <w:szCs w:val="24"/>
              </w:rPr>
              <w:br/>
              <w:t>Case No. 17-1263-EL-SSO</w:t>
            </w:r>
          </w:p>
        </w:tc>
      </w:tr>
      <w:tr w:rsidR="00793394" w:rsidRPr="00AA7DC3" w14:paraId="543543C8" w14:textId="77777777" w:rsidTr="00152635">
        <w:tc>
          <w:tcPr>
            <w:tcW w:w="4608" w:type="dxa"/>
          </w:tcPr>
          <w:p w14:paraId="3926D1B0" w14:textId="77777777" w:rsidR="00793394" w:rsidRPr="00AA7DC3" w:rsidRDefault="00793394" w:rsidP="00793394">
            <w:pPr>
              <w:autoSpaceDE w:val="0"/>
              <w:autoSpaceDN w:val="0"/>
              <w:adjustRightInd w:val="0"/>
              <w:rPr>
                <w:rFonts w:ascii="Arial" w:eastAsia="Calibri" w:hAnsi="Arial" w:cs="Arial"/>
                <w:sz w:val="24"/>
                <w:szCs w:val="24"/>
              </w:rPr>
            </w:pPr>
          </w:p>
        </w:tc>
        <w:tc>
          <w:tcPr>
            <w:tcW w:w="720" w:type="dxa"/>
          </w:tcPr>
          <w:p w14:paraId="214713D2" w14:textId="77777777" w:rsidR="00793394" w:rsidRPr="00AA7DC3" w:rsidRDefault="00793394" w:rsidP="00793394">
            <w:pPr>
              <w:autoSpaceDE w:val="0"/>
              <w:autoSpaceDN w:val="0"/>
              <w:adjustRightInd w:val="0"/>
              <w:rPr>
                <w:rFonts w:ascii="Arial" w:eastAsia="Calibri" w:hAnsi="Arial" w:cs="Arial"/>
                <w:sz w:val="24"/>
                <w:szCs w:val="24"/>
              </w:rPr>
            </w:pPr>
          </w:p>
        </w:tc>
        <w:tc>
          <w:tcPr>
            <w:tcW w:w="4248" w:type="dxa"/>
          </w:tcPr>
          <w:p w14:paraId="3ED032AF" w14:textId="77777777" w:rsidR="00793394" w:rsidRPr="00AA7DC3" w:rsidRDefault="00793394" w:rsidP="00793394">
            <w:pPr>
              <w:autoSpaceDE w:val="0"/>
              <w:autoSpaceDN w:val="0"/>
              <w:adjustRightInd w:val="0"/>
              <w:rPr>
                <w:rFonts w:ascii="Arial" w:eastAsia="Calibri" w:hAnsi="Arial" w:cs="Arial"/>
                <w:sz w:val="24"/>
                <w:szCs w:val="24"/>
              </w:rPr>
            </w:pPr>
          </w:p>
        </w:tc>
      </w:tr>
      <w:tr w:rsidR="00793394" w:rsidRPr="00AA7DC3" w14:paraId="4B765791" w14:textId="77777777" w:rsidTr="00152635">
        <w:tc>
          <w:tcPr>
            <w:tcW w:w="4608" w:type="dxa"/>
          </w:tcPr>
          <w:p w14:paraId="1A763231"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 xml:space="preserve">In the Matter of the Application of </w:t>
            </w:r>
            <w:r w:rsidRPr="00AA7DC3">
              <w:rPr>
                <w:rFonts w:ascii="Arial" w:eastAsia="Calibri" w:hAnsi="Arial" w:cs="Arial"/>
                <w:sz w:val="24"/>
                <w:szCs w:val="24"/>
              </w:rPr>
              <w:br/>
              <w:t>Duke Energy Ohio, Inc. for Authority to Amend its Certified Supplier Tariff, P.U.C.O. No. 20.</w:t>
            </w:r>
          </w:p>
        </w:tc>
        <w:tc>
          <w:tcPr>
            <w:tcW w:w="720" w:type="dxa"/>
          </w:tcPr>
          <w:p w14:paraId="43702FCF"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41E6DFE8"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51289A9A"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1DBFDF30"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tc>
        <w:tc>
          <w:tcPr>
            <w:tcW w:w="4248" w:type="dxa"/>
          </w:tcPr>
          <w:p w14:paraId="64E1F4B9"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br/>
              <w:t>Case No. 17-1264-EL-ATA</w:t>
            </w:r>
          </w:p>
        </w:tc>
      </w:tr>
      <w:tr w:rsidR="00793394" w:rsidRPr="00AA7DC3" w14:paraId="102A31A4" w14:textId="77777777" w:rsidTr="00152635">
        <w:tc>
          <w:tcPr>
            <w:tcW w:w="4608" w:type="dxa"/>
          </w:tcPr>
          <w:p w14:paraId="160A20E8" w14:textId="77777777" w:rsidR="00793394" w:rsidRPr="00AA7DC3" w:rsidRDefault="00793394" w:rsidP="00793394">
            <w:pPr>
              <w:autoSpaceDE w:val="0"/>
              <w:autoSpaceDN w:val="0"/>
              <w:adjustRightInd w:val="0"/>
              <w:rPr>
                <w:rFonts w:ascii="Arial" w:eastAsia="Calibri" w:hAnsi="Arial" w:cs="Arial"/>
                <w:sz w:val="24"/>
                <w:szCs w:val="24"/>
              </w:rPr>
            </w:pPr>
          </w:p>
        </w:tc>
        <w:tc>
          <w:tcPr>
            <w:tcW w:w="720" w:type="dxa"/>
          </w:tcPr>
          <w:p w14:paraId="1D9D25D9" w14:textId="77777777" w:rsidR="00793394" w:rsidRPr="00AA7DC3" w:rsidRDefault="00793394" w:rsidP="00793394">
            <w:pPr>
              <w:autoSpaceDE w:val="0"/>
              <w:autoSpaceDN w:val="0"/>
              <w:adjustRightInd w:val="0"/>
              <w:rPr>
                <w:rFonts w:ascii="Arial" w:eastAsia="Calibri" w:hAnsi="Arial" w:cs="Arial"/>
                <w:sz w:val="24"/>
                <w:szCs w:val="24"/>
              </w:rPr>
            </w:pPr>
          </w:p>
        </w:tc>
        <w:tc>
          <w:tcPr>
            <w:tcW w:w="4248" w:type="dxa"/>
          </w:tcPr>
          <w:p w14:paraId="30C1A6D6" w14:textId="77777777" w:rsidR="00793394" w:rsidRPr="00AA7DC3" w:rsidRDefault="00793394" w:rsidP="00793394">
            <w:pPr>
              <w:autoSpaceDE w:val="0"/>
              <w:autoSpaceDN w:val="0"/>
              <w:adjustRightInd w:val="0"/>
              <w:rPr>
                <w:rFonts w:ascii="Arial" w:eastAsia="Calibri" w:hAnsi="Arial" w:cs="Arial"/>
                <w:sz w:val="24"/>
                <w:szCs w:val="24"/>
              </w:rPr>
            </w:pPr>
          </w:p>
        </w:tc>
      </w:tr>
      <w:tr w:rsidR="00793394" w:rsidRPr="00AA7DC3" w14:paraId="3E8D276D" w14:textId="77777777" w:rsidTr="00152635">
        <w:tc>
          <w:tcPr>
            <w:tcW w:w="4608" w:type="dxa"/>
          </w:tcPr>
          <w:p w14:paraId="3DBF2882"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 xml:space="preserve">In the Matter of the Application of </w:t>
            </w:r>
            <w:r w:rsidRPr="00AA7DC3">
              <w:rPr>
                <w:rFonts w:ascii="Arial" w:eastAsia="Calibri" w:hAnsi="Arial" w:cs="Arial"/>
                <w:sz w:val="24"/>
                <w:szCs w:val="24"/>
              </w:rPr>
              <w:br/>
              <w:t>Duke Energy Ohio, Inc. for Authority to Defer Vegetation Management Costs.</w:t>
            </w:r>
          </w:p>
        </w:tc>
        <w:tc>
          <w:tcPr>
            <w:tcW w:w="720" w:type="dxa"/>
          </w:tcPr>
          <w:p w14:paraId="6981EB73"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38328E05"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p w14:paraId="067F173C"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t>)</w:t>
            </w:r>
          </w:p>
        </w:tc>
        <w:tc>
          <w:tcPr>
            <w:tcW w:w="4248" w:type="dxa"/>
          </w:tcPr>
          <w:p w14:paraId="54AAFBDD" w14:textId="77777777" w:rsidR="00793394" w:rsidRPr="00AA7DC3" w:rsidRDefault="00793394" w:rsidP="00793394">
            <w:pPr>
              <w:autoSpaceDE w:val="0"/>
              <w:autoSpaceDN w:val="0"/>
              <w:adjustRightInd w:val="0"/>
              <w:rPr>
                <w:rFonts w:ascii="Arial" w:eastAsia="Calibri" w:hAnsi="Arial" w:cs="Arial"/>
                <w:sz w:val="24"/>
                <w:szCs w:val="24"/>
              </w:rPr>
            </w:pPr>
            <w:r w:rsidRPr="00AA7DC3">
              <w:rPr>
                <w:rFonts w:ascii="Arial" w:eastAsia="Calibri" w:hAnsi="Arial" w:cs="Arial"/>
                <w:sz w:val="24"/>
                <w:szCs w:val="24"/>
              </w:rPr>
              <w:br/>
              <w:t>Case No. 17-1265-EL-AAM</w:t>
            </w:r>
          </w:p>
        </w:tc>
      </w:tr>
    </w:tbl>
    <w:p w14:paraId="32848C90" w14:textId="77777777" w:rsidR="00793394" w:rsidRPr="00AA7DC3" w:rsidRDefault="00793394" w:rsidP="00793394">
      <w:pPr>
        <w:tabs>
          <w:tab w:val="left" w:pos="5040"/>
        </w:tabs>
        <w:jc w:val="both"/>
        <w:rPr>
          <w:rFonts w:eastAsia="Times New Roman" w:cs="Arial"/>
        </w:rPr>
      </w:pPr>
    </w:p>
    <w:p w14:paraId="2211400A" w14:textId="77777777" w:rsidR="00793394" w:rsidRPr="00793394" w:rsidRDefault="00793394" w:rsidP="00793394">
      <w:pPr>
        <w:pBdr>
          <w:top w:val="single" w:sz="12" w:space="1" w:color="auto"/>
        </w:pBdr>
        <w:jc w:val="center"/>
        <w:rPr>
          <w:rFonts w:cs="Arial"/>
          <w:b/>
        </w:rPr>
      </w:pPr>
    </w:p>
    <w:p w14:paraId="14FD4CA4" w14:textId="77777777" w:rsidR="00793394" w:rsidRPr="000E7676" w:rsidRDefault="00793394" w:rsidP="00793394">
      <w:pPr>
        <w:jc w:val="center"/>
        <w:rPr>
          <w:rFonts w:cs="Arial"/>
          <w:b/>
          <w:smallCaps/>
          <w:sz w:val="28"/>
          <w:szCs w:val="28"/>
        </w:rPr>
      </w:pPr>
      <w:r w:rsidRPr="000E7676">
        <w:rPr>
          <w:rFonts w:cs="Arial"/>
          <w:b/>
          <w:smallCaps/>
          <w:sz w:val="28"/>
          <w:szCs w:val="28"/>
        </w:rPr>
        <w:t>Industrial Energy Users-Ohio’s</w:t>
      </w:r>
    </w:p>
    <w:p w14:paraId="5471D9FD" w14:textId="3A887BB3" w:rsidR="00793394" w:rsidRPr="000E7676" w:rsidRDefault="00793394" w:rsidP="00793394">
      <w:pPr>
        <w:jc w:val="center"/>
        <w:rPr>
          <w:rFonts w:cs="Arial"/>
          <w:b/>
          <w:smallCaps/>
          <w:sz w:val="28"/>
          <w:szCs w:val="28"/>
        </w:rPr>
      </w:pPr>
      <w:r w:rsidRPr="000E7676">
        <w:rPr>
          <w:rFonts w:cs="Arial"/>
          <w:b/>
          <w:smallCaps/>
          <w:sz w:val="28"/>
          <w:szCs w:val="28"/>
        </w:rPr>
        <w:t xml:space="preserve">Reply in Support of Motion to </w:t>
      </w:r>
      <w:r w:rsidRPr="00793394">
        <w:rPr>
          <w:rFonts w:cs="Arial"/>
          <w:b/>
          <w:smallCaps/>
          <w:sz w:val="28"/>
          <w:szCs w:val="28"/>
        </w:rPr>
        <w:t>Dismiss the</w:t>
      </w:r>
    </w:p>
    <w:p w14:paraId="2EC49168" w14:textId="77777777" w:rsidR="00793394" w:rsidRPr="000E7676" w:rsidRDefault="00793394" w:rsidP="00793394">
      <w:pPr>
        <w:jc w:val="center"/>
        <w:rPr>
          <w:rFonts w:cs="Arial"/>
          <w:b/>
          <w:smallCaps/>
          <w:sz w:val="28"/>
          <w:szCs w:val="28"/>
        </w:rPr>
      </w:pPr>
      <w:r w:rsidRPr="000E7676">
        <w:rPr>
          <w:rFonts w:cs="Arial"/>
          <w:b/>
          <w:smallCaps/>
          <w:sz w:val="28"/>
          <w:szCs w:val="28"/>
        </w:rPr>
        <w:t>Price Stabilization Rider</w:t>
      </w:r>
    </w:p>
    <w:p w14:paraId="66D5F6B9" w14:textId="77777777" w:rsidR="00793394" w:rsidRPr="00793394" w:rsidRDefault="00793394" w:rsidP="00793394">
      <w:pPr>
        <w:pBdr>
          <w:bottom w:val="single" w:sz="12" w:space="1" w:color="auto"/>
        </w:pBdr>
        <w:jc w:val="center"/>
        <w:rPr>
          <w:rFonts w:eastAsia="Times New Roman" w:cs="Arial"/>
          <w:b/>
          <w:smallCaps/>
          <w:u w:val="single"/>
        </w:rPr>
      </w:pPr>
    </w:p>
    <w:p w14:paraId="565D15DB" w14:textId="77777777" w:rsidR="00871327" w:rsidRDefault="00154184" w:rsidP="000E7676">
      <w:pPr>
        <w:pStyle w:val="Heading1"/>
      </w:pPr>
      <w:r>
        <w:t>INTRODUCTION</w:t>
      </w:r>
    </w:p>
    <w:p w14:paraId="77241A46" w14:textId="1014DB33" w:rsidR="00F34096" w:rsidRDefault="00871327" w:rsidP="000E756D">
      <w:pPr>
        <w:spacing w:line="480" w:lineRule="auto"/>
        <w:ind w:firstLine="720"/>
        <w:jc w:val="both"/>
      </w:pPr>
      <w:r>
        <w:t>On October 13, 2017</w:t>
      </w:r>
      <w:r w:rsidR="00216C9E">
        <w:t>,</w:t>
      </w:r>
      <w:r>
        <w:t xml:space="preserve"> Industrial Energy Users-Ohio </w:t>
      </w:r>
      <w:r w:rsidR="00AA359C">
        <w:t xml:space="preserve">(“IEU-Ohio”) </w:t>
      </w:r>
      <w:r>
        <w:t>moved to dismiss Duke Energy Ohio</w:t>
      </w:r>
      <w:r w:rsidR="00AA359C">
        <w:t>,</w:t>
      </w:r>
      <w:r>
        <w:t xml:space="preserve"> Inc.’s (“Duke”) Price Stabilization Rider (“PSR”) from its electric security plan (“ESP”) application because</w:t>
      </w:r>
      <w:r w:rsidR="005F05CB">
        <w:t xml:space="preserve"> Duke </w:t>
      </w:r>
      <w:r w:rsidR="00C75608">
        <w:t>can prove no set of facts</w:t>
      </w:r>
      <w:r w:rsidR="005F05CB">
        <w:t xml:space="preserve"> to support authorization of </w:t>
      </w:r>
      <w:r w:rsidR="000E7676">
        <w:t xml:space="preserve">the </w:t>
      </w:r>
      <w:r w:rsidR="005F05CB">
        <w:t>rider.</w:t>
      </w:r>
      <w:r w:rsidR="000E7676">
        <w:t xml:space="preserve"> </w:t>
      </w:r>
      <w:r>
        <w:t xml:space="preserve"> Duke failed to provide a detailed description of the PSR in its application and failed to support its request with testimony.  </w:t>
      </w:r>
      <w:r w:rsidR="00F34096">
        <w:t xml:space="preserve">Duke’s testimony </w:t>
      </w:r>
      <w:r w:rsidR="00140D72">
        <w:t xml:space="preserve">further </w:t>
      </w:r>
      <w:r w:rsidR="00F34096">
        <w:t>concedes that it does not intend to advance its proposal in this proceeding.    IEU-Ohio further demonstrated that the PSR could not be approved because it was unlawful for several reasons.</w:t>
      </w:r>
    </w:p>
    <w:p w14:paraId="3F10D6E8" w14:textId="0B29F95D" w:rsidR="00F34096" w:rsidRDefault="005F05CB" w:rsidP="000E756D">
      <w:pPr>
        <w:spacing w:line="480" w:lineRule="auto"/>
        <w:ind w:firstLine="720"/>
        <w:jc w:val="both"/>
      </w:pPr>
      <w:r>
        <w:lastRenderedPageBreak/>
        <w:t xml:space="preserve">In its memorandum opposing the </w:t>
      </w:r>
      <w:r w:rsidR="00E62824">
        <w:t>m</w:t>
      </w:r>
      <w:r>
        <w:t xml:space="preserve">otion to </w:t>
      </w:r>
      <w:r w:rsidR="00E62824">
        <w:t>d</w:t>
      </w:r>
      <w:r>
        <w:t xml:space="preserve">ismiss, </w:t>
      </w:r>
      <w:r w:rsidR="00F34096">
        <w:t xml:space="preserve">Duke </w:t>
      </w:r>
      <w:r>
        <w:t>argues</w:t>
      </w:r>
      <w:r w:rsidR="00F34096">
        <w:t xml:space="preserve"> that IEU-Ohio’s motion to dismiss was procedurally improper, that its PSR is different than an unlawful transition charge, and that the </w:t>
      </w:r>
      <w:r w:rsidR="004D67F4">
        <w:t xml:space="preserve">PSR was distinguishable from the charge authorized by the Maryland Public Service Commission </w:t>
      </w:r>
      <w:r w:rsidR="006435B6">
        <w:t xml:space="preserve">(“Maryland Commission”) </w:t>
      </w:r>
      <w:r w:rsidR="004D67F4">
        <w:t xml:space="preserve">that the </w:t>
      </w:r>
      <w:r w:rsidR="0085108F">
        <w:t>U.S.</w:t>
      </w:r>
      <w:r w:rsidR="00F34096">
        <w:t xml:space="preserve"> Supreme Court</w:t>
      </w:r>
      <w:r w:rsidR="004D67F4">
        <w:t xml:space="preserve"> found was preempted. </w:t>
      </w:r>
      <w:r w:rsidR="00F34096">
        <w:t xml:space="preserve">  Duke’s arguments are without merit.</w:t>
      </w:r>
    </w:p>
    <w:p w14:paraId="2827AD06" w14:textId="77777777" w:rsidR="00154184" w:rsidRPr="00154184" w:rsidRDefault="00154184" w:rsidP="000E7676">
      <w:pPr>
        <w:pStyle w:val="Heading1"/>
      </w:pPr>
      <w:r w:rsidRPr="00154184">
        <w:t>ARGUMENT</w:t>
      </w:r>
    </w:p>
    <w:p w14:paraId="5AC8D063" w14:textId="1E83B3D1" w:rsidR="00154184" w:rsidRDefault="00C75608" w:rsidP="000E7676">
      <w:pPr>
        <w:pStyle w:val="Heading2"/>
      </w:pPr>
      <w:r>
        <w:t>Dismissal of a Term of Duke’s ESP Application, the PSR, is Proper and Within the Commission’s Authority</w:t>
      </w:r>
    </w:p>
    <w:p w14:paraId="3C26AB3A" w14:textId="0F8FC6D3" w:rsidR="00023107" w:rsidRDefault="005F05CB" w:rsidP="001557B0">
      <w:pPr>
        <w:spacing w:line="480" w:lineRule="auto"/>
        <w:ind w:firstLine="720"/>
        <w:jc w:val="both"/>
      </w:pPr>
      <w:r w:rsidRPr="007713DC">
        <w:t xml:space="preserve">Because Duke’s request for authorization of the PSR fails to comply with the minimal requirements of </w:t>
      </w:r>
      <w:r w:rsidR="00AA359C">
        <w:t xml:space="preserve">Public Utilities </w:t>
      </w:r>
      <w:r w:rsidRPr="007713DC">
        <w:t xml:space="preserve">Commission </w:t>
      </w:r>
      <w:r w:rsidR="00AA359C">
        <w:t xml:space="preserve">of Ohio (“Commission”) </w:t>
      </w:r>
      <w:r w:rsidRPr="007713DC">
        <w:t>rules, the Commission may la</w:t>
      </w:r>
      <w:bookmarkStart w:id="2" w:name="_GoBack"/>
      <w:bookmarkEnd w:id="2"/>
      <w:r w:rsidRPr="007713DC">
        <w:t>wfully and summarily dismiss that request</w:t>
      </w:r>
      <w:r w:rsidR="00152635">
        <w:t>.</w:t>
      </w:r>
      <w:r w:rsidRPr="007713DC">
        <w:t xml:space="preserve">  </w:t>
      </w:r>
      <w:r w:rsidR="00940DC2">
        <w:t>As set forth in IEU-Ohio’s motion to dismiss, the Commission is not strictly bound by the Ohio Rules of Civil Procedure, but should follow them where appropriate.</w:t>
      </w:r>
      <w:r w:rsidR="00940DC2">
        <w:rPr>
          <w:rStyle w:val="FootnoteReference"/>
        </w:rPr>
        <w:footnoteReference w:id="1"/>
      </w:r>
      <w:r w:rsidR="00940DC2">
        <w:t xml:space="preserve">  Without citation, Duke claims that “the Commission’s past practices and its attention to justice and due process are far more important” than following the Ohio Rules of Civil Procedure and</w:t>
      </w:r>
      <w:r w:rsidR="0085108F">
        <w:t>,</w:t>
      </w:r>
      <w:r w:rsidR="00940DC2">
        <w:t xml:space="preserve"> </w:t>
      </w:r>
      <w:r w:rsidR="00140D72">
        <w:t>therefore, the Commission should not consider</w:t>
      </w:r>
      <w:r w:rsidR="00940DC2">
        <w:t xml:space="preserve"> a motion to dismiss a claim from an ESP application.</w:t>
      </w:r>
      <w:r w:rsidR="00940DC2">
        <w:rPr>
          <w:rStyle w:val="FootnoteReference"/>
        </w:rPr>
        <w:footnoteReference w:id="2"/>
      </w:r>
      <w:r w:rsidR="00940DC2">
        <w:t xml:space="preserve">  However, past Commission practice as well as attention to justice and due process weigh in support of the Commission considering and granting IEU-Ohio’s motion to dismiss. </w:t>
      </w:r>
    </w:p>
    <w:p w14:paraId="32839CF3" w14:textId="7741643F" w:rsidR="00D53A96" w:rsidRDefault="00D53A96" w:rsidP="001557B0">
      <w:pPr>
        <w:spacing w:line="480" w:lineRule="auto"/>
        <w:ind w:firstLine="720"/>
        <w:jc w:val="both"/>
      </w:pPr>
      <w:r>
        <w:t>Initially, the Commission has granted motions to dismiss in the past wit</w:t>
      </w:r>
      <w:r w:rsidR="00140D72">
        <w:t>hout hearing when an applicant</w:t>
      </w:r>
      <w:r>
        <w:t xml:space="preserve"> has sought relief that the Commission could not lawfully authorize.  In a 2009 case, the Commission granted a motion to dismiss filed by several intervenors of </w:t>
      </w:r>
      <w:r>
        <w:lastRenderedPageBreak/>
        <w:t xml:space="preserve">an </w:t>
      </w:r>
      <w:r w:rsidR="00AA359C">
        <w:t>electric distribution utility’s (“</w:t>
      </w:r>
      <w:r>
        <w:t>EDU</w:t>
      </w:r>
      <w:r w:rsidR="00AA359C">
        <w:t>”)</w:t>
      </w:r>
      <w:r>
        <w:t xml:space="preserve"> application for inclusion of certain projects in its energy efficiency and peak demand reduction (“EE/PDR”) compliance plan because the application demonstrated that the projects did not meet statutory requirements.</w:t>
      </w:r>
      <w:r>
        <w:rPr>
          <w:rStyle w:val="FootnoteReference"/>
        </w:rPr>
        <w:footnoteReference w:id="3"/>
      </w:r>
      <w:r>
        <w:t xml:space="preserve">  </w:t>
      </w:r>
    </w:p>
    <w:p w14:paraId="7E28D7B0" w14:textId="167C290A" w:rsidR="00D53A96" w:rsidRDefault="00D53A96" w:rsidP="001557B0">
      <w:pPr>
        <w:spacing w:line="480" w:lineRule="auto"/>
        <w:ind w:firstLine="720"/>
        <w:jc w:val="both"/>
      </w:pPr>
      <w:r>
        <w:t>In a 2011 case, the Commission granted a motion to dismiss a request by the Office of the Ohio Consumers’ Counsel (“OCC”) for a show cause order against AT&amp;T Ohio because an intervening change of law rendered the request for the show cause order moot.</w:t>
      </w:r>
      <w:r>
        <w:rPr>
          <w:rStyle w:val="FootnoteReference"/>
        </w:rPr>
        <w:footnoteReference w:id="4"/>
      </w:r>
      <w:r>
        <w:t xml:space="preserve">  </w:t>
      </w:r>
    </w:p>
    <w:p w14:paraId="7FE76ABA" w14:textId="343F32EF" w:rsidR="00D53A96" w:rsidRDefault="00D53A96" w:rsidP="001557B0">
      <w:pPr>
        <w:spacing w:line="480" w:lineRule="auto"/>
        <w:ind w:firstLine="720"/>
        <w:jc w:val="both"/>
      </w:pPr>
      <w:r>
        <w:t>In a 2004 case, the Commission granted a motion filed by a railroad track owner seeking dismissal of an application for an exemption of the requirement for school buses and carriers of hazardous materials to stop at a railroad crossing.  The dismissal was granted after the Commission Staff submitted a letter demonstrating that the crossing did not meet the statutory requirements for an exemption.</w:t>
      </w:r>
      <w:r>
        <w:rPr>
          <w:rStyle w:val="FootnoteReference"/>
        </w:rPr>
        <w:footnoteReference w:id="5"/>
      </w:r>
      <w:r>
        <w:t xml:space="preserve">  </w:t>
      </w:r>
    </w:p>
    <w:p w14:paraId="6BF66212" w14:textId="7791CD8B" w:rsidR="00D53A96" w:rsidRDefault="00D53A96" w:rsidP="001557B0">
      <w:pPr>
        <w:spacing w:line="480" w:lineRule="auto"/>
        <w:ind w:firstLine="720"/>
        <w:jc w:val="both"/>
      </w:pPr>
      <w:r>
        <w:t>In a 1989 case, the Commission granted a motion to dismiss an application seeking a boundary change for a telephone exchange because the application failed to state sufficient facts to support a finding that service was inadequate as required by the applicable statutes.</w:t>
      </w:r>
      <w:r>
        <w:rPr>
          <w:rStyle w:val="FootnoteReference"/>
        </w:rPr>
        <w:footnoteReference w:id="6"/>
      </w:r>
      <w:r>
        <w:t xml:space="preserve">  </w:t>
      </w:r>
    </w:p>
    <w:p w14:paraId="661D3A28" w14:textId="2F873BB8" w:rsidR="00D53A96" w:rsidRDefault="00D53A96" w:rsidP="001557B0">
      <w:pPr>
        <w:spacing w:line="480" w:lineRule="auto"/>
        <w:ind w:firstLine="720"/>
        <w:jc w:val="both"/>
      </w:pPr>
      <w:r>
        <w:lastRenderedPageBreak/>
        <w:t>This litany of cases demonstrates that the Commission has frequently and properly exercised its authority to dismiss an application without hearing when the application and supporting materials demonstrate that the Commission is without authority to grant the relief requested in the application.</w:t>
      </w:r>
      <w:r>
        <w:rPr>
          <w:vertAlign w:val="superscript"/>
        </w:rPr>
        <w:footnoteReference w:id="7"/>
      </w:r>
      <w:r>
        <w:rPr>
          <w:rFonts w:ascii="Times New Roman" w:hAnsi="Times New Roman" w:cs="Times New Roman"/>
        </w:rPr>
        <w:t xml:space="preserve">  </w:t>
      </w:r>
      <w:r w:rsidRPr="00D53A96">
        <w:t xml:space="preserve">IEU-Ohio made such a demonstration in its </w:t>
      </w:r>
      <w:r w:rsidR="00E62824">
        <w:t>m</w:t>
      </w:r>
      <w:r w:rsidRPr="00D53A96">
        <w:t xml:space="preserve">otion to </w:t>
      </w:r>
      <w:r w:rsidR="00E62824">
        <w:t>d</w:t>
      </w:r>
      <w:r w:rsidRPr="00D53A96">
        <w:t>ismiss.</w:t>
      </w:r>
    </w:p>
    <w:p w14:paraId="0A4D06D9" w14:textId="720ABCCF" w:rsidR="00D53A96" w:rsidRDefault="00D53A96" w:rsidP="001557B0">
      <w:pPr>
        <w:spacing w:line="480" w:lineRule="auto"/>
        <w:ind w:firstLine="720"/>
        <w:jc w:val="both"/>
      </w:pPr>
      <w:r>
        <w:t xml:space="preserve">Furthermore, attention to justice and due process, as Duke puts in, also supports a dismissal of its PSR request in this proceeding.  As set forth in IEU-Ohio’s </w:t>
      </w:r>
      <w:r w:rsidR="007713DC">
        <w:t>m</w:t>
      </w:r>
      <w:r>
        <w:t xml:space="preserve">otion to </w:t>
      </w:r>
      <w:r w:rsidR="007713DC">
        <w:t>d</w:t>
      </w:r>
      <w:r>
        <w:t>ismiss, Duke has failed to present the information required by the Commission, and such a failure prevents Duke from meeting its statutory burden of proof.  Furthermore, Duke acknowledges in its prefiled testimony that it does not intend to advance or litigate the PSR in this proceeding</w:t>
      </w:r>
      <w:r w:rsidR="001F2FE4">
        <w:t>.  As such, Duke has failed</w:t>
      </w:r>
      <w:r>
        <w:t xml:space="preserve"> to comply with the regulatory and statutory requirements to make a prima facie showing that it is entitled to relief</w:t>
      </w:r>
      <w:r w:rsidR="001F2FE4">
        <w:t>.  Because Duke has been provided every opportunity to present its case, and has simply elected to not do so in this proceeding, Duke has been provided due process and the interests of justice warrant a dismissal of the PSR to prevent intervening parties wasting resources addressing the PSR.</w:t>
      </w:r>
    </w:p>
    <w:p w14:paraId="480C5F0A" w14:textId="58F875BF" w:rsidR="001F2FE4" w:rsidRDefault="001F2FE4" w:rsidP="000E7676">
      <w:pPr>
        <w:pStyle w:val="Heading2"/>
      </w:pPr>
      <w:r>
        <w:t xml:space="preserve">The PSR is an </w:t>
      </w:r>
      <w:r w:rsidR="00152635">
        <w:t>Unlawful Transition Charge</w:t>
      </w:r>
    </w:p>
    <w:p w14:paraId="1DA6E2EB" w14:textId="22C59149" w:rsidR="005F05CB" w:rsidRDefault="001F2FE4" w:rsidP="001557B0">
      <w:pPr>
        <w:spacing w:line="480" w:lineRule="auto"/>
        <w:ind w:firstLine="720"/>
        <w:jc w:val="both"/>
      </w:pPr>
      <w:r>
        <w:t xml:space="preserve">As discussed in IEU-Ohio’s </w:t>
      </w:r>
      <w:r w:rsidR="007713DC">
        <w:t>m</w:t>
      </w:r>
      <w:r>
        <w:t xml:space="preserve">otion to </w:t>
      </w:r>
      <w:r w:rsidR="007713DC">
        <w:t>d</w:t>
      </w:r>
      <w:r>
        <w:t xml:space="preserve">ismiss, since the Commission authorized Duke’s placeholder PSR, the Ohio Supreme Court </w:t>
      </w:r>
      <w:r w:rsidR="009E12E1">
        <w:t>has held</w:t>
      </w:r>
      <w:r>
        <w:t xml:space="preserve"> that the prohibition on collecting transition revenue or its equivalent applies to charges authorized under the ESP </w:t>
      </w:r>
      <w:r>
        <w:lastRenderedPageBreak/>
        <w:t>statute.</w:t>
      </w:r>
      <w:r>
        <w:rPr>
          <w:rStyle w:val="FootnoteReference"/>
        </w:rPr>
        <w:footnoteReference w:id="8"/>
      </w:r>
      <w:r>
        <w:t xml:space="preserve">  Like the other charges the Ohio Supreme Court struck down</w:t>
      </w:r>
      <w:r w:rsidR="005D2B09">
        <w:t>, the PSR would allow Duke to collect transition revenue or its equivalent.</w:t>
      </w:r>
      <w:r w:rsidR="005D2B09">
        <w:rPr>
          <w:rStyle w:val="FootnoteReference"/>
        </w:rPr>
        <w:footnoteReference w:id="9"/>
      </w:r>
      <w:r w:rsidR="005D2B09">
        <w:t xml:space="preserve">  </w:t>
      </w:r>
      <w:r>
        <w:t xml:space="preserve"> </w:t>
      </w:r>
    </w:p>
    <w:p w14:paraId="265C1482" w14:textId="737DF21E" w:rsidR="001F2FE4" w:rsidRDefault="005D2B09" w:rsidP="001557B0">
      <w:pPr>
        <w:spacing w:line="480" w:lineRule="auto"/>
        <w:ind w:firstLine="720"/>
        <w:jc w:val="both"/>
      </w:pPr>
      <w:r>
        <w:t xml:space="preserve">Duke responds that the cases striking down transition charges for AEP-Ohio and </w:t>
      </w:r>
      <w:r w:rsidR="007713DC">
        <w:t>The Dayton Power and Light Company (“</w:t>
      </w:r>
      <w:r>
        <w:t>DP&amp;L</w:t>
      </w:r>
      <w:r w:rsidR="007713DC">
        <w:t>”)</w:t>
      </w:r>
      <w:r>
        <w:t xml:space="preserve"> are not relevant to its PSR</w:t>
      </w:r>
      <w:r w:rsidR="00140D72">
        <w:t xml:space="preserve"> and that the PSR is distinguishable from a transition charge</w:t>
      </w:r>
      <w:r>
        <w:t xml:space="preserve">.  Duke’s </w:t>
      </w:r>
      <w:r w:rsidR="00140D72">
        <w:t>argument is without merit.</w:t>
      </w:r>
    </w:p>
    <w:p w14:paraId="358B8F7A" w14:textId="74277DF6" w:rsidR="006E4F23" w:rsidRDefault="005D2B09" w:rsidP="001557B0">
      <w:pPr>
        <w:spacing w:line="480" w:lineRule="auto"/>
        <w:ind w:firstLine="720"/>
        <w:jc w:val="both"/>
      </w:pPr>
      <w:r>
        <w:t xml:space="preserve">Initially, Duke’s </w:t>
      </w:r>
      <w:r w:rsidR="005F05CB">
        <w:t>assertion that the AEP-Ohio and DP&amp;L cases are not relevant is not credible since Duke</w:t>
      </w:r>
      <w:r>
        <w:t xml:space="preserve"> relies on </w:t>
      </w:r>
      <w:r w:rsidR="005F05CB">
        <w:t xml:space="preserve">those </w:t>
      </w:r>
      <w:r>
        <w:t>cases</w:t>
      </w:r>
      <w:r w:rsidR="005F05CB">
        <w:t xml:space="preserve"> to support authorization of the PSR.</w:t>
      </w:r>
      <w:r>
        <w:t xml:space="preserve">  Duke’s application provides that its request that the PSR should be extended under R.C. 4928.143(B)(2)(d) is consistent with the Commission’s approval of nonbypassable charges for AEP-Ohio and DP&amp;L in their second ESPs.</w:t>
      </w:r>
      <w:r>
        <w:rPr>
          <w:rStyle w:val="FootnoteReference"/>
        </w:rPr>
        <w:footnoteReference w:id="10"/>
      </w:r>
      <w:r>
        <w:t xml:space="preserve">  </w:t>
      </w:r>
      <w:r w:rsidR="005F05CB">
        <w:t xml:space="preserve">In the appeals of each of those cases, the Supreme Court of Ohio reversed the Commission orders </w:t>
      </w:r>
      <w:r w:rsidR="00C75608">
        <w:t>authorizing</w:t>
      </w:r>
      <w:r w:rsidR="005F05CB">
        <w:t xml:space="preserve"> those charges. </w:t>
      </w:r>
      <w:r>
        <w:t xml:space="preserve">  </w:t>
      </w:r>
      <w:r w:rsidR="006E4F23">
        <w:t xml:space="preserve">As Duke acknowledges in its </w:t>
      </w:r>
      <w:r w:rsidR="00ED3FC8">
        <w:t>a</w:t>
      </w:r>
      <w:r w:rsidR="006E4F23">
        <w:t>pplication, these charges (now reversed by the Court) are relevant to the legality of Duke’s PSR.</w:t>
      </w:r>
    </w:p>
    <w:p w14:paraId="460C0367" w14:textId="2A183EC7" w:rsidR="005D2B09" w:rsidRDefault="006E4F23" w:rsidP="001557B0">
      <w:pPr>
        <w:spacing w:line="480" w:lineRule="auto"/>
        <w:ind w:firstLine="720"/>
        <w:jc w:val="both"/>
      </w:pPr>
      <w:r>
        <w:t>Furthermore, Duke’s claim that the PSR is somehow different than AEP-Ohio’s and DP&amp;L’s unlawful transition charges because the PSR is not a “lost-revenue recovery rider” is incorrect.  Just like AEP-Ohio’s and DP&amp;L’s charges, the PSR is designed to collect the revenue Duke cannot secure in the competitive mark</w:t>
      </w:r>
      <w:r w:rsidR="00140D72">
        <w:t>et.  The</w:t>
      </w:r>
      <w:r w:rsidR="000A413D">
        <w:t xml:space="preserve"> </w:t>
      </w:r>
      <w:r w:rsidR="00140D72">
        <w:t>nature of the PSR</w:t>
      </w:r>
      <w:r>
        <w:t xml:space="preserve"> is a calculation of the difference between </w:t>
      </w:r>
      <w:r w:rsidR="005F05CB">
        <w:t>Duke’s</w:t>
      </w:r>
      <w:r>
        <w:t xml:space="preserve"> costs under the Inter</w:t>
      </w:r>
      <w:r w:rsidR="00ED3FC8">
        <w:t>-</w:t>
      </w:r>
      <w:r>
        <w:t>Company Power Agreement (“ICPA”) and the wholesale market revenue.  When the PSR is a charge, by definition, it is collecting revenue that cannot be secure</w:t>
      </w:r>
      <w:r w:rsidR="005F05CB">
        <w:t>d</w:t>
      </w:r>
      <w:r>
        <w:t xml:space="preserve"> in the competitive market.</w:t>
      </w:r>
      <w:r w:rsidR="005D2B09">
        <w:t xml:space="preserve"> </w:t>
      </w:r>
      <w:r w:rsidR="00140D72">
        <w:t xml:space="preserve"> Although Duke tries to emphasize</w:t>
      </w:r>
      <w:r>
        <w:t xml:space="preserve"> the potential price stabilization benefits of the PSR, the </w:t>
      </w:r>
      <w:r>
        <w:lastRenderedPageBreak/>
        <w:t>Court has made clear when it rejected similar claims for AEP-Ohio and DP&amp;L that it is the true nature of the charge that is relevant</w:t>
      </w:r>
      <w:r w:rsidR="00140D72">
        <w:t xml:space="preserve"> to the consideration of whether a charge is a transition charge</w:t>
      </w:r>
      <w:r>
        <w:t>.</w:t>
      </w:r>
      <w:r>
        <w:rPr>
          <w:rStyle w:val="FootnoteReference"/>
        </w:rPr>
        <w:footnoteReference w:id="11"/>
      </w:r>
      <w:r>
        <w:t xml:space="preserve">  The true nature of the PSR is to collect trans</w:t>
      </w:r>
      <w:r w:rsidR="00DF6D8B">
        <w:t>ition revenue or its equivalent, which cannot otherwise be recovered in the competitive generation market.</w:t>
      </w:r>
    </w:p>
    <w:p w14:paraId="55EB5637" w14:textId="4ECA0FA8" w:rsidR="006E4F23" w:rsidRPr="00A433FF" w:rsidRDefault="00A433FF" w:rsidP="000E7676">
      <w:pPr>
        <w:pStyle w:val="Heading2"/>
      </w:pPr>
      <w:r>
        <w:t xml:space="preserve">The PSR is </w:t>
      </w:r>
      <w:r w:rsidR="00554C86">
        <w:t>N</w:t>
      </w:r>
      <w:r>
        <w:t xml:space="preserve">ot </w:t>
      </w:r>
      <w:r w:rsidR="006435B6">
        <w:t>D</w:t>
      </w:r>
      <w:r>
        <w:t xml:space="preserve">istinguishable from the </w:t>
      </w:r>
      <w:r w:rsidR="006435B6">
        <w:t>C</w:t>
      </w:r>
      <w:r>
        <w:t xml:space="preserve">harge the U.S. Supreme Court </w:t>
      </w:r>
      <w:r w:rsidR="006435B6">
        <w:t>F</w:t>
      </w:r>
      <w:r>
        <w:t xml:space="preserve">ound </w:t>
      </w:r>
      <w:r w:rsidR="006435B6">
        <w:t>P</w:t>
      </w:r>
      <w:r>
        <w:t>reempted</w:t>
      </w:r>
    </w:p>
    <w:p w14:paraId="74166D58" w14:textId="23D4493B" w:rsidR="00A433FF" w:rsidRDefault="00A433FF" w:rsidP="001557B0">
      <w:pPr>
        <w:spacing w:line="480" w:lineRule="auto"/>
        <w:ind w:firstLine="720"/>
        <w:jc w:val="both"/>
      </w:pPr>
      <w:r>
        <w:t xml:space="preserve">In </w:t>
      </w:r>
      <w:r>
        <w:rPr>
          <w:i/>
        </w:rPr>
        <w:t>Hughes v. Talen Energy Marketing LLC</w:t>
      </w:r>
      <w:r>
        <w:t xml:space="preserve">, 578 U.S. __ (2016), the </w:t>
      </w:r>
      <w:r w:rsidR="001557B0">
        <w:t xml:space="preserve">U.S. </w:t>
      </w:r>
      <w:r>
        <w:t xml:space="preserve">Supreme Court </w:t>
      </w:r>
      <w:r w:rsidR="00A33D0D">
        <w:t>held</w:t>
      </w:r>
      <w:r>
        <w:t xml:space="preserve"> that state authorized programs </w:t>
      </w:r>
      <w:r w:rsidR="00DF6D8B">
        <w:t>were preempted when the state program</w:t>
      </w:r>
      <w:r>
        <w:t xml:space="preserve"> set retail compensation t</w:t>
      </w:r>
      <w:r w:rsidR="00DF6D8B">
        <w:t>ethered to wholesale rates in a manner</w:t>
      </w:r>
      <w:r>
        <w:t xml:space="preserve"> designed to provide a different level of compensation than th</w:t>
      </w:r>
      <w:r w:rsidR="00DF6D8B">
        <w:t xml:space="preserve">at authorized under the federally-authorized wholesale </w:t>
      </w:r>
      <w:r>
        <w:t>rates.</w:t>
      </w:r>
      <w:r>
        <w:rPr>
          <w:rStyle w:val="FootnoteReference"/>
        </w:rPr>
        <w:footnoteReference w:id="12"/>
      </w:r>
      <w:r>
        <w:t xml:space="preserve">  Duke claims that this decision is distinguishable because Duke is not the generator and because the PSR does not modify the wholesale rate.  Duke’s </w:t>
      </w:r>
      <w:r w:rsidR="00A33D0D">
        <w:t>claims are</w:t>
      </w:r>
      <w:r>
        <w:t xml:space="preserve"> without merit.</w:t>
      </w:r>
    </w:p>
    <w:p w14:paraId="1B6DB1B9" w14:textId="6EAD0196" w:rsidR="00A433FF" w:rsidRDefault="00A33D0D" w:rsidP="001557B0">
      <w:pPr>
        <w:spacing w:line="480" w:lineRule="auto"/>
        <w:ind w:firstLine="720"/>
        <w:jc w:val="both"/>
      </w:pPr>
      <w:r>
        <w:t>In</w:t>
      </w:r>
      <w:r w:rsidR="00A433FF">
        <w:t xml:space="preserve"> </w:t>
      </w:r>
      <w:r w:rsidR="00A433FF">
        <w:rPr>
          <w:i/>
        </w:rPr>
        <w:t>Hughes</w:t>
      </w:r>
      <w:r w:rsidR="00F608D4">
        <w:t>,</w:t>
      </w:r>
      <w:r w:rsidR="00A433FF">
        <w:t xml:space="preserve"> the Maryland Commission </w:t>
      </w:r>
      <w:r w:rsidR="00F608D4">
        <w:t>guaranteed an independent generator that it would receive the pricing in the contract approved by the Maryland Commission.</w:t>
      </w:r>
      <w:r w:rsidR="00DF6D8B">
        <w:rPr>
          <w:rStyle w:val="FootnoteReference"/>
        </w:rPr>
        <w:footnoteReference w:id="13"/>
      </w:r>
      <w:r w:rsidR="00F608D4">
        <w:t xml:space="preserve">  The scheme further required the generator to bid into and clear in the wholesale market.</w:t>
      </w:r>
      <w:r w:rsidR="00DF6D8B">
        <w:rPr>
          <w:rStyle w:val="FootnoteReference"/>
        </w:rPr>
        <w:footnoteReference w:id="14"/>
      </w:r>
      <w:r w:rsidR="00F608D4">
        <w:t xml:space="preserve">  If the wholesale market revenue was less than the contract price, then the Maryland Commission required the regulated utility to pay the generator the differen</w:t>
      </w:r>
      <w:r>
        <w:t>ce</w:t>
      </w:r>
      <w:r w:rsidR="00F608D4">
        <w:t>.</w:t>
      </w:r>
      <w:r w:rsidR="00DF6D8B">
        <w:rPr>
          <w:rStyle w:val="FootnoteReference"/>
        </w:rPr>
        <w:footnoteReference w:id="15"/>
      </w:r>
      <w:r w:rsidR="00F608D4">
        <w:t xml:space="preserve">  If the wholesale market price was above the contract price, the generator was required to pay </w:t>
      </w:r>
      <w:r w:rsidR="00F608D4">
        <w:lastRenderedPageBreak/>
        <w:t>the difference to the regulated utility.</w:t>
      </w:r>
      <w:r w:rsidR="00DF6D8B">
        <w:rPr>
          <w:rStyle w:val="FootnoteReference"/>
        </w:rPr>
        <w:footnoteReference w:id="16"/>
      </w:r>
      <w:r w:rsidR="00F608D4">
        <w:t xml:space="preserve">  Any amounts paid by or to the regulated utility were charged to </w:t>
      </w:r>
      <w:r w:rsidR="00152635">
        <w:t xml:space="preserve">the </w:t>
      </w:r>
      <w:r w:rsidR="00F608D4">
        <w:t xml:space="preserve">utility’s customers on a nonbypassable basis.  </w:t>
      </w:r>
    </w:p>
    <w:p w14:paraId="5A47B749" w14:textId="7E22B719" w:rsidR="00F608D4" w:rsidRDefault="00182B21" w:rsidP="001557B0">
      <w:pPr>
        <w:spacing w:line="480" w:lineRule="auto"/>
        <w:ind w:firstLine="720"/>
        <w:jc w:val="both"/>
      </w:pPr>
      <w:r>
        <w:t>Just l</w:t>
      </w:r>
      <w:r w:rsidR="00F608D4">
        <w:t xml:space="preserve">ike the scheme at issue in </w:t>
      </w:r>
      <w:r w:rsidR="00F608D4">
        <w:rPr>
          <w:i/>
        </w:rPr>
        <w:t>Hughes</w:t>
      </w:r>
      <w:r w:rsidR="00F608D4">
        <w:t>, the regulated utility was not the actual generator.</w:t>
      </w:r>
      <w:r w:rsidR="007C03F1">
        <w:rPr>
          <w:rStyle w:val="FootnoteReference"/>
        </w:rPr>
        <w:footnoteReference w:id="17"/>
      </w:r>
      <w:r w:rsidR="00F608D4">
        <w:t xml:space="preserve">  Like the scheme at issue in </w:t>
      </w:r>
      <w:r w:rsidR="00F608D4">
        <w:rPr>
          <w:i/>
        </w:rPr>
        <w:t>Hughes</w:t>
      </w:r>
      <w:r w:rsidR="00F608D4">
        <w:t xml:space="preserve">, the difference between the contract “cost-based” price and the wholesale market price was </w:t>
      </w:r>
      <w:r>
        <w:t xml:space="preserve">to be </w:t>
      </w:r>
      <w:r w:rsidR="00F608D4">
        <w:t xml:space="preserve">charged to the utility and </w:t>
      </w:r>
      <w:r w:rsidR="00A33D0D">
        <w:t>passed through by the</w:t>
      </w:r>
      <w:r>
        <w:t xml:space="preserve"> regulated</w:t>
      </w:r>
      <w:r w:rsidR="00A33D0D">
        <w:t xml:space="preserve"> distribution utility to</w:t>
      </w:r>
      <w:r>
        <w:t xml:space="preserve"> its</w:t>
      </w:r>
      <w:r w:rsidR="00F608D4">
        <w:t xml:space="preserve"> customers on a nonbypassable basis.</w:t>
      </w:r>
      <w:r w:rsidR="007C03F1">
        <w:rPr>
          <w:rStyle w:val="FootnoteReference"/>
        </w:rPr>
        <w:footnoteReference w:id="18"/>
      </w:r>
      <w:r w:rsidR="00F608D4">
        <w:t xml:space="preserve">  </w:t>
      </w:r>
      <w:r w:rsidR="00D969E2">
        <w:t xml:space="preserve">These facts are not in dispute and </w:t>
      </w:r>
      <w:r w:rsidR="00A33D0D">
        <w:t xml:space="preserve">are wholly inconsistent with the claims made by Duke to support its argument that </w:t>
      </w:r>
      <w:r w:rsidR="00A33D0D" w:rsidRPr="000E7676">
        <w:rPr>
          <w:i/>
        </w:rPr>
        <w:t>Hughes</w:t>
      </w:r>
      <w:r w:rsidR="00A33D0D">
        <w:t xml:space="preserve"> is distinguishable.  </w:t>
      </w:r>
      <w:r w:rsidR="00D969E2">
        <w:t xml:space="preserve"> </w:t>
      </w:r>
      <w:r w:rsidR="00A33D0D">
        <w:t xml:space="preserve">Based on </w:t>
      </w:r>
      <w:r w:rsidR="00A33D0D" w:rsidRPr="000E7676">
        <w:rPr>
          <w:i/>
        </w:rPr>
        <w:t>Hughes</w:t>
      </w:r>
      <w:r w:rsidR="00A33D0D">
        <w:t>, t</w:t>
      </w:r>
      <w:r w:rsidR="00D969E2">
        <w:t xml:space="preserve">he Commission is preempted from authorizing Duke to include its </w:t>
      </w:r>
      <w:r w:rsidR="003B1D04">
        <w:t>Ohio Valley Electric Corporation (“</w:t>
      </w:r>
      <w:r w:rsidR="00D969E2">
        <w:t>OVEC</w:t>
      </w:r>
      <w:r w:rsidR="003B1D04">
        <w:t>”)</w:t>
      </w:r>
      <w:r w:rsidR="00D969E2">
        <w:t xml:space="preserve"> interest in the PSR.</w:t>
      </w:r>
      <w:r w:rsidR="00554C86">
        <w:t xml:space="preserve"> </w:t>
      </w:r>
      <w:r w:rsidR="00D969E2">
        <w:t xml:space="preserve"> </w:t>
      </w:r>
      <w:r w:rsidR="009D4293">
        <w:t>Accordingly, the request for authorization should be dismissed.</w:t>
      </w:r>
    </w:p>
    <w:p w14:paraId="0C4F4463" w14:textId="77777777" w:rsidR="00660627" w:rsidRDefault="00660627" w:rsidP="000E7676">
      <w:pPr>
        <w:pStyle w:val="Heading1"/>
      </w:pPr>
      <w:r>
        <w:t>Conclusion</w:t>
      </w:r>
    </w:p>
    <w:p w14:paraId="57FF4DC6" w14:textId="4B813C0B" w:rsidR="00660627" w:rsidRPr="00660627" w:rsidRDefault="00660627" w:rsidP="004F7168">
      <w:pPr>
        <w:spacing w:line="480" w:lineRule="auto"/>
        <w:ind w:firstLine="720"/>
        <w:jc w:val="both"/>
      </w:pPr>
      <w:r>
        <w:t xml:space="preserve">As demonstrated in IEU-Ohio’s </w:t>
      </w:r>
      <w:r w:rsidR="003B1D04">
        <w:t>m</w:t>
      </w:r>
      <w:r>
        <w:t xml:space="preserve">otion to </w:t>
      </w:r>
      <w:r w:rsidR="003B1D04">
        <w:t>d</w:t>
      </w:r>
      <w:r>
        <w:t xml:space="preserve">ismiss and herein, Duke’s request to extend the placeholder PSR should be dismissed.  </w:t>
      </w:r>
      <w:r w:rsidR="00E00495">
        <w:t xml:space="preserve">Based on the information presented in its application and testimony, or lack thereof, Duke can prove no set of facts to support the authorization of the extension of the PSR.  </w:t>
      </w:r>
      <w:r>
        <w:t xml:space="preserve">Moreover, since the Commission authorized the placeholder PSR for Duke in its prior ESP proceeding, the Ohio Supreme Court and U.S. Supreme Court have </w:t>
      </w:r>
      <w:r w:rsidR="009D4293">
        <w:t xml:space="preserve">held </w:t>
      </w:r>
      <w:r>
        <w:t xml:space="preserve">that charges like the PSR are unlawful transition charges and are preempted by federal laws and regulations.  </w:t>
      </w:r>
      <w:r w:rsidR="009D4293">
        <w:t xml:space="preserve">To prevent the waste of </w:t>
      </w:r>
      <w:r w:rsidR="009D4293">
        <w:lastRenderedPageBreak/>
        <w:t>Commission and customer resources on a request for authorization for which Duke offers no lawful justification, the Commission should grant IEU-Ohio’s motion to dismiss.</w:t>
      </w:r>
    </w:p>
    <w:p w14:paraId="094FF2BA" w14:textId="6B6166CA" w:rsidR="00793394" w:rsidRDefault="00793394" w:rsidP="00793394">
      <w:pPr>
        <w:tabs>
          <w:tab w:val="left" w:pos="4320"/>
          <w:tab w:val="right" w:pos="8640"/>
        </w:tabs>
        <w:ind w:left="4320"/>
        <w:rPr>
          <w:rFonts w:eastAsia="Times New Roman" w:cs="Arial"/>
        </w:rPr>
      </w:pPr>
      <w:r>
        <w:rPr>
          <w:rFonts w:eastAsia="Times New Roman" w:cs="Arial"/>
        </w:rPr>
        <w:t>Respectfully submitted,</w:t>
      </w:r>
    </w:p>
    <w:p w14:paraId="5B1F6D4F" w14:textId="77777777" w:rsidR="00793394" w:rsidRDefault="00793394" w:rsidP="00793394">
      <w:pPr>
        <w:tabs>
          <w:tab w:val="left" w:pos="4320"/>
          <w:tab w:val="right" w:pos="8640"/>
        </w:tabs>
        <w:ind w:left="4320"/>
        <w:rPr>
          <w:rFonts w:eastAsia="Times New Roman" w:cs="Arial"/>
        </w:rPr>
      </w:pPr>
    </w:p>
    <w:p w14:paraId="5FB16230" w14:textId="77777777" w:rsidR="00793394" w:rsidRDefault="00793394" w:rsidP="00793394">
      <w:pPr>
        <w:tabs>
          <w:tab w:val="left" w:pos="4320"/>
          <w:tab w:val="right" w:pos="8640"/>
        </w:tabs>
        <w:rPr>
          <w:rFonts w:eastAsia="Times New Roman" w:cs="Arial"/>
          <w:i/>
          <w:u w:val="single"/>
        </w:rPr>
      </w:pPr>
      <w:r>
        <w:rPr>
          <w:rFonts w:ascii="Times New Roman" w:eastAsia="Times New Roman" w:hAnsi="Times New Roman" w:cs="Arial"/>
          <w:i/>
        </w:rPr>
        <w:tab/>
      </w:r>
      <w:r>
        <w:rPr>
          <w:rFonts w:eastAsia="Times New Roman" w:cs="Arial"/>
          <w:i/>
          <w:u w:val="single"/>
        </w:rPr>
        <w:t>/s/ Matthew R. Pritchard</w:t>
      </w:r>
      <w:r>
        <w:rPr>
          <w:rFonts w:eastAsia="Times New Roman" w:cs="Arial"/>
          <w:i/>
          <w:u w:val="single"/>
        </w:rPr>
        <w:tab/>
      </w:r>
    </w:p>
    <w:p w14:paraId="3310BA42" w14:textId="77777777" w:rsidR="00793394" w:rsidRDefault="00793394" w:rsidP="00793394">
      <w:pPr>
        <w:widowControl w:val="0"/>
        <w:tabs>
          <w:tab w:val="left" w:pos="4320"/>
        </w:tabs>
        <w:ind w:left="4320"/>
        <w:rPr>
          <w:rFonts w:eastAsia="Calibri" w:cs="Arial"/>
        </w:rPr>
      </w:pPr>
      <w:r>
        <w:rPr>
          <w:rFonts w:eastAsia="Calibri" w:cs="Arial"/>
          <w:bCs/>
        </w:rPr>
        <w:t>Frank P. Darr (Reg. No. 0025469)</w:t>
      </w:r>
      <w:r>
        <w:rPr>
          <w:rFonts w:eastAsia="Calibri" w:cs="Arial"/>
        </w:rPr>
        <w:t xml:space="preserve"> </w:t>
      </w:r>
    </w:p>
    <w:p w14:paraId="23C64241" w14:textId="77777777" w:rsidR="00793394" w:rsidRDefault="00793394" w:rsidP="00793394">
      <w:pPr>
        <w:widowControl w:val="0"/>
        <w:tabs>
          <w:tab w:val="left" w:pos="4320"/>
        </w:tabs>
        <w:ind w:left="4320"/>
        <w:rPr>
          <w:rFonts w:eastAsia="Calibri" w:cs="Arial"/>
          <w:bCs/>
        </w:rPr>
      </w:pPr>
      <w:r>
        <w:rPr>
          <w:rFonts w:eastAsia="Calibri" w:cs="Arial"/>
        </w:rPr>
        <w:t>(Counsel of Record)</w:t>
      </w:r>
    </w:p>
    <w:p w14:paraId="07E88E02" w14:textId="77777777" w:rsidR="00793394" w:rsidRDefault="00793394" w:rsidP="00793394">
      <w:pPr>
        <w:widowControl w:val="0"/>
        <w:tabs>
          <w:tab w:val="left" w:pos="4320"/>
        </w:tabs>
        <w:ind w:left="4320"/>
        <w:rPr>
          <w:rFonts w:eastAsia="Calibri" w:cs="Arial"/>
          <w:b/>
          <w:bCs/>
        </w:rPr>
      </w:pPr>
      <w:r>
        <w:rPr>
          <w:rFonts w:eastAsia="Calibri" w:cs="Arial"/>
          <w:bCs/>
        </w:rPr>
        <w:t>Matthew R. Pritchard (Reg. No. 0088070)</w:t>
      </w:r>
    </w:p>
    <w:p w14:paraId="7F9CA6C2" w14:textId="77777777" w:rsidR="00793394" w:rsidRDefault="00793394" w:rsidP="00793394">
      <w:pPr>
        <w:widowControl w:val="0"/>
        <w:tabs>
          <w:tab w:val="left" w:pos="4320"/>
        </w:tabs>
        <w:ind w:left="4320"/>
        <w:rPr>
          <w:rFonts w:eastAsia="Calibri" w:cs="Arial"/>
          <w:b/>
          <w:bCs/>
          <w:smallCaps/>
        </w:rPr>
      </w:pPr>
      <w:r>
        <w:rPr>
          <w:rFonts w:eastAsia="Calibri" w:cs="Arial"/>
          <w:bCs/>
          <w:smallCaps/>
        </w:rPr>
        <w:t>McNees Wallace &amp; Nurick LLC</w:t>
      </w:r>
    </w:p>
    <w:p w14:paraId="37B65DFB" w14:textId="77777777" w:rsidR="00793394" w:rsidRDefault="00793394" w:rsidP="00793394">
      <w:pPr>
        <w:widowControl w:val="0"/>
        <w:tabs>
          <w:tab w:val="left" w:pos="4320"/>
        </w:tabs>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6A40499C" w14:textId="77777777" w:rsidR="00793394" w:rsidRDefault="00793394" w:rsidP="00793394">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3F54E74C" w14:textId="77777777" w:rsidR="00793394" w:rsidRDefault="00793394" w:rsidP="00793394">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373A3197" w14:textId="77777777" w:rsidR="00793394" w:rsidRDefault="00793394" w:rsidP="00793394">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Telecopier:  (614) 469-4653</w:t>
      </w:r>
    </w:p>
    <w:p w14:paraId="4E8D45AC" w14:textId="77777777" w:rsidR="00793394" w:rsidRDefault="00793394" w:rsidP="00793394">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1CB6ACD5" w14:textId="77777777" w:rsidR="00793394" w:rsidRDefault="00793394" w:rsidP="00793394">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27111696" w14:textId="77777777" w:rsidR="00793394" w:rsidRDefault="00793394" w:rsidP="00793394">
      <w:pPr>
        <w:tabs>
          <w:tab w:val="left" w:pos="-1440"/>
          <w:tab w:val="left" w:pos="-720"/>
          <w:tab w:val="left" w:pos="5040"/>
          <w:tab w:val="center" w:pos="7200"/>
        </w:tabs>
        <w:overflowPunct w:val="0"/>
        <w:autoSpaceDE w:val="0"/>
        <w:autoSpaceDN w:val="0"/>
        <w:adjustRightInd w:val="0"/>
        <w:ind w:left="4320"/>
        <w:rPr>
          <w:rFonts w:eastAsia="Calibri" w:cs="Arial"/>
          <w:b/>
          <w:smallCaps/>
        </w:rPr>
      </w:pPr>
    </w:p>
    <w:p w14:paraId="559C3C9A" w14:textId="77777777" w:rsidR="00793394" w:rsidRDefault="00793394" w:rsidP="00793394">
      <w:pPr>
        <w:ind w:left="4320" w:hanging="4320"/>
        <w:rPr>
          <w:rFonts w:eastAsia="Calibri" w:cs="Arial"/>
          <w:sz w:val="28"/>
          <w:u w:val="single"/>
        </w:rPr>
      </w:pPr>
      <w:r>
        <w:rPr>
          <w:rFonts w:eastAsia="Calibri" w:cs="Arial"/>
          <w:b/>
        </w:rPr>
        <w:tab/>
        <w:t>Attorneys for Industrial Energy Users-Ohio</w:t>
      </w:r>
    </w:p>
    <w:p w14:paraId="51086CB7" w14:textId="77777777" w:rsidR="00793394" w:rsidRDefault="00793394" w:rsidP="00793394">
      <w:pPr>
        <w:spacing w:line="480" w:lineRule="auto"/>
        <w:sectPr w:rsidR="00793394" w:rsidSect="0079339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3A13A033" w14:textId="77777777" w:rsidR="00793394" w:rsidRPr="00793394" w:rsidRDefault="00793394" w:rsidP="00793394">
      <w:pPr>
        <w:tabs>
          <w:tab w:val="left" w:pos="2160"/>
          <w:tab w:val="left" w:pos="2280"/>
        </w:tabs>
        <w:jc w:val="center"/>
        <w:rPr>
          <w:rFonts w:eastAsia="Times New Roman" w:cs="Arial"/>
          <w:b/>
          <w:smallCaps/>
          <w:sz w:val="28"/>
          <w:u w:val="single"/>
        </w:rPr>
      </w:pPr>
      <w:r w:rsidRPr="00793394">
        <w:rPr>
          <w:rFonts w:eastAsia="Times New Roman" w:cs="Arial"/>
          <w:b/>
          <w:smallCaps/>
          <w:sz w:val="28"/>
          <w:u w:val="single"/>
        </w:rPr>
        <w:lastRenderedPageBreak/>
        <w:t>Certificate of Service</w:t>
      </w:r>
    </w:p>
    <w:p w14:paraId="1DF589C3" w14:textId="77777777" w:rsidR="00793394" w:rsidRPr="00793394" w:rsidRDefault="00793394" w:rsidP="00793394">
      <w:pPr>
        <w:rPr>
          <w:rFonts w:eastAsia="Times New Roman" w:cs="Arial"/>
        </w:rPr>
      </w:pPr>
    </w:p>
    <w:p w14:paraId="6FB2D162" w14:textId="3DF78C5F" w:rsidR="00793394" w:rsidRPr="00793394" w:rsidRDefault="00793394" w:rsidP="00793394">
      <w:pPr>
        <w:spacing w:line="480" w:lineRule="auto"/>
        <w:ind w:firstLine="720"/>
        <w:jc w:val="both"/>
        <w:rPr>
          <w:rFonts w:eastAsia="Times New Roman" w:cs="Arial"/>
        </w:rPr>
      </w:pPr>
      <w:r w:rsidRPr="00793394">
        <w:rPr>
          <w:rFonts w:eastAsia="Times New Roman" w:cs="Arial"/>
        </w:rPr>
        <w:t>In accordance with Rule 4901-1-05, Ohio Administrative Code, the Commission’s e</w:t>
      </w:r>
      <w:r w:rsidRPr="00793394">
        <w:rPr>
          <w:rFonts w:eastAsia="Times New Roman" w:cs="Arial"/>
        </w:rPr>
        <w:noBreakHyphen/>
        <w:t xml:space="preserve">filing system will electronically serve notice of the filing of this document upon the following parties.  In addition, I hereby certify that a service copy of the foregoing </w:t>
      </w:r>
      <w:r w:rsidRPr="00793394">
        <w:rPr>
          <w:rFonts w:eastAsia="Times New Roman" w:cs="Arial"/>
          <w:i/>
        </w:rPr>
        <w:t>Industrial Energy Users-Ohio</w:t>
      </w:r>
      <w:r>
        <w:rPr>
          <w:rFonts w:eastAsia="Times New Roman" w:cs="Arial"/>
          <w:i/>
        </w:rPr>
        <w:t xml:space="preserve">’s Reply in Support of Motion to Dismiss the Price Stabilization Rider </w:t>
      </w:r>
      <w:r w:rsidRPr="00793394">
        <w:rPr>
          <w:rFonts w:eastAsia="Times New Roman" w:cs="Arial"/>
        </w:rPr>
        <w:t xml:space="preserve">was sent by, or on behalf of, the undersigned counsel for IEU-Ohio to the following parties of record this </w:t>
      </w:r>
      <w:r>
        <w:rPr>
          <w:rFonts w:eastAsia="Times New Roman" w:cs="Arial"/>
        </w:rPr>
        <w:t>23</w:t>
      </w:r>
      <w:r w:rsidRPr="00793394">
        <w:rPr>
          <w:rFonts w:eastAsia="Times New Roman" w:cs="Arial"/>
          <w:vertAlign w:val="superscript"/>
        </w:rPr>
        <w:t>rd</w:t>
      </w:r>
      <w:r>
        <w:rPr>
          <w:rFonts w:eastAsia="Times New Roman" w:cs="Arial"/>
        </w:rPr>
        <w:t xml:space="preserve"> </w:t>
      </w:r>
      <w:r w:rsidRPr="00793394">
        <w:rPr>
          <w:rFonts w:eastAsia="Times New Roman" w:cs="Arial"/>
        </w:rPr>
        <w:t xml:space="preserve">day of </w:t>
      </w:r>
      <w:r>
        <w:rPr>
          <w:rFonts w:eastAsia="Times New Roman" w:cs="Arial"/>
        </w:rPr>
        <w:t xml:space="preserve">October </w:t>
      </w:r>
      <w:r w:rsidRPr="00793394">
        <w:rPr>
          <w:rFonts w:eastAsia="Times New Roman" w:cs="Arial"/>
        </w:rPr>
        <w:t xml:space="preserve">2017, </w:t>
      </w:r>
      <w:r w:rsidRPr="00793394">
        <w:rPr>
          <w:rFonts w:eastAsia="Times New Roman" w:cs="Arial"/>
          <w:i/>
        </w:rPr>
        <w:t>via</w:t>
      </w:r>
      <w:r w:rsidRPr="00793394">
        <w:rPr>
          <w:rFonts w:eastAsia="Times New Roman" w:cs="Arial"/>
        </w:rPr>
        <w:t xml:space="preserve"> electronic transmission.</w:t>
      </w:r>
    </w:p>
    <w:p w14:paraId="3A178ABF" w14:textId="025CF703" w:rsidR="00793394" w:rsidRPr="00793394" w:rsidRDefault="00793394" w:rsidP="00793394">
      <w:pPr>
        <w:tabs>
          <w:tab w:val="left" w:pos="-1440"/>
          <w:tab w:val="left" w:pos="-720"/>
          <w:tab w:val="left" w:pos="5040"/>
          <w:tab w:val="center" w:pos="7200"/>
          <w:tab w:val="right" w:pos="9360"/>
        </w:tabs>
        <w:jc w:val="both"/>
        <w:rPr>
          <w:rFonts w:eastAsia="Calibri" w:cs="Arial"/>
          <w:i/>
          <w:u w:val="single"/>
        </w:rPr>
      </w:pPr>
      <w:r w:rsidRPr="00793394">
        <w:rPr>
          <w:rFonts w:eastAsia="Calibri" w:cs="Arial"/>
        </w:rPr>
        <w:tab/>
      </w:r>
      <w:r w:rsidRPr="00793394">
        <w:rPr>
          <w:rFonts w:eastAsia="Calibri" w:cs="Arial"/>
          <w:i/>
          <w:u w:val="single"/>
        </w:rPr>
        <w:t xml:space="preserve">/s/ </w:t>
      </w:r>
      <w:r>
        <w:rPr>
          <w:rFonts w:eastAsia="Calibri" w:cs="Arial"/>
          <w:i/>
          <w:u w:val="single"/>
        </w:rPr>
        <w:t>Matthew R. Pritchard</w:t>
      </w:r>
      <w:r w:rsidRPr="00793394">
        <w:rPr>
          <w:rFonts w:eastAsia="Calibri" w:cs="Arial"/>
          <w:i/>
          <w:u w:val="single"/>
        </w:rPr>
        <w:tab/>
      </w:r>
    </w:p>
    <w:p w14:paraId="34329BD4" w14:textId="204B37DC" w:rsidR="00793394" w:rsidRDefault="00793394" w:rsidP="00793394">
      <w:pPr>
        <w:tabs>
          <w:tab w:val="left" w:pos="-1440"/>
          <w:tab w:val="left" w:pos="-720"/>
          <w:tab w:val="left" w:pos="5040"/>
          <w:tab w:val="center" w:pos="7200"/>
          <w:tab w:val="right" w:pos="9360"/>
        </w:tabs>
        <w:jc w:val="center"/>
        <w:rPr>
          <w:rFonts w:eastAsia="Calibri" w:cs="Arial"/>
        </w:rPr>
      </w:pPr>
      <w:r w:rsidRPr="00793394">
        <w:rPr>
          <w:rFonts w:eastAsia="Calibri" w:cs="Arial"/>
        </w:rPr>
        <w:tab/>
      </w:r>
      <w:r>
        <w:rPr>
          <w:rFonts w:eastAsia="Calibri" w:cs="Arial"/>
        </w:rPr>
        <w:t>Matthew R. Pritchard</w:t>
      </w:r>
    </w:p>
    <w:p w14:paraId="1490D0B6" w14:textId="6E519D8A" w:rsidR="00793394" w:rsidRDefault="00793394" w:rsidP="00793394">
      <w:pPr>
        <w:tabs>
          <w:tab w:val="left" w:pos="-1440"/>
          <w:tab w:val="left" w:pos="-720"/>
          <w:tab w:val="left" w:pos="5040"/>
          <w:tab w:val="center" w:pos="7200"/>
        </w:tabs>
        <w:jc w:val="both"/>
        <w:rPr>
          <w:rFonts w:eastAsia="Calibri" w:cs="Arial"/>
        </w:rPr>
      </w:pPr>
    </w:p>
    <w:p w14:paraId="6A650F74" w14:textId="77777777" w:rsidR="00793394" w:rsidRDefault="00793394" w:rsidP="00793394">
      <w:pPr>
        <w:rPr>
          <w:rFonts w:eastAsia="Times New Roman" w:cs="Arial"/>
          <w:color w:val="000000"/>
          <w:sz w:val="20"/>
          <w:szCs w:val="20"/>
        </w:rPr>
        <w:sectPr w:rsidR="00793394" w:rsidSect="00793394">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pPr>
    </w:p>
    <w:p w14:paraId="43601A00" w14:textId="15E76D9E"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Amy B. Spiller (Reg. No. 0047277)</w:t>
      </w:r>
    </w:p>
    <w:p w14:paraId="58D258F3" w14:textId="77777777" w:rsidR="00793394" w:rsidRPr="00793394" w:rsidRDefault="00793394" w:rsidP="00793394">
      <w:pPr>
        <w:rPr>
          <w:rFonts w:eastAsia="Calibri" w:cs="Arial"/>
          <w:color w:val="000000"/>
          <w:sz w:val="20"/>
          <w:szCs w:val="20"/>
        </w:rPr>
      </w:pPr>
      <w:r w:rsidRPr="00793394">
        <w:rPr>
          <w:rFonts w:eastAsia="Times New Roman" w:cs="Arial"/>
          <w:color w:val="000000"/>
          <w:sz w:val="20"/>
          <w:szCs w:val="20"/>
        </w:rPr>
        <w:t>(Counsel of Record)</w:t>
      </w:r>
    </w:p>
    <w:p w14:paraId="18AB522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Deputy General Counsel</w:t>
      </w:r>
    </w:p>
    <w:p w14:paraId="7F7B368C"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Jeanne W. Kingery (Reg. No. 0012172)</w:t>
      </w:r>
    </w:p>
    <w:p w14:paraId="34E88249"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Elizabeth H. Watts (Reg. No. 0031092)</w:t>
      </w:r>
    </w:p>
    <w:p w14:paraId="56DAF3E0"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Rocco </w:t>
      </w:r>
      <w:proofErr w:type="spellStart"/>
      <w:r w:rsidRPr="00793394">
        <w:rPr>
          <w:rFonts w:eastAsia="Times New Roman" w:cs="Arial"/>
          <w:color w:val="000000"/>
          <w:sz w:val="20"/>
          <w:szCs w:val="20"/>
        </w:rPr>
        <w:t>D’Ascenzo</w:t>
      </w:r>
      <w:proofErr w:type="spellEnd"/>
      <w:r w:rsidRPr="00793394">
        <w:rPr>
          <w:rFonts w:eastAsia="Times New Roman" w:cs="Arial"/>
          <w:color w:val="000000"/>
          <w:sz w:val="20"/>
          <w:szCs w:val="20"/>
        </w:rPr>
        <w:t xml:space="preserve"> (Reg. No. 0077651)</w:t>
      </w:r>
    </w:p>
    <w:p w14:paraId="28CAAB8C"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Associate General Counsel</w:t>
      </w:r>
    </w:p>
    <w:p w14:paraId="0223E52B"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139 East Fourth Street, 1303-Main</w:t>
      </w:r>
    </w:p>
    <w:p w14:paraId="361B44CA"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PO Box 961</w:t>
      </w:r>
    </w:p>
    <w:p w14:paraId="4F2ACCA1"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Cincinnati, OH  45201-0960</w:t>
      </w:r>
    </w:p>
    <w:p w14:paraId="37F925C3"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Amy.spiller@duke-energy.com</w:t>
      </w:r>
    </w:p>
    <w:p w14:paraId="6C2A8B8B"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Jeanne.kingery@duke-energy.com</w:t>
      </w:r>
    </w:p>
    <w:p w14:paraId="37384E4E"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Elizabeth.watts@duke-energy.com</w:t>
      </w:r>
    </w:p>
    <w:p w14:paraId="0620D51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Rocco.d’ascenzo@duke-energy.com</w:t>
      </w:r>
    </w:p>
    <w:p w14:paraId="349B8329" w14:textId="77777777" w:rsidR="00793394" w:rsidRPr="00793394" w:rsidRDefault="00793394" w:rsidP="00793394">
      <w:pPr>
        <w:rPr>
          <w:rFonts w:eastAsia="Times New Roman" w:cs="Arial"/>
          <w:color w:val="000000"/>
          <w:sz w:val="20"/>
          <w:szCs w:val="20"/>
        </w:rPr>
      </w:pPr>
    </w:p>
    <w:p w14:paraId="4D039163"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Duke Energy Ohio, Inc.</w:t>
      </w:r>
    </w:p>
    <w:p w14:paraId="1CED6679" w14:textId="77777777" w:rsidR="00793394" w:rsidRPr="00793394" w:rsidRDefault="00793394" w:rsidP="00793394">
      <w:pPr>
        <w:rPr>
          <w:rFonts w:eastAsia="Times New Roman" w:cs="Arial"/>
          <w:color w:val="000000"/>
          <w:sz w:val="20"/>
          <w:szCs w:val="20"/>
        </w:rPr>
      </w:pPr>
    </w:p>
    <w:p w14:paraId="5A80EBD3"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Michael L. Kurtz (Reg. No. 0033350)</w:t>
      </w:r>
    </w:p>
    <w:p w14:paraId="1EE3DC84"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Jody Kyler Cohn (Reg. No. 0085402)</w:t>
      </w:r>
    </w:p>
    <w:p w14:paraId="268F65C8"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Boehm, Kurtz &amp; Lowry</w:t>
      </w:r>
    </w:p>
    <w:p w14:paraId="66407B7A"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36 East Seventh Street, Suite 1510</w:t>
      </w:r>
    </w:p>
    <w:p w14:paraId="52CDDEA5"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Cincinnati, OH  45202</w:t>
      </w:r>
    </w:p>
    <w:p w14:paraId="3EE34C4A"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mkurtz@BKLlawfirm.com</w:t>
      </w:r>
    </w:p>
    <w:p w14:paraId="30F27F63"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jkylercohn@BKLlawfirm.com</w:t>
      </w:r>
    </w:p>
    <w:p w14:paraId="620DBDE6" w14:textId="77777777" w:rsidR="00793394" w:rsidRPr="00793394" w:rsidRDefault="00793394" w:rsidP="00793394">
      <w:pPr>
        <w:rPr>
          <w:rFonts w:eastAsia="Times New Roman" w:cs="Arial"/>
          <w:color w:val="000000"/>
          <w:sz w:val="20"/>
          <w:szCs w:val="20"/>
        </w:rPr>
      </w:pPr>
    </w:p>
    <w:p w14:paraId="443AFE97"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the Ohio Energy Group</w:t>
      </w:r>
    </w:p>
    <w:p w14:paraId="2645BF1F" w14:textId="77777777" w:rsidR="00793394" w:rsidRPr="00793394" w:rsidRDefault="00793394" w:rsidP="00793394">
      <w:pPr>
        <w:rPr>
          <w:rFonts w:eastAsia="Times New Roman" w:cs="Arial"/>
          <w:b/>
          <w:smallCaps/>
          <w:color w:val="000000"/>
          <w:sz w:val="20"/>
          <w:szCs w:val="20"/>
        </w:rPr>
      </w:pPr>
    </w:p>
    <w:p w14:paraId="5CC1E10D"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br w:type="column"/>
      </w:r>
      <w:r w:rsidRPr="00793394">
        <w:rPr>
          <w:rFonts w:eastAsia="Times New Roman" w:cs="Arial"/>
          <w:color w:val="000000"/>
          <w:sz w:val="20"/>
          <w:szCs w:val="20"/>
        </w:rPr>
        <w:t>BRUCE WESTON (Reg. No. 0016973)</w:t>
      </w:r>
    </w:p>
    <w:p w14:paraId="14E392EE"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OHIO CONSUMERS’ COUNSEL</w:t>
      </w:r>
    </w:p>
    <w:p w14:paraId="79887AD1" w14:textId="77777777" w:rsidR="00793394" w:rsidRPr="00793394" w:rsidRDefault="00793394" w:rsidP="00793394">
      <w:pPr>
        <w:rPr>
          <w:rFonts w:eastAsia="Times New Roman" w:cs="Arial"/>
          <w:color w:val="000000"/>
          <w:sz w:val="20"/>
          <w:szCs w:val="20"/>
        </w:rPr>
      </w:pPr>
    </w:p>
    <w:p w14:paraId="03DC934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William J. Michael (Reg. No. 0070921)</w:t>
      </w:r>
    </w:p>
    <w:p w14:paraId="400A94E9"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(Counsel of Record)</w:t>
      </w:r>
    </w:p>
    <w:p w14:paraId="70FF7620"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Kevin Moore (Reg. No. 0089228)</w:t>
      </w:r>
    </w:p>
    <w:p w14:paraId="13638E68"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Assistant Consumers’ Counsel</w:t>
      </w:r>
    </w:p>
    <w:p w14:paraId="6D5AEB18"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Office of the Ohio Consumers’ Counsel</w:t>
      </w:r>
    </w:p>
    <w:p w14:paraId="53F9E43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10 West Broad Street, Suite 1800</w:t>
      </w:r>
    </w:p>
    <w:p w14:paraId="34B4EC6C"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43215-3485</w:t>
      </w:r>
    </w:p>
    <w:p w14:paraId="1BDEA7EE"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William.michael@occ.ohio.gov</w:t>
      </w:r>
    </w:p>
    <w:p w14:paraId="47DD0DE2" w14:textId="4C4BABAA"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Kevin.moore@occ.ohio.gov</w:t>
      </w:r>
    </w:p>
    <w:p w14:paraId="066A6854" w14:textId="77777777" w:rsidR="00793394" w:rsidRPr="00793394" w:rsidRDefault="00793394" w:rsidP="00793394">
      <w:pPr>
        <w:rPr>
          <w:rFonts w:eastAsia="Times New Roman" w:cs="Arial"/>
          <w:color w:val="000000"/>
          <w:sz w:val="20"/>
          <w:szCs w:val="20"/>
        </w:rPr>
      </w:pPr>
    </w:p>
    <w:p w14:paraId="3B310E19"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Dane Stinson (Reg. No. 0019101)</w:t>
      </w:r>
    </w:p>
    <w:p w14:paraId="63F695AB"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Bricker &amp; </w:t>
      </w:r>
      <w:proofErr w:type="spellStart"/>
      <w:r w:rsidRPr="00793394">
        <w:rPr>
          <w:rFonts w:eastAsia="Times New Roman" w:cs="Arial"/>
          <w:color w:val="000000"/>
          <w:sz w:val="20"/>
          <w:szCs w:val="20"/>
        </w:rPr>
        <w:t>Eckler</w:t>
      </w:r>
      <w:proofErr w:type="spellEnd"/>
      <w:r w:rsidRPr="00793394">
        <w:rPr>
          <w:rFonts w:eastAsia="Times New Roman" w:cs="Arial"/>
          <w:color w:val="000000"/>
          <w:sz w:val="20"/>
          <w:szCs w:val="20"/>
        </w:rPr>
        <w:t xml:space="preserve"> LLP</w:t>
      </w:r>
    </w:p>
    <w:p w14:paraId="05D8B0FE"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100 South Third Street</w:t>
      </w:r>
    </w:p>
    <w:p w14:paraId="650ABB04"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67B571E0"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dstinson@bricker.com</w:t>
      </w:r>
    </w:p>
    <w:p w14:paraId="36DE8E05" w14:textId="77777777" w:rsidR="00793394" w:rsidRPr="00793394" w:rsidRDefault="00793394" w:rsidP="00793394">
      <w:pPr>
        <w:rPr>
          <w:rFonts w:eastAsia="Times New Roman" w:cs="Arial"/>
          <w:color w:val="000000"/>
          <w:sz w:val="20"/>
          <w:szCs w:val="20"/>
        </w:rPr>
      </w:pPr>
    </w:p>
    <w:p w14:paraId="12FB2206"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the Office of the Ohio Consumers’ Counsel</w:t>
      </w:r>
    </w:p>
    <w:p w14:paraId="4754E93E" w14:textId="77777777" w:rsidR="00793394" w:rsidRPr="00793394" w:rsidRDefault="00793394" w:rsidP="00793394">
      <w:pPr>
        <w:rPr>
          <w:rFonts w:eastAsia="Times New Roman" w:cs="Arial"/>
          <w:color w:val="000000"/>
          <w:sz w:val="20"/>
          <w:szCs w:val="20"/>
        </w:rPr>
      </w:pPr>
    </w:p>
    <w:p w14:paraId="1F84B7AF"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Kimberly W. </w:t>
      </w:r>
      <w:proofErr w:type="spellStart"/>
      <w:r w:rsidRPr="00793394">
        <w:rPr>
          <w:rFonts w:eastAsia="Times New Roman" w:cs="Arial"/>
          <w:color w:val="000000"/>
          <w:sz w:val="20"/>
          <w:szCs w:val="20"/>
        </w:rPr>
        <w:t>Bojko</w:t>
      </w:r>
      <w:proofErr w:type="spellEnd"/>
      <w:r w:rsidRPr="00793394">
        <w:rPr>
          <w:rFonts w:eastAsia="Times New Roman" w:cs="Arial"/>
          <w:color w:val="000000"/>
          <w:sz w:val="20"/>
          <w:szCs w:val="20"/>
        </w:rPr>
        <w:t xml:space="preserve"> (Reg. No. 0069402)</w:t>
      </w:r>
    </w:p>
    <w:p w14:paraId="418764FA"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(Counsel of Record)</w:t>
      </w:r>
    </w:p>
    <w:p w14:paraId="0239B1B3"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James D. </w:t>
      </w:r>
      <w:proofErr w:type="spellStart"/>
      <w:r w:rsidRPr="00793394">
        <w:rPr>
          <w:rFonts w:eastAsia="Times New Roman" w:cs="Arial"/>
          <w:color w:val="000000"/>
          <w:sz w:val="20"/>
          <w:szCs w:val="20"/>
        </w:rPr>
        <w:t>Perko</w:t>
      </w:r>
      <w:proofErr w:type="spellEnd"/>
      <w:r w:rsidRPr="00793394">
        <w:rPr>
          <w:rFonts w:eastAsia="Times New Roman" w:cs="Arial"/>
          <w:color w:val="000000"/>
          <w:sz w:val="20"/>
          <w:szCs w:val="20"/>
        </w:rPr>
        <w:t>, Jr. (Reg. No. 0093312)</w:t>
      </w:r>
    </w:p>
    <w:p w14:paraId="7A62E28F"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Carpenter </w:t>
      </w:r>
      <w:proofErr w:type="spellStart"/>
      <w:r w:rsidRPr="00793394">
        <w:rPr>
          <w:rFonts w:eastAsia="Times New Roman" w:cs="Arial"/>
          <w:color w:val="000000"/>
          <w:sz w:val="20"/>
          <w:szCs w:val="20"/>
        </w:rPr>
        <w:t>Lipps</w:t>
      </w:r>
      <w:proofErr w:type="spellEnd"/>
      <w:r w:rsidRPr="00793394">
        <w:rPr>
          <w:rFonts w:eastAsia="Times New Roman" w:cs="Arial"/>
          <w:color w:val="000000"/>
          <w:sz w:val="20"/>
          <w:szCs w:val="20"/>
        </w:rPr>
        <w:t xml:space="preserve"> &amp; Leland LLP</w:t>
      </w:r>
    </w:p>
    <w:p w14:paraId="3E9A938B"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280 Plaza, Suite 1300</w:t>
      </w:r>
    </w:p>
    <w:p w14:paraId="4B1B152F"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280 North High Street</w:t>
      </w:r>
    </w:p>
    <w:p w14:paraId="6908962C"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0975F79F"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Bojko@carpenterlipps.com</w:t>
      </w:r>
    </w:p>
    <w:p w14:paraId="0DA935E1"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Perko@carpenterlipps.com</w:t>
      </w:r>
    </w:p>
    <w:p w14:paraId="2F84A52C" w14:textId="77777777" w:rsidR="00793394" w:rsidRPr="00793394" w:rsidRDefault="00793394" w:rsidP="00793394">
      <w:pPr>
        <w:rPr>
          <w:rFonts w:eastAsia="Times New Roman" w:cs="Arial"/>
          <w:color w:val="000000"/>
          <w:sz w:val="20"/>
          <w:szCs w:val="20"/>
        </w:rPr>
      </w:pPr>
    </w:p>
    <w:p w14:paraId="0EC157D0"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the Ohio Manufacturers’ Association Energy Group</w:t>
      </w:r>
    </w:p>
    <w:p w14:paraId="2A527D56" w14:textId="77777777" w:rsidR="00793394" w:rsidRPr="00793394" w:rsidRDefault="00793394" w:rsidP="00793394">
      <w:pPr>
        <w:rPr>
          <w:rFonts w:eastAsia="Times New Roman" w:cs="Arial"/>
          <w:color w:val="000000"/>
          <w:sz w:val="20"/>
          <w:szCs w:val="20"/>
        </w:rPr>
      </w:pPr>
    </w:p>
    <w:p w14:paraId="399F1D9D"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br w:type="column"/>
      </w:r>
      <w:r w:rsidRPr="00793394">
        <w:rPr>
          <w:rFonts w:eastAsia="Times New Roman" w:cs="Arial"/>
          <w:color w:val="000000"/>
          <w:sz w:val="20"/>
          <w:szCs w:val="20"/>
        </w:rPr>
        <w:lastRenderedPageBreak/>
        <w:t>Colleen L. Mooney (Reg. No. 0015668)</w:t>
      </w:r>
    </w:p>
    <w:p w14:paraId="283FF3EB"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Ohio Partners for Affordable Energy</w:t>
      </w:r>
    </w:p>
    <w:p w14:paraId="387D36B8"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P.O. Box 12451</w:t>
      </w:r>
    </w:p>
    <w:p w14:paraId="36A8FB19"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43212-2451</w:t>
      </w:r>
    </w:p>
    <w:p w14:paraId="0BB5C826" w14:textId="02ED560B"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cmooney@ohiopartners.org</w:t>
      </w:r>
    </w:p>
    <w:p w14:paraId="57CC1A04" w14:textId="77777777" w:rsidR="00793394" w:rsidRPr="00793394" w:rsidRDefault="00793394" w:rsidP="00793394">
      <w:pPr>
        <w:rPr>
          <w:rFonts w:eastAsia="Times New Roman" w:cs="Arial"/>
          <w:color w:val="000000"/>
          <w:sz w:val="20"/>
          <w:szCs w:val="20"/>
        </w:rPr>
      </w:pPr>
    </w:p>
    <w:p w14:paraId="4C0EFED8"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the Ohio Partners for Affordable Energy</w:t>
      </w:r>
    </w:p>
    <w:p w14:paraId="765373D1" w14:textId="77777777" w:rsidR="00793394" w:rsidRPr="00793394" w:rsidRDefault="00793394" w:rsidP="00793394">
      <w:pPr>
        <w:rPr>
          <w:rFonts w:eastAsia="Times New Roman" w:cs="Arial"/>
          <w:b/>
          <w:smallCaps/>
          <w:color w:val="000000"/>
          <w:sz w:val="20"/>
          <w:szCs w:val="20"/>
        </w:rPr>
      </w:pPr>
    </w:p>
    <w:p w14:paraId="7A8F0079"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Madeline Fleisher (Reg. No. 0091862)</w:t>
      </w:r>
    </w:p>
    <w:p w14:paraId="5B12235B"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Environmental Law &amp; Policy Center</w:t>
      </w:r>
    </w:p>
    <w:p w14:paraId="61E34E92"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21 W. Broad St., Suite 500</w:t>
      </w:r>
    </w:p>
    <w:p w14:paraId="684A222F"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Columbus, OH  43215</w:t>
      </w:r>
    </w:p>
    <w:p w14:paraId="7F0E5B88"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mfleisher@elpc.org</w:t>
      </w:r>
    </w:p>
    <w:p w14:paraId="64DA7746"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p>
    <w:p w14:paraId="2C1EB6D6" w14:textId="77777777" w:rsidR="00793394" w:rsidRPr="00793394" w:rsidRDefault="00793394" w:rsidP="00793394">
      <w:pPr>
        <w:overflowPunct w:val="0"/>
        <w:autoSpaceDE w:val="0"/>
        <w:autoSpaceDN w:val="0"/>
        <w:adjustRightInd w:val="0"/>
        <w:jc w:val="both"/>
        <w:textAlignment w:val="baseline"/>
        <w:rPr>
          <w:rFonts w:ascii="Arial Bold" w:eastAsia="Times New Roman" w:hAnsi="Arial Bold" w:cs="Arial"/>
          <w:b/>
          <w:bCs/>
          <w:smallCaps/>
          <w:sz w:val="20"/>
          <w:szCs w:val="20"/>
        </w:rPr>
      </w:pPr>
      <w:r w:rsidRPr="00793394">
        <w:rPr>
          <w:rFonts w:ascii="Arial Bold" w:eastAsia="Times New Roman" w:hAnsi="Arial Bold" w:cs="Arial"/>
          <w:b/>
          <w:bCs/>
          <w:smallCaps/>
          <w:sz w:val="20"/>
          <w:szCs w:val="20"/>
        </w:rPr>
        <w:t>Counsel for Environmental Law &amp; Policy Center (ELPC)</w:t>
      </w:r>
    </w:p>
    <w:p w14:paraId="3158F3A1" w14:textId="77777777" w:rsidR="00793394" w:rsidRPr="00793394" w:rsidRDefault="00793394" w:rsidP="00793394">
      <w:pPr>
        <w:rPr>
          <w:rFonts w:eastAsia="Times New Roman" w:cs="Arial"/>
          <w:b/>
          <w:smallCaps/>
          <w:color w:val="000000"/>
          <w:sz w:val="20"/>
          <w:szCs w:val="20"/>
        </w:rPr>
      </w:pPr>
    </w:p>
    <w:p w14:paraId="3C8730B2"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Carrie M. Harris (Reg. No. 0096138)</w:t>
      </w:r>
    </w:p>
    <w:p w14:paraId="2963E1E6"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proofErr w:type="spellStart"/>
      <w:r w:rsidRPr="00793394">
        <w:rPr>
          <w:rFonts w:eastAsia="Times New Roman" w:cs="Arial"/>
          <w:bCs/>
          <w:sz w:val="20"/>
          <w:szCs w:val="20"/>
        </w:rPr>
        <w:t>Spilman</w:t>
      </w:r>
      <w:proofErr w:type="spellEnd"/>
      <w:r w:rsidRPr="00793394">
        <w:rPr>
          <w:rFonts w:eastAsia="Times New Roman" w:cs="Arial"/>
          <w:bCs/>
          <w:sz w:val="20"/>
          <w:szCs w:val="20"/>
        </w:rPr>
        <w:t xml:space="preserve"> Thomas &amp; Battle, PLLC</w:t>
      </w:r>
    </w:p>
    <w:p w14:paraId="77DE0819"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110 Oakwood Drive, Suite 500</w:t>
      </w:r>
    </w:p>
    <w:p w14:paraId="1BE9953B"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r w:rsidRPr="00793394">
        <w:rPr>
          <w:rFonts w:eastAsia="Times New Roman" w:cs="Arial"/>
          <w:bCs/>
          <w:sz w:val="20"/>
          <w:szCs w:val="20"/>
        </w:rPr>
        <w:t>Winston-Salem, NC  27130</w:t>
      </w:r>
    </w:p>
    <w:p w14:paraId="6B0EAC82" w14:textId="40E8BD0B"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color w:val="000000"/>
          <w:sz w:val="20"/>
          <w:szCs w:val="20"/>
        </w:rPr>
        <w:t>charris@spilmanlaw.com</w:t>
      </w:r>
    </w:p>
    <w:p w14:paraId="2CFCDA49"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p>
    <w:p w14:paraId="7B4EDB16"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Derrick Price Williamson</w:t>
      </w:r>
    </w:p>
    <w:p w14:paraId="1B37E084"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proofErr w:type="spellStart"/>
      <w:r w:rsidRPr="00793394">
        <w:rPr>
          <w:rFonts w:eastAsia="Times New Roman" w:cs="Arial"/>
          <w:bCs/>
          <w:color w:val="000000"/>
          <w:sz w:val="20"/>
          <w:szCs w:val="20"/>
        </w:rPr>
        <w:t>Spilman</w:t>
      </w:r>
      <w:proofErr w:type="spellEnd"/>
      <w:r w:rsidRPr="00793394">
        <w:rPr>
          <w:rFonts w:eastAsia="Times New Roman" w:cs="Arial"/>
          <w:bCs/>
          <w:color w:val="000000"/>
          <w:sz w:val="20"/>
          <w:szCs w:val="20"/>
        </w:rPr>
        <w:t xml:space="preserve"> Thomas &amp; Battle, PLLC</w:t>
      </w:r>
    </w:p>
    <w:p w14:paraId="49ACF5CE"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1100 Bent Creek Blvd., Suite 101</w:t>
      </w:r>
    </w:p>
    <w:p w14:paraId="0B5EAF1D"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Mechanicsburg, PA  17050</w:t>
      </w:r>
    </w:p>
    <w:p w14:paraId="4A70A5C1" w14:textId="6370CCD6"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color w:val="000000"/>
          <w:sz w:val="20"/>
          <w:szCs w:val="20"/>
        </w:rPr>
        <w:t>dwilliamson@spilmanlaw.com</w:t>
      </w:r>
    </w:p>
    <w:p w14:paraId="5E93BC1F"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p>
    <w:p w14:paraId="64A4D763"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 xml:space="preserve">Lara R. </w:t>
      </w:r>
      <w:proofErr w:type="spellStart"/>
      <w:r w:rsidRPr="00793394">
        <w:rPr>
          <w:rFonts w:eastAsia="Times New Roman" w:cs="Arial"/>
          <w:bCs/>
          <w:color w:val="000000"/>
          <w:sz w:val="20"/>
          <w:szCs w:val="20"/>
        </w:rPr>
        <w:t>Brandfass</w:t>
      </w:r>
      <w:proofErr w:type="spellEnd"/>
    </w:p>
    <w:p w14:paraId="22E7E0E9"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proofErr w:type="spellStart"/>
      <w:r w:rsidRPr="00793394">
        <w:rPr>
          <w:rFonts w:eastAsia="Times New Roman" w:cs="Arial"/>
          <w:bCs/>
          <w:color w:val="000000"/>
          <w:sz w:val="20"/>
          <w:szCs w:val="20"/>
        </w:rPr>
        <w:t>Spilman</w:t>
      </w:r>
      <w:proofErr w:type="spellEnd"/>
      <w:r w:rsidRPr="00793394">
        <w:rPr>
          <w:rFonts w:eastAsia="Times New Roman" w:cs="Arial"/>
          <w:bCs/>
          <w:color w:val="000000"/>
          <w:sz w:val="20"/>
          <w:szCs w:val="20"/>
        </w:rPr>
        <w:t xml:space="preserve"> Thomas &amp; Battle, PLLC</w:t>
      </w:r>
    </w:p>
    <w:p w14:paraId="34AC0C5C"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300 Kanawha Boulevard, East</w:t>
      </w:r>
    </w:p>
    <w:p w14:paraId="4762E45D"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P.O. Box 273</w:t>
      </w:r>
    </w:p>
    <w:p w14:paraId="37DF8D71"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Charleston, WV  25321-0273</w:t>
      </w:r>
    </w:p>
    <w:p w14:paraId="1641F0BC" w14:textId="77777777" w:rsidR="00793394" w:rsidRPr="00793394" w:rsidRDefault="00793394" w:rsidP="00793394">
      <w:pPr>
        <w:overflowPunct w:val="0"/>
        <w:autoSpaceDE w:val="0"/>
        <w:autoSpaceDN w:val="0"/>
        <w:adjustRightInd w:val="0"/>
        <w:jc w:val="both"/>
        <w:textAlignment w:val="baseline"/>
        <w:rPr>
          <w:rFonts w:eastAsia="Times New Roman" w:cs="Arial"/>
          <w:bCs/>
          <w:color w:val="000000"/>
          <w:sz w:val="20"/>
          <w:szCs w:val="20"/>
        </w:rPr>
      </w:pPr>
      <w:r w:rsidRPr="00793394">
        <w:rPr>
          <w:rFonts w:eastAsia="Times New Roman" w:cs="Arial"/>
          <w:bCs/>
          <w:color w:val="000000"/>
          <w:sz w:val="20"/>
          <w:szCs w:val="20"/>
        </w:rPr>
        <w:t>lbrandfass@spilmanlaw.com</w:t>
      </w:r>
    </w:p>
    <w:p w14:paraId="7ABD171D" w14:textId="77777777" w:rsidR="00793394" w:rsidRPr="00793394" w:rsidRDefault="00793394" w:rsidP="00793394">
      <w:pPr>
        <w:overflowPunct w:val="0"/>
        <w:autoSpaceDE w:val="0"/>
        <w:autoSpaceDN w:val="0"/>
        <w:adjustRightInd w:val="0"/>
        <w:jc w:val="both"/>
        <w:textAlignment w:val="baseline"/>
        <w:rPr>
          <w:rFonts w:eastAsia="Times New Roman" w:cs="Arial"/>
          <w:bCs/>
          <w:sz w:val="20"/>
          <w:szCs w:val="20"/>
        </w:rPr>
      </w:pPr>
    </w:p>
    <w:p w14:paraId="432CA3ED" w14:textId="77777777" w:rsidR="00793394" w:rsidRPr="00793394" w:rsidRDefault="00793394" w:rsidP="00793394">
      <w:pPr>
        <w:overflowPunct w:val="0"/>
        <w:autoSpaceDE w:val="0"/>
        <w:autoSpaceDN w:val="0"/>
        <w:adjustRightInd w:val="0"/>
        <w:jc w:val="both"/>
        <w:textAlignment w:val="baseline"/>
        <w:rPr>
          <w:rFonts w:ascii="Arial Bold" w:eastAsia="Times New Roman" w:hAnsi="Arial Bold" w:cs="Arial"/>
          <w:b/>
          <w:bCs/>
          <w:smallCaps/>
          <w:sz w:val="20"/>
          <w:szCs w:val="20"/>
        </w:rPr>
      </w:pPr>
      <w:r w:rsidRPr="00793394">
        <w:rPr>
          <w:rFonts w:ascii="Arial Bold" w:eastAsia="Times New Roman" w:hAnsi="Arial Bold" w:cs="Arial"/>
          <w:b/>
          <w:bCs/>
          <w:smallCaps/>
          <w:sz w:val="20"/>
          <w:szCs w:val="20"/>
        </w:rPr>
        <w:t>Counsel for Wal-Mart Stores East, LP and Sam’s East, Inc.</w:t>
      </w:r>
    </w:p>
    <w:p w14:paraId="2299A69F" w14:textId="77777777" w:rsidR="00793394" w:rsidRPr="00793394" w:rsidRDefault="00793394" w:rsidP="00793394">
      <w:pPr>
        <w:rPr>
          <w:rFonts w:eastAsia="Times New Roman" w:cs="Arial"/>
          <w:b/>
          <w:smallCaps/>
          <w:color w:val="000000"/>
          <w:sz w:val="20"/>
          <w:szCs w:val="20"/>
        </w:rPr>
      </w:pPr>
    </w:p>
    <w:p w14:paraId="7B99EE5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Angela Paul Whitfield (Reg. No. 0068774)</w:t>
      </w:r>
    </w:p>
    <w:p w14:paraId="5B594B82"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Carpenter </w:t>
      </w:r>
      <w:proofErr w:type="spellStart"/>
      <w:r w:rsidRPr="00793394">
        <w:rPr>
          <w:rFonts w:eastAsia="Times New Roman" w:cs="Arial"/>
          <w:color w:val="000000"/>
          <w:sz w:val="20"/>
          <w:szCs w:val="20"/>
        </w:rPr>
        <w:t>Lipps</w:t>
      </w:r>
      <w:proofErr w:type="spellEnd"/>
      <w:r w:rsidRPr="00793394">
        <w:rPr>
          <w:rFonts w:eastAsia="Times New Roman" w:cs="Arial"/>
          <w:color w:val="000000"/>
          <w:sz w:val="20"/>
          <w:szCs w:val="20"/>
        </w:rPr>
        <w:t xml:space="preserve"> &amp; Leland LLP</w:t>
      </w:r>
    </w:p>
    <w:p w14:paraId="0BB29438"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280 North High Street, Suite 1300</w:t>
      </w:r>
    </w:p>
    <w:p w14:paraId="5CECE19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06972F02"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paul@carpenterlipps.com</w:t>
      </w:r>
    </w:p>
    <w:p w14:paraId="70F30856" w14:textId="77777777" w:rsidR="00793394" w:rsidRPr="00793394" w:rsidRDefault="00793394" w:rsidP="00793394">
      <w:pPr>
        <w:rPr>
          <w:rFonts w:eastAsia="Times New Roman" w:cs="Arial"/>
          <w:i/>
          <w:iCs/>
          <w:color w:val="000000"/>
          <w:sz w:val="20"/>
          <w:szCs w:val="20"/>
        </w:rPr>
      </w:pPr>
    </w:p>
    <w:p w14:paraId="3693B651" w14:textId="77777777" w:rsidR="00793394" w:rsidRPr="00793394" w:rsidRDefault="00793394" w:rsidP="00793394">
      <w:pPr>
        <w:rPr>
          <w:rFonts w:eastAsia="Times New Roman" w:cs="Arial"/>
          <w:smallCaps/>
          <w:color w:val="000000"/>
          <w:sz w:val="20"/>
          <w:szCs w:val="20"/>
        </w:rPr>
      </w:pPr>
      <w:r w:rsidRPr="00793394">
        <w:rPr>
          <w:rFonts w:eastAsia="Times New Roman" w:cs="Arial"/>
          <w:b/>
          <w:iCs/>
          <w:smallCaps/>
          <w:color w:val="000000"/>
          <w:sz w:val="20"/>
          <w:szCs w:val="20"/>
        </w:rPr>
        <w:t>Counsel for The Kroger Co</w:t>
      </w:r>
      <w:r w:rsidRPr="00793394">
        <w:rPr>
          <w:rFonts w:eastAsia="Times New Roman" w:cs="Arial"/>
          <w:iCs/>
          <w:smallCaps/>
          <w:color w:val="000000"/>
          <w:sz w:val="20"/>
          <w:szCs w:val="20"/>
        </w:rPr>
        <w:t>.</w:t>
      </w:r>
    </w:p>
    <w:p w14:paraId="5BC60AA1"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br w:type="column"/>
      </w:r>
      <w:r w:rsidRPr="00793394">
        <w:rPr>
          <w:rFonts w:eastAsia="Times New Roman" w:cs="Arial"/>
          <w:color w:val="000000"/>
          <w:sz w:val="20"/>
          <w:szCs w:val="20"/>
        </w:rPr>
        <w:t>Richard L. Sites (Reg. No. 0019887)</w:t>
      </w:r>
    </w:p>
    <w:p w14:paraId="5792AE16"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 xml:space="preserve">Regulatory Counsel </w:t>
      </w:r>
    </w:p>
    <w:p w14:paraId="312D558A"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Ohio Hospital Association</w:t>
      </w:r>
    </w:p>
    <w:p w14:paraId="333756EA"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155 East Broad Street, 3</w:t>
      </w:r>
      <w:r w:rsidRPr="00793394">
        <w:rPr>
          <w:rFonts w:eastAsia="Times New Roman" w:cs="Arial"/>
          <w:color w:val="000000"/>
          <w:sz w:val="20"/>
          <w:szCs w:val="20"/>
          <w:vertAlign w:val="superscript"/>
        </w:rPr>
        <w:t>rd</w:t>
      </w:r>
      <w:r w:rsidRPr="00793394">
        <w:rPr>
          <w:rFonts w:eastAsia="Times New Roman" w:cs="Arial"/>
          <w:color w:val="000000"/>
          <w:sz w:val="20"/>
          <w:szCs w:val="20"/>
        </w:rPr>
        <w:t xml:space="preserve"> Floor</w:t>
      </w:r>
    </w:p>
    <w:p w14:paraId="6D0E294B"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Columbus, OH  43215-3620</w:t>
      </w:r>
    </w:p>
    <w:p w14:paraId="53531DBA"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Rick.sites@ohiohospitals.org</w:t>
      </w:r>
    </w:p>
    <w:p w14:paraId="36A84F99" w14:textId="77777777" w:rsidR="00793394" w:rsidRPr="00793394" w:rsidRDefault="00793394" w:rsidP="00793394">
      <w:pPr>
        <w:tabs>
          <w:tab w:val="left" w:pos="2160"/>
          <w:tab w:val="left" w:pos="2280"/>
        </w:tabs>
        <w:rPr>
          <w:rFonts w:eastAsia="Times New Roman" w:cs="Arial"/>
          <w:color w:val="000000"/>
          <w:sz w:val="20"/>
          <w:szCs w:val="20"/>
        </w:rPr>
      </w:pPr>
    </w:p>
    <w:p w14:paraId="7202710D"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Dylan F. Borchers (Reg. No. 0090690)</w:t>
      </w:r>
    </w:p>
    <w:p w14:paraId="62B80312"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 xml:space="preserve">Devin D. </w:t>
      </w:r>
      <w:proofErr w:type="spellStart"/>
      <w:r w:rsidRPr="00793394">
        <w:rPr>
          <w:rFonts w:eastAsia="Times New Roman" w:cs="Arial"/>
          <w:color w:val="000000"/>
          <w:sz w:val="20"/>
          <w:szCs w:val="20"/>
        </w:rPr>
        <w:t>Parram</w:t>
      </w:r>
      <w:proofErr w:type="spellEnd"/>
      <w:r w:rsidRPr="00793394">
        <w:rPr>
          <w:rFonts w:eastAsia="Times New Roman" w:cs="Arial"/>
          <w:color w:val="000000"/>
          <w:sz w:val="20"/>
          <w:szCs w:val="20"/>
        </w:rPr>
        <w:t xml:space="preserve">  (Reg. No. 0082507)</w:t>
      </w:r>
    </w:p>
    <w:p w14:paraId="485AB36A"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 xml:space="preserve">Bricker &amp; </w:t>
      </w:r>
      <w:proofErr w:type="spellStart"/>
      <w:r w:rsidRPr="00793394">
        <w:rPr>
          <w:rFonts w:eastAsia="Times New Roman" w:cs="Arial"/>
          <w:color w:val="000000"/>
          <w:sz w:val="20"/>
          <w:szCs w:val="20"/>
        </w:rPr>
        <w:t>Eckler</w:t>
      </w:r>
      <w:proofErr w:type="spellEnd"/>
      <w:r w:rsidRPr="00793394">
        <w:rPr>
          <w:rFonts w:eastAsia="Times New Roman" w:cs="Arial"/>
          <w:color w:val="000000"/>
          <w:sz w:val="20"/>
          <w:szCs w:val="20"/>
        </w:rPr>
        <w:t xml:space="preserve"> LLP</w:t>
      </w:r>
    </w:p>
    <w:p w14:paraId="5AA1B63C"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100 South Third Street</w:t>
      </w:r>
    </w:p>
    <w:p w14:paraId="08D8F5A4"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Columbus, OH  43215-4291</w:t>
      </w:r>
    </w:p>
    <w:p w14:paraId="06543FE4"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dborchers@bricker.com</w:t>
      </w:r>
    </w:p>
    <w:p w14:paraId="6923C0DA"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dparram@bricker.com</w:t>
      </w:r>
    </w:p>
    <w:p w14:paraId="1BAA5FC9" w14:textId="77777777" w:rsidR="00793394" w:rsidRPr="00793394" w:rsidRDefault="00793394" w:rsidP="00793394">
      <w:pPr>
        <w:tabs>
          <w:tab w:val="left" w:pos="2160"/>
          <w:tab w:val="left" w:pos="2280"/>
        </w:tabs>
        <w:rPr>
          <w:rFonts w:eastAsia="Times New Roman" w:cs="Arial"/>
          <w:color w:val="000000"/>
          <w:sz w:val="20"/>
          <w:szCs w:val="20"/>
        </w:rPr>
      </w:pPr>
    </w:p>
    <w:p w14:paraId="72296DC5" w14:textId="77777777" w:rsidR="00793394" w:rsidRPr="00793394" w:rsidRDefault="00793394" w:rsidP="00793394">
      <w:pPr>
        <w:tabs>
          <w:tab w:val="left" w:pos="2160"/>
          <w:tab w:val="left" w:pos="2280"/>
        </w:tabs>
        <w:rPr>
          <w:rFonts w:ascii="Arial Bold" w:eastAsia="Times New Roman" w:hAnsi="Arial Bold" w:cs="Arial"/>
          <w:b/>
          <w:smallCaps/>
          <w:color w:val="000000"/>
          <w:sz w:val="20"/>
          <w:szCs w:val="20"/>
        </w:rPr>
      </w:pPr>
      <w:r w:rsidRPr="00793394">
        <w:rPr>
          <w:rFonts w:ascii="Arial Bold" w:eastAsia="Times New Roman" w:hAnsi="Arial Bold" w:cs="Arial"/>
          <w:b/>
          <w:smallCaps/>
          <w:color w:val="000000"/>
          <w:sz w:val="20"/>
          <w:szCs w:val="20"/>
        </w:rPr>
        <w:t>Counsel for The Ohio Hospital Association</w:t>
      </w:r>
    </w:p>
    <w:p w14:paraId="3A6510E8" w14:textId="77777777" w:rsidR="00793394" w:rsidRPr="00793394" w:rsidRDefault="00793394" w:rsidP="00793394">
      <w:pPr>
        <w:tabs>
          <w:tab w:val="left" w:pos="2160"/>
          <w:tab w:val="left" w:pos="2280"/>
        </w:tabs>
        <w:rPr>
          <w:rFonts w:eastAsia="Times New Roman" w:cs="Arial"/>
          <w:color w:val="000000"/>
          <w:sz w:val="20"/>
          <w:szCs w:val="20"/>
        </w:rPr>
      </w:pPr>
    </w:p>
    <w:p w14:paraId="52467550"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 xml:space="preserve">Elyse </w:t>
      </w:r>
      <w:proofErr w:type="spellStart"/>
      <w:r w:rsidRPr="00793394">
        <w:rPr>
          <w:rFonts w:eastAsia="Times New Roman" w:cs="Arial"/>
          <w:color w:val="000000"/>
          <w:sz w:val="20"/>
          <w:szCs w:val="20"/>
        </w:rPr>
        <w:t>Akhbari</w:t>
      </w:r>
      <w:proofErr w:type="spellEnd"/>
    </w:p>
    <w:p w14:paraId="740F6084"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(Counsel of Record)</w:t>
      </w:r>
    </w:p>
    <w:p w14:paraId="0CF69BB9"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 xml:space="preserve">Bricker &amp; </w:t>
      </w:r>
      <w:proofErr w:type="spellStart"/>
      <w:r w:rsidRPr="00793394">
        <w:rPr>
          <w:rFonts w:eastAsia="Times New Roman" w:cs="Arial"/>
          <w:color w:val="000000"/>
          <w:sz w:val="20"/>
          <w:szCs w:val="20"/>
        </w:rPr>
        <w:t>Eckler</w:t>
      </w:r>
      <w:proofErr w:type="spellEnd"/>
      <w:r w:rsidRPr="00793394">
        <w:rPr>
          <w:rFonts w:eastAsia="Times New Roman" w:cs="Arial"/>
          <w:color w:val="000000"/>
          <w:sz w:val="20"/>
          <w:szCs w:val="20"/>
        </w:rPr>
        <w:t xml:space="preserve"> LLP</w:t>
      </w:r>
    </w:p>
    <w:p w14:paraId="6BC0ADBE"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100 South Third Street</w:t>
      </w:r>
    </w:p>
    <w:p w14:paraId="59D6524D"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Columbus, OH  43215-4291</w:t>
      </w:r>
    </w:p>
    <w:p w14:paraId="0E202C9E"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eakhbari@bricker.com</w:t>
      </w:r>
    </w:p>
    <w:p w14:paraId="035C584F" w14:textId="77777777" w:rsidR="00793394" w:rsidRPr="00793394" w:rsidRDefault="00793394" w:rsidP="00793394">
      <w:pPr>
        <w:tabs>
          <w:tab w:val="left" w:pos="2160"/>
          <w:tab w:val="left" w:pos="2280"/>
        </w:tabs>
        <w:rPr>
          <w:rFonts w:eastAsia="Times New Roman" w:cs="Arial"/>
          <w:color w:val="000000"/>
          <w:sz w:val="20"/>
          <w:szCs w:val="20"/>
        </w:rPr>
      </w:pPr>
    </w:p>
    <w:p w14:paraId="08B476F0" w14:textId="77777777" w:rsidR="00793394" w:rsidRPr="00793394" w:rsidRDefault="00793394" w:rsidP="00793394">
      <w:pPr>
        <w:tabs>
          <w:tab w:val="left" w:pos="2160"/>
          <w:tab w:val="left" w:pos="2280"/>
        </w:tabs>
        <w:rPr>
          <w:rFonts w:ascii="Arial Bold" w:eastAsia="Times New Roman" w:hAnsi="Arial Bold" w:cs="Arial"/>
          <w:b/>
          <w:smallCaps/>
          <w:color w:val="000000"/>
          <w:sz w:val="20"/>
          <w:szCs w:val="20"/>
        </w:rPr>
      </w:pPr>
      <w:r w:rsidRPr="00793394">
        <w:rPr>
          <w:rFonts w:ascii="Arial Bold" w:eastAsia="Times New Roman" w:hAnsi="Arial Bold" w:cs="Arial"/>
          <w:b/>
          <w:smallCaps/>
          <w:color w:val="000000"/>
          <w:sz w:val="20"/>
          <w:szCs w:val="20"/>
        </w:rPr>
        <w:t>Counsel for People Working Cooperatively, Inc.</w:t>
      </w:r>
    </w:p>
    <w:p w14:paraId="0E439D6C" w14:textId="77777777" w:rsidR="00793394" w:rsidRPr="00793394" w:rsidRDefault="00793394" w:rsidP="00793394">
      <w:pPr>
        <w:tabs>
          <w:tab w:val="left" w:pos="2160"/>
          <w:tab w:val="left" w:pos="2280"/>
        </w:tabs>
        <w:rPr>
          <w:rFonts w:eastAsia="Times New Roman" w:cs="Arial"/>
          <w:color w:val="000000"/>
          <w:sz w:val="20"/>
          <w:szCs w:val="20"/>
        </w:rPr>
      </w:pPr>
    </w:p>
    <w:p w14:paraId="52FAEF9B"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Trent Dougherty (Reg. No. 0079817)</w:t>
      </w:r>
    </w:p>
    <w:p w14:paraId="7FC6F00F"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(Counsel of Record)</w:t>
      </w:r>
    </w:p>
    <w:p w14:paraId="0DF47F17"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 xml:space="preserve">Miranda </w:t>
      </w:r>
      <w:proofErr w:type="spellStart"/>
      <w:r w:rsidRPr="00793394">
        <w:rPr>
          <w:rFonts w:eastAsia="Times New Roman" w:cs="Arial"/>
          <w:color w:val="000000"/>
          <w:sz w:val="20"/>
          <w:szCs w:val="20"/>
        </w:rPr>
        <w:t>Leppla</w:t>
      </w:r>
      <w:proofErr w:type="spellEnd"/>
      <w:r w:rsidRPr="00793394">
        <w:rPr>
          <w:rFonts w:eastAsia="Times New Roman" w:cs="Arial"/>
          <w:color w:val="000000"/>
          <w:sz w:val="20"/>
          <w:szCs w:val="20"/>
        </w:rPr>
        <w:t xml:space="preserve"> (Reg. No. 0086351)</w:t>
      </w:r>
    </w:p>
    <w:p w14:paraId="77BC50C5"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1145 Chesapeake Avenue, Suite I</w:t>
      </w:r>
    </w:p>
    <w:p w14:paraId="0E739758"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Columbus, OH  43212-3449</w:t>
      </w:r>
    </w:p>
    <w:p w14:paraId="0381D587"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tdougherty@theOEC.org</w:t>
      </w:r>
    </w:p>
    <w:p w14:paraId="26E94541" w14:textId="77777777" w:rsidR="00793394" w:rsidRPr="00793394" w:rsidRDefault="00793394" w:rsidP="00793394">
      <w:pPr>
        <w:tabs>
          <w:tab w:val="left" w:pos="2160"/>
          <w:tab w:val="left" w:pos="2280"/>
        </w:tabs>
        <w:rPr>
          <w:rFonts w:eastAsia="Times New Roman" w:cs="Arial"/>
          <w:color w:val="000000"/>
          <w:sz w:val="20"/>
          <w:szCs w:val="20"/>
        </w:rPr>
      </w:pPr>
      <w:r w:rsidRPr="00793394">
        <w:rPr>
          <w:rFonts w:eastAsia="Times New Roman" w:cs="Arial"/>
          <w:color w:val="000000"/>
          <w:sz w:val="20"/>
          <w:szCs w:val="20"/>
        </w:rPr>
        <w:t>mleppla@theOEC.org</w:t>
      </w:r>
    </w:p>
    <w:p w14:paraId="5E12A4B4" w14:textId="77777777" w:rsidR="00793394" w:rsidRPr="00793394" w:rsidRDefault="00793394" w:rsidP="00793394">
      <w:pPr>
        <w:tabs>
          <w:tab w:val="left" w:pos="2160"/>
          <w:tab w:val="left" w:pos="2280"/>
        </w:tabs>
        <w:rPr>
          <w:rFonts w:eastAsia="Times New Roman" w:cs="Arial"/>
          <w:color w:val="000000"/>
          <w:sz w:val="20"/>
          <w:szCs w:val="20"/>
        </w:rPr>
      </w:pPr>
    </w:p>
    <w:p w14:paraId="0C458248" w14:textId="77777777" w:rsidR="00793394" w:rsidRPr="00793394" w:rsidRDefault="00793394" w:rsidP="00793394">
      <w:pPr>
        <w:tabs>
          <w:tab w:val="left" w:pos="2160"/>
          <w:tab w:val="left" w:pos="2280"/>
        </w:tabs>
        <w:rPr>
          <w:rFonts w:ascii="Arial Bold" w:eastAsia="Times New Roman" w:hAnsi="Arial Bold" w:cs="Arial"/>
          <w:b/>
          <w:smallCaps/>
          <w:color w:val="000000"/>
          <w:sz w:val="20"/>
          <w:szCs w:val="20"/>
        </w:rPr>
      </w:pPr>
      <w:r w:rsidRPr="00793394">
        <w:rPr>
          <w:rFonts w:ascii="Arial Bold" w:eastAsia="Times New Roman" w:hAnsi="Arial Bold" w:cs="Arial"/>
          <w:b/>
          <w:smallCaps/>
          <w:color w:val="000000"/>
          <w:sz w:val="20"/>
          <w:szCs w:val="20"/>
        </w:rPr>
        <w:t>Counsel for the Ohio Environmental Council and Environmental Defense Fund</w:t>
      </w:r>
    </w:p>
    <w:p w14:paraId="61A3C56B" w14:textId="77777777" w:rsidR="00793394" w:rsidRPr="00793394" w:rsidRDefault="00793394" w:rsidP="00793394">
      <w:pPr>
        <w:tabs>
          <w:tab w:val="left" w:pos="2160"/>
          <w:tab w:val="left" w:pos="2280"/>
        </w:tabs>
        <w:rPr>
          <w:rFonts w:eastAsia="Times New Roman" w:cs="Arial"/>
          <w:color w:val="000000"/>
          <w:sz w:val="20"/>
          <w:szCs w:val="20"/>
        </w:rPr>
      </w:pPr>
    </w:p>
    <w:p w14:paraId="62D97BBA" w14:textId="77777777" w:rsidR="00793394" w:rsidRPr="00793394" w:rsidRDefault="00793394" w:rsidP="00793394">
      <w:pPr>
        <w:rPr>
          <w:rFonts w:eastAsia="Times New Roman" w:cs="Arial"/>
          <w:color w:val="000000"/>
          <w:sz w:val="20"/>
          <w:szCs w:val="20"/>
        </w:rPr>
      </w:pPr>
    </w:p>
    <w:p w14:paraId="4C6C70F3"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Joseph </w:t>
      </w:r>
      <w:proofErr w:type="spellStart"/>
      <w:r w:rsidRPr="00793394">
        <w:rPr>
          <w:rFonts w:eastAsia="Times New Roman" w:cs="Arial"/>
          <w:color w:val="000000"/>
          <w:sz w:val="20"/>
          <w:szCs w:val="20"/>
        </w:rPr>
        <w:t>Oliker</w:t>
      </w:r>
      <w:proofErr w:type="spellEnd"/>
      <w:r w:rsidRPr="00793394">
        <w:rPr>
          <w:rFonts w:eastAsia="Times New Roman" w:cs="Arial"/>
          <w:color w:val="000000"/>
          <w:sz w:val="20"/>
          <w:szCs w:val="20"/>
        </w:rPr>
        <w:t xml:space="preserve"> (Reg. No. 0086088)</w:t>
      </w:r>
    </w:p>
    <w:p w14:paraId="77360712"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(Counsel of Record)</w:t>
      </w:r>
    </w:p>
    <w:p w14:paraId="6EBA33D9"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Michael Nugent (Reg. No. 0090408)</w:t>
      </w:r>
    </w:p>
    <w:p w14:paraId="786404D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IGS Energy</w:t>
      </w:r>
    </w:p>
    <w:p w14:paraId="301A936F"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6100 Emerald Parkway</w:t>
      </w:r>
    </w:p>
    <w:p w14:paraId="0696CF63"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Dublin, OH  43016</w:t>
      </w:r>
    </w:p>
    <w:p w14:paraId="629EB612"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joliker@igsenergy.com</w:t>
      </w:r>
    </w:p>
    <w:p w14:paraId="7DBBB7B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mnugent@igsenergy.com</w:t>
      </w:r>
    </w:p>
    <w:p w14:paraId="2583C5E4" w14:textId="77777777" w:rsidR="00793394" w:rsidRPr="00793394" w:rsidRDefault="00793394" w:rsidP="00793394">
      <w:pPr>
        <w:rPr>
          <w:rFonts w:eastAsia="Times New Roman" w:cs="Arial"/>
          <w:color w:val="000000"/>
          <w:sz w:val="20"/>
          <w:szCs w:val="20"/>
        </w:rPr>
      </w:pPr>
    </w:p>
    <w:p w14:paraId="4B4B9092" w14:textId="77777777" w:rsidR="00793394" w:rsidRPr="00793394" w:rsidRDefault="00793394" w:rsidP="00793394">
      <w:pPr>
        <w:tabs>
          <w:tab w:val="left" w:pos="2160"/>
          <w:tab w:val="left" w:pos="2280"/>
        </w:tabs>
        <w:rPr>
          <w:rFonts w:ascii="Arial Bold" w:eastAsia="Times New Roman" w:hAnsi="Arial Bold" w:cs="Arial"/>
          <w:b/>
          <w:smallCaps/>
          <w:color w:val="000000"/>
          <w:sz w:val="20"/>
          <w:szCs w:val="20"/>
        </w:rPr>
      </w:pPr>
      <w:r w:rsidRPr="00793394">
        <w:rPr>
          <w:rFonts w:ascii="Arial Bold" w:eastAsia="Times New Roman" w:hAnsi="Arial Bold" w:cs="Arial"/>
          <w:b/>
          <w:smallCaps/>
          <w:color w:val="000000"/>
          <w:sz w:val="20"/>
          <w:szCs w:val="20"/>
        </w:rPr>
        <w:t>Counsel for IGS Energy</w:t>
      </w:r>
    </w:p>
    <w:p w14:paraId="2CF61B97" w14:textId="77777777" w:rsidR="00793394" w:rsidRPr="00793394" w:rsidRDefault="00793394" w:rsidP="00793394">
      <w:pPr>
        <w:rPr>
          <w:rFonts w:eastAsia="Times New Roman" w:cs="Arial"/>
          <w:color w:val="000000"/>
          <w:sz w:val="20"/>
          <w:szCs w:val="20"/>
        </w:rPr>
      </w:pPr>
    </w:p>
    <w:p w14:paraId="788D2E91"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br w:type="column"/>
      </w:r>
      <w:r w:rsidRPr="00793394">
        <w:rPr>
          <w:rFonts w:eastAsia="Times New Roman" w:cs="Arial"/>
          <w:color w:val="000000"/>
          <w:sz w:val="20"/>
          <w:szCs w:val="20"/>
        </w:rPr>
        <w:lastRenderedPageBreak/>
        <w:t>Steven D. Lesser (Reg. No. 0020242)</w:t>
      </w:r>
    </w:p>
    <w:p w14:paraId="5B40722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James F. Lang (Reg. No. 0059668)</w:t>
      </w:r>
    </w:p>
    <w:p w14:paraId="5268173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N. Trevor Alexander (Reg. No. 0080713)</w:t>
      </w:r>
    </w:p>
    <w:p w14:paraId="7E4F52AC"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Mark T. </w:t>
      </w:r>
      <w:proofErr w:type="spellStart"/>
      <w:r w:rsidRPr="00793394">
        <w:rPr>
          <w:rFonts w:eastAsia="Times New Roman" w:cs="Arial"/>
          <w:color w:val="000000"/>
          <w:sz w:val="20"/>
          <w:szCs w:val="20"/>
        </w:rPr>
        <w:t>Keaney</w:t>
      </w:r>
      <w:proofErr w:type="spellEnd"/>
      <w:r w:rsidRPr="00793394">
        <w:rPr>
          <w:rFonts w:eastAsia="Times New Roman" w:cs="Arial"/>
          <w:color w:val="000000"/>
          <w:sz w:val="20"/>
          <w:szCs w:val="20"/>
        </w:rPr>
        <w:t xml:space="preserve"> (Reg. No. 0095318)</w:t>
      </w:r>
    </w:p>
    <w:p w14:paraId="44238B71"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Calfee, Halter &amp; Griswold LLP</w:t>
      </w:r>
    </w:p>
    <w:p w14:paraId="22A94ABD"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41 South High Street,1200 Huntington Center</w:t>
      </w:r>
    </w:p>
    <w:p w14:paraId="53A5029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7C610ABB" w14:textId="347CC58D" w:rsidR="00793394" w:rsidRPr="00793394" w:rsidRDefault="00793394" w:rsidP="00793394">
      <w:pPr>
        <w:rPr>
          <w:rFonts w:eastAsia="Times New Roman" w:cs="Arial"/>
          <w:sz w:val="20"/>
          <w:szCs w:val="20"/>
        </w:rPr>
      </w:pPr>
      <w:r w:rsidRPr="00793394">
        <w:rPr>
          <w:rFonts w:eastAsia="Times New Roman" w:cs="Arial"/>
          <w:sz w:val="20"/>
          <w:szCs w:val="20"/>
        </w:rPr>
        <w:t>slesser@calfee.com</w:t>
      </w:r>
    </w:p>
    <w:p w14:paraId="31E5AAC2" w14:textId="77777777" w:rsidR="00793394" w:rsidRPr="00793394" w:rsidRDefault="00793394" w:rsidP="00793394">
      <w:pPr>
        <w:rPr>
          <w:rFonts w:eastAsia="Times New Roman" w:cs="Arial"/>
          <w:sz w:val="20"/>
          <w:szCs w:val="20"/>
        </w:rPr>
      </w:pPr>
      <w:r w:rsidRPr="00793394">
        <w:rPr>
          <w:rFonts w:eastAsia="Times New Roman" w:cs="Arial"/>
          <w:sz w:val="20"/>
          <w:szCs w:val="20"/>
        </w:rPr>
        <w:t>jlang@calfee.com</w:t>
      </w:r>
    </w:p>
    <w:p w14:paraId="52D4B402" w14:textId="4E05EB05" w:rsidR="00793394" w:rsidRPr="00793394" w:rsidRDefault="00793394" w:rsidP="00793394">
      <w:pPr>
        <w:rPr>
          <w:rFonts w:eastAsia="Times New Roman" w:cs="Arial"/>
          <w:sz w:val="20"/>
          <w:szCs w:val="20"/>
        </w:rPr>
      </w:pPr>
      <w:r w:rsidRPr="00793394">
        <w:rPr>
          <w:rFonts w:eastAsia="Times New Roman" w:cs="Arial"/>
          <w:sz w:val="20"/>
          <w:szCs w:val="20"/>
        </w:rPr>
        <w:t>talexander@calfee.com</w:t>
      </w:r>
    </w:p>
    <w:p w14:paraId="450AA145" w14:textId="77777777" w:rsidR="00793394" w:rsidRPr="00793394" w:rsidRDefault="00793394" w:rsidP="00793394">
      <w:pPr>
        <w:rPr>
          <w:rFonts w:eastAsia="Times New Roman" w:cs="Arial"/>
          <w:sz w:val="20"/>
          <w:szCs w:val="20"/>
        </w:rPr>
      </w:pPr>
      <w:r w:rsidRPr="00793394">
        <w:rPr>
          <w:rFonts w:eastAsia="Times New Roman" w:cs="Arial"/>
          <w:sz w:val="20"/>
          <w:szCs w:val="20"/>
        </w:rPr>
        <w:t>mkeaney@calfee.com</w:t>
      </w:r>
    </w:p>
    <w:p w14:paraId="43D9A729" w14:textId="77777777" w:rsidR="00793394" w:rsidRPr="00793394" w:rsidRDefault="00793394" w:rsidP="00793394">
      <w:pPr>
        <w:rPr>
          <w:rFonts w:eastAsia="Times New Roman" w:cs="Arial"/>
          <w:color w:val="000000"/>
          <w:sz w:val="20"/>
          <w:szCs w:val="20"/>
        </w:rPr>
      </w:pPr>
    </w:p>
    <w:p w14:paraId="0FEEBA98"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the City of Cincinnati</w:t>
      </w:r>
    </w:p>
    <w:p w14:paraId="547925DF" w14:textId="77777777" w:rsidR="00793394" w:rsidRPr="00793394" w:rsidRDefault="00793394" w:rsidP="00793394">
      <w:pPr>
        <w:rPr>
          <w:rFonts w:eastAsia="Times New Roman" w:cs="Arial"/>
          <w:color w:val="000000"/>
          <w:sz w:val="20"/>
          <w:szCs w:val="20"/>
        </w:rPr>
      </w:pPr>
    </w:p>
    <w:p w14:paraId="46AEAEE2"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Michael D. Dortch (Reg. No. 0043897)</w:t>
      </w:r>
    </w:p>
    <w:p w14:paraId="3677E9E5"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Richard R. Parsons (Reg. No. 0082270)</w:t>
      </w:r>
    </w:p>
    <w:p w14:paraId="3154CF35"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Justin M. Dortch (Reg. No. 0090048)</w:t>
      </w:r>
    </w:p>
    <w:p w14:paraId="1D9DF601" w14:textId="77777777" w:rsidR="00793394" w:rsidRPr="00793394" w:rsidRDefault="00793394" w:rsidP="00793394">
      <w:pPr>
        <w:rPr>
          <w:rFonts w:eastAsia="Times New Roman" w:cs="Arial"/>
          <w:color w:val="000000"/>
          <w:sz w:val="20"/>
          <w:szCs w:val="20"/>
        </w:rPr>
      </w:pPr>
      <w:proofErr w:type="spellStart"/>
      <w:r w:rsidRPr="00793394">
        <w:rPr>
          <w:rFonts w:eastAsia="Times New Roman" w:cs="Arial"/>
          <w:color w:val="000000"/>
          <w:sz w:val="20"/>
          <w:szCs w:val="20"/>
        </w:rPr>
        <w:t>Kravitz</w:t>
      </w:r>
      <w:proofErr w:type="spellEnd"/>
      <w:r w:rsidRPr="00793394">
        <w:rPr>
          <w:rFonts w:eastAsia="Times New Roman" w:cs="Arial"/>
          <w:color w:val="000000"/>
          <w:sz w:val="20"/>
          <w:szCs w:val="20"/>
        </w:rPr>
        <w:t>, Brown &amp; Dortch, LLC</w:t>
      </w:r>
    </w:p>
    <w:p w14:paraId="4FF33E5B"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65 East State Street, Suite 200</w:t>
      </w:r>
    </w:p>
    <w:p w14:paraId="41AC198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025C1C2D" w14:textId="77777777" w:rsidR="00793394" w:rsidRPr="00793394" w:rsidRDefault="00793394" w:rsidP="00793394">
      <w:pPr>
        <w:rPr>
          <w:rFonts w:eastAsia="Times New Roman" w:cs="Arial"/>
          <w:sz w:val="20"/>
          <w:szCs w:val="20"/>
        </w:rPr>
      </w:pPr>
      <w:r w:rsidRPr="00793394">
        <w:rPr>
          <w:rFonts w:eastAsia="Times New Roman" w:cs="Arial"/>
          <w:sz w:val="20"/>
          <w:szCs w:val="20"/>
        </w:rPr>
        <w:t>mdortch@kravitzllc.com</w:t>
      </w:r>
    </w:p>
    <w:p w14:paraId="22B18C71"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rparsons@kravitzllc.com</w:t>
      </w:r>
    </w:p>
    <w:p w14:paraId="10659755"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jdortch@kravitzllc.com</w:t>
      </w:r>
    </w:p>
    <w:p w14:paraId="246B5EEA" w14:textId="77777777" w:rsidR="00793394" w:rsidRPr="00793394" w:rsidRDefault="00793394" w:rsidP="00793394">
      <w:pPr>
        <w:rPr>
          <w:rFonts w:eastAsia="Times New Roman" w:cs="Arial"/>
          <w:color w:val="000000"/>
          <w:sz w:val="20"/>
          <w:szCs w:val="20"/>
        </w:rPr>
      </w:pPr>
    </w:p>
    <w:p w14:paraId="4624F1FA"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Calpine Energy Solutions, LLC</w:t>
      </w:r>
    </w:p>
    <w:p w14:paraId="1263DBCA" w14:textId="77777777" w:rsidR="00793394" w:rsidRPr="00793394" w:rsidRDefault="00793394" w:rsidP="00793394">
      <w:pPr>
        <w:rPr>
          <w:rFonts w:eastAsia="Times New Roman" w:cs="Arial"/>
          <w:color w:val="000000"/>
          <w:sz w:val="20"/>
          <w:szCs w:val="20"/>
        </w:rPr>
      </w:pPr>
    </w:p>
    <w:p w14:paraId="1BF3914D"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Mark A. Whitt (Reg. No. 0067996)</w:t>
      </w:r>
    </w:p>
    <w:p w14:paraId="6A1A044C"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Andrew J. Campbell (Reg. No. 0081485)</w:t>
      </w:r>
    </w:p>
    <w:p w14:paraId="0323C2D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Rebekah J. Glover (Reg. No. 0088798)</w:t>
      </w:r>
    </w:p>
    <w:p w14:paraId="0DF63C73"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Whitt Sturtevant LLP</w:t>
      </w:r>
    </w:p>
    <w:p w14:paraId="3A79BDCE"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The KeyBank Building, Suite 1590</w:t>
      </w:r>
    </w:p>
    <w:p w14:paraId="6B7350E4"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88 East Broad Street</w:t>
      </w:r>
    </w:p>
    <w:p w14:paraId="41F3187D"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25FF4F59" w14:textId="77777777" w:rsidR="00793394" w:rsidRPr="00793394" w:rsidRDefault="00793394" w:rsidP="00793394">
      <w:pPr>
        <w:rPr>
          <w:rFonts w:eastAsia="Times New Roman" w:cs="Arial"/>
          <w:sz w:val="20"/>
          <w:szCs w:val="20"/>
        </w:rPr>
      </w:pPr>
      <w:r w:rsidRPr="00793394">
        <w:rPr>
          <w:rFonts w:eastAsia="Times New Roman" w:cs="Arial"/>
          <w:sz w:val="20"/>
          <w:szCs w:val="20"/>
        </w:rPr>
        <w:t>whitt@whitt-sturtevant.com</w:t>
      </w:r>
    </w:p>
    <w:p w14:paraId="4E93DE4D"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campbell@whitt-sturtevant.com</w:t>
      </w:r>
    </w:p>
    <w:p w14:paraId="19C40911"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glover@whitt-sturtevant.com</w:t>
      </w:r>
    </w:p>
    <w:p w14:paraId="109C8388" w14:textId="77777777" w:rsidR="00793394" w:rsidRPr="00793394" w:rsidRDefault="00793394" w:rsidP="00793394">
      <w:pPr>
        <w:rPr>
          <w:rFonts w:eastAsia="Times New Roman" w:cs="Arial"/>
          <w:color w:val="000000"/>
          <w:sz w:val="20"/>
          <w:szCs w:val="20"/>
        </w:rPr>
      </w:pPr>
    </w:p>
    <w:p w14:paraId="5F6EAE47"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Retail Energy Supply Association &amp; Direct Energy Services, LLC, Direct Energy Business, LLC and Direct Energy Business Marketing, LLC</w:t>
      </w:r>
    </w:p>
    <w:p w14:paraId="3420CAA3" w14:textId="77777777" w:rsidR="00793394" w:rsidRPr="00793394" w:rsidRDefault="00793394" w:rsidP="00793394">
      <w:pPr>
        <w:rPr>
          <w:rFonts w:eastAsia="Times New Roman" w:cs="Arial"/>
          <w:color w:val="000000"/>
          <w:sz w:val="20"/>
          <w:szCs w:val="20"/>
        </w:rPr>
      </w:pPr>
    </w:p>
    <w:p w14:paraId="690A97D1" w14:textId="77777777" w:rsidR="00793394" w:rsidRPr="00793394" w:rsidRDefault="00793394" w:rsidP="00793394">
      <w:pPr>
        <w:tabs>
          <w:tab w:val="left" w:pos="5040"/>
        </w:tabs>
        <w:rPr>
          <w:rFonts w:eastAsia="Times New Roman" w:cs="Times New Roman"/>
          <w:sz w:val="20"/>
          <w:szCs w:val="20"/>
        </w:rPr>
      </w:pPr>
      <w:r w:rsidRPr="00793394">
        <w:rPr>
          <w:rFonts w:eastAsia="Times New Roman" w:cs="Times New Roman"/>
          <w:sz w:val="20"/>
          <w:szCs w:val="20"/>
        </w:rPr>
        <w:t xml:space="preserve">Mike </w:t>
      </w:r>
      <w:proofErr w:type="spellStart"/>
      <w:r w:rsidRPr="00793394">
        <w:rPr>
          <w:rFonts w:eastAsia="Times New Roman" w:cs="Times New Roman"/>
          <w:sz w:val="20"/>
          <w:szCs w:val="20"/>
        </w:rPr>
        <w:t>Dewine</w:t>
      </w:r>
      <w:proofErr w:type="spellEnd"/>
    </w:p>
    <w:p w14:paraId="566F2D80" w14:textId="77777777" w:rsidR="00793394" w:rsidRPr="00793394" w:rsidRDefault="00793394" w:rsidP="00793394">
      <w:pPr>
        <w:tabs>
          <w:tab w:val="left" w:pos="5040"/>
        </w:tabs>
        <w:rPr>
          <w:rFonts w:eastAsia="Times New Roman" w:cs="Times New Roman"/>
          <w:sz w:val="20"/>
          <w:szCs w:val="20"/>
        </w:rPr>
      </w:pPr>
      <w:r w:rsidRPr="00793394">
        <w:rPr>
          <w:rFonts w:eastAsia="Times New Roman" w:cs="Times New Roman"/>
          <w:sz w:val="20"/>
          <w:szCs w:val="20"/>
        </w:rPr>
        <w:t xml:space="preserve">ATTORNEY GENERAL </w:t>
      </w:r>
    </w:p>
    <w:p w14:paraId="02317C05" w14:textId="77777777" w:rsidR="00793394" w:rsidRPr="00793394" w:rsidRDefault="00793394" w:rsidP="00793394">
      <w:pPr>
        <w:tabs>
          <w:tab w:val="left" w:pos="5040"/>
        </w:tabs>
        <w:rPr>
          <w:rFonts w:eastAsia="Times New Roman" w:cs="Times New Roman"/>
          <w:sz w:val="20"/>
          <w:szCs w:val="20"/>
        </w:rPr>
      </w:pPr>
    </w:p>
    <w:p w14:paraId="3F6F6A3D" w14:textId="77777777" w:rsidR="00793394" w:rsidRPr="00793394" w:rsidRDefault="00793394" w:rsidP="00793394">
      <w:pPr>
        <w:tabs>
          <w:tab w:val="left" w:pos="5040"/>
        </w:tabs>
        <w:rPr>
          <w:rFonts w:eastAsia="Times New Roman" w:cs="Times New Roman"/>
          <w:sz w:val="20"/>
          <w:szCs w:val="20"/>
        </w:rPr>
      </w:pPr>
      <w:r w:rsidRPr="00793394">
        <w:rPr>
          <w:rFonts w:eastAsia="Times New Roman" w:cs="Times New Roman"/>
          <w:sz w:val="20"/>
          <w:szCs w:val="20"/>
        </w:rPr>
        <w:t xml:space="preserve">Michael J. </w:t>
      </w:r>
      <w:proofErr w:type="spellStart"/>
      <w:r w:rsidRPr="00793394">
        <w:rPr>
          <w:rFonts w:eastAsia="Times New Roman" w:cs="Times New Roman"/>
          <w:sz w:val="20"/>
          <w:szCs w:val="20"/>
        </w:rPr>
        <w:t>Setineri</w:t>
      </w:r>
      <w:proofErr w:type="spellEnd"/>
      <w:r w:rsidRPr="00793394">
        <w:rPr>
          <w:rFonts w:eastAsia="Times New Roman" w:cs="Times New Roman"/>
          <w:sz w:val="20"/>
          <w:szCs w:val="20"/>
        </w:rPr>
        <w:t xml:space="preserve"> (Reg. No. 0073369)</w:t>
      </w:r>
    </w:p>
    <w:p w14:paraId="304B7643"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 xml:space="preserve">Special Assistant Attorney General </w:t>
      </w:r>
    </w:p>
    <w:p w14:paraId="5A04B97C" w14:textId="77777777" w:rsidR="00793394" w:rsidRPr="00793394" w:rsidRDefault="00793394" w:rsidP="00793394">
      <w:pPr>
        <w:autoSpaceDE w:val="0"/>
        <w:autoSpaceDN w:val="0"/>
        <w:adjustRightInd w:val="0"/>
        <w:rPr>
          <w:rFonts w:eastAsia="Calibri" w:cs="Arial"/>
          <w:sz w:val="20"/>
          <w:szCs w:val="20"/>
        </w:rPr>
      </w:pPr>
      <w:proofErr w:type="spellStart"/>
      <w:r w:rsidRPr="00793394">
        <w:rPr>
          <w:rFonts w:eastAsia="Calibri" w:cs="Arial"/>
          <w:sz w:val="20"/>
          <w:szCs w:val="20"/>
        </w:rPr>
        <w:t>Vorys</w:t>
      </w:r>
      <w:proofErr w:type="spellEnd"/>
      <w:r w:rsidRPr="00793394">
        <w:rPr>
          <w:rFonts w:eastAsia="Calibri" w:cs="Arial"/>
          <w:sz w:val="20"/>
          <w:szCs w:val="20"/>
        </w:rPr>
        <w:t xml:space="preserve">, </w:t>
      </w:r>
      <w:proofErr w:type="spellStart"/>
      <w:r w:rsidRPr="00793394">
        <w:rPr>
          <w:rFonts w:eastAsia="Calibri" w:cs="Arial"/>
          <w:sz w:val="20"/>
          <w:szCs w:val="20"/>
        </w:rPr>
        <w:t>Sater</w:t>
      </w:r>
      <w:proofErr w:type="spellEnd"/>
      <w:r w:rsidRPr="00793394">
        <w:rPr>
          <w:rFonts w:eastAsia="Calibri" w:cs="Arial"/>
          <w:sz w:val="20"/>
          <w:szCs w:val="20"/>
        </w:rPr>
        <w:t>, Seymour and Pease LLP</w:t>
      </w:r>
    </w:p>
    <w:p w14:paraId="024CBF63"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52 East Gay Street</w:t>
      </w:r>
    </w:p>
    <w:p w14:paraId="5556FDAC"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PO Box 1008</w:t>
      </w:r>
    </w:p>
    <w:p w14:paraId="054E9EFC"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Columbus, OH  43216-1008</w:t>
      </w:r>
    </w:p>
    <w:p w14:paraId="3435D874"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mjsettineri@vorys.com</w:t>
      </w:r>
    </w:p>
    <w:p w14:paraId="10BDA8BE" w14:textId="77777777" w:rsidR="00793394" w:rsidRPr="00793394" w:rsidRDefault="00793394" w:rsidP="00793394">
      <w:pPr>
        <w:autoSpaceDE w:val="0"/>
        <w:autoSpaceDN w:val="0"/>
        <w:adjustRightInd w:val="0"/>
        <w:rPr>
          <w:rFonts w:eastAsia="Calibri" w:cs="Arial"/>
          <w:sz w:val="20"/>
          <w:szCs w:val="20"/>
        </w:rPr>
      </w:pPr>
    </w:p>
    <w:p w14:paraId="56FF4941" w14:textId="77777777" w:rsidR="00793394" w:rsidRPr="00793394" w:rsidRDefault="00793394" w:rsidP="00793394">
      <w:pPr>
        <w:rPr>
          <w:rFonts w:eastAsia="Times New Roman" w:cs="Arial"/>
          <w:b/>
          <w:smallCaps/>
          <w:sz w:val="20"/>
          <w:szCs w:val="20"/>
        </w:rPr>
      </w:pPr>
      <w:r w:rsidRPr="00793394">
        <w:rPr>
          <w:rFonts w:eastAsia="Times New Roman" w:cs="Arial"/>
          <w:b/>
          <w:smallCaps/>
          <w:sz w:val="20"/>
          <w:szCs w:val="20"/>
        </w:rPr>
        <w:t>On Behalf of Miami University and the University of Cincinnati</w:t>
      </w:r>
    </w:p>
    <w:p w14:paraId="1AAA205A" w14:textId="77777777" w:rsidR="00793394" w:rsidRPr="00793394" w:rsidRDefault="00793394" w:rsidP="00793394">
      <w:pPr>
        <w:tabs>
          <w:tab w:val="left" w:pos="5040"/>
        </w:tabs>
        <w:rPr>
          <w:rFonts w:eastAsia="Times New Roman" w:cs="Times New Roman"/>
          <w:sz w:val="20"/>
          <w:szCs w:val="20"/>
        </w:rPr>
      </w:pPr>
      <w:r w:rsidRPr="00793394">
        <w:rPr>
          <w:rFonts w:eastAsia="Times New Roman" w:cs="Times New Roman"/>
          <w:sz w:val="20"/>
          <w:szCs w:val="20"/>
        </w:rPr>
        <w:br w:type="column"/>
      </w:r>
      <w:r w:rsidRPr="00793394">
        <w:rPr>
          <w:rFonts w:eastAsia="Times New Roman" w:cs="Times New Roman"/>
          <w:sz w:val="20"/>
          <w:szCs w:val="20"/>
        </w:rPr>
        <w:t xml:space="preserve">Michael J. </w:t>
      </w:r>
      <w:proofErr w:type="spellStart"/>
      <w:r w:rsidRPr="00793394">
        <w:rPr>
          <w:rFonts w:eastAsia="Times New Roman" w:cs="Times New Roman"/>
          <w:sz w:val="20"/>
          <w:szCs w:val="20"/>
        </w:rPr>
        <w:t>Setineri</w:t>
      </w:r>
      <w:proofErr w:type="spellEnd"/>
      <w:r w:rsidRPr="00793394">
        <w:rPr>
          <w:rFonts w:eastAsia="Times New Roman" w:cs="Times New Roman"/>
          <w:sz w:val="20"/>
          <w:szCs w:val="20"/>
        </w:rPr>
        <w:t xml:space="preserve"> (Reg. No. 0073369)</w:t>
      </w:r>
    </w:p>
    <w:p w14:paraId="0BA7D917"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(Counsel of Record)</w:t>
      </w:r>
    </w:p>
    <w:p w14:paraId="41400A44"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 xml:space="preserve">Gretchen L. </w:t>
      </w:r>
      <w:proofErr w:type="spellStart"/>
      <w:r w:rsidRPr="00793394">
        <w:rPr>
          <w:rFonts w:eastAsia="Calibri" w:cs="Arial"/>
          <w:sz w:val="20"/>
          <w:szCs w:val="20"/>
        </w:rPr>
        <w:t>Petrucci</w:t>
      </w:r>
      <w:proofErr w:type="spellEnd"/>
      <w:r w:rsidRPr="00793394">
        <w:rPr>
          <w:rFonts w:eastAsia="Calibri" w:cs="Arial"/>
          <w:sz w:val="20"/>
          <w:szCs w:val="20"/>
        </w:rPr>
        <w:t xml:space="preserve"> (Reg. No. 0046608)</w:t>
      </w:r>
    </w:p>
    <w:p w14:paraId="50D6B469" w14:textId="77777777" w:rsidR="00793394" w:rsidRPr="00793394" w:rsidRDefault="00793394" w:rsidP="00793394">
      <w:pPr>
        <w:autoSpaceDE w:val="0"/>
        <w:autoSpaceDN w:val="0"/>
        <w:adjustRightInd w:val="0"/>
        <w:rPr>
          <w:rFonts w:eastAsia="Calibri" w:cs="Arial"/>
          <w:sz w:val="20"/>
          <w:szCs w:val="20"/>
        </w:rPr>
      </w:pPr>
      <w:proofErr w:type="spellStart"/>
      <w:r w:rsidRPr="00793394">
        <w:rPr>
          <w:rFonts w:eastAsia="Calibri" w:cs="Arial"/>
          <w:sz w:val="20"/>
          <w:szCs w:val="20"/>
        </w:rPr>
        <w:t>Vorys</w:t>
      </w:r>
      <w:proofErr w:type="spellEnd"/>
      <w:r w:rsidRPr="00793394">
        <w:rPr>
          <w:rFonts w:eastAsia="Calibri" w:cs="Arial"/>
          <w:sz w:val="20"/>
          <w:szCs w:val="20"/>
        </w:rPr>
        <w:t xml:space="preserve">, </w:t>
      </w:r>
      <w:proofErr w:type="spellStart"/>
      <w:r w:rsidRPr="00793394">
        <w:rPr>
          <w:rFonts w:eastAsia="Calibri" w:cs="Arial"/>
          <w:sz w:val="20"/>
          <w:szCs w:val="20"/>
        </w:rPr>
        <w:t>Sater</w:t>
      </w:r>
      <w:proofErr w:type="spellEnd"/>
      <w:r w:rsidRPr="00793394">
        <w:rPr>
          <w:rFonts w:eastAsia="Calibri" w:cs="Arial"/>
          <w:sz w:val="20"/>
          <w:szCs w:val="20"/>
        </w:rPr>
        <w:t>, Seymour and Pease LLP</w:t>
      </w:r>
    </w:p>
    <w:p w14:paraId="57D3F496"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52 East Gay Street</w:t>
      </w:r>
    </w:p>
    <w:p w14:paraId="795B1387"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PO Box 1008</w:t>
      </w:r>
    </w:p>
    <w:p w14:paraId="3609179B"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Columbus, OH  43216-1008</w:t>
      </w:r>
    </w:p>
    <w:p w14:paraId="15DB6F00"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mjsettineri@vorys.com</w:t>
      </w:r>
    </w:p>
    <w:p w14:paraId="1E3E16BD" w14:textId="77777777" w:rsidR="00793394" w:rsidRPr="00793394" w:rsidRDefault="00793394" w:rsidP="00793394">
      <w:pPr>
        <w:autoSpaceDE w:val="0"/>
        <w:autoSpaceDN w:val="0"/>
        <w:adjustRightInd w:val="0"/>
        <w:rPr>
          <w:rFonts w:eastAsia="Calibri" w:cs="Arial"/>
          <w:sz w:val="20"/>
          <w:szCs w:val="20"/>
        </w:rPr>
      </w:pPr>
      <w:r w:rsidRPr="00793394">
        <w:rPr>
          <w:rFonts w:eastAsia="Calibri" w:cs="Arial"/>
          <w:sz w:val="20"/>
          <w:szCs w:val="20"/>
        </w:rPr>
        <w:t>glpetrucci@vorys.com</w:t>
      </w:r>
    </w:p>
    <w:p w14:paraId="4EFB0BEE" w14:textId="77777777" w:rsidR="00793394" w:rsidRPr="00793394" w:rsidRDefault="00793394" w:rsidP="00793394">
      <w:pPr>
        <w:autoSpaceDE w:val="0"/>
        <w:autoSpaceDN w:val="0"/>
        <w:adjustRightInd w:val="0"/>
        <w:rPr>
          <w:rFonts w:eastAsia="Calibri" w:cs="Arial"/>
          <w:sz w:val="20"/>
          <w:szCs w:val="20"/>
        </w:rPr>
      </w:pPr>
    </w:p>
    <w:p w14:paraId="100576F1" w14:textId="77777777" w:rsidR="00793394" w:rsidRPr="00793394" w:rsidRDefault="00793394" w:rsidP="00793394">
      <w:pPr>
        <w:rPr>
          <w:rFonts w:eastAsia="Times New Roman" w:cs="Arial"/>
          <w:b/>
          <w:smallCaps/>
          <w:sz w:val="20"/>
          <w:szCs w:val="20"/>
        </w:rPr>
      </w:pPr>
      <w:r w:rsidRPr="00793394">
        <w:rPr>
          <w:rFonts w:eastAsia="Times New Roman" w:cs="Arial"/>
          <w:b/>
          <w:smallCaps/>
          <w:sz w:val="20"/>
          <w:szCs w:val="20"/>
        </w:rPr>
        <w:t xml:space="preserve">On Behalf of Constellation </w:t>
      </w:r>
      <w:proofErr w:type="spellStart"/>
      <w:r w:rsidRPr="00793394">
        <w:rPr>
          <w:rFonts w:eastAsia="Times New Roman" w:cs="Arial"/>
          <w:b/>
          <w:smallCaps/>
          <w:sz w:val="20"/>
          <w:szCs w:val="20"/>
        </w:rPr>
        <w:t>NewEnergy</w:t>
      </w:r>
      <w:proofErr w:type="spellEnd"/>
      <w:r w:rsidRPr="00793394">
        <w:rPr>
          <w:rFonts w:eastAsia="Times New Roman" w:cs="Arial"/>
          <w:b/>
          <w:smallCaps/>
          <w:sz w:val="20"/>
          <w:szCs w:val="20"/>
        </w:rPr>
        <w:t>, Inc. and Exelon Generation Company, LLC</w:t>
      </w:r>
    </w:p>
    <w:p w14:paraId="3CB0A7FC" w14:textId="77777777" w:rsidR="00793394" w:rsidRPr="00793394" w:rsidRDefault="00793394" w:rsidP="00793394">
      <w:pPr>
        <w:jc w:val="both"/>
        <w:rPr>
          <w:rFonts w:eastAsia="Times New Roman" w:cs="Arial"/>
          <w:sz w:val="20"/>
          <w:szCs w:val="20"/>
        </w:rPr>
      </w:pPr>
    </w:p>
    <w:p w14:paraId="60293D5F"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Steven Beeler (Reg. No. 00</w:t>
      </w:r>
      <w:r w:rsidRPr="00793394">
        <w:rPr>
          <w:rFonts w:ascii="Helvetica" w:eastAsia="Times New Roman" w:hAnsi="Helvetica" w:cs="Helvetica"/>
          <w:color w:val="333333"/>
          <w:sz w:val="20"/>
          <w:szCs w:val="20"/>
        </w:rPr>
        <w:t>78076</w:t>
      </w:r>
      <w:r w:rsidRPr="00793394">
        <w:rPr>
          <w:rFonts w:eastAsia="Times New Roman" w:cs="Arial"/>
          <w:color w:val="000000"/>
          <w:sz w:val="20"/>
          <w:szCs w:val="20"/>
        </w:rPr>
        <w:t>)</w:t>
      </w:r>
    </w:p>
    <w:p w14:paraId="292442A6"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Assistant Attorney General</w:t>
      </w:r>
    </w:p>
    <w:p w14:paraId="6F1DABAD"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Public Utilities Section</w:t>
      </w:r>
    </w:p>
    <w:p w14:paraId="604FEFBA"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Office of the Ohio Attorney General</w:t>
      </w:r>
    </w:p>
    <w:p w14:paraId="75AC915A"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30 East Broad Street, 16</w:t>
      </w:r>
      <w:r w:rsidRPr="00793394">
        <w:rPr>
          <w:rFonts w:eastAsia="Times New Roman" w:cs="Arial"/>
          <w:color w:val="000000"/>
          <w:sz w:val="20"/>
          <w:szCs w:val="20"/>
          <w:vertAlign w:val="superscript"/>
        </w:rPr>
        <w:t>th</w:t>
      </w:r>
      <w:r w:rsidRPr="00793394">
        <w:rPr>
          <w:rFonts w:eastAsia="Times New Roman" w:cs="Arial"/>
          <w:color w:val="000000"/>
          <w:sz w:val="20"/>
          <w:szCs w:val="20"/>
        </w:rPr>
        <w:t xml:space="preserve"> Floor</w:t>
      </w:r>
    </w:p>
    <w:p w14:paraId="7851214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5B769D19"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steven.beeler@ohioattorneygeneral.gov</w:t>
      </w:r>
    </w:p>
    <w:p w14:paraId="7075AF1B" w14:textId="77777777" w:rsidR="00793394" w:rsidRPr="00793394" w:rsidRDefault="00793394" w:rsidP="00793394">
      <w:pPr>
        <w:rPr>
          <w:rFonts w:eastAsia="Times New Roman" w:cs="Arial"/>
          <w:color w:val="000000"/>
          <w:sz w:val="20"/>
          <w:szCs w:val="20"/>
        </w:rPr>
      </w:pPr>
    </w:p>
    <w:p w14:paraId="6DCB95A4" w14:textId="77777777" w:rsidR="00793394" w:rsidRPr="00793394" w:rsidRDefault="00793394" w:rsidP="00793394">
      <w:pPr>
        <w:rPr>
          <w:rFonts w:eastAsia="Times New Roman" w:cs="Arial"/>
          <w:b/>
          <w:smallCaps/>
          <w:color w:val="000000"/>
          <w:sz w:val="20"/>
          <w:szCs w:val="20"/>
        </w:rPr>
      </w:pPr>
      <w:r w:rsidRPr="00793394">
        <w:rPr>
          <w:rFonts w:eastAsia="Times New Roman" w:cs="Arial"/>
          <w:b/>
          <w:smallCaps/>
          <w:color w:val="000000"/>
          <w:sz w:val="20"/>
          <w:szCs w:val="20"/>
        </w:rPr>
        <w:t>Counsel for the Staff of the Public Utilities Commission of Ohio</w:t>
      </w:r>
    </w:p>
    <w:p w14:paraId="3638B814" w14:textId="77777777" w:rsidR="00793394" w:rsidRPr="00793394" w:rsidRDefault="00793394" w:rsidP="00793394">
      <w:pPr>
        <w:rPr>
          <w:rFonts w:eastAsia="Times New Roman" w:cs="Arial"/>
          <w:color w:val="000000"/>
          <w:sz w:val="20"/>
          <w:szCs w:val="20"/>
        </w:rPr>
      </w:pPr>
    </w:p>
    <w:p w14:paraId="38FAA8B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Patricia </w:t>
      </w:r>
      <w:proofErr w:type="spellStart"/>
      <w:r w:rsidRPr="00793394">
        <w:rPr>
          <w:rFonts w:eastAsia="Times New Roman" w:cs="Arial"/>
          <w:color w:val="000000"/>
          <w:sz w:val="20"/>
          <w:szCs w:val="20"/>
        </w:rPr>
        <w:t>Schabo</w:t>
      </w:r>
      <w:proofErr w:type="spellEnd"/>
    </w:p>
    <w:p w14:paraId="032738F8"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 xml:space="preserve">Nicholas </w:t>
      </w:r>
      <w:proofErr w:type="spellStart"/>
      <w:r w:rsidRPr="00793394">
        <w:rPr>
          <w:rFonts w:eastAsia="Times New Roman" w:cs="Arial"/>
          <w:color w:val="000000"/>
          <w:sz w:val="20"/>
          <w:szCs w:val="20"/>
        </w:rPr>
        <w:t>Walstra</w:t>
      </w:r>
      <w:proofErr w:type="spellEnd"/>
    </w:p>
    <w:p w14:paraId="12C13652"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Legal Department</w:t>
      </w:r>
    </w:p>
    <w:p w14:paraId="194DB26C"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Public Utilities Commission of Ohio</w:t>
      </w:r>
    </w:p>
    <w:p w14:paraId="54C2A06A"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180 East Broad Street, 12</w:t>
      </w:r>
      <w:r w:rsidRPr="00793394">
        <w:rPr>
          <w:rFonts w:eastAsia="Times New Roman" w:cs="Arial"/>
          <w:color w:val="000000"/>
          <w:sz w:val="20"/>
          <w:szCs w:val="20"/>
          <w:vertAlign w:val="superscript"/>
        </w:rPr>
        <w:t>th</w:t>
      </w:r>
      <w:r w:rsidRPr="00793394">
        <w:rPr>
          <w:rFonts w:eastAsia="Times New Roman" w:cs="Arial"/>
          <w:color w:val="000000"/>
          <w:sz w:val="20"/>
          <w:szCs w:val="20"/>
        </w:rPr>
        <w:t xml:space="preserve"> Floor</w:t>
      </w:r>
    </w:p>
    <w:p w14:paraId="4990F1C7"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Columbus, OH  43215</w:t>
      </w:r>
    </w:p>
    <w:p w14:paraId="58982F04" w14:textId="77777777" w:rsidR="00793394" w:rsidRPr="00793394" w:rsidRDefault="00793394" w:rsidP="00793394">
      <w:pPr>
        <w:rPr>
          <w:rFonts w:eastAsia="Times New Roman" w:cs="Arial"/>
          <w:color w:val="000000"/>
          <w:sz w:val="20"/>
          <w:szCs w:val="20"/>
        </w:rPr>
      </w:pPr>
      <w:proofErr w:type="spellStart"/>
      <w:r w:rsidRPr="00793394">
        <w:rPr>
          <w:rFonts w:eastAsia="Times New Roman" w:cs="Arial"/>
          <w:color w:val="000000"/>
          <w:sz w:val="20"/>
          <w:szCs w:val="20"/>
        </w:rPr>
        <w:t>Patricia.schabo</w:t>
      </w:r>
      <w:proofErr w:type="spellEnd"/>
      <w:r w:rsidRPr="00793394">
        <w:rPr>
          <w:rFonts w:eastAsia="Times New Roman" w:cs="Arial"/>
          <w:color w:val="000000"/>
          <w:sz w:val="20"/>
          <w:szCs w:val="20"/>
        </w:rPr>
        <w:t>@ puc.state.oh.us</w:t>
      </w:r>
    </w:p>
    <w:p w14:paraId="6150907B" w14:textId="77777777" w:rsidR="00793394" w:rsidRPr="00793394" w:rsidRDefault="00793394" w:rsidP="00793394">
      <w:pPr>
        <w:rPr>
          <w:rFonts w:eastAsia="Times New Roman" w:cs="Arial"/>
          <w:color w:val="000000"/>
          <w:sz w:val="20"/>
          <w:szCs w:val="20"/>
        </w:rPr>
      </w:pPr>
      <w:r w:rsidRPr="00793394">
        <w:rPr>
          <w:rFonts w:eastAsia="Times New Roman" w:cs="Arial"/>
          <w:color w:val="000000"/>
          <w:sz w:val="20"/>
          <w:szCs w:val="20"/>
        </w:rPr>
        <w:t>Nicholas.Walstra@puc.state.oh.us</w:t>
      </w:r>
    </w:p>
    <w:p w14:paraId="6AC3AB54" w14:textId="77777777" w:rsidR="00793394" w:rsidRPr="00793394" w:rsidRDefault="00793394" w:rsidP="00793394">
      <w:pPr>
        <w:rPr>
          <w:rFonts w:eastAsia="Times New Roman" w:cs="Arial"/>
          <w:color w:val="000000"/>
          <w:sz w:val="20"/>
          <w:szCs w:val="20"/>
        </w:rPr>
      </w:pPr>
    </w:p>
    <w:p w14:paraId="6F909DE3" w14:textId="77777777" w:rsidR="00793394" w:rsidRPr="00793394" w:rsidRDefault="00793394" w:rsidP="00793394">
      <w:pPr>
        <w:rPr>
          <w:rFonts w:ascii="Arial Bold" w:eastAsia="Times New Roman" w:hAnsi="Arial Bold" w:cs="Arial"/>
          <w:b/>
          <w:smallCaps/>
          <w:color w:val="000000"/>
          <w:sz w:val="20"/>
          <w:szCs w:val="20"/>
        </w:rPr>
      </w:pPr>
      <w:r w:rsidRPr="00793394">
        <w:rPr>
          <w:rFonts w:ascii="Arial Bold" w:eastAsia="Times New Roman" w:hAnsi="Arial Bold" w:cs="Arial"/>
          <w:b/>
          <w:smallCaps/>
          <w:color w:val="000000"/>
          <w:sz w:val="20"/>
          <w:szCs w:val="20"/>
        </w:rPr>
        <w:t>Attorney Examiners</w:t>
      </w:r>
    </w:p>
    <w:p w14:paraId="1A060EA5" w14:textId="77777777" w:rsidR="00793394" w:rsidRPr="00793394" w:rsidRDefault="00793394" w:rsidP="00793394">
      <w:pPr>
        <w:rPr>
          <w:rFonts w:ascii="Arial Bold" w:eastAsia="Times New Roman" w:hAnsi="Arial Bold" w:cs="Arial"/>
          <w:b/>
          <w:smallCaps/>
          <w:color w:val="000000"/>
          <w:sz w:val="20"/>
          <w:szCs w:val="20"/>
        </w:rPr>
      </w:pPr>
    </w:p>
    <w:p w14:paraId="756C891C" w14:textId="77777777" w:rsidR="00793394" w:rsidRPr="00793394" w:rsidRDefault="00793394" w:rsidP="00793394">
      <w:pPr>
        <w:rPr>
          <w:rFonts w:ascii="Arial Bold" w:eastAsia="Times New Roman" w:hAnsi="Arial Bold" w:cs="Arial"/>
          <w:b/>
          <w:smallCaps/>
          <w:color w:val="000000"/>
          <w:sz w:val="20"/>
          <w:szCs w:val="20"/>
        </w:rPr>
      </w:pPr>
    </w:p>
    <w:p w14:paraId="5FD4E7B6" w14:textId="77777777" w:rsidR="00793394" w:rsidRPr="00793394" w:rsidRDefault="00793394" w:rsidP="00793394">
      <w:pPr>
        <w:rPr>
          <w:rFonts w:eastAsia="Times New Roman" w:cs="Arial"/>
          <w:color w:val="000000"/>
          <w:sz w:val="20"/>
          <w:szCs w:val="20"/>
        </w:rPr>
      </w:pPr>
    </w:p>
    <w:p w14:paraId="51DD63C3" w14:textId="37E94145" w:rsidR="00D53A96" w:rsidRPr="00940DC2" w:rsidRDefault="00D53A96" w:rsidP="00793394">
      <w:pPr>
        <w:spacing w:line="480" w:lineRule="auto"/>
      </w:pPr>
    </w:p>
    <w:sectPr w:rsidR="00D53A96" w:rsidRPr="00940DC2" w:rsidSect="000E7676">
      <w:headerReference w:type="default" r:id="rId24"/>
      <w:footerReference w:type="default" r:id="rId25"/>
      <w:headerReference w:type="first" r:id="rId26"/>
      <w:footerReference w:type="first" r:id="rId27"/>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CC5E" w14:textId="77777777" w:rsidR="00152635" w:rsidRDefault="00152635" w:rsidP="00FA563D">
      <w:r>
        <w:separator/>
      </w:r>
    </w:p>
  </w:endnote>
  <w:endnote w:type="continuationSeparator" w:id="0">
    <w:p w14:paraId="0338066A" w14:textId="77777777" w:rsidR="00152635" w:rsidRDefault="00152635" w:rsidP="00FA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5E28" w14:textId="77777777" w:rsidR="00152635" w:rsidRDefault="00152635">
    <w:pPr>
      <w:pStyle w:val="Footer"/>
    </w:pPr>
  </w:p>
  <w:p w14:paraId="0E6BFDA0" w14:textId="77777777" w:rsidR="00152635" w:rsidRDefault="0015263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B2F" w14:textId="349E06A0" w:rsidR="00152635" w:rsidRPr="0066478D" w:rsidRDefault="001557B0" w:rsidP="0066478D">
    <w:pPr>
      <w:pStyle w:val="Footer"/>
    </w:pPr>
    <w:r w:rsidRPr="001557B0">
      <w:rPr>
        <w:noProof/>
        <w:sz w:val="16"/>
      </w:rPr>
      <w:t>C0105792:3</w:t>
    </w:r>
    <w:r w:rsidR="0015263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458F" w14:textId="44EAFA9A" w:rsidR="00152635" w:rsidRDefault="001557B0" w:rsidP="00152635">
    <w:pPr>
      <w:pStyle w:val="Footer"/>
    </w:pPr>
    <w:r w:rsidRPr="001557B0">
      <w:rPr>
        <w:noProof/>
        <w:sz w:val="16"/>
      </w:rPr>
      <w:t>C0105792:3</w:t>
    </w:r>
    <w:r w:rsidR="00152635" w:rsidRPr="00B52D30">
      <w:rPr>
        <w:noProof/>
        <w:sz w:val="16"/>
      </w:rPr>
      <w:tab/>
    </w:r>
    <w:r w:rsidR="00152635" w:rsidRPr="00EE1C81">
      <w:rPr>
        <w:noProof/>
        <w:sz w:val="22"/>
        <w:szCs w:val="22"/>
      </w:rPr>
      <w:fldChar w:fldCharType="begin"/>
    </w:r>
    <w:r w:rsidR="00152635" w:rsidRPr="00EE1C81">
      <w:rPr>
        <w:noProof/>
        <w:sz w:val="22"/>
        <w:szCs w:val="22"/>
      </w:rPr>
      <w:instrText xml:space="preserve"> PAGE   \* MERGEFORMAT </w:instrText>
    </w:r>
    <w:r w:rsidR="00152635" w:rsidRPr="00EE1C81">
      <w:rPr>
        <w:noProof/>
        <w:sz w:val="22"/>
        <w:szCs w:val="22"/>
      </w:rPr>
      <w:fldChar w:fldCharType="separate"/>
    </w:r>
    <w:r w:rsidR="00152635">
      <w:rPr>
        <w:noProof/>
        <w:sz w:val="22"/>
        <w:szCs w:val="22"/>
      </w:rPr>
      <w:t>20</w:t>
    </w:r>
    <w:r w:rsidR="00152635" w:rsidRPr="00EE1C81">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6DEC" w14:textId="6BBAF991" w:rsidR="00152635" w:rsidRPr="0079253B" w:rsidRDefault="001557B0" w:rsidP="00152635">
    <w:pPr>
      <w:pStyle w:val="Footer"/>
    </w:pPr>
    <w:r w:rsidRPr="001557B0">
      <w:rPr>
        <w:noProof/>
        <w:sz w:val="16"/>
      </w:rPr>
      <w:t>C0105792:3</w:t>
    </w:r>
    <w:r w:rsidR="0015263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6DC7" w14:textId="77777777" w:rsidR="00152635" w:rsidRDefault="001526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9C2" w14:textId="00F44B90" w:rsidR="00152635" w:rsidRPr="0066478D" w:rsidRDefault="001557B0" w:rsidP="0066478D">
    <w:pPr>
      <w:pStyle w:val="Footer"/>
    </w:pPr>
    <w:r w:rsidRPr="001557B0">
      <w:rPr>
        <w:noProof/>
        <w:sz w:val="16"/>
      </w:rPr>
      <w:t>C0105792:3</w:t>
    </w:r>
    <w:r w:rsidR="00152635">
      <w:tab/>
    </w:r>
    <w:r w:rsidR="00152635">
      <w:fldChar w:fldCharType="begin"/>
    </w:r>
    <w:r w:rsidR="00152635">
      <w:instrText xml:space="preserve"> PAGE   \* MERGEFORMAT </w:instrText>
    </w:r>
    <w:r w:rsidR="00152635">
      <w:fldChar w:fldCharType="separate"/>
    </w:r>
    <w:r w:rsidR="00152635">
      <w:rPr>
        <w:noProof/>
      </w:rPr>
      <w:t>1</w:t>
    </w:r>
    <w:r w:rsidR="0015263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4073" w14:textId="1EE932F4" w:rsidR="00152635" w:rsidRPr="0066478D" w:rsidRDefault="001557B0" w:rsidP="0066478D">
    <w:pPr>
      <w:pStyle w:val="Footer"/>
    </w:pPr>
    <w:r w:rsidRPr="001557B0">
      <w:rPr>
        <w:noProof/>
        <w:sz w:val="16"/>
      </w:rPr>
      <w:t>C0105792:3</w:t>
    </w:r>
    <w:r w:rsidR="00152635">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B26F" w14:textId="0A7E5626" w:rsidR="00152635" w:rsidRPr="0066478D" w:rsidRDefault="001557B0" w:rsidP="0066478D">
    <w:pPr>
      <w:pStyle w:val="Footer"/>
    </w:pPr>
    <w:r w:rsidRPr="001557B0">
      <w:rPr>
        <w:noProof/>
        <w:sz w:val="16"/>
      </w:rPr>
      <w:t>C0105792:3</w:t>
    </w:r>
    <w:r w:rsidR="00152635">
      <w:tab/>
    </w:r>
    <w:r w:rsidR="00152635">
      <w:fldChar w:fldCharType="begin"/>
    </w:r>
    <w:r w:rsidR="00152635">
      <w:instrText xml:space="preserve"> PAGE   \* MERGEFORMAT </w:instrText>
    </w:r>
    <w:r w:rsidR="00152635">
      <w:fldChar w:fldCharType="separate"/>
    </w:r>
    <w:r w:rsidR="00152635">
      <w:rPr>
        <w:noProof/>
      </w:rPr>
      <w:t>1</w:t>
    </w:r>
    <w:r w:rsidR="00152635">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2855" w14:textId="5A737BCF" w:rsidR="00152635" w:rsidRPr="0066478D" w:rsidRDefault="001557B0" w:rsidP="0066478D">
    <w:pPr>
      <w:pStyle w:val="Footer"/>
    </w:pPr>
    <w:r w:rsidRPr="001557B0">
      <w:rPr>
        <w:noProof/>
        <w:sz w:val="16"/>
      </w:rPr>
      <w:t>C0105792:3</w:t>
    </w:r>
    <w:r w:rsidR="00152635">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C5B5" w14:textId="3C0C5429" w:rsidR="00152635" w:rsidRPr="0066478D" w:rsidRDefault="001557B0" w:rsidP="0066478D">
    <w:pPr>
      <w:pStyle w:val="Footer"/>
    </w:pPr>
    <w:r w:rsidRPr="001557B0">
      <w:rPr>
        <w:noProof/>
        <w:sz w:val="16"/>
      </w:rPr>
      <w:t>C0105792:3</w:t>
    </w:r>
    <w:r w:rsidR="001526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EC2C" w14:textId="77777777" w:rsidR="00152635" w:rsidRDefault="00152635" w:rsidP="00FA563D">
      <w:pPr>
        <w:rPr>
          <w:noProof/>
        </w:rPr>
      </w:pPr>
      <w:r>
        <w:rPr>
          <w:noProof/>
        </w:rPr>
        <w:separator/>
      </w:r>
    </w:p>
  </w:footnote>
  <w:footnote w:type="continuationSeparator" w:id="0">
    <w:p w14:paraId="2C0D0FBC" w14:textId="77777777" w:rsidR="00152635" w:rsidRDefault="00152635" w:rsidP="00FA563D">
      <w:r>
        <w:continuationSeparator/>
      </w:r>
    </w:p>
  </w:footnote>
  <w:footnote w:id="1">
    <w:p w14:paraId="2197B1BE" w14:textId="0A79D4A7" w:rsidR="00152635" w:rsidRDefault="00152635" w:rsidP="000E7676">
      <w:pPr>
        <w:pStyle w:val="FootnoteText"/>
        <w:spacing w:after="120"/>
        <w:jc w:val="both"/>
      </w:pPr>
      <w:r>
        <w:rPr>
          <w:rStyle w:val="FootnoteReference"/>
        </w:rPr>
        <w:footnoteRef/>
      </w:r>
      <w:r>
        <w:t xml:space="preserve"> Motion of Industrial Energy Users-Ohio to Dismiss the Request by Duke Energy Ohio, Inc. for Authorization for a Price Stabilization Rider and Memorandum in Support at 5-6 (“IEU</w:t>
      </w:r>
      <w:r>
        <w:noBreakHyphen/>
        <w:t>Ohio Motion to Dismiss”); R.C. 4903.082.</w:t>
      </w:r>
    </w:p>
  </w:footnote>
  <w:footnote w:id="2">
    <w:p w14:paraId="538A9BBE" w14:textId="7EDFC34F" w:rsidR="00152635" w:rsidRDefault="00152635" w:rsidP="000E7676">
      <w:pPr>
        <w:pStyle w:val="FootnoteText"/>
        <w:spacing w:after="120"/>
        <w:jc w:val="both"/>
      </w:pPr>
      <w:r>
        <w:rPr>
          <w:rStyle w:val="FootnoteReference"/>
        </w:rPr>
        <w:footnoteRef/>
      </w:r>
      <w:r>
        <w:t xml:space="preserve"> Duke Energy Ohio’s Memorandum Contra Motion to Dismiss at 2 (“Duke Memo Contra”).</w:t>
      </w:r>
    </w:p>
  </w:footnote>
  <w:footnote w:id="3">
    <w:p w14:paraId="07859A13" w14:textId="77777777" w:rsidR="00152635" w:rsidRDefault="00152635" w:rsidP="000E7676">
      <w:pPr>
        <w:pStyle w:val="FootnoteText"/>
        <w:spacing w:after="120"/>
        <w:jc w:val="both"/>
      </w:pPr>
      <w:r>
        <w:rPr>
          <w:rStyle w:val="FootnoteReference"/>
        </w:rPr>
        <w:footnoteRef/>
      </w:r>
      <w:r>
        <w:t xml:space="preserve"> </w:t>
      </w:r>
      <w:r>
        <w:rPr>
          <w:i/>
        </w:rPr>
        <w:t>In the Matter of the Energy Efficiency and Peak Demand Reduction Program Portfolio of Ohio Edison Company, The Cleveland Electric Illuminating Company, and The Toledo Edison Company</w:t>
      </w:r>
      <w:r>
        <w:t>, Case Nos. 09</w:t>
      </w:r>
      <w:r>
        <w:noBreakHyphen/>
        <w:t>384</w:t>
      </w:r>
      <w:r>
        <w:noBreakHyphen/>
        <w:t>EL</w:t>
      </w:r>
      <w:r>
        <w:noBreakHyphen/>
        <w:t xml:space="preserve">EEC, </w:t>
      </w:r>
      <w:r>
        <w:rPr>
          <w:i/>
        </w:rPr>
        <w:t>et al</w:t>
      </w:r>
      <w:r>
        <w:t>., Entry at 2-3 (Dec. 16, 2009).</w:t>
      </w:r>
    </w:p>
  </w:footnote>
  <w:footnote w:id="4">
    <w:p w14:paraId="2B747A69" w14:textId="77777777" w:rsidR="00152635" w:rsidRDefault="00152635" w:rsidP="000E7676">
      <w:pPr>
        <w:pStyle w:val="FootnoteText"/>
        <w:spacing w:after="120"/>
        <w:jc w:val="both"/>
      </w:pPr>
      <w:r>
        <w:rPr>
          <w:rStyle w:val="FootnoteReference"/>
        </w:rPr>
        <w:footnoteRef/>
      </w:r>
      <w:r>
        <w:t xml:space="preserve"> </w:t>
      </w:r>
      <w:r>
        <w:rPr>
          <w:i/>
        </w:rPr>
        <w:t>In the Matter of the Application of AT&amp;T Ohio for Approval of an Alternative Form of Regulation of Basic Local Exchange Service and Other Tier 1 Services Pursuant to Chapter 4901:1-4, Ohio Administrative Code</w:t>
      </w:r>
      <w:r>
        <w:t xml:space="preserve">, Case Nos. 06-1013-TP-BLS, </w:t>
      </w:r>
      <w:r>
        <w:rPr>
          <w:i/>
        </w:rPr>
        <w:t>et al</w:t>
      </w:r>
      <w:r>
        <w:t>., Entry at 4 (May 19, 2011).</w:t>
      </w:r>
    </w:p>
  </w:footnote>
  <w:footnote w:id="5">
    <w:p w14:paraId="2E88C7C4" w14:textId="2A32689A" w:rsidR="00152635" w:rsidRDefault="00152635" w:rsidP="000E7676">
      <w:pPr>
        <w:pStyle w:val="FootnoteText"/>
        <w:spacing w:after="120"/>
        <w:jc w:val="both"/>
      </w:pPr>
      <w:r>
        <w:rPr>
          <w:rStyle w:val="FootnoteReference"/>
        </w:rPr>
        <w:footnoteRef/>
      </w:r>
      <w:r>
        <w:t xml:space="preserve"> </w:t>
      </w:r>
      <w:r>
        <w:rPr>
          <w:i/>
        </w:rPr>
        <w:t>In the Matter of a Request for an Exemption from Stopping for School Buses and Other Motor Vehicles at the Highway/Railroad Grade Crossing Located at U.S. Route 6 (477-636E), Village of Napoleon, Henry County</w:t>
      </w:r>
      <w:r>
        <w:t>, Case No. 03-2524-RR-RCP, Entry at 1-2 (June 2, 2004).</w:t>
      </w:r>
    </w:p>
  </w:footnote>
  <w:footnote w:id="6">
    <w:p w14:paraId="506477D4" w14:textId="77777777" w:rsidR="00152635" w:rsidRDefault="00152635" w:rsidP="000E7676">
      <w:pPr>
        <w:pStyle w:val="FootnoteText"/>
        <w:spacing w:after="120"/>
        <w:jc w:val="both"/>
      </w:pPr>
      <w:r>
        <w:rPr>
          <w:rStyle w:val="FootnoteReference"/>
        </w:rPr>
        <w:footnoteRef/>
      </w:r>
      <w:r>
        <w:t xml:space="preserve"> </w:t>
      </w:r>
      <w:r>
        <w:rPr>
          <w:i/>
        </w:rPr>
        <w:t xml:space="preserve">In the Matter of the Petition of Thelma </w:t>
      </w:r>
      <w:proofErr w:type="spellStart"/>
      <w:r>
        <w:rPr>
          <w:i/>
        </w:rPr>
        <w:t>Penwell</w:t>
      </w:r>
      <w:proofErr w:type="spellEnd"/>
      <w:r>
        <w:rPr>
          <w:i/>
        </w:rPr>
        <w:t xml:space="preserve"> and Other Subscribers of the Amanda Exchange of GTE North Inc., Requesting a Boundary Change</w:t>
      </w:r>
      <w:r>
        <w:t>, 1989 Ohio PUC LEXIS 818 (Aug. 9, 1989).</w:t>
      </w:r>
    </w:p>
  </w:footnote>
  <w:footnote w:id="7">
    <w:p w14:paraId="3955E0C0" w14:textId="728708F0" w:rsidR="00152635" w:rsidRDefault="00152635" w:rsidP="000E7676">
      <w:pPr>
        <w:pStyle w:val="FootnoteText"/>
        <w:spacing w:after="120"/>
        <w:jc w:val="both"/>
      </w:pPr>
      <w:r>
        <w:rPr>
          <w:rStyle w:val="FootnoteReference"/>
        </w:rPr>
        <w:footnoteRef/>
      </w:r>
      <w:r>
        <w:t xml:space="preserve"> In one instance, a former Commissioner chastised the Commission for failing to summarily dismiss a Duke application that parties moved to dismiss because the relief Duke sought would violate terms of an approved stipulation.  </w:t>
      </w:r>
      <w:r>
        <w:rPr>
          <w:i/>
        </w:rPr>
        <w:t>In the Matter of the Application of Duke Energy Ohio, Inc., for the Establishment of a Charge Pursuant to Section 4909.18, Revised Code</w:t>
      </w:r>
      <w:r>
        <w:t xml:space="preserve">, Case Nos. 12-2400-EL-UNC, </w:t>
      </w:r>
      <w:r>
        <w:rPr>
          <w:i/>
        </w:rPr>
        <w:t>et al.,</w:t>
      </w:r>
      <w:r>
        <w:t xml:space="preserve"> Opinion and Order, Concurring Opinion of Commissioner Lynn </w:t>
      </w:r>
      <w:proofErr w:type="spellStart"/>
      <w:r>
        <w:t>Slaby</w:t>
      </w:r>
      <w:proofErr w:type="spellEnd"/>
      <w:r>
        <w:t xml:space="preserve"> (Feb. 13, 2014).  </w:t>
      </w:r>
    </w:p>
  </w:footnote>
  <w:footnote w:id="8">
    <w:p w14:paraId="2E9BEC55" w14:textId="77777777" w:rsidR="00152635" w:rsidRDefault="00152635" w:rsidP="000E7676">
      <w:pPr>
        <w:pStyle w:val="FootnoteText"/>
        <w:spacing w:after="120"/>
        <w:jc w:val="both"/>
      </w:pPr>
      <w:r>
        <w:rPr>
          <w:rStyle w:val="FootnoteReference"/>
        </w:rPr>
        <w:footnoteRef/>
      </w:r>
      <w:r>
        <w:t xml:space="preserve"> IEU-Ohio Motion to Dismiss at 9-13.</w:t>
      </w:r>
    </w:p>
  </w:footnote>
  <w:footnote w:id="9">
    <w:p w14:paraId="2EC656C4" w14:textId="77777777" w:rsidR="00152635" w:rsidRPr="005D2B09" w:rsidRDefault="00152635" w:rsidP="000E7676">
      <w:pPr>
        <w:pStyle w:val="FootnoteText"/>
        <w:spacing w:after="120"/>
        <w:jc w:val="both"/>
      </w:pPr>
      <w:r>
        <w:rPr>
          <w:rStyle w:val="FootnoteReference"/>
        </w:rPr>
        <w:footnoteRef/>
      </w:r>
      <w:r>
        <w:t xml:space="preserve"> </w:t>
      </w:r>
      <w:r>
        <w:rPr>
          <w:i/>
        </w:rPr>
        <w:t>Id.</w:t>
      </w:r>
    </w:p>
  </w:footnote>
  <w:footnote w:id="10">
    <w:p w14:paraId="09FB6789" w14:textId="77777777" w:rsidR="00152635" w:rsidRDefault="00152635" w:rsidP="000E7676">
      <w:pPr>
        <w:pStyle w:val="FootnoteText"/>
        <w:spacing w:after="120"/>
        <w:jc w:val="both"/>
      </w:pPr>
      <w:r>
        <w:rPr>
          <w:rStyle w:val="FootnoteReference"/>
        </w:rPr>
        <w:footnoteRef/>
      </w:r>
      <w:r>
        <w:t xml:space="preserve"> Application at 17-18.</w:t>
      </w:r>
    </w:p>
  </w:footnote>
  <w:footnote w:id="11">
    <w:p w14:paraId="0CBFAD71" w14:textId="6E08E6E7" w:rsidR="00152635" w:rsidRPr="006E4F23" w:rsidRDefault="00152635" w:rsidP="000E7676">
      <w:pPr>
        <w:pStyle w:val="FootnoteText"/>
        <w:spacing w:after="120"/>
        <w:jc w:val="both"/>
        <w:rPr>
          <w:i/>
        </w:rPr>
      </w:pPr>
      <w:r>
        <w:rPr>
          <w:rStyle w:val="FootnoteReference"/>
        </w:rPr>
        <w:footnoteRef/>
      </w:r>
      <w:r>
        <w:t xml:space="preserve"> </w:t>
      </w:r>
      <w:r>
        <w:rPr>
          <w:i/>
        </w:rPr>
        <w:t xml:space="preserve">See </w:t>
      </w:r>
      <w:r w:rsidRPr="000E7676">
        <w:t>IEU</w:t>
      </w:r>
      <w:r w:rsidRPr="000E7676">
        <w:noBreakHyphen/>
        <w:t>Ohio</w:t>
      </w:r>
      <w:r>
        <w:rPr>
          <w:i/>
        </w:rPr>
        <w:t xml:space="preserve"> </w:t>
      </w:r>
      <w:r>
        <w:t>Motion to Dismiss at 12 (</w:t>
      </w:r>
      <w:r>
        <w:rPr>
          <w:i/>
        </w:rPr>
        <w:t xml:space="preserve">citing </w:t>
      </w:r>
      <w:proofErr w:type="gramStart"/>
      <w:r>
        <w:rPr>
          <w:rFonts w:eastAsia="Times New Roman" w:cs="Arial"/>
          <w:i/>
          <w:color w:val="000000"/>
          <w:lang w:val="x-none"/>
        </w:rPr>
        <w:t>In</w:t>
      </w:r>
      <w:proofErr w:type="gramEnd"/>
      <w:r>
        <w:rPr>
          <w:rFonts w:eastAsia="Times New Roman" w:cs="Arial"/>
          <w:i/>
          <w:color w:val="000000"/>
          <w:lang w:val="x-none"/>
        </w:rPr>
        <w:t xml:space="preserve"> re Application of Columbus S. Power Co.</w:t>
      </w:r>
      <w:r>
        <w:rPr>
          <w:rFonts w:eastAsia="Times New Roman" w:cs="Arial"/>
          <w:color w:val="000000"/>
          <w:lang w:val="x-none"/>
        </w:rPr>
        <w:t xml:space="preserve">, 147 Ohio St.3d 439, 2016-Ohio-1608, ¶ </w:t>
      </w:r>
      <w:r>
        <w:rPr>
          <w:rFonts w:eastAsia="Times New Roman" w:cs="Arial"/>
          <w:color w:val="000000"/>
        </w:rPr>
        <w:t xml:space="preserve">22).  </w:t>
      </w:r>
    </w:p>
  </w:footnote>
  <w:footnote w:id="12">
    <w:p w14:paraId="306D8425" w14:textId="77777777" w:rsidR="00152635" w:rsidRPr="00DF6D8B" w:rsidRDefault="00152635" w:rsidP="000E7676">
      <w:pPr>
        <w:pStyle w:val="FootnoteText"/>
        <w:spacing w:after="120"/>
        <w:jc w:val="both"/>
        <w:rPr>
          <w:i/>
        </w:rPr>
      </w:pPr>
      <w:r>
        <w:rPr>
          <w:rStyle w:val="FootnoteReference"/>
        </w:rPr>
        <w:footnoteRef/>
      </w:r>
      <w:r>
        <w:t xml:space="preserve"> </w:t>
      </w:r>
      <w:r>
        <w:rPr>
          <w:i/>
        </w:rPr>
        <w:t>Id.</w:t>
      </w:r>
      <w:r>
        <w:t xml:space="preserve"> at 13-16 (</w:t>
      </w:r>
      <w:r>
        <w:rPr>
          <w:i/>
        </w:rPr>
        <w:t>citing Hughes v. Talen Energy Marketing LLC</w:t>
      </w:r>
      <w:r>
        <w:t>, 578 U.S. __ (2016)).</w:t>
      </w:r>
    </w:p>
  </w:footnote>
  <w:footnote w:id="13">
    <w:p w14:paraId="74734CD7" w14:textId="77777777" w:rsidR="00152635" w:rsidRPr="00DF6D8B" w:rsidRDefault="00152635" w:rsidP="000E7676">
      <w:pPr>
        <w:pStyle w:val="FootnoteText"/>
        <w:spacing w:after="120"/>
        <w:jc w:val="both"/>
      </w:pPr>
      <w:r>
        <w:rPr>
          <w:rStyle w:val="FootnoteReference"/>
        </w:rPr>
        <w:footnoteRef/>
      </w:r>
      <w:r>
        <w:t xml:space="preserve"> </w:t>
      </w:r>
      <w:r>
        <w:rPr>
          <w:i/>
        </w:rPr>
        <w:t>Id.</w:t>
      </w:r>
    </w:p>
  </w:footnote>
  <w:footnote w:id="14">
    <w:p w14:paraId="0657C64D" w14:textId="77777777" w:rsidR="00152635" w:rsidRPr="00DF6D8B" w:rsidRDefault="00152635" w:rsidP="000E7676">
      <w:pPr>
        <w:pStyle w:val="FootnoteText"/>
        <w:spacing w:after="120"/>
        <w:jc w:val="both"/>
        <w:rPr>
          <w:i/>
        </w:rPr>
      </w:pPr>
      <w:r>
        <w:rPr>
          <w:rStyle w:val="FootnoteReference"/>
        </w:rPr>
        <w:footnoteRef/>
      </w:r>
      <w:r>
        <w:t xml:space="preserve"> </w:t>
      </w:r>
      <w:r>
        <w:rPr>
          <w:i/>
        </w:rPr>
        <w:t>Id.</w:t>
      </w:r>
    </w:p>
  </w:footnote>
  <w:footnote w:id="15">
    <w:p w14:paraId="705F248D" w14:textId="77777777" w:rsidR="00152635" w:rsidRPr="00DF6D8B" w:rsidRDefault="00152635" w:rsidP="000E7676">
      <w:pPr>
        <w:pStyle w:val="FootnoteText"/>
        <w:spacing w:after="120"/>
        <w:jc w:val="both"/>
        <w:rPr>
          <w:i/>
        </w:rPr>
      </w:pPr>
      <w:r>
        <w:rPr>
          <w:rStyle w:val="FootnoteReference"/>
        </w:rPr>
        <w:footnoteRef/>
      </w:r>
      <w:r>
        <w:t xml:space="preserve"> </w:t>
      </w:r>
      <w:r>
        <w:rPr>
          <w:i/>
        </w:rPr>
        <w:t>Id.</w:t>
      </w:r>
    </w:p>
  </w:footnote>
  <w:footnote w:id="16">
    <w:p w14:paraId="0D0A385A" w14:textId="77777777" w:rsidR="00152635" w:rsidRPr="00DF6D8B" w:rsidRDefault="00152635" w:rsidP="000E7676">
      <w:pPr>
        <w:pStyle w:val="FootnoteText"/>
        <w:spacing w:after="120"/>
        <w:jc w:val="both"/>
        <w:rPr>
          <w:i/>
        </w:rPr>
      </w:pPr>
      <w:r>
        <w:rPr>
          <w:rStyle w:val="FootnoteReference"/>
        </w:rPr>
        <w:footnoteRef/>
      </w:r>
      <w:r>
        <w:t xml:space="preserve"> </w:t>
      </w:r>
      <w:r>
        <w:rPr>
          <w:i/>
        </w:rPr>
        <w:t>Id.</w:t>
      </w:r>
    </w:p>
  </w:footnote>
  <w:footnote w:id="17">
    <w:p w14:paraId="5C208360" w14:textId="77777777" w:rsidR="00152635" w:rsidRPr="007C03F1" w:rsidRDefault="00152635" w:rsidP="000E7676">
      <w:pPr>
        <w:pStyle w:val="FootnoteText"/>
        <w:spacing w:after="120"/>
        <w:jc w:val="both"/>
        <w:rPr>
          <w:i/>
        </w:rPr>
      </w:pPr>
      <w:r>
        <w:rPr>
          <w:rStyle w:val="FootnoteReference"/>
        </w:rPr>
        <w:footnoteRef/>
      </w:r>
      <w:r>
        <w:t xml:space="preserve"> </w:t>
      </w:r>
      <w:r>
        <w:rPr>
          <w:i/>
        </w:rPr>
        <w:t>Id.</w:t>
      </w:r>
    </w:p>
  </w:footnote>
  <w:footnote w:id="18">
    <w:p w14:paraId="665CD9EE" w14:textId="77777777" w:rsidR="00152635" w:rsidRPr="007C03F1" w:rsidRDefault="00152635" w:rsidP="000E7676">
      <w:pPr>
        <w:pStyle w:val="FootnoteText"/>
        <w:spacing w:after="120"/>
        <w:jc w:val="both"/>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A134" w14:textId="77777777" w:rsidR="00152635" w:rsidRDefault="00152635">
    <w:pPr>
      <w:pStyle w:val="Header"/>
    </w:pPr>
  </w:p>
  <w:p w14:paraId="38791AFD" w14:textId="77777777" w:rsidR="00152635" w:rsidRDefault="0015263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E15D" w14:textId="77777777" w:rsidR="00152635" w:rsidRDefault="00152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6660" w14:textId="77777777" w:rsidR="009808DA" w:rsidRDefault="00980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31AE" w14:textId="77777777" w:rsidR="009808DA" w:rsidRDefault="00980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6D7A" w14:textId="77777777" w:rsidR="00152635" w:rsidRDefault="001526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22AA" w14:textId="77777777" w:rsidR="00152635" w:rsidRDefault="001526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8803" w14:textId="77777777" w:rsidR="00152635" w:rsidRDefault="001526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FF57" w14:textId="77777777" w:rsidR="00152635" w:rsidRDefault="001526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7161" w14:textId="77777777" w:rsidR="00152635" w:rsidRDefault="001526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36E3" w14:textId="77777777" w:rsidR="00152635" w:rsidRDefault="00152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8EE"/>
    <w:multiLevelType w:val="multilevel"/>
    <w:tmpl w:val="B536867A"/>
    <w:name w:val="IEU BASIC PLEADING-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22AB37E7"/>
    <w:multiLevelType w:val="hybridMultilevel"/>
    <w:tmpl w:val="0C30DFD0"/>
    <w:lvl w:ilvl="0" w:tplc="6CCEAEA2">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39287DB7"/>
    <w:multiLevelType w:val="hybridMultilevel"/>
    <w:tmpl w:val="24BA4954"/>
    <w:lvl w:ilvl="0" w:tplc="B8BE0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074AB"/>
    <w:multiLevelType w:val="hybridMultilevel"/>
    <w:tmpl w:val="CCFC74C6"/>
    <w:name w:val="(Unnamed Numbering Schem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EF"/>
    <w:rsid w:val="00023107"/>
    <w:rsid w:val="000342C9"/>
    <w:rsid w:val="000A413D"/>
    <w:rsid w:val="000E756D"/>
    <w:rsid w:val="000E7676"/>
    <w:rsid w:val="00140D72"/>
    <w:rsid w:val="00152635"/>
    <w:rsid w:val="00154184"/>
    <w:rsid w:val="001557B0"/>
    <w:rsid w:val="001567FE"/>
    <w:rsid w:val="00182B21"/>
    <w:rsid w:val="001F2FE4"/>
    <w:rsid w:val="00216C9E"/>
    <w:rsid w:val="00217E3F"/>
    <w:rsid w:val="003522EF"/>
    <w:rsid w:val="00382C81"/>
    <w:rsid w:val="003B1D04"/>
    <w:rsid w:val="00402478"/>
    <w:rsid w:val="004D67F4"/>
    <w:rsid w:val="004E789F"/>
    <w:rsid w:val="004F7168"/>
    <w:rsid w:val="00554C86"/>
    <w:rsid w:val="005D2B09"/>
    <w:rsid w:val="005F05CB"/>
    <w:rsid w:val="006435B6"/>
    <w:rsid w:val="00660627"/>
    <w:rsid w:val="0066478D"/>
    <w:rsid w:val="006E4F23"/>
    <w:rsid w:val="007713DC"/>
    <w:rsid w:val="00784402"/>
    <w:rsid w:val="00793394"/>
    <w:rsid w:val="007C03F1"/>
    <w:rsid w:val="0085108F"/>
    <w:rsid w:val="00871327"/>
    <w:rsid w:val="008E3BF4"/>
    <w:rsid w:val="00903879"/>
    <w:rsid w:val="00940DC2"/>
    <w:rsid w:val="009808DA"/>
    <w:rsid w:val="009C59E1"/>
    <w:rsid w:val="009D4293"/>
    <w:rsid w:val="009E12E1"/>
    <w:rsid w:val="00A143C5"/>
    <w:rsid w:val="00A33D0D"/>
    <w:rsid w:val="00A433FF"/>
    <w:rsid w:val="00A94554"/>
    <w:rsid w:val="00AA359C"/>
    <w:rsid w:val="00AA7DC3"/>
    <w:rsid w:val="00AD440E"/>
    <w:rsid w:val="00B10EF5"/>
    <w:rsid w:val="00C0405A"/>
    <w:rsid w:val="00C27FC0"/>
    <w:rsid w:val="00C32011"/>
    <w:rsid w:val="00C4561C"/>
    <w:rsid w:val="00C75608"/>
    <w:rsid w:val="00D53A96"/>
    <w:rsid w:val="00D85D40"/>
    <w:rsid w:val="00D969E2"/>
    <w:rsid w:val="00DE2A74"/>
    <w:rsid w:val="00DE58B9"/>
    <w:rsid w:val="00DF6D8B"/>
    <w:rsid w:val="00E00495"/>
    <w:rsid w:val="00E62824"/>
    <w:rsid w:val="00ED3FC8"/>
    <w:rsid w:val="00F34096"/>
    <w:rsid w:val="00F460EC"/>
    <w:rsid w:val="00F608D4"/>
    <w:rsid w:val="00FA563D"/>
    <w:rsid w:val="00FE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0AA9"/>
  <w15:chartTrackingRefBased/>
  <w15:docId w15:val="{8ACF1EE1-5700-44EA-BCA8-C5AE96C0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59C"/>
    <w:pPr>
      <w:numPr>
        <w:numId w:val="4"/>
      </w:numPr>
      <w:spacing w:before="18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AA359C"/>
    <w:pPr>
      <w:numPr>
        <w:ilvl w:val="1"/>
        <w:numId w:val="4"/>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AA359C"/>
    <w:pPr>
      <w:numPr>
        <w:ilvl w:val="2"/>
        <w:numId w:val="4"/>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AA359C"/>
    <w:pPr>
      <w:numPr>
        <w:ilvl w:val="3"/>
        <w:numId w:val="4"/>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AA359C"/>
    <w:pPr>
      <w:numPr>
        <w:ilvl w:val="4"/>
        <w:numId w:val="4"/>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AA359C"/>
    <w:pPr>
      <w:numPr>
        <w:ilvl w:val="5"/>
        <w:numId w:val="4"/>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AA359C"/>
    <w:pPr>
      <w:numPr>
        <w:ilvl w:val="6"/>
        <w:numId w:val="4"/>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AA359C"/>
    <w:pPr>
      <w:numPr>
        <w:ilvl w:val="7"/>
        <w:numId w:val="4"/>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AA359C"/>
    <w:pPr>
      <w:numPr>
        <w:ilvl w:val="8"/>
        <w:numId w:val="4"/>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3D"/>
    <w:pPr>
      <w:tabs>
        <w:tab w:val="center" w:pos="4680"/>
        <w:tab w:val="right" w:pos="9360"/>
      </w:tabs>
    </w:pPr>
  </w:style>
  <w:style w:type="character" w:customStyle="1" w:styleId="HeaderChar">
    <w:name w:val="Header Char"/>
    <w:basedOn w:val="DefaultParagraphFont"/>
    <w:link w:val="Header"/>
    <w:uiPriority w:val="99"/>
    <w:rsid w:val="00FA563D"/>
  </w:style>
  <w:style w:type="paragraph" w:styleId="Footer">
    <w:name w:val="footer"/>
    <w:basedOn w:val="Normal"/>
    <w:link w:val="FooterChar"/>
    <w:uiPriority w:val="99"/>
    <w:unhideWhenUsed/>
    <w:rsid w:val="00FA563D"/>
    <w:pPr>
      <w:tabs>
        <w:tab w:val="center" w:pos="4680"/>
        <w:tab w:val="right" w:pos="9360"/>
      </w:tabs>
    </w:pPr>
  </w:style>
  <w:style w:type="character" w:customStyle="1" w:styleId="FooterChar">
    <w:name w:val="Footer Char"/>
    <w:basedOn w:val="DefaultParagraphFont"/>
    <w:link w:val="Footer"/>
    <w:uiPriority w:val="99"/>
    <w:rsid w:val="00FA563D"/>
  </w:style>
  <w:style w:type="paragraph" w:styleId="ListParagraph">
    <w:name w:val="List Paragraph"/>
    <w:basedOn w:val="Normal"/>
    <w:uiPriority w:val="34"/>
    <w:qFormat/>
    <w:rsid w:val="00154184"/>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ft Char,fn,char"/>
    <w:basedOn w:val="Normal"/>
    <w:link w:val="FootnoteTextChar"/>
    <w:uiPriority w:val="99"/>
    <w:semiHidden/>
    <w:unhideWhenUsed/>
    <w:qFormat/>
    <w:rsid w:val="00940DC2"/>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semiHidden/>
    <w:rsid w:val="00940DC2"/>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semiHidden/>
    <w:unhideWhenUsed/>
    <w:rsid w:val="00940DC2"/>
    <w:rPr>
      <w:vertAlign w:val="superscript"/>
    </w:rPr>
  </w:style>
  <w:style w:type="character" w:styleId="CommentReference">
    <w:name w:val="annotation reference"/>
    <w:basedOn w:val="DefaultParagraphFont"/>
    <w:uiPriority w:val="99"/>
    <w:semiHidden/>
    <w:unhideWhenUsed/>
    <w:rsid w:val="005F05CB"/>
    <w:rPr>
      <w:sz w:val="16"/>
      <w:szCs w:val="16"/>
    </w:rPr>
  </w:style>
  <w:style w:type="paragraph" w:styleId="CommentText">
    <w:name w:val="annotation text"/>
    <w:basedOn w:val="Normal"/>
    <w:link w:val="CommentTextChar"/>
    <w:uiPriority w:val="99"/>
    <w:semiHidden/>
    <w:unhideWhenUsed/>
    <w:rsid w:val="005F05CB"/>
    <w:rPr>
      <w:sz w:val="20"/>
      <w:szCs w:val="20"/>
    </w:rPr>
  </w:style>
  <w:style w:type="character" w:customStyle="1" w:styleId="CommentTextChar">
    <w:name w:val="Comment Text Char"/>
    <w:basedOn w:val="DefaultParagraphFont"/>
    <w:link w:val="CommentText"/>
    <w:uiPriority w:val="99"/>
    <w:semiHidden/>
    <w:rsid w:val="005F05CB"/>
    <w:rPr>
      <w:sz w:val="20"/>
      <w:szCs w:val="20"/>
    </w:rPr>
  </w:style>
  <w:style w:type="paragraph" w:styleId="CommentSubject">
    <w:name w:val="annotation subject"/>
    <w:basedOn w:val="CommentText"/>
    <w:next w:val="CommentText"/>
    <w:link w:val="CommentSubjectChar"/>
    <w:uiPriority w:val="99"/>
    <w:semiHidden/>
    <w:unhideWhenUsed/>
    <w:rsid w:val="005F05CB"/>
    <w:rPr>
      <w:b/>
      <w:bCs/>
    </w:rPr>
  </w:style>
  <w:style w:type="character" w:customStyle="1" w:styleId="CommentSubjectChar">
    <w:name w:val="Comment Subject Char"/>
    <w:basedOn w:val="CommentTextChar"/>
    <w:link w:val="CommentSubject"/>
    <w:uiPriority w:val="99"/>
    <w:semiHidden/>
    <w:rsid w:val="005F05CB"/>
    <w:rPr>
      <w:b/>
      <w:bCs/>
      <w:sz w:val="20"/>
      <w:szCs w:val="20"/>
    </w:rPr>
  </w:style>
  <w:style w:type="paragraph" w:styleId="Revision">
    <w:name w:val="Revision"/>
    <w:hidden/>
    <w:uiPriority w:val="99"/>
    <w:semiHidden/>
    <w:rsid w:val="005F05CB"/>
  </w:style>
  <w:style w:type="paragraph" w:styleId="BalloonText">
    <w:name w:val="Balloon Text"/>
    <w:basedOn w:val="Normal"/>
    <w:link w:val="BalloonTextChar"/>
    <w:uiPriority w:val="99"/>
    <w:semiHidden/>
    <w:unhideWhenUsed/>
    <w:rsid w:val="005F0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CB"/>
    <w:rPr>
      <w:rFonts w:ascii="Segoe UI" w:hAnsi="Segoe UI" w:cs="Segoe UI"/>
      <w:sz w:val="18"/>
      <w:szCs w:val="18"/>
    </w:rPr>
  </w:style>
  <w:style w:type="character" w:customStyle="1" w:styleId="Heading1Char">
    <w:name w:val="Heading 1 Char"/>
    <w:basedOn w:val="DefaultParagraphFont"/>
    <w:link w:val="Heading1"/>
    <w:uiPriority w:val="9"/>
    <w:rsid w:val="004D67F4"/>
    <w:rPr>
      <w:rFonts w:eastAsiaTheme="majorEastAsia" w:cs="Arial"/>
      <w:b/>
      <w:caps/>
      <w:szCs w:val="32"/>
      <w:u w:val="single"/>
    </w:rPr>
  </w:style>
  <w:style w:type="character" w:customStyle="1" w:styleId="Heading2Char">
    <w:name w:val="Heading 2 Char"/>
    <w:basedOn w:val="DefaultParagraphFont"/>
    <w:link w:val="Heading2"/>
    <w:uiPriority w:val="9"/>
    <w:rsid w:val="00AA359C"/>
    <w:rPr>
      <w:rFonts w:eastAsiaTheme="majorEastAsia" w:cs="Arial"/>
      <w:b/>
      <w:szCs w:val="26"/>
    </w:rPr>
  </w:style>
  <w:style w:type="character" w:customStyle="1" w:styleId="Heading3Char">
    <w:name w:val="Heading 3 Char"/>
    <w:basedOn w:val="DefaultParagraphFont"/>
    <w:link w:val="Heading3"/>
    <w:uiPriority w:val="9"/>
    <w:rsid w:val="00AA359C"/>
    <w:rPr>
      <w:rFonts w:eastAsiaTheme="majorEastAsia" w:cs="Arial"/>
      <w:b/>
    </w:rPr>
  </w:style>
  <w:style w:type="character" w:customStyle="1" w:styleId="Heading4Char">
    <w:name w:val="Heading 4 Char"/>
    <w:basedOn w:val="DefaultParagraphFont"/>
    <w:link w:val="Heading4"/>
    <w:uiPriority w:val="9"/>
    <w:semiHidden/>
    <w:rsid w:val="00AA359C"/>
    <w:rPr>
      <w:rFonts w:eastAsiaTheme="majorEastAsia" w:cs="Arial"/>
      <w:b/>
      <w:i/>
      <w:iCs/>
    </w:rPr>
  </w:style>
  <w:style w:type="character" w:customStyle="1" w:styleId="Heading5Char">
    <w:name w:val="Heading 5 Char"/>
    <w:basedOn w:val="DefaultParagraphFont"/>
    <w:link w:val="Heading5"/>
    <w:uiPriority w:val="9"/>
    <w:semiHidden/>
    <w:rsid w:val="00AA359C"/>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AA359C"/>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AA359C"/>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AA359C"/>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AA359C"/>
    <w:rPr>
      <w:rFonts w:eastAsiaTheme="majorEastAsia" w:cs="Arial"/>
      <w:iCs/>
      <w:color w:val="404040" w:themeColor="text1" w:themeTint="BF"/>
      <w:szCs w:val="21"/>
    </w:rPr>
  </w:style>
  <w:style w:type="table" w:styleId="TableGrid">
    <w:name w:val="Table Grid"/>
    <w:basedOn w:val="TableNormal"/>
    <w:uiPriority w:val="59"/>
    <w:rsid w:val="0079339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41661">
      <w:bodyDiv w:val="1"/>
      <w:marLeft w:val="0"/>
      <w:marRight w:val="0"/>
      <w:marTop w:val="0"/>
      <w:marBottom w:val="0"/>
      <w:divBdr>
        <w:top w:val="none" w:sz="0" w:space="0" w:color="auto"/>
        <w:left w:val="none" w:sz="0" w:space="0" w:color="auto"/>
        <w:bottom w:val="none" w:sz="0" w:space="0" w:color="auto"/>
        <w:right w:val="none" w:sz="0" w:space="0" w:color="auto"/>
      </w:divBdr>
    </w:div>
    <w:div w:id="19514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5D18-060A-4347-B894-01FF3EB5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2744</Words>
  <Characters>15509</Characters>
  <Application>Microsoft Office Word</Application>
  <DocSecurity>0</DocSecurity>
  <PresentationFormat>15|.DOCX</PresentationFormat>
  <Lines>532</Lines>
  <Paragraphs>294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Ryan, Debbie</cp:lastModifiedBy>
  <cp:revision>6</cp:revision>
  <cp:lastPrinted>2017-10-23T17:36:00Z</cp:lastPrinted>
  <dcterms:created xsi:type="dcterms:W3CDTF">2017-10-23T16:56:00Z</dcterms:created>
  <dcterms:modified xsi:type="dcterms:W3CDTF">2017-10-23T17:36:00Z</dcterms:modified>
</cp:coreProperties>
</file>