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614CD5" w:rsidRPr="0046074F" w14:paraId="4BC1FAB3" w14:textId="77777777">
      <w:pPr>
        <w:pStyle w:val="HTMLPreformatted"/>
        <w:jc w:val="center"/>
        <w:rPr>
          <w:rFonts w:ascii="Times New Roman" w:hAnsi="Times New Roman" w:cs="Times New Roman"/>
          <w:b/>
          <w:bCs/>
          <w:sz w:val="24"/>
          <w:szCs w:val="24"/>
        </w:rPr>
      </w:pPr>
      <w:r w:rsidRPr="0046074F">
        <w:rPr>
          <w:rFonts w:ascii="Times New Roman" w:hAnsi="Times New Roman" w:cs="Times New Roman"/>
          <w:b/>
          <w:bCs/>
          <w:sz w:val="24"/>
          <w:szCs w:val="24"/>
        </w:rPr>
        <w:t>BEFORE</w:t>
      </w:r>
    </w:p>
    <w:p w:rsidR="00614CD5" w:rsidRPr="0046074F" w14:paraId="6BBB93D8" w14:textId="77777777">
      <w:pPr>
        <w:pStyle w:val="HTMLPreformatted"/>
        <w:jc w:val="center"/>
        <w:rPr>
          <w:rFonts w:ascii="Times New Roman" w:hAnsi="Times New Roman" w:cs="Times New Roman"/>
          <w:sz w:val="24"/>
          <w:szCs w:val="24"/>
        </w:rPr>
      </w:pPr>
      <w:r w:rsidRPr="0046074F">
        <w:rPr>
          <w:rFonts w:ascii="Times New Roman" w:hAnsi="Times New Roman" w:cs="Times New Roman"/>
          <w:b/>
          <w:bCs/>
          <w:sz w:val="24"/>
          <w:szCs w:val="24"/>
        </w:rPr>
        <w:t>THE PUBLIC UTILITIES COMMISSION OF OHIO</w:t>
      </w:r>
    </w:p>
    <w:p w:rsidR="00614CD5" w:rsidRPr="0046074F" w14:paraId="1623B81D" w14:textId="77777777">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14:paraId="7BF88ADE" w14:textId="77777777" w:rsidTr="00614C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614CD5" w:rsidRPr="0046074F" w:rsidP="00EB50EF" w14:paraId="735AE0B6" w14:textId="37F9CBF2">
            <w:pPr>
              <w:autoSpaceDE w:val="0"/>
              <w:autoSpaceDN w:val="0"/>
              <w:adjustRightInd w:val="0"/>
              <w:rPr>
                <w:sz w:val="24"/>
                <w:szCs w:val="24"/>
                <w:lang w:val="en-US" w:eastAsia="en-US" w:bidi="ar-SA"/>
              </w:rPr>
            </w:pPr>
            <w:r w:rsidRPr="0046074F">
              <w:rPr>
                <w:sz w:val="24"/>
                <w:szCs w:val="24"/>
                <w:lang w:val="en-US" w:eastAsia="en-US" w:bidi="ar-SA"/>
              </w:rPr>
              <w:t xml:space="preserve">In the Matter of the </w:t>
            </w:r>
            <w:r w:rsidRPr="0046074F" w:rsidR="000C4816">
              <w:rPr>
                <w:sz w:val="24"/>
                <w:szCs w:val="24"/>
                <w:lang w:val="en-US" w:eastAsia="en-US" w:bidi="ar-SA"/>
              </w:rPr>
              <w:t>2018 Through 2022 Review of the Alternative Energy Rider of Ohio Power Company</w:t>
            </w:r>
            <w:r w:rsidRPr="0046074F" w:rsidR="008F5F56">
              <w:rPr>
                <w:sz w:val="24"/>
                <w:szCs w:val="24"/>
                <w:lang w:val="en-US" w:eastAsia="en-US" w:bidi="ar-SA"/>
              </w:rPr>
              <w:t>.</w:t>
            </w:r>
          </w:p>
        </w:tc>
        <w:tc>
          <w:tcPr>
            <w:tcW w:w="360" w:type="dxa"/>
            <w:shd w:val="clear" w:color="auto" w:fill="auto"/>
          </w:tcPr>
          <w:p w:rsidR="00614CD5" w:rsidRPr="0046074F" w14:paraId="006B9E7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w:t>
            </w:r>
          </w:p>
          <w:p w:rsidR="00614CD5" w:rsidRPr="0046074F" w14:paraId="3BAA973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w:t>
            </w:r>
          </w:p>
          <w:p w:rsidR="00E42857" w:rsidRPr="0046074F" w:rsidP="00614CD5" w14:paraId="1A76FE7B" w14:textId="422E161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w:t>
            </w:r>
          </w:p>
        </w:tc>
        <w:tc>
          <w:tcPr>
            <w:tcW w:w="4400" w:type="dxa"/>
            <w:shd w:val="clear" w:color="auto" w:fill="auto"/>
          </w:tcPr>
          <w:p w:rsidR="00614CD5" w:rsidRPr="0046074F" w14:paraId="620D852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614CD5" w:rsidRPr="0046074F" w14:paraId="3BBA2C85" w14:textId="2D0975E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 xml:space="preserve">Case No. </w:t>
            </w:r>
            <w:r w:rsidRPr="0046074F" w:rsidR="00E42857">
              <w:rPr>
                <w:rFonts w:ascii="Times New Roman" w:eastAsia="Courier New" w:hAnsi="Times New Roman" w:cs="Times New Roman"/>
                <w:sz w:val="24"/>
                <w:szCs w:val="24"/>
                <w:lang w:val="en-US" w:eastAsia="en-US" w:bidi="ar-SA"/>
              </w:rPr>
              <w:t>2</w:t>
            </w:r>
            <w:r w:rsidRPr="0046074F" w:rsidR="000C4816">
              <w:rPr>
                <w:rFonts w:ascii="Times New Roman" w:eastAsia="Courier New" w:hAnsi="Times New Roman" w:cs="Times New Roman"/>
                <w:sz w:val="24"/>
                <w:szCs w:val="24"/>
                <w:lang w:val="en-US" w:eastAsia="en-US" w:bidi="ar-SA"/>
              </w:rPr>
              <w:t>3</w:t>
            </w:r>
            <w:r w:rsidRPr="0046074F" w:rsidR="00E42857">
              <w:rPr>
                <w:rFonts w:ascii="Times New Roman" w:eastAsia="Courier New" w:hAnsi="Times New Roman" w:cs="Times New Roman"/>
                <w:sz w:val="24"/>
                <w:szCs w:val="24"/>
                <w:lang w:val="en-US" w:eastAsia="en-US" w:bidi="ar-SA"/>
              </w:rPr>
              <w:t>-</w:t>
            </w:r>
            <w:r w:rsidRPr="0046074F" w:rsidR="000C4816">
              <w:rPr>
                <w:rFonts w:ascii="Times New Roman" w:eastAsia="Courier New" w:hAnsi="Times New Roman" w:cs="Times New Roman"/>
                <w:sz w:val="24"/>
                <w:szCs w:val="24"/>
                <w:lang w:val="en-US" w:eastAsia="en-US" w:bidi="ar-SA"/>
              </w:rPr>
              <w:t>251</w:t>
            </w:r>
            <w:r w:rsidRPr="0046074F">
              <w:rPr>
                <w:rFonts w:ascii="Times New Roman" w:eastAsia="Courier New" w:hAnsi="Times New Roman" w:cs="Times New Roman"/>
                <w:sz w:val="24"/>
                <w:szCs w:val="24"/>
                <w:lang w:val="en-US" w:eastAsia="en-US" w:bidi="ar-SA"/>
              </w:rPr>
              <w:t>-EL-RDR</w:t>
            </w:r>
          </w:p>
          <w:p w:rsidR="00614CD5" w:rsidRPr="0046074F" w14:paraId="704AADC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614CD5" w:rsidRPr="0046074F" w14:paraId="08F46B0D" w14:textId="77777777">
      <w:pPr>
        <w:pStyle w:val="HTMLPreformatted"/>
        <w:rPr>
          <w:rFonts w:ascii="Times New Roman" w:hAnsi="Times New Roman" w:cs="Times New Roman"/>
          <w:sz w:val="24"/>
          <w:szCs w:val="24"/>
        </w:rPr>
      </w:pPr>
    </w:p>
    <w:p w:rsidR="00614CD5" w:rsidRPr="0046074F" w14:paraId="23BB83B4" w14:textId="77777777">
      <w:pPr>
        <w:pStyle w:val="HTMLPreformatted"/>
        <w:pBdr>
          <w:top w:val="single" w:sz="12" w:space="1" w:color="auto"/>
        </w:pBdr>
        <w:rPr>
          <w:rFonts w:ascii="Times New Roman" w:hAnsi="Times New Roman" w:cs="Times New Roman"/>
          <w:sz w:val="24"/>
          <w:szCs w:val="24"/>
        </w:rPr>
      </w:pPr>
    </w:p>
    <w:p w:rsidR="00614CD5" w:rsidRPr="0046074F" w14:paraId="6BB849C9" w14:textId="77777777">
      <w:pPr>
        <w:jc w:val="center"/>
        <w:rPr>
          <w:b/>
          <w:bCs/>
          <w:szCs w:val="24"/>
        </w:rPr>
      </w:pPr>
      <w:r w:rsidRPr="0046074F">
        <w:rPr>
          <w:b/>
          <w:bCs/>
          <w:szCs w:val="24"/>
        </w:rPr>
        <w:t>MOTION TO INTERVENE</w:t>
      </w:r>
    </w:p>
    <w:p w:rsidR="00614CD5" w:rsidRPr="0046074F" w14:paraId="17F3831B" w14:textId="77777777">
      <w:pPr>
        <w:jc w:val="center"/>
        <w:rPr>
          <w:b/>
          <w:bCs/>
          <w:szCs w:val="24"/>
        </w:rPr>
      </w:pPr>
      <w:r w:rsidRPr="0046074F">
        <w:rPr>
          <w:b/>
          <w:bCs/>
          <w:szCs w:val="24"/>
        </w:rPr>
        <w:t>BY</w:t>
      </w:r>
    </w:p>
    <w:p w:rsidR="00614CD5" w:rsidRPr="0046074F" w14:paraId="73F9699D" w14:textId="18CEB541">
      <w:pPr>
        <w:jc w:val="center"/>
        <w:rPr>
          <w:b/>
          <w:bCs/>
          <w:szCs w:val="24"/>
        </w:rPr>
      </w:pPr>
      <w:r w:rsidRPr="0046074F">
        <w:rPr>
          <w:b/>
          <w:bCs/>
          <w:szCs w:val="24"/>
        </w:rPr>
        <w:t>OFFICE OF THE OHIO CONSUMERS' COUNSEL</w:t>
      </w:r>
    </w:p>
    <w:p w:rsidR="00614CD5" w:rsidRPr="0046074F" w14:paraId="42559ED3" w14:textId="77777777">
      <w:pPr>
        <w:pBdr>
          <w:bottom w:val="single" w:sz="12" w:space="1" w:color="auto"/>
        </w:pBdr>
        <w:tabs>
          <w:tab w:val="left" w:pos="4320"/>
        </w:tabs>
        <w:rPr>
          <w:szCs w:val="24"/>
        </w:rPr>
      </w:pPr>
    </w:p>
    <w:p w:rsidR="00614CD5" w:rsidRPr="0046074F" w14:paraId="69BAE8FB" w14:textId="77777777">
      <w:pPr>
        <w:tabs>
          <w:tab w:val="left" w:pos="4320"/>
        </w:tabs>
        <w:rPr>
          <w:szCs w:val="24"/>
        </w:rPr>
      </w:pPr>
    </w:p>
    <w:p w:rsidR="00472CD2" w:rsidRPr="0046074F" w:rsidP="00596EAF" w14:paraId="7B04813C" w14:textId="14A5FD6F">
      <w:pPr>
        <w:pStyle w:val="BodyTextIndent3"/>
        <w:widowControl w:val="0"/>
        <w:spacing w:line="480" w:lineRule="auto"/>
        <w:ind w:right="-312"/>
        <w:rPr>
          <w:szCs w:val="24"/>
        </w:rPr>
      </w:pPr>
      <w:r w:rsidRPr="0046074F">
        <w:rPr>
          <w:szCs w:val="24"/>
        </w:rPr>
        <w:t xml:space="preserve">The </w:t>
      </w:r>
      <w:r w:rsidRPr="0046074F" w:rsidR="001B5E1C">
        <w:rPr>
          <w:szCs w:val="24"/>
        </w:rPr>
        <w:t>O</w:t>
      </w:r>
      <w:r w:rsidRPr="0046074F" w:rsidR="00B5456C">
        <w:rPr>
          <w:szCs w:val="24"/>
        </w:rPr>
        <w:t>ffice of the Ohio Consumers’ Counsel (“O</w:t>
      </w:r>
      <w:r w:rsidRPr="0046074F" w:rsidR="001B5E1C">
        <w:rPr>
          <w:szCs w:val="24"/>
        </w:rPr>
        <w:t>CC</w:t>
      </w:r>
      <w:r w:rsidRPr="0046074F" w:rsidR="00B5456C">
        <w:rPr>
          <w:szCs w:val="24"/>
        </w:rPr>
        <w:t>”)</w:t>
      </w:r>
      <w:r w:rsidRPr="0046074F">
        <w:rPr>
          <w:szCs w:val="24"/>
        </w:rPr>
        <w:t xml:space="preserve"> moves to intervene</w:t>
      </w:r>
      <w:r>
        <w:rPr>
          <w:rStyle w:val="FootnoteReference"/>
          <w:szCs w:val="24"/>
        </w:rPr>
        <w:footnoteReference w:id="2"/>
      </w:r>
      <w:r w:rsidRPr="0046074F">
        <w:rPr>
          <w:szCs w:val="24"/>
        </w:rPr>
        <w:t xml:space="preserve"> in this case where </w:t>
      </w:r>
      <w:r w:rsidRPr="0046074F" w:rsidR="00017C4A">
        <w:rPr>
          <w:szCs w:val="24"/>
        </w:rPr>
        <w:t xml:space="preserve">the PUCO </w:t>
      </w:r>
      <w:r w:rsidRPr="0046074F" w:rsidR="00D018A3">
        <w:rPr>
          <w:szCs w:val="24"/>
        </w:rPr>
        <w:t xml:space="preserve">will conduct a management, performance, and financial audit of </w:t>
      </w:r>
      <w:r w:rsidRPr="0046074F" w:rsidR="008E7E9E">
        <w:rPr>
          <w:szCs w:val="24"/>
        </w:rPr>
        <w:t>Ohio Power Company</w:t>
      </w:r>
      <w:r w:rsidRPr="0046074F" w:rsidR="000C4816">
        <w:rPr>
          <w:szCs w:val="24"/>
        </w:rPr>
        <w:t>’s</w:t>
      </w:r>
      <w:r w:rsidRPr="0046074F" w:rsidR="008E7E9E">
        <w:rPr>
          <w:szCs w:val="24"/>
        </w:rPr>
        <w:t xml:space="preserve"> (“AEP”)</w:t>
      </w:r>
      <w:r w:rsidRPr="0046074F" w:rsidR="00EA3412">
        <w:rPr>
          <w:szCs w:val="24"/>
        </w:rPr>
        <w:t xml:space="preserve"> </w:t>
      </w:r>
      <w:r w:rsidRPr="0046074F" w:rsidR="00D957C7">
        <w:rPr>
          <w:szCs w:val="24"/>
        </w:rPr>
        <w:t>PUCO</w:t>
      </w:r>
      <w:r w:rsidRPr="0046074F" w:rsidR="000C4816">
        <w:rPr>
          <w:szCs w:val="24"/>
        </w:rPr>
        <w:t>-approved Alternative Energy Rider (“AER”) for the period January 1, 2018 through December 31, 2022.</w:t>
      </w:r>
      <w:r>
        <w:rPr>
          <w:rStyle w:val="FootnoteReference"/>
          <w:szCs w:val="24"/>
        </w:rPr>
        <w:footnoteReference w:id="3"/>
      </w:r>
      <w:r w:rsidRPr="0046074F" w:rsidR="00D018A3">
        <w:rPr>
          <w:szCs w:val="24"/>
        </w:rPr>
        <w:t xml:space="preserve"> </w:t>
      </w:r>
      <w:r w:rsidRPr="0046074F" w:rsidR="00D16F27">
        <w:rPr>
          <w:szCs w:val="24"/>
        </w:rPr>
        <w:t>From 2018-2022</w:t>
      </w:r>
      <w:r w:rsidRPr="0046074F" w:rsidR="00EE2FC1">
        <w:rPr>
          <w:szCs w:val="24"/>
        </w:rPr>
        <w:t xml:space="preserve">, AEP consumers </w:t>
      </w:r>
      <w:r w:rsidRPr="0046074F" w:rsidR="00020F53">
        <w:rPr>
          <w:szCs w:val="24"/>
        </w:rPr>
        <w:t>were charged</w:t>
      </w:r>
      <w:r w:rsidRPr="0046074F" w:rsidR="00EE2FC1">
        <w:rPr>
          <w:szCs w:val="24"/>
        </w:rPr>
        <w:t xml:space="preserve"> </w:t>
      </w:r>
      <w:r w:rsidRPr="0046074F" w:rsidR="00E319F8">
        <w:rPr>
          <w:szCs w:val="24"/>
        </w:rPr>
        <w:t xml:space="preserve">almost five to ten times more </w:t>
      </w:r>
      <w:r w:rsidRPr="0046074F" w:rsidR="005E16E9">
        <w:rPr>
          <w:szCs w:val="24"/>
        </w:rPr>
        <w:t xml:space="preserve">for the AER </w:t>
      </w:r>
      <w:r w:rsidRPr="0046074F" w:rsidR="00E319F8">
        <w:rPr>
          <w:szCs w:val="24"/>
        </w:rPr>
        <w:t>than consumers of any other electric distribution utility in Ohio.</w:t>
      </w:r>
      <w:r>
        <w:rPr>
          <w:rStyle w:val="FootnoteReference"/>
          <w:szCs w:val="24"/>
        </w:rPr>
        <w:footnoteReference w:id="4"/>
      </w:r>
      <w:r w:rsidRPr="0046074F" w:rsidR="00444EB6">
        <w:rPr>
          <w:szCs w:val="24"/>
        </w:rPr>
        <w:t xml:space="preserve"> </w:t>
      </w:r>
      <w:r w:rsidRPr="0046074F" w:rsidR="00E319F8">
        <w:rPr>
          <w:szCs w:val="24"/>
        </w:rPr>
        <w:t xml:space="preserve">Total </w:t>
      </w:r>
      <w:r w:rsidRPr="0046074F" w:rsidR="005E16E9">
        <w:rPr>
          <w:szCs w:val="24"/>
        </w:rPr>
        <w:t xml:space="preserve">AEP </w:t>
      </w:r>
      <w:r w:rsidRPr="0046074F" w:rsidR="00E319F8">
        <w:rPr>
          <w:szCs w:val="24"/>
        </w:rPr>
        <w:t>AER charges for 2018-2022 were approximately $181 million.</w:t>
      </w:r>
      <w:r w:rsidRPr="0046074F" w:rsidR="00444EB6">
        <w:rPr>
          <w:szCs w:val="24"/>
        </w:rPr>
        <w:t xml:space="preserve"> </w:t>
      </w:r>
    </w:p>
    <w:p w:rsidR="008F0E11" w:rsidRPr="0046074F" w:rsidP="00472CD2" w14:paraId="459D308F" w14:textId="5FB81B11">
      <w:pPr>
        <w:pStyle w:val="BodyTextIndent3"/>
        <w:widowControl w:val="0"/>
        <w:spacing w:line="480" w:lineRule="auto"/>
        <w:ind w:right="-312"/>
        <w:rPr>
          <w:szCs w:val="24"/>
        </w:rPr>
      </w:pPr>
      <w:r w:rsidRPr="0046074F">
        <w:rPr>
          <w:szCs w:val="24"/>
        </w:rPr>
        <w:t>In the most recent audit of AEP’s AER charges (2015 through 2017) t</w:t>
      </w:r>
      <w:r w:rsidRPr="0046074F" w:rsidR="008069A0">
        <w:rPr>
          <w:szCs w:val="24"/>
        </w:rPr>
        <w:t xml:space="preserve">he </w:t>
      </w:r>
      <w:r w:rsidRPr="0046074F" w:rsidR="00642232">
        <w:rPr>
          <w:szCs w:val="24"/>
        </w:rPr>
        <w:t>auditor concluded</w:t>
      </w:r>
      <w:r w:rsidRPr="0046074F" w:rsidR="00A945CB">
        <w:rPr>
          <w:szCs w:val="24"/>
        </w:rPr>
        <w:t xml:space="preserve"> that AEP’s compliance activities “created higher than average AER rates during most of the audit period</w:t>
      </w:r>
      <w:r w:rsidRPr="0046074F" w:rsidR="002C0496">
        <w:rPr>
          <w:szCs w:val="24"/>
        </w:rPr>
        <w:t>….</w:t>
      </w:r>
      <w:r w:rsidRPr="0046074F" w:rsidR="00A945CB">
        <w:rPr>
          <w:szCs w:val="24"/>
        </w:rPr>
        <w:t>”</w:t>
      </w:r>
      <w:r>
        <w:rPr>
          <w:rStyle w:val="FootnoteReference"/>
          <w:szCs w:val="24"/>
        </w:rPr>
        <w:footnoteReference w:id="5"/>
      </w:r>
      <w:r w:rsidRPr="0046074F" w:rsidR="00444EB6">
        <w:rPr>
          <w:szCs w:val="24"/>
        </w:rPr>
        <w:t xml:space="preserve"> </w:t>
      </w:r>
      <w:r w:rsidRPr="0046074F" w:rsidR="006C77AC">
        <w:rPr>
          <w:szCs w:val="24"/>
        </w:rPr>
        <w:t>Th</w:t>
      </w:r>
      <w:r w:rsidRPr="0046074F" w:rsidR="006C7A17">
        <w:rPr>
          <w:szCs w:val="24"/>
        </w:rPr>
        <w:t>at</w:t>
      </w:r>
      <w:r w:rsidRPr="0046074F" w:rsidR="006C77AC">
        <w:rPr>
          <w:szCs w:val="24"/>
        </w:rPr>
        <w:t xml:space="preserve"> audit also concluded that AEP had “areas that could be improved upon, to reduce costs to customers.”</w:t>
      </w:r>
      <w:r>
        <w:rPr>
          <w:rStyle w:val="FootnoteReference"/>
          <w:szCs w:val="24"/>
        </w:rPr>
        <w:footnoteReference w:id="6"/>
      </w:r>
      <w:r w:rsidRPr="0046074F" w:rsidR="00472CD2">
        <w:rPr>
          <w:szCs w:val="24"/>
        </w:rPr>
        <w:t xml:space="preserve"> </w:t>
      </w:r>
    </w:p>
    <w:p w:rsidR="00596EAF" w:rsidRPr="0046074F" w:rsidP="00596EAF" w14:paraId="6AE1F519" w14:textId="0C95AF80">
      <w:pPr>
        <w:pStyle w:val="BodyTextIndent3"/>
        <w:widowControl w:val="0"/>
        <w:spacing w:line="480" w:lineRule="auto"/>
        <w:ind w:right="-312"/>
        <w:rPr>
          <w:szCs w:val="24"/>
        </w:rPr>
      </w:pPr>
      <w:r w:rsidRPr="0046074F">
        <w:rPr>
          <w:szCs w:val="24"/>
        </w:rPr>
        <w:t>OCC</w:t>
      </w:r>
      <w:r w:rsidRPr="0046074F" w:rsidR="00EA3412">
        <w:rPr>
          <w:szCs w:val="24"/>
        </w:rPr>
        <w:t xml:space="preserve"> files this motion on behalf of AEP</w:t>
      </w:r>
      <w:r w:rsidRPr="0046074F" w:rsidR="00D957C7">
        <w:rPr>
          <w:szCs w:val="24"/>
        </w:rPr>
        <w:t>’</w:t>
      </w:r>
      <w:r w:rsidRPr="0046074F" w:rsidR="00EA3412">
        <w:rPr>
          <w:szCs w:val="24"/>
        </w:rPr>
        <w:t>s 1.</w:t>
      </w:r>
      <w:r w:rsidRPr="0046074F" w:rsidR="00CA4B96">
        <w:rPr>
          <w:szCs w:val="24"/>
        </w:rPr>
        <w:t>3</w:t>
      </w:r>
      <w:r w:rsidRPr="0046074F" w:rsidR="00EA3412">
        <w:rPr>
          <w:szCs w:val="24"/>
        </w:rPr>
        <w:t xml:space="preserve"> million residential electric customers</w:t>
      </w:r>
      <w:r w:rsidRPr="0046074F" w:rsidR="00DC702E">
        <w:rPr>
          <w:szCs w:val="24"/>
        </w:rPr>
        <w:t>.</w:t>
      </w:r>
      <w:r w:rsidRPr="0046074F" w:rsidR="00842D33">
        <w:rPr>
          <w:szCs w:val="24"/>
        </w:rPr>
        <w:t xml:space="preserve"> The reasons </w:t>
      </w:r>
      <w:r w:rsidRPr="0046074F" w:rsidR="008E7E9E">
        <w:rPr>
          <w:szCs w:val="24"/>
        </w:rPr>
        <w:t xml:space="preserve">the </w:t>
      </w:r>
      <w:r w:rsidRPr="0046074F" w:rsidR="000C30B5">
        <w:rPr>
          <w:szCs w:val="24"/>
        </w:rPr>
        <w:t>P</w:t>
      </w:r>
      <w:r w:rsidRPr="0046074F" w:rsidR="008E7E9E">
        <w:rPr>
          <w:szCs w:val="24"/>
        </w:rPr>
        <w:t>ublic Utilities Commission (“PUCO”)</w:t>
      </w:r>
      <w:r w:rsidRPr="0046074F" w:rsidR="00842D33">
        <w:rPr>
          <w:szCs w:val="24"/>
        </w:rPr>
        <w:t xml:space="preserve"> should grant OCC’s Motion are further set forth in the attached Memorandum in Support.</w:t>
      </w:r>
    </w:p>
    <w:p w:rsidR="00614CD5" w:rsidRPr="0046074F" w:rsidP="00BA333B" w14:paraId="71C73ACE" w14:textId="77777777">
      <w:pPr>
        <w:pStyle w:val="BodyTextIndent3"/>
        <w:widowControl w:val="0"/>
        <w:spacing w:line="480" w:lineRule="auto"/>
        <w:ind w:left="4320" w:right="-312" w:firstLine="0"/>
        <w:rPr>
          <w:szCs w:val="24"/>
        </w:rPr>
      </w:pPr>
      <w:bookmarkStart w:id="2" w:name="_Hlk152344303"/>
      <w:r w:rsidRPr="0046074F">
        <w:rPr>
          <w:szCs w:val="24"/>
        </w:rPr>
        <w:t>Respectfully submitted,</w:t>
      </w:r>
    </w:p>
    <w:p w:rsidR="00BA333B" w:rsidRPr="0046074F" w:rsidP="00BA333B" w14:paraId="61BE560E" w14:textId="3DF577B0">
      <w:pPr>
        <w:tabs>
          <w:tab w:val="right" w:pos="8640"/>
        </w:tabs>
        <w:ind w:left="4320"/>
        <w:rPr>
          <w:szCs w:val="24"/>
          <w:lang w:bidi="en-US"/>
        </w:rPr>
      </w:pPr>
      <w:bookmarkStart w:id="3" w:name="_Hlk152321766"/>
      <w:r w:rsidRPr="0046074F">
        <w:rPr>
          <w:szCs w:val="24"/>
          <w:lang w:bidi="en-US"/>
        </w:rPr>
        <w:t>Maureen R. Willis (0020847)</w:t>
      </w:r>
    </w:p>
    <w:p w:rsidR="00BA333B" w:rsidRPr="0046074F" w:rsidP="00BA333B" w14:paraId="5DF84DFF" w14:textId="77777777">
      <w:pPr>
        <w:ind w:left="4320"/>
        <w:contextualSpacing/>
        <w:rPr>
          <w:rFonts w:eastAsia="Calibri"/>
          <w:szCs w:val="24"/>
          <w:lang w:bidi="en-US"/>
        </w:rPr>
      </w:pPr>
      <w:r w:rsidRPr="0046074F">
        <w:rPr>
          <w:rFonts w:eastAsia="Calibri"/>
          <w:szCs w:val="24"/>
          <w:lang w:bidi="en-US"/>
        </w:rPr>
        <w:t>Ohio Consumers’ Counsel</w:t>
      </w:r>
    </w:p>
    <w:p w:rsidR="00CA4B96" w:rsidRPr="0046074F" w:rsidP="00BA333B" w14:paraId="5765093D" w14:textId="77777777">
      <w:pPr>
        <w:ind w:left="4320"/>
        <w:contextualSpacing/>
        <w:rPr>
          <w:rFonts w:eastAsia="Calibri"/>
          <w:szCs w:val="24"/>
          <w:lang w:bidi="en-US"/>
        </w:rPr>
      </w:pPr>
    </w:p>
    <w:p w:rsidR="00BA333B" w:rsidRPr="0046074F" w:rsidP="00BA333B" w14:paraId="19D51398" w14:textId="306BFF79">
      <w:pPr>
        <w:ind w:left="4320"/>
        <w:contextualSpacing/>
        <w:rPr>
          <w:rFonts w:eastAsia="Calibri"/>
          <w:szCs w:val="24"/>
          <w:lang w:bidi="en-US"/>
        </w:rPr>
      </w:pPr>
      <w:r w:rsidRPr="0046074F">
        <w:rPr>
          <w:rFonts w:eastAsia="Calibri"/>
          <w:i/>
          <w:iCs/>
          <w:szCs w:val="24"/>
          <w:u w:val="single"/>
          <w:lang w:bidi="en-US"/>
        </w:rPr>
        <w:t>/s/ Donald J. Kra</w:t>
      </w:r>
      <w:r w:rsidRPr="0046074F" w:rsidR="00A00710">
        <w:rPr>
          <w:rFonts w:eastAsia="Calibri"/>
          <w:i/>
          <w:iCs/>
          <w:szCs w:val="24"/>
          <w:u w:val="single"/>
          <w:lang w:bidi="en-US"/>
        </w:rPr>
        <w:t>l</w:t>
      </w:r>
      <w:r w:rsidRPr="0046074F">
        <w:rPr>
          <w:rFonts w:eastAsia="Calibri"/>
          <w:szCs w:val="24"/>
          <w:lang w:bidi="en-US"/>
        </w:rPr>
        <w:tab/>
      </w:r>
    </w:p>
    <w:p w:rsidR="00BA333B" w:rsidRPr="0046074F" w:rsidP="00BA333B" w14:paraId="1E5D6D89" w14:textId="77777777">
      <w:pPr>
        <w:tabs>
          <w:tab w:val="left" w:pos="4320"/>
        </w:tabs>
        <w:ind w:left="4320"/>
        <w:rPr>
          <w:color w:val="000000"/>
          <w:szCs w:val="24"/>
          <w:lang w:bidi="en-US"/>
        </w:rPr>
      </w:pPr>
      <w:r w:rsidRPr="0046074F">
        <w:rPr>
          <w:color w:val="000000"/>
          <w:szCs w:val="24"/>
          <w:lang w:bidi="en-US"/>
        </w:rPr>
        <w:t>Donald J. Kral (0042091)</w:t>
      </w:r>
    </w:p>
    <w:p w:rsidR="00BA333B" w:rsidRPr="0046074F" w:rsidP="00BA333B" w14:paraId="013FE6E8" w14:textId="77777777">
      <w:pPr>
        <w:ind w:left="4320"/>
        <w:rPr>
          <w:color w:val="000000"/>
          <w:szCs w:val="24"/>
          <w:lang w:bidi="en-US"/>
        </w:rPr>
      </w:pPr>
      <w:r w:rsidRPr="0046074F">
        <w:rPr>
          <w:color w:val="000000"/>
          <w:szCs w:val="24"/>
          <w:lang w:bidi="en-US"/>
        </w:rPr>
        <w:t xml:space="preserve">Counsel of Record </w:t>
      </w:r>
    </w:p>
    <w:p w:rsidR="008F5F56" w:rsidRPr="0046074F" w:rsidP="008F5F56" w14:paraId="3928A3F0" w14:textId="77777777">
      <w:pPr>
        <w:tabs>
          <w:tab w:val="left" w:pos="8730"/>
        </w:tabs>
        <w:ind w:left="4320"/>
        <w:rPr>
          <w:szCs w:val="24"/>
        </w:rPr>
      </w:pPr>
      <w:r w:rsidRPr="0046074F">
        <w:rPr>
          <w:szCs w:val="24"/>
        </w:rPr>
        <w:t>Thomas Brodbeck (0093920)</w:t>
      </w:r>
      <w:r w:rsidRPr="0046074F">
        <w:rPr>
          <w:szCs w:val="24"/>
        </w:rPr>
        <w:br/>
        <w:t>Assistant Consumers’ Counsel</w:t>
      </w:r>
    </w:p>
    <w:p w:rsidR="00BA333B" w:rsidRPr="0046074F" w:rsidP="00BA333B" w14:paraId="5364A6D2" w14:textId="77777777">
      <w:pPr>
        <w:ind w:left="4320"/>
        <w:rPr>
          <w:b/>
          <w:i/>
          <w:iCs/>
          <w:color w:val="000000"/>
          <w:szCs w:val="24"/>
          <w:lang w:bidi="en-US"/>
        </w:rPr>
      </w:pPr>
    </w:p>
    <w:p w:rsidR="00BA333B" w:rsidRPr="0046074F" w:rsidP="00BA333B" w14:paraId="5760A632" w14:textId="77777777">
      <w:pPr>
        <w:ind w:left="4320"/>
        <w:rPr>
          <w:b/>
          <w:color w:val="000000"/>
          <w:szCs w:val="24"/>
          <w:lang w:bidi="en-US"/>
        </w:rPr>
      </w:pPr>
      <w:r w:rsidRPr="0046074F">
        <w:rPr>
          <w:b/>
          <w:color w:val="000000"/>
          <w:szCs w:val="24"/>
          <w:lang w:bidi="en-US"/>
        </w:rPr>
        <w:t>Office of the Ohio Consumers’ Counsel</w:t>
      </w:r>
    </w:p>
    <w:p w:rsidR="00BA333B" w:rsidRPr="0046074F" w:rsidP="00BA333B" w14:paraId="31D4B930" w14:textId="77777777">
      <w:pPr>
        <w:ind w:left="4320"/>
        <w:rPr>
          <w:color w:val="000000"/>
          <w:szCs w:val="24"/>
          <w:lang w:bidi="en-US"/>
        </w:rPr>
      </w:pPr>
      <w:r w:rsidRPr="0046074F">
        <w:rPr>
          <w:color w:val="000000"/>
          <w:szCs w:val="24"/>
          <w:lang w:bidi="en-US"/>
        </w:rPr>
        <w:t>65 East State Street, Suite 700</w:t>
      </w:r>
    </w:p>
    <w:p w:rsidR="00BA333B" w:rsidRPr="0046074F" w:rsidP="00BA333B" w14:paraId="48D124ED" w14:textId="77777777">
      <w:pPr>
        <w:ind w:left="4320"/>
        <w:rPr>
          <w:color w:val="000000"/>
          <w:szCs w:val="24"/>
          <w:lang w:bidi="en-US"/>
        </w:rPr>
      </w:pPr>
      <w:r w:rsidRPr="0046074F">
        <w:rPr>
          <w:color w:val="000000"/>
          <w:szCs w:val="24"/>
          <w:lang w:bidi="en-US"/>
        </w:rPr>
        <w:t>Columbus, Ohio 43215</w:t>
      </w:r>
      <w:r w:rsidRPr="0046074F">
        <w:rPr>
          <w:color w:val="000000"/>
          <w:szCs w:val="24"/>
          <w:lang w:bidi="en-US"/>
        </w:rPr>
        <w:tab/>
      </w:r>
    </w:p>
    <w:p w:rsidR="00BA333B" w:rsidRPr="0046074F" w:rsidP="00BA333B" w14:paraId="1A8284AC" w14:textId="77777777">
      <w:pPr>
        <w:ind w:left="4320"/>
        <w:rPr>
          <w:color w:val="000000"/>
          <w:szCs w:val="24"/>
          <w:lang w:bidi="en-US"/>
        </w:rPr>
      </w:pPr>
      <w:r w:rsidRPr="0046074F">
        <w:rPr>
          <w:color w:val="000000"/>
          <w:szCs w:val="24"/>
          <w:lang w:bidi="en-US"/>
        </w:rPr>
        <w:t>Telephone [Kral]: (614) 466-9571</w:t>
      </w:r>
    </w:p>
    <w:p w:rsidR="008F5F56" w:rsidRPr="0046074F" w:rsidP="00BA333B" w14:paraId="27BD507C" w14:textId="150E43B7">
      <w:pPr>
        <w:ind w:left="4320"/>
        <w:rPr>
          <w:color w:val="000000"/>
          <w:szCs w:val="24"/>
          <w:lang w:bidi="en-US"/>
        </w:rPr>
      </w:pPr>
      <w:r w:rsidRPr="0046074F">
        <w:rPr>
          <w:szCs w:val="24"/>
        </w:rPr>
        <w:t>Telephone [Brodbeck]: (614) 466-9565</w:t>
      </w:r>
    </w:p>
    <w:p w:rsidR="00BA333B" w:rsidRPr="0046074F" w:rsidP="00BA333B" w14:paraId="57319AFA" w14:textId="77777777">
      <w:pPr>
        <w:ind w:left="4320"/>
        <w:rPr>
          <w:rStyle w:val="Hyperlink"/>
          <w:szCs w:val="24"/>
        </w:rPr>
      </w:pPr>
      <w:hyperlink r:id="rId6" w:history="1">
        <w:r w:rsidRPr="0046074F">
          <w:rPr>
            <w:rStyle w:val="Hyperlink"/>
            <w:szCs w:val="24"/>
          </w:rPr>
          <w:t>donald.kral@occ.ohio.gov</w:t>
        </w:r>
      </w:hyperlink>
    </w:p>
    <w:p w:rsidR="008F5F56" w:rsidRPr="0046074F" w:rsidP="008F5F56" w14:paraId="36079C8A" w14:textId="77777777">
      <w:pPr>
        <w:tabs>
          <w:tab w:val="left" w:pos="8730"/>
        </w:tabs>
        <w:ind w:left="4320"/>
        <w:rPr>
          <w:color w:val="0000FF"/>
          <w:szCs w:val="24"/>
        </w:rPr>
      </w:pPr>
      <w:hyperlink r:id="rId7" w:history="1">
        <w:r w:rsidRPr="0046074F">
          <w:rPr>
            <w:rStyle w:val="Hyperlink"/>
            <w:szCs w:val="24"/>
          </w:rPr>
          <w:t>thomas.brodbeck@occ.ohio.gov</w:t>
        </w:r>
      </w:hyperlink>
    </w:p>
    <w:p w:rsidR="00BA333B" w:rsidRPr="0046074F" w:rsidP="00BA333B" w14:paraId="6FBD35E2" w14:textId="2DF26709">
      <w:pPr>
        <w:rPr>
          <w:szCs w:val="24"/>
          <w:lang w:bidi="en-US"/>
        </w:rPr>
      </w:pPr>
      <w:r w:rsidRPr="0046074F">
        <w:rPr>
          <w:szCs w:val="24"/>
          <w:lang w:bidi="en-US"/>
        </w:rPr>
        <w:tab/>
      </w:r>
      <w:r w:rsidRPr="0046074F">
        <w:rPr>
          <w:szCs w:val="24"/>
          <w:lang w:bidi="en-US"/>
        </w:rPr>
        <w:tab/>
      </w:r>
      <w:r w:rsidRPr="0046074F">
        <w:rPr>
          <w:szCs w:val="24"/>
          <w:lang w:bidi="en-US"/>
        </w:rPr>
        <w:tab/>
      </w:r>
      <w:r w:rsidRPr="0046074F">
        <w:rPr>
          <w:szCs w:val="24"/>
          <w:lang w:bidi="en-US"/>
        </w:rPr>
        <w:tab/>
      </w:r>
      <w:r w:rsidRPr="0046074F">
        <w:rPr>
          <w:szCs w:val="24"/>
          <w:lang w:bidi="en-US"/>
        </w:rPr>
        <w:tab/>
      </w:r>
      <w:r w:rsidRPr="0046074F">
        <w:rPr>
          <w:szCs w:val="24"/>
          <w:lang w:bidi="en-US"/>
        </w:rPr>
        <w:tab/>
        <w:t>(willing to accept service by e-mail</w:t>
      </w:r>
      <w:bookmarkEnd w:id="3"/>
      <w:r w:rsidRPr="0046074F">
        <w:rPr>
          <w:szCs w:val="24"/>
          <w:lang w:bidi="en-US"/>
        </w:rPr>
        <w:t>)</w:t>
      </w:r>
    </w:p>
    <w:bookmarkEnd w:id="2"/>
    <w:p w:rsidR="00BA333B" w:rsidRPr="0046074F" w:rsidP="00BA333B" w14:paraId="609F40AE" w14:textId="48C906CD">
      <w:pPr>
        <w:pStyle w:val="BodyTextIndent3"/>
        <w:widowControl w:val="0"/>
        <w:spacing w:line="480" w:lineRule="auto"/>
        <w:ind w:right="-312" w:firstLine="0"/>
        <w:rPr>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65"/>
        </w:sectPr>
      </w:pPr>
    </w:p>
    <w:p w:rsidR="00845BD8" w:rsidRPr="0046074F" w:rsidP="00845BD8" w14:paraId="58813EE2" w14:textId="77777777">
      <w:pPr>
        <w:pStyle w:val="HTMLPreformatted"/>
        <w:jc w:val="center"/>
        <w:rPr>
          <w:rFonts w:ascii="Times New Roman" w:hAnsi="Times New Roman" w:cs="Times New Roman"/>
          <w:b/>
          <w:bCs/>
          <w:sz w:val="24"/>
          <w:szCs w:val="24"/>
        </w:rPr>
      </w:pPr>
      <w:r w:rsidRPr="0046074F">
        <w:rPr>
          <w:rFonts w:ascii="Times New Roman" w:hAnsi="Times New Roman" w:cs="Times New Roman"/>
          <w:b/>
          <w:bCs/>
          <w:sz w:val="24"/>
          <w:szCs w:val="24"/>
        </w:rPr>
        <w:t>BEFORE</w:t>
      </w:r>
    </w:p>
    <w:p w:rsidR="00845BD8" w:rsidRPr="0046074F" w:rsidP="00845BD8" w14:paraId="71563E9D" w14:textId="77777777">
      <w:pPr>
        <w:pStyle w:val="HTMLPreformatted"/>
        <w:jc w:val="center"/>
        <w:rPr>
          <w:rFonts w:ascii="Times New Roman" w:hAnsi="Times New Roman" w:cs="Times New Roman"/>
          <w:sz w:val="24"/>
          <w:szCs w:val="24"/>
        </w:rPr>
      </w:pPr>
      <w:r w:rsidRPr="0046074F">
        <w:rPr>
          <w:rFonts w:ascii="Times New Roman" w:hAnsi="Times New Roman" w:cs="Times New Roman"/>
          <w:b/>
          <w:bCs/>
          <w:sz w:val="24"/>
          <w:szCs w:val="24"/>
        </w:rPr>
        <w:t>THE PUBLIC UTILITIES COMMISSION OF OHIO</w:t>
      </w:r>
    </w:p>
    <w:p w:rsidR="00845BD8" w:rsidRPr="0046074F" w:rsidP="00845BD8" w14:paraId="14ACF710" w14:textId="77777777">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14:paraId="2E6F6EF8" w14:textId="77777777" w:rsidTr="00022956">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756B4C" w:rsidRPr="0046074F" w:rsidP="00022956" w14:paraId="4D2E90B8" w14:textId="77777777">
            <w:pPr>
              <w:autoSpaceDE w:val="0"/>
              <w:autoSpaceDN w:val="0"/>
              <w:adjustRightInd w:val="0"/>
              <w:rPr>
                <w:sz w:val="24"/>
                <w:szCs w:val="24"/>
                <w:lang w:val="en-US" w:eastAsia="en-US" w:bidi="ar-SA"/>
              </w:rPr>
            </w:pPr>
            <w:r w:rsidRPr="0046074F">
              <w:rPr>
                <w:sz w:val="24"/>
                <w:szCs w:val="24"/>
                <w:lang w:val="en-US" w:eastAsia="en-US" w:bidi="ar-SA"/>
              </w:rPr>
              <w:t>In the Matter of the 2018 Through 2022 Review of the Alternative Energy Rider of Ohio Power Company.</w:t>
            </w:r>
          </w:p>
        </w:tc>
        <w:tc>
          <w:tcPr>
            <w:tcW w:w="360" w:type="dxa"/>
            <w:shd w:val="clear" w:color="auto" w:fill="auto"/>
          </w:tcPr>
          <w:p w:rsidR="00756B4C" w:rsidRPr="0046074F" w:rsidP="00022956" w14:paraId="0E72CDE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w:t>
            </w:r>
          </w:p>
          <w:p w:rsidR="00756B4C" w:rsidRPr="0046074F" w:rsidP="00022956" w14:paraId="6552798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w:t>
            </w:r>
          </w:p>
          <w:p w:rsidR="00756B4C" w:rsidRPr="0046074F" w:rsidP="00022956" w14:paraId="70A0B1A7" w14:textId="5854A57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w:t>
            </w:r>
          </w:p>
        </w:tc>
        <w:tc>
          <w:tcPr>
            <w:tcW w:w="4400" w:type="dxa"/>
            <w:shd w:val="clear" w:color="auto" w:fill="auto"/>
          </w:tcPr>
          <w:p w:rsidR="00756B4C" w:rsidRPr="0046074F" w:rsidP="00022956" w14:paraId="5FCC417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756B4C" w:rsidRPr="0046074F" w:rsidP="00022956" w14:paraId="39F7439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6074F">
              <w:rPr>
                <w:rFonts w:ascii="Times New Roman" w:eastAsia="Courier New" w:hAnsi="Times New Roman" w:cs="Times New Roman"/>
                <w:sz w:val="24"/>
                <w:szCs w:val="24"/>
                <w:lang w:val="en-US" w:eastAsia="en-US" w:bidi="ar-SA"/>
              </w:rPr>
              <w:t>Case No. 23-251-EL-RDR</w:t>
            </w:r>
          </w:p>
          <w:p w:rsidR="00756B4C" w:rsidRPr="0046074F" w:rsidP="00022956" w14:paraId="5DE828B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845BD8" w:rsidRPr="0046074F" w:rsidP="00845BD8" w14:paraId="405DCCBE" w14:textId="77777777">
      <w:pPr>
        <w:pStyle w:val="HTMLPreformatted"/>
        <w:rPr>
          <w:rFonts w:ascii="Times New Roman" w:hAnsi="Times New Roman" w:cs="Times New Roman"/>
          <w:sz w:val="24"/>
          <w:szCs w:val="24"/>
        </w:rPr>
      </w:pPr>
    </w:p>
    <w:p w:rsidR="00614CD5" w:rsidRPr="0046074F" w:rsidP="00614CD5" w14:paraId="698459E1" w14:textId="77777777">
      <w:pPr>
        <w:pStyle w:val="HTMLPreformatted"/>
        <w:pBdr>
          <w:top w:val="single" w:sz="12" w:space="1" w:color="auto"/>
        </w:pBdr>
        <w:rPr>
          <w:rFonts w:ascii="Times New Roman" w:hAnsi="Times New Roman" w:cs="Times New Roman"/>
          <w:sz w:val="24"/>
          <w:szCs w:val="24"/>
        </w:rPr>
      </w:pPr>
    </w:p>
    <w:p w:rsidR="00614CD5" w:rsidRPr="0046074F" w:rsidP="00614CD5" w14:paraId="15790A2C" w14:textId="77777777">
      <w:pPr>
        <w:jc w:val="center"/>
        <w:rPr>
          <w:b/>
          <w:bCs/>
          <w:szCs w:val="24"/>
        </w:rPr>
      </w:pPr>
      <w:r w:rsidRPr="0046074F">
        <w:rPr>
          <w:b/>
          <w:bCs/>
          <w:szCs w:val="24"/>
        </w:rPr>
        <w:t>MEMORANDUM IN SUPPORT</w:t>
      </w:r>
    </w:p>
    <w:p w:rsidR="00614CD5" w:rsidRPr="0046074F" w:rsidP="00614CD5" w14:paraId="5F87F002" w14:textId="77777777">
      <w:pPr>
        <w:pBdr>
          <w:bottom w:val="single" w:sz="12" w:space="1" w:color="auto"/>
        </w:pBdr>
        <w:tabs>
          <w:tab w:val="left" w:pos="4320"/>
        </w:tabs>
        <w:rPr>
          <w:szCs w:val="24"/>
        </w:rPr>
      </w:pPr>
    </w:p>
    <w:p w:rsidR="00614CD5" w:rsidRPr="0046074F" w:rsidP="00614CD5" w14:paraId="7D0F5523" w14:textId="77777777">
      <w:pPr>
        <w:tabs>
          <w:tab w:val="left" w:pos="4320"/>
        </w:tabs>
        <w:rPr>
          <w:szCs w:val="24"/>
        </w:rPr>
      </w:pPr>
    </w:p>
    <w:p w:rsidR="008069A0" w:rsidRPr="0046074F" w:rsidP="008069A0" w14:paraId="0C0287F6" w14:textId="54B26D27">
      <w:pPr>
        <w:pStyle w:val="BodyTextIndent3"/>
        <w:widowControl w:val="0"/>
        <w:spacing w:line="480" w:lineRule="auto"/>
        <w:ind w:right="-312"/>
        <w:rPr>
          <w:szCs w:val="24"/>
        </w:rPr>
      </w:pPr>
      <w:r w:rsidRPr="0046074F">
        <w:rPr>
          <w:szCs w:val="24"/>
        </w:rPr>
        <w:t xml:space="preserve"> This case concerns the PUCO’s management, performance, and financial audit of AEP’s PUCO-approved Alternative Energy Rider (“AER</w:t>
      </w:r>
      <w:r w:rsidRPr="0046074F" w:rsidR="00111198">
        <w:rPr>
          <w:szCs w:val="24"/>
        </w:rPr>
        <w:t>”</w:t>
      </w:r>
      <w:r w:rsidRPr="0046074F">
        <w:rPr>
          <w:szCs w:val="24"/>
        </w:rPr>
        <w:t>) for the period January 1, 2018 through December 31, 2022.</w:t>
      </w:r>
      <w:r>
        <w:rPr>
          <w:rStyle w:val="FootnoteReference"/>
          <w:szCs w:val="24"/>
        </w:rPr>
        <w:footnoteReference w:id="7"/>
      </w:r>
      <w:r w:rsidRPr="0046074F" w:rsidR="00444EB6">
        <w:rPr>
          <w:szCs w:val="24"/>
        </w:rPr>
        <w:t xml:space="preserve"> </w:t>
      </w:r>
      <w:r w:rsidRPr="0046074F">
        <w:rPr>
          <w:color w:val="000000"/>
          <w:szCs w:val="24"/>
        </w:rPr>
        <w:t>During this period, AEP</w:t>
      </w:r>
      <w:r w:rsidRPr="0046074F" w:rsidR="00103DE6">
        <w:rPr>
          <w:color w:val="000000"/>
          <w:szCs w:val="24"/>
        </w:rPr>
        <w:t xml:space="preserve"> collected through the </w:t>
      </w:r>
      <w:r w:rsidRPr="0046074F">
        <w:rPr>
          <w:szCs w:val="24"/>
        </w:rPr>
        <w:t>PUCO-approved AER</w:t>
      </w:r>
      <w:r w:rsidRPr="0046074F" w:rsidR="00662DB9">
        <w:rPr>
          <w:szCs w:val="24"/>
        </w:rPr>
        <w:t xml:space="preserve"> </w:t>
      </w:r>
      <w:r w:rsidRPr="0046074F" w:rsidR="005B5E7E">
        <w:rPr>
          <w:szCs w:val="24"/>
        </w:rPr>
        <w:t>on average</w:t>
      </w:r>
      <w:r w:rsidRPr="0046074F">
        <w:rPr>
          <w:szCs w:val="24"/>
        </w:rPr>
        <w:t xml:space="preserve"> $</w:t>
      </w:r>
      <w:r w:rsidRPr="0046074F" w:rsidR="005E16E9">
        <w:rPr>
          <w:szCs w:val="24"/>
        </w:rPr>
        <w:t>139.26</w:t>
      </w:r>
      <w:r>
        <w:rPr>
          <w:rStyle w:val="FootnoteReference"/>
          <w:szCs w:val="24"/>
        </w:rPr>
        <w:footnoteReference w:id="8"/>
      </w:r>
      <w:r w:rsidRPr="0046074F">
        <w:rPr>
          <w:szCs w:val="24"/>
        </w:rPr>
        <w:t xml:space="preserve"> from</w:t>
      </w:r>
      <w:r w:rsidRPr="0046074F" w:rsidR="005B5E7E">
        <w:rPr>
          <w:szCs w:val="24"/>
        </w:rPr>
        <w:t xml:space="preserve"> each</w:t>
      </w:r>
      <w:r w:rsidRPr="0046074F">
        <w:rPr>
          <w:szCs w:val="24"/>
        </w:rPr>
        <w:t xml:space="preserve"> </w:t>
      </w:r>
      <w:r w:rsidRPr="0046074F" w:rsidR="005B5E7E">
        <w:rPr>
          <w:szCs w:val="24"/>
        </w:rPr>
        <w:t xml:space="preserve">residential </w:t>
      </w:r>
      <w:r w:rsidRPr="0046074F">
        <w:rPr>
          <w:szCs w:val="24"/>
        </w:rPr>
        <w:t xml:space="preserve">consumer. </w:t>
      </w:r>
      <w:r w:rsidRPr="0046074F" w:rsidR="005B5E7E">
        <w:rPr>
          <w:szCs w:val="24"/>
        </w:rPr>
        <w:t>In total</w:t>
      </w:r>
      <w:r w:rsidRPr="0046074F" w:rsidR="00103DE6">
        <w:rPr>
          <w:szCs w:val="24"/>
        </w:rPr>
        <w:t>, AEP collected</w:t>
      </w:r>
      <w:r w:rsidRPr="0046074F" w:rsidR="005B5E7E">
        <w:rPr>
          <w:szCs w:val="24"/>
        </w:rPr>
        <w:t xml:space="preserve"> </w:t>
      </w:r>
      <w:r w:rsidRPr="0046074F" w:rsidR="005E16E9">
        <w:rPr>
          <w:szCs w:val="24"/>
        </w:rPr>
        <w:t xml:space="preserve">approximately $181 </w:t>
      </w:r>
      <w:r w:rsidRPr="0046074F" w:rsidR="005B5E7E">
        <w:rPr>
          <w:szCs w:val="24"/>
        </w:rPr>
        <w:t>million from residential consumers under the AER during the period January 1, 2018 through December 31, 2022.</w:t>
      </w:r>
      <w:r w:rsidRPr="0046074F" w:rsidR="00444EB6">
        <w:rPr>
          <w:szCs w:val="24"/>
        </w:rPr>
        <w:t xml:space="preserve"> </w:t>
      </w:r>
      <w:r w:rsidRPr="0046074F" w:rsidR="00527677">
        <w:rPr>
          <w:szCs w:val="24"/>
        </w:rPr>
        <w:t>AEP’s charges to residential consumers far exceeded any other electric distribution utility in Ohio.</w:t>
      </w:r>
      <w:r w:rsidRPr="0046074F" w:rsidR="00444EB6">
        <w:rPr>
          <w:szCs w:val="24"/>
        </w:rPr>
        <w:t xml:space="preserve"> </w:t>
      </w:r>
      <w:r w:rsidRPr="0046074F" w:rsidR="00527677">
        <w:rPr>
          <w:szCs w:val="24"/>
        </w:rPr>
        <w:t>C</w:t>
      </w:r>
      <w:r w:rsidRPr="0046074F">
        <w:rPr>
          <w:szCs w:val="24"/>
        </w:rPr>
        <w:t>harges for AEP consumers were 10 times greater than charges for Duke’s consumers; 9 times greater than charges for DP&amp;L consumers; and 4 times greater than charges for FirstEnergy consumers.</w:t>
      </w:r>
      <w:r>
        <w:rPr>
          <w:rStyle w:val="FootnoteReference"/>
          <w:szCs w:val="24"/>
        </w:rPr>
        <w:footnoteReference w:id="9"/>
      </w:r>
    </w:p>
    <w:p w:rsidR="00BD4D73" w:rsidRPr="0046074F" w:rsidP="00304BC9" w14:paraId="017AC3C7" w14:textId="63298960">
      <w:pPr>
        <w:pStyle w:val="BodyTextIndent3"/>
        <w:widowControl w:val="0"/>
        <w:spacing w:line="480" w:lineRule="auto"/>
        <w:ind w:right="-312"/>
        <w:rPr>
          <w:szCs w:val="24"/>
        </w:rPr>
      </w:pPr>
      <w:r w:rsidRPr="0046074F">
        <w:rPr>
          <w:szCs w:val="24"/>
        </w:rPr>
        <w:t xml:space="preserve">The audit ordered by the PUCO in this matter comes after the most recent audit of the AER (for 2015 through 2017) </w:t>
      </w:r>
      <w:r w:rsidRPr="0046074F" w:rsidR="008F6917">
        <w:rPr>
          <w:szCs w:val="24"/>
        </w:rPr>
        <w:t xml:space="preserve">that </w:t>
      </w:r>
      <w:r w:rsidRPr="0046074F">
        <w:rPr>
          <w:szCs w:val="24"/>
        </w:rPr>
        <w:t>concluded that AEP’s compliance activities “created higher than average AER rates during most of the audit period….”</w:t>
      </w:r>
      <w:r>
        <w:rPr>
          <w:rStyle w:val="FootnoteReference"/>
          <w:szCs w:val="24"/>
        </w:rPr>
        <w:footnoteReference w:id="10"/>
      </w:r>
      <w:r w:rsidRPr="0046074F" w:rsidR="00444EB6">
        <w:rPr>
          <w:szCs w:val="24"/>
        </w:rPr>
        <w:t xml:space="preserve"> </w:t>
      </w:r>
      <w:r w:rsidRPr="0046074F">
        <w:rPr>
          <w:szCs w:val="24"/>
        </w:rPr>
        <w:t>That audit also concluded that AEP had “areas that could be improved upon, to reduce costs to customers.”</w:t>
      </w:r>
      <w:r>
        <w:rPr>
          <w:rStyle w:val="FootnoteReference"/>
          <w:szCs w:val="24"/>
        </w:rPr>
        <w:footnoteReference w:id="11"/>
      </w:r>
    </w:p>
    <w:p w:rsidR="00304BC9" w:rsidRPr="0046074F" w:rsidP="00472CD2" w14:paraId="0D394584" w14:textId="70BEC2BB">
      <w:pPr>
        <w:pStyle w:val="BodyTextIndent3"/>
        <w:widowControl w:val="0"/>
        <w:spacing w:line="480" w:lineRule="auto"/>
        <w:ind w:right="-312"/>
        <w:rPr>
          <w:szCs w:val="24"/>
        </w:rPr>
      </w:pPr>
      <w:r w:rsidRPr="0046074F">
        <w:rPr>
          <w:szCs w:val="24"/>
        </w:rPr>
        <w:t>The PUCO has further directed that the auditor will review and make a recommendation regarding AEP’s rate proposal in Case No. 20-1745-EL-RDR.</w:t>
      </w:r>
      <w:r>
        <w:rPr>
          <w:rStyle w:val="FootnoteReference"/>
          <w:szCs w:val="24"/>
        </w:rPr>
        <w:footnoteReference w:id="12"/>
      </w:r>
      <w:r w:rsidRPr="0046074F" w:rsidR="00444EB6">
        <w:rPr>
          <w:szCs w:val="24"/>
        </w:rPr>
        <w:t xml:space="preserve"> </w:t>
      </w:r>
      <w:r w:rsidRPr="0046074F">
        <w:rPr>
          <w:szCs w:val="24"/>
        </w:rPr>
        <w:t>In that case</w:t>
      </w:r>
      <w:r w:rsidRPr="0046074F" w:rsidR="00BD4D73">
        <w:rPr>
          <w:szCs w:val="24"/>
        </w:rPr>
        <w:t>,</w:t>
      </w:r>
      <w:r w:rsidRPr="0046074F">
        <w:rPr>
          <w:szCs w:val="24"/>
        </w:rPr>
        <w:t xml:space="preserve"> AEP seeks to change the way the Alternative Energy Rider and Auction Cost Recovery Rider</w:t>
      </w:r>
      <w:r>
        <w:rPr>
          <w:rStyle w:val="FootnoteReference"/>
          <w:szCs w:val="24"/>
        </w:rPr>
        <w:footnoteReference w:id="13"/>
      </w:r>
      <w:r w:rsidRPr="0046074F">
        <w:rPr>
          <w:szCs w:val="24"/>
        </w:rPr>
        <w:t xml:space="preserve"> are calculated and updated</w:t>
      </w:r>
      <w:r w:rsidRPr="0046074F" w:rsidR="005B5E7E">
        <w:rPr>
          <w:szCs w:val="24"/>
        </w:rPr>
        <w:t>.</w:t>
      </w:r>
      <w:r w:rsidRPr="0046074F" w:rsidR="00444EB6">
        <w:rPr>
          <w:szCs w:val="24"/>
        </w:rPr>
        <w:t xml:space="preserve"> </w:t>
      </w:r>
      <w:r w:rsidRPr="0046074F" w:rsidR="005B5E7E">
        <w:rPr>
          <w:szCs w:val="24"/>
        </w:rPr>
        <w:t>I</w:t>
      </w:r>
      <w:r w:rsidRPr="0046074F">
        <w:rPr>
          <w:szCs w:val="24"/>
        </w:rPr>
        <w:t xml:space="preserve">f approved by the PUCO, </w:t>
      </w:r>
      <w:r w:rsidRPr="0046074F" w:rsidR="005B5E7E">
        <w:rPr>
          <w:szCs w:val="24"/>
        </w:rPr>
        <w:t xml:space="preserve">this </w:t>
      </w:r>
      <w:r w:rsidRPr="0046074F">
        <w:rPr>
          <w:szCs w:val="24"/>
        </w:rPr>
        <w:t>will further increase costs to consumers to cover AEP’s imprudent business decisions.</w:t>
      </w:r>
      <w:r>
        <w:rPr>
          <w:rStyle w:val="FootnoteReference"/>
          <w:color w:val="000000"/>
          <w:szCs w:val="24"/>
        </w:rPr>
        <w:footnoteReference w:id="14"/>
      </w:r>
      <w:r w:rsidRPr="0046074F" w:rsidR="00444EB6">
        <w:rPr>
          <w:szCs w:val="24"/>
        </w:rPr>
        <w:t xml:space="preserve"> </w:t>
      </w:r>
      <w:r w:rsidRPr="0046074F">
        <w:rPr>
          <w:szCs w:val="24"/>
        </w:rPr>
        <w:t xml:space="preserve">OCC has </w:t>
      </w:r>
      <w:r w:rsidRPr="0046074F" w:rsidR="00AA4B86">
        <w:rPr>
          <w:szCs w:val="24"/>
        </w:rPr>
        <w:t>separately</w:t>
      </w:r>
      <w:r w:rsidRPr="0046074F">
        <w:rPr>
          <w:szCs w:val="24"/>
        </w:rPr>
        <w:t xml:space="preserve"> filed to intervene in Case 20-1745-EL-RDR.</w:t>
      </w:r>
      <w:r>
        <w:rPr>
          <w:rStyle w:val="FootnoteReference"/>
          <w:szCs w:val="24"/>
        </w:rPr>
        <w:footnoteReference w:id="15"/>
      </w:r>
    </w:p>
    <w:p w:rsidR="00614CD5" w:rsidRPr="0046074F" w:rsidP="00614CD5" w14:paraId="50422CCE" w14:textId="28C3B1B4">
      <w:pPr>
        <w:pStyle w:val="BodyTextIndent3"/>
        <w:widowControl w:val="0"/>
        <w:spacing w:line="480" w:lineRule="auto"/>
        <w:ind w:right="-24"/>
        <w:rPr>
          <w:szCs w:val="24"/>
        </w:rPr>
      </w:pPr>
      <w:r w:rsidRPr="0046074F">
        <w:rPr>
          <w:szCs w:val="24"/>
        </w:rPr>
        <w:t>OCC has authority under law to represent the interests of AEP</w:t>
      </w:r>
      <w:r w:rsidRPr="0046074F" w:rsidR="00BD4D73">
        <w:rPr>
          <w:szCs w:val="24"/>
        </w:rPr>
        <w:t>’</w:t>
      </w:r>
      <w:r w:rsidRPr="0046074F">
        <w:rPr>
          <w:szCs w:val="24"/>
        </w:rPr>
        <w:t>s residential utility c</w:t>
      </w:r>
      <w:r w:rsidRPr="0046074F" w:rsidR="00D116D7">
        <w:rPr>
          <w:szCs w:val="24"/>
        </w:rPr>
        <w:t>onsumers, pursuant to</w:t>
      </w:r>
      <w:r w:rsidRPr="0046074F">
        <w:rPr>
          <w:szCs w:val="24"/>
        </w:rPr>
        <w:t xml:space="preserve"> R.C. Chapter 4911.</w:t>
      </w:r>
      <w:r w:rsidRPr="0046074F" w:rsidR="00444EB6">
        <w:rPr>
          <w:szCs w:val="24"/>
        </w:rPr>
        <w:t xml:space="preserve"> </w:t>
      </w:r>
      <w:r w:rsidRPr="0046074F" w:rsidR="00227458">
        <w:rPr>
          <w:szCs w:val="24"/>
        </w:rPr>
        <w:t xml:space="preserve">OCC seeks to exercise that authority on behalf of the nearly </w:t>
      </w:r>
      <w:r w:rsidRPr="0046074F" w:rsidR="00F97A7D">
        <w:rPr>
          <w:szCs w:val="24"/>
        </w:rPr>
        <w:t>1.</w:t>
      </w:r>
      <w:r w:rsidRPr="0046074F" w:rsidR="00AA4B86">
        <w:rPr>
          <w:szCs w:val="24"/>
        </w:rPr>
        <w:t>3</w:t>
      </w:r>
      <w:r w:rsidRPr="0046074F" w:rsidR="00227458">
        <w:rPr>
          <w:szCs w:val="24"/>
        </w:rPr>
        <w:t xml:space="preserve"> million residential c</w:t>
      </w:r>
      <w:r w:rsidRPr="0046074F" w:rsidR="00D116D7">
        <w:rPr>
          <w:szCs w:val="24"/>
        </w:rPr>
        <w:t>onsumers</w:t>
      </w:r>
      <w:r w:rsidRPr="0046074F" w:rsidR="00227458">
        <w:rPr>
          <w:szCs w:val="24"/>
        </w:rPr>
        <w:t xml:space="preserve"> of AEP. </w:t>
      </w:r>
    </w:p>
    <w:p w:rsidR="0035691B" w:rsidP="00D116D7" w14:paraId="17043A95" w14:textId="77777777">
      <w:pPr>
        <w:pStyle w:val="BodyTextIndent3"/>
        <w:widowControl w:val="0"/>
        <w:spacing w:line="480" w:lineRule="auto"/>
        <w:ind w:right="-24"/>
        <w:rPr>
          <w:szCs w:val="24"/>
        </w:rPr>
      </w:pPr>
      <w:r w:rsidRPr="0046074F">
        <w:rPr>
          <w:szCs w:val="24"/>
        </w:rPr>
        <w:t xml:space="preserve">R.C. 4903.221 provides, in part, that any person </w:t>
      </w:r>
      <w:r w:rsidRPr="0046074F" w:rsidR="0011386F">
        <w:rPr>
          <w:szCs w:val="24"/>
        </w:rPr>
        <w:t>“</w:t>
      </w:r>
      <w:r w:rsidRPr="0046074F">
        <w:rPr>
          <w:szCs w:val="24"/>
        </w:rPr>
        <w:t>who may be adversely affected</w:t>
      </w:r>
      <w:r w:rsidRPr="0046074F" w:rsidR="0011386F">
        <w:rPr>
          <w:szCs w:val="24"/>
        </w:rPr>
        <w:t>”</w:t>
      </w:r>
      <w:r w:rsidRPr="0046074F">
        <w:rPr>
          <w:szCs w:val="24"/>
        </w:rPr>
        <w:t xml:space="preserve"> by a PUCO proceeding is entitled to seek intervention in that proceeding. The interests of Ohio</w:t>
      </w:r>
      <w:r w:rsidRPr="0046074F" w:rsidR="0011386F">
        <w:rPr>
          <w:szCs w:val="24"/>
        </w:rPr>
        <w:t>’</w:t>
      </w:r>
      <w:r w:rsidRPr="0046074F">
        <w:rPr>
          <w:szCs w:val="24"/>
        </w:rPr>
        <w:t xml:space="preserve">s residential </w:t>
      </w:r>
      <w:r w:rsidRPr="0046074F" w:rsidR="0011386F">
        <w:rPr>
          <w:szCs w:val="24"/>
        </w:rPr>
        <w:t xml:space="preserve">consumers </w:t>
      </w:r>
      <w:r w:rsidRPr="0046074F">
        <w:rPr>
          <w:szCs w:val="24"/>
        </w:rPr>
        <w:t xml:space="preserve">may be </w:t>
      </w:r>
      <w:r w:rsidRPr="0046074F" w:rsidR="0011386F">
        <w:rPr>
          <w:szCs w:val="24"/>
        </w:rPr>
        <w:t>“</w:t>
      </w:r>
      <w:r w:rsidRPr="0046074F">
        <w:rPr>
          <w:szCs w:val="24"/>
        </w:rPr>
        <w:t>adversely affected</w:t>
      </w:r>
      <w:r w:rsidRPr="0046074F" w:rsidR="0011386F">
        <w:rPr>
          <w:szCs w:val="24"/>
        </w:rPr>
        <w:t>”</w:t>
      </w:r>
      <w:r w:rsidRPr="0046074F">
        <w:rPr>
          <w:szCs w:val="24"/>
        </w:rPr>
        <w:t xml:space="preserve"> by this case, especially if the </w:t>
      </w:r>
      <w:r w:rsidRPr="0046074F" w:rsidR="0011386F">
        <w:rPr>
          <w:szCs w:val="24"/>
        </w:rPr>
        <w:t>consumers</w:t>
      </w:r>
      <w:r w:rsidRPr="0046074F">
        <w:rPr>
          <w:szCs w:val="24"/>
        </w:rPr>
        <w:t xml:space="preserve"> were unrepresented in a proceeding where</w:t>
      </w:r>
      <w:r w:rsidRPr="0046074F" w:rsidR="00D116D7">
        <w:rPr>
          <w:szCs w:val="24"/>
        </w:rPr>
        <w:t xml:space="preserve"> </w:t>
      </w:r>
      <w:r w:rsidRPr="0046074F" w:rsidR="00F06BBB">
        <w:rPr>
          <w:szCs w:val="24"/>
        </w:rPr>
        <w:t xml:space="preserve">the PUCO </w:t>
      </w:r>
      <w:r w:rsidRPr="0046074F" w:rsidR="00BD4D73">
        <w:rPr>
          <w:szCs w:val="24"/>
        </w:rPr>
        <w:t xml:space="preserve">will </w:t>
      </w:r>
      <w:r w:rsidRPr="0046074F" w:rsidR="00D116D7">
        <w:rPr>
          <w:szCs w:val="24"/>
        </w:rPr>
        <w:t>determin</w:t>
      </w:r>
      <w:r w:rsidRPr="0046074F" w:rsidR="00F06BBB">
        <w:rPr>
          <w:szCs w:val="24"/>
        </w:rPr>
        <w:t>e</w:t>
      </w:r>
      <w:r w:rsidRPr="0046074F" w:rsidR="00BD4D73">
        <w:rPr>
          <w:szCs w:val="24"/>
        </w:rPr>
        <w:t xml:space="preserve"> how </w:t>
      </w:r>
    </w:p>
    <w:p w:rsidR="0035691B" w14:paraId="23610615" w14:textId="77777777">
      <w:pPr>
        <w:rPr>
          <w:szCs w:val="24"/>
        </w:rPr>
      </w:pPr>
      <w:r>
        <w:rPr>
          <w:szCs w:val="24"/>
        </w:rPr>
        <w:br w:type="page"/>
      </w:r>
    </w:p>
    <w:p w:rsidR="00614CD5" w:rsidRPr="0046074F" w:rsidP="0035691B" w14:paraId="15BDB5E0" w14:textId="18482931">
      <w:pPr>
        <w:pStyle w:val="BodyTextIndent3"/>
        <w:widowControl w:val="0"/>
        <w:spacing w:line="480" w:lineRule="auto"/>
        <w:ind w:right="-24" w:firstLine="0"/>
        <w:rPr>
          <w:szCs w:val="24"/>
        </w:rPr>
      </w:pPr>
      <w:r w:rsidRPr="0046074F">
        <w:rPr>
          <w:szCs w:val="24"/>
        </w:rPr>
        <w:t>much</w:t>
      </w:r>
      <w:r w:rsidRPr="0046074F" w:rsidR="00D116D7">
        <w:rPr>
          <w:szCs w:val="24"/>
        </w:rPr>
        <w:t xml:space="preserve"> AEP </w:t>
      </w:r>
      <w:r w:rsidRPr="0046074F" w:rsidR="00E817D5">
        <w:rPr>
          <w:szCs w:val="24"/>
        </w:rPr>
        <w:t xml:space="preserve">can charge consumers under the </w:t>
      </w:r>
      <w:r w:rsidRPr="0046074F" w:rsidR="0011386F">
        <w:rPr>
          <w:szCs w:val="24"/>
        </w:rPr>
        <w:t>PUCO</w:t>
      </w:r>
      <w:r w:rsidRPr="0046074F" w:rsidR="00D116D7">
        <w:rPr>
          <w:szCs w:val="24"/>
        </w:rPr>
        <w:t>-approved AER</w:t>
      </w:r>
      <w:r w:rsidRPr="0046074F" w:rsidR="00667EF7">
        <w:rPr>
          <w:szCs w:val="24"/>
        </w:rPr>
        <w:t>.</w:t>
      </w:r>
      <w:r w:rsidRPr="0046074F" w:rsidR="000D4A54">
        <w:rPr>
          <w:szCs w:val="24"/>
        </w:rPr>
        <w:t xml:space="preserve"> </w:t>
      </w:r>
      <w:r w:rsidRPr="0046074F" w:rsidR="00A40029">
        <w:rPr>
          <w:szCs w:val="24"/>
        </w:rPr>
        <w:t xml:space="preserve">Thus, this element of the intervention standard in R.C. 4903.221 is satisfied. </w:t>
      </w:r>
    </w:p>
    <w:p w:rsidR="00614CD5" w:rsidRPr="0046074F" w14:paraId="29F72074" w14:textId="77777777">
      <w:pPr>
        <w:spacing w:line="480" w:lineRule="auto"/>
        <w:ind w:firstLine="720"/>
        <w:rPr>
          <w:szCs w:val="24"/>
        </w:rPr>
      </w:pPr>
      <w:r w:rsidRPr="0046074F">
        <w:rPr>
          <w:szCs w:val="24"/>
        </w:rPr>
        <w:t>R.C. 4903.221(B) requires the PUCO to consider the following criteria in ruling on motions to intervene:</w:t>
      </w:r>
    </w:p>
    <w:p w:rsidR="00614CD5" w:rsidRPr="0046074F" w:rsidP="008F7946" w14:paraId="08A4BFF6" w14:textId="77777777">
      <w:pPr>
        <w:ind w:left="1440" w:hanging="720"/>
        <w:rPr>
          <w:szCs w:val="24"/>
        </w:rPr>
      </w:pPr>
      <w:r w:rsidRPr="0046074F">
        <w:rPr>
          <w:szCs w:val="24"/>
        </w:rPr>
        <w:t>(1)</w:t>
      </w:r>
      <w:r w:rsidRPr="0046074F">
        <w:rPr>
          <w:szCs w:val="24"/>
        </w:rPr>
        <w:tab/>
        <w:t>The nature and extent of the prospective intervenor's interest;</w:t>
      </w:r>
    </w:p>
    <w:p w:rsidR="00614CD5" w:rsidRPr="0046074F" w:rsidP="008F7946" w14:paraId="3364EE39" w14:textId="77777777">
      <w:pPr>
        <w:spacing w:before="240"/>
        <w:ind w:left="1440" w:hanging="720"/>
        <w:rPr>
          <w:szCs w:val="24"/>
        </w:rPr>
      </w:pPr>
      <w:r w:rsidRPr="0046074F">
        <w:rPr>
          <w:szCs w:val="24"/>
        </w:rPr>
        <w:t>(2)</w:t>
      </w:r>
      <w:r w:rsidRPr="0046074F">
        <w:rPr>
          <w:szCs w:val="24"/>
        </w:rPr>
        <w:tab/>
        <w:t>The legal position advanced by the prospective intervenor and its probable relation to the merits of the case;</w:t>
      </w:r>
    </w:p>
    <w:p w:rsidR="00614CD5" w:rsidRPr="0046074F" w:rsidP="008F7946" w14:paraId="4213E0D7" w14:textId="77777777">
      <w:pPr>
        <w:spacing w:before="240"/>
        <w:ind w:left="1440" w:hanging="720"/>
        <w:rPr>
          <w:szCs w:val="24"/>
        </w:rPr>
      </w:pPr>
      <w:r w:rsidRPr="0046074F">
        <w:rPr>
          <w:szCs w:val="24"/>
        </w:rPr>
        <w:t>(3)</w:t>
      </w:r>
      <w:r w:rsidRPr="0046074F">
        <w:rPr>
          <w:szCs w:val="24"/>
        </w:rPr>
        <w:tab/>
        <w:t>Whether the intervention by the prospective intervenor will unduly prolong or delay the proceeding; and</w:t>
      </w:r>
    </w:p>
    <w:p w:rsidR="00614CD5" w:rsidRPr="0046074F" w:rsidP="008F7946" w14:paraId="0FA573AC" w14:textId="77777777">
      <w:pPr>
        <w:pStyle w:val="BodyTextIndent2"/>
        <w:tabs>
          <w:tab w:val="clear" w:pos="720"/>
        </w:tabs>
        <w:ind w:left="1440" w:hanging="720"/>
        <w:rPr>
          <w:szCs w:val="24"/>
        </w:rPr>
      </w:pPr>
      <w:r w:rsidRPr="0046074F">
        <w:rPr>
          <w:szCs w:val="24"/>
        </w:rPr>
        <w:t>(4)</w:t>
      </w:r>
      <w:r w:rsidRPr="0046074F">
        <w:rPr>
          <w:szCs w:val="24"/>
        </w:rPr>
        <w:tab/>
        <w:t>Whether the prospective intervenor will significantly contribute to the full development and equitable resolution of the factual issues.</w:t>
      </w:r>
    </w:p>
    <w:p w:rsidR="00614CD5" w:rsidRPr="0046074F" w:rsidP="00E95838" w14:paraId="59533F9C" w14:textId="13914821">
      <w:pPr>
        <w:pStyle w:val="BodyTextIndent3"/>
        <w:widowControl w:val="0"/>
        <w:spacing w:line="480" w:lineRule="auto"/>
        <w:ind w:right="-312"/>
        <w:rPr>
          <w:szCs w:val="24"/>
        </w:rPr>
      </w:pPr>
      <w:r w:rsidRPr="0046074F">
        <w:rPr>
          <w:szCs w:val="24"/>
        </w:rPr>
        <w:t>First, the nature and extent of OCC</w:t>
      </w:r>
      <w:r w:rsidRPr="0046074F" w:rsidR="00E817D5">
        <w:rPr>
          <w:szCs w:val="24"/>
        </w:rPr>
        <w:t>’</w:t>
      </w:r>
      <w:r w:rsidRPr="0046074F">
        <w:rPr>
          <w:szCs w:val="24"/>
        </w:rPr>
        <w:t xml:space="preserve">s interest is representing the residential customers of AEP in this case where </w:t>
      </w:r>
      <w:r w:rsidRPr="0046074F" w:rsidR="00F950A4">
        <w:rPr>
          <w:szCs w:val="24"/>
        </w:rPr>
        <w:t xml:space="preserve">a determination will be made as to the appropriateness and reasonableness of </w:t>
      </w:r>
      <w:r w:rsidRPr="0046074F" w:rsidR="00A71AEE">
        <w:rPr>
          <w:szCs w:val="24"/>
        </w:rPr>
        <w:t>-</w:t>
      </w:r>
      <w:r w:rsidRPr="0046074F" w:rsidR="00F950A4">
        <w:rPr>
          <w:szCs w:val="24"/>
        </w:rPr>
        <w:t xml:space="preserve"> </w:t>
      </w:r>
      <w:r w:rsidRPr="0046074F">
        <w:rPr>
          <w:szCs w:val="24"/>
        </w:rPr>
        <w:t>AEP</w:t>
      </w:r>
      <w:r w:rsidRPr="0046074F" w:rsidR="00A71AEE">
        <w:rPr>
          <w:szCs w:val="24"/>
        </w:rPr>
        <w:t>’s</w:t>
      </w:r>
      <w:r w:rsidRPr="0046074F" w:rsidR="00444EB6">
        <w:rPr>
          <w:szCs w:val="24"/>
        </w:rPr>
        <w:t xml:space="preserve"> </w:t>
      </w:r>
      <w:r w:rsidRPr="0046074F" w:rsidR="00A71AEE">
        <w:rPr>
          <w:szCs w:val="24"/>
        </w:rPr>
        <w:t>charges that pay for the utility’s compliance with the Renewable Portfolio Standard (“RPS”)</w:t>
      </w:r>
      <w:r w:rsidRPr="0046074F" w:rsidR="00020F53">
        <w:rPr>
          <w:szCs w:val="24"/>
        </w:rPr>
        <w:t>.</w:t>
      </w:r>
      <w:r w:rsidRPr="0046074F" w:rsidR="00F950A4">
        <w:rPr>
          <w:szCs w:val="24"/>
        </w:rPr>
        <w:t xml:space="preserve"> </w:t>
      </w:r>
      <w:r w:rsidRPr="0046074F" w:rsidR="00103DE6">
        <w:rPr>
          <w:szCs w:val="24"/>
        </w:rPr>
        <w:t>As set forth above, f</w:t>
      </w:r>
      <w:r w:rsidRPr="0046074F" w:rsidR="00A71AEE">
        <w:rPr>
          <w:szCs w:val="24"/>
        </w:rPr>
        <w:t>rom 2018-2022, AEP consumers paid $</w:t>
      </w:r>
      <w:r w:rsidR="00D350BB">
        <w:rPr>
          <w:szCs w:val="24"/>
        </w:rPr>
        <w:t>139.26</w:t>
      </w:r>
      <w:r>
        <w:rPr>
          <w:rStyle w:val="FootnoteReference"/>
          <w:szCs w:val="24"/>
        </w:rPr>
        <w:footnoteReference w:id="16"/>
      </w:r>
      <w:r w:rsidRPr="0046074F" w:rsidR="00A71AEE">
        <w:rPr>
          <w:szCs w:val="24"/>
        </w:rPr>
        <w:t xml:space="preserve"> through Rider</w:t>
      </w:r>
      <w:r w:rsidRPr="0046074F" w:rsidR="00020F53">
        <w:rPr>
          <w:szCs w:val="24"/>
        </w:rPr>
        <w:t xml:space="preserve"> </w:t>
      </w:r>
      <w:r w:rsidRPr="0046074F" w:rsidR="00A71AEE">
        <w:rPr>
          <w:szCs w:val="24"/>
        </w:rPr>
        <w:t>AER</w:t>
      </w:r>
      <w:r w:rsidRPr="0046074F" w:rsidR="00103DE6">
        <w:rPr>
          <w:szCs w:val="24"/>
        </w:rPr>
        <w:t xml:space="preserve"> or </w:t>
      </w:r>
      <w:r w:rsidR="00D350BB">
        <w:rPr>
          <w:szCs w:val="24"/>
        </w:rPr>
        <w:t>approximately $181</w:t>
      </w:r>
      <w:r w:rsidRPr="0046074F" w:rsidR="00103DE6">
        <w:rPr>
          <w:szCs w:val="24"/>
        </w:rPr>
        <w:t xml:space="preserve"> million</w:t>
      </w:r>
      <w:r w:rsidRPr="0046074F" w:rsidR="00A71AEE">
        <w:rPr>
          <w:szCs w:val="24"/>
        </w:rPr>
        <w:t>.</w:t>
      </w:r>
      <w:r w:rsidRPr="0046074F" w:rsidR="00444EB6">
        <w:rPr>
          <w:szCs w:val="24"/>
        </w:rPr>
        <w:t xml:space="preserve"> </w:t>
      </w:r>
      <w:r w:rsidRPr="0046074F">
        <w:rPr>
          <w:szCs w:val="24"/>
        </w:rPr>
        <w:t>OCC's interest is different than that of any other party and especially different than that of the Utility whose advocacy includes the financial interest of stockholders.</w:t>
      </w:r>
    </w:p>
    <w:p w:rsidR="00614CD5" w:rsidRPr="0046074F" w:rsidP="00614CD5" w14:paraId="69BC315D" w14:textId="22385D26">
      <w:pPr>
        <w:pStyle w:val="Footer"/>
        <w:spacing w:line="480" w:lineRule="auto"/>
        <w:ind w:firstLine="720"/>
        <w:rPr>
          <w:sz w:val="24"/>
          <w:szCs w:val="24"/>
        </w:rPr>
      </w:pPr>
      <w:r w:rsidRPr="0046074F">
        <w:rPr>
          <w:sz w:val="24"/>
          <w:szCs w:val="24"/>
        </w:rPr>
        <w:t>Second, OCC</w:t>
      </w:r>
      <w:r w:rsidRPr="0046074F" w:rsidR="00E817D5">
        <w:rPr>
          <w:sz w:val="24"/>
          <w:szCs w:val="24"/>
        </w:rPr>
        <w:t>’</w:t>
      </w:r>
      <w:r w:rsidRPr="0046074F">
        <w:rPr>
          <w:sz w:val="24"/>
          <w:szCs w:val="24"/>
        </w:rPr>
        <w:t xml:space="preserve">s advocacy for residential customers will include advancing the position that the rates consumers pay for electric service (including charges for renewable energy) should be no more than what is reasonable and lawful under Ohio law. OCC's position is therefore directly related to the merits of this case that is pending before the PUCO, the authority with regulatory control of public utilities' rates and service quality in Ohio. </w:t>
      </w:r>
    </w:p>
    <w:p w:rsidR="00614CD5" w:rsidRPr="0046074F" w14:paraId="73BEB9FD" w14:textId="3915DBDC">
      <w:pPr>
        <w:pStyle w:val="BodyTextIndent3"/>
        <w:spacing w:line="480" w:lineRule="auto"/>
        <w:rPr>
          <w:szCs w:val="24"/>
        </w:rPr>
      </w:pPr>
      <w:r w:rsidRPr="0046074F">
        <w:rPr>
          <w:szCs w:val="24"/>
        </w:rPr>
        <w:t xml:space="preserve">Third, OCC's intervention will not unduly prolong or delay the proceedings. </w:t>
      </w:r>
      <w:r w:rsidRPr="0046074F" w:rsidR="00511950">
        <w:rPr>
          <w:szCs w:val="24"/>
        </w:rPr>
        <w:t>The PUCO-approved auditor, London Economics International, has not yet submitted its management/performance and financial audit of the Alternative Energy Rider.</w:t>
      </w:r>
      <w:r w:rsidRPr="0046074F" w:rsidR="00444EB6">
        <w:rPr>
          <w:szCs w:val="24"/>
        </w:rPr>
        <w:t xml:space="preserve"> </w:t>
      </w:r>
      <w:r w:rsidRPr="0046074F" w:rsidR="00511950">
        <w:rPr>
          <w:szCs w:val="24"/>
        </w:rPr>
        <w:t>The case has not, therefore, progressed that far.</w:t>
      </w:r>
      <w:r w:rsidRPr="0046074F" w:rsidR="00444EB6">
        <w:rPr>
          <w:szCs w:val="24"/>
        </w:rPr>
        <w:t xml:space="preserve"> </w:t>
      </w:r>
      <w:r w:rsidRPr="0046074F" w:rsidR="00511950">
        <w:rPr>
          <w:szCs w:val="24"/>
        </w:rPr>
        <w:t xml:space="preserve">Moreover, </w:t>
      </w:r>
      <w:r w:rsidRPr="0046074F">
        <w:rPr>
          <w:szCs w:val="24"/>
        </w:rPr>
        <w:t>OCC, with its longstanding expertise and experience in PUCO proceedings, will duly allow for the efficient processing of the case with consideration of the public interest.</w:t>
      </w:r>
    </w:p>
    <w:p w:rsidR="00614CD5" w:rsidRPr="0046074F" w14:paraId="76F20CC1" w14:textId="25F591DF">
      <w:pPr>
        <w:pStyle w:val="Footer"/>
        <w:tabs>
          <w:tab w:val="clear" w:pos="4320"/>
          <w:tab w:val="clear" w:pos="8640"/>
        </w:tabs>
        <w:spacing w:line="480" w:lineRule="auto"/>
        <w:ind w:firstLine="720"/>
        <w:rPr>
          <w:sz w:val="24"/>
          <w:szCs w:val="24"/>
        </w:rPr>
      </w:pPr>
      <w:r w:rsidRPr="0046074F">
        <w:rPr>
          <w:sz w:val="24"/>
          <w:szCs w:val="24"/>
        </w:rPr>
        <w:t xml:space="preserve">Fourth, OCC's intervention will significantly contribute to the full development and equitable resolution of the factual issues. </w:t>
      </w:r>
      <w:r w:rsidRPr="0046074F" w:rsidR="00511950">
        <w:rPr>
          <w:sz w:val="24"/>
          <w:szCs w:val="24"/>
        </w:rPr>
        <w:t xml:space="preserve">OCC will critically evaluate on behalf of residential consumers the use </w:t>
      </w:r>
      <w:r w:rsidRPr="0046074F" w:rsidR="00060B16">
        <w:rPr>
          <w:sz w:val="24"/>
          <w:szCs w:val="24"/>
        </w:rPr>
        <w:t>of,</w:t>
      </w:r>
      <w:r w:rsidRPr="0046074F" w:rsidR="00511950">
        <w:rPr>
          <w:sz w:val="24"/>
          <w:szCs w:val="24"/>
        </w:rPr>
        <w:t xml:space="preserve"> and charges claimed by AEP under the AER as well as the failure to implement prior audit recommendations.</w:t>
      </w:r>
      <w:r w:rsidRPr="0046074F" w:rsidR="00444EB6">
        <w:rPr>
          <w:sz w:val="24"/>
          <w:szCs w:val="24"/>
        </w:rPr>
        <w:t xml:space="preserve"> </w:t>
      </w:r>
      <w:r w:rsidRPr="0046074F" w:rsidR="00511950">
        <w:rPr>
          <w:sz w:val="24"/>
          <w:szCs w:val="24"/>
        </w:rPr>
        <w:t xml:space="preserve">In doing so, </w:t>
      </w:r>
      <w:r w:rsidRPr="0046074F">
        <w:rPr>
          <w:sz w:val="24"/>
          <w:szCs w:val="24"/>
        </w:rPr>
        <w:t xml:space="preserve">OCC will obtain and develop information that the PUCO should consider for equitably and lawfully deciding the case in the public interest. </w:t>
      </w:r>
    </w:p>
    <w:p w:rsidR="00A73B2F" w:rsidP="00614CD5" w14:paraId="3EE02D0B" w14:textId="78F8A61F">
      <w:pPr>
        <w:pStyle w:val="WW-BodyTextIndent3"/>
        <w:spacing w:line="480" w:lineRule="auto"/>
        <w:ind w:right="-29"/>
        <w:rPr>
          <w:szCs w:val="24"/>
        </w:rPr>
      </w:pPr>
      <w:r w:rsidRPr="0046074F">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w:t>
      </w:r>
      <w:r w:rsidRPr="0046074F" w:rsidR="00E817D5">
        <w:rPr>
          <w:szCs w:val="24"/>
        </w:rPr>
        <w:t xml:space="preserve">O.A.C. </w:t>
      </w:r>
      <w:r w:rsidRPr="0046074F">
        <w:rPr>
          <w:szCs w:val="24"/>
        </w:rPr>
        <w:t xml:space="preserve">4901-1-11(A)(2). As the advocate for residential utility customers, OCC has a real and substantial interest in this case </w:t>
      </w:r>
      <w:r w:rsidRPr="0046074F" w:rsidR="00E817D5">
        <w:rPr>
          <w:szCs w:val="24"/>
        </w:rPr>
        <w:t xml:space="preserve">where consumers are charged </w:t>
      </w:r>
      <w:r w:rsidRPr="0046074F" w:rsidR="009F14AB">
        <w:rPr>
          <w:szCs w:val="24"/>
        </w:rPr>
        <w:t xml:space="preserve">hundreds </w:t>
      </w:r>
      <w:r w:rsidRPr="0046074F" w:rsidR="00F950A4">
        <w:rPr>
          <w:szCs w:val="24"/>
        </w:rPr>
        <w:t xml:space="preserve">of millions of dollars </w:t>
      </w:r>
      <w:r w:rsidRPr="0046074F" w:rsidR="00E817D5">
        <w:rPr>
          <w:szCs w:val="24"/>
        </w:rPr>
        <w:t>in costs</w:t>
      </w:r>
      <w:r w:rsidRPr="0046074F" w:rsidR="00444EB6">
        <w:rPr>
          <w:szCs w:val="24"/>
        </w:rPr>
        <w:t xml:space="preserve"> </w:t>
      </w:r>
      <w:r w:rsidRPr="0046074F" w:rsidR="00E817D5">
        <w:rPr>
          <w:szCs w:val="24"/>
        </w:rPr>
        <w:t xml:space="preserve">through </w:t>
      </w:r>
      <w:r w:rsidRPr="0046074F" w:rsidR="00F950A4">
        <w:rPr>
          <w:szCs w:val="24"/>
        </w:rPr>
        <w:t xml:space="preserve">charges </w:t>
      </w:r>
      <w:r w:rsidRPr="0046074F" w:rsidR="00E817D5">
        <w:rPr>
          <w:szCs w:val="24"/>
        </w:rPr>
        <w:t>under the AER for AEP’s costs to acquiring renewable energy credits.</w:t>
      </w:r>
      <w:r w:rsidRPr="0046074F" w:rsidR="00444EB6">
        <w:rPr>
          <w:szCs w:val="24"/>
        </w:rPr>
        <w:t xml:space="preserve"> </w:t>
      </w:r>
    </w:p>
    <w:p w:rsidR="00A73B2F" w14:paraId="7609EF57" w14:textId="77777777">
      <w:pPr>
        <w:rPr>
          <w:szCs w:val="24"/>
          <w:lang w:eastAsia="ar-SA"/>
        </w:rPr>
      </w:pPr>
      <w:r>
        <w:rPr>
          <w:szCs w:val="24"/>
        </w:rPr>
        <w:br w:type="page"/>
      </w:r>
    </w:p>
    <w:p w:rsidR="00D46364" w:rsidP="00A73B2F" w14:paraId="16C246BE" w14:textId="240BD066">
      <w:pPr>
        <w:pStyle w:val="BodyTextIndent3"/>
        <w:widowControl w:val="0"/>
        <w:spacing w:line="480" w:lineRule="auto"/>
        <w:ind w:right="-24"/>
        <w:rPr>
          <w:szCs w:val="24"/>
        </w:rPr>
      </w:pPr>
      <w:r w:rsidRPr="0046074F">
        <w:rPr>
          <w:szCs w:val="24"/>
        </w:rPr>
        <w:t xml:space="preserve">In addition, OCC meets the criteria of </w:t>
      </w:r>
      <w:r w:rsidRPr="0046074F" w:rsidR="00E817D5">
        <w:rPr>
          <w:szCs w:val="24"/>
        </w:rPr>
        <w:t xml:space="preserve">O.A.C. </w:t>
      </w:r>
      <w:r w:rsidRPr="0046074F">
        <w:rPr>
          <w:szCs w:val="24"/>
        </w:rPr>
        <w:t>4901-1-11(B)(1)-(4). These criteria mirror the statutory criteria in R.C. 4903.221(B), which OCC already has addressed, and which OCC satisfies.</w:t>
      </w:r>
    </w:p>
    <w:p w:rsidR="00614CD5" w:rsidRPr="0046074F" w:rsidP="00160C70" w14:paraId="06A47125" w14:textId="6151CC50">
      <w:pPr>
        <w:pStyle w:val="BodyTextIndent3"/>
        <w:widowControl w:val="0"/>
        <w:spacing w:line="480" w:lineRule="auto"/>
        <w:ind w:right="-29"/>
        <w:rPr>
          <w:szCs w:val="24"/>
        </w:rPr>
      </w:pPr>
      <w:r w:rsidRPr="0046074F">
        <w:rPr>
          <w:szCs w:val="24"/>
        </w:rPr>
        <w:t xml:space="preserve">O.A.C. </w:t>
      </w:r>
      <w:r w:rsidRPr="0046074F" w:rsidR="00A40029">
        <w:rPr>
          <w:szCs w:val="24"/>
        </w:rPr>
        <w:t>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CA5E94" w:rsidRPr="0046074F" w:rsidP="00160C70" w14:paraId="6E30B3AF" w14:textId="6A6451C8">
      <w:pPr>
        <w:pStyle w:val="WW-BodyTextIndent3"/>
        <w:widowControl w:val="0"/>
        <w:spacing w:line="480" w:lineRule="auto"/>
        <w:ind w:right="-29"/>
        <w:rPr>
          <w:szCs w:val="24"/>
        </w:rPr>
      </w:pPr>
      <w:r w:rsidRPr="0046074F">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17"/>
      </w:r>
      <w:r w:rsidRPr="0046074F" w:rsidR="00444EB6">
        <w:rPr>
          <w:szCs w:val="24"/>
        </w:rPr>
        <w:t xml:space="preserve"> </w:t>
      </w:r>
    </w:p>
    <w:p w:rsidR="0019573C" w:rsidRPr="0046074F" w14:paraId="13C205B8" w14:textId="52B5F30B">
      <w:pPr>
        <w:spacing w:line="480" w:lineRule="auto"/>
        <w:ind w:firstLine="720"/>
        <w:rPr>
          <w:szCs w:val="24"/>
        </w:rPr>
      </w:pPr>
      <w:r w:rsidRPr="0046074F">
        <w:rPr>
          <w:szCs w:val="24"/>
        </w:rPr>
        <w:t xml:space="preserve">OCC meets the criteria set forth in R.C. 4903.221, </w:t>
      </w:r>
      <w:r w:rsidRPr="0046074F" w:rsidR="00016072">
        <w:rPr>
          <w:szCs w:val="24"/>
        </w:rPr>
        <w:t>O.A.C.</w:t>
      </w:r>
      <w:r w:rsidRPr="0046074F">
        <w:rPr>
          <w:szCs w:val="24"/>
        </w:rPr>
        <w:t xml:space="preserve"> 4901-1-11, and the precedent established by the Supreme Court of Ohio for intervention. On behalf of Ohio residential customers, the PUCO should grant OCC's Motion to Intervene.</w:t>
      </w:r>
    </w:p>
    <w:p w:rsidR="0019573C" w:rsidRPr="0046074F" w14:paraId="2939BD3F" w14:textId="77777777">
      <w:pPr>
        <w:rPr>
          <w:szCs w:val="24"/>
        </w:rPr>
      </w:pPr>
      <w:r w:rsidRPr="0046074F">
        <w:rPr>
          <w:szCs w:val="24"/>
        </w:rPr>
        <w:br w:type="page"/>
      </w:r>
    </w:p>
    <w:p w:rsidR="00C06B88" w:rsidRPr="0046074F" w:rsidP="00F950A4" w14:paraId="52A51036" w14:textId="77777777">
      <w:pPr>
        <w:pStyle w:val="BodyTextIndent3"/>
        <w:widowControl w:val="0"/>
        <w:spacing w:line="480" w:lineRule="auto"/>
        <w:ind w:left="4320" w:firstLine="0"/>
        <w:rPr>
          <w:szCs w:val="24"/>
        </w:rPr>
      </w:pPr>
      <w:r w:rsidRPr="0046074F">
        <w:rPr>
          <w:szCs w:val="24"/>
        </w:rPr>
        <w:t>Respectfully submitted,</w:t>
      </w:r>
    </w:p>
    <w:p w:rsidR="00756B4C" w:rsidRPr="0046074F" w:rsidP="00756B4C" w14:paraId="2F2F663D" w14:textId="77777777">
      <w:pPr>
        <w:tabs>
          <w:tab w:val="right" w:pos="8640"/>
        </w:tabs>
        <w:ind w:left="4320"/>
        <w:rPr>
          <w:szCs w:val="24"/>
          <w:lang w:bidi="en-US"/>
        </w:rPr>
      </w:pPr>
      <w:r w:rsidRPr="0046074F">
        <w:rPr>
          <w:szCs w:val="24"/>
          <w:lang w:bidi="en-US"/>
        </w:rPr>
        <w:t>Maureen R. Willis (0020847)</w:t>
      </w:r>
    </w:p>
    <w:p w:rsidR="00756B4C" w:rsidRPr="0046074F" w:rsidP="00756B4C" w14:paraId="4871ED0E" w14:textId="77777777">
      <w:pPr>
        <w:ind w:left="4320"/>
        <w:contextualSpacing/>
        <w:rPr>
          <w:rFonts w:eastAsia="Calibri"/>
          <w:szCs w:val="24"/>
          <w:lang w:bidi="en-US"/>
        </w:rPr>
      </w:pPr>
      <w:r w:rsidRPr="0046074F">
        <w:rPr>
          <w:rFonts w:eastAsia="Calibri"/>
          <w:szCs w:val="24"/>
          <w:lang w:bidi="en-US"/>
        </w:rPr>
        <w:t>Ohio Consumers’ Counsel</w:t>
      </w:r>
    </w:p>
    <w:p w:rsidR="00756B4C" w:rsidRPr="0046074F" w:rsidP="00756B4C" w14:paraId="55A00315" w14:textId="77777777">
      <w:pPr>
        <w:ind w:left="4320"/>
        <w:contextualSpacing/>
        <w:rPr>
          <w:rFonts w:eastAsia="Calibri"/>
          <w:szCs w:val="24"/>
          <w:lang w:bidi="en-US"/>
        </w:rPr>
      </w:pPr>
    </w:p>
    <w:p w:rsidR="00756B4C" w:rsidRPr="0046074F" w:rsidP="00756B4C" w14:paraId="76A32407" w14:textId="74076BA2">
      <w:pPr>
        <w:ind w:left="4320"/>
        <w:contextualSpacing/>
        <w:rPr>
          <w:rFonts w:eastAsia="Calibri"/>
          <w:szCs w:val="24"/>
          <w:lang w:bidi="en-US"/>
        </w:rPr>
      </w:pPr>
      <w:r w:rsidRPr="0046074F">
        <w:rPr>
          <w:rFonts w:eastAsia="Calibri"/>
          <w:i/>
          <w:iCs/>
          <w:szCs w:val="24"/>
          <w:u w:val="single"/>
          <w:lang w:bidi="en-US"/>
        </w:rPr>
        <w:t>/s/ Donald J. Kral</w:t>
      </w:r>
      <w:r w:rsidRPr="0046074F">
        <w:rPr>
          <w:rFonts w:eastAsia="Calibri"/>
          <w:szCs w:val="24"/>
          <w:lang w:bidi="en-US"/>
        </w:rPr>
        <w:tab/>
      </w:r>
    </w:p>
    <w:p w:rsidR="00756B4C" w:rsidRPr="0046074F" w:rsidP="00756B4C" w14:paraId="6BAA13DB" w14:textId="77777777">
      <w:pPr>
        <w:tabs>
          <w:tab w:val="left" w:pos="4320"/>
        </w:tabs>
        <w:ind w:left="4320"/>
        <w:rPr>
          <w:color w:val="000000"/>
          <w:szCs w:val="24"/>
          <w:lang w:bidi="en-US"/>
        </w:rPr>
      </w:pPr>
      <w:r w:rsidRPr="0046074F">
        <w:rPr>
          <w:color w:val="000000"/>
          <w:szCs w:val="24"/>
          <w:lang w:bidi="en-US"/>
        </w:rPr>
        <w:t>Donald J. Kral (0042091)</w:t>
      </w:r>
    </w:p>
    <w:p w:rsidR="00756B4C" w:rsidRPr="0046074F" w:rsidP="00756B4C" w14:paraId="76C8A760" w14:textId="77777777">
      <w:pPr>
        <w:ind w:left="4320"/>
        <w:rPr>
          <w:color w:val="000000"/>
          <w:szCs w:val="24"/>
          <w:lang w:bidi="en-US"/>
        </w:rPr>
      </w:pPr>
      <w:r w:rsidRPr="0046074F">
        <w:rPr>
          <w:color w:val="000000"/>
          <w:szCs w:val="24"/>
          <w:lang w:bidi="en-US"/>
        </w:rPr>
        <w:t xml:space="preserve">Counsel of Record </w:t>
      </w:r>
    </w:p>
    <w:p w:rsidR="00756B4C" w:rsidRPr="0046074F" w:rsidP="00756B4C" w14:paraId="0ACA0098" w14:textId="77777777">
      <w:pPr>
        <w:tabs>
          <w:tab w:val="left" w:pos="8730"/>
        </w:tabs>
        <w:ind w:left="4320"/>
        <w:rPr>
          <w:szCs w:val="24"/>
        </w:rPr>
      </w:pPr>
      <w:r w:rsidRPr="0046074F">
        <w:rPr>
          <w:szCs w:val="24"/>
        </w:rPr>
        <w:t>Thomas Brodbeck (0093920)</w:t>
      </w:r>
      <w:r w:rsidRPr="0046074F">
        <w:rPr>
          <w:szCs w:val="24"/>
        </w:rPr>
        <w:br/>
        <w:t>Assistant Consumers’ Counsel</w:t>
      </w:r>
    </w:p>
    <w:p w:rsidR="00756B4C" w:rsidRPr="0046074F" w:rsidP="00756B4C" w14:paraId="02857E4C" w14:textId="77777777">
      <w:pPr>
        <w:ind w:left="4320"/>
        <w:rPr>
          <w:b/>
          <w:i/>
          <w:iCs/>
          <w:color w:val="000000"/>
          <w:szCs w:val="24"/>
          <w:lang w:bidi="en-US"/>
        </w:rPr>
      </w:pPr>
    </w:p>
    <w:p w:rsidR="00756B4C" w:rsidRPr="0046074F" w:rsidP="00756B4C" w14:paraId="564ACA21" w14:textId="77777777">
      <w:pPr>
        <w:ind w:left="4320"/>
        <w:rPr>
          <w:b/>
          <w:color w:val="000000"/>
          <w:szCs w:val="24"/>
          <w:lang w:bidi="en-US"/>
        </w:rPr>
      </w:pPr>
      <w:r w:rsidRPr="0046074F">
        <w:rPr>
          <w:b/>
          <w:color w:val="000000"/>
          <w:szCs w:val="24"/>
          <w:lang w:bidi="en-US"/>
        </w:rPr>
        <w:t>Office of the Ohio Consumers’ Counsel</w:t>
      </w:r>
    </w:p>
    <w:p w:rsidR="00756B4C" w:rsidRPr="0046074F" w:rsidP="00756B4C" w14:paraId="0E392764" w14:textId="77777777">
      <w:pPr>
        <w:ind w:left="4320"/>
        <w:rPr>
          <w:color w:val="000000"/>
          <w:szCs w:val="24"/>
          <w:lang w:bidi="en-US"/>
        </w:rPr>
      </w:pPr>
      <w:r w:rsidRPr="0046074F">
        <w:rPr>
          <w:color w:val="000000"/>
          <w:szCs w:val="24"/>
          <w:lang w:bidi="en-US"/>
        </w:rPr>
        <w:t>65 East State Street, Suite 700</w:t>
      </w:r>
    </w:p>
    <w:p w:rsidR="00756B4C" w:rsidRPr="0046074F" w:rsidP="00756B4C" w14:paraId="41A8D1D0" w14:textId="77777777">
      <w:pPr>
        <w:ind w:left="4320"/>
        <w:rPr>
          <w:color w:val="000000"/>
          <w:szCs w:val="24"/>
          <w:lang w:bidi="en-US"/>
        </w:rPr>
      </w:pPr>
      <w:r w:rsidRPr="0046074F">
        <w:rPr>
          <w:color w:val="000000"/>
          <w:szCs w:val="24"/>
          <w:lang w:bidi="en-US"/>
        </w:rPr>
        <w:t>Columbus, Ohio 43215</w:t>
      </w:r>
      <w:r w:rsidRPr="0046074F">
        <w:rPr>
          <w:color w:val="000000"/>
          <w:szCs w:val="24"/>
          <w:lang w:bidi="en-US"/>
        </w:rPr>
        <w:tab/>
      </w:r>
    </w:p>
    <w:p w:rsidR="00756B4C" w:rsidRPr="0046074F" w:rsidP="00756B4C" w14:paraId="0485F208" w14:textId="77777777">
      <w:pPr>
        <w:ind w:left="4320"/>
        <w:rPr>
          <w:color w:val="000000"/>
          <w:szCs w:val="24"/>
          <w:lang w:bidi="en-US"/>
        </w:rPr>
      </w:pPr>
      <w:r w:rsidRPr="0046074F">
        <w:rPr>
          <w:color w:val="000000"/>
          <w:szCs w:val="24"/>
          <w:lang w:bidi="en-US"/>
        </w:rPr>
        <w:t>Telephone [Kral]: (614) 466-9571</w:t>
      </w:r>
    </w:p>
    <w:p w:rsidR="00756B4C" w:rsidRPr="0046074F" w:rsidP="00756B4C" w14:paraId="21A2CBBD" w14:textId="77777777">
      <w:pPr>
        <w:ind w:left="4320"/>
        <w:rPr>
          <w:color w:val="000000"/>
          <w:szCs w:val="24"/>
          <w:lang w:bidi="en-US"/>
        </w:rPr>
      </w:pPr>
      <w:r w:rsidRPr="0046074F">
        <w:rPr>
          <w:szCs w:val="24"/>
        </w:rPr>
        <w:t>Telephone [Brodbeck]: (614) 466-9565</w:t>
      </w:r>
    </w:p>
    <w:p w:rsidR="00756B4C" w:rsidRPr="0046074F" w:rsidP="00756B4C" w14:paraId="7D6ED94A" w14:textId="77777777">
      <w:pPr>
        <w:ind w:left="4320"/>
        <w:rPr>
          <w:rStyle w:val="Hyperlink"/>
          <w:szCs w:val="24"/>
        </w:rPr>
      </w:pPr>
      <w:hyperlink r:id="rId6" w:history="1">
        <w:r w:rsidRPr="0046074F">
          <w:rPr>
            <w:rStyle w:val="Hyperlink"/>
            <w:szCs w:val="24"/>
          </w:rPr>
          <w:t>donald.kral@occ.ohio.gov</w:t>
        </w:r>
      </w:hyperlink>
    </w:p>
    <w:p w:rsidR="00756B4C" w:rsidRPr="0046074F" w:rsidP="00756B4C" w14:paraId="2092DE9A" w14:textId="77777777">
      <w:pPr>
        <w:tabs>
          <w:tab w:val="left" w:pos="8730"/>
        </w:tabs>
        <w:ind w:left="4320"/>
        <w:rPr>
          <w:color w:val="0000FF"/>
          <w:szCs w:val="24"/>
        </w:rPr>
      </w:pPr>
      <w:hyperlink r:id="rId7" w:history="1">
        <w:r w:rsidRPr="0046074F">
          <w:rPr>
            <w:rStyle w:val="Hyperlink"/>
            <w:szCs w:val="24"/>
          </w:rPr>
          <w:t>thomas.brodbeck@occ.ohio.gov</w:t>
        </w:r>
      </w:hyperlink>
    </w:p>
    <w:p w:rsidR="00756B4C" w:rsidRPr="0046074F" w:rsidP="00756B4C" w14:paraId="3D727105" w14:textId="77777777">
      <w:pPr>
        <w:rPr>
          <w:szCs w:val="24"/>
          <w:lang w:bidi="en-US"/>
        </w:rPr>
      </w:pPr>
      <w:r w:rsidRPr="0046074F">
        <w:rPr>
          <w:szCs w:val="24"/>
          <w:lang w:bidi="en-US"/>
        </w:rPr>
        <w:tab/>
      </w:r>
      <w:r w:rsidRPr="0046074F">
        <w:rPr>
          <w:szCs w:val="24"/>
          <w:lang w:bidi="en-US"/>
        </w:rPr>
        <w:tab/>
      </w:r>
      <w:r w:rsidRPr="0046074F">
        <w:rPr>
          <w:szCs w:val="24"/>
          <w:lang w:bidi="en-US"/>
        </w:rPr>
        <w:tab/>
      </w:r>
      <w:r w:rsidRPr="0046074F">
        <w:rPr>
          <w:szCs w:val="24"/>
          <w:lang w:bidi="en-US"/>
        </w:rPr>
        <w:tab/>
      </w:r>
      <w:r w:rsidRPr="0046074F">
        <w:rPr>
          <w:szCs w:val="24"/>
          <w:lang w:bidi="en-US"/>
        </w:rPr>
        <w:tab/>
      </w:r>
      <w:r w:rsidRPr="0046074F">
        <w:rPr>
          <w:szCs w:val="24"/>
          <w:lang w:bidi="en-US"/>
        </w:rPr>
        <w:tab/>
        <w:t>(willing to accept service by e-mail)</w:t>
      </w:r>
    </w:p>
    <w:p w:rsidR="00F950A4" w:rsidRPr="0046074F" w:rsidP="00F950A4" w14:paraId="452911FF" w14:textId="3B615566">
      <w:pPr>
        <w:pStyle w:val="BodyTextIndent3"/>
        <w:widowControl w:val="0"/>
        <w:spacing w:line="480" w:lineRule="auto"/>
        <w:ind w:firstLine="0"/>
        <w:rPr>
          <w:szCs w:val="24"/>
        </w:rPr>
        <w:sectPr w:rsidSect="00C5510B">
          <w:headerReference w:type="first" r:id="rId14"/>
          <w:footerReference w:type="first" r:id="rId15"/>
          <w:pgSz w:w="12240" w:h="15840"/>
          <w:pgMar w:top="1440" w:right="1800" w:bottom="1440" w:left="1800" w:header="720" w:footer="720" w:gutter="0"/>
          <w:pgNumType w:start="1"/>
          <w:cols w:space="720"/>
          <w:titlePg/>
          <w:docGrid w:linePitch="65"/>
        </w:sectPr>
      </w:pPr>
    </w:p>
    <w:p w:rsidR="00614CD5" w:rsidRPr="0046074F" w:rsidP="00614CD5" w14:paraId="5B37BF29" w14:textId="5991B066">
      <w:pPr>
        <w:jc w:val="center"/>
        <w:rPr>
          <w:b/>
          <w:bCs/>
          <w:szCs w:val="24"/>
          <w:u w:val="single"/>
        </w:rPr>
      </w:pPr>
      <w:r w:rsidRPr="0046074F">
        <w:rPr>
          <w:b/>
          <w:bCs/>
          <w:szCs w:val="24"/>
          <w:u w:val="single"/>
        </w:rPr>
        <w:t>CERTIFICATE OF SERVICE</w:t>
      </w:r>
    </w:p>
    <w:p w:rsidR="006F0C8F" w:rsidRPr="0046074F" w:rsidP="00614CD5" w14:paraId="6502C519" w14:textId="77777777">
      <w:pPr>
        <w:jc w:val="center"/>
        <w:rPr>
          <w:b/>
          <w:bCs/>
          <w:szCs w:val="24"/>
          <w:u w:val="single"/>
        </w:rPr>
      </w:pPr>
    </w:p>
    <w:p w:rsidR="003C41C9" w:rsidRPr="0046074F" w:rsidP="006F0C8F" w14:paraId="7E09AF37" w14:textId="03767702">
      <w:pPr>
        <w:spacing w:line="480" w:lineRule="auto"/>
        <w:ind w:firstLine="720"/>
        <w:rPr>
          <w:szCs w:val="24"/>
        </w:rPr>
      </w:pPr>
      <w:r w:rsidRPr="0046074F">
        <w:rPr>
          <w:szCs w:val="24"/>
        </w:rPr>
        <w:t>I hereby certify that a copy of this Motion to Intervene was served on the persons stated below via electronic transmission, this</w:t>
      </w:r>
      <w:r w:rsidRPr="0046074F" w:rsidR="005E16E9">
        <w:rPr>
          <w:szCs w:val="24"/>
        </w:rPr>
        <w:t xml:space="preserve"> 12</w:t>
      </w:r>
      <w:r w:rsidRPr="00207168" w:rsidR="005E16E9">
        <w:rPr>
          <w:szCs w:val="24"/>
          <w:vertAlign w:val="superscript"/>
        </w:rPr>
        <w:t>th</w:t>
      </w:r>
      <w:r w:rsidRPr="0046074F" w:rsidR="00756B4C">
        <w:rPr>
          <w:szCs w:val="24"/>
        </w:rPr>
        <w:t xml:space="preserve"> day of December 2023.</w:t>
      </w:r>
    </w:p>
    <w:p w:rsidR="003C41C9" w:rsidRPr="0046074F" w:rsidP="003C41C9" w14:paraId="7B9845B7" w14:textId="64701E95">
      <w:pPr>
        <w:pStyle w:val="EndnoteText"/>
        <w:ind w:left="4320" w:firstLine="720"/>
        <w:rPr>
          <w:sz w:val="24"/>
          <w:szCs w:val="24"/>
        </w:rPr>
      </w:pPr>
      <w:r w:rsidRPr="0046074F">
        <w:rPr>
          <w:i/>
          <w:iCs/>
          <w:sz w:val="24"/>
          <w:szCs w:val="24"/>
          <w:u w:val="single"/>
        </w:rPr>
        <w:t>/s/ Donald J. Kral</w:t>
      </w:r>
      <w:r w:rsidRPr="0046074F">
        <w:rPr>
          <w:sz w:val="24"/>
          <w:szCs w:val="24"/>
        </w:rPr>
        <w:tab/>
      </w:r>
      <w:r w:rsidRPr="0046074F">
        <w:rPr>
          <w:sz w:val="24"/>
          <w:szCs w:val="24"/>
        </w:rPr>
        <w:tab/>
      </w:r>
      <w:r w:rsidRPr="0046074F">
        <w:rPr>
          <w:sz w:val="24"/>
          <w:szCs w:val="24"/>
        </w:rPr>
        <w:tab/>
        <w:t>Donald J. Kral</w:t>
      </w:r>
    </w:p>
    <w:p w:rsidR="003C41C9" w:rsidRPr="0046074F" w:rsidP="003C41C9" w14:paraId="1BB77631" w14:textId="77777777">
      <w:pPr>
        <w:pStyle w:val="EndnoteText"/>
        <w:rPr>
          <w:sz w:val="24"/>
          <w:szCs w:val="24"/>
        </w:rPr>
      </w:pPr>
      <w:r w:rsidRPr="0046074F">
        <w:rPr>
          <w:sz w:val="24"/>
          <w:szCs w:val="24"/>
        </w:rPr>
        <w:tab/>
      </w:r>
      <w:r w:rsidRPr="0046074F">
        <w:rPr>
          <w:sz w:val="24"/>
          <w:szCs w:val="24"/>
        </w:rPr>
        <w:tab/>
      </w:r>
      <w:r w:rsidRPr="0046074F">
        <w:rPr>
          <w:sz w:val="24"/>
          <w:szCs w:val="24"/>
        </w:rPr>
        <w:tab/>
      </w:r>
      <w:r w:rsidRPr="0046074F">
        <w:rPr>
          <w:sz w:val="24"/>
          <w:szCs w:val="24"/>
        </w:rPr>
        <w:tab/>
      </w:r>
      <w:r w:rsidRPr="0046074F">
        <w:rPr>
          <w:sz w:val="24"/>
          <w:szCs w:val="24"/>
        </w:rPr>
        <w:tab/>
      </w:r>
      <w:r w:rsidRPr="0046074F">
        <w:rPr>
          <w:sz w:val="24"/>
          <w:szCs w:val="24"/>
        </w:rPr>
        <w:tab/>
      </w:r>
      <w:r w:rsidRPr="0046074F">
        <w:rPr>
          <w:sz w:val="24"/>
          <w:szCs w:val="24"/>
        </w:rPr>
        <w:tab/>
        <w:t>Assistant Consumers’ Counsel</w:t>
      </w:r>
    </w:p>
    <w:p w:rsidR="00BB7B8F" w:rsidRPr="0046074F" w:rsidP="003C41C9" w14:paraId="350B54CD" w14:textId="77777777">
      <w:pPr>
        <w:pStyle w:val="EndnoteText"/>
        <w:rPr>
          <w:sz w:val="24"/>
          <w:szCs w:val="24"/>
        </w:rPr>
      </w:pPr>
    </w:p>
    <w:p w:rsidR="003C41C9" w:rsidRPr="0046074F" w:rsidP="003C41C9" w14:paraId="05FAB56D" w14:textId="77777777">
      <w:pPr>
        <w:suppressLineNumbers/>
        <w:rPr>
          <w:szCs w:val="24"/>
        </w:rPr>
      </w:pPr>
      <w:r w:rsidRPr="0046074F">
        <w:rPr>
          <w:szCs w:val="24"/>
        </w:rPr>
        <w:t>The PUCO’s e-filing system will electronically serve notice of the filing of this document on the following parties:</w:t>
      </w:r>
    </w:p>
    <w:p w:rsidR="003C41C9" w:rsidRPr="0046074F" w:rsidP="003C41C9" w14:paraId="7E0EC307" w14:textId="77777777">
      <w:pPr>
        <w:pStyle w:val="CommentText"/>
      </w:pPr>
    </w:p>
    <w:p w:rsidR="003C41C9" w:rsidRPr="0046074F" w:rsidP="003C41C9" w14:paraId="175CD8BC" w14:textId="77777777">
      <w:pPr>
        <w:pStyle w:val="CommentText"/>
        <w:jc w:val="center"/>
        <w:rPr>
          <w:b/>
          <w:u w:val="single"/>
        </w:rPr>
      </w:pPr>
      <w:r w:rsidRPr="0046074F">
        <w:rPr>
          <w:b/>
          <w:u w:val="single"/>
        </w:rPr>
        <w:t>SERVICE LIST</w:t>
      </w:r>
    </w:p>
    <w:p w:rsidR="003C41C9" w:rsidRPr="0046074F" w:rsidP="003C41C9" w14:paraId="5FF35B11" w14:textId="77777777">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08"/>
        <w:gridCol w:w="4332"/>
      </w:tblGrid>
      <w:tr w14:paraId="27B09B29" w14:textId="77777777" w:rsidTr="0002295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Pr>
          <w:p w:rsidR="003C41C9" w:rsidRPr="0046074F" w:rsidP="00022956" w14:paraId="15F992EA" w14:textId="2853997A">
            <w:pPr>
              <w:pStyle w:val="BodyText"/>
              <w:jc w:val="both"/>
              <w:rPr>
                <w:rStyle w:val="Hyperlink"/>
                <w:rFonts w:eastAsia="Courier New"/>
                <w:bCs/>
                <w:color w:val="0000FF"/>
                <w:sz w:val="24"/>
                <w:szCs w:val="24"/>
                <w:u w:val="single"/>
                <w:lang w:val="en-US" w:eastAsia="en-US" w:bidi="ar-SA"/>
              </w:rPr>
            </w:pPr>
            <w:hyperlink r:id="rId16" w:history="1">
              <w:r w:rsidRPr="0046074F">
                <w:rPr>
                  <w:rStyle w:val="Hyperlink"/>
                  <w:rFonts w:eastAsia="Courier New"/>
                  <w:color w:val="0000FF"/>
                  <w:sz w:val="24"/>
                  <w:szCs w:val="24"/>
                  <w:u w:val="single"/>
                  <w:lang w:val="en-US" w:eastAsia="en-US" w:bidi="ar-SA"/>
                </w:rPr>
                <w:t>ashley.wnek@ohioAGO.gov</w:t>
              </w:r>
            </w:hyperlink>
          </w:p>
          <w:p w:rsidR="003C41C9" w:rsidRPr="0046074F" w:rsidP="00022956" w14:paraId="03D06B65" w14:textId="77777777">
            <w:pPr>
              <w:pStyle w:val="BodyText"/>
              <w:jc w:val="both"/>
              <w:rPr>
                <w:bCs/>
                <w:sz w:val="24"/>
                <w:szCs w:val="24"/>
                <w:lang w:val="en-US" w:eastAsia="en-US" w:bidi="ar-SA"/>
              </w:rPr>
            </w:pPr>
          </w:p>
          <w:p w:rsidR="003C41C9" w:rsidRPr="0046074F" w:rsidP="00022956" w14:paraId="6DB4A594" w14:textId="77777777">
            <w:pPr>
              <w:pStyle w:val="BodyText"/>
              <w:jc w:val="both"/>
              <w:rPr>
                <w:bCs/>
                <w:sz w:val="24"/>
                <w:szCs w:val="24"/>
                <w:lang w:val="en-US" w:eastAsia="en-US" w:bidi="ar-SA"/>
              </w:rPr>
            </w:pPr>
            <w:r w:rsidRPr="0046074F">
              <w:rPr>
                <w:sz w:val="24"/>
                <w:szCs w:val="24"/>
                <w:lang w:val="en-US" w:eastAsia="en-US" w:bidi="ar-SA"/>
              </w:rPr>
              <w:t>Attorney Examiners:</w:t>
            </w:r>
          </w:p>
          <w:p w:rsidR="003C41C9" w:rsidRPr="0046074F" w:rsidP="00022956" w14:paraId="46411F31" w14:textId="2079DB70">
            <w:pPr>
              <w:pStyle w:val="BodyText"/>
              <w:jc w:val="both"/>
              <w:rPr>
                <w:bCs/>
                <w:sz w:val="24"/>
                <w:szCs w:val="24"/>
                <w:lang w:val="en-US" w:eastAsia="en-US" w:bidi="ar-SA"/>
              </w:rPr>
            </w:pPr>
            <w:hyperlink r:id="rId17" w:history="1">
              <w:r w:rsidRPr="0046074F">
                <w:rPr>
                  <w:rStyle w:val="Hyperlink"/>
                  <w:rFonts w:eastAsia="Courier New"/>
                  <w:color w:val="0000FF"/>
                  <w:sz w:val="24"/>
                  <w:szCs w:val="24"/>
                  <w:u w:val="single"/>
                  <w:lang w:val="en-US" w:eastAsia="en-US" w:bidi="ar-SA"/>
                </w:rPr>
                <w:t>david.hicks@puco.ohio.gov</w:t>
              </w:r>
            </w:hyperlink>
          </w:p>
          <w:p w:rsidR="003C41C9" w:rsidRPr="0046074F" w:rsidP="00022956" w14:paraId="4B568187" w14:textId="76052807">
            <w:pPr>
              <w:pStyle w:val="BodyText"/>
              <w:jc w:val="both"/>
              <w:rPr>
                <w:bCs/>
                <w:sz w:val="24"/>
                <w:szCs w:val="24"/>
                <w:lang w:val="en-US" w:eastAsia="en-US" w:bidi="ar-SA"/>
              </w:rPr>
            </w:pPr>
            <w:hyperlink r:id="rId18" w:history="1">
              <w:r w:rsidRPr="0046074F">
                <w:rPr>
                  <w:rStyle w:val="Hyperlink"/>
                  <w:color w:val="0000FF"/>
                  <w:sz w:val="24"/>
                  <w:szCs w:val="24"/>
                  <w:u w:val="single"/>
                  <w:lang w:val="en-US" w:eastAsia="en-US" w:bidi="ar-SA"/>
                </w:rPr>
                <w:t>greta</w:t>
              </w:r>
              <w:r w:rsidRPr="0046074F">
                <w:rPr>
                  <w:rStyle w:val="Hyperlink"/>
                  <w:rFonts w:eastAsia="Courier New"/>
                  <w:color w:val="0000FF"/>
                  <w:sz w:val="24"/>
                  <w:szCs w:val="24"/>
                  <w:u w:val="single"/>
                  <w:lang w:val="en-US" w:eastAsia="en-US" w:bidi="ar-SA"/>
                </w:rPr>
                <w:t>.see@puco.ohio.gov</w:t>
              </w:r>
            </w:hyperlink>
          </w:p>
        </w:tc>
        <w:tc>
          <w:tcPr>
            <w:tcW w:w="4675" w:type="dxa"/>
          </w:tcPr>
          <w:p w:rsidR="003C41C9" w:rsidRPr="0046074F" w:rsidP="00022956" w14:paraId="412EC6D4" w14:textId="743F3357">
            <w:pPr>
              <w:autoSpaceDE w:val="0"/>
              <w:autoSpaceDN w:val="0"/>
              <w:adjustRightInd w:val="0"/>
              <w:ind w:left="1062"/>
              <w:rPr>
                <w:sz w:val="24"/>
                <w:szCs w:val="24"/>
                <w:lang w:val="en-US" w:eastAsia="en-US" w:bidi="ar-SA"/>
              </w:rPr>
            </w:pPr>
            <w:hyperlink r:id="rId19" w:history="1">
              <w:r w:rsidRPr="0046074F">
                <w:rPr>
                  <w:rStyle w:val="Hyperlink"/>
                  <w:color w:val="0000FF"/>
                  <w:sz w:val="24"/>
                  <w:szCs w:val="24"/>
                  <w:u w:val="single"/>
                  <w:lang w:val="en-US" w:eastAsia="en-US" w:bidi="ar-SA"/>
                </w:rPr>
                <w:t>stnourse@aep.com</w:t>
              </w:r>
            </w:hyperlink>
          </w:p>
          <w:p w:rsidR="003C41C9" w:rsidRPr="0046074F" w:rsidP="00022956" w14:paraId="75946EFF" w14:textId="77777777">
            <w:pPr>
              <w:autoSpaceDE w:val="0"/>
              <w:autoSpaceDN w:val="0"/>
              <w:adjustRightInd w:val="0"/>
              <w:ind w:left="1062"/>
              <w:rPr>
                <w:rFonts w:eastAsia="Courier New"/>
                <w:sz w:val="24"/>
                <w:szCs w:val="24"/>
                <w:lang w:val="en-US" w:eastAsia="en-US" w:bidi="ar-SA"/>
              </w:rPr>
            </w:pPr>
          </w:p>
          <w:p w:rsidR="003C41C9" w:rsidRPr="0046074F" w:rsidP="00022956" w14:paraId="3A8E89A2" w14:textId="77777777">
            <w:pPr>
              <w:autoSpaceDE w:val="0"/>
              <w:autoSpaceDN w:val="0"/>
              <w:adjustRightInd w:val="0"/>
              <w:ind w:left="1062"/>
              <w:rPr>
                <w:rFonts w:eastAsia="Courier New"/>
                <w:bCs/>
                <w:sz w:val="24"/>
                <w:szCs w:val="24"/>
                <w:lang w:val="en-US" w:eastAsia="en-US" w:bidi="ar-SA"/>
              </w:rPr>
            </w:pPr>
          </w:p>
          <w:p w:rsidR="003C41C9" w:rsidRPr="0046074F" w:rsidP="00022956" w14:paraId="0942E4CC" w14:textId="77777777">
            <w:pPr>
              <w:pStyle w:val="CommentText"/>
              <w:ind w:left="1062"/>
              <w:rPr>
                <w:sz w:val="24"/>
                <w:szCs w:val="24"/>
                <w:lang w:val="en-US" w:eastAsia="en-US" w:bidi="ar-SA"/>
              </w:rPr>
            </w:pPr>
          </w:p>
          <w:p w:rsidR="003C41C9" w:rsidRPr="0046074F" w:rsidP="00022956" w14:paraId="66500A86" w14:textId="77777777">
            <w:pPr>
              <w:autoSpaceDE w:val="0"/>
              <w:autoSpaceDN w:val="0"/>
              <w:adjustRightInd w:val="0"/>
              <w:ind w:left="1062"/>
              <w:rPr>
                <w:b/>
                <w:sz w:val="24"/>
                <w:szCs w:val="24"/>
                <w:u w:val="single"/>
                <w:lang w:val="en-US" w:eastAsia="en-US" w:bidi="ar-SA"/>
              </w:rPr>
            </w:pPr>
          </w:p>
        </w:tc>
      </w:tr>
      <w:tr w14:paraId="3B7B72FE" w14:textId="77777777" w:rsidTr="00022956">
        <w:tblPrEx>
          <w:tblW w:w="0" w:type="auto"/>
          <w:tblInd w:w="0" w:type="dxa"/>
          <w:tblCellMar>
            <w:top w:w="0" w:type="dxa"/>
            <w:left w:w="108" w:type="dxa"/>
            <w:bottom w:w="0" w:type="dxa"/>
            <w:right w:w="108" w:type="dxa"/>
          </w:tblCellMar>
          <w:tblLook w:val="04A0"/>
        </w:tblPrEx>
        <w:tc>
          <w:tcPr>
            <w:tcW w:w="4675" w:type="dxa"/>
          </w:tcPr>
          <w:p w:rsidR="003C41C9" w:rsidRPr="0046074F" w:rsidP="00022956" w14:paraId="3D3D3DA0" w14:textId="77777777">
            <w:pPr>
              <w:autoSpaceDE w:val="0"/>
              <w:autoSpaceDN w:val="0"/>
              <w:adjustRightInd w:val="0"/>
              <w:rPr>
                <w:b/>
                <w:sz w:val="24"/>
                <w:szCs w:val="24"/>
                <w:u w:val="single"/>
                <w:lang w:val="en-US" w:eastAsia="en-US" w:bidi="ar-SA"/>
              </w:rPr>
            </w:pPr>
          </w:p>
        </w:tc>
        <w:tc>
          <w:tcPr>
            <w:tcW w:w="4675" w:type="dxa"/>
          </w:tcPr>
          <w:p w:rsidR="003C41C9" w:rsidRPr="0046074F" w:rsidP="00022956" w14:paraId="7171F2C5" w14:textId="77777777">
            <w:pPr>
              <w:pStyle w:val="CommentText"/>
              <w:ind w:left="1062"/>
              <w:rPr>
                <w:b/>
                <w:sz w:val="24"/>
                <w:szCs w:val="24"/>
                <w:u w:val="single"/>
                <w:lang w:val="en-US" w:eastAsia="en-US" w:bidi="ar-SA"/>
              </w:rPr>
            </w:pPr>
          </w:p>
        </w:tc>
      </w:tr>
    </w:tbl>
    <w:p w:rsidR="003C41C9" w:rsidRPr="0046074F" w:rsidP="003C41C9" w14:paraId="09F744D5" w14:textId="77777777">
      <w:pPr>
        <w:spacing w:line="480" w:lineRule="auto"/>
        <w:rPr>
          <w:bCs/>
          <w:szCs w:val="24"/>
        </w:rPr>
      </w:pPr>
    </w:p>
    <w:sectPr w:rsidSect="004F27E6">
      <w:headerReference w:type="first" r:id="rId20"/>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14:paraId="442142D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4CD5" w14:paraId="4B0F05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9C6EB6" w14:paraId="6F42A75A" w14:textId="77777777">
    <w:pPr>
      <w:pStyle w:val="Footer"/>
      <w:jc w:val="center"/>
      <w:rPr>
        <w:sz w:val="24"/>
        <w:szCs w:val="24"/>
      </w:rPr>
    </w:pPr>
    <w:r w:rsidRPr="009C6EB6">
      <w:rPr>
        <w:rStyle w:val="PageNumber"/>
        <w:sz w:val="24"/>
        <w:szCs w:val="24"/>
      </w:rPr>
      <w:fldChar w:fldCharType="begin"/>
    </w:r>
    <w:r w:rsidRPr="009C6EB6">
      <w:rPr>
        <w:rStyle w:val="PageNumber"/>
        <w:sz w:val="24"/>
        <w:szCs w:val="24"/>
      </w:rPr>
      <w:instrText xml:space="preserve"> PAGE </w:instrText>
    </w:r>
    <w:r w:rsidRPr="009C6EB6">
      <w:rPr>
        <w:rStyle w:val="PageNumber"/>
        <w:sz w:val="24"/>
        <w:szCs w:val="24"/>
      </w:rPr>
      <w:fldChar w:fldCharType="separate"/>
    </w:r>
    <w:r w:rsidRPr="009C6EB6">
      <w:rPr>
        <w:rStyle w:val="PageNumber"/>
        <w:noProof/>
        <w:sz w:val="24"/>
        <w:szCs w:val="24"/>
      </w:rPr>
      <w:t>2</w:t>
    </w:r>
    <w:r w:rsidRPr="009C6EB6">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FF" w14:paraId="6950E8A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8676733"/>
      <w:docPartObj>
        <w:docPartGallery w:val="Page Numbers (Bottom of Page)"/>
        <w:docPartUnique/>
      </w:docPartObj>
    </w:sdtPr>
    <w:sdtEndPr>
      <w:rPr>
        <w:noProof/>
        <w:sz w:val="24"/>
        <w:szCs w:val="24"/>
      </w:rPr>
    </w:sdtEndPr>
    <w:sdtContent>
      <w:p w:rsidR="00C5510B" w:rsidRPr="00C5510B" w:rsidP="00B1129B" w14:paraId="43D6C499" w14:textId="7CC9D584">
        <w:pPr>
          <w:pStyle w:val="Footer"/>
          <w:jc w:val="center"/>
          <w:rPr>
            <w:sz w:val="24"/>
            <w:szCs w:val="24"/>
          </w:rPr>
        </w:pPr>
        <w:r w:rsidRPr="00C5510B">
          <w:rPr>
            <w:sz w:val="24"/>
            <w:szCs w:val="24"/>
          </w:rPr>
          <w:fldChar w:fldCharType="begin"/>
        </w:r>
        <w:r w:rsidRPr="00C5510B">
          <w:rPr>
            <w:sz w:val="24"/>
            <w:szCs w:val="24"/>
          </w:rPr>
          <w:instrText xml:space="preserve"> PAGE   \* MERGEFORMAT </w:instrText>
        </w:r>
        <w:r w:rsidRPr="00C5510B">
          <w:rPr>
            <w:sz w:val="24"/>
            <w:szCs w:val="24"/>
          </w:rPr>
          <w:fldChar w:fldCharType="separate"/>
        </w:r>
        <w:r w:rsidRPr="00C5510B">
          <w:rPr>
            <w:noProof/>
            <w:sz w:val="24"/>
            <w:szCs w:val="24"/>
          </w:rPr>
          <w:t>2</w:t>
        </w:r>
        <w:r w:rsidRPr="00C5510B">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1E1F" w14:paraId="4F12559F" w14:textId="77777777">
      <w:r>
        <w:separator/>
      </w:r>
    </w:p>
  </w:footnote>
  <w:footnote w:type="continuationSeparator" w:id="1">
    <w:p w:rsidR="00E21E1F" w14:paraId="71D8F0AF" w14:textId="77777777">
      <w:r>
        <w:continuationSeparator/>
      </w:r>
    </w:p>
  </w:footnote>
  <w:footnote w:id="2">
    <w:p w:rsidR="008E7E9E" w:rsidP="00444EB6" w14:paraId="0890A5B2" w14:textId="3E2FF7D8">
      <w:pPr>
        <w:pStyle w:val="FootnoteText"/>
        <w:spacing w:after="120"/>
      </w:pPr>
      <w:r>
        <w:rPr>
          <w:rStyle w:val="FootnoteReference"/>
        </w:rPr>
        <w:footnoteRef/>
      </w:r>
      <w:r>
        <w:t xml:space="preserve"> </w:t>
      </w:r>
      <w:r w:rsidRPr="00160C70">
        <w:rPr>
          <w:i/>
          <w:iCs/>
        </w:rPr>
        <w:t>See</w:t>
      </w:r>
      <w:r>
        <w:t xml:space="preserve"> R.C. Chapter 4911, R.C. 4903.221 and O</w:t>
      </w:r>
      <w:r w:rsidR="00223F30">
        <w:t>.A.C.</w:t>
      </w:r>
      <w:r>
        <w:t xml:space="preserve"> 4901-1-11.</w:t>
      </w:r>
    </w:p>
  </w:footnote>
  <w:footnote w:id="3">
    <w:p w:rsidR="00F73EBE" w:rsidRPr="00F73EBE" w:rsidP="00444EB6" w14:paraId="2309E273" w14:textId="4D4123ED">
      <w:pPr>
        <w:pStyle w:val="FootnoteText"/>
        <w:spacing w:after="120"/>
      </w:pPr>
      <w:r>
        <w:rPr>
          <w:rStyle w:val="FootnoteReference"/>
        </w:rPr>
        <w:footnoteRef/>
      </w:r>
      <w:r>
        <w:t xml:space="preserve"> </w:t>
      </w:r>
      <w:bookmarkStart w:id="0" w:name="_Hlk152342247"/>
      <w:r>
        <w:rPr>
          <w:i/>
          <w:iCs/>
        </w:rPr>
        <w:t xml:space="preserve">See In the Matter of the 2018 Through 2022 Review of the Alternative Energy Rider of Ohio Power Company, </w:t>
      </w:r>
      <w:r>
        <w:t>Case No. 23-251-EL-RDR, Entry (July 12, 2023).</w:t>
      </w:r>
    </w:p>
    <w:bookmarkEnd w:id="0"/>
  </w:footnote>
  <w:footnote w:id="4">
    <w:p w:rsidR="00C1391C" w:rsidRPr="00565366" w:rsidP="00444EB6" w14:paraId="5A172CB8" w14:textId="011D506D">
      <w:pPr>
        <w:pStyle w:val="FootnoteText"/>
        <w:spacing w:after="120"/>
        <w:rPr>
          <w:i/>
          <w:iCs/>
          <w:color w:val="000000" w:themeColor="text1"/>
        </w:rPr>
      </w:pPr>
      <w:r>
        <w:rPr>
          <w:rStyle w:val="FootnoteReference"/>
        </w:rPr>
        <w:footnoteRef/>
      </w:r>
      <w:r>
        <w:t xml:space="preserve"> </w:t>
      </w:r>
      <w:r w:rsidRPr="004730E1">
        <w:t>Renewable portfolio standard – EDU rate impacts</w:t>
      </w:r>
      <w:r>
        <w:rPr>
          <w:i/>
          <w:iCs/>
        </w:rPr>
        <w:t xml:space="preserve"> </w:t>
      </w:r>
      <w:r>
        <w:t>(2018-2022)</w:t>
      </w:r>
      <w:r>
        <w:rPr>
          <w:i/>
          <w:iCs/>
        </w:rPr>
        <w:t>,</w:t>
      </w:r>
      <w:r w:rsidRPr="004E2CFA" w:rsidR="004E2CFA">
        <w:t xml:space="preserve"> </w:t>
      </w:r>
      <w:hyperlink r:id="rId1" w:history="1">
        <w:r w:rsidRPr="004730E1" w:rsidR="00565366">
          <w:rPr>
            <w:rStyle w:val="Hyperlink"/>
          </w:rPr>
          <w:t>https://puco.ohio.gov/utilities/electricity%20/resources/ohio-renewable-energy-portfolio-standard/rps-edu-rate-impacts</w:t>
        </w:r>
      </w:hyperlink>
      <w:r w:rsidRPr="00565366">
        <w:rPr>
          <w:color w:val="000000" w:themeColor="text1"/>
        </w:rPr>
        <w:t>.</w:t>
      </w:r>
    </w:p>
  </w:footnote>
  <w:footnote w:id="5">
    <w:p w:rsidR="002C0496" w:rsidP="00444EB6" w14:paraId="54BFF88E" w14:textId="0AF9C2BF">
      <w:pPr>
        <w:pStyle w:val="FootnoteText"/>
        <w:spacing w:after="120"/>
      </w:pPr>
      <w:r>
        <w:rPr>
          <w:rStyle w:val="FootnoteReference"/>
        </w:rPr>
        <w:footnoteRef/>
      </w:r>
      <w:r>
        <w:t xml:space="preserve"> </w:t>
      </w:r>
      <w:r>
        <w:rPr>
          <w:i/>
          <w:iCs/>
        </w:rPr>
        <w:t xml:space="preserve">In the Matter of the 2015 Through 2017 Review of the Alternative Energy Rider of Ohio Power Company, </w:t>
      </w:r>
      <w:r>
        <w:t>Case No. 18-80-EL-RDR, Report of the Management Performance and Financial Audit of the Alternative Energy Rider of Ohio Power Company (Jan</w:t>
      </w:r>
      <w:r w:rsidR="00C71C93">
        <w:t>.</w:t>
      </w:r>
      <w:r>
        <w:t xml:space="preserve"> 16, 2019) at 9 (Section 1.3).</w:t>
      </w:r>
    </w:p>
  </w:footnote>
  <w:footnote w:id="6">
    <w:p w:rsidR="00A945CB" w:rsidP="00444EB6" w14:paraId="6D0F58EE" w14:textId="7ADD6BBF">
      <w:pPr>
        <w:pStyle w:val="FootnoteText"/>
        <w:spacing w:after="120"/>
      </w:pPr>
      <w:r>
        <w:rPr>
          <w:rStyle w:val="FootnoteReference"/>
        </w:rPr>
        <w:footnoteRef/>
      </w:r>
      <w:r>
        <w:t xml:space="preserve"> </w:t>
      </w:r>
      <w:bookmarkStart w:id="1" w:name="_Hlk152341026"/>
      <w:r>
        <w:rPr>
          <w:i/>
          <w:iCs/>
        </w:rPr>
        <w:t>I</w:t>
      </w:r>
      <w:r w:rsidR="006C77AC">
        <w:rPr>
          <w:i/>
          <w:iCs/>
        </w:rPr>
        <w:t>d.</w:t>
      </w:r>
    </w:p>
    <w:bookmarkEnd w:id="1"/>
  </w:footnote>
  <w:footnote w:id="7">
    <w:p w:rsidR="00BD4D73" w:rsidRPr="00F73EBE" w:rsidP="00444EB6" w14:paraId="2687580B" w14:textId="77777777">
      <w:pPr>
        <w:pStyle w:val="FootnoteText"/>
        <w:spacing w:after="120"/>
      </w:pPr>
      <w:r>
        <w:rPr>
          <w:rStyle w:val="FootnoteReference"/>
        </w:rPr>
        <w:footnoteRef/>
      </w:r>
      <w:r>
        <w:t xml:space="preserve"> </w:t>
      </w:r>
      <w:r>
        <w:rPr>
          <w:i/>
          <w:iCs/>
        </w:rPr>
        <w:t xml:space="preserve">See In the Matter of the 2018 Through 2022 Review of the Alternative Energy Rider of Ohio Power Company, </w:t>
      </w:r>
      <w:r>
        <w:t>Case No. 23-251-EL-RDR, Entry (July 12, 2023).</w:t>
      </w:r>
    </w:p>
  </w:footnote>
  <w:footnote w:id="8">
    <w:p w:rsidR="000E7136" w:rsidRPr="000E7136" w:rsidP="00444EB6" w14:paraId="2464DAC4" w14:textId="539567FA">
      <w:pPr>
        <w:pStyle w:val="FootnoteText"/>
        <w:spacing w:after="120"/>
        <w:rPr>
          <w:i/>
          <w:iCs/>
          <w:color w:val="000000" w:themeColor="text1"/>
          <w:u w:val="single"/>
        </w:rPr>
      </w:pPr>
      <w:r>
        <w:rPr>
          <w:rStyle w:val="FootnoteReference"/>
        </w:rPr>
        <w:footnoteRef/>
      </w:r>
      <w:r w:rsidR="0046074F">
        <w:t xml:space="preserve"> </w:t>
      </w:r>
      <w:bookmarkStart w:id="4" w:name="_Hlk153282040"/>
      <w:r w:rsidRPr="00A524E8" w:rsidR="005E16E9">
        <w:t>Renewable portfolio standard – EDU rate impacts</w:t>
      </w:r>
      <w:r w:rsidR="005E16E9">
        <w:rPr>
          <w:i/>
          <w:iCs/>
        </w:rPr>
        <w:t xml:space="preserve"> </w:t>
      </w:r>
      <w:r w:rsidR="005E16E9">
        <w:t>(2018-2022)</w:t>
      </w:r>
      <w:r w:rsidR="005E16E9">
        <w:rPr>
          <w:i/>
          <w:iCs/>
        </w:rPr>
        <w:t>,</w:t>
      </w:r>
      <w:r w:rsidRPr="004E2CFA" w:rsidR="005E16E9">
        <w:t xml:space="preserve"> </w:t>
      </w:r>
      <w:hyperlink r:id="rId1" w:history="1">
        <w:r w:rsidRPr="00A524E8">
          <w:rPr>
            <w:rStyle w:val="Hyperlink"/>
          </w:rPr>
          <w:t>https://puco.ohio.gov/utilities/electricity%20/resources/ohio-renewable-energy-portfolio-standard/rps-edu-rate-impacts</w:t>
        </w:r>
      </w:hyperlink>
      <w:r>
        <w:rPr>
          <w:i/>
          <w:iCs/>
          <w:color w:val="000000" w:themeColor="text1"/>
        </w:rPr>
        <w:t>.</w:t>
      </w:r>
    </w:p>
    <w:bookmarkEnd w:id="4"/>
  </w:footnote>
  <w:footnote w:id="9">
    <w:p w:rsidR="008069A0" w:rsidP="00444EB6" w14:paraId="3DFA107B" w14:textId="61B2F08E">
      <w:pPr>
        <w:pStyle w:val="FootnoteText"/>
        <w:spacing w:after="120"/>
      </w:pPr>
      <w:r>
        <w:rPr>
          <w:rStyle w:val="FootnoteReference"/>
        </w:rPr>
        <w:footnoteRef/>
      </w:r>
      <w:r>
        <w:t xml:space="preserve"> </w:t>
      </w:r>
      <w:r w:rsidR="005E16E9">
        <w:rPr>
          <w:i/>
          <w:iCs/>
        </w:rPr>
        <w:t xml:space="preserve">Id. </w:t>
      </w:r>
      <w:r w:rsidR="005E16E9">
        <w:t>(s</w:t>
      </w:r>
      <w:r>
        <w:t>um of AEP’s annual charges for 2018-2022 divided by Sum of annual charges for Duke, DP&amp;</w:t>
      </w:r>
      <w:r w:rsidR="00A57210">
        <w:t>L</w:t>
      </w:r>
      <w:r>
        <w:t xml:space="preserve"> and FirstEnergy</w:t>
      </w:r>
      <w:r w:rsidR="005E16E9">
        <w:t>)</w:t>
      </w:r>
      <w:r w:rsidR="007A7448">
        <w:t>.</w:t>
      </w:r>
    </w:p>
  </w:footnote>
  <w:footnote w:id="10">
    <w:p w:rsidR="00BD4D73" w:rsidP="00444EB6" w14:paraId="30008DAA" w14:textId="5536DD2E">
      <w:pPr>
        <w:pStyle w:val="FootnoteText"/>
        <w:spacing w:after="120"/>
      </w:pPr>
      <w:r>
        <w:rPr>
          <w:rStyle w:val="FootnoteReference"/>
        </w:rPr>
        <w:footnoteRef/>
      </w:r>
      <w:r>
        <w:t xml:space="preserve"> </w:t>
      </w:r>
      <w:r>
        <w:rPr>
          <w:i/>
          <w:iCs/>
        </w:rPr>
        <w:t xml:space="preserve">In the Matter of the 2015 Through 2017 Review of the Alternative Energy Rider of Ohio Power Company, </w:t>
      </w:r>
      <w:r>
        <w:t>Case No. 18-80-EL-RDR, Report of the Management Performance and Financial Audit of the Alternative Energy Rider of Ohio Power Company (Jan</w:t>
      </w:r>
      <w:r w:rsidR="00B67994">
        <w:t>.</w:t>
      </w:r>
      <w:r>
        <w:t xml:space="preserve"> 16, 2019) at 9 (Section 1.3).</w:t>
      </w:r>
    </w:p>
  </w:footnote>
  <w:footnote w:id="11">
    <w:p w:rsidR="00BD4D73" w:rsidP="00444EB6" w14:paraId="20478BA0" w14:textId="77777777">
      <w:pPr>
        <w:pStyle w:val="FootnoteText"/>
        <w:spacing w:after="120"/>
      </w:pPr>
      <w:r>
        <w:rPr>
          <w:rStyle w:val="FootnoteReference"/>
        </w:rPr>
        <w:footnoteRef/>
      </w:r>
      <w:r>
        <w:t xml:space="preserve"> </w:t>
      </w:r>
      <w:r>
        <w:rPr>
          <w:i/>
          <w:iCs/>
        </w:rPr>
        <w:t>Id.</w:t>
      </w:r>
    </w:p>
  </w:footnote>
  <w:footnote w:id="12">
    <w:p w:rsidR="006C7A17" w:rsidP="00444EB6" w14:paraId="49D52A08" w14:textId="75869EA8">
      <w:pPr>
        <w:pStyle w:val="FootnoteText"/>
        <w:spacing w:after="120"/>
      </w:pPr>
      <w:r>
        <w:rPr>
          <w:rStyle w:val="FootnoteReference"/>
        </w:rPr>
        <w:footnoteRef/>
      </w:r>
      <w:r>
        <w:t xml:space="preserve"> </w:t>
      </w:r>
      <w:r>
        <w:rPr>
          <w:i/>
          <w:iCs/>
        </w:rPr>
        <w:t xml:space="preserve">See In the Matter of the 2018 Through 2022 Review of the Alternative Energy Rider of Ohio Power Company, </w:t>
      </w:r>
      <w:r>
        <w:t>Case No. 23-251-EL-RDR, Entry (April 5, 2023) attached Request for Proposal No. RA23-AER-2 at p.</w:t>
      </w:r>
      <w:r w:rsidR="00471BCD">
        <w:t xml:space="preserve"> </w:t>
      </w:r>
      <w:r>
        <w:t>2.</w:t>
      </w:r>
    </w:p>
  </w:footnote>
  <w:footnote w:id="13">
    <w:p w:rsidR="006C7A17" w:rsidP="00444EB6" w14:paraId="7BA21E03" w14:textId="7F7D3CDD">
      <w:pPr>
        <w:pStyle w:val="FootnoteText"/>
        <w:spacing w:after="120"/>
      </w:pPr>
      <w:r>
        <w:rPr>
          <w:rStyle w:val="FootnoteReference"/>
        </w:rPr>
        <w:footnoteRef/>
      </w:r>
      <w:r>
        <w:t xml:space="preserve"> </w:t>
      </w:r>
      <w:r w:rsidRPr="00160C70">
        <w:rPr>
          <w:szCs w:val="24"/>
        </w:rPr>
        <w:t>The Auction Cost Recovery Rider enables AEP</w:t>
      </w:r>
      <w:r>
        <w:rPr>
          <w:szCs w:val="24"/>
        </w:rPr>
        <w:t>, among other things,</w:t>
      </w:r>
      <w:r w:rsidRPr="00160C70">
        <w:rPr>
          <w:szCs w:val="24"/>
        </w:rPr>
        <w:t xml:space="preserve"> to reconcile any over or under charges to consumers based on the amount billed to standard service offer customers versus the amount paid to auction winners for the procurement of power</w:t>
      </w:r>
      <w:r>
        <w:rPr>
          <w:szCs w:val="24"/>
        </w:rPr>
        <w:t>.</w:t>
      </w:r>
      <w:r w:rsidRPr="006C7A17">
        <w:rPr>
          <w:szCs w:val="24"/>
        </w:rPr>
        <w:t xml:space="preserve"> </w:t>
      </w:r>
      <w:r w:rsidRPr="00160C70">
        <w:rPr>
          <w:szCs w:val="24"/>
        </w:rPr>
        <w:t>This rider also enables AEP to charge all costs associated with the competitive bidding process such as auction manager fees, incremental auctions costs, and the costs associated wit</w:t>
      </w:r>
      <w:r>
        <w:rPr>
          <w:szCs w:val="24"/>
        </w:rPr>
        <w:t>h</w:t>
      </w:r>
      <w:r w:rsidRPr="00160C70">
        <w:rPr>
          <w:szCs w:val="24"/>
        </w:rPr>
        <w:t xml:space="preserve"> the contingency plan to procure replacement supply to consumers</w:t>
      </w:r>
      <w:r>
        <w:rPr>
          <w:szCs w:val="24"/>
        </w:rPr>
        <w:t>.</w:t>
      </w:r>
    </w:p>
  </w:footnote>
  <w:footnote w:id="14">
    <w:p w:rsidR="006C7A17" w:rsidP="00444EB6" w14:paraId="11BA3FC3" w14:textId="54431594">
      <w:pPr>
        <w:pStyle w:val="FootnoteText"/>
        <w:spacing w:after="120"/>
      </w:pPr>
      <w:r>
        <w:rPr>
          <w:rStyle w:val="FootnoteReference"/>
        </w:rPr>
        <w:footnoteRef/>
      </w:r>
      <w:r>
        <w:t xml:space="preserve"> </w:t>
      </w:r>
      <w:r w:rsidRPr="004B0C97">
        <w:rPr>
          <w:i/>
          <w:iCs/>
        </w:rPr>
        <w:t>See</w:t>
      </w:r>
      <w:r>
        <w:t xml:space="preserve"> </w:t>
      </w:r>
      <w:r>
        <w:rPr>
          <w:i/>
          <w:iCs/>
        </w:rPr>
        <w:t xml:space="preserve">In the Matter of the Application of the Alternative Energy Rider and Auction Cost Recovery Rider for Ohio Power Company, </w:t>
      </w:r>
      <w:r>
        <w:t>Case No.</w:t>
      </w:r>
      <w:r w:rsidR="009F50BD">
        <w:t xml:space="preserve"> </w:t>
      </w:r>
      <w:r>
        <w:t>20-1745-EL-RDR, Application (No</w:t>
      </w:r>
      <w:r w:rsidR="00B11033">
        <w:t>v.</w:t>
      </w:r>
      <w:r>
        <w:t xml:space="preserve"> 25, 2020) at 4.</w:t>
      </w:r>
    </w:p>
  </w:footnote>
  <w:footnote w:id="15">
    <w:p w:rsidR="006C7A17" w:rsidRPr="006C77AC" w:rsidP="00444EB6" w14:paraId="312CE0ED" w14:textId="256F0F98">
      <w:pPr>
        <w:pStyle w:val="FootnoteText"/>
        <w:spacing w:after="120"/>
      </w:pPr>
      <w:r>
        <w:rPr>
          <w:rStyle w:val="FootnoteReference"/>
        </w:rPr>
        <w:footnoteRef/>
      </w:r>
      <w:r>
        <w:t xml:space="preserve"> Case No. 20-1745-EL-RDR</w:t>
      </w:r>
      <w:r>
        <w:rPr>
          <w:i/>
          <w:iCs/>
        </w:rPr>
        <w:t xml:space="preserve">, </w:t>
      </w:r>
      <w:r>
        <w:t>Motion to Intervene by the Office of the Ohio Consumers’ Counsel (Ja</w:t>
      </w:r>
      <w:r w:rsidR="00EB2FF6">
        <w:t>n.</w:t>
      </w:r>
      <w:r>
        <w:t xml:space="preserve"> 20, 2021).</w:t>
      </w:r>
    </w:p>
  </w:footnote>
  <w:footnote w:id="16">
    <w:p w:rsidR="0026503A" w:rsidRPr="0026503A" w:rsidP="00444EB6" w14:paraId="2DADD862" w14:textId="0152E93E">
      <w:pPr>
        <w:pStyle w:val="FootnoteText"/>
        <w:spacing w:after="120"/>
        <w:rPr>
          <w:i/>
          <w:iCs/>
          <w:color w:val="000000" w:themeColor="text1"/>
          <w:u w:val="single"/>
        </w:rPr>
      </w:pPr>
      <w:r>
        <w:rPr>
          <w:rStyle w:val="FootnoteReference"/>
        </w:rPr>
        <w:footnoteRef/>
      </w:r>
      <w:r>
        <w:t xml:space="preserve"> </w:t>
      </w:r>
      <w:r w:rsidRPr="00D350BB" w:rsidR="00D350BB">
        <w:rPr>
          <w:i/>
          <w:iCs/>
        </w:rPr>
        <w:t xml:space="preserve"> </w:t>
      </w:r>
      <w:r w:rsidRPr="0026503A" w:rsidR="00D350BB">
        <w:t>Renewable portfolio standard – EDU rate impacts</w:t>
      </w:r>
      <w:r w:rsidR="00D350BB">
        <w:rPr>
          <w:i/>
          <w:iCs/>
        </w:rPr>
        <w:t xml:space="preserve"> </w:t>
      </w:r>
      <w:r w:rsidR="00D350BB">
        <w:t>(2018-2022)</w:t>
      </w:r>
      <w:r w:rsidR="00D350BB">
        <w:rPr>
          <w:i/>
          <w:iCs/>
        </w:rPr>
        <w:t>,</w:t>
      </w:r>
      <w:r w:rsidRPr="004E2CFA" w:rsidR="00D350BB">
        <w:t xml:space="preserve"> </w:t>
      </w:r>
      <w:hyperlink r:id="rId1" w:history="1">
        <w:r w:rsidRPr="0026503A" w:rsidR="00D350BB">
          <w:rPr>
            <w:rStyle w:val="Hyperlink"/>
          </w:rPr>
          <w:t>https://puco.ohio.gov/utilities/electricity%20/resources/ohio-renewable-energy-portfolio-standard/rps-edu-rate-impacts</w:t>
        </w:r>
      </w:hyperlink>
      <w:r w:rsidRPr="0026503A" w:rsidR="00D350BB">
        <w:rPr>
          <w:color w:val="000000" w:themeColor="text1"/>
        </w:rPr>
        <w:t>.</w:t>
      </w:r>
    </w:p>
  </w:footnote>
  <w:footnote w:id="17">
    <w:p w:rsidR="00CA5E94" w:rsidP="00444EB6" w14:paraId="5D6A3DEE" w14:textId="0578D3BB">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w:t>
      </w:r>
      <w:r w:rsidR="008B08AA">
        <w:t xml:space="preserve"> </w:t>
      </w:r>
      <w:r>
        <w:t>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FF" w14:paraId="1FA60E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14:paraId="3AE2AE2E"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FF" w14:paraId="11099B2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27E6" w14:paraId="6C03F5A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27E6" w14:paraId="344C82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19"/>
    <w:rsid w:val="000112A8"/>
    <w:rsid w:val="000147C6"/>
    <w:rsid w:val="00016072"/>
    <w:rsid w:val="000160E9"/>
    <w:rsid w:val="00017C4A"/>
    <w:rsid w:val="00020F53"/>
    <w:rsid w:val="00022956"/>
    <w:rsid w:val="00060B16"/>
    <w:rsid w:val="000641DC"/>
    <w:rsid w:val="00081678"/>
    <w:rsid w:val="000C30B5"/>
    <w:rsid w:val="000C4816"/>
    <w:rsid w:val="000C48D7"/>
    <w:rsid w:val="000D0450"/>
    <w:rsid w:val="000D4A54"/>
    <w:rsid w:val="000E7136"/>
    <w:rsid w:val="00102D5E"/>
    <w:rsid w:val="00103DE6"/>
    <w:rsid w:val="00111198"/>
    <w:rsid w:val="0011386F"/>
    <w:rsid w:val="0011576E"/>
    <w:rsid w:val="0011794F"/>
    <w:rsid w:val="00132F84"/>
    <w:rsid w:val="00133EFE"/>
    <w:rsid w:val="00135691"/>
    <w:rsid w:val="0014471F"/>
    <w:rsid w:val="00160C70"/>
    <w:rsid w:val="00166220"/>
    <w:rsid w:val="001938B3"/>
    <w:rsid w:val="0019573C"/>
    <w:rsid w:val="00197198"/>
    <w:rsid w:val="00197E0E"/>
    <w:rsid w:val="001A70B2"/>
    <w:rsid w:val="001B40C3"/>
    <w:rsid w:val="001B5E1C"/>
    <w:rsid w:val="001C4BF9"/>
    <w:rsid w:val="001E5678"/>
    <w:rsid w:val="00201A52"/>
    <w:rsid w:val="00207168"/>
    <w:rsid w:val="00223F30"/>
    <w:rsid w:val="00225701"/>
    <w:rsid w:val="00227458"/>
    <w:rsid w:val="002358B5"/>
    <w:rsid w:val="0026503A"/>
    <w:rsid w:val="00292284"/>
    <w:rsid w:val="002B41C5"/>
    <w:rsid w:val="002B6874"/>
    <w:rsid w:val="002C0496"/>
    <w:rsid w:val="002C5F7F"/>
    <w:rsid w:val="002D1100"/>
    <w:rsid w:val="002F79C6"/>
    <w:rsid w:val="00300317"/>
    <w:rsid w:val="00304BC9"/>
    <w:rsid w:val="00317041"/>
    <w:rsid w:val="0031731D"/>
    <w:rsid w:val="003305EF"/>
    <w:rsid w:val="003334DA"/>
    <w:rsid w:val="00346368"/>
    <w:rsid w:val="00352E50"/>
    <w:rsid w:val="003568BA"/>
    <w:rsid w:val="0035691B"/>
    <w:rsid w:val="003607F6"/>
    <w:rsid w:val="00365F0A"/>
    <w:rsid w:val="003729A5"/>
    <w:rsid w:val="003843C3"/>
    <w:rsid w:val="003915EA"/>
    <w:rsid w:val="003C260A"/>
    <w:rsid w:val="003C41C9"/>
    <w:rsid w:val="003E4484"/>
    <w:rsid w:val="003E535F"/>
    <w:rsid w:val="003E7E5C"/>
    <w:rsid w:val="00401163"/>
    <w:rsid w:val="004176F0"/>
    <w:rsid w:val="00432265"/>
    <w:rsid w:val="00444EB6"/>
    <w:rsid w:val="00452B54"/>
    <w:rsid w:val="0046074F"/>
    <w:rsid w:val="00471BCD"/>
    <w:rsid w:val="00472CD2"/>
    <w:rsid w:val="004730E1"/>
    <w:rsid w:val="00481C99"/>
    <w:rsid w:val="004836BC"/>
    <w:rsid w:val="004B0C97"/>
    <w:rsid w:val="004B5479"/>
    <w:rsid w:val="004C3BE2"/>
    <w:rsid w:val="004E2CFA"/>
    <w:rsid w:val="004F27E6"/>
    <w:rsid w:val="00502680"/>
    <w:rsid w:val="00503552"/>
    <w:rsid w:val="00503F75"/>
    <w:rsid w:val="00510B87"/>
    <w:rsid w:val="00511950"/>
    <w:rsid w:val="00527677"/>
    <w:rsid w:val="005403A0"/>
    <w:rsid w:val="00551FF0"/>
    <w:rsid w:val="00553109"/>
    <w:rsid w:val="00564B6C"/>
    <w:rsid w:val="005650AE"/>
    <w:rsid w:val="00565366"/>
    <w:rsid w:val="00592E9F"/>
    <w:rsid w:val="00596EAF"/>
    <w:rsid w:val="005973A2"/>
    <w:rsid w:val="005B5E7E"/>
    <w:rsid w:val="005C76F5"/>
    <w:rsid w:val="005D00B3"/>
    <w:rsid w:val="005D0496"/>
    <w:rsid w:val="005D10B0"/>
    <w:rsid w:val="005E16E9"/>
    <w:rsid w:val="005F5D96"/>
    <w:rsid w:val="005F6332"/>
    <w:rsid w:val="00611241"/>
    <w:rsid w:val="00614CD5"/>
    <w:rsid w:val="006253BC"/>
    <w:rsid w:val="00642232"/>
    <w:rsid w:val="006445AF"/>
    <w:rsid w:val="00662DB9"/>
    <w:rsid w:val="00667EF7"/>
    <w:rsid w:val="00684B36"/>
    <w:rsid w:val="006C77AC"/>
    <w:rsid w:val="006C7A17"/>
    <w:rsid w:val="006F0C8F"/>
    <w:rsid w:val="006F6BDC"/>
    <w:rsid w:val="00721E7C"/>
    <w:rsid w:val="0072576B"/>
    <w:rsid w:val="007318A1"/>
    <w:rsid w:val="00737577"/>
    <w:rsid w:val="00742A4F"/>
    <w:rsid w:val="007454E2"/>
    <w:rsid w:val="00755338"/>
    <w:rsid w:val="00756B4C"/>
    <w:rsid w:val="00775EDE"/>
    <w:rsid w:val="00781AB8"/>
    <w:rsid w:val="00781C1C"/>
    <w:rsid w:val="0079644F"/>
    <w:rsid w:val="007A2387"/>
    <w:rsid w:val="007A7448"/>
    <w:rsid w:val="007A75FF"/>
    <w:rsid w:val="007C78F0"/>
    <w:rsid w:val="007F73B9"/>
    <w:rsid w:val="00800119"/>
    <w:rsid w:val="008069A0"/>
    <w:rsid w:val="008223FF"/>
    <w:rsid w:val="0084275E"/>
    <w:rsid w:val="00842D33"/>
    <w:rsid w:val="00845BD8"/>
    <w:rsid w:val="008460BC"/>
    <w:rsid w:val="00857681"/>
    <w:rsid w:val="0086350F"/>
    <w:rsid w:val="00884A58"/>
    <w:rsid w:val="00896AD7"/>
    <w:rsid w:val="008B08AA"/>
    <w:rsid w:val="008B0C2B"/>
    <w:rsid w:val="008E7E9E"/>
    <w:rsid w:val="008F0E11"/>
    <w:rsid w:val="008F429E"/>
    <w:rsid w:val="008F5F56"/>
    <w:rsid w:val="008F6917"/>
    <w:rsid w:val="008F7946"/>
    <w:rsid w:val="00917972"/>
    <w:rsid w:val="009203EA"/>
    <w:rsid w:val="00922F63"/>
    <w:rsid w:val="00943000"/>
    <w:rsid w:val="009443C8"/>
    <w:rsid w:val="00946CAA"/>
    <w:rsid w:val="00967F2C"/>
    <w:rsid w:val="00981E16"/>
    <w:rsid w:val="00983E24"/>
    <w:rsid w:val="00986C57"/>
    <w:rsid w:val="009879CE"/>
    <w:rsid w:val="009A171B"/>
    <w:rsid w:val="009A4B1B"/>
    <w:rsid w:val="009B0F4B"/>
    <w:rsid w:val="009B4036"/>
    <w:rsid w:val="009B6575"/>
    <w:rsid w:val="009C6EB6"/>
    <w:rsid w:val="009D0286"/>
    <w:rsid w:val="009D65FD"/>
    <w:rsid w:val="009F1037"/>
    <w:rsid w:val="009F14AB"/>
    <w:rsid w:val="009F50BD"/>
    <w:rsid w:val="00A00710"/>
    <w:rsid w:val="00A00DC5"/>
    <w:rsid w:val="00A0583C"/>
    <w:rsid w:val="00A149F1"/>
    <w:rsid w:val="00A40029"/>
    <w:rsid w:val="00A524E8"/>
    <w:rsid w:val="00A5691D"/>
    <w:rsid w:val="00A57210"/>
    <w:rsid w:val="00A605DE"/>
    <w:rsid w:val="00A6528A"/>
    <w:rsid w:val="00A67363"/>
    <w:rsid w:val="00A67BC2"/>
    <w:rsid w:val="00A71AEE"/>
    <w:rsid w:val="00A73419"/>
    <w:rsid w:val="00A73B2F"/>
    <w:rsid w:val="00A82E65"/>
    <w:rsid w:val="00A83CFA"/>
    <w:rsid w:val="00A91575"/>
    <w:rsid w:val="00A945CB"/>
    <w:rsid w:val="00A94D2A"/>
    <w:rsid w:val="00AA2C16"/>
    <w:rsid w:val="00AA4B86"/>
    <w:rsid w:val="00AA7BA2"/>
    <w:rsid w:val="00AC7592"/>
    <w:rsid w:val="00AF5D3F"/>
    <w:rsid w:val="00B11033"/>
    <w:rsid w:val="00B1129B"/>
    <w:rsid w:val="00B11437"/>
    <w:rsid w:val="00B16B85"/>
    <w:rsid w:val="00B42501"/>
    <w:rsid w:val="00B53D82"/>
    <w:rsid w:val="00B5456C"/>
    <w:rsid w:val="00B62CA9"/>
    <w:rsid w:val="00B67994"/>
    <w:rsid w:val="00B7191F"/>
    <w:rsid w:val="00B8321C"/>
    <w:rsid w:val="00B837CD"/>
    <w:rsid w:val="00B83AE9"/>
    <w:rsid w:val="00B907FA"/>
    <w:rsid w:val="00B91CBF"/>
    <w:rsid w:val="00B921C3"/>
    <w:rsid w:val="00B94A71"/>
    <w:rsid w:val="00BA333B"/>
    <w:rsid w:val="00BB4CAC"/>
    <w:rsid w:val="00BB6510"/>
    <w:rsid w:val="00BB7B8F"/>
    <w:rsid w:val="00BD3125"/>
    <w:rsid w:val="00BD37AC"/>
    <w:rsid w:val="00BD4D73"/>
    <w:rsid w:val="00BD77BC"/>
    <w:rsid w:val="00BE09AB"/>
    <w:rsid w:val="00BE4B14"/>
    <w:rsid w:val="00BE763B"/>
    <w:rsid w:val="00BF34D0"/>
    <w:rsid w:val="00C06A2E"/>
    <w:rsid w:val="00C06B88"/>
    <w:rsid w:val="00C0760A"/>
    <w:rsid w:val="00C133E6"/>
    <w:rsid w:val="00C1391C"/>
    <w:rsid w:val="00C147CF"/>
    <w:rsid w:val="00C35D46"/>
    <w:rsid w:val="00C40381"/>
    <w:rsid w:val="00C508AA"/>
    <w:rsid w:val="00C5510B"/>
    <w:rsid w:val="00C57264"/>
    <w:rsid w:val="00C71C93"/>
    <w:rsid w:val="00C86763"/>
    <w:rsid w:val="00CA4B96"/>
    <w:rsid w:val="00CA5E94"/>
    <w:rsid w:val="00CB10F9"/>
    <w:rsid w:val="00CB1458"/>
    <w:rsid w:val="00CB3F91"/>
    <w:rsid w:val="00CD145A"/>
    <w:rsid w:val="00CD1805"/>
    <w:rsid w:val="00CE5180"/>
    <w:rsid w:val="00CE719C"/>
    <w:rsid w:val="00D018A3"/>
    <w:rsid w:val="00D116D7"/>
    <w:rsid w:val="00D16F27"/>
    <w:rsid w:val="00D2255C"/>
    <w:rsid w:val="00D2366D"/>
    <w:rsid w:val="00D2675D"/>
    <w:rsid w:val="00D33E30"/>
    <w:rsid w:val="00D350BB"/>
    <w:rsid w:val="00D357F1"/>
    <w:rsid w:val="00D35D3A"/>
    <w:rsid w:val="00D46364"/>
    <w:rsid w:val="00D50B24"/>
    <w:rsid w:val="00D54B64"/>
    <w:rsid w:val="00D555DE"/>
    <w:rsid w:val="00D94AAD"/>
    <w:rsid w:val="00D957C7"/>
    <w:rsid w:val="00DB0992"/>
    <w:rsid w:val="00DC702E"/>
    <w:rsid w:val="00DD07CC"/>
    <w:rsid w:val="00DE1B10"/>
    <w:rsid w:val="00E04CD4"/>
    <w:rsid w:val="00E14239"/>
    <w:rsid w:val="00E21E1F"/>
    <w:rsid w:val="00E23980"/>
    <w:rsid w:val="00E319F8"/>
    <w:rsid w:val="00E330E4"/>
    <w:rsid w:val="00E341F4"/>
    <w:rsid w:val="00E42857"/>
    <w:rsid w:val="00E52D2D"/>
    <w:rsid w:val="00E8034C"/>
    <w:rsid w:val="00E81130"/>
    <w:rsid w:val="00E817D5"/>
    <w:rsid w:val="00E92929"/>
    <w:rsid w:val="00E9517A"/>
    <w:rsid w:val="00E95838"/>
    <w:rsid w:val="00EA3412"/>
    <w:rsid w:val="00EB2FF6"/>
    <w:rsid w:val="00EB50EF"/>
    <w:rsid w:val="00EC7B5C"/>
    <w:rsid w:val="00EE2FC1"/>
    <w:rsid w:val="00F06BBB"/>
    <w:rsid w:val="00F22196"/>
    <w:rsid w:val="00F35706"/>
    <w:rsid w:val="00F35F6F"/>
    <w:rsid w:val="00F44908"/>
    <w:rsid w:val="00F45D0D"/>
    <w:rsid w:val="00F45D13"/>
    <w:rsid w:val="00F6795B"/>
    <w:rsid w:val="00F70311"/>
    <w:rsid w:val="00F73EBE"/>
    <w:rsid w:val="00F74237"/>
    <w:rsid w:val="00F7776E"/>
    <w:rsid w:val="00F874CA"/>
    <w:rsid w:val="00F8761E"/>
    <w:rsid w:val="00F90212"/>
    <w:rsid w:val="00F950A4"/>
    <w:rsid w:val="00F97A7D"/>
    <w:rsid w:val="00FB0F35"/>
    <w:rsid w:val="00FB2B5C"/>
    <w:rsid w:val="00FB61D2"/>
    <w:rsid w:val="00FD7192"/>
    <w:rsid w:val="00FE4A00"/>
    <w:rsid w:val="00FF13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11A197"/>
  <w15:docId w15:val="{D5E45235-5996-448E-A26D-095FEC4B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B4C"/>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rsid w:val="002C118E"/>
    <w:rPr>
      <w:sz w:val="24"/>
      <w:szCs w:val="24"/>
    </w:rPr>
  </w:style>
  <w:style w:type="character" w:customStyle="1" w:styleId="FootnoteTextChar">
    <w:name w:val="Footnote Text Char"/>
    <w:link w:val="FootnoteText"/>
    <w:locked/>
    <w:rsid w:val="00C06CC0"/>
  </w:style>
  <w:style w:type="character" w:customStyle="1" w:styleId="UnresolvedMention1">
    <w:name w:val="Unresolved Mention1"/>
    <w:basedOn w:val="DefaultParagraphFont"/>
    <w:uiPriority w:val="99"/>
    <w:semiHidden/>
    <w:unhideWhenUsed/>
    <w:rsid w:val="00292284"/>
    <w:rPr>
      <w:color w:val="605E5C"/>
      <w:shd w:val="clear" w:color="auto" w:fill="E1DFDD"/>
    </w:rPr>
  </w:style>
  <w:style w:type="character" w:customStyle="1" w:styleId="FooterChar">
    <w:name w:val="Footer Char"/>
    <w:basedOn w:val="DefaultParagraphFont"/>
    <w:link w:val="Footer"/>
    <w:uiPriority w:val="99"/>
    <w:rsid w:val="004F27E6"/>
  </w:style>
  <w:style w:type="paragraph" w:styleId="Revision">
    <w:name w:val="Revision"/>
    <w:hidden/>
    <w:uiPriority w:val="99"/>
    <w:semiHidden/>
    <w:rsid w:val="00B83AE9"/>
    <w:rPr>
      <w:sz w:val="24"/>
    </w:rPr>
  </w:style>
  <w:style w:type="character" w:customStyle="1" w:styleId="UnresolvedMention">
    <w:name w:val="Unresolved Mention"/>
    <w:basedOn w:val="DefaultParagraphFont"/>
    <w:rsid w:val="00AA4B86"/>
    <w:rPr>
      <w:color w:val="605E5C"/>
      <w:shd w:val="clear" w:color="auto" w:fill="E1DFDD"/>
    </w:rPr>
  </w:style>
  <w:style w:type="character" w:customStyle="1" w:styleId="HTMLPreformattedChar">
    <w:name w:val="HTML Preformatted Char"/>
    <w:basedOn w:val="DefaultParagraphFont"/>
    <w:link w:val="HTMLPreformatted"/>
    <w:rsid w:val="00756B4C"/>
    <w:rPr>
      <w:rFonts w:ascii="Courier New" w:eastAsia="Courier New" w:hAnsi="Courier New" w:cs="Courier New"/>
    </w:rPr>
  </w:style>
  <w:style w:type="character" w:customStyle="1" w:styleId="EndnoteTextChar">
    <w:name w:val="Endnote Text Char"/>
    <w:basedOn w:val="DefaultParagraphFont"/>
    <w:link w:val="EndnoteText"/>
    <w:semiHidden/>
    <w:rsid w:val="003C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yperlink" Target="mailto:ashley.wnek@ohioAGO.gov" TargetMode="External" /><Relationship Id="rId17" Type="http://schemas.openxmlformats.org/officeDocument/2006/relationships/hyperlink" Target="mailto:david.hicks@puco.ohio.gov" TargetMode="External" /><Relationship Id="rId18" Type="http://schemas.openxmlformats.org/officeDocument/2006/relationships/hyperlink" Target="mailto:greta.see@puco.ohio.gov" TargetMode="External" /><Relationship Id="rId19" Type="http://schemas.openxmlformats.org/officeDocument/2006/relationships/hyperlink" Target="mailto:stnourse@aep.com" TargetMode="Externa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nald.kral@occ.ohio.gov" TargetMode="External" /><Relationship Id="rId7" Type="http://schemas.openxmlformats.org/officeDocument/2006/relationships/hyperlink" Target="mailto:thomas.brodbeck@occ.ohio.gov"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puco.ohio.gov/utilities/electricity%20/resources/ohio-renewable-energy-portfolio-standard/rps-edu-rate-impa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4390-0275-42C8-BB81-7C679082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2023-12-12T19:22:09Z</dcterms:created>
  <dcterms:modified xsi:type="dcterms:W3CDTF">2023-12-12T19:22:09Z</dcterms:modified>
</cp:coreProperties>
</file>