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17A" w:rsidRDefault="00784174" w:rsidP="0026617A">
      <w:pPr>
        <w:jc w:val="center"/>
        <w:rPr>
          <w:b/>
        </w:rPr>
      </w:pPr>
      <w:r>
        <w:rPr>
          <w:b/>
        </w:rPr>
        <w:t>BEFORE</w:t>
      </w:r>
    </w:p>
    <w:p w:rsidR="0026617A" w:rsidRDefault="00784174" w:rsidP="0026617A">
      <w:pPr>
        <w:jc w:val="center"/>
        <w:rPr>
          <w:b/>
        </w:rPr>
      </w:pPr>
      <w:r>
        <w:rPr>
          <w:b/>
        </w:rPr>
        <w:t xml:space="preserve">THE PUBLIC UTILTIES COMMISSION OF </w:t>
      </w:r>
      <w:smartTag w:uri="urn:schemas-microsoft-com:office:smarttags" w:element="place">
        <w:smartTag w:uri="urn:schemas-microsoft-com:office:smarttags" w:element="State">
          <w:r>
            <w:rPr>
              <w:b/>
            </w:rPr>
            <w:t>OHIO</w:t>
          </w:r>
        </w:smartTag>
      </w:smartTag>
    </w:p>
    <w:p w:rsidR="0026617A" w:rsidRDefault="00784174" w:rsidP="0026617A">
      <w:pPr>
        <w:jc w:val="center"/>
        <w:rPr>
          <w:b/>
        </w:rPr>
      </w:pPr>
    </w:p>
    <w:p w:rsidR="0026617A" w:rsidRDefault="00784174" w:rsidP="0026617A"/>
    <w:tbl>
      <w:tblPr>
        <w:tblW w:w="9008" w:type="dxa"/>
        <w:tblLook w:val="01E0" w:firstRow="1" w:lastRow="1" w:firstColumn="1" w:lastColumn="1" w:noHBand="0" w:noVBand="0"/>
      </w:tblPr>
      <w:tblGrid>
        <w:gridCol w:w="4158"/>
        <w:gridCol w:w="450"/>
        <w:gridCol w:w="4400"/>
      </w:tblGrid>
      <w:tr w:rsidR="005240A1" w:rsidTr="00164E0E">
        <w:trPr>
          <w:trHeight w:val="807"/>
        </w:trPr>
        <w:tc>
          <w:tcPr>
            <w:tcW w:w="4158" w:type="dxa"/>
            <w:shd w:val="clear" w:color="auto" w:fill="auto"/>
          </w:tcPr>
          <w:p w:rsidR="0026617A" w:rsidRPr="00131F94" w:rsidRDefault="00784174" w:rsidP="0026617A">
            <w:pPr>
              <w:autoSpaceDE w:val="0"/>
              <w:autoSpaceDN w:val="0"/>
              <w:adjustRightInd w:val="0"/>
            </w:pPr>
            <w:r w:rsidRPr="00131F94">
              <w:t xml:space="preserve">In the Matter of the Application of Duke Energy Ohio, Inc. </w:t>
            </w:r>
            <w:r w:rsidRPr="00131F94">
              <w:rPr>
                <w:szCs w:val="20"/>
              </w:rPr>
              <w:t>to Establish Minimum Reliability Performance Standards Pursuant to Chapter 4901:1-10, Ohio Administrative Code</w:t>
            </w:r>
            <w:r w:rsidRPr="00131F94">
              <w:t xml:space="preserve">. </w:t>
            </w:r>
          </w:p>
        </w:tc>
        <w:tc>
          <w:tcPr>
            <w:tcW w:w="450" w:type="dxa"/>
            <w:shd w:val="clear" w:color="auto" w:fill="auto"/>
          </w:tcPr>
          <w:p w:rsidR="0026617A" w:rsidRPr="00131F94" w:rsidRDefault="00784174" w:rsidP="00266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131F94">
              <w:rPr>
                <w:rFonts w:eastAsia="Courier New"/>
              </w:rPr>
              <w:t>)</w:t>
            </w:r>
          </w:p>
          <w:p w:rsidR="0026617A" w:rsidRPr="00131F94" w:rsidRDefault="00784174" w:rsidP="00266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131F94">
              <w:rPr>
                <w:rFonts w:eastAsia="Courier New"/>
              </w:rPr>
              <w:t>)</w:t>
            </w:r>
          </w:p>
          <w:p w:rsidR="0026617A" w:rsidRPr="00131F94" w:rsidRDefault="00784174" w:rsidP="00266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131F94">
              <w:rPr>
                <w:rFonts w:eastAsia="Courier New"/>
              </w:rPr>
              <w:t>)</w:t>
            </w:r>
          </w:p>
          <w:p w:rsidR="0026617A" w:rsidRPr="00131F94" w:rsidRDefault="00784174" w:rsidP="00266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131F94">
              <w:rPr>
                <w:rFonts w:eastAsia="Courier New"/>
              </w:rPr>
              <w:t>)</w:t>
            </w:r>
          </w:p>
          <w:p w:rsidR="0026617A" w:rsidRPr="00131F94" w:rsidRDefault="00784174" w:rsidP="00266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131F94">
              <w:rPr>
                <w:rFonts w:eastAsia="Courier New"/>
              </w:rPr>
              <w:t>)</w:t>
            </w:r>
          </w:p>
        </w:tc>
        <w:tc>
          <w:tcPr>
            <w:tcW w:w="4400" w:type="dxa"/>
            <w:shd w:val="clear" w:color="auto" w:fill="auto"/>
          </w:tcPr>
          <w:p w:rsidR="0026617A" w:rsidRPr="00131F94" w:rsidRDefault="00784174" w:rsidP="00266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8A3471" w:rsidRDefault="00784174" w:rsidP="00266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26617A" w:rsidRPr="00131F94" w:rsidRDefault="00784174" w:rsidP="00266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131F94">
              <w:rPr>
                <w:rFonts w:eastAsia="Courier New"/>
              </w:rPr>
              <w:t>Case No. 16-1602-EL-ESS</w:t>
            </w:r>
          </w:p>
        </w:tc>
      </w:tr>
    </w:tbl>
    <w:p w:rsidR="0026617A" w:rsidRDefault="00784174" w:rsidP="0026617A">
      <w:pPr>
        <w:rPr>
          <w:b/>
        </w:rPr>
      </w:pPr>
    </w:p>
    <w:p w:rsidR="0026617A" w:rsidRDefault="00784174" w:rsidP="0026617A">
      <w:pPr>
        <w:pBdr>
          <w:top w:val="single" w:sz="4" w:space="1" w:color="auto"/>
          <w:bottom w:val="single" w:sz="4" w:space="1" w:color="auto"/>
        </w:pBdr>
        <w:rPr>
          <w:b/>
        </w:rPr>
      </w:pPr>
    </w:p>
    <w:p w:rsidR="0026617A" w:rsidRDefault="00784174" w:rsidP="0026617A">
      <w:pPr>
        <w:pBdr>
          <w:top w:val="single" w:sz="4" w:space="1" w:color="auto"/>
          <w:bottom w:val="single" w:sz="4" w:space="1" w:color="auto"/>
        </w:pBdr>
        <w:jc w:val="center"/>
        <w:rPr>
          <w:b/>
        </w:rPr>
      </w:pPr>
      <w:r>
        <w:rPr>
          <w:b/>
        </w:rPr>
        <w:t xml:space="preserve">REPLY </w:t>
      </w:r>
      <w:r>
        <w:rPr>
          <w:b/>
        </w:rPr>
        <w:t>COMMENTS</w:t>
      </w:r>
    </w:p>
    <w:p w:rsidR="0026617A" w:rsidRDefault="00784174" w:rsidP="0026617A">
      <w:pPr>
        <w:pBdr>
          <w:top w:val="single" w:sz="4" w:space="1" w:color="auto"/>
          <w:bottom w:val="single" w:sz="4" w:space="1" w:color="auto"/>
        </w:pBdr>
        <w:jc w:val="center"/>
        <w:rPr>
          <w:b/>
        </w:rPr>
      </w:pPr>
      <w:r>
        <w:rPr>
          <w:b/>
        </w:rPr>
        <w:t xml:space="preserve">BY </w:t>
      </w:r>
    </w:p>
    <w:p w:rsidR="0026617A" w:rsidRDefault="00784174" w:rsidP="0026617A">
      <w:pPr>
        <w:pBdr>
          <w:top w:val="single" w:sz="4" w:space="1" w:color="auto"/>
          <w:bottom w:val="single" w:sz="4" w:space="1" w:color="auto"/>
        </w:pBdr>
        <w:jc w:val="center"/>
        <w:rPr>
          <w:b/>
        </w:rPr>
      </w:pPr>
      <w:r>
        <w:rPr>
          <w:b/>
        </w:rPr>
        <w:t>THE OFFICE OF THE OHIO CONSUMERS’ COUNSEL</w:t>
      </w:r>
    </w:p>
    <w:p w:rsidR="0026617A" w:rsidRDefault="00784174" w:rsidP="0026617A">
      <w:pPr>
        <w:pBdr>
          <w:top w:val="single" w:sz="4" w:space="1" w:color="auto"/>
          <w:bottom w:val="single" w:sz="4" w:space="1" w:color="auto"/>
        </w:pBdr>
        <w:rPr>
          <w:b/>
        </w:rPr>
      </w:pPr>
    </w:p>
    <w:p w:rsidR="0026617A" w:rsidRDefault="00784174" w:rsidP="0026617A">
      <w:pPr>
        <w:rPr>
          <w:b/>
        </w:rPr>
      </w:pPr>
    </w:p>
    <w:p w:rsidR="0026617A" w:rsidRDefault="00784174" w:rsidP="0026617A">
      <w:pPr>
        <w:jc w:val="center"/>
        <w:rPr>
          <w:b/>
        </w:rPr>
      </w:pPr>
    </w:p>
    <w:p w:rsidR="0026617A" w:rsidRDefault="00784174" w:rsidP="0026617A">
      <w:pPr>
        <w:jc w:val="center"/>
        <w:rPr>
          <w:b/>
        </w:rPr>
      </w:pPr>
    </w:p>
    <w:p w:rsidR="0026617A" w:rsidRDefault="00784174" w:rsidP="0026617A">
      <w:pPr>
        <w:jc w:val="center"/>
        <w:rPr>
          <w:b/>
        </w:rPr>
      </w:pPr>
    </w:p>
    <w:p w:rsidR="0026617A" w:rsidRDefault="00784174" w:rsidP="0026617A">
      <w:pPr>
        <w:pStyle w:val="Footer"/>
        <w:tabs>
          <w:tab w:val="left" w:pos="4320"/>
        </w:tabs>
        <w:spacing w:before="240"/>
      </w:pPr>
      <w:r>
        <w:tab/>
      </w:r>
    </w:p>
    <w:p w:rsidR="00D00227" w:rsidRDefault="00784174" w:rsidP="0026617A">
      <w:pPr>
        <w:pStyle w:val="Footer"/>
        <w:tabs>
          <w:tab w:val="left" w:pos="4320"/>
        </w:tabs>
        <w:ind w:left="4320"/>
      </w:pPr>
      <w:r>
        <w:tab/>
      </w:r>
    </w:p>
    <w:p w:rsidR="00D00227" w:rsidRDefault="00784174" w:rsidP="0026617A">
      <w:pPr>
        <w:pStyle w:val="Footer"/>
        <w:tabs>
          <w:tab w:val="left" w:pos="4320"/>
        </w:tabs>
        <w:ind w:left="4320"/>
      </w:pPr>
    </w:p>
    <w:p w:rsidR="00D00227" w:rsidRDefault="00784174" w:rsidP="0026617A">
      <w:pPr>
        <w:pStyle w:val="Footer"/>
        <w:tabs>
          <w:tab w:val="left" w:pos="4320"/>
        </w:tabs>
        <w:ind w:left="4320"/>
      </w:pPr>
    </w:p>
    <w:p w:rsidR="00D00227" w:rsidRDefault="00784174" w:rsidP="0026617A">
      <w:pPr>
        <w:pStyle w:val="Footer"/>
        <w:tabs>
          <w:tab w:val="left" w:pos="4320"/>
        </w:tabs>
        <w:ind w:left="4320"/>
      </w:pPr>
    </w:p>
    <w:p w:rsidR="00D00227" w:rsidRDefault="00784174" w:rsidP="0026617A">
      <w:pPr>
        <w:pStyle w:val="Footer"/>
        <w:tabs>
          <w:tab w:val="left" w:pos="4320"/>
        </w:tabs>
        <w:ind w:left="4320"/>
      </w:pPr>
    </w:p>
    <w:p w:rsidR="00D00227" w:rsidRDefault="00784174" w:rsidP="0026617A">
      <w:pPr>
        <w:pStyle w:val="Footer"/>
        <w:tabs>
          <w:tab w:val="left" w:pos="4320"/>
        </w:tabs>
        <w:ind w:left="4320"/>
      </w:pPr>
    </w:p>
    <w:p w:rsidR="00D00227" w:rsidRDefault="00784174" w:rsidP="0026617A">
      <w:pPr>
        <w:pStyle w:val="Footer"/>
        <w:tabs>
          <w:tab w:val="left" w:pos="4320"/>
        </w:tabs>
        <w:ind w:left="4320"/>
      </w:pPr>
    </w:p>
    <w:p w:rsidR="00D00227" w:rsidRDefault="00784174" w:rsidP="0026617A">
      <w:pPr>
        <w:pStyle w:val="Footer"/>
        <w:tabs>
          <w:tab w:val="left" w:pos="4320"/>
        </w:tabs>
        <w:ind w:left="4320"/>
      </w:pPr>
    </w:p>
    <w:p w:rsidR="0026617A" w:rsidRPr="00192239" w:rsidRDefault="00784174" w:rsidP="0026617A">
      <w:pPr>
        <w:pStyle w:val="Footer"/>
        <w:tabs>
          <w:tab w:val="left" w:pos="4320"/>
        </w:tabs>
        <w:ind w:left="4320"/>
      </w:pPr>
      <w:r w:rsidRPr="00192239">
        <w:t>BRUCE WESTON (0016973)</w:t>
      </w:r>
    </w:p>
    <w:p w:rsidR="0026617A" w:rsidRPr="00192239" w:rsidRDefault="00784174" w:rsidP="0026617A">
      <w:pPr>
        <w:tabs>
          <w:tab w:val="left" w:pos="4320"/>
        </w:tabs>
        <w:ind w:left="4320"/>
      </w:pPr>
      <w:r w:rsidRPr="00192239">
        <w:t>OHIO CONSUMERS’ COUNSEL</w:t>
      </w:r>
    </w:p>
    <w:p w:rsidR="0026617A" w:rsidRPr="00192239" w:rsidRDefault="00784174" w:rsidP="0026617A">
      <w:pPr>
        <w:tabs>
          <w:tab w:val="left" w:pos="4320"/>
        </w:tabs>
        <w:ind w:left="4320"/>
      </w:pPr>
      <w:r w:rsidRPr="00192239">
        <w:t>Terry L. Etter (0067445), Counsel of Record</w:t>
      </w:r>
    </w:p>
    <w:p w:rsidR="0026617A" w:rsidRPr="00192239" w:rsidRDefault="00784174" w:rsidP="0026617A">
      <w:pPr>
        <w:tabs>
          <w:tab w:val="left" w:pos="4320"/>
        </w:tabs>
        <w:ind w:left="4320"/>
      </w:pPr>
      <w:r w:rsidRPr="00192239">
        <w:t>Jodi J. Bair (0062921)</w:t>
      </w:r>
    </w:p>
    <w:p w:rsidR="0026617A" w:rsidRDefault="00784174" w:rsidP="0026617A">
      <w:pPr>
        <w:tabs>
          <w:tab w:val="left" w:pos="4320"/>
        </w:tabs>
        <w:ind w:left="4320"/>
      </w:pPr>
      <w:r w:rsidRPr="00192239">
        <w:t>Assistant Consumers’ Counsel</w:t>
      </w:r>
    </w:p>
    <w:p w:rsidR="0026617A" w:rsidRDefault="00784174" w:rsidP="0026617A">
      <w:pPr>
        <w:tabs>
          <w:tab w:val="left" w:pos="4320"/>
        </w:tabs>
        <w:spacing w:before="120"/>
        <w:ind w:left="4320"/>
      </w:pPr>
      <w:r w:rsidRPr="00192239">
        <w:rPr>
          <w:b/>
        </w:rPr>
        <w:t xml:space="preserve">Office of the Ohio Consumers’ </w:t>
      </w:r>
      <w:r w:rsidRPr="00192239">
        <w:rPr>
          <w:b/>
        </w:rPr>
        <w:t>Counsel</w:t>
      </w:r>
    </w:p>
    <w:p w:rsidR="0026617A" w:rsidRDefault="00784174" w:rsidP="0026617A">
      <w:pPr>
        <w:tabs>
          <w:tab w:val="left" w:pos="4320"/>
        </w:tabs>
        <w:ind w:left="4320"/>
      </w:pPr>
      <w:r w:rsidRPr="00192239">
        <w:t>10 West Broad Street, Suite 1800</w:t>
      </w:r>
    </w:p>
    <w:p w:rsidR="0026617A" w:rsidRPr="00192239" w:rsidRDefault="00784174" w:rsidP="0026617A">
      <w:pPr>
        <w:tabs>
          <w:tab w:val="left" w:pos="4320"/>
        </w:tabs>
        <w:ind w:left="4320"/>
      </w:pPr>
      <w:r w:rsidRPr="00192239">
        <w:t>Columbus, Ohio 43215-3485</w:t>
      </w:r>
    </w:p>
    <w:p w:rsidR="0026617A" w:rsidRPr="00192239" w:rsidRDefault="00784174" w:rsidP="0026617A">
      <w:pPr>
        <w:autoSpaceDE w:val="0"/>
        <w:autoSpaceDN w:val="0"/>
        <w:adjustRightInd w:val="0"/>
        <w:ind w:left="3600" w:firstLine="720"/>
      </w:pPr>
      <w:r w:rsidRPr="00192239">
        <w:t>Telephone:  614-466-7964 (Etter Direct)</w:t>
      </w:r>
    </w:p>
    <w:p w:rsidR="0026617A" w:rsidRPr="00192239" w:rsidRDefault="00784174" w:rsidP="0026617A">
      <w:pPr>
        <w:autoSpaceDE w:val="0"/>
        <w:autoSpaceDN w:val="0"/>
        <w:adjustRightInd w:val="0"/>
        <w:ind w:left="3600" w:firstLine="720"/>
      </w:pPr>
      <w:r w:rsidRPr="00192239">
        <w:t>Telephone:  614-466-9559 (Bair Direct)</w:t>
      </w:r>
    </w:p>
    <w:p w:rsidR="0026617A" w:rsidRPr="00192239" w:rsidRDefault="00784174" w:rsidP="0026617A">
      <w:pPr>
        <w:autoSpaceDE w:val="0"/>
        <w:autoSpaceDN w:val="0"/>
        <w:adjustRightInd w:val="0"/>
        <w:ind w:left="3600" w:firstLine="720"/>
      </w:pPr>
      <w:r w:rsidRPr="00192239">
        <w:rPr>
          <w:color w:val="0000FF"/>
          <w:u w:val="single"/>
        </w:rPr>
        <w:t>Terry.etter@occ.ohio.gov</w:t>
      </w:r>
    </w:p>
    <w:p w:rsidR="00D00227" w:rsidRDefault="00784174" w:rsidP="00D00227">
      <w:pPr>
        <w:autoSpaceDE w:val="0"/>
        <w:autoSpaceDN w:val="0"/>
        <w:adjustRightInd w:val="0"/>
        <w:rPr>
          <w:color w:val="0000FF"/>
          <w:u w:val="single"/>
        </w:rPr>
        <w:sectPr w:rsidR="00D00227" w:rsidSect="0026617A">
          <w:footerReference w:type="default" r:id="rId7"/>
          <w:pgSz w:w="12240" w:h="15840"/>
          <w:pgMar w:top="1440" w:right="1800" w:bottom="1440" w:left="1800" w:header="720" w:footer="720" w:gutter="0"/>
          <w:pgNumType w:fmt="lowerRoman" w:start="1"/>
          <w:cols w:space="720"/>
          <w:docGrid w:linePitch="360"/>
        </w:sectPr>
      </w:pPr>
      <w:r>
        <w:t>March 24, 2017</w:t>
      </w:r>
      <w:r>
        <w:tab/>
      </w:r>
      <w:r>
        <w:tab/>
      </w:r>
      <w:r>
        <w:tab/>
      </w:r>
      <w:r>
        <w:tab/>
      </w:r>
      <w:hyperlink r:id="rId8" w:history="1">
        <w:r w:rsidRPr="00F259BC">
          <w:rPr>
            <w:rStyle w:val="Hyperlink"/>
          </w:rPr>
          <w:t>Jodi.bair@occ.ohio.gov</w:t>
        </w:r>
      </w:hyperlink>
      <w:r>
        <w:t xml:space="preserve"> </w:t>
      </w:r>
      <w:bookmarkStart w:id="0" w:name="_GoBack"/>
      <w:bookmarkEnd w:id="0"/>
    </w:p>
    <w:p w:rsidR="0026617A" w:rsidRDefault="00784174" w:rsidP="0026617A">
      <w:pPr>
        <w:jc w:val="center"/>
        <w:rPr>
          <w:b/>
        </w:rPr>
      </w:pPr>
      <w:r>
        <w:rPr>
          <w:b/>
        </w:rPr>
        <w:lastRenderedPageBreak/>
        <w:t>TABLE OF CONTENTS</w:t>
      </w:r>
    </w:p>
    <w:p w:rsidR="0026617A" w:rsidRDefault="00784174" w:rsidP="0026617A">
      <w:pPr>
        <w:jc w:val="center"/>
        <w:rPr>
          <w:b/>
        </w:rPr>
      </w:pPr>
    </w:p>
    <w:p w:rsidR="0026617A" w:rsidRDefault="00784174" w:rsidP="0026617A">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PAGE</w:t>
      </w:r>
    </w:p>
    <w:p w:rsidR="0026617A" w:rsidRDefault="00784174" w:rsidP="0026617A">
      <w:pPr>
        <w:jc w:val="center"/>
        <w:rPr>
          <w:b/>
        </w:rPr>
      </w:pPr>
    </w:p>
    <w:p w:rsidR="00164E0E" w:rsidRDefault="00784174">
      <w:pPr>
        <w:pStyle w:val="TOC1"/>
        <w:rPr>
          <w:rFonts w:asciiTheme="minorHAnsi" w:eastAsiaTheme="minorEastAsia" w:hAnsiTheme="minorHAnsi" w:cstheme="minorBidi"/>
          <w:caps w:val="0"/>
          <w:noProof/>
          <w:sz w:val="22"/>
          <w:szCs w:val="22"/>
        </w:rPr>
      </w:pPr>
      <w:r>
        <w:rPr>
          <w:b/>
        </w:rPr>
        <w:fldChar w:fldCharType="begin"/>
      </w:r>
      <w:r>
        <w:rPr>
          <w:b/>
        </w:rPr>
        <w:instrText xml:space="preserve"> TOC \o "1-2" \h \z \u </w:instrText>
      </w:r>
      <w:r>
        <w:rPr>
          <w:b/>
        </w:rPr>
        <w:fldChar w:fldCharType="separate"/>
      </w:r>
      <w:hyperlink w:anchor="_Toc478135102" w:history="1">
        <w:r w:rsidRPr="006D6A2D">
          <w:rPr>
            <w:rStyle w:val="Hyperlink"/>
            <w:noProof/>
          </w:rPr>
          <w:t>I.</w:t>
        </w:r>
        <w:r>
          <w:rPr>
            <w:rFonts w:asciiTheme="minorHAnsi" w:eastAsiaTheme="minorEastAsia" w:hAnsiTheme="minorHAnsi" w:cstheme="minorBidi"/>
            <w:caps w:val="0"/>
            <w:noProof/>
            <w:sz w:val="22"/>
            <w:szCs w:val="22"/>
          </w:rPr>
          <w:tab/>
        </w:r>
        <w:r w:rsidRPr="006D6A2D">
          <w:rPr>
            <w:rStyle w:val="Hyperlink"/>
            <w:noProof/>
          </w:rPr>
          <w:t>INTRODUCTION</w:t>
        </w:r>
        <w:r>
          <w:rPr>
            <w:noProof/>
            <w:webHidden/>
          </w:rPr>
          <w:tab/>
        </w:r>
        <w:r>
          <w:rPr>
            <w:noProof/>
            <w:webHidden/>
          </w:rPr>
          <w:fldChar w:fldCharType="begin"/>
        </w:r>
        <w:r>
          <w:rPr>
            <w:noProof/>
            <w:webHidden/>
          </w:rPr>
          <w:instrText xml:space="preserve"> PAGEREF _Toc478135102 \h </w:instrText>
        </w:r>
        <w:r>
          <w:rPr>
            <w:noProof/>
            <w:webHidden/>
          </w:rPr>
        </w:r>
        <w:r>
          <w:rPr>
            <w:noProof/>
            <w:webHidden/>
          </w:rPr>
          <w:fldChar w:fldCharType="separate"/>
        </w:r>
        <w:r>
          <w:rPr>
            <w:noProof/>
            <w:webHidden/>
          </w:rPr>
          <w:t>1</w:t>
        </w:r>
        <w:r>
          <w:rPr>
            <w:noProof/>
            <w:webHidden/>
          </w:rPr>
          <w:fldChar w:fldCharType="end"/>
        </w:r>
      </w:hyperlink>
    </w:p>
    <w:p w:rsidR="00164E0E" w:rsidRDefault="00784174">
      <w:pPr>
        <w:pStyle w:val="TOC1"/>
        <w:rPr>
          <w:rFonts w:asciiTheme="minorHAnsi" w:eastAsiaTheme="minorEastAsia" w:hAnsiTheme="minorHAnsi" w:cstheme="minorBidi"/>
          <w:caps w:val="0"/>
          <w:noProof/>
          <w:sz w:val="22"/>
          <w:szCs w:val="22"/>
        </w:rPr>
      </w:pPr>
      <w:hyperlink w:anchor="_Toc478135103" w:history="1">
        <w:r w:rsidRPr="006D6A2D">
          <w:rPr>
            <w:rStyle w:val="Hyperlink"/>
            <w:noProof/>
          </w:rPr>
          <w:t>II.</w:t>
        </w:r>
        <w:r>
          <w:rPr>
            <w:rFonts w:asciiTheme="minorHAnsi" w:eastAsiaTheme="minorEastAsia" w:hAnsiTheme="minorHAnsi" w:cstheme="minorBidi"/>
            <w:caps w:val="0"/>
            <w:noProof/>
            <w:sz w:val="22"/>
            <w:szCs w:val="22"/>
          </w:rPr>
          <w:tab/>
        </w:r>
        <w:r w:rsidRPr="006D6A2D">
          <w:rPr>
            <w:rStyle w:val="Hyperlink"/>
            <w:noProof/>
          </w:rPr>
          <w:t>RECOMMENDATIONS</w:t>
        </w:r>
        <w:r>
          <w:rPr>
            <w:noProof/>
            <w:webHidden/>
          </w:rPr>
          <w:tab/>
        </w:r>
        <w:r>
          <w:rPr>
            <w:noProof/>
            <w:webHidden/>
          </w:rPr>
          <w:fldChar w:fldCharType="begin"/>
        </w:r>
        <w:r>
          <w:rPr>
            <w:noProof/>
            <w:webHidden/>
          </w:rPr>
          <w:instrText xml:space="preserve"> PAGEREF _Toc478135103 \h </w:instrText>
        </w:r>
        <w:r>
          <w:rPr>
            <w:noProof/>
            <w:webHidden/>
          </w:rPr>
        </w:r>
        <w:r>
          <w:rPr>
            <w:noProof/>
            <w:webHidden/>
          </w:rPr>
          <w:fldChar w:fldCharType="separate"/>
        </w:r>
        <w:r>
          <w:rPr>
            <w:noProof/>
            <w:webHidden/>
          </w:rPr>
          <w:t>3</w:t>
        </w:r>
        <w:r>
          <w:rPr>
            <w:noProof/>
            <w:webHidden/>
          </w:rPr>
          <w:fldChar w:fldCharType="end"/>
        </w:r>
      </w:hyperlink>
    </w:p>
    <w:p w:rsidR="00164E0E" w:rsidRDefault="00784174">
      <w:pPr>
        <w:pStyle w:val="TOC2"/>
        <w:tabs>
          <w:tab w:val="left" w:pos="1440"/>
        </w:tabs>
        <w:rPr>
          <w:rFonts w:asciiTheme="minorHAnsi" w:eastAsiaTheme="minorEastAsia" w:hAnsiTheme="minorHAnsi" w:cstheme="minorBidi"/>
          <w:noProof/>
          <w:sz w:val="22"/>
          <w:szCs w:val="22"/>
        </w:rPr>
      </w:pPr>
      <w:hyperlink w:anchor="_Toc478135104" w:history="1">
        <w:r w:rsidRPr="006D6A2D">
          <w:rPr>
            <w:rStyle w:val="Hyperlink"/>
            <w:noProof/>
          </w:rPr>
          <w:t>A.</w:t>
        </w:r>
        <w:r>
          <w:rPr>
            <w:rFonts w:asciiTheme="minorHAnsi" w:eastAsiaTheme="minorEastAsia" w:hAnsiTheme="minorHAnsi" w:cstheme="minorBidi"/>
            <w:noProof/>
            <w:sz w:val="22"/>
            <w:szCs w:val="22"/>
          </w:rPr>
          <w:tab/>
        </w:r>
        <w:r w:rsidRPr="006D6A2D">
          <w:rPr>
            <w:rStyle w:val="Hyperlink"/>
            <w:noProof/>
          </w:rPr>
          <w:t>The current reliability standards understate the five-year historic</w:t>
        </w:r>
        <w:r w:rsidRPr="006D6A2D">
          <w:rPr>
            <w:rStyle w:val="Hyperlink"/>
            <w:noProof/>
          </w:rPr>
          <w:t xml:space="preserve">al </w:t>
        </w:r>
        <w:r>
          <w:rPr>
            <w:rStyle w:val="Hyperlink"/>
            <w:noProof/>
          </w:rPr>
          <w:br/>
        </w:r>
        <w:r w:rsidRPr="006D6A2D">
          <w:rPr>
            <w:rStyle w:val="Hyperlink"/>
            <w:noProof/>
          </w:rPr>
          <w:t xml:space="preserve">average of Duke’s SAIFI performance, and thus may put customers at </w:t>
        </w:r>
        <w:r>
          <w:rPr>
            <w:rStyle w:val="Hyperlink"/>
            <w:noProof/>
          </w:rPr>
          <w:br/>
        </w:r>
        <w:r w:rsidRPr="006D6A2D">
          <w:rPr>
            <w:rStyle w:val="Hyperlink"/>
            <w:noProof/>
          </w:rPr>
          <w:t>risk of more outages and outages of longer duration.</w:t>
        </w:r>
        <w:r>
          <w:rPr>
            <w:noProof/>
            <w:webHidden/>
          </w:rPr>
          <w:tab/>
        </w:r>
        <w:r>
          <w:rPr>
            <w:noProof/>
            <w:webHidden/>
          </w:rPr>
          <w:fldChar w:fldCharType="begin"/>
        </w:r>
        <w:r>
          <w:rPr>
            <w:noProof/>
            <w:webHidden/>
          </w:rPr>
          <w:instrText xml:space="preserve"> PAGEREF _Toc478135104 \h </w:instrText>
        </w:r>
        <w:r>
          <w:rPr>
            <w:noProof/>
            <w:webHidden/>
          </w:rPr>
        </w:r>
        <w:r>
          <w:rPr>
            <w:noProof/>
            <w:webHidden/>
          </w:rPr>
          <w:fldChar w:fldCharType="separate"/>
        </w:r>
        <w:r>
          <w:rPr>
            <w:noProof/>
            <w:webHidden/>
          </w:rPr>
          <w:t>3</w:t>
        </w:r>
        <w:r>
          <w:rPr>
            <w:noProof/>
            <w:webHidden/>
          </w:rPr>
          <w:fldChar w:fldCharType="end"/>
        </w:r>
      </w:hyperlink>
    </w:p>
    <w:p w:rsidR="00164E0E" w:rsidRDefault="00784174">
      <w:pPr>
        <w:pStyle w:val="TOC2"/>
        <w:tabs>
          <w:tab w:val="left" w:pos="1440"/>
        </w:tabs>
        <w:rPr>
          <w:rFonts w:asciiTheme="minorHAnsi" w:eastAsiaTheme="minorEastAsia" w:hAnsiTheme="minorHAnsi" w:cstheme="minorBidi"/>
          <w:noProof/>
          <w:sz w:val="22"/>
          <w:szCs w:val="22"/>
        </w:rPr>
      </w:pPr>
      <w:hyperlink w:anchor="_Toc478135105" w:history="1">
        <w:r w:rsidRPr="006D6A2D">
          <w:rPr>
            <w:rStyle w:val="Hyperlink"/>
            <w:noProof/>
          </w:rPr>
          <w:t>B.</w:t>
        </w:r>
        <w:r>
          <w:rPr>
            <w:rFonts w:asciiTheme="minorHAnsi" w:eastAsiaTheme="minorEastAsia" w:hAnsiTheme="minorHAnsi" w:cstheme="minorBidi"/>
            <w:noProof/>
            <w:sz w:val="22"/>
            <w:szCs w:val="22"/>
          </w:rPr>
          <w:tab/>
        </w:r>
        <w:r w:rsidRPr="006D6A2D">
          <w:rPr>
            <w:rStyle w:val="Hyperlink"/>
            <w:noProof/>
          </w:rPr>
          <w:t>Duke’s CAIDI standards should allow for shorter outages in order to be more responsive to consumer expectations.</w:t>
        </w:r>
        <w:r>
          <w:rPr>
            <w:noProof/>
            <w:webHidden/>
          </w:rPr>
          <w:tab/>
        </w:r>
        <w:r>
          <w:rPr>
            <w:noProof/>
            <w:webHidden/>
          </w:rPr>
          <w:fldChar w:fldCharType="begin"/>
        </w:r>
        <w:r>
          <w:rPr>
            <w:noProof/>
            <w:webHidden/>
          </w:rPr>
          <w:instrText xml:space="preserve"> PAGEREF _Toc478135105 \h </w:instrText>
        </w:r>
        <w:r>
          <w:rPr>
            <w:noProof/>
            <w:webHidden/>
          </w:rPr>
        </w:r>
        <w:r>
          <w:rPr>
            <w:noProof/>
            <w:webHidden/>
          </w:rPr>
          <w:fldChar w:fldCharType="separate"/>
        </w:r>
        <w:r>
          <w:rPr>
            <w:noProof/>
            <w:webHidden/>
          </w:rPr>
          <w:t>6</w:t>
        </w:r>
        <w:r>
          <w:rPr>
            <w:noProof/>
            <w:webHidden/>
          </w:rPr>
          <w:fldChar w:fldCharType="end"/>
        </w:r>
      </w:hyperlink>
    </w:p>
    <w:p w:rsidR="00164E0E" w:rsidRDefault="00784174">
      <w:pPr>
        <w:pStyle w:val="TOC2"/>
        <w:tabs>
          <w:tab w:val="left" w:pos="1440"/>
        </w:tabs>
        <w:rPr>
          <w:rFonts w:asciiTheme="minorHAnsi" w:eastAsiaTheme="minorEastAsia" w:hAnsiTheme="minorHAnsi" w:cstheme="minorBidi"/>
          <w:noProof/>
          <w:sz w:val="22"/>
          <w:szCs w:val="22"/>
        </w:rPr>
      </w:pPr>
      <w:hyperlink w:anchor="_Toc478135106" w:history="1">
        <w:r w:rsidRPr="006D6A2D">
          <w:rPr>
            <w:rStyle w:val="Hyperlink"/>
            <w:noProof/>
          </w:rPr>
          <w:t>C.</w:t>
        </w:r>
        <w:r>
          <w:rPr>
            <w:rFonts w:asciiTheme="minorHAnsi" w:eastAsiaTheme="minorEastAsia" w:hAnsiTheme="minorHAnsi" w:cstheme="minorBidi"/>
            <w:noProof/>
            <w:sz w:val="22"/>
            <w:szCs w:val="22"/>
          </w:rPr>
          <w:tab/>
        </w:r>
        <w:r w:rsidRPr="006D6A2D">
          <w:rPr>
            <w:rStyle w:val="Hyperlink"/>
            <w:noProof/>
          </w:rPr>
          <w:t>Duke should take several operational actions to bring its CAIDI more in line with consumer expectations.</w:t>
        </w:r>
        <w:r>
          <w:rPr>
            <w:noProof/>
            <w:webHidden/>
          </w:rPr>
          <w:tab/>
        </w:r>
        <w:r>
          <w:rPr>
            <w:noProof/>
            <w:webHidden/>
          </w:rPr>
          <w:fldChar w:fldCharType="begin"/>
        </w:r>
        <w:r>
          <w:rPr>
            <w:noProof/>
            <w:webHidden/>
          </w:rPr>
          <w:instrText xml:space="preserve"> PAGEREF _Toc478135106 \h </w:instrText>
        </w:r>
        <w:r>
          <w:rPr>
            <w:noProof/>
            <w:webHidden/>
          </w:rPr>
        </w:r>
        <w:r>
          <w:rPr>
            <w:noProof/>
            <w:webHidden/>
          </w:rPr>
          <w:fldChar w:fldCharType="separate"/>
        </w:r>
        <w:r>
          <w:rPr>
            <w:noProof/>
            <w:webHidden/>
          </w:rPr>
          <w:t>8</w:t>
        </w:r>
        <w:r>
          <w:rPr>
            <w:noProof/>
            <w:webHidden/>
          </w:rPr>
          <w:fldChar w:fldCharType="end"/>
        </w:r>
      </w:hyperlink>
    </w:p>
    <w:p w:rsidR="00164E0E" w:rsidRDefault="00784174">
      <w:pPr>
        <w:pStyle w:val="TOC1"/>
        <w:rPr>
          <w:rFonts w:asciiTheme="minorHAnsi" w:eastAsiaTheme="minorEastAsia" w:hAnsiTheme="minorHAnsi" w:cstheme="minorBidi"/>
          <w:caps w:val="0"/>
          <w:noProof/>
          <w:sz w:val="22"/>
          <w:szCs w:val="22"/>
        </w:rPr>
      </w:pPr>
      <w:hyperlink w:anchor="_Toc478135107" w:history="1">
        <w:r w:rsidRPr="006D6A2D">
          <w:rPr>
            <w:rStyle w:val="Hyperlink"/>
            <w:noProof/>
          </w:rPr>
          <w:t>III.</w:t>
        </w:r>
        <w:r>
          <w:rPr>
            <w:rFonts w:asciiTheme="minorHAnsi" w:eastAsiaTheme="minorEastAsia" w:hAnsiTheme="minorHAnsi" w:cstheme="minorBidi"/>
            <w:caps w:val="0"/>
            <w:noProof/>
            <w:sz w:val="22"/>
            <w:szCs w:val="22"/>
          </w:rPr>
          <w:tab/>
        </w:r>
        <w:r w:rsidRPr="006D6A2D">
          <w:rPr>
            <w:rStyle w:val="Hyperlink"/>
            <w:noProof/>
          </w:rPr>
          <w:t>CONCLUSION</w:t>
        </w:r>
        <w:r>
          <w:rPr>
            <w:noProof/>
            <w:webHidden/>
          </w:rPr>
          <w:tab/>
        </w:r>
        <w:r>
          <w:rPr>
            <w:noProof/>
            <w:webHidden/>
          </w:rPr>
          <w:fldChar w:fldCharType="begin"/>
        </w:r>
        <w:r>
          <w:rPr>
            <w:noProof/>
            <w:webHidden/>
          </w:rPr>
          <w:instrText xml:space="preserve"> PAGEREF _Toc478135107 \h </w:instrText>
        </w:r>
        <w:r>
          <w:rPr>
            <w:noProof/>
            <w:webHidden/>
          </w:rPr>
        </w:r>
        <w:r>
          <w:rPr>
            <w:noProof/>
            <w:webHidden/>
          </w:rPr>
          <w:fldChar w:fldCharType="separate"/>
        </w:r>
        <w:r>
          <w:rPr>
            <w:noProof/>
            <w:webHidden/>
          </w:rPr>
          <w:t>11</w:t>
        </w:r>
        <w:r>
          <w:rPr>
            <w:noProof/>
            <w:webHidden/>
          </w:rPr>
          <w:fldChar w:fldCharType="end"/>
        </w:r>
      </w:hyperlink>
    </w:p>
    <w:p w:rsidR="0026617A" w:rsidRDefault="00784174" w:rsidP="0026617A">
      <w:pPr>
        <w:jc w:val="center"/>
        <w:rPr>
          <w:b/>
        </w:rPr>
        <w:sectPr w:rsidR="0026617A" w:rsidSect="0026617A">
          <w:headerReference w:type="even" r:id="rId9"/>
          <w:headerReference w:type="default" r:id="rId10"/>
          <w:footerReference w:type="default" r:id="rId11"/>
          <w:headerReference w:type="first" r:id="rId12"/>
          <w:pgSz w:w="12240" w:h="15840"/>
          <w:pgMar w:top="1440" w:right="1800" w:bottom="1440" w:left="1800" w:header="720" w:footer="720" w:gutter="0"/>
          <w:pgNumType w:fmt="lowerRoman" w:start="1"/>
          <w:cols w:space="720"/>
          <w:docGrid w:linePitch="360"/>
        </w:sectPr>
      </w:pPr>
      <w:r>
        <w:rPr>
          <w:b/>
        </w:rPr>
        <w:fldChar w:fldCharType="end"/>
      </w:r>
    </w:p>
    <w:p w:rsidR="0026617A" w:rsidRDefault="00784174" w:rsidP="0026617A">
      <w:pPr>
        <w:jc w:val="center"/>
        <w:rPr>
          <w:b/>
        </w:rPr>
      </w:pPr>
      <w:r>
        <w:rPr>
          <w:b/>
        </w:rPr>
        <w:lastRenderedPageBreak/>
        <w:t>BEFORE</w:t>
      </w:r>
    </w:p>
    <w:p w:rsidR="0026617A" w:rsidRDefault="00784174" w:rsidP="0026617A">
      <w:pPr>
        <w:spacing w:after="120"/>
        <w:jc w:val="center"/>
        <w:rPr>
          <w:b/>
        </w:rPr>
      </w:pPr>
      <w:r>
        <w:rPr>
          <w:b/>
        </w:rPr>
        <w:t>THE PUBLIC</w:t>
      </w:r>
      <w:r>
        <w:rPr>
          <w:b/>
        </w:rPr>
        <w:t xml:space="preserve"> UTILTIES COMMISSION OF OHIO</w:t>
      </w:r>
    </w:p>
    <w:p w:rsidR="0026617A" w:rsidRDefault="00784174" w:rsidP="0026617A"/>
    <w:tbl>
      <w:tblPr>
        <w:tblW w:w="9008" w:type="dxa"/>
        <w:tblLook w:val="01E0" w:firstRow="1" w:lastRow="1" w:firstColumn="1" w:lastColumn="1" w:noHBand="0" w:noVBand="0"/>
      </w:tblPr>
      <w:tblGrid>
        <w:gridCol w:w="4158"/>
        <w:gridCol w:w="450"/>
        <w:gridCol w:w="4400"/>
      </w:tblGrid>
      <w:tr w:rsidR="005240A1" w:rsidTr="00164E0E">
        <w:trPr>
          <w:trHeight w:val="807"/>
        </w:trPr>
        <w:tc>
          <w:tcPr>
            <w:tcW w:w="4158" w:type="dxa"/>
            <w:shd w:val="clear" w:color="auto" w:fill="auto"/>
          </w:tcPr>
          <w:p w:rsidR="0026617A" w:rsidRPr="00131F94" w:rsidRDefault="00784174" w:rsidP="0026617A">
            <w:pPr>
              <w:autoSpaceDE w:val="0"/>
              <w:autoSpaceDN w:val="0"/>
              <w:adjustRightInd w:val="0"/>
            </w:pPr>
            <w:r w:rsidRPr="00131F94">
              <w:t xml:space="preserve">In the Matter of the Application of Duke Energy Ohio, Inc. </w:t>
            </w:r>
            <w:r w:rsidRPr="00131F94">
              <w:rPr>
                <w:szCs w:val="20"/>
              </w:rPr>
              <w:t>to Establish Minimum Reliability Performance Standards Pursuant to Chapter 4901:1-10, Ohio Administrative Code</w:t>
            </w:r>
            <w:r w:rsidRPr="00131F94">
              <w:t xml:space="preserve">. </w:t>
            </w:r>
          </w:p>
        </w:tc>
        <w:tc>
          <w:tcPr>
            <w:tcW w:w="450" w:type="dxa"/>
            <w:shd w:val="clear" w:color="auto" w:fill="auto"/>
          </w:tcPr>
          <w:p w:rsidR="0026617A" w:rsidRPr="00131F94" w:rsidRDefault="00784174" w:rsidP="00266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131F94">
              <w:rPr>
                <w:rFonts w:eastAsia="Courier New"/>
              </w:rPr>
              <w:t>)</w:t>
            </w:r>
          </w:p>
          <w:p w:rsidR="0026617A" w:rsidRPr="00131F94" w:rsidRDefault="00784174" w:rsidP="00266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131F94">
              <w:rPr>
                <w:rFonts w:eastAsia="Courier New"/>
              </w:rPr>
              <w:t>)</w:t>
            </w:r>
          </w:p>
          <w:p w:rsidR="0026617A" w:rsidRPr="00131F94" w:rsidRDefault="00784174" w:rsidP="00266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131F94">
              <w:rPr>
                <w:rFonts w:eastAsia="Courier New"/>
              </w:rPr>
              <w:t>)</w:t>
            </w:r>
          </w:p>
          <w:p w:rsidR="0026617A" w:rsidRPr="00131F94" w:rsidRDefault="00784174" w:rsidP="00266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131F94">
              <w:rPr>
                <w:rFonts w:eastAsia="Courier New"/>
              </w:rPr>
              <w:t>)</w:t>
            </w:r>
          </w:p>
          <w:p w:rsidR="0026617A" w:rsidRPr="00131F94" w:rsidRDefault="00784174" w:rsidP="00266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131F94">
              <w:rPr>
                <w:rFonts w:eastAsia="Courier New"/>
              </w:rPr>
              <w:t>)</w:t>
            </w:r>
          </w:p>
        </w:tc>
        <w:tc>
          <w:tcPr>
            <w:tcW w:w="4400" w:type="dxa"/>
            <w:shd w:val="clear" w:color="auto" w:fill="auto"/>
          </w:tcPr>
          <w:p w:rsidR="0026617A" w:rsidRPr="00131F94" w:rsidRDefault="00784174" w:rsidP="00266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8A3471" w:rsidRDefault="00784174" w:rsidP="00266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26617A" w:rsidRPr="00131F94" w:rsidRDefault="00784174" w:rsidP="00266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131F94">
              <w:rPr>
                <w:rFonts w:eastAsia="Courier New"/>
              </w:rPr>
              <w:t>Case No. 16-1602-EL-ESS</w:t>
            </w:r>
          </w:p>
        </w:tc>
      </w:tr>
    </w:tbl>
    <w:p w:rsidR="00155C0B" w:rsidRDefault="00784174" w:rsidP="0026617A">
      <w:pPr>
        <w:rPr>
          <w:b/>
        </w:rPr>
      </w:pPr>
    </w:p>
    <w:p w:rsidR="0026617A" w:rsidRDefault="00784174" w:rsidP="0026617A">
      <w:pPr>
        <w:pBdr>
          <w:top w:val="single" w:sz="4" w:space="1" w:color="auto"/>
          <w:bottom w:val="single" w:sz="4" w:space="1" w:color="auto"/>
        </w:pBdr>
        <w:rPr>
          <w:b/>
        </w:rPr>
      </w:pPr>
    </w:p>
    <w:p w:rsidR="0026617A" w:rsidRDefault="00784174" w:rsidP="0026617A">
      <w:pPr>
        <w:pBdr>
          <w:top w:val="single" w:sz="4" w:space="1" w:color="auto"/>
          <w:bottom w:val="single" w:sz="4" w:space="1" w:color="auto"/>
        </w:pBdr>
        <w:jc w:val="center"/>
        <w:rPr>
          <w:b/>
        </w:rPr>
      </w:pPr>
      <w:r>
        <w:rPr>
          <w:b/>
        </w:rPr>
        <w:t xml:space="preserve">REPLY </w:t>
      </w:r>
      <w:r>
        <w:rPr>
          <w:b/>
        </w:rPr>
        <w:t>COMMENTS</w:t>
      </w:r>
    </w:p>
    <w:p w:rsidR="0026617A" w:rsidRDefault="00784174" w:rsidP="0026617A">
      <w:pPr>
        <w:pBdr>
          <w:top w:val="single" w:sz="4" w:space="1" w:color="auto"/>
          <w:bottom w:val="single" w:sz="4" w:space="1" w:color="auto"/>
        </w:pBdr>
        <w:jc w:val="center"/>
        <w:rPr>
          <w:b/>
        </w:rPr>
      </w:pPr>
      <w:r>
        <w:rPr>
          <w:b/>
        </w:rPr>
        <w:t>BY</w:t>
      </w:r>
    </w:p>
    <w:p w:rsidR="0026617A" w:rsidRDefault="00784174" w:rsidP="0026617A">
      <w:pPr>
        <w:pBdr>
          <w:top w:val="single" w:sz="4" w:space="1" w:color="auto"/>
          <w:bottom w:val="single" w:sz="4" w:space="1" w:color="auto"/>
        </w:pBdr>
        <w:jc w:val="center"/>
        <w:rPr>
          <w:b/>
        </w:rPr>
      </w:pPr>
      <w:r>
        <w:rPr>
          <w:b/>
        </w:rPr>
        <w:t>THE OFFICE OF THE OHIO CONSUMERS’ COUNSEL</w:t>
      </w:r>
    </w:p>
    <w:p w:rsidR="0026617A" w:rsidRDefault="00784174" w:rsidP="00155C0B">
      <w:pPr>
        <w:pBdr>
          <w:top w:val="single" w:sz="4" w:space="1" w:color="auto"/>
          <w:bottom w:val="single" w:sz="4" w:space="1" w:color="auto"/>
        </w:pBdr>
        <w:spacing w:after="480"/>
        <w:rPr>
          <w:b/>
        </w:rPr>
      </w:pPr>
    </w:p>
    <w:p w:rsidR="0026617A" w:rsidRPr="00C647CD" w:rsidRDefault="00784174" w:rsidP="00155C0B">
      <w:pPr>
        <w:pStyle w:val="Heading1"/>
      </w:pPr>
      <w:bookmarkStart w:id="1" w:name="_Toc344714689"/>
      <w:bookmarkStart w:id="2" w:name="_Toc478135102"/>
      <w:r w:rsidRPr="00C647CD">
        <w:t>I.</w:t>
      </w:r>
      <w:r w:rsidRPr="00C647CD">
        <w:tab/>
        <w:t>INTRODUCTION</w:t>
      </w:r>
      <w:bookmarkEnd w:id="1"/>
      <w:bookmarkEnd w:id="2"/>
    </w:p>
    <w:p w:rsidR="00953088" w:rsidRDefault="00784174" w:rsidP="0026617A">
      <w:pPr>
        <w:spacing w:line="480" w:lineRule="auto"/>
        <w:ind w:firstLine="720"/>
      </w:pPr>
      <w:r>
        <w:t xml:space="preserve">This case is about whether Ohioans who have paid </w:t>
      </w:r>
      <w:r>
        <w:t>$240</w:t>
      </w:r>
      <w:r w:rsidRPr="00FA2D9E">
        <w:rPr>
          <w:szCs w:val="20"/>
        </w:rPr>
        <w:t xml:space="preserve"> million </w:t>
      </w:r>
      <w:r>
        <w:rPr>
          <w:szCs w:val="20"/>
        </w:rPr>
        <w:t xml:space="preserve">for </w:t>
      </w:r>
      <w:r>
        <w:rPr>
          <w:szCs w:val="20"/>
        </w:rPr>
        <w:t xml:space="preserve">electric </w:t>
      </w:r>
      <w:r>
        <w:rPr>
          <w:szCs w:val="20"/>
        </w:rPr>
        <w:t xml:space="preserve">smart grid in the service territory of </w:t>
      </w:r>
      <w:r w:rsidRPr="00E53E6E">
        <w:t xml:space="preserve">Duke Energy Ohio, Inc. </w:t>
      </w:r>
      <w:r w:rsidRPr="00FF6BAB">
        <w:t>(“</w:t>
      </w:r>
      <w:r>
        <w:t>Duke</w:t>
      </w:r>
      <w:r w:rsidRPr="00FF6BAB">
        <w:t>”)</w:t>
      </w:r>
      <w:r>
        <w:rPr>
          <w:szCs w:val="20"/>
          <w:vertAlign w:val="superscript"/>
        </w:rPr>
        <w:footnoteReference w:id="2"/>
      </w:r>
      <w:r>
        <w:t xml:space="preserve"> should be at risk for more and longer outages of their electric service.  The answer is “No.”</w:t>
      </w:r>
    </w:p>
    <w:p w:rsidR="007431AB" w:rsidRDefault="00784174" w:rsidP="0026617A">
      <w:pPr>
        <w:spacing w:line="480" w:lineRule="auto"/>
        <w:ind w:firstLine="720"/>
      </w:pPr>
      <w:r>
        <w:t>Smart grid was touted to regulators and consumers as investments intended to enhance service quality.</w:t>
      </w:r>
      <w:r>
        <w:rPr>
          <w:vertAlign w:val="superscript"/>
        </w:rPr>
        <w:footnoteReference w:id="3"/>
      </w:r>
      <w:r>
        <w:t xml:space="preserve">  </w:t>
      </w:r>
      <w:r>
        <w:t>But now, after its smart grid is fully deployed</w:t>
      </w:r>
      <w:r>
        <w:t>, Duke</w:t>
      </w:r>
      <w:r w:rsidRPr="00FF6BAB">
        <w:t xml:space="preserve"> pro</w:t>
      </w:r>
      <w:r w:rsidRPr="00FF6BAB">
        <w:t>pos</w:t>
      </w:r>
      <w:r>
        <w:t>es</w:t>
      </w:r>
      <w:r w:rsidRPr="00FF6BAB">
        <w:t xml:space="preserve"> </w:t>
      </w:r>
      <w:r>
        <w:t>lower reliability standards for the</w:t>
      </w:r>
      <w:r>
        <w:t xml:space="preserve"> electric</w:t>
      </w:r>
      <w:r>
        <w:t xml:space="preserve"> service it provides to </w:t>
      </w:r>
      <w:r>
        <w:t>consumers</w:t>
      </w:r>
      <w:r>
        <w:t>.</w:t>
      </w:r>
      <w:r>
        <w:rPr>
          <w:rStyle w:val="FootnoteReference"/>
        </w:rPr>
        <w:footnoteReference w:id="4"/>
      </w:r>
      <w:r>
        <w:t xml:space="preserve">  </w:t>
      </w:r>
      <w:r>
        <w:t>The Office of the Ohio Consumers’ Counsel (“OCC”) opposes Duke’s proposal</w:t>
      </w:r>
      <w:r>
        <w:t xml:space="preserve">.  Duke’s proposed </w:t>
      </w:r>
      <w:r>
        <w:t xml:space="preserve">reliability </w:t>
      </w:r>
      <w:r>
        <w:t>standards</w:t>
      </w:r>
      <w:r>
        <w:t xml:space="preserve"> </w:t>
      </w:r>
      <w:r>
        <w:t xml:space="preserve">are unjust and reasonable because </w:t>
      </w:r>
      <w:r>
        <w:t>Duke’s customers</w:t>
      </w:r>
      <w:r>
        <w:t>,</w:t>
      </w:r>
      <w:r>
        <w:t xml:space="preserve"> </w:t>
      </w:r>
      <w:r>
        <w:t>aft</w:t>
      </w:r>
      <w:r>
        <w:t xml:space="preserve">er paying </w:t>
      </w:r>
      <w:r>
        <w:lastRenderedPageBreak/>
        <w:t xml:space="preserve">$240 million, should not </w:t>
      </w:r>
      <w:r>
        <w:t xml:space="preserve">be </w:t>
      </w:r>
      <w:r>
        <w:t>put at risk for</w:t>
      </w:r>
      <w:r>
        <w:t xml:space="preserve"> more and longer outages of </w:t>
      </w:r>
      <w:r>
        <w:t xml:space="preserve">their </w:t>
      </w:r>
      <w:r>
        <w:t xml:space="preserve">electric service before </w:t>
      </w:r>
      <w:r>
        <w:t xml:space="preserve">the Public Utilities Commission of Ohio (“PUCO”) </w:t>
      </w:r>
      <w:r>
        <w:t xml:space="preserve">could </w:t>
      </w:r>
      <w:r>
        <w:t xml:space="preserve">penalize </w:t>
      </w:r>
      <w:r>
        <w:t>Duke.</w:t>
      </w:r>
      <w:r>
        <w:rPr>
          <w:rStyle w:val="FootnoteReference"/>
        </w:rPr>
        <w:footnoteReference w:id="5"/>
      </w:r>
      <w:r>
        <w:t xml:space="preserve">  </w:t>
      </w:r>
    </w:p>
    <w:p w:rsidR="003D1CD8" w:rsidRDefault="00784174" w:rsidP="0026617A">
      <w:pPr>
        <w:spacing w:line="480" w:lineRule="auto"/>
        <w:ind w:firstLine="720"/>
      </w:pPr>
      <w:r>
        <w:t>The PUCO Staff has also rejected Duke’s proposal.  The PUCO Staff states</w:t>
      </w:r>
      <w:r>
        <w:t xml:space="preserve"> that “</w:t>
      </w:r>
      <w:r w:rsidRPr="003D1CD8">
        <w:t>based upon historical performance, customer expectations, the full implementation of SmartGrid, and other distribution investment programs</w:t>
      </w:r>
      <w:r>
        <w:t xml:space="preserve">” </w:t>
      </w:r>
      <w:r>
        <w:t>Duke’s proposal is “inappropriate.”</w:t>
      </w:r>
      <w:r>
        <w:rPr>
          <w:rStyle w:val="FootnoteReference"/>
        </w:rPr>
        <w:footnoteReference w:id="6"/>
      </w:r>
      <w:r>
        <w:t xml:space="preserve">  The PUCO Staff believes that Duke “</w:t>
      </w:r>
      <w:r w:rsidRPr="00EE56A3">
        <w:t>should strive for continuous improve</w:t>
      </w:r>
      <w:r w:rsidRPr="00EE56A3">
        <w:t>ment, not allow the standards to become less stringent without justification</w:t>
      </w:r>
      <w:r>
        <w:t>.”</w:t>
      </w:r>
      <w:r>
        <w:rPr>
          <w:rStyle w:val="FootnoteReference"/>
        </w:rPr>
        <w:footnoteReference w:id="7"/>
      </w:r>
      <w:r>
        <w:t xml:space="preserve">  The PUCO</w:t>
      </w:r>
      <w:r>
        <w:t xml:space="preserve"> Staff</w:t>
      </w:r>
      <w:r>
        <w:t xml:space="preserve"> recommends that the current standards </w:t>
      </w:r>
      <w:r>
        <w:t>“</w:t>
      </w:r>
      <w:r>
        <w:t xml:space="preserve">remain in place </w:t>
      </w:r>
      <w:r>
        <w:t xml:space="preserve">for 2017 and for each year going forward” </w:t>
      </w:r>
      <w:r>
        <w:t xml:space="preserve">until </w:t>
      </w:r>
      <w:r>
        <w:t xml:space="preserve">either </w:t>
      </w:r>
      <w:r>
        <w:t xml:space="preserve">Duke </w:t>
      </w:r>
      <w:r>
        <w:t xml:space="preserve">provides sufficient justification to </w:t>
      </w:r>
      <w:r>
        <w:t>reevalua</w:t>
      </w:r>
      <w:r>
        <w:t>te</w:t>
      </w:r>
      <w:r>
        <w:t xml:space="preserve"> them or the PUCO orders Duke to file an application for updated standards.</w:t>
      </w:r>
      <w:r>
        <w:rPr>
          <w:rStyle w:val="FootnoteReference"/>
        </w:rPr>
        <w:footnoteReference w:id="8"/>
      </w:r>
    </w:p>
    <w:p w:rsidR="003A5BA5" w:rsidRDefault="00784174" w:rsidP="0026617A">
      <w:pPr>
        <w:spacing w:line="480" w:lineRule="auto"/>
        <w:ind w:firstLine="720"/>
      </w:pPr>
      <w:r>
        <w:t>Although the PUCO Staff’s recommendation is an improvement over Duke’s proposal</w:t>
      </w:r>
      <w:r>
        <w:t xml:space="preserve">, the </w:t>
      </w:r>
      <w:r>
        <w:t xml:space="preserve">PUCO Staff’s recommendations are still inadequate to protect service quality for customers. </w:t>
      </w:r>
      <w:r>
        <w:t xml:space="preserve"> For instance, it is unreasonable to allow </w:t>
      </w:r>
      <w:r>
        <w:t xml:space="preserve">current reliability standards </w:t>
      </w:r>
      <w:r>
        <w:t xml:space="preserve">to stay </w:t>
      </w:r>
      <w:r>
        <w:t xml:space="preserve">in place indefinitely.  </w:t>
      </w:r>
      <w:r>
        <w:t>The current standards were explicitly meant to be in place only for two years – 2015 and 2016.</w:t>
      </w:r>
      <w:r>
        <w:rPr>
          <w:rStyle w:val="FootnoteReference"/>
        </w:rPr>
        <w:footnoteReference w:id="9"/>
      </w:r>
      <w:r>
        <w:t xml:space="preserve">  The 2014 Settlement required Duke to file a case in 20</w:t>
      </w:r>
      <w:r>
        <w:t>16 to establish reliability standards for 2017 and beyond.</w:t>
      </w:r>
      <w:r>
        <w:rPr>
          <w:rStyle w:val="FootnoteReference"/>
        </w:rPr>
        <w:footnoteReference w:id="10"/>
      </w:r>
      <w:r>
        <w:t xml:space="preserve">  Retaining the current standards indefinitely contravenes the 2014 Settlement</w:t>
      </w:r>
      <w:r>
        <w:t xml:space="preserve">, which the PUCO Staff </w:t>
      </w:r>
      <w:r>
        <w:lastRenderedPageBreak/>
        <w:t>signed,</w:t>
      </w:r>
      <w:r>
        <w:t xml:space="preserve"> and does not adequately </w:t>
      </w:r>
      <w:r>
        <w:t>protect consumers regarding Duke’s electric service reliability</w:t>
      </w:r>
      <w:r>
        <w:t>.</w:t>
      </w:r>
    </w:p>
    <w:p w:rsidR="007A5E7C" w:rsidRDefault="00784174" w:rsidP="007431AB">
      <w:pPr>
        <w:spacing w:line="480" w:lineRule="auto"/>
        <w:ind w:firstLine="720"/>
      </w:pPr>
      <w:r>
        <w:t xml:space="preserve">Customers have funded </w:t>
      </w:r>
      <w:r>
        <w:t xml:space="preserve">Duke’s smart grid and </w:t>
      </w:r>
      <w:r>
        <w:t xml:space="preserve">its </w:t>
      </w:r>
      <w:r>
        <w:rPr>
          <w:rFonts w:eastAsiaTheme="minorHAnsi"/>
        </w:rPr>
        <w:t>Distribution Capital Investment Rider (“DCIR”)</w:t>
      </w:r>
      <w:r>
        <w:rPr>
          <w:rFonts w:eastAsiaTheme="minorHAnsi"/>
        </w:rPr>
        <w:t xml:space="preserve"> in exchange for the promise of</w:t>
      </w:r>
      <w:r>
        <w:t xml:space="preserve"> improve</w:t>
      </w:r>
      <w:r>
        <w:t>d</w:t>
      </w:r>
      <w:r>
        <w:t xml:space="preserve"> reliability</w:t>
      </w:r>
      <w:r>
        <w:t>.</w:t>
      </w:r>
      <w:r>
        <w:t xml:space="preserve">  This improved reliability should be reflected in Duke’s reliability standards</w:t>
      </w:r>
      <w:r>
        <w:t xml:space="preserve"> now</w:t>
      </w:r>
      <w:r>
        <w:t>.</w:t>
      </w:r>
      <w:r>
        <w:rPr>
          <w:rStyle w:val="FootnoteReference"/>
        </w:rPr>
        <w:footnoteReference w:id="11"/>
      </w:r>
      <w:r>
        <w:t xml:space="preserve">  The PUCO should set m</w:t>
      </w:r>
      <w:r>
        <w:t>ore rigorous reliability standards in this case</w:t>
      </w:r>
      <w:r w:rsidRPr="00F6788C">
        <w:t xml:space="preserve"> </w:t>
      </w:r>
      <w:r>
        <w:t>and hold Duke responsible for the hundreds of millions of customer dollars it is spending on programs to improve reliability</w:t>
      </w:r>
      <w:r>
        <w:t>.</w:t>
      </w:r>
      <w:r>
        <w:t xml:space="preserve">  The PUCO should conduct an evidentiary hearing on Duke’s proposal, in accordance </w:t>
      </w:r>
      <w:r>
        <w:t>with Ohio Adm. Code 4901:1-10-10(B)(6)(e).</w:t>
      </w:r>
    </w:p>
    <w:p w:rsidR="009218B2" w:rsidRDefault="00784174" w:rsidP="008A3471">
      <w:pPr>
        <w:pStyle w:val="Heading1"/>
      </w:pPr>
      <w:bookmarkStart w:id="3" w:name="_Toc478135103"/>
      <w:r w:rsidRPr="009B7C82">
        <w:t>II.</w:t>
      </w:r>
      <w:r w:rsidRPr="009B7C82">
        <w:tab/>
      </w:r>
      <w:r w:rsidRPr="008A3471">
        <w:t>RECOMMENDATIONS</w:t>
      </w:r>
      <w:bookmarkEnd w:id="3"/>
    </w:p>
    <w:p w:rsidR="004C783D" w:rsidRPr="004C783D" w:rsidRDefault="00784174" w:rsidP="008A3471">
      <w:pPr>
        <w:pStyle w:val="Heading2"/>
      </w:pPr>
      <w:bookmarkStart w:id="4" w:name="_Toc478135104"/>
      <w:r>
        <w:t>A.</w:t>
      </w:r>
      <w:r>
        <w:tab/>
        <w:t xml:space="preserve">The current reliability standards understate the five-year historical </w:t>
      </w:r>
      <w:r w:rsidRPr="008A3471">
        <w:t>average</w:t>
      </w:r>
      <w:r>
        <w:t xml:space="preserve"> of Duke’s </w:t>
      </w:r>
      <w:r>
        <w:t xml:space="preserve">SAIFI </w:t>
      </w:r>
      <w:r>
        <w:t>performance, and thus may put customers at risk of more outages and outages of longer duration.</w:t>
      </w:r>
      <w:bookmarkEnd w:id="4"/>
    </w:p>
    <w:p w:rsidR="003A5BA5" w:rsidRDefault="00784174" w:rsidP="0026617A">
      <w:pPr>
        <w:spacing w:line="480" w:lineRule="auto"/>
        <w:ind w:firstLine="720"/>
      </w:pPr>
      <w:r>
        <w:t>Duke’s</w:t>
      </w:r>
      <w:r>
        <w:t xml:space="preserve"> current reliability standards were </w:t>
      </w:r>
      <w:r>
        <w:t>established</w:t>
      </w:r>
      <w:r>
        <w:t xml:space="preserve"> in </w:t>
      </w:r>
      <w:r>
        <w:t>the 2014</w:t>
      </w:r>
      <w:r>
        <w:t xml:space="preserve"> </w:t>
      </w:r>
      <w:r>
        <w:t>S</w:t>
      </w:r>
      <w:r>
        <w:t xml:space="preserve">ettlement </w:t>
      </w:r>
      <w:r>
        <w:t xml:space="preserve">that was </w:t>
      </w:r>
      <w:r>
        <w:t>approved by the PUCO</w:t>
      </w:r>
      <w:r>
        <w:t>.</w:t>
      </w:r>
      <w:r>
        <w:rPr>
          <w:rStyle w:val="FootnoteReference"/>
        </w:rPr>
        <w:footnoteReference w:id="12"/>
      </w:r>
      <w:r>
        <w:t xml:space="preserve">  </w:t>
      </w:r>
      <w:r>
        <w:t>The 2014 Settlement set a System Average Interruption Frequency Index (“SAIFI”) standard of 1.05 and a Customer Average Interruption Duration Inde</w:t>
      </w:r>
      <w:r>
        <w:t>x (“CAIDI”) standard of 122.81 minutes for calendar years 2015 and 2016.</w:t>
      </w:r>
      <w:r>
        <w:rPr>
          <w:rStyle w:val="FootnoteReference"/>
        </w:rPr>
        <w:footnoteReference w:id="13"/>
      </w:r>
      <w:r>
        <w:t xml:space="preserve">  </w:t>
      </w:r>
      <w:r>
        <w:t xml:space="preserve">The lower the SAIFI and CAIDI numbers, the better the performance.  </w:t>
      </w:r>
      <w:r>
        <w:t xml:space="preserve">Duke met </w:t>
      </w:r>
      <w:r>
        <w:lastRenderedPageBreak/>
        <w:t>the standards for 2015.</w:t>
      </w:r>
      <w:r>
        <w:rPr>
          <w:rStyle w:val="FootnoteReference"/>
        </w:rPr>
        <w:footnoteReference w:id="14"/>
      </w:r>
      <w:r>
        <w:t xml:space="preserve">  </w:t>
      </w:r>
      <w:r>
        <w:t>But now Duke proposes a SAIFI standard of 1.12 and a CAIDI standard of 134 min</w:t>
      </w:r>
      <w:r>
        <w:t>utes.</w:t>
      </w:r>
      <w:r>
        <w:rPr>
          <w:rStyle w:val="FootnoteReference"/>
        </w:rPr>
        <w:footnoteReference w:id="15"/>
      </w:r>
      <w:r>
        <w:t xml:space="preserve">  T</w:t>
      </w:r>
      <w:r>
        <w:t xml:space="preserve">he </w:t>
      </w:r>
      <w:r>
        <w:t>PUCO has stated that just because</w:t>
      </w:r>
      <w:r>
        <w:t xml:space="preserve"> </w:t>
      </w:r>
      <w:r>
        <w:t xml:space="preserve">a utility </w:t>
      </w:r>
      <w:r>
        <w:t xml:space="preserve">meets </w:t>
      </w:r>
      <w:r>
        <w:t>a service quality standard</w:t>
      </w:r>
      <w:r>
        <w:t>, that</w:t>
      </w:r>
      <w:r>
        <w:t xml:space="preserve"> does </w:t>
      </w:r>
      <w:r>
        <w:t xml:space="preserve">not </w:t>
      </w:r>
      <w:r>
        <w:t>justify reducing the standard for the utility.</w:t>
      </w:r>
      <w:r>
        <w:rPr>
          <w:rStyle w:val="FootnoteReference"/>
        </w:rPr>
        <w:footnoteReference w:id="16"/>
      </w:r>
    </w:p>
    <w:p w:rsidR="00B25450" w:rsidRDefault="00784174" w:rsidP="0026617A">
      <w:pPr>
        <w:spacing w:line="480" w:lineRule="auto"/>
        <w:ind w:firstLine="720"/>
      </w:pPr>
      <w:r>
        <w:t>The PUCO Staff recommends that the current standards be in retained until either Duke provides sufficien</w:t>
      </w:r>
      <w:r>
        <w:t xml:space="preserve">t justification to reevaluate them or the PUCO orders Duke to file an application for updated standards. </w:t>
      </w:r>
      <w:r>
        <w:t xml:space="preserve"> </w:t>
      </w:r>
      <w:r>
        <w:t>The</w:t>
      </w:r>
      <w:r>
        <w:t>re would be no</w:t>
      </w:r>
      <w:r>
        <w:t xml:space="preserve"> </w:t>
      </w:r>
      <w:r>
        <w:t>specific</w:t>
      </w:r>
      <w:r>
        <w:t xml:space="preserve"> time limit on when the current standards would be changed.  </w:t>
      </w:r>
      <w:r>
        <w:t>The PUCO Staff is correct that Duke “</w:t>
      </w:r>
      <w:r w:rsidRPr="00942A9E">
        <w:t>should strive for continuo</w:t>
      </w:r>
      <w:r w:rsidRPr="00942A9E">
        <w:t>us improvement, not allow the standards to become less stringent without justification.</w:t>
      </w:r>
      <w:r>
        <w:t>”</w:t>
      </w:r>
      <w:r>
        <w:rPr>
          <w:rStyle w:val="FootnoteReference"/>
        </w:rPr>
        <w:footnoteReference w:id="17"/>
      </w:r>
      <w:r>
        <w:t xml:space="preserve">  </w:t>
      </w:r>
      <w:r>
        <w:rPr>
          <w:bCs/>
          <w:kern w:val="36"/>
        </w:rPr>
        <w:t>T</w:t>
      </w:r>
      <w:r>
        <w:t>his is the case where Duke was obligated to fully justify its reliability standards.</w:t>
      </w:r>
      <w:r>
        <w:rPr>
          <w:rStyle w:val="FootnoteReference"/>
        </w:rPr>
        <w:footnoteReference w:id="18"/>
      </w:r>
    </w:p>
    <w:p w:rsidR="003A5BA5" w:rsidRDefault="00784174" w:rsidP="0026617A">
      <w:pPr>
        <w:spacing w:line="480" w:lineRule="auto"/>
        <w:ind w:firstLine="720"/>
      </w:pPr>
      <w:r>
        <w:t>R</w:t>
      </w:r>
      <w:r>
        <w:t>etaining the current standards</w:t>
      </w:r>
      <w:r>
        <w:t xml:space="preserve"> indefinitely</w:t>
      </w:r>
      <w:r>
        <w:t>, as the PUCO Staff proposes,</w:t>
      </w:r>
      <w:r>
        <w:t xml:space="preserve"> may </w:t>
      </w:r>
      <w:r>
        <w:t xml:space="preserve">put </w:t>
      </w:r>
      <w:r>
        <w:t>Ohioans</w:t>
      </w:r>
      <w:r>
        <w:t xml:space="preserve"> at risk of more and longer outages</w:t>
      </w:r>
      <w:r w:rsidRPr="0085259D">
        <w:t xml:space="preserve"> </w:t>
      </w:r>
      <w:r>
        <w:t>than are justifiable</w:t>
      </w:r>
      <w:r>
        <w:t>.</w:t>
      </w:r>
      <w:r>
        <w:t xml:space="preserve">  Instead, the PUCO should adopt reliability standards for Duke that are consistent with the PUCO </w:t>
      </w:r>
      <w:r w:rsidRPr="00765DBC">
        <w:rPr>
          <w:bCs/>
          <w:kern w:val="36"/>
        </w:rPr>
        <w:t>Staff</w:t>
      </w:r>
      <w:r>
        <w:rPr>
          <w:bCs/>
          <w:kern w:val="36"/>
        </w:rPr>
        <w:t>’s</w:t>
      </w:r>
      <w:r w:rsidRPr="00765DBC">
        <w:rPr>
          <w:bCs/>
          <w:kern w:val="36"/>
        </w:rPr>
        <w:t xml:space="preserve"> guidelines for electric utility reliability standards under </w:t>
      </w:r>
      <w:r>
        <w:rPr>
          <w:bCs/>
          <w:kern w:val="36"/>
        </w:rPr>
        <w:t>Ohio Adm. Code</w:t>
      </w:r>
      <w:r w:rsidRPr="00765DBC">
        <w:rPr>
          <w:bCs/>
          <w:kern w:val="36"/>
        </w:rPr>
        <w:t xml:space="preserve"> 4901:1-10-10(B)</w:t>
      </w:r>
      <w:r>
        <w:rPr>
          <w:bCs/>
          <w:kern w:val="36"/>
        </w:rPr>
        <w:t xml:space="preserve"> (“Guidelines”).</w:t>
      </w:r>
      <w:r>
        <w:rPr>
          <w:rStyle w:val="FootnoteReference"/>
          <w:rFonts w:eastAsiaTheme="minorHAnsi"/>
        </w:rPr>
        <w:footnoteReference w:id="19"/>
      </w:r>
      <w:r>
        <w:rPr>
          <w:bCs/>
          <w:kern w:val="36"/>
        </w:rPr>
        <w:t xml:space="preserve">  </w:t>
      </w:r>
    </w:p>
    <w:p w:rsidR="003B48D1" w:rsidRDefault="00784174" w:rsidP="0026617A">
      <w:pPr>
        <w:spacing w:line="480" w:lineRule="auto"/>
        <w:ind w:firstLine="720"/>
      </w:pPr>
      <w:r>
        <w:rPr>
          <w:rFonts w:eastAsiaTheme="minorHAnsi"/>
        </w:rPr>
        <w:t xml:space="preserve">The </w:t>
      </w:r>
      <w:r>
        <w:rPr>
          <w:rFonts w:eastAsiaTheme="minorHAnsi"/>
        </w:rPr>
        <w:t>G</w:t>
      </w:r>
      <w:r>
        <w:rPr>
          <w:rFonts w:eastAsiaTheme="minorHAnsi"/>
        </w:rPr>
        <w:t>uidelines provide that SAIFI and CAIDI calculations should be based on the utility’s average historical performance over at least five years.</w:t>
      </w:r>
      <w:r>
        <w:rPr>
          <w:rFonts w:eastAsiaTheme="minorHAnsi"/>
        </w:rPr>
        <w:t xml:space="preserve"> </w:t>
      </w:r>
      <w:r>
        <w:rPr>
          <w:rFonts w:eastAsiaTheme="minorHAnsi"/>
        </w:rPr>
        <w:t xml:space="preserve"> </w:t>
      </w:r>
      <w:r>
        <w:t xml:space="preserve">Table 1 of OCC’s </w:t>
      </w:r>
      <w:r>
        <w:lastRenderedPageBreak/>
        <w:t xml:space="preserve">Comments showed Duke’s historical performance for the </w:t>
      </w:r>
      <w:r>
        <w:t>past five years, as reported by Duke in its annual report.  This table is recreated below:</w:t>
      </w:r>
    </w:p>
    <w:p w:rsidR="003B48D1" w:rsidRPr="00EF7B0B" w:rsidRDefault="00784174" w:rsidP="003B48D1">
      <w:pPr>
        <w:spacing w:after="200" w:line="276" w:lineRule="auto"/>
        <w:jc w:val="center"/>
        <w:rPr>
          <w:rFonts w:eastAsiaTheme="minorHAnsi"/>
        </w:rPr>
      </w:pPr>
      <w:r w:rsidRPr="00EF7B0B">
        <w:rPr>
          <w:rFonts w:eastAsiaTheme="minorHAnsi"/>
        </w:rPr>
        <w:t xml:space="preserve">Table 1:  </w:t>
      </w:r>
      <w:r>
        <w:rPr>
          <w:rFonts w:eastAsiaTheme="minorHAnsi"/>
        </w:rPr>
        <w:t xml:space="preserve">Duke </w:t>
      </w:r>
      <w:r w:rsidRPr="00EF7B0B">
        <w:rPr>
          <w:rFonts w:eastAsiaTheme="minorHAnsi"/>
        </w:rPr>
        <w:t xml:space="preserve">Reliability </w:t>
      </w:r>
      <w:r>
        <w:rPr>
          <w:rFonts w:eastAsiaTheme="minorHAnsi"/>
        </w:rPr>
        <w:t xml:space="preserve">Standards/Performance </w:t>
      </w:r>
      <w:r w:rsidRPr="00EF7B0B">
        <w:rPr>
          <w:rFonts w:eastAsiaTheme="minorHAnsi"/>
        </w:rPr>
        <w:t>201</w:t>
      </w:r>
      <w:r>
        <w:rPr>
          <w:rFonts w:eastAsiaTheme="minorHAnsi"/>
        </w:rPr>
        <w:t>1</w:t>
      </w:r>
      <w:r w:rsidRPr="00EF7B0B">
        <w:rPr>
          <w:rFonts w:eastAsiaTheme="minorHAnsi"/>
        </w:rPr>
        <w:t>-201</w:t>
      </w:r>
      <w:r>
        <w:rPr>
          <w:rFonts w:eastAsiaTheme="minorHAnsi"/>
        </w:rPr>
        <w:t>5</w:t>
      </w:r>
    </w:p>
    <w:tbl>
      <w:tblPr>
        <w:tblStyle w:val="TableGrid1"/>
        <w:tblW w:w="0" w:type="auto"/>
        <w:tblLook w:val="04A0" w:firstRow="1" w:lastRow="0" w:firstColumn="1" w:lastColumn="0" w:noHBand="0" w:noVBand="1"/>
      </w:tblPr>
      <w:tblGrid>
        <w:gridCol w:w="1908"/>
        <w:gridCol w:w="1165"/>
        <w:gridCol w:w="1464"/>
        <w:gridCol w:w="1464"/>
        <w:gridCol w:w="1464"/>
        <w:gridCol w:w="1391"/>
      </w:tblGrid>
      <w:tr w:rsidR="005240A1" w:rsidTr="0026617A">
        <w:tc>
          <w:tcPr>
            <w:tcW w:w="1908" w:type="dxa"/>
          </w:tcPr>
          <w:p w:rsidR="003B48D1" w:rsidRPr="00EF7B0B" w:rsidRDefault="00784174" w:rsidP="0026617A">
            <w:pPr>
              <w:rPr>
                <w:rFonts w:ascii="Times New Roman" w:hAnsi="Times New Roman" w:cs="Times New Roman"/>
              </w:rPr>
            </w:pPr>
            <w:r w:rsidRPr="00EF7B0B">
              <w:rPr>
                <w:rFonts w:ascii="Times New Roman" w:hAnsi="Times New Roman" w:cs="Times New Roman"/>
              </w:rPr>
              <w:t>SAIFI</w:t>
            </w:r>
          </w:p>
        </w:tc>
        <w:tc>
          <w:tcPr>
            <w:tcW w:w="1165" w:type="dxa"/>
          </w:tcPr>
          <w:p w:rsidR="003B48D1" w:rsidRPr="00C4364E" w:rsidRDefault="00784174" w:rsidP="0026617A">
            <w:pPr>
              <w:jc w:val="center"/>
              <w:rPr>
                <w:rFonts w:ascii="Times New Roman" w:hAnsi="Times New Roman" w:cs="Times New Roman"/>
              </w:rPr>
            </w:pPr>
            <w:r w:rsidRPr="00C4364E">
              <w:rPr>
                <w:rFonts w:ascii="Times New Roman" w:hAnsi="Times New Roman" w:cs="Times New Roman"/>
              </w:rPr>
              <w:t>2011</w:t>
            </w:r>
          </w:p>
        </w:tc>
        <w:tc>
          <w:tcPr>
            <w:tcW w:w="1464" w:type="dxa"/>
          </w:tcPr>
          <w:p w:rsidR="003B48D1" w:rsidRPr="00EF7B0B" w:rsidRDefault="00784174" w:rsidP="0026617A">
            <w:pPr>
              <w:jc w:val="center"/>
              <w:rPr>
                <w:rFonts w:ascii="Times New Roman" w:hAnsi="Times New Roman" w:cs="Times New Roman"/>
              </w:rPr>
            </w:pPr>
            <w:r w:rsidRPr="00EF7B0B">
              <w:rPr>
                <w:rFonts w:ascii="Times New Roman" w:hAnsi="Times New Roman" w:cs="Times New Roman"/>
              </w:rPr>
              <w:t>201</w:t>
            </w:r>
            <w:r>
              <w:rPr>
                <w:rFonts w:ascii="Times New Roman" w:hAnsi="Times New Roman" w:cs="Times New Roman"/>
              </w:rPr>
              <w:t>2</w:t>
            </w:r>
          </w:p>
        </w:tc>
        <w:tc>
          <w:tcPr>
            <w:tcW w:w="1464" w:type="dxa"/>
          </w:tcPr>
          <w:p w:rsidR="003B48D1" w:rsidRPr="00EF7B0B" w:rsidRDefault="00784174" w:rsidP="0026617A">
            <w:pPr>
              <w:jc w:val="center"/>
              <w:rPr>
                <w:rFonts w:ascii="Times New Roman" w:hAnsi="Times New Roman" w:cs="Times New Roman"/>
              </w:rPr>
            </w:pPr>
            <w:r w:rsidRPr="00EF7B0B">
              <w:rPr>
                <w:rFonts w:ascii="Times New Roman" w:hAnsi="Times New Roman" w:cs="Times New Roman"/>
              </w:rPr>
              <w:t>201</w:t>
            </w:r>
            <w:r>
              <w:rPr>
                <w:rFonts w:ascii="Times New Roman" w:hAnsi="Times New Roman" w:cs="Times New Roman"/>
              </w:rPr>
              <w:t>3</w:t>
            </w:r>
          </w:p>
        </w:tc>
        <w:tc>
          <w:tcPr>
            <w:tcW w:w="1464" w:type="dxa"/>
          </w:tcPr>
          <w:p w:rsidR="003B48D1" w:rsidRPr="00EF7B0B" w:rsidRDefault="00784174" w:rsidP="0026617A">
            <w:pPr>
              <w:jc w:val="center"/>
              <w:rPr>
                <w:rFonts w:ascii="Times New Roman" w:hAnsi="Times New Roman" w:cs="Times New Roman"/>
              </w:rPr>
            </w:pPr>
            <w:r w:rsidRPr="00EF7B0B">
              <w:rPr>
                <w:rFonts w:ascii="Times New Roman" w:hAnsi="Times New Roman" w:cs="Times New Roman"/>
              </w:rPr>
              <w:t>201</w:t>
            </w:r>
            <w:r>
              <w:rPr>
                <w:rFonts w:ascii="Times New Roman" w:hAnsi="Times New Roman" w:cs="Times New Roman"/>
              </w:rPr>
              <w:t>4</w:t>
            </w:r>
          </w:p>
        </w:tc>
        <w:tc>
          <w:tcPr>
            <w:tcW w:w="1391" w:type="dxa"/>
          </w:tcPr>
          <w:p w:rsidR="003B48D1" w:rsidRPr="00EF7B0B" w:rsidRDefault="00784174" w:rsidP="0026617A">
            <w:pPr>
              <w:jc w:val="center"/>
              <w:rPr>
                <w:rFonts w:ascii="Times New Roman" w:hAnsi="Times New Roman" w:cs="Times New Roman"/>
              </w:rPr>
            </w:pPr>
            <w:r w:rsidRPr="00EF7B0B">
              <w:rPr>
                <w:rFonts w:ascii="Times New Roman" w:hAnsi="Times New Roman" w:cs="Times New Roman"/>
              </w:rPr>
              <w:t>201</w:t>
            </w:r>
            <w:r>
              <w:rPr>
                <w:rFonts w:ascii="Times New Roman" w:hAnsi="Times New Roman" w:cs="Times New Roman"/>
              </w:rPr>
              <w:t>5</w:t>
            </w:r>
          </w:p>
        </w:tc>
      </w:tr>
      <w:tr w:rsidR="005240A1" w:rsidTr="0026617A">
        <w:tc>
          <w:tcPr>
            <w:tcW w:w="1908" w:type="dxa"/>
          </w:tcPr>
          <w:p w:rsidR="003B48D1" w:rsidRPr="00384831" w:rsidRDefault="00784174" w:rsidP="0026617A">
            <w:pPr>
              <w:rPr>
                <w:rFonts w:ascii="Times New Roman" w:hAnsi="Times New Roman" w:cs="Times New Roman"/>
              </w:rPr>
            </w:pPr>
            <w:r w:rsidRPr="00384831">
              <w:rPr>
                <w:rFonts w:ascii="Times New Roman" w:hAnsi="Times New Roman" w:cs="Times New Roman"/>
              </w:rPr>
              <w:t>Standard</w:t>
            </w:r>
          </w:p>
        </w:tc>
        <w:tc>
          <w:tcPr>
            <w:tcW w:w="1165" w:type="dxa"/>
          </w:tcPr>
          <w:p w:rsidR="003B48D1" w:rsidRPr="00384831" w:rsidRDefault="00784174" w:rsidP="0026617A">
            <w:pPr>
              <w:jc w:val="center"/>
              <w:rPr>
                <w:rFonts w:ascii="Times New Roman" w:hAnsi="Times New Roman" w:cs="Times New Roman"/>
              </w:rPr>
            </w:pPr>
            <w:r>
              <w:rPr>
                <w:rFonts w:ascii="Times New Roman" w:hAnsi="Times New Roman" w:cs="Times New Roman"/>
              </w:rPr>
              <w:t>1.38</w:t>
            </w:r>
          </w:p>
        </w:tc>
        <w:tc>
          <w:tcPr>
            <w:tcW w:w="1464" w:type="dxa"/>
          </w:tcPr>
          <w:p w:rsidR="003B48D1" w:rsidRPr="00384831" w:rsidRDefault="00784174" w:rsidP="0026617A">
            <w:pPr>
              <w:jc w:val="center"/>
              <w:rPr>
                <w:rFonts w:ascii="Times New Roman" w:hAnsi="Times New Roman" w:cs="Times New Roman"/>
              </w:rPr>
            </w:pPr>
            <w:r w:rsidRPr="00384831">
              <w:rPr>
                <w:rFonts w:ascii="Times New Roman" w:hAnsi="Times New Roman" w:cs="Times New Roman"/>
              </w:rPr>
              <w:t>1.</w:t>
            </w:r>
            <w:r>
              <w:rPr>
                <w:rFonts w:ascii="Times New Roman" w:hAnsi="Times New Roman" w:cs="Times New Roman"/>
              </w:rPr>
              <w:t>31</w:t>
            </w:r>
          </w:p>
        </w:tc>
        <w:tc>
          <w:tcPr>
            <w:tcW w:w="1464" w:type="dxa"/>
          </w:tcPr>
          <w:p w:rsidR="003B48D1" w:rsidRPr="00384831" w:rsidRDefault="00784174" w:rsidP="0026617A">
            <w:pPr>
              <w:jc w:val="center"/>
              <w:rPr>
                <w:rFonts w:ascii="Times New Roman" w:hAnsi="Times New Roman" w:cs="Times New Roman"/>
              </w:rPr>
            </w:pPr>
            <w:r w:rsidRPr="00384831">
              <w:rPr>
                <w:rFonts w:ascii="Times New Roman" w:hAnsi="Times New Roman" w:cs="Times New Roman"/>
              </w:rPr>
              <w:t>1.2</w:t>
            </w:r>
            <w:r>
              <w:rPr>
                <w:rFonts w:ascii="Times New Roman" w:hAnsi="Times New Roman" w:cs="Times New Roman"/>
              </w:rPr>
              <w:t>4</w:t>
            </w:r>
          </w:p>
        </w:tc>
        <w:tc>
          <w:tcPr>
            <w:tcW w:w="1464" w:type="dxa"/>
          </w:tcPr>
          <w:p w:rsidR="003B48D1" w:rsidRPr="00384831" w:rsidRDefault="00784174" w:rsidP="0026617A">
            <w:pPr>
              <w:jc w:val="center"/>
              <w:rPr>
                <w:rFonts w:ascii="Times New Roman" w:hAnsi="Times New Roman" w:cs="Times New Roman"/>
              </w:rPr>
            </w:pPr>
            <w:r w:rsidRPr="00384831">
              <w:rPr>
                <w:rFonts w:ascii="Times New Roman" w:hAnsi="Times New Roman" w:cs="Times New Roman"/>
              </w:rPr>
              <w:t>1.</w:t>
            </w:r>
            <w:r>
              <w:rPr>
                <w:rFonts w:ascii="Times New Roman" w:hAnsi="Times New Roman" w:cs="Times New Roman"/>
              </w:rPr>
              <w:t>17</w:t>
            </w:r>
          </w:p>
        </w:tc>
        <w:tc>
          <w:tcPr>
            <w:tcW w:w="1391" w:type="dxa"/>
          </w:tcPr>
          <w:p w:rsidR="003B48D1" w:rsidRPr="00384831" w:rsidRDefault="00784174" w:rsidP="0026617A">
            <w:pPr>
              <w:jc w:val="center"/>
              <w:rPr>
                <w:rFonts w:ascii="Times New Roman" w:hAnsi="Times New Roman" w:cs="Times New Roman"/>
              </w:rPr>
            </w:pPr>
            <w:r w:rsidRPr="00384831">
              <w:rPr>
                <w:rFonts w:ascii="Times New Roman" w:hAnsi="Times New Roman" w:cs="Times New Roman"/>
              </w:rPr>
              <w:t>1.</w:t>
            </w:r>
            <w:r>
              <w:rPr>
                <w:rFonts w:ascii="Times New Roman" w:hAnsi="Times New Roman" w:cs="Times New Roman"/>
              </w:rPr>
              <w:t>05</w:t>
            </w:r>
          </w:p>
        </w:tc>
      </w:tr>
      <w:tr w:rsidR="005240A1" w:rsidTr="0026617A">
        <w:tc>
          <w:tcPr>
            <w:tcW w:w="1908" w:type="dxa"/>
            <w:tcBorders>
              <w:bottom w:val="single" w:sz="4" w:space="0" w:color="auto"/>
            </w:tcBorders>
          </w:tcPr>
          <w:p w:rsidR="003B48D1" w:rsidRPr="00384831" w:rsidRDefault="00784174" w:rsidP="0026617A">
            <w:pPr>
              <w:rPr>
                <w:rFonts w:ascii="Times New Roman" w:hAnsi="Times New Roman" w:cs="Times New Roman"/>
              </w:rPr>
            </w:pPr>
            <w:r w:rsidRPr="00384831">
              <w:rPr>
                <w:rFonts w:ascii="Times New Roman" w:hAnsi="Times New Roman" w:cs="Times New Roman"/>
              </w:rPr>
              <w:t>Performance</w:t>
            </w:r>
          </w:p>
        </w:tc>
        <w:tc>
          <w:tcPr>
            <w:tcW w:w="1165" w:type="dxa"/>
            <w:tcBorders>
              <w:bottom w:val="single" w:sz="4" w:space="0" w:color="auto"/>
            </w:tcBorders>
          </w:tcPr>
          <w:p w:rsidR="003B48D1" w:rsidRPr="00384831" w:rsidRDefault="00784174" w:rsidP="0026617A">
            <w:pPr>
              <w:jc w:val="center"/>
              <w:rPr>
                <w:rFonts w:ascii="Times New Roman" w:hAnsi="Times New Roman" w:cs="Times New Roman"/>
              </w:rPr>
            </w:pPr>
            <w:r w:rsidRPr="00384831">
              <w:rPr>
                <w:rFonts w:ascii="Times New Roman" w:hAnsi="Times New Roman" w:cs="Times New Roman"/>
              </w:rPr>
              <w:t>1.38</w:t>
            </w:r>
          </w:p>
        </w:tc>
        <w:tc>
          <w:tcPr>
            <w:tcW w:w="1464" w:type="dxa"/>
            <w:tcBorders>
              <w:bottom w:val="single" w:sz="4" w:space="0" w:color="auto"/>
            </w:tcBorders>
          </w:tcPr>
          <w:p w:rsidR="003B48D1" w:rsidRPr="00384831" w:rsidRDefault="00784174" w:rsidP="0026617A">
            <w:pPr>
              <w:jc w:val="center"/>
              <w:rPr>
                <w:rFonts w:ascii="Times New Roman" w:hAnsi="Times New Roman" w:cs="Times New Roman"/>
              </w:rPr>
            </w:pPr>
            <w:r w:rsidRPr="00384831">
              <w:rPr>
                <w:rFonts w:ascii="Times New Roman" w:hAnsi="Times New Roman" w:cs="Times New Roman"/>
              </w:rPr>
              <w:t>1.08</w:t>
            </w:r>
          </w:p>
        </w:tc>
        <w:tc>
          <w:tcPr>
            <w:tcW w:w="1464" w:type="dxa"/>
            <w:tcBorders>
              <w:bottom w:val="single" w:sz="4" w:space="0" w:color="auto"/>
            </w:tcBorders>
          </w:tcPr>
          <w:p w:rsidR="003B48D1" w:rsidRPr="00384831" w:rsidRDefault="00784174" w:rsidP="0026617A">
            <w:pPr>
              <w:jc w:val="center"/>
              <w:rPr>
                <w:rFonts w:ascii="Times New Roman" w:hAnsi="Times New Roman" w:cs="Times New Roman"/>
              </w:rPr>
            </w:pPr>
            <w:r>
              <w:rPr>
                <w:rFonts w:ascii="Times New Roman" w:hAnsi="Times New Roman" w:cs="Times New Roman"/>
              </w:rPr>
              <w:t>0.98</w:t>
            </w:r>
          </w:p>
        </w:tc>
        <w:tc>
          <w:tcPr>
            <w:tcW w:w="1464" w:type="dxa"/>
            <w:tcBorders>
              <w:bottom w:val="single" w:sz="4" w:space="0" w:color="auto"/>
            </w:tcBorders>
          </w:tcPr>
          <w:p w:rsidR="003B48D1" w:rsidRPr="00384831" w:rsidRDefault="00784174" w:rsidP="0026617A">
            <w:pPr>
              <w:jc w:val="center"/>
              <w:rPr>
                <w:rFonts w:ascii="Times New Roman" w:hAnsi="Times New Roman" w:cs="Times New Roman"/>
              </w:rPr>
            </w:pPr>
            <w:r>
              <w:rPr>
                <w:rFonts w:ascii="Times New Roman" w:hAnsi="Times New Roman" w:cs="Times New Roman"/>
              </w:rPr>
              <w:t>0</w:t>
            </w:r>
            <w:r w:rsidRPr="00384831">
              <w:rPr>
                <w:rFonts w:ascii="Times New Roman" w:hAnsi="Times New Roman" w:cs="Times New Roman"/>
              </w:rPr>
              <w:t>.</w:t>
            </w:r>
            <w:r>
              <w:rPr>
                <w:rFonts w:ascii="Times New Roman" w:hAnsi="Times New Roman" w:cs="Times New Roman"/>
              </w:rPr>
              <w:t>99</w:t>
            </w:r>
          </w:p>
        </w:tc>
        <w:tc>
          <w:tcPr>
            <w:tcW w:w="1391" w:type="dxa"/>
            <w:tcBorders>
              <w:bottom w:val="single" w:sz="4" w:space="0" w:color="auto"/>
            </w:tcBorders>
          </w:tcPr>
          <w:p w:rsidR="003B48D1" w:rsidRPr="00384831" w:rsidRDefault="00784174" w:rsidP="0026617A">
            <w:pPr>
              <w:jc w:val="center"/>
              <w:rPr>
                <w:rFonts w:ascii="Times New Roman" w:hAnsi="Times New Roman" w:cs="Times New Roman"/>
              </w:rPr>
            </w:pPr>
            <w:r>
              <w:rPr>
                <w:rFonts w:ascii="Times New Roman" w:hAnsi="Times New Roman" w:cs="Times New Roman"/>
              </w:rPr>
              <w:t>1.04</w:t>
            </w:r>
          </w:p>
        </w:tc>
      </w:tr>
      <w:tr w:rsidR="005240A1" w:rsidTr="0026617A">
        <w:tc>
          <w:tcPr>
            <w:tcW w:w="1908" w:type="dxa"/>
            <w:tcBorders>
              <w:left w:val="nil"/>
              <w:right w:val="nil"/>
            </w:tcBorders>
          </w:tcPr>
          <w:p w:rsidR="003B48D1" w:rsidRPr="00EF7B0B" w:rsidRDefault="00784174" w:rsidP="0026617A">
            <w:pPr>
              <w:rPr>
                <w:rFonts w:ascii="Times New Roman" w:hAnsi="Times New Roman" w:cs="Times New Roman"/>
              </w:rPr>
            </w:pPr>
          </w:p>
        </w:tc>
        <w:tc>
          <w:tcPr>
            <w:tcW w:w="1165" w:type="dxa"/>
            <w:tcBorders>
              <w:left w:val="nil"/>
              <w:right w:val="nil"/>
            </w:tcBorders>
          </w:tcPr>
          <w:p w:rsidR="003B48D1" w:rsidRPr="00EF7B0B" w:rsidRDefault="00784174" w:rsidP="0026617A">
            <w:pPr>
              <w:jc w:val="center"/>
            </w:pPr>
          </w:p>
        </w:tc>
        <w:tc>
          <w:tcPr>
            <w:tcW w:w="1464" w:type="dxa"/>
            <w:tcBorders>
              <w:left w:val="nil"/>
              <w:right w:val="nil"/>
            </w:tcBorders>
          </w:tcPr>
          <w:p w:rsidR="003B48D1" w:rsidRPr="00EF7B0B" w:rsidRDefault="00784174" w:rsidP="0026617A">
            <w:pPr>
              <w:jc w:val="center"/>
              <w:rPr>
                <w:rFonts w:ascii="Times New Roman" w:hAnsi="Times New Roman" w:cs="Times New Roman"/>
              </w:rPr>
            </w:pPr>
          </w:p>
        </w:tc>
        <w:tc>
          <w:tcPr>
            <w:tcW w:w="1464" w:type="dxa"/>
            <w:tcBorders>
              <w:left w:val="nil"/>
              <w:right w:val="nil"/>
            </w:tcBorders>
          </w:tcPr>
          <w:p w:rsidR="003B48D1" w:rsidRPr="00EF7B0B" w:rsidRDefault="00784174" w:rsidP="0026617A">
            <w:pPr>
              <w:jc w:val="center"/>
              <w:rPr>
                <w:rFonts w:ascii="Times New Roman" w:hAnsi="Times New Roman" w:cs="Times New Roman"/>
              </w:rPr>
            </w:pPr>
          </w:p>
        </w:tc>
        <w:tc>
          <w:tcPr>
            <w:tcW w:w="1464" w:type="dxa"/>
            <w:tcBorders>
              <w:left w:val="nil"/>
              <w:right w:val="nil"/>
            </w:tcBorders>
          </w:tcPr>
          <w:p w:rsidR="003B48D1" w:rsidRPr="00EF7B0B" w:rsidRDefault="00784174" w:rsidP="0026617A">
            <w:pPr>
              <w:jc w:val="center"/>
              <w:rPr>
                <w:rFonts w:ascii="Times New Roman" w:hAnsi="Times New Roman" w:cs="Times New Roman"/>
              </w:rPr>
            </w:pPr>
          </w:p>
        </w:tc>
        <w:tc>
          <w:tcPr>
            <w:tcW w:w="1391" w:type="dxa"/>
            <w:tcBorders>
              <w:left w:val="nil"/>
              <w:right w:val="nil"/>
            </w:tcBorders>
          </w:tcPr>
          <w:p w:rsidR="003B48D1" w:rsidRPr="00EF7B0B" w:rsidRDefault="00784174" w:rsidP="0026617A">
            <w:pPr>
              <w:jc w:val="center"/>
              <w:rPr>
                <w:rFonts w:ascii="Times New Roman" w:hAnsi="Times New Roman" w:cs="Times New Roman"/>
              </w:rPr>
            </w:pPr>
          </w:p>
        </w:tc>
      </w:tr>
      <w:tr w:rsidR="005240A1" w:rsidTr="0026617A">
        <w:tc>
          <w:tcPr>
            <w:tcW w:w="1908" w:type="dxa"/>
          </w:tcPr>
          <w:p w:rsidR="003B48D1" w:rsidRPr="00EF7B0B" w:rsidRDefault="00784174" w:rsidP="0026617A">
            <w:pPr>
              <w:rPr>
                <w:rFonts w:ascii="Times New Roman" w:hAnsi="Times New Roman" w:cs="Times New Roman"/>
              </w:rPr>
            </w:pPr>
            <w:r w:rsidRPr="00EF7B0B">
              <w:rPr>
                <w:rFonts w:ascii="Times New Roman" w:hAnsi="Times New Roman" w:cs="Times New Roman"/>
              </w:rPr>
              <w:t>CAIDI (Minutes)</w:t>
            </w:r>
          </w:p>
        </w:tc>
        <w:tc>
          <w:tcPr>
            <w:tcW w:w="1165" w:type="dxa"/>
          </w:tcPr>
          <w:p w:rsidR="003B48D1" w:rsidRPr="00B726A0" w:rsidRDefault="00784174" w:rsidP="0026617A">
            <w:pPr>
              <w:jc w:val="center"/>
              <w:rPr>
                <w:rFonts w:ascii="Times New Roman" w:hAnsi="Times New Roman" w:cs="Times New Roman"/>
              </w:rPr>
            </w:pPr>
            <w:r w:rsidRPr="00B726A0">
              <w:rPr>
                <w:rFonts w:ascii="Times New Roman" w:hAnsi="Times New Roman" w:cs="Times New Roman"/>
              </w:rPr>
              <w:t>2011</w:t>
            </w:r>
          </w:p>
        </w:tc>
        <w:tc>
          <w:tcPr>
            <w:tcW w:w="1464" w:type="dxa"/>
          </w:tcPr>
          <w:p w:rsidR="003B48D1" w:rsidRPr="00EF7B0B" w:rsidRDefault="00784174" w:rsidP="0026617A">
            <w:pPr>
              <w:jc w:val="center"/>
              <w:rPr>
                <w:rFonts w:ascii="Times New Roman" w:hAnsi="Times New Roman" w:cs="Times New Roman"/>
              </w:rPr>
            </w:pPr>
            <w:r w:rsidRPr="00EF7B0B">
              <w:rPr>
                <w:rFonts w:ascii="Times New Roman" w:hAnsi="Times New Roman" w:cs="Times New Roman"/>
              </w:rPr>
              <w:t>201</w:t>
            </w:r>
            <w:r>
              <w:rPr>
                <w:rFonts w:ascii="Times New Roman" w:hAnsi="Times New Roman" w:cs="Times New Roman"/>
              </w:rPr>
              <w:t>2</w:t>
            </w:r>
          </w:p>
        </w:tc>
        <w:tc>
          <w:tcPr>
            <w:tcW w:w="1464" w:type="dxa"/>
          </w:tcPr>
          <w:p w:rsidR="003B48D1" w:rsidRPr="00EF7B0B" w:rsidRDefault="00784174" w:rsidP="0026617A">
            <w:pPr>
              <w:jc w:val="center"/>
              <w:rPr>
                <w:rFonts w:ascii="Times New Roman" w:hAnsi="Times New Roman" w:cs="Times New Roman"/>
              </w:rPr>
            </w:pPr>
            <w:r w:rsidRPr="00EF7B0B">
              <w:rPr>
                <w:rFonts w:ascii="Times New Roman" w:hAnsi="Times New Roman" w:cs="Times New Roman"/>
              </w:rPr>
              <w:t>201</w:t>
            </w:r>
            <w:r>
              <w:rPr>
                <w:rFonts w:ascii="Times New Roman" w:hAnsi="Times New Roman" w:cs="Times New Roman"/>
              </w:rPr>
              <w:t>3</w:t>
            </w:r>
          </w:p>
        </w:tc>
        <w:tc>
          <w:tcPr>
            <w:tcW w:w="1464" w:type="dxa"/>
          </w:tcPr>
          <w:p w:rsidR="003B48D1" w:rsidRPr="00EF7B0B" w:rsidRDefault="00784174" w:rsidP="0026617A">
            <w:pPr>
              <w:jc w:val="center"/>
              <w:rPr>
                <w:rFonts w:ascii="Times New Roman" w:hAnsi="Times New Roman" w:cs="Times New Roman"/>
              </w:rPr>
            </w:pPr>
            <w:r w:rsidRPr="00EF7B0B">
              <w:rPr>
                <w:rFonts w:ascii="Times New Roman" w:hAnsi="Times New Roman" w:cs="Times New Roman"/>
              </w:rPr>
              <w:t>201</w:t>
            </w:r>
            <w:r>
              <w:rPr>
                <w:rFonts w:ascii="Times New Roman" w:hAnsi="Times New Roman" w:cs="Times New Roman"/>
              </w:rPr>
              <w:t>4</w:t>
            </w:r>
          </w:p>
        </w:tc>
        <w:tc>
          <w:tcPr>
            <w:tcW w:w="1391" w:type="dxa"/>
          </w:tcPr>
          <w:p w:rsidR="003B48D1" w:rsidRPr="00EF7B0B" w:rsidRDefault="00784174" w:rsidP="0026617A">
            <w:pPr>
              <w:jc w:val="center"/>
              <w:rPr>
                <w:rFonts w:ascii="Times New Roman" w:hAnsi="Times New Roman" w:cs="Times New Roman"/>
              </w:rPr>
            </w:pPr>
            <w:r w:rsidRPr="00EF7B0B">
              <w:rPr>
                <w:rFonts w:ascii="Times New Roman" w:hAnsi="Times New Roman" w:cs="Times New Roman"/>
              </w:rPr>
              <w:t>201</w:t>
            </w:r>
            <w:r>
              <w:rPr>
                <w:rFonts w:ascii="Times New Roman" w:hAnsi="Times New Roman" w:cs="Times New Roman"/>
              </w:rPr>
              <w:t>5</w:t>
            </w:r>
          </w:p>
        </w:tc>
      </w:tr>
      <w:tr w:rsidR="005240A1" w:rsidTr="0026617A">
        <w:tc>
          <w:tcPr>
            <w:tcW w:w="1908" w:type="dxa"/>
          </w:tcPr>
          <w:p w:rsidR="003B48D1" w:rsidRPr="00B726A0" w:rsidRDefault="00784174" w:rsidP="0026617A">
            <w:pPr>
              <w:rPr>
                <w:rFonts w:ascii="Times New Roman" w:hAnsi="Times New Roman" w:cs="Times New Roman"/>
              </w:rPr>
            </w:pPr>
            <w:r w:rsidRPr="00B726A0">
              <w:rPr>
                <w:rFonts w:ascii="Times New Roman" w:hAnsi="Times New Roman" w:cs="Times New Roman"/>
              </w:rPr>
              <w:t xml:space="preserve">Standard </w:t>
            </w:r>
          </w:p>
        </w:tc>
        <w:tc>
          <w:tcPr>
            <w:tcW w:w="1165" w:type="dxa"/>
          </w:tcPr>
          <w:p w:rsidR="003B48D1" w:rsidRPr="00B726A0" w:rsidRDefault="00784174" w:rsidP="0026617A">
            <w:pPr>
              <w:jc w:val="center"/>
              <w:rPr>
                <w:rFonts w:ascii="Times New Roman" w:hAnsi="Times New Roman" w:cs="Times New Roman"/>
              </w:rPr>
            </w:pPr>
            <w:r w:rsidRPr="00B726A0">
              <w:rPr>
                <w:rFonts w:ascii="Times New Roman" w:hAnsi="Times New Roman" w:cs="Times New Roman"/>
              </w:rPr>
              <w:t>111.90</w:t>
            </w:r>
          </w:p>
        </w:tc>
        <w:tc>
          <w:tcPr>
            <w:tcW w:w="1464" w:type="dxa"/>
          </w:tcPr>
          <w:p w:rsidR="003B48D1" w:rsidRPr="00B726A0" w:rsidRDefault="00784174" w:rsidP="0026617A">
            <w:pPr>
              <w:jc w:val="center"/>
              <w:rPr>
                <w:rFonts w:ascii="Times New Roman" w:hAnsi="Times New Roman" w:cs="Times New Roman"/>
              </w:rPr>
            </w:pPr>
            <w:r>
              <w:rPr>
                <w:rFonts w:ascii="Times New Roman" w:hAnsi="Times New Roman" w:cs="Times New Roman"/>
              </w:rPr>
              <w:t>115.02</w:t>
            </w:r>
          </w:p>
        </w:tc>
        <w:tc>
          <w:tcPr>
            <w:tcW w:w="1464" w:type="dxa"/>
          </w:tcPr>
          <w:p w:rsidR="003B48D1" w:rsidRPr="00B726A0" w:rsidRDefault="00784174" w:rsidP="0026617A">
            <w:pPr>
              <w:jc w:val="center"/>
              <w:rPr>
                <w:rFonts w:ascii="Times New Roman" w:hAnsi="Times New Roman" w:cs="Times New Roman"/>
              </w:rPr>
            </w:pPr>
            <w:r>
              <w:rPr>
                <w:rFonts w:ascii="Times New Roman" w:hAnsi="Times New Roman" w:cs="Times New Roman"/>
              </w:rPr>
              <w:t>118.14</w:t>
            </w:r>
          </w:p>
        </w:tc>
        <w:tc>
          <w:tcPr>
            <w:tcW w:w="1464" w:type="dxa"/>
          </w:tcPr>
          <w:p w:rsidR="003B48D1" w:rsidRPr="00B726A0" w:rsidRDefault="00784174" w:rsidP="0026617A">
            <w:pPr>
              <w:jc w:val="center"/>
              <w:rPr>
                <w:rFonts w:ascii="Times New Roman" w:hAnsi="Times New Roman" w:cs="Times New Roman"/>
              </w:rPr>
            </w:pPr>
            <w:r>
              <w:rPr>
                <w:rFonts w:ascii="Times New Roman" w:hAnsi="Times New Roman" w:cs="Times New Roman"/>
              </w:rPr>
              <w:t>121.25</w:t>
            </w:r>
          </w:p>
        </w:tc>
        <w:tc>
          <w:tcPr>
            <w:tcW w:w="1391" w:type="dxa"/>
          </w:tcPr>
          <w:p w:rsidR="003B48D1" w:rsidRPr="00B726A0" w:rsidRDefault="00784174" w:rsidP="0026617A">
            <w:pPr>
              <w:jc w:val="center"/>
              <w:rPr>
                <w:rFonts w:ascii="Times New Roman" w:hAnsi="Times New Roman" w:cs="Times New Roman"/>
              </w:rPr>
            </w:pPr>
            <w:r>
              <w:rPr>
                <w:rFonts w:ascii="Times New Roman" w:hAnsi="Times New Roman" w:cs="Times New Roman"/>
              </w:rPr>
              <w:t>122.81</w:t>
            </w:r>
          </w:p>
        </w:tc>
      </w:tr>
      <w:tr w:rsidR="005240A1" w:rsidTr="0026617A">
        <w:tc>
          <w:tcPr>
            <w:tcW w:w="1908" w:type="dxa"/>
          </w:tcPr>
          <w:p w:rsidR="003B48D1" w:rsidRPr="00B726A0" w:rsidRDefault="00784174" w:rsidP="0026617A">
            <w:pPr>
              <w:rPr>
                <w:rFonts w:ascii="Times New Roman" w:hAnsi="Times New Roman" w:cs="Times New Roman"/>
              </w:rPr>
            </w:pPr>
            <w:r w:rsidRPr="00B726A0">
              <w:rPr>
                <w:rFonts w:ascii="Times New Roman" w:hAnsi="Times New Roman" w:cs="Times New Roman"/>
              </w:rPr>
              <w:t>Performance</w:t>
            </w:r>
          </w:p>
        </w:tc>
        <w:tc>
          <w:tcPr>
            <w:tcW w:w="1165" w:type="dxa"/>
          </w:tcPr>
          <w:p w:rsidR="003B48D1" w:rsidRPr="00B726A0" w:rsidRDefault="00784174" w:rsidP="0026617A">
            <w:pPr>
              <w:jc w:val="center"/>
              <w:rPr>
                <w:rFonts w:ascii="Times New Roman" w:hAnsi="Times New Roman" w:cs="Times New Roman"/>
              </w:rPr>
            </w:pPr>
            <w:r>
              <w:rPr>
                <w:rFonts w:ascii="Times New Roman" w:hAnsi="Times New Roman" w:cs="Times New Roman"/>
              </w:rPr>
              <w:t>107.00</w:t>
            </w:r>
          </w:p>
        </w:tc>
        <w:tc>
          <w:tcPr>
            <w:tcW w:w="1464" w:type="dxa"/>
          </w:tcPr>
          <w:p w:rsidR="003B48D1" w:rsidRPr="00B726A0" w:rsidRDefault="00784174" w:rsidP="0026617A">
            <w:pPr>
              <w:jc w:val="center"/>
              <w:rPr>
                <w:rFonts w:ascii="Times New Roman" w:hAnsi="Times New Roman" w:cs="Times New Roman"/>
              </w:rPr>
            </w:pPr>
            <w:r>
              <w:rPr>
                <w:rFonts w:ascii="Times New Roman" w:hAnsi="Times New Roman" w:cs="Times New Roman"/>
              </w:rPr>
              <w:t>103.26</w:t>
            </w:r>
          </w:p>
        </w:tc>
        <w:tc>
          <w:tcPr>
            <w:tcW w:w="1464" w:type="dxa"/>
          </w:tcPr>
          <w:p w:rsidR="003B48D1" w:rsidRPr="00B726A0" w:rsidRDefault="00784174" w:rsidP="0026617A">
            <w:pPr>
              <w:jc w:val="center"/>
              <w:rPr>
                <w:rFonts w:ascii="Times New Roman" w:hAnsi="Times New Roman" w:cs="Times New Roman"/>
              </w:rPr>
            </w:pPr>
            <w:r>
              <w:rPr>
                <w:rFonts w:ascii="Times New Roman" w:hAnsi="Times New Roman" w:cs="Times New Roman"/>
              </w:rPr>
              <w:t>117.80</w:t>
            </w:r>
          </w:p>
        </w:tc>
        <w:tc>
          <w:tcPr>
            <w:tcW w:w="1464" w:type="dxa"/>
          </w:tcPr>
          <w:p w:rsidR="003B48D1" w:rsidRPr="00B726A0" w:rsidRDefault="00784174" w:rsidP="0026617A">
            <w:pPr>
              <w:jc w:val="center"/>
              <w:rPr>
                <w:rFonts w:ascii="Times New Roman" w:hAnsi="Times New Roman" w:cs="Times New Roman"/>
              </w:rPr>
            </w:pPr>
            <w:r>
              <w:rPr>
                <w:rFonts w:ascii="Times New Roman" w:hAnsi="Times New Roman" w:cs="Times New Roman"/>
              </w:rPr>
              <w:t>108.28</w:t>
            </w:r>
          </w:p>
        </w:tc>
        <w:tc>
          <w:tcPr>
            <w:tcW w:w="1391" w:type="dxa"/>
          </w:tcPr>
          <w:p w:rsidR="003B48D1" w:rsidRPr="00B726A0" w:rsidRDefault="00784174" w:rsidP="0026617A">
            <w:pPr>
              <w:jc w:val="center"/>
              <w:rPr>
                <w:rFonts w:ascii="Times New Roman" w:hAnsi="Times New Roman" w:cs="Times New Roman"/>
              </w:rPr>
            </w:pPr>
            <w:r>
              <w:rPr>
                <w:rFonts w:ascii="Times New Roman" w:hAnsi="Times New Roman" w:cs="Times New Roman"/>
              </w:rPr>
              <w:t>117.32</w:t>
            </w:r>
          </w:p>
        </w:tc>
      </w:tr>
    </w:tbl>
    <w:p w:rsidR="003B48D1" w:rsidRDefault="00784174" w:rsidP="003B48D1">
      <w:pPr>
        <w:spacing w:before="240" w:line="480" w:lineRule="auto"/>
        <w:ind w:firstLine="720"/>
      </w:pPr>
      <w:r>
        <w:t xml:space="preserve">The five-year average of Duke’s SAIFI performance is 1.09.  </w:t>
      </w:r>
      <w:r>
        <w:t xml:space="preserve">The lower the SAIFI number, the better the performance.  </w:t>
      </w:r>
      <w:r>
        <w:t>Thus, the PUCO Staff’s recommended 1.05 SAIFI would be an improvement</w:t>
      </w:r>
      <w:r>
        <w:t xml:space="preserve"> over Duke’s five-year performance.  But the five-year historical performance is skewed by an extremely high SAIFI number in 2011.</w:t>
      </w:r>
      <w:r>
        <w:t xml:space="preserve">  Using the four-year average from 2012-2015 may be more realistic, </w:t>
      </w:r>
      <w:r>
        <w:t>because</w:t>
      </w:r>
      <w:r>
        <w:t xml:space="preserve"> those years </w:t>
      </w:r>
      <w:r>
        <w:t xml:space="preserve">involved expansion of Duke’s smart grid and </w:t>
      </w:r>
      <w:r>
        <w:t>had more consistent performance.  The four-year average is 1.02, which would provide consumers with more protection</w:t>
      </w:r>
      <w:r>
        <w:t xml:space="preserve"> tha</w:t>
      </w:r>
      <w:r>
        <w:t>n</w:t>
      </w:r>
      <w:r>
        <w:t xml:space="preserve"> eit</w:t>
      </w:r>
      <w:r>
        <w:t>her Duke’s proposal or the PUCO Staff’s recommendation</w:t>
      </w:r>
      <w:r>
        <w:t>.</w:t>
      </w:r>
    </w:p>
    <w:p w:rsidR="00B163E7" w:rsidRDefault="00784174" w:rsidP="00B163E7">
      <w:pPr>
        <w:spacing w:line="480" w:lineRule="auto"/>
        <w:ind w:firstLine="720"/>
      </w:pPr>
      <w:r>
        <w:t>The four-year historical performance may be a better predictor of Duke’s future performance</w:t>
      </w:r>
      <w:r>
        <w:t xml:space="preserve"> because the deployment of Duke’s smart grid has been completed</w:t>
      </w:r>
      <w:r>
        <w:t xml:space="preserve">.  The PUCO should use the </w:t>
      </w:r>
      <w:r>
        <w:t>201</w:t>
      </w:r>
      <w:r>
        <w:t>2</w:t>
      </w:r>
      <w:r>
        <w:t>-2015</w:t>
      </w:r>
      <w:r>
        <w:t xml:space="preserve"> </w:t>
      </w:r>
      <w:r>
        <w:t xml:space="preserve">SAIFI </w:t>
      </w:r>
      <w:r>
        <w:t>his</w:t>
      </w:r>
      <w:r>
        <w:t xml:space="preserve">torical average (1.02) for Duke’s </w:t>
      </w:r>
      <w:r>
        <w:t xml:space="preserve">reliability standards.  In the alternative, the PUCO should consider using Duke’s historical average for the five-year period 2012-2016.  Duke will be filing its reliability report for 2016 by </w:t>
      </w:r>
      <w:r>
        <w:lastRenderedPageBreak/>
        <w:t>the end of this month.</w:t>
      </w:r>
      <w:r>
        <w:rPr>
          <w:rStyle w:val="FootnoteReference"/>
        </w:rPr>
        <w:footnoteReference w:id="20"/>
      </w:r>
      <w:r>
        <w:t xml:space="preserve">  That</w:t>
      </w:r>
      <w:r>
        <w:t xml:space="preserve"> report, along with the data for 2012-2015, should give the PUCO a more accurate picture of Duke’s </w:t>
      </w:r>
      <w:r>
        <w:t>current</w:t>
      </w:r>
      <w:r>
        <w:t xml:space="preserve"> performance.</w:t>
      </w:r>
    </w:p>
    <w:p w:rsidR="001B7B26" w:rsidRPr="001B7B26" w:rsidRDefault="00784174" w:rsidP="008A3471">
      <w:pPr>
        <w:pStyle w:val="Heading2"/>
      </w:pPr>
      <w:bookmarkStart w:id="5" w:name="_Toc478135105"/>
      <w:r>
        <w:t>B.</w:t>
      </w:r>
      <w:r>
        <w:tab/>
      </w:r>
      <w:r>
        <w:t>Duke</w:t>
      </w:r>
      <w:r>
        <w:t>’s CAIDI standards</w:t>
      </w:r>
      <w:r>
        <w:t xml:space="preserve"> should </w:t>
      </w:r>
      <w:r>
        <w:t>allow for shorter outages in order to be more responsive to</w:t>
      </w:r>
      <w:r>
        <w:t xml:space="preserve"> consumer expectations.</w:t>
      </w:r>
      <w:bookmarkEnd w:id="5"/>
    </w:p>
    <w:p w:rsidR="003D3637" w:rsidRDefault="00784174" w:rsidP="003D3637">
      <w:pPr>
        <w:spacing w:line="480" w:lineRule="auto"/>
        <w:ind w:firstLine="720"/>
      </w:pPr>
      <w:r>
        <w:t>As shown in Table 1,</w:t>
      </w:r>
      <w:r>
        <w:t xml:space="preserve"> for calendar years 2011 through 2015 Duke’s CAIDI performance </w:t>
      </w:r>
      <w:r>
        <w:t>was</w:t>
      </w:r>
      <w:r>
        <w:t xml:space="preserve"> less consistent than its SAIFI performance.  The average outage ranged from 103.26 minutes in 2012 to 117.80 minutes in 2013</w:t>
      </w:r>
      <w:r>
        <w:t>, a variance of about 14 percent</w:t>
      </w:r>
      <w:r>
        <w:t>.  Despite this, Duke’s performan</w:t>
      </w:r>
      <w:r>
        <w:t xml:space="preserve">ce </w:t>
      </w:r>
      <w:r>
        <w:t>met</w:t>
      </w:r>
      <w:r>
        <w:t xml:space="preserve"> the </w:t>
      </w:r>
      <w:r>
        <w:t xml:space="preserve">CAIDI </w:t>
      </w:r>
      <w:r>
        <w:t>standard for each of those years</w:t>
      </w:r>
      <w:r>
        <w:t>, and met the standard by a considerable margin in every year but one (2013)</w:t>
      </w:r>
      <w:r>
        <w:t>.  Table 1 shows</w:t>
      </w:r>
      <w:r>
        <w:t xml:space="preserve"> that</w:t>
      </w:r>
      <w:r>
        <w:t xml:space="preserve"> Duke did not come close to a 122.81 CAIDI in any of </w:t>
      </w:r>
      <w:r>
        <w:t>those</w:t>
      </w:r>
      <w:r>
        <w:t xml:space="preserve"> five years.  The closest Duke came to that number w</w:t>
      </w:r>
      <w:r>
        <w:t>as in 2013, when its CAIDI was 117.80 minutes.  At the time, however, its standard was 118.14 minutes.  Duke met its CAIDI standard</w:t>
      </w:r>
      <w:r>
        <w:t xml:space="preserve"> during the five-year period</w:t>
      </w:r>
      <w:r>
        <w:t xml:space="preserve">, even when the standard was much more stringent than 122.81 minutes. </w:t>
      </w:r>
    </w:p>
    <w:p w:rsidR="009A2933" w:rsidRDefault="00784174" w:rsidP="0026617A">
      <w:pPr>
        <w:spacing w:line="480" w:lineRule="auto"/>
        <w:ind w:firstLine="720"/>
      </w:pPr>
      <w:r>
        <w:t xml:space="preserve">This is due, in part, to </w:t>
      </w:r>
      <w:r>
        <w:t>Duke’s</w:t>
      </w:r>
      <w:r>
        <w:t xml:space="preserve"> C</w:t>
      </w:r>
      <w:r>
        <w:t>AIDI standard increasing</w:t>
      </w:r>
      <w:r>
        <w:t xml:space="preserve"> </w:t>
      </w:r>
      <w:r>
        <w:t>(i.e., allow</w:t>
      </w:r>
      <w:r>
        <w:t>ing</w:t>
      </w:r>
      <w:r>
        <w:t xml:space="preserve"> for longer outages) </w:t>
      </w:r>
      <w:r>
        <w:t xml:space="preserve">every year from 2011 through 2015.  The CAIDI standard for 2015 was almost eleven minutes longer (about ten percent </w:t>
      </w:r>
      <w:r>
        <w:t>less reliable</w:t>
      </w:r>
      <w:r>
        <w:t xml:space="preserve">) than the CAIDI standard for 2011.  </w:t>
      </w:r>
      <w:r>
        <w:t xml:space="preserve">But </w:t>
      </w:r>
      <w:r>
        <w:t>Duke’s CAIDI stan</w:t>
      </w:r>
      <w:r>
        <w:t>dard</w:t>
      </w:r>
      <w:r>
        <w:t xml:space="preserve"> should improve, not decline, as modernization of its grid progresses</w:t>
      </w:r>
      <w:r>
        <w:t xml:space="preserve">.  </w:t>
      </w:r>
      <w:r>
        <w:t xml:space="preserve">  </w:t>
      </w:r>
    </w:p>
    <w:p w:rsidR="003D3637" w:rsidRDefault="00784174" w:rsidP="00B25450">
      <w:pPr>
        <w:spacing w:line="480" w:lineRule="auto"/>
        <w:ind w:firstLine="720"/>
      </w:pPr>
      <w:r>
        <w:t>Duke</w:t>
      </w:r>
      <w:r>
        <w:t xml:space="preserve"> expanded it</w:t>
      </w:r>
      <w:r>
        <w:t xml:space="preserve">s smart grid in its Ohio service territory during those years.  </w:t>
      </w:r>
      <w:r>
        <w:t xml:space="preserve">The smart grid includes </w:t>
      </w:r>
      <w:r>
        <w:rPr>
          <w:rFonts w:eastAsiaTheme="minorHAnsi"/>
        </w:rPr>
        <w:t>Distribution Automation Circuit Reconfiguration (“DACR”)</w:t>
      </w:r>
      <w:r>
        <w:rPr>
          <w:rFonts w:eastAsiaTheme="minorHAnsi"/>
        </w:rPr>
        <w:t>, or “self-healin</w:t>
      </w:r>
      <w:r>
        <w:rPr>
          <w:rFonts w:eastAsiaTheme="minorHAnsi"/>
        </w:rPr>
        <w:t>g teams</w:t>
      </w:r>
      <w:r>
        <w:rPr>
          <w:rFonts w:eastAsiaTheme="minorHAnsi"/>
        </w:rPr>
        <w:t>,</w:t>
      </w:r>
      <w:r>
        <w:rPr>
          <w:rFonts w:eastAsiaTheme="minorHAnsi"/>
        </w:rPr>
        <w:t>”</w:t>
      </w:r>
      <w:r>
        <w:rPr>
          <w:rFonts w:eastAsiaTheme="minorHAnsi"/>
        </w:rPr>
        <w:t xml:space="preserve"> </w:t>
      </w:r>
      <w:r>
        <w:rPr>
          <w:rFonts w:eastAsiaTheme="minorHAnsi"/>
        </w:rPr>
        <w:t>technology</w:t>
      </w:r>
      <w:r>
        <w:t xml:space="preserve"> designed to reduce the number of </w:t>
      </w:r>
      <w:r>
        <w:t xml:space="preserve">customers affected by </w:t>
      </w:r>
      <w:r>
        <w:lastRenderedPageBreak/>
        <w:t>short-duration outages.</w:t>
      </w:r>
      <w:r>
        <w:rPr>
          <w:rStyle w:val="FootnoteReference"/>
        </w:rPr>
        <w:footnoteReference w:id="21"/>
      </w:r>
      <w:r>
        <w:t xml:space="preserve">  </w:t>
      </w:r>
      <w:r>
        <w:t xml:space="preserve">Duke argues that </w:t>
      </w:r>
      <w:r>
        <w:t>having fewer outages</w:t>
      </w:r>
      <w:r>
        <w:t>,</w:t>
      </w:r>
      <w:r>
        <w:t xml:space="preserve"> but of a longer average duration</w:t>
      </w:r>
      <w:r>
        <w:t>,</w:t>
      </w:r>
      <w:r>
        <w:t xml:space="preserve"> may lead to an increased CAIDI.</w:t>
      </w:r>
      <w:r>
        <w:rPr>
          <w:rStyle w:val="FootnoteReference"/>
        </w:rPr>
        <w:footnoteReference w:id="22"/>
      </w:r>
      <w:r>
        <w:t xml:space="preserve">  The PUCO Staff </w:t>
      </w:r>
      <w:r>
        <w:t xml:space="preserve">apparently </w:t>
      </w:r>
      <w:r>
        <w:t xml:space="preserve">recognized this when </w:t>
      </w:r>
      <w:r>
        <w:t>it stated that “</w:t>
      </w:r>
      <w:r w:rsidRPr="00547E90">
        <w:t>because the avoided customer minutes interrupted was proportionally larger than the avoided customer interruptions in 2014 and 2015, the impact upon CAIDI gives the appearance that SmartGrid technology negatively affects reliability.</w:t>
      </w:r>
      <w:r>
        <w:t xml:space="preserve"> </w:t>
      </w:r>
      <w:r w:rsidRPr="00547E90">
        <w:t xml:space="preserve"> That </w:t>
      </w:r>
      <w:r w:rsidRPr="00547E90">
        <w:t>is, CAIDI would’ve been lower (better) without SmartGrid technology</w:t>
      </w:r>
      <w:r>
        <w:t>.”</w:t>
      </w:r>
      <w:r>
        <w:rPr>
          <w:rStyle w:val="FootnoteReference"/>
        </w:rPr>
        <w:footnoteReference w:id="23"/>
      </w:r>
      <w:r>
        <w:t xml:space="preserve">  </w:t>
      </w:r>
      <w:r>
        <w:t>This</w:t>
      </w:r>
      <w:r>
        <w:t xml:space="preserve"> mathematical anomaly</w:t>
      </w:r>
      <w:r>
        <w:t xml:space="preserve">, however, is no reason to </w:t>
      </w:r>
      <w:r>
        <w:t xml:space="preserve">establish or </w:t>
      </w:r>
      <w:r>
        <w:t xml:space="preserve">retain a CAIDI standard </w:t>
      </w:r>
      <w:r>
        <w:t>that allows longer outages of customers’ electric service</w:t>
      </w:r>
      <w:r>
        <w:t xml:space="preserve">.  </w:t>
      </w:r>
    </w:p>
    <w:p w:rsidR="003D3637" w:rsidRPr="00942A9E" w:rsidRDefault="00784174" w:rsidP="003D3637">
      <w:pPr>
        <w:spacing w:line="480" w:lineRule="auto"/>
        <w:ind w:firstLine="720"/>
      </w:pPr>
      <w:r>
        <w:t>Further, both Duke’s proposed CAID</w:t>
      </w:r>
      <w:r>
        <w:t xml:space="preserve">I (134 minutes) and the PUCO Staff’s recommended CAIDI (122.81 minutes) are not consistent with customer expectations.  As the PUCO Staff noted, for outages not </w:t>
      </w:r>
      <w:r>
        <w:t xml:space="preserve">storm </w:t>
      </w:r>
      <w:r>
        <w:t xml:space="preserve">related </w:t>
      </w:r>
      <w:r w:rsidRPr="00942A9E">
        <w:t>customers expect service to be restored in 65 minutes.</w:t>
      </w:r>
      <w:r>
        <w:rPr>
          <w:rStyle w:val="FootnoteReference"/>
        </w:rPr>
        <w:footnoteReference w:id="24"/>
      </w:r>
      <w:r w:rsidRPr="00942A9E">
        <w:t xml:space="preserve"> </w:t>
      </w:r>
      <w:r>
        <w:t xml:space="preserve"> The PUCO Staff stated, “</w:t>
      </w:r>
      <w:r w:rsidRPr="00942A9E">
        <w:t>This expectation is not being met by either the current standards or actual performance.</w:t>
      </w:r>
      <w:r>
        <w:t>”</w:t>
      </w:r>
      <w:r>
        <w:rPr>
          <w:rStyle w:val="FootnoteReference"/>
        </w:rPr>
        <w:footnoteReference w:id="25"/>
      </w:r>
      <w:r>
        <w:t xml:space="preserve">  </w:t>
      </w:r>
      <w:r>
        <w:t xml:space="preserve">In setting </w:t>
      </w:r>
      <w:r>
        <w:t>Duke’s new reliability standards</w:t>
      </w:r>
      <w:r>
        <w:t xml:space="preserve">, the PUCO </w:t>
      </w:r>
      <w:r>
        <w:t xml:space="preserve">should </w:t>
      </w:r>
      <w:r>
        <w:t>align the</w:t>
      </w:r>
      <w:r>
        <w:t xml:space="preserve"> expectations</w:t>
      </w:r>
      <w:r>
        <w:t xml:space="preserve"> of Duke and its customers</w:t>
      </w:r>
      <w:r>
        <w:t xml:space="preserve"> regarding reliability.</w:t>
      </w:r>
      <w:r>
        <w:rPr>
          <w:rStyle w:val="FootnoteReference"/>
        </w:rPr>
        <w:footnoteReference w:id="26"/>
      </w:r>
    </w:p>
    <w:p w:rsidR="00E83504" w:rsidRDefault="00784174" w:rsidP="003D3637">
      <w:pPr>
        <w:spacing w:line="480" w:lineRule="auto"/>
        <w:ind w:firstLine="720"/>
      </w:pPr>
      <w:r>
        <w:lastRenderedPageBreak/>
        <w:t>Table 1</w:t>
      </w:r>
      <w:r>
        <w:t xml:space="preserve"> shows that</w:t>
      </w:r>
      <w:r>
        <w:t xml:space="preserve"> Duke’s average CAIDI performance over the past five years is 110.73 minutes.  </w:t>
      </w:r>
      <w:r>
        <w:t>Based on the above, t</w:t>
      </w:r>
      <w:r>
        <w:t>his should be Duke’s new CAIDI standard.</w:t>
      </w:r>
      <w:r>
        <w:rPr>
          <w:rStyle w:val="FootnoteReference"/>
        </w:rPr>
        <w:footnoteReference w:id="27"/>
      </w:r>
    </w:p>
    <w:p w:rsidR="003D3637" w:rsidRPr="001B7B26" w:rsidRDefault="00784174" w:rsidP="008A3471">
      <w:pPr>
        <w:pStyle w:val="Heading2"/>
      </w:pPr>
      <w:bookmarkStart w:id="6" w:name="_Toc478135106"/>
      <w:r>
        <w:t>C.</w:t>
      </w:r>
      <w:r>
        <w:tab/>
        <w:t xml:space="preserve">Duke should take several </w:t>
      </w:r>
      <w:r>
        <w:t xml:space="preserve">operational </w:t>
      </w:r>
      <w:r>
        <w:t>actions to bring its CAIDI more in line with consumer expectations.</w:t>
      </w:r>
      <w:bookmarkEnd w:id="6"/>
    </w:p>
    <w:p w:rsidR="00F1196E" w:rsidRPr="00F1196E" w:rsidRDefault="00784174" w:rsidP="00F1196E">
      <w:pPr>
        <w:spacing w:line="480" w:lineRule="auto"/>
        <w:ind w:firstLine="720"/>
        <w:rPr>
          <w:rFonts w:eastAsia="Calibri"/>
        </w:rPr>
      </w:pPr>
      <w:r>
        <w:rPr>
          <w:rFonts w:eastAsia="Calibri"/>
        </w:rPr>
        <w:t>To mee</w:t>
      </w:r>
      <w:r>
        <w:rPr>
          <w:rFonts w:eastAsia="Calibri"/>
        </w:rPr>
        <w:t>t customer expectations, there should be shorter outages.  This means that Duke’s CAIDI performance should improve.  But Duke’s</w:t>
      </w:r>
      <w:r w:rsidRPr="00F1196E">
        <w:rPr>
          <w:rFonts w:eastAsia="Calibri"/>
        </w:rPr>
        <w:t xml:space="preserve"> CAIDI performance has </w:t>
      </w:r>
      <w:r>
        <w:rPr>
          <w:rFonts w:eastAsia="Calibri"/>
        </w:rPr>
        <w:t>not significant</w:t>
      </w:r>
      <w:r>
        <w:rPr>
          <w:rFonts w:eastAsia="Calibri"/>
        </w:rPr>
        <w:t>ly</w:t>
      </w:r>
      <w:r>
        <w:rPr>
          <w:rFonts w:eastAsia="Calibri"/>
        </w:rPr>
        <w:t xml:space="preserve"> improved</w:t>
      </w:r>
      <w:r w:rsidRPr="00F1196E">
        <w:rPr>
          <w:rFonts w:eastAsia="Calibri"/>
        </w:rPr>
        <w:t xml:space="preserve"> over the four years from 2012 through 2015.  </w:t>
      </w:r>
      <w:r>
        <w:rPr>
          <w:rFonts w:eastAsia="Calibri"/>
        </w:rPr>
        <w:t>Duke’s</w:t>
      </w:r>
      <w:r w:rsidRPr="00F1196E">
        <w:rPr>
          <w:rFonts w:eastAsia="Calibri"/>
        </w:rPr>
        <w:t xml:space="preserve"> 2015 CAIDI performance show</w:t>
      </w:r>
      <w:r w:rsidRPr="00F1196E">
        <w:rPr>
          <w:rFonts w:eastAsia="Calibri"/>
        </w:rPr>
        <w:t xml:space="preserve">s a significant decline in reliability compared to the previous year, with </w:t>
      </w:r>
      <w:r>
        <w:rPr>
          <w:rFonts w:eastAsia="Calibri"/>
        </w:rPr>
        <w:t xml:space="preserve">its </w:t>
      </w:r>
      <w:r w:rsidRPr="00F1196E">
        <w:rPr>
          <w:rFonts w:eastAsia="Calibri"/>
        </w:rPr>
        <w:t>CAIDI (which reflects average outage duration) increasing from 106.02 minutes per interruption in 2014 to 117.32 minutes in 2015</w:t>
      </w:r>
      <w:r>
        <w:rPr>
          <w:rFonts w:eastAsia="Calibri"/>
        </w:rPr>
        <w:t>.  This is</w:t>
      </w:r>
      <w:r w:rsidRPr="00F1196E">
        <w:rPr>
          <w:rFonts w:eastAsia="Calibri"/>
        </w:rPr>
        <w:t xml:space="preserve"> an increase of 10.7</w:t>
      </w:r>
      <w:r>
        <w:rPr>
          <w:rFonts w:eastAsia="Calibri"/>
        </w:rPr>
        <w:t xml:space="preserve"> percent,</w:t>
      </w:r>
      <w:r w:rsidRPr="00F1196E">
        <w:rPr>
          <w:rFonts w:eastAsia="Calibri"/>
        </w:rPr>
        <w:t xml:space="preserve"> or 11.3 m</w:t>
      </w:r>
      <w:r w:rsidRPr="00F1196E">
        <w:rPr>
          <w:rFonts w:eastAsia="Calibri"/>
        </w:rPr>
        <w:t xml:space="preserve">inutes per interruption.  </w:t>
      </w:r>
      <w:r>
        <w:rPr>
          <w:rFonts w:eastAsia="Calibri"/>
        </w:rPr>
        <w:t>Duke’s</w:t>
      </w:r>
      <w:r w:rsidRPr="00F1196E">
        <w:rPr>
          <w:rFonts w:eastAsia="Calibri"/>
        </w:rPr>
        <w:t xml:space="preserve"> CAIDI performance reflects the fact that, while fewer outages may be occurring, the outages being avoided are the ones with shorter outage durations, while outages with longer outage durations are not being avoided.</w:t>
      </w:r>
    </w:p>
    <w:p w:rsidR="00F1196E" w:rsidRPr="00F1196E" w:rsidRDefault="00784174" w:rsidP="00F1196E">
      <w:pPr>
        <w:spacing w:line="480" w:lineRule="auto"/>
        <w:ind w:firstLine="720"/>
        <w:rPr>
          <w:rFonts w:eastAsia="Calibri"/>
        </w:rPr>
      </w:pPr>
      <w:r>
        <w:rPr>
          <w:rFonts w:eastAsia="Calibri"/>
        </w:rPr>
        <w:t>To move</w:t>
      </w:r>
      <w:r>
        <w:rPr>
          <w:rFonts w:eastAsia="Calibri"/>
        </w:rPr>
        <w:t xml:space="preserve"> toward shorter outages, it is importan</w:t>
      </w:r>
      <w:r>
        <w:rPr>
          <w:rFonts w:eastAsia="Calibri"/>
        </w:rPr>
        <w:t>t</w:t>
      </w:r>
      <w:r>
        <w:rPr>
          <w:rFonts w:eastAsia="Calibri"/>
        </w:rPr>
        <w:t xml:space="preserve"> to look at the causes of Duke’s outages.  </w:t>
      </w:r>
      <w:r w:rsidRPr="00F1196E">
        <w:rPr>
          <w:rFonts w:eastAsia="Calibri"/>
        </w:rPr>
        <w:t xml:space="preserve">Table </w:t>
      </w:r>
      <w:r>
        <w:rPr>
          <w:rFonts w:eastAsia="Calibri"/>
        </w:rPr>
        <w:t>2</w:t>
      </w:r>
      <w:r w:rsidRPr="00F1196E">
        <w:rPr>
          <w:rFonts w:eastAsia="Calibri"/>
        </w:rPr>
        <w:t xml:space="preserve"> below shows customer outage duration data for the years 2012 </w:t>
      </w:r>
      <w:r>
        <w:rPr>
          <w:rFonts w:eastAsia="Calibri"/>
        </w:rPr>
        <w:t>through</w:t>
      </w:r>
      <w:r w:rsidRPr="00F1196E">
        <w:rPr>
          <w:rFonts w:eastAsia="Calibri"/>
        </w:rPr>
        <w:t xml:space="preserve"> 2015 in the form of the number of customer minutes of interruption, broken down by outage cause.</w:t>
      </w:r>
      <w:r w:rsidRPr="00F1196E">
        <w:rPr>
          <w:rFonts w:eastAsia="Calibri"/>
        </w:rPr>
        <w:t xml:space="preserve"> </w:t>
      </w:r>
    </w:p>
    <w:p w:rsidR="00B25450" w:rsidRDefault="00784174">
      <w:pPr>
        <w:rPr>
          <w:rFonts w:eastAsia="Calibri"/>
        </w:rPr>
      </w:pPr>
      <w:r>
        <w:rPr>
          <w:rFonts w:eastAsia="Calibri"/>
        </w:rPr>
        <w:br w:type="page"/>
      </w:r>
    </w:p>
    <w:p w:rsidR="00F1196E" w:rsidRDefault="00784174" w:rsidP="00F1196E">
      <w:pPr>
        <w:jc w:val="center"/>
        <w:rPr>
          <w:color w:val="000000"/>
        </w:rPr>
      </w:pPr>
      <w:r w:rsidRPr="00F1196E">
        <w:rPr>
          <w:rFonts w:eastAsia="Calibri"/>
        </w:rPr>
        <w:lastRenderedPageBreak/>
        <w:t xml:space="preserve">Table </w:t>
      </w:r>
      <w:r>
        <w:rPr>
          <w:rFonts w:eastAsia="Calibri"/>
        </w:rPr>
        <w:t xml:space="preserve">2: </w:t>
      </w:r>
      <w:r w:rsidRPr="00F1196E">
        <w:rPr>
          <w:color w:val="000000"/>
        </w:rPr>
        <w:t xml:space="preserve">Duke Rule </w:t>
      </w:r>
      <w:r>
        <w:rPr>
          <w:color w:val="000000"/>
        </w:rPr>
        <w:t xml:space="preserve">No. </w:t>
      </w:r>
      <w:r w:rsidRPr="00F1196E">
        <w:rPr>
          <w:color w:val="000000"/>
        </w:rPr>
        <w:t>10 Data Regarding Customer Minutes of Interruption</w:t>
      </w:r>
    </w:p>
    <w:p w:rsidR="00F1196E" w:rsidRPr="00F1196E" w:rsidRDefault="00784174" w:rsidP="00F1196E">
      <w:pPr>
        <w:spacing w:after="240"/>
        <w:jc w:val="center"/>
        <w:rPr>
          <w:rFonts w:eastAsia="Calibri"/>
        </w:rPr>
      </w:pPr>
      <w:r>
        <w:rPr>
          <w:color w:val="000000"/>
        </w:rPr>
        <w:t>(</w:t>
      </w:r>
      <w:r w:rsidRPr="00F1196E">
        <w:rPr>
          <w:color w:val="000000"/>
        </w:rPr>
        <w:t>excluding major events and transmission outages</w:t>
      </w:r>
      <w:r>
        <w:rPr>
          <w:color w:val="000000"/>
        </w:rPr>
        <w:t>)</w:t>
      </w:r>
    </w:p>
    <w:tbl>
      <w:tblPr>
        <w:tblW w:w="832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22"/>
        <w:gridCol w:w="1475"/>
        <w:gridCol w:w="1475"/>
        <w:gridCol w:w="1475"/>
        <w:gridCol w:w="1475"/>
      </w:tblGrid>
      <w:tr w:rsidR="005240A1" w:rsidTr="0005724D">
        <w:trPr>
          <w:trHeight w:val="312"/>
          <w:jc w:val="center"/>
        </w:trPr>
        <w:tc>
          <w:tcPr>
            <w:tcW w:w="2422" w:type="dxa"/>
            <w:shd w:val="clear" w:color="auto" w:fill="auto"/>
            <w:noWrap/>
            <w:vAlign w:val="bottom"/>
            <w:hideMark/>
          </w:tcPr>
          <w:p w:rsidR="00F1196E" w:rsidRPr="00F1196E" w:rsidRDefault="00784174" w:rsidP="00F1196E">
            <w:pPr>
              <w:jc w:val="center"/>
              <w:rPr>
                <w:color w:val="000000"/>
              </w:rPr>
            </w:pPr>
            <w:r w:rsidRPr="00F1196E">
              <w:rPr>
                <w:color w:val="000000"/>
              </w:rPr>
              <w:t>Cause</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2015</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2014</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2013</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2012</w:t>
            </w:r>
          </w:p>
        </w:tc>
      </w:tr>
      <w:tr w:rsidR="005240A1" w:rsidTr="0005724D">
        <w:trPr>
          <w:trHeight w:val="312"/>
          <w:jc w:val="center"/>
        </w:trPr>
        <w:tc>
          <w:tcPr>
            <w:tcW w:w="2422" w:type="dxa"/>
            <w:shd w:val="clear" w:color="auto" w:fill="auto"/>
            <w:noWrap/>
            <w:vAlign w:val="bottom"/>
            <w:hideMark/>
          </w:tcPr>
          <w:p w:rsidR="00F1196E" w:rsidRPr="00F1196E" w:rsidRDefault="00784174" w:rsidP="00F1196E">
            <w:pPr>
              <w:rPr>
                <w:color w:val="000000"/>
              </w:rPr>
            </w:pPr>
            <w:r w:rsidRPr="00F1196E">
              <w:rPr>
                <w:color w:val="000000"/>
              </w:rPr>
              <w:t>Animal/Bird</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3,767,775</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4,206,299</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4,366,826</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6,028,391</w:t>
            </w:r>
          </w:p>
        </w:tc>
      </w:tr>
      <w:tr w:rsidR="005240A1" w:rsidTr="0005724D">
        <w:trPr>
          <w:trHeight w:val="312"/>
          <w:jc w:val="center"/>
        </w:trPr>
        <w:tc>
          <w:tcPr>
            <w:tcW w:w="2422" w:type="dxa"/>
            <w:shd w:val="clear" w:color="auto" w:fill="auto"/>
            <w:noWrap/>
            <w:vAlign w:val="bottom"/>
            <w:hideMark/>
          </w:tcPr>
          <w:p w:rsidR="00F1196E" w:rsidRPr="00F1196E" w:rsidRDefault="00784174" w:rsidP="00F1196E">
            <w:pPr>
              <w:rPr>
                <w:color w:val="000000"/>
              </w:rPr>
            </w:pPr>
            <w:r w:rsidRPr="00F1196E">
              <w:rPr>
                <w:color w:val="000000"/>
              </w:rPr>
              <w:t>Auto Damage</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11,692,002</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9,363,676</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10,842,015</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10,979,392</w:t>
            </w:r>
          </w:p>
        </w:tc>
      </w:tr>
      <w:tr w:rsidR="005240A1" w:rsidTr="0005724D">
        <w:trPr>
          <w:trHeight w:val="312"/>
          <w:jc w:val="center"/>
        </w:trPr>
        <w:tc>
          <w:tcPr>
            <w:tcW w:w="2422" w:type="dxa"/>
            <w:shd w:val="clear" w:color="auto" w:fill="auto"/>
            <w:noWrap/>
            <w:vAlign w:val="bottom"/>
            <w:hideMark/>
          </w:tcPr>
          <w:p w:rsidR="00F1196E" w:rsidRPr="00F1196E" w:rsidRDefault="00784174" w:rsidP="00F1196E">
            <w:pPr>
              <w:rPr>
                <w:color w:val="000000"/>
              </w:rPr>
            </w:pPr>
            <w:r w:rsidRPr="00F1196E">
              <w:rPr>
                <w:color w:val="000000"/>
              </w:rPr>
              <w:t>Planned Outage</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5,296,342</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4,264,131</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4,280,654</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3,288,853</w:t>
            </w:r>
          </w:p>
        </w:tc>
      </w:tr>
      <w:tr w:rsidR="005240A1" w:rsidTr="0005724D">
        <w:trPr>
          <w:trHeight w:val="312"/>
          <w:jc w:val="center"/>
        </w:trPr>
        <w:tc>
          <w:tcPr>
            <w:tcW w:w="2422" w:type="dxa"/>
            <w:shd w:val="clear" w:color="auto" w:fill="auto"/>
            <w:noWrap/>
            <w:vAlign w:val="bottom"/>
            <w:hideMark/>
          </w:tcPr>
          <w:p w:rsidR="00F1196E" w:rsidRPr="00F1196E" w:rsidRDefault="00784174" w:rsidP="00F1196E">
            <w:pPr>
              <w:rPr>
                <w:color w:val="000000"/>
              </w:rPr>
            </w:pPr>
            <w:r w:rsidRPr="00F1196E">
              <w:rPr>
                <w:color w:val="000000"/>
              </w:rPr>
              <w:t>Equipment Failure</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25,297,970</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21,010,049</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21,201,408</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23,612,918</w:t>
            </w:r>
          </w:p>
        </w:tc>
      </w:tr>
      <w:tr w:rsidR="005240A1" w:rsidTr="0005724D">
        <w:trPr>
          <w:trHeight w:val="312"/>
          <w:jc w:val="center"/>
        </w:trPr>
        <w:tc>
          <w:tcPr>
            <w:tcW w:w="2422" w:type="dxa"/>
            <w:shd w:val="clear" w:color="auto" w:fill="auto"/>
            <w:noWrap/>
            <w:vAlign w:val="bottom"/>
            <w:hideMark/>
          </w:tcPr>
          <w:p w:rsidR="00F1196E" w:rsidRPr="00F1196E" w:rsidRDefault="00784174" w:rsidP="00F1196E">
            <w:pPr>
              <w:rPr>
                <w:color w:val="000000"/>
              </w:rPr>
            </w:pPr>
            <w:r w:rsidRPr="00F1196E">
              <w:rPr>
                <w:color w:val="000000"/>
              </w:rPr>
              <w:t>Lightning</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2,384,507</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3,018,758</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3,066,548</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3,421,517</w:t>
            </w:r>
          </w:p>
        </w:tc>
      </w:tr>
      <w:tr w:rsidR="005240A1" w:rsidTr="0005724D">
        <w:trPr>
          <w:trHeight w:val="312"/>
          <w:jc w:val="center"/>
        </w:trPr>
        <w:tc>
          <w:tcPr>
            <w:tcW w:w="2422" w:type="dxa"/>
            <w:shd w:val="clear" w:color="auto" w:fill="auto"/>
            <w:noWrap/>
            <w:vAlign w:val="bottom"/>
            <w:hideMark/>
          </w:tcPr>
          <w:p w:rsidR="00F1196E" w:rsidRPr="00F1196E" w:rsidRDefault="00784174" w:rsidP="00F1196E">
            <w:pPr>
              <w:rPr>
                <w:color w:val="000000"/>
              </w:rPr>
            </w:pPr>
            <w:r w:rsidRPr="00F1196E">
              <w:rPr>
                <w:color w:val="000000"/>
              </w:rPr>
              <w:t>Other</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5,101,798</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4,804,824</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3,906,901</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5,656,528</w:t>
            </w:r>
          </w:p>
        </w:tc>
      </w:tr>
      <w:tr w:rsidR="005240A1" w:rsidTr="0005724D">
        <w:trPr>
          <w:trHeight w:val="312"/>
          <w:jc w:val="center"/>
        </w:trPr>
        <w:tc>
          <w:tcPr>
            <w:tcW w:w="2422" w:type="dxa"/>
            <w:shd w:val="clear" w:color="auto" w:fill="auto"/>
            <w:noWrap/>
            <w:vAlign w:val="bottom"/>
            <w:hideMark/>
          </w:tcPr>
          <w:p w:rsidR="00F1196E" w:rsidRPr="00F1196E" w:rsidRDefault="00784174" w:rsidP="00F1196E">
            <w:pPr>
              <w:rPr>
                <w:color w:val="000000"/>
              </w:rPr>
            </w:pPr>
            <w:r w:rsidRPr="00F1196E">
              <w:rPr>
                <w:color w:val="000000"/>
              </w:rPr>
              <w:t>Tree Fell</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19,825,575</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18,467,883</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23,136,036</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15,345,614</w:t>
            </w:r>
          </w:p>
        </w:tc>
      </w:tr>
      <w:tr w:rsidR="005240A1" w:rsidTr="0005724D">
        <w:trPr>
          <w:trHeight w:val="312"/>
          <w:jc w:val="center"/>
        </w:trPr>
        <w:tc>
          <w:tcPr>
            <w:tcW w:w="2422" w:type="dxa"/>
            <w:shd w:val="clear" w:color="auto" w:fill="auto"/>
            <w:noWrap/>
            <w:vAlign w:val="bottom"/>
            <w:hideMark/>
          </w:tcPr>
          <w:p w:rsidR="00F1196E" w:rsidRPr="00F1196E" w:rsidRDefault="00784174" w:rsidP="00F1196E">
            <w:pPr>
              <w:rPr>
                <w:color w:val="000000"/>
              </w:rPr>
            </w:pPr>
            <w:r w:rsidRPr="00F1196E">
              <w:rPr>
                <w:color w:val="000000"/>
              </w:rPr>
              <w:t>Unknown</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3,877,761</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2,749,310</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2,660,730</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2,963,267</w:t>
            </w:r>
          </w:p>
        </w:tc>
      </w:tr>
      <w:tr w:rsidR="005240A1" w:rsidTr="0005724D">
        <w:trPr>
          <w:trHeight w:val="312"/>
          <w:jc w:val="center"/>
        </w:trPr>
        <w:tc>
          <w:tcPr>
            <w:tcW w:w="2422" w:type="dxa"/>
            <w:shd w:val="clear" w:color="auto" w:fill="auto"/>
            <w:noWrap/>
            <w:vAlign w:val="bottom"/>
            <w:hideMark/>
          </w:tcPr>
          <w:p w:rsidR="00F1196E" w:rsidRPr="00F1196E" w:rsidRDefault="00784174" w:rsidP="00F1196E">
            <w:pPr>
              <w:rPr>
                <w:color w:val="000000"/>
              </w:rPr>
            </w:pPr>
            <w:r w:rsidRPr="00F1196E">
              <w:rPr>
                <w:color w:val="000000"/>
              </w:rPr>
              <w:t>Weather</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7,539,916</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6,561,067</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6,779,765</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5,711,545</w:t>
            </w:r>
          </w:p>
        </w:tc>
      </w:tr>
      <w:tr w:rsidR="005240A1" w:rsidTr="0005724D">
        <w:trPr>
          <w:trHeight w:val="312"/>
          <w:jc w:val="center"/>
        </w:trPr>
        <w:tc>
          <w:tcPr>
            <w:tcW w:w="2422" w:type="dxa"/>
            <w:shd w:val="clear" w:color="auto" w:fill="auto"/>
            <w:noWrap/>
            <w:vAlign w:val="bottom"/>
            <w:hideMark/>
          </w:tcPr>
          <w:p w:rsidR="00F1196E" w:rsidRPr="00F1196E" w:rsidRDefault="00784174" w:rsidP="00F1196E">
            <w:pPr>
              <w:jc w:val="right"/>
              <w:rPr>
                <w:color w:val="000000"/>
              </w:rPr>
            </w:pPr>
            <w:r w:rsidRPr="00F1196E">
              <w:rPr>
                <w:color w:val="000000"/>
              </w:rPr>
              <w:t xml:space="preserve">Total </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84,783,646</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74,445,997</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80,240,883</w:t>
            </w:r>
          </w:p>
        </w:tc>
        <w:tc>
          <w:tcPr>
            <w:tcW w:w="1475" w:type="dxa"/>
            <w:shd w:val="clear" w:color="auto" w:fill="auto"/>
            <w:noWrap/>
            <w:vAlign w:val="bottom"/>
            <w:hideMark/>
          </w:tcPr>
          <w:p w:rsidR="00F1196E" w:rsidRPr="00F1196E" w:rsidRDefault="00784174" w:rsidP="00F1196E">
            <w:pPr>
              <w:jc w:val="center"/>
              <w:rPr>
                <w:color w:val="000000"/>
              </w:rPr>
            </w:pPr>
            <w:r w:rsidRPr="00F1196E">
              <w:rPr>
                <w:color w:val="000000"/>
              </w:rPr>
              <w:t>77,010,037</w:t>
            </w:r>
          </w:p>
        </w:tc>
      </w:tr>
    </w:tbl>
    <w:p w:rsidR="00440365" w:rsidRDefault="00784174" w:rsidP="00440365">
      <w:pPr>
        <w:spacing w:before="240" w:line="480" w:lineRule="auto"/>
        <w:rPr>
          <w:rFonts w:eastAsia="Calibri"/>
        </w:rPr>
      </w:pPr>
      <w:r>
        <w:rPr>
          <w:rFonts w:eastAsia="Calibri"/>
        </w:rPr>
        <w:t xml:space="preserve">Duke should review the causes of outages to see if </w:t>
      </w:r>
      <w:r>
        <w:rPr>
          <w:rFonts w:eastAsia="Calibri"/>
        </w:rPr>
        <w:t xml:space="preserve">cost-effective </w:t>
      </w:r>
      <w:r>
        <w:rPr>
          <w:rFonts w:eastAsia="Calibri"/>
        </w:rPr>
        <w:t>operational changes can be made to reduce the leading causes of customer outages.</w:t>
      </w:r>
    </w:p>
    <w:p w:rsidR="00296A40" w:rsidRDefault="00784174" w:rsidP="009A2933">
      <w:pPr>
        <w:spacing w:line="480" w:lineRule="auto"/>
        <w:ind w:firstLine="720"/>
      </w:pPr>
      <w:bookmarkStart w:id="7" w:name="_Toc344714698"/>
      <w:r>
        <w:t xml:space="preserve">There are other actions Duke can take to improve its CAIDI performance.  </w:t>
      </w:r>
      <w:r>
        <w:t xml:space="preserve">Related to the smart grid, Duke implemented additional distribution automation including the use of </w:t>
      </w:r>
      <w:r>
        <w:t>fault location, isolation, and service restoration (</w:t>
      </w:r>
      <w:r>
        <w:t>“</w:t>
      </w:r>
      <w:r>
        <w:t>FLISR</w:t>
      </w:r>
      <w:r>
        <w:t>”</w:t>
      </w:r>
      <w:r>
        <w:t>) technologies.</w:t>
      </w:r>
      <w:r>
        <w:rPr>
          <w:rStyle w:val="FootnoteReference"/>
        </w:rPr>
        <w:footnoteReference w:id="28"/>
      </w:r>
      <w:r>
        <w:t xml:space="preserve">  </w:t>
      </w:r>
      <w:r>
        <w:t xml:space="preserve">FLISR is intended to enable more precise fault locating </w:t>
      </w:r>
      <w:r>
        <w:t>that</w:t>
      </w:r>
      <w:r>
        <w:t xml:space="preserve"> ultimately can reduce the duration of outages.</w:t>
      </w:r>
      <w:r>
        <w:rPr>
          <w:rStyle w:val="FootnoteReference"/>
        </w:rPr>
        <w:footnoteReference w:id="29"/>
      </w:r>
      <w:r>
        <w:t xml:space="preserve">  W</w:t>
      </w:r>
      <w:r>
        <w:t>hen properly designed</w:t>
      </w:r>
      <w:r>
        <w:t>,</w:t>
      </w:r>
      <w:r w:rsidRPr="00296A40">
        <w:t xml:space="preserve"> </w:t>
      </w:r>
      <w:r>
        <w:t>FLISR</w:t>
      </w:r>
      <w:r>
        <w:t xml:space="preserve"> can reduce the number of interrupted cu</w:t>
      </w:r>
      <w:r>
        <w:t>stomers and the customer minutes interrupted by half during certain feeder outage</w:t>
      </w:r>
      <w:r>
        <w:t>s</w:t>
      </w:r>
      <w:r>
        <w:t>.</w:t>
      </w:r>
      <w:r>
        <w:rPr>
          <w:rStyle w:val="FootnoteReference"/>
        </w:rPr>
        <w:footnoteReference w:id="30"/>
      </w:r>
      <w:r>
        <w:t xml:space="preserve">  </w:t>
      </w:r>
    </w:p>
    <w:p w:rsidR="009A2933" w:rsidRDefault="00784174" w:rsidP="009A2933">
      <w:pPr>
        <w:spacing w:line="480" w:lineRule="auto"/>
        <w:ind w:firstLine="720"/>
      </w:pPr>
      <w:r>
        <w:lastRenderedPageBreak/>
        <w:t xml:space="preserve">Duke deployed </w:t>
      </w:r>
      <w:r>
        <w:t>advanced</w:t>
      </w:r>
      <w:r>
        <w:t xml:space="preserve"> meters with outage diagnostic features that are intended to help improve fault locating.</w:t>
      </w:r>
      <w:r>
        <w:rPr>
          <w:rStyle w:val="FootnoteReference"/>
        </w:rPr>
        <w:footnoteReference w:id="31"/>
      </w:r>
      <w:r>
        <w:t xml:space="preserve">  Duke has purportedly provided field crews with addition</w:t>
      </w:r>
      <w:r>
        <w:t>al automation and better tools to identify the precise location for repair of electric faults so the restoration efforts can be accelerated.</w:t>
      </w:r>
      <w:r>
        <w:rPr>
          <w:rStyle w:val="FootnoteReference"/>
        </w:rPr>
        <w:footnoteReference w:id="32"/>
      </w:r>
      <w:r>
        <w:t xml:space="preserve">  Duke claims that these capabilities have reduced outage assessment times by 20 percent.</w:t>
      </w:r>
      <w:r>
        <w:rPr>
          <w:rStyle w:val="FootnoteReference"/>
        </w:rPr>
        <w:footnoteReference w:id="33"/>
      </w:r>
      <w:r>
        <w:t xml:space="preserve">  Despite these claims, r</w:t>
      </w:r>
      <w:r>
        <w:t xml:space="preserve">eductions in outage assessment times </w:t>
      </w:r>
      <w:r>
        <w:t xml:space="preserve">apparently </w:t>
      </w:r>
      <w:r>
        <w:t>are not translating into actual shorter duration outages for Duke</w:t>
      </w:r>
      <w:r>
        <w:t>’s</w:t>
      </w:r>
      <w:r>
        <w:t xml:space="preserve"> customers.   </w:t>
      </w:r>
    </w:p>
    <w:p w:rsidR="004F78F8" w:rsidRDefault="00784174" w:rsidP="009A2933">
      <w:pPr>
        <w:spacing w:line="480" w:lineRule="auto"/>
        <w:ind w:firstLine="720"/>
      </w:pPr>
      <w:r>
        <w:t>Reliability performance can also be improved by Duke being more consistent in meeting its annual requirements concerning the i</w:t>
      </w:r>
      <w:r>
        <w:t>nspection, maintenance, repair, and replacement of its distribution facilities as required by Ohio Adm. Code 4901:1-10-27(E).  In fulfillment of statutory requirements in R.C. 4928.11(A), the PUCO has mandated prescriptive standards concerning the inspecti</w:t>
      </w:r>
      <w:r>
        <w:t xml:space="preserve">on, maintenance, repair and replacement requirements that electric utilities are obligated to meet.  </w:t>
      </w:r>
    </w:p>
    <w:p w:rsidR="009A2933" w:rsidRDefault="00784174" w:rsidP="009A2933">
      <w:pPr>
        <w:spacing w:line="480" w:lineRule="auto"/>
        <w:ind w:firstLine="720"/>
      </w:pPr>
      <w:r>
        <w:t>Over the last several years, Duke has failed to meet its annual distribution system inspection, maintenance, repair</w:t>
      </w:r>
      <w:r>
        <w:t>,</w:t>
      </w:r>
      <w:r>
        <w:t xml:space="preserve"> and replacement requirements on multi</w:t>
      </w:r>
      <w:r>
        <w:t>ple occasions.</w:t>
      </w:r>
      <w:r>
        <w:rPr>
          <w:rStyle w:val="FootnoteReference"/>
        </w:rPr>
        <w:footnoteReference w:id="34"/>
      </w:r>
      <w:r>
        <w:t xml:space="preserve">  For example, Duke has not consistently achieved its vegetation management line clearing requirements, complied with all inspection requirements for distribution substations and line inspections, and fulfilled its obligation to perform full</w:t>
      </w:r>
      <w:r>
        <w:t xml:space="preserve"> inspections of distribution lines and facilities.  Ultimately, this means that Duke is not providing </w:t>
      </w:r>
      <w:r>
        <w:t xml:space="preserve">even the basic </w:t>
      </w:r>
      <w:r>
        <w:lastRenderedPageBreak/>
        <w:t xml:space="preserve">inspection, maintenance, repair, and replacement programs that are essential for customers to obtain </w:t>
      </w:r>
      <w:r>
        <w:t xml:space="preserve">the reliable service </w:t>
      </w:r>
      <w:r>
        <w:t>they</w:t>
      </w:r>
      <w:r>
        <w:t xml:space="preserve"> are paying for in distribution rates.  </w:t>
      </w:r>
    </w:p>
    <w:p w:rsidR="005D764D" w:rsidRDefault="00784174" w:rsidP="009A2933">
      <w:pPr>
        <w:spacing w:line="480" w:lineRule="auto"/>
        <w:ind w:firstLine="720"/>
      </w:pPr>
      <w:r>
        <w:t>Increasing the number of minutes allowed for customer interruptions is not the solution to the mathematical anomaly that smart grid deployment may have on CAIDI performance.  Rather, the solution is to take addition</w:t>
      </w:r>
      <w:r>
        <w:t xml:space="preserve">al actions </w:t>
      </w:r>
      <w:r>
        <w:t xml:space="preserve">to find cost-effective operational improvements that address the cause of customer outages, thereby </w:t>
      </w:r>
      <w:r>
        <w:t>reduc</w:t>
      </w:r>
      <w:r>
        <w:t>ing</w:t>
      </w:r>
      <w:r>
        <w:t xml:space="preserve"> the length of electric service outages that customers endure.  </w:t>
      </w:r>
    </w:p>
    <w:p w:rsidR="0026617A" w:rsidRPr="009A2933" w:rsidRDefault="00784174" w:rsidP="00D00227">
      <w:pPr>
        <w:pStyle w:val="Heading1"/>
      </w:pPr>
      <w:bookmarkStart w:id="8" w:name="_Toc478135107"/>
      <w:r w:rsidRPr="009A2933">
        <w:t>III.</w:t>
      </w:r>
      <w:r w:rsidRPr="009A2933">
        <w:tab/>
        <w:t>CONCLUSION</w:t>
      </w:r>
      <w:bookmarkEnd w:id="7"/>
      <w:bookmarkEnd w:id="8"/>
    </w:p>
    <w:p w:rsidR="00E83504" w:rsidRDefault="00784174" w:rsidP="001C7048">
      <w:pPr>
        <w:spacing w:line="480" w:lineRule="auto"/>
        <w:ind w:firstLine="720"/>
      </w:pPr>
      <w:r>
        <w:t>Consumers should not be at risk of poorer service reliab</w:t>
      </w:r>
      <w:r>
        <w:t xml:space="preserve">ility despite paying hundreds of millions of dollars in grid improvements.  </w:t>
      </w:r>
      <w:r>
        <w:t>Although the PUCO Staff’s recommendation to retain the current standards is more beneficial to consumers than Duke’s proposal, the standards should</w:t>
      </w:r>
      <w:r>
        <w:t xml:space="preserve"> </w:t>
      </w:r>
      <w:r>
        <w:t>be more stringent to recognize i</w:t>
      </w:r>
      <w:r>
        <w:t>mprovements made through the customer-funded smart grid and DCIR</w:t>
      </w:r>
      <w:r>
        <w:t xml:space="preserve">.  More stringent standards are necessary to help </w:t>
      </w:r>
      <w:r>
        <w:t xml:space="preserve">Ohioans </w:t>
      </w:r>
      <w:r>
        <w:t xml:space="preserve">receive the benefits from the </w:t>
      </w:r>
      <w:r>
        <w:t xml:space="preserve">hundreds of </w:t>
      </w:r>
      <w:r>
        <w:t xml:space="preserve">millions of dollars </w:t>
      </w:r>
      <w:r>
        <w:t xml:space="preserve">they have paid </w:t>
      </w:r>
      <w:r>
        <w:t>for improvements to Duke’s distribution system</w:t>
      </w:r>
      <w:r>
        <w:t xml:space="preserve"> through th</w:t>
      </w:r>
      <w:r>
        <w:t xml:space="preserve">e numerous charges added on to their bills.  </w:t>
      </w:r>
    </w:p>
    <w:p w:rsidR="0026617A" w:rsidRDefault="00784174" w:rsidP="001C7048">
      <w:pPr>
        <w:spacing w:line="480" w:lineRule="auto"/>
        <w:ind w:firstLine="720"/>
      </w:pPr>
      <w:r>
        <w:t>Reliability standards set at</w:t>
      </w:r>
      <w:r>
        <w:t xml:space="preserve"> 1.02 SAIFI and 110.73 </w:t>
      </w:r>
      <w:r>
        <w:t xml:space="preserve">minutes </w:t>
      </w:r>
      <w:r>
        <w:t xml:space="preserve">CAIDI would help </w:t>
      </w:r>
      <w:r>
        <w:t>reduce</w:t>
      </w:r>
      <w:r>
        <w:t xml:space="preserve"> consumers</w:t>
      </w:r>
      <w:r>
        <w:t>’ risk associated with electric service outages</w:t>
      </w:r>
      <w:r>
        <w:t>.  T</w:t>
      </w:r>
      <w:r>
        <w:t>o protect consumers, t</w:t>
      </w:r>
      <w:r>
        <w:t>he PUCO should adopt new reliability standard</w:t>
      </w:r>
      <w:r>
        <w:t>s for Duke consistent with OCC’s Comments and Reply Comments</w:t>
      </w:r>
      <w:r>
        <w:t>.</w:t>
      </w:r>
    </w:p>
    <w:p w:rsidR="003C6A79" w:rsidRDefault="00784174">
      <w:r>
        <w:br w:type="page"/>
      </w:r>
    </w:p>
    <w:p w:rsidR="0026617A" w:rsidRDefault="00784174" w:rsidP="0026617A">
      <w:pPr>
        <w:spacing w:line="480" w:lineRule="auto"/>
        <w:ind w:firstLine="4320"/>
      </w:pPr>
      <w:r>
        <w:lastRenderedPageBreak/>
        <w:t>Respectfully submitted,</w:t>
      </w:r>
    </w:p>
    <w:p w:rsidR="0026617A" w:rsidRPr="00192239" w:rsidRDefault="00784174" w:rsidP="0026617A">
      <w:pPr>
        <w:pStyle w:val="Footer"/>
        <w:tabs>
          <w:tab w:val="left" w:pos="4320"/>
        </w:tabs>
        <w:ind w:left="4320"/>
      </w:pPr>
      <w:r>
        <w:tab/>
      </w:r>
      <w:r w:rsidRPr="00192239">
        <w:t>BRUCE WESTON (0016973)</w:t>
      </w:r>
    </w:p>
    <w:p w:rsidR="0026617A" w:rsidRPr="00192239" w:rsidRDefault="00784174" w:rsidP="0026617A">
      <w:pPr>
        <w:tabs>
          <w:tab w:val="left" w:pos="4320"/>
        </w:tabs>
        <w:ind w:left="4320"/>
      </w:pPr>
      <w:r w:rsidRPr="00192239">
        <w:t>OHIO CONSUMERS’ COUNSEL</w:t>
      </w:r>
    </w:p>
    <w:p w:rsidR="0026617A" w:rsidRPr="00192239" w:rsidRDefault="00784174" w:rsidP="0026617A">
      <w:pPr>
        <w:tabs>
          <w:tab w:val="left" w:pos="4320"/>
        </w:tabs>
        <w:ind w:left="4320"/>
      </w:pPr>
    </w:p>
    <w:p w:rsidR="0026617A" w:rsidRPr="00192239" w:rsidRDefault="00784174" w:rsidP="0026617A">
      <w:pPr>
        <w:tabs>
          <w:tab w:val="left" w:pos="4320"/>
        </w:tabs>
        <w:rPr>
          <w:u w:val="single"/>
        </w:rPr>
      </w:pPr>
      <w:r w:rsidRPr="00192239">
        <w:tab/>
      </w:r>
      <w:r w:rsidRPr="00192239">
        <w:rPr>
          <w:i/>
          <w:u w:val="single"/>
        </w:rPr>
        <w:t>/s/ Terry L. Etter</w:t>
      </w:r>
      <w:r w:rsidRPr="00192239">
        <w:rPr>
          <w:u w:val="single"/>
        </w:rPr>
        <w:t>                      </w:t>
      </w:r>
    </w:p>
    <w:p w:rsidR="0026617A" w:rsidRPr="00192239" w:rsidRDefault="00784174" w:rsidP="0026617A">
      <w:pPr>
        <w:tabs>
          <w:tab w:val="left" w:pos="4320"/>
        </w:tabs>
        <w:ind w:left="4320"/>
      </w:pPr>
      <w:r w:rsidRPr="00192239">
        <w:t>Terry L. Etter (0067445), Counsel of Record</w:t>
      </w:r>
    </w:p>
    <w:p w:rsidR="0026617A" w:rsidRPr="00192239" w:rsidRDefault="00784174" w:rsidP="0026617A">
      <w:pPr>
        <w:tabs>
          <w:tab w:val="left" w:pos="4320"/>
        </w:tabs>
        <w:ind w:left="4320"/>
      </w:pPr>
      <w:r w:rsidRPr="00192239">
        <w:t>Jodi J. Bair (0062921)</w:t>
      </w:r>
    </w:p>
    <w:p w:rsidR="0026617A" w:rsidRDefault="00784174" w:rsidP="0026617A">
      <w:pPr>
        <w:tabs>
          <w:tab w:val="left" w:pos="4320"/>
        </w:tabs>
        <w:ind w:left="4320"/>
      </w:pPr>
      <w:r w:rsidRPr="00192239">
        <w:t xml:space="preserve">Assistant </w:t>
      </w:r>
      <w:r w:rsidRPr="00192239">
        <w:t>Consumers’ Counsel</w:t>
      </w:r>
    </w:p>
    <w:p w:rsidR="0026617A" w:rsidRDefault="00784174" w:rsidP="006C41EF">
      <w:pPr>
        <w:tabs>
          <w:tab w:val="left" w:pos="4320"/>
        </w:tabs>
        <w:spacing w:before="120"/>
        <w:ind w:left="4320"/>
      </w:pPr>
      <w:r w:rsidRPr="00192239">
        <w:rPr>
          <w:b/>
        </w:rPr>
        <w:t>Office of the Ohio Consumers’ Counsel</w:t>
      </w:r>
    </w:p>
    <w:p w:rsidR="0026617A" w:rsidRDefault="00784174" w:rsidP="0026617A">
      <w:pPr>
        <w:tabs>
          <w:tab w:val="left" w:pos="4320"/>
        </w:tabs>
        <w:ind w:left="4320"/>
      </w:pPr>
      <w:r w:rsidRPr="00192239">
        <w:t>10 West Broad Street, Suite 1800</w:t>
      </w:r>
    </w:p>
    <w:p w:rsidR="0026617A" w:rsidRPr="00192239" w:rsidRDefault="00784174" w:rsidP="0026617A">
      <w:pPr>
        <w:tabs>
          <w:tab w:val="left" w:pos="4320"/>
        </w:tabs>
        <w:ind w:left="4320"/>
      </w:pPr>
      <w:r w:rsidRPr="00192239">
        <w:t>Columbus, Ohio 43215-3485</w:t>
      </w:r>
    </w:p>
    <w:p w:rsidR="0026617A" w:rsidRPr="00192239" w:rsidRDefault="00784174" w:rsidP="0026617A">
      <w:pPr>
        <w:autoSpaceDE w:val="0"/>
        <w:autoSpaceDN w:val="0"/>
        <w:adjustRightInd w:val="0"/>
        <w:ind w:left="3600" w:firstLine="720"/>
      </w:pPr>
      <w:r w:rsidRPr="00192239">
        <w:t>Telephone:  614-466-7964 (Etter Direct)</w:t>
      </w:r>
    </w:p>
    <w:p w:rsidR="0026617A" w:rsidRPr="00192239" w:rsidRDefault="00784174" w:rsidP="0026617A">
      <w:pPr>
        <w:autoSpaceDE w:val="0"/>
        <w:autoSpaceDN w:val="0"/>
        <w:adjustRightInd w:val="0"/>
        <w:ind w:left="3600" w:firstLine="720"/>
      </w:pPr>
      <w:r w:rsidRPr="00192239">
        <w:t>Telephone:  614-466-9559 (Bair Direct)</w:t>
      </w:r>
    </w:p>
    <w:p w:rsidR="0026617A" w:rsidRPr="00192239" w:rsidRDefault="00784174" w:rsidP="0026617A">
      <w:pPr>
        <w:autoSpaceDE w:val="0"/>
        <w:autoSpaceDN w:val="0"/>
        <w:adjustRightInd w:val="0"/>
        <w:ind w:left="3600" w:firstLine="720"/>
      </w:pPr>
      <w:r w:rsidRPr="00192239">
        <w:rPr>
          <w:color w:val="0000FF"/>
          <w:u w:val="single"/>
        </w:rPr>
        <w:t>Terry.etter@occ.ohio.gov</w:t>
      </w:r>
    </w:p>
    <w:p w:rsidR="0026617A" w:rsidRPr="00192239" w:rsidRDefault="00784174" w:rsidP="0026617A">
      <w:pPr>
        <w:autoSpaceDE w:val="0"/>
        <w:autoSpaceDN w:val="0"/>
        <w:adjustRightInd w:val="0"/>
        <w:ind w:left="3600" w:firstLine="720"/>
      </w:pPr>
      <w:r w:rsidRPr="00192239">
        <w:rPr>
          <w:color w:val="0000FF"/>
          <w:u w:val="single"/>
        </w:rPr>
        <w:t>Jodi.bair@occ.ohio.gov</w:t>
      </w:r>
    </w:p>
    <w:p w:rsidR="0026617A" w:rsidRDefault="00784174" w:rsidP="0026617A">
      <w:pPr>
        <w:pStyle w:val="Footer"/>
        <w:tabs>
          <w:tab w:val="left" w:pos="4320"/>
        </w:tabs>
        <w:ind w:left="4320"/>
        <w:sectPr w:rsidR="0026617A" w:rsidSect="0026617A">
          <w:headerReference w:type="even" r:id="rId13"/>
          <w:headerReference w:type="default" r:id="rId14"/>
          <w:footerReference w:type="default" r:id="rId15"/>
          <w:headerReference w:type="first" r:id="rId16"/>
          <w:pgSz w:w="12240" w:h="15840"/>
          <w:pgMar w:top="1440" w:right="1800" w:bottom="1440" w:left="1800" w:header="720" w:footer="720" w:gutter="0"/>
          <w:pgNumType w:start="1"/>
          <w:cols w:space="720"/>
          <w:titlePg/>
          <w:docGrid w:linePitch="360"/>
        </w:sectPr>
      </w:pPr>
      <w:r w:rsidRPr="00192239">
        <w:t>(</w:t>
      </w:r>
      <w:r>
        <w:t>will</w:t>
      </w:r>
      <w:r w:rsidRPr="00192239">
        <w:t xml:space="preserve"> accept </w:t>
      </w:r>
      <w:r>
        <w:t>service via email</w:t>
      </w:r>
      <w:r w:rsidRPr="00192239">
        <w:t>)</w:t>
      </w:r>
    </w:p>
    <w:p w:rsidR="0026617A" w:rsidRDefault="00784174" w:rsidP="00882712">
      <w:pPr>
        <w:spacing w:line="480" w:lineRule="auto"/>
        <w:jc w:val="center"/>
        <w:rPr>
          <w:b/>
          <w:bCs/>
          <w:u w:val="single"/>
        </w:rPr>
      </w:pPr>
      <w:r>
        <w:rPr>
          <w:b/>
          <w:bCs/>
          <w:u w:val="single"/>
        </w:rPr>
        <w:lastRenderedPageBreak/>
        <w:t>CERTIFICATE OF SERVICE</w:t>
      </w:r>
    </w:p>
    <w:p w:rsidR="0026617A" w:rsidRDefault="00784174" w:rsidP="0026617A">
      <w:pPr>
        <w:spacing w:line="480" w:lineRule="atLeast"/>
        <w:ind w:firstLine="720"/>
      </w:pPr>
      <w:r>
        <w:t xml:space="preserve">I hereby certify that a copy of these </w:t>
      </w:r>
      <w:r>
        <w:t xml:space="preserve">Reply </w:t>
      </w:r>
      <w:r>
        <w:t xml:space="preserve">Comments was served on the persons stated below via electronic transmission, this </w:t>
      </w:r>
      <w:r>
        <w:t>24</w:t>
      </w:r>
      <w:r w:rsidRPr="00882712">
        <w:rPr>
          <w:vertAlign w:val="superscript"/>
        </w:rPr>
        <w:t>th</w:t>
      </w:r>
      <w:r>
        <w:t xml:space="preserve"> </w:t>
      </w:r>
      <w:r>
        <w:t xml:space="preserve">day of </w:t>
      </w:r>
      <w:r>
        <w:t>March</w:t>
      </w:r>
      <w:r>
        <w:t xml:space="preserve"> 2017.</w:t>
      </w:r>
    </w:p>
    <w:p w:rsidR="0026617A" w:rsidRDefault="00784174" w:rsidP="0026617A">
      <w:pPr>
        <w:spacing w:line="480" w:lineRule="atLeast"/>
      </w:pPr>
    </w:p>
    <w:p w:rsidR="0026617A" w:rsidRPr="00192239" w:rsidRDefault="00784174" w:rsidP="0026617A">
      <w:pPr>
        <w:tabs>
          <w:tab w:val="left" w:pos="4320"/>
        </w:tabs>
        <w:rPr>
          <w:u w:val="single"/>
        </w:rPr>
      </w:pPr>
      <w:r>
        <w:tab/>
      </w:r>
      <w:r w:rsidRPr="00192239">
        <w:rPr>
          <w:i/>
          <w:u w:val="single"/>
        </w:rPr>
        <w:t>/s/ Terry L. Etter</w:t>
      </w:r>
      <w:r w:rsidRPr="00192239">
        <w:rPr>
          <w:u w:val="single"/>
        </w:rPr>
        <w:t>                      </w:t>
      </w:r>
    </w:p>
    <w:p w:rsidR="0026617A" w:rsidRPr="00192239" w:rsidRDefault="00784174" w:rsidP="0026617A">
      <w:pPr>
        <w:tabs>
          <w:tab w:val="left" w:pos="4320"/>
        </w:tabs>
        <w:ind w:left="4320"/>
      </w:pPr>
      <w:r w:rsidRPr="00192239">
        <w:t xml:space="preserve">Terry L. Etter </w:t>
      </w:r>
    </w:p>
    <w:p w:rsidR="0026617A" w:rsidRDefault="00784174" w:rsidP="0026617A">
      <w:pPr>
        <w:tabs>
          <w:tab w:val="left" w:pos="4320"/>
        </w:tabs>
        <w:ind w:left="4320"/>
      </w:pPr>
      <w:r w:rsidRPr="00192239">
        <w:t>Assistant Consumers’ Counsel</w:t>
      </w:r>
    </w:p>
    <w:p w:rsidR="0026617A" w:rsidRDefault="00784174" w:rsidP="0026617A">
      <w:pPr>
        <w:pStyle w:val="CommentSubject"/>
      </w:pPr>
    </w:p>
    <w:p w:rsidR="0026617A" w:rsidRDefault="00784174" w:rsidP="0026617A">
      <w:pPr>
        <w:pStyle w:val="CommentText"/>
      </w:pPr>
    </w:p>
    <w:p w:rsidR="0026617A" w:rsidRDefault="00784174" w:rsidP="0026617A">
      <w:pPr>
        <w:pStyle w:val="CommentText"/>
        <w:jc w:val="center"/>
        <w:rPr>
          <w:b/>
          <w:u w:val="single"/>
        </w:rPr>
      </w:pPr>
      <w:r>
        <w:rPr>
          <w:b/>
          <w:u w:val="single"/>
        </w:rPr>
        <w:t>SERVICE LIST</w:t>
      </w:r>
    </w:p>
    <w:p w:rsidR="0026617A" w:rsidRDefault="00784174" w:rsidP="0026617A">
      <w:pPr>
        <w:pStyle w:val="BodyText"/>
        <w:rPr>
          <w:b/>
          <w:bCs/>
        </w:rPr>
      </w:pPr>
    </w:p>
    <w:tbl>
      <w:tblPr>
        <w:tblW w:w="0" w:type="auto"/>
        <w:tblLook w:val="01E0" w:firstRow="1" w:lastRow="1" w:firstColumn="1" w:lastColumn="1" w:noHBand="0" w:noVBand="0"/>
      </w:tblPr>
      <w:tblGrid>
        <w:gridCol w:w="4428"/>
        <w:gridCol w:w="4428"/>
      </w:tblGrid>
      <w:tr w:rsidR="005240A1" w:rsidTr="0026617A">
        <w:tc>
          <w:tcPr>
            <w:tcW w:w="4428" w:type="dxa"/>
            <w:shd w:val="clear" w:color="auto" w:fill="auto"/>
          </w:tcPr>
          <w:p w:rsidR="00D00227" w:rsidRDefault="00784174" w:rsidP="0026617A">
            <w:pPr>
              <w:pStyle w:val="BodyText"/>
              <w:rPr>
                <w:rStyle w:val="Hyperlink"/>
                <w:bCs/>
              </w:rPr>
            </w:pPr>
            <w:r w:rsidRPr="009E18D4">
              <w:rPr>
                <w:bCs/>
              </w:rPr>
              <w:t>Thomas.lindgren@ohioattorneygeneral.gov</w:t>
            </w:r>
          </w:p>
          <w:p w:rsidR="00D00227" w:rsidRDefault="00784174" w:rsidP="0026617A">
            <w:pPr>
              <w:pStyle w:val="BodyText"/>
              <w:rPr>
                <w:rStyle w:val="Hyperlink"/>
                <w:bCs/>
              </w:rPr>
            </w:pPr>
          </w:p>
          <w:p w:rsidR="00D00227" w:rsidRDefault="00784174" w:rsidP="0026617A">
            <w:pPr>
              <w:pStyle w:val="BodyText"/>
              <w:rPr>
                <w:rStyle w:val="Hyperlink"/>
                <w:bCs/>
              </w:rPr>
            </w:pPr>
          </w:p>
          <w:p w:rsidR="00D00227" w:rsidRPr="008A3471" w:rsidRDefault="00784174" w:rsidP="0026617A">
            <w:pPr>
              <w:pStyle w:val="BodyText"/>
              <w:rPr>
                <w:rStyle w:val="Hyperlink"/>
                <w:bCs/>
                <w:color w:val="auto"/>
                <w:u w:val="none"/>
              </w:rPr>
            </w:pPr>
            <w:r w:rsidRPr="00D00227">
              <w:rPr>
                <w:rStyle w:val="Hyperlink"/>
                <w:bCs/>
                <w:color w:val="auto"/>
                <w:u w:val="none"/>
              </w:rPr>
              <w:t>Attorney Examiner:</w:t>
            </w:r>
          </w:p>
          <w:p w:rsidR="00D00227" w:rsidRDefault="00784174" w:rsidP="0026617A">
            <w:pPr>
              <w:pStyle w:val="BodyText"/>
              <w:rPr>
                <w:rStyle w:val="Hyperlink"/>
                <w:bCs/>
              </w:rPr>
            </w:pPr>
            <w:r w:rsidRPr="00443B8F">
              <w:rPr>
                <w:bCs/>
              </w:rPr>
              <w:t>Nicholas.walstra@puc.state.oh.us</w:t>
            </w:r>
          </w:p>
          <w:p w:rsidR="0026617A" w:rsidRDefault="00784174" w:rsidP="0026617A">
            <w:pPr>
              <w:pStyle w:val="BodyText"/>
              <w:rPr>
                <w:bCs/>
              </w:rPr>
            </w:pPr>
            <w:r>
              <w:rPr>
                <w:bCs/>
              </w:rPr>
              <w:t xml:space="preserve"> </w:t>
            </w:r>
          </w:p>
          <w:p w:rsidR="0026617A" w:rsidRPr="00CA4366" w:rsidRDefault="00784174" w:rsidP="0026617A">
            <w:pPr>
              <w:pStyle w:val="BodyText"/>
              <w:rPr>
                <w:bCs/>
              </w:rPr>
            </w:pPr>
          </w:p>
        </w:tc>
        <w:tc>
          <w:tcPr>
            <w:tcW w:w="4428" w:type="dxa"/>
            <w:shd w:val="clear" w:color="auto" w:fill="auto"/>
          </w:tcPr>
          <w:p w:rsidR="0026617A" w:rsidRDefault="00784174" w:rsidP="0026617A">
            <w:pPr>
              <w:autoSpaceDE w:val="0"/>
              <w:autoSpaceDN w:val="0"/>
              <w:adjustRightInd w:val="0"/>
              <w:rPr>
                <w:rFonts w:eastAsia="MS Mincho"/>
                <w:lang w:eastAsia="ja-JP"/>
              </w:rPr>
            </w:pPr>
            <w:r w:rsidRPr="000A373A">
              <w:rPr>
                <w:rFonts w:eastAsia="MS Mincho"/>
                <w:lang w:eastAsia="ja-JP"/>
              </w:rPr>
              <w:t>Amy.Spiller@duke-energy.com</w:t>
            </w:r>
          </w:p>
          <w:p w:rsidR="0026617A" w:rsidRDefault="00784174" w:rsidP="00D00227">
            <w:pPr>
              <w:pStyle w:val="BodyText"/>
              <w:rPr>
                <w:rFonts w:eastAsia="MS Mincho"/>
                <w:szCs w:val="24"/>
                <w:lang w:eastAsia="ja-JP"/>
              </w:rPr>
            </w:pPr>
            <w:r w:rsidRPr="000A373A">
              <w:rPr>
                <w:rFonts w:eastAsia="MS Mincho"/>
                <w:szCs w:val="24"/>
                <w:lang w:eastAsia="ja-JP"/>
              </w:rPr>
              <w:t>Elizabeth.Watts@duke-energy.com</w:t>
            </w:r>
          </w:p>
          <w:p w:rsidR="00D00227" w:rsidRPr="00CA4366" w:rsidRDefault="00784174" w:rsidP="00D00227">
            <w:pPr>
              <w:pStyle w:val="BodyText"/>
              <w:rPr>
                <w:szCs w:val="24"/>
              </w:rPr>
            </w:pPr>
          </w:p>
        </w:tc>
      </w:tr>
    </w:tbl>
    <w:p w:rsidR="0026617A" w:rsidRPr="00072A6F" w:rsidRDefault="00784174" w:rsidP="0026617A">
      <w:pPr>
        <w:spacing w:line="480" w:lineRule="auto"/>
        <w:ind w:firstLine="720"/>
      </w:pPr>
    </w:p>
    <w:sectPr w:rsidR="0026617A" w:rsidRPr="00072A6F" w:rsidSect="0026617A">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84174">
      <w:r>
        <w:separator/>
      </w:r>
    </w:p>
  </w:endnote>
  <w:endnote w:type="continuationSeparator" w:id="0">
    <w:p w:rsidR="00000000" w:rsidRDefault="0078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227" w:rsidRPr="0077446A" w:rsidRDefault="00784174">
    <w:pPr>
      <w:pStyle w:val="Footer"/>
      <w:jc w:val="center"/>
    </w:pPr>
  </w:p>
  <w:p w:rsidR="00D00227" w:rsidRPr="0077446A" w:rsidRDefault="00784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84440"/>
      <w:docPartObj>
        <w:docPartGallery w:val="Page Numbers (Bottom of Page)"/>
        <w:docPartUnique/>
      </w:docPartObj>
    </w:sdtPr>
    <w:sdtEndPr>
      <w:rPr>
        <w:noProof/>
      </w:rPr>
    </w:sdtEndPr>
    <w:sdtContent>
      <w:p w:rsidR="00D00227" w:rsidRPr="0077446A" w:rsidRDefault="00784174">
        <w:pPr>
          <w:pStyle w:val="Footer"/>
          <w:jc w:val="center"/>
        </w:pPr>
        <w:r w:rsidRPr="0077446A">
          <w:fldChar w:fldCharType="begin"/>
        </w:r>
        <w:r w:rsidRPr="0077446A">
          <w:instrText xml:space="preserve"> PAGE   \* MERGEFORMAT </w:instrText>
        </w:r>
        <w:r w:rsidRPr="0077446A">
          <w:fldChar w:fldCharType="separate"/>
        </w:r>
        <w:r>
          <w:rPr>
            <w:noProof/>
          </w:rPr>
          <w:t>i</w:t>
        </w:r>
        <w:r w:rsidRPr="0077446A">
          <w:rPr>
            <w:noProof/>
          </w:rPr>
          <w:fldChar w:fldCharType="end"/>
        </w:r>
      </w:p>
    </w:sdtContent>
  </w:sdt>
  <w:p w:rsidR="00D00227" w:rsidRPr="0077446A" w:rsidRDefault="00784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17A" w:rsidRPr="0077446A" w:rsidRDefault="00784174">
    <w:pPr>
      <w:pStyle w:val="Footer"/>
      <w:jc w:val="center"/>
    </w:pPr>
    <w:r w:rsidRPr="0077446A">
      <w:fldChar w:fldCharType="begin"/>
    </w:r>
    <w:r w:rsidRPr="0077446A">
      <w:instrText xml:space="preserve"> PAGE   \* MERGEFORMAT </w:instrText>
    </w:r>
    <w:r w:rsidRPr="0077446A">
      <w:fldChar w:fldCharType="separate"/>
    </w:r>
    <w:r>
      <w:rPr>
        <w:noProof/>
      </w:rPr>
      <w:t>12</w:t>
    </w:r>
    <w:r w:rsidRPr="0077446A">
      <w:rPr>
        <w:noProof/>
      </w:rPr>
      <w:fldChar w:fldCharType="end"/>
    </w:r>
  </w:p>
  <w:p w:rsidR="0026617A" w:rsidRPr="0077446A" w:rsidRDefault="00784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17A" w:rsidRDefault="00784174">
      <w:r>
        <w:separator/>
      </w:r>
    </w:p>
  </w:footnote>
  <w:footnote w:type="continuationSeparator" w:id="0">
    <w:p w:rsidR="0026617A" w:rsidRDefault="00784174">
      <w:r>
        <w:continuationSeparator/>
      </w:r>
    </w:p>
  </w:footnote>
  <w:footnote w:type="continuationNotice" w:id="1">
    <w:p w:rsidR="0026617A" w:rsidRDefault="00784174"/>
  </w:footnote>
  <w:footnote w:id="2">
    <w:p w:rsidR="0026617A" w:rsidRPr="003958F6" w:rsidRDefault="00784174" w:rsidP="0026617A">
      <w:pPr>
        <w:pStyle w:val="FootnoteText"/>
      </w:pPr>
      <w:r w:rsidRPr="003958F6">
        <w:rPr>
          <w:rStyle w:val="FootnoteReference"/>
        </w:rPr>
        <w:footnoteRef/>
      </w:r>
      <w:r w:rsidRPr="003958F6">
        <w:t xml:space="preserve"> </w:t>
      </w:r>
      <w:r w:rsidRPr="003958F6">
        <w:rPr>
          <w:i/>
        </w:rPr>
        <w:t>See</w:t>
      </w:r>
      <w:r w:rsidRPr="003958F6">
        <w:t xml:space="preserve"> Case No. 10-2326-GE-RDR, Opinion and Order (June 13, 2012) at 13 (electric customers pay $19.2 million); Case No. 12-1811-GE-RDR, Opinion and Order (March 27, 2013) at 5 (electric customers pay $28.5 million); Case No. 13-1141-GE-RDR, Opinion and Order (A</w:t>
      </w:r>
      <w:r w:rsidRPr="003958F6">
        <w:t>pril 9, 2014) at 7 (electric customers pay $41.8 million)</w:t>
      </w:r>
      <w:r>
        <w:t>; Case No. 14-1051-GE-RDR, calculations supporting final tariff (April 9, 2015) at Schedule 13 Electric (electric customers pay $52.8 million); Case No. 15-883-GE-RDR, Opinion and Order (March 31, 20</w:t>
      </w:r>
      <w:r>
        <w:t>16) at 7 (electric customers pay $55 million); Case No. 16-1404-EL-RDR, Entry (December 21, 2016) at 2 (electric customers pay $42.7 million)</w:t>
      </w:r>
      <w:r w:rsidRPr="003958F6">
        <w:t>.</w:t>
      </w:r>
    </w:p>
  </w:footnote>
  <w:footnote w:id="3">
    <w:p w:rsidR="0026617A" w:rsidRPr="00322D2E" w:rsidRDefault="00784174" w:rsidP="0026617A">
      <w:pPr>
        <w:pStyle w:val="FootnoteText"/>
      </w:pPr>
      <w:r w:rsidRPr="00322D2E">
        <w:rPr>
          <w:rStyle w:val="FootnoteReference"/>
        </w:rPr>
        <w:footnoteRef/>
      </w:r>
      <w:r w:rsidRPr="00322D2E">
        <w:t xml:space="preserve"> </w:t>
      </w:r>
      <w:r w:rsidRPr="003958F6">
        <w:rPr>
          <w:i/>
        </w:rPr>
        <w:t>See</w:t>
      </w:r>
      <w:r w:rsidRPr="003958F6">
        <w:t xml:space="preserve"> </w:t>
      </w:r>
      <w:r w:rsidRPr="003958F6">
        <w:rPr>
          <w:rFonts w:eastAsiaTheme="minorHAnsi"/>
        </w:rPr>
        <w:t>Case No. 08-920-EL-SSO,</w:t>
      </w:r>
      <w:r>
        <w:rPr>
          <w:rFonts w:eastAsiaTheme="minorHAnsi"/>
        </w:rPr>
        <w:t xml:space="preserve"> et al., </w:t>
      </w:r>
      <w:r>
        <w:t xml:space="preserve">Second Supplemental Testimony of Paul G. Smith on Behalf of Duke Energy Ohio (October 28, 2008) at 8.  </w:t>
      </w:r>
      <w:r>
        <w:rPr>
          <w:i/>
        </w:rPr>
        <w:t>See also id.</w:t>
      </w:r>
      <w:r>
        <w:t>, Merit Brief of Duke Energy Ohio (November 17, 2008) at 6.</w:t>
      </w:r>
    </w:p>
  </w:footnote>
  <w:footnote w:id="4">
    <w:p w:rsidR="0026617A" w:rsidRDefault="00784174">
      <w:pPr>
        <w:pStyle w:val="FootnoteText"/>
      </w:pPr>
      <w:r>
        <w:rPr>
          <w:rStyle w:val="FootnoteReference"/>
        </w:rPr>
        <w:footnoteRef/>
      </w:r>
      <w:r>
        <w:t xml:space="preserve"> Application (July 22, 2016) at 4.</w:t>
      </w:r>
    </w:p>
  </w:footnote>
  <w:footnote w:id="5">
    <w:p w:rsidR="0026617A" w:rsidRPr="003D1CD8" w:rsidRDefault="00784174">
      <w:pPr>
        <w:pStyle w:val="FootnoteText"/>
      </w:pPr>
      <w:r w:rsidRPr="003958F6">
        <w:rPr>
          <w:rStyle w:val="FootnoteReference"/>
        </w:rPr>
        <w:footnoteRef/>
      </w:r>
      <w:r w:rsidRPr="003958F6">
        <w:t xml:space="preserve"> </w:t>
      </w:r>
      <w:r>
        <w:rPr>
          <w:i/>
        </w:rPr>
        <w:t xml:space="preserve">See </w:t>
      </w:r>
      <w:r>
        <w:t>OCC Comments (February 22, 2017).</w:t>
      </w:r>
    </w:p>
  </w:footnote>
  <w:footnote w:id="6">
    <w:p w:rsidR="0026617A" w:rsidRDefault="00784174">
      <w:pPr>
        <w:pStyle w:val="FootnoteText"/>
      </w:pPr>
      <w:r>
        <w:rPr>
          <w:rStyle w:val="FootnoteReference"/>
        </w:rPr>
        <w:footnoteRef/>
      </w:r>
      <w:r>
        <w:t xml:space="preserve"> Sta</w:t>
      </w:r>
      <w:r>
        <w:t>ff’s Review and Recommendations (March 6, 2017) at 1.</w:t>
      </w:r>
    </w:p>
  </w:footnote>
  <w:footnote w:id="7">
    <w:p w:rsidR="0026617A" w:rsidRPr="00EE56A3" w:rsidRDefault="00784174">
      <w:pPr>
        <w:pStyle w:val="FootnoteText"/>
      </w:pPr>
      <w:r>
        <w:rPr>
          <w:rStyle w:val="FootnoteReference"/>
        </w:rPr>
        <w:footnoteRef/>
      </w:r>
      <w:r>
        <w:t xml:space="preserve"> </w:t>
      </w:r>
      <w:r>
        <w:rPr>
          <w:i/>
        </w:rPr>
        <w:t>Id.</w:t>
      </w:r>
      <w:r>
        <w:t xml:space="preserve"> at 4.  </w:t>
      </w:r>
    </w:p>
  </w:footnote>
  <w:footnote w:id="8">
    <w:p w:rsidR="0026617A" w:rsidRPr="007A5E7C" w:rsidRDefault="00784174">
      <w:pPr>
        <w:pStyle w:val="FootnoteText"/>
        <w:rPr>
          <w:i/>
        </w:rPr>
      </w:pPr>
      <w:r>
        <w:rPr>
          <w:rStyle w:val="FootnoteReference"/>
        </w:rPr>
        <w:footnoteRef/>
      </w:r>
      <w:r>
        <w:t xml:space="preserve"> </w:t>
      </w:r>
      <w:r>
        <w:rPr>
          <w:i/>
        </w:rPr>
        <w:t>Id.</w:t>
      </w:r>
    </w:p>
  </w:footnote>
  <w:footnote w:id="9">
    <w:p w:rsidR="0026617A" w:rsidRPr="003958F6" w:rsidRDefault="00784174" w:rsidP="00B36C70">
      <w:pPr>
        <w:pStyle w:val="FootnoteText"/>
      </w:pPr>
      <w:r w:rsidRPr="003958F6">
        <w:rPr>
          <w:rStyle w:val="FootnoteReference"/>
        </w:rPr>
        <w:footnoteRef/>
      </w:r>
      <w:r w:rsidRPr="003958F6">
        <w:t xml:space="preserve"> </w:t>
      </w:r>
      <w:r w:rsidRPr="003958F6">
        <w:rPr>
          <w:i/>
        </w:rPr>
        <w:t xml:space="preserve">In the Matter of the Application of Duke Energy Ohio, Inc., to Establish Reliability Targets, </w:t>
      </w:r>
      <w:r w:rsidRPr="003958F6">
        <w:t xml:space="preserve">Case No. 13-1539-EL-ESS, </w:t>
      </w:r>
      <w:r w:rsidRPr="003958F6">
        <w:t>Stipulation and Recommendation (July 25, 2014) (“2014 Settlem</w:t>
      </w:r>
      <w:r w:rsidRPr="003958F6">
        <w:t>ent”) at 4.</w:t>
      </w:r>
    </w:p>
  </w:footnote>
  <w:footnote w:id="10">
    <w:p w:rsidR="0026617A" w:rsidRPr="00B36C70" w:rsidRDefault="00784174">
      <w:pPr>
        <w:pStyle w:val="FootnoteText"/>
      </w:pPr>
      <w:r>
        <w:rPr>
          <w:rStyle w:val="FootnoteReference"/>
        </w:rPr>
        <w:footnoteRef/>
      </w:r>
      <w:r>
        <w:t xml:space="preserve"> </w:t>
      </w:r>
      <w:r>
        <w:rPr>
          <w:i/>
        </w:rPr>
        <w:t>Id.</w:t>
      </w:r>
      <w:r>
        <w:t xml:space="preserve"> at 5.</w:t>
      </w:r>
    </w:p>
  </w:footnote>
  <w:footnote w:id="11">
    <w:p w:rsidR="004969EA" w:rsidRPr="004969EA" w:rsidRDefault="00784174">
      <w:pPr>
        <w:pStyle w:val="FootnoteText"/>
      </w:pPr>
      <w:r>
        <w:rPr>
          <w:rStyle w:val="FootnoteReference"/>
        </w:rPr>
        <w:footnoteRef/>
      </w:r>
      <w:r>
        <w:t xml:space="preserve"> Both the smart grid and the distribution system improvements funded through the DCIR are expected to reduce outages.  </w:t>
      </w:r>
      <w:r>
        <w:rPr>
          <w:i/>
        </w:rPr>
        <w:t>See</w:t>
      </w:r>
      <w:r>
        <w:t xml:space="preserve"> Duke’s responses to OCC INT-02-022, OCC INT-02-024, and OCC INT-02-026.</w:t>
      </w:r>
    </w:p>
  </w:footnote>
  <w:footnote w:id="12">
    <w:p w:rsidR="0026617A" w:rsidRPr="003958F6" w:rsidRDefault="00784174" w:rsidP="0026617A">
      <w:pPr>
        <w:pStyle w:val="FootnoteText"/>
      </w:pPr>
      <w:r w:rsidRPr="003958F6">
        <w:rPr>
          <w:rStyle w:val="FootnoteReference"/>
        </w:rPr>
        <w:footnoteRef/>
      </w:r>
      <w:r w:rsidRPr="003958F6">
        <w:t xml:space="preserve"> </w:t>
      </w:r>
      <w:r w:rsidRPr="003958F6">
        <w:rPr>
          <w:i/>
        </w:rPr>
        <w:t>In the Matter of the Application o</w:t>
      </w:r>
      <w:r w:rsidRPr="003958F6">
        <w:rPr>
          <w:i/>
        </w:rPr>
        <w:t xml:space="preserve">f Duke Energy Ohio, Inc., to Establish Reliability Targets, </w:t>
      </w:r>
      <w:r w:rsidRPr="003958F6">
        <w:t xml:space="preserve">Case No. 13-1539-EL-ESS, Opinion and Order (September 17, 2014) at 5.  </w:t>
      </w:r>
    </w:p>
  </w:footnote>
  <w:footnote w:id="13">
    <w:p w:rsidR="0026617A" w:rsidRPr="0062274C" w:rsidRDefault="00784174" w:rsidP="003C7611">
      <w:pPr>
        <w:pStyle w:val="FootnoteText"/>
      </w:pPr>
      <w:r w:rsidRPr="003958F6">
        <w:rPr>
          <w:rStyle w:val="FootnoteReference"/>
        </w:rPr>
        <w:footnoteRef/>
      </w:r>
      <w:r w:rsidRPr="003958F6">
        <w:t xml:space="preserve"> 2014 Settlement at 4.</w:t>
      </w:r>
      <w:r>
        <w:t xml:space="preserve">  SAIFI reflects the number of sustained interruptions in electric service the average consumer exper</w:t>
      </w:r>
      <w:r>
        <w:t xml:space="preserve">iences over a predefined </w:t>
      </w:r>
      <w:proofErr w:type="gramStart"/>
      <w:r>
        <w:t>period of time</w:t>
      </w:r>
      <w:proofErr w:type="gramEnd"/>
      <w:r>
        <w:t xml:space="preserve">.  CAIDI represents the average number of minutes required to restore electric service to residential customers.  </w:t>
      </w:r>
      <w:r>
        <w:rPr>
          <w:i/>
        </w:rPr>
        <w:t>See</w:t>
      </w:r>
      <w:r>
        <w:t xml:space="preserve"> </w:t>
      </w:r>
      <w:r w:rsidRPr="003958F6">
        <w:t>Ohio Adm. Code 4901:1-10-10(B)(1)</w:t>
      </w:r>
      <w:r>
        <w:t>.</w:t>
      </w:r>
    </w:p>
  </w:footnote>
  <w:footnote w:id="14">
    <w:p w:rsidR="0026617A" w:rsidRPr="0062274C" w:rsidRDefault="00784174">
      <w:pPr>
        <w:pStyle w:val="FootnoteText"/>
      </w:pPr>
      <w:r>
        <w:rPr>
          <w:rStyle w:val="FootnoteReference"/>
        </w:rPr>
        <w:footnoteRef/>
      </w:r>
      <w:r>
        <w:t xml:space="preserve"> </w:t>
      </w:r>
      <w:r>
        <w:rPr>
          <w:i/>
        </w:rPr>
        <w:t>See</w:t>
      </w:r>
      <w:r>
        <w:t xml:space="preserve"> OCC Comments at </w:t>
      </w:r>
      <w:r>
        <w:t>7</w:t>
      </w:r>
      <w:r>
        <w:t xml:space="preserve">, Table 1.  </w:t>
      </w:r>
      <w:r>
        <w:rPr>
          <w:i/>
        </w:rPr>
        <w:t>See also</w:t>
      </w:r>
      <w:r>
        <w:t xml:space="preserve"> Staff Review </w:t>
      </w:r>
      <w:r>
        <w:t xml:space="preserve">and Recommendations </w:t>
      </w:r>
      <w:r>
        <w:t>at 4.</w:t>
      </w:r>
    </w:p>
  </w:footnote>
  <w:footnote w:id="15">
    <w:p w:rsidR="000A42D6" w:rsidRPr="003958F6" w:rsidRDefault="00784174" w:rsidP="000A42D6">
      <w:pPr>
        <w:pStyle w:val="FootnoteText"/>
      </w:pPr>
      <w:r w:rsidRPr="003958F6">
        <w:rPr>
          <w:rStyle w:val="FootnoteReference"/>
        </w:rPr>
        <w:footnoteRef/>
      </w:r>
      <w:r w:rsidRPr="003958F6">
        <w:t xml:space="preserve"> Application </w:t>
      </w:r>
      <w:r>
        <w:t xml:space="preserve">(July 22, 2016) </w:t>
      </w:r>
      <w:r w:rsidRPr="003958F6">
        <w:t>at 4.</w:t>
      </w:r>
    </w:p>
  </w:footnote>
  <w:footnote w:id="16">
    <w:p w:rsidR="0026617A" w:rsidRPr="0062274C" w:rsidRDefault="00784174">
      <w:pPr>
        <w:pStyle w:val="FootnoteText"/>
        <w:rPr>
          <w:i/>
        </w:rPr>
      </w:pPr>
      <w:r>
        <w:rPr>
          <w:rStyle w:val="FootnoteReference"/>
        </w:rPr>
        <w:footnoteRef/>
      </w:r>
      <w:r>
        <w:t xml:space="preserve"> </w:t>
      </w:r>
      <w:r>
        <w:rPr>
          <w:i/>
        </w:rPr>
        <w:t xml:space="preserve">See </w:t>
      </w:r>
      <w:proofErr w:type="gramStart"/>
      <w:r w:rsidRPr="0062274C">
        <w:rPr>
          <w:i/>
        </w:rPr>
        <w:t>In</w:t>
      </w:r>
      <w:proofErr w:type="gramEnd"/>
      <w:r w:rsidRPr="0062274C">
        <w:rPr>
          <w:i/>
        </w:rPr>
        <w:t xml:space="preserve"> the Matter of the Amendment of the Minimum Telephone Service Standards as Set Forth in Chapter 4901:1-5 of the Ohio Administrative Code</w:t>
      </w:r>
      <w:r>
        <w:t xml:space="preserve">, Case No. 00-1265-TP-ORD, Finding and Order (May </w:t>
      </w:r>
      <w:r>
        <w:t>29, 2001) at 3.</w:t>
      </w:r>
    </w:p>
  </w:footnote>
  <w:footnote w:id="17">
    <w:p w:rsidR="0026617A" w:rsidRDefault="00784174" w:rsidP="004C783D">
      <w:pPr>
        <w:pStyle w:val="FootnoteText"/>
      </w:pPr>
      <w:r>
        <w:rPr>
          <w:rStyle w:val="FootnoteReference"/>
        </w:rPr>
        <w:footnoteRef/>
      </w:r>
      <w:r>
        <w:t xml:space="preserve"> Staff Review </w:t>
      </w:r>
      <w:r>
        <w:t xml:space="preserve">and Recommendations </w:t>
      </w:r>
      <w:r>
        <w:t>at 4.</w:t>
      </w:r>
    </w:p>
  </w:footnote>
  <w:footnote w:id="18">
    <w:p w:rsidR="00B25450" w:rsidRDefault="00784174" w:rsidP="00B25450">
      <w:pPr>
        <w:pStyle w:val="FootnoteText"/>
      </w:pPr>
      <w:r>
        <w:rPr>
          <w:rStyle w:val="FootnoteReference"/>
        </w:rPr>
        <w:footnoteRef/>
      </w:r>
      <w:r>
        <w:t xml:space="preserve"> 2014 Settlement at 5-7. </w:t>
      </w:r>
    </w:p>
  </w:footnote>
  <w:footnote w:id="19">
    <w:p w:rsidR="00AC3393" w:rsidRPr="003958F6" w:rsidRDefault="00784174" w:rsidP="00AC3393">
      <w:pPr>
        <w:pStyle w:val="FootnoteText"/>
      </w:pPr>
      <w:r w:rsidRPr="003958F6">
        <w:rPr>
          <w:rStyle w:val="FootnoteReference"/>
        </w:rPr>
        <w:footnoteRef/>
      </w:r>
      <w:r w:rsidRPr="003958F6">
        <w:t xml:space="preserve"> </w:t>
      </w:r>
      <w:r w:rsidRPr="003958F6">
        <w:rPr>
          <w:i/>
        </w:rPr>
        <w:t>See</w:t>
      </w:r>
      <w:r w:rsidRPr="003958F6">
        <w:t xml:space="preserve"> </w:t>
      </w:r>
      <w:hyperlink r:id="rId1" w:anchor="sthash.gLyjltVG.hcwu93k5.dpbs" w:history="1">
        <w:r w:rsidRPr="003958F6">
          <w:rPr>
            <w:rStyle w:val="Hyperlink"/>
          </w:rPr>
          <w:t>http://www.puco.ohio.gov/puco/index.cfm/rules/pending-rules/staff-guidelines-for-electric-utility-reliability-standards-under-rule-4901-1-10-10-b/#sthash.gLyjltVG.hcwu93k5.dpbs</w:t>
        </w:r>
      </w:hyperlink>
      <w:r w:rsidRPr="003958F6">
        <w:rPr>
          <w:rStyle w:val="Hyperlink"/>
          <w:u w:val="none"/>
        </w:rPr>
        <w:t>.</w:t>
      </w:r>
    </w:p>
  </w:footnote>
  <w:footnote w:id="20">
    <w:p w:rsidR="0026617A" w:rsidRPr="0069775B" w:rsidRDefault="00784174">
      <w:pPr>
        <w:pStyle w:val="FootnoteText"/>
      </w:pPr>
      <w:r>
        <w:rPr>
          <w:rStyle w:val="FootnoteReference"/>
        </w:rPr>
        <w:footnoteRef/>
      </w:r>
      <w:r>
        <w:t xml:space="preserve"> </w:t>
      </w:r>
      <w:r w:rsidRPr="003958F6">
        <w:t>Ohio Adm. Code 4901:1-10-10(C) requires Duke</w:t>
      </w:r>
      <w:r w:rsidRPr="003958F6">
        <w:t xml:space="preserve"> to file an Annual Report with actual performance data for 2016 by March 31, 2017.</w:t>
      </w:r>
      <w:r>
        <w:t xml:space="preserve">  It appears that Duke’s SAIFI for 2016 was 1.05</w:t>
      </w:r>
      <w:r>
        <w:t>, which is consistent with its SAIFI for 2012-2015</w:t>
      </w:r>
      <w:r>
        <w:t xml:space="preserve">.  </w:t>
      </w:r>
      <w:r>
        <w:rPr>
          <w:i/>
        </w:rPr>
        <w:t>See</w:t>
      </w:r>
      <w:r>
        <w:t xml:space="preserve"> </w:t>
      </w:r>
      <w:proofErr w:type="gramStart"/>
      <w:r w:rsidRPr="0069775B">
        <w:rPr>
          <w:i/>
          <w:szCs w:val="24"/>
        </w:rPr>
        <w:t>In</w:t>
      </w:r>
      <w:proofErr w:type="gramEnd"/>
      <w:r w:rsidRPr="0069775B">
        <w:rPr>
          <w:i/>
          <w:szCs w:val="24"/>
        </w:rPr>
        <w:t xml:space="preserve"> the Matter of the Application of Duke Energy Ohio, Inc., for an In</w:t>
      </w:r>
      <w:r w:rsidRPr="0069775B">
        <w:rPr>
          <w:i/>
          <w:szCs w:val="24"/>
        </w:rPr>
        <w:t>crease in Electric Distribution Rates</w:t>
      </w:r>
      <w:r>
        <w:rPr>
          <w:szCs w:val="24"/>
        </w:rPr>
        <w:t xml:space="preserve">, </w:t>
      </w:r>
      <w:r>
        <w:t>Case No. 17-32-EL-AIR, et al., Direct Testimony of Cicely M. Hart (March 16, 2017) (“Hart Testimony”) at 6.</w:t>
      </w:r>
    </w:p>
  </w:footnote>
  <w:footnote w:id="21">
    <w:p w:rsidR="0026617A" w:rsidRPr="00A64CD2" w:rsidRDefault="00784174">
      <w:pPr>
        <w:pStyle w:val="FootnoteText"/>
      </w:pPr>
      <w:r>
        <w:rPr>
          <w:rStyle w:val="FootnoteReference"/>
        </w:rPr>
        <w:footnoteRef/>
      </w:r>
      <w:r>
        <w:t xml:space="preserve"> </w:t>
      </w:r>
      <w:r>
        <w:rPr>
          <w:i/>
        </w:rPr>
        <w:t>See</w:t>
      </w:r>
      <w:r>
        <w:t xml:space="preserve"> </w:t>
      </w:r>
      <w:r w:rsidRPr="00A64CD2">
        <w:rPr>
          <w:i/>
        </w:rPr>
        <w:t>In the Matter of the Application of Duke Energy Ohio, Inc., to Adjust Rider DR-IM and Rider AU for 2013</w:t>
      </w:r>
      <w:r w:rsidRPr="00A64CD2">
        <w:rPr>
          <w:i/>
        </w:rPr>
        <w:t xml:space="preserve"> SmartGrid Costs</w:t>
      </w:r>
      <w:r>
        <w:rPr>
          <w:sz w:val="24"/>
          <w:szCs w:val="24"/>
        </w:rPr>
        <w:t xml:space="preserve">, </w:t>
      </w:r>
      <w:r w:rsidRPr="00A044B5">
        <w:t xml:space="preserve">Case No. </w:t>
      </w:r>
      <w:r w:rsidRPr="00972CAA">
        <w:rPr>
          <w:szCs w:val="24"/>
        </w:rPr>
        <w:t>1</w:t>
      </w:r>
      <w:r>
        <w:rPr>
          <w:szCs w:val="24"/>
        </w:rPr>
        <w:t>4</w:t>
      </w:r>
      <w:r w:rsidRPr="00972CAA">
        <w:rPr>
          <w:szCs w:val="24"/>
        </w:rPr>
        <w:t>-1</w:t>
      </w:r>
      <w:r>
        <w:rPr>
          <w:szCs w:val="24"/>
        </w:rPr>
        <w:t>05</w:t>
      </w:r>
      <w:r w:rsidRPr="00972CAA">
        <w:rPr>
          <w:szCs w:val="24"/>
        </w:rPr>
        <w:t>1-GE-RDR</w:t>
      </w:r>
      <w:r>
        <w:rPr>
          <w:szCs w:val="24"/>
        </w:rPr>
        <w:t xml:space="preserve">, PUCO </w:t>
      </w:r>
      <w:proofErr w:type="gramStart"/>
      <w:r>
        <w:rPr>
          <w:szCs w:val="24"/>
        </w:rPr>
        <w:t xml:space="preserve">Staff </w:t>
      </w:r>
      <w:r>
        <w:rPr>
          <w:szCs w:val="24"/>
        </w:rPr>
        <w:t xml:space="preserve"> Comments</w:t>
      </w:r>
      <w:proofErr w:type="gramEnd"/>
      <w:r>
        <w:rPr>
          <w:szCs w:val="24"/>
        </w:rPr>
        <w:t xml:space="preserve"> </w:t>
      </w:r>
      <w:r>
        <w:rPr>
          <w:szCs w:val="24"/>
        </w:rPr>
        <w:t>(October 17, 2014) at 4.</w:t>
      </w:r>
    </w:p>
  </w:footnote>
  <w:footnote w:id="22">
    <w:p w:rsidR="00547E90" w:rsidRPr="000A7C1A" w:rsidRDefault="00784174">
      <w:pPr>
        <w:pStyle w:val="FootnoteText"/>
      </w:pPr>
      <w:r>
        <w:rPr>
          <w:rStyle w:val="FootnoteReference"/>
        </w:rPr>
        <w:footnoteRef/>
      </w:r>
      <w:r>
        <w:t xml:space="preserve"> </w:t>
      </w:r>
      <w:r>
        <w:rPr>
          <w:i/>
        </w:rPr>
        <w:t>See</w:t>
      </w:r>
      <w:r>
        <w:t xml:space="preserve"> Application at 8.  </w:t>
      </w:r>
      <w:r>
        <w:t xml:space="preserve">For this reason, </w:t>
      </w:r>
      <w:r>
        <w:t xml:space="preserve">Duke </w:t>
      </w:r>
      <w:r>
        <w:t>contends that, as a reliability standard,</w:t>
      </w:r>
      <w:r>
        <w:t xml:space="preserve"> CAIDI </w:t>
      </w:r>
      <w:r>
        <w:t xml:space="preserve">should be replaced </w:t>
      </w:r>
      <w:r>
        <w:t xml:space="preserve">with </w:t>
      </w:r>
      <w:r>
        <w:t xml:space="preserve">the </w:t>
      </w:r>
      <w:r w:rsidRPr="00DE5350">
        <w:t>System Average Interruption Duration Index</w:t>
      </w:r>
      <w:r>
        <w:t xml:space="preserve"> (</w:t>
      </w:r>
      <w:r>
        <w:t>“SAIDI”)</w:t>
      </w:r>
      <w:r>
        <w:t xml:space="preserve">.  </w:t>
      </w:r>
      <w:r>
        <w:rPr>
          <w:i/>
        </w:rPr>
        <w:t>Id.</w:t>
      </w:r>
      <w:r>
        <w:t xml:space="preserve">  SAIDI is the total duration of all customer interruptions divided by the total number of customers served.  </w:t>
      </w:r>
      <w:r>
        <w:rPr>
          <w:i/>
        </w:rPr>
        <w:t>See</w:t>
      </w:r>
      <w:r>
        <w:t xml:space="preserve"> </w:t>
      </w:r>
      <w:r w:rsidRPr="003958F6">
        <w:t xml:space="preserve">Institute of Electrical and Electronic Engineers Guide for Electric Power Distribution Reliability Indices, IEEE </w:t>
      </w:r>
      <w:proofErr w:type="spellStart"/>
      <w:r w:rsidRPr="003958F6">
        <w:t>Std</w:t>
      </w:r>
      <w:proofErr w:type="spellEnd"/>
      <w:r w:rsidRPr="003958F6">
        <w:t xml:space="preserve"> 1366-2012, </w:t>
      </w:r>
      <w:r w:rsidRPr="003958F6">
        <w:t xml:space="preserve">(Revision of IEEE </w:t>
      </w:r>
      <w:proofErr w:type="spellStart"/>
      <w:r w:rsidRPr="003958F6">
        <w:t>Std</w:t>
      </w:r>
      <w:proofErr w:type="spellEnd"/>
      <w:r w:rsidRPr="003958F6">
        <w:t xml:space="preserve"> 1366-2003) (May 31, 2012)</w:t>
      </w:r>
      <w:r>
        <w:t xml:space="preserve">.  Duke did not advance this position in the last electric service standards proceeding (Case No. 12-2050-EL-ORD).  PUCO consideration of Duke’s position would best be left to the next case reviewing electric </w:t>
      </w:r>
      <w:r>
        <w:t>service rules.</w:t>
      </w:r>
    </w:p>
  </w:footnote>
  <w:footnote w:id="23">
    <w:p w:rsidR="0026617A" w:rsidRDefault="00784174">
      <w:pPr>
        <w:pStyle w:val="FootnoteText"/>
      </w:pPr>
      <w:r>
        <w:rPr>
          <w:rStyle w:val="FootnoteReference"/>
        </w:rPr>
        <w:footnoteRef/>
      </w:r>
      <w:r>
        <w:t xml:space="preserve"> Staff Review </w:t>
      </w:r>
      <w:r>
        <w:t xml:space="preserve">and Recommendations </w:t>
      </w:r>
      <w:r>
        <w:t>at 3.</w:t>
      </w:r>
    </w:p>
  </w:footnote>
  <w:footnote w:id="24">
    <w:p w:rsidR="003D3637" w:rsidRDefault="00784174" w:rsidP="003D3637">
      <w:pPr>
        <w:pStyle w:val="FootnoteText"/>
      </w:pPr>
      <w:r>
        <w:rPr>
          <w:rStyle w:val="FootnoteReference"/>
        </w:rPr>
        <w:footnoteRef/>
      </w:r>
      <w:r>
        <w:t xml:space="preserve"> </w:t>
      </w:r>
      <w:r>
        <w:rPr>
          <w:i/>
        </w:rPr>
        <w:t>Id.</w:t>
      </w:r>
      <w:r>
        <w:t xml:space="preserve"> at 2.</w:t>
      </w:r>
    </w:p>
  </w:footnote>
  <w:footnote w:id="25">
    <w:p w:rsidR="003D3637" w:rsidRDefault="00784174" w:rsidP="003D3637">
      <w:pPr>
        <w:pStyle w:val="FootnoteText"/>
      </w:pPr>
      <w:r>
        <w:rPr>
          <w:rStyle w:val="FootnoteReference"/>
        </w:rPr>
        <w:footnoteRef/>
      </w:r>
      <w:r>
        <w:t xml:space="preserve"> </w:t>
      </w:r>
      <w:r>
        <w:rPr>
          <w:i/>
        </w:rPr>
        <w:t>Id</w:t>
      </w:r>
      <w:r>
        <w:t>.</w:t>
      </w:r>
    </w:p>
  </w:footnote>
  <w:footnote w:id="26">
    <w:p w:rsidR="00E06A16" w:rsidRDefault="00784174">
      <w:pPr>
        <w:pStyle w:val="FootnoteText"/>
      </w:pPr>
      <w:r>
        <w:rPr>
          <w:rStyle w:val="FootnoteReference"/>
        </w:rPr>
        <w:footnoteRef/>
      </w:r>
      <w:r>
        <w:t xml:space="preserve"> </w:t>
      </w:r>
      <w:r>
        <w:rPr>
          <w:i/>
        </w:rPr>
        <w:t>See</w:t>
      </w:r>
      <w:r>
        <w:t xml:space="preserve"> R.C. 4928.143(B)(2)(h).</w:t>
      </w:r>
    </w:p>
  </w:footnote>
  <w:footnote w:id="27">
    <w:p w:rsidR="003D3637" w:rsidRPr="00CB17DB" w:rsidRDefault="00784174" w:rsidP="003D3637">
      <w:pPr>
        <w:pStyle w:val="FootnoteText"/>
      </w:pPr>
      <w:r>
        <w:rPr>
          <w:rStyle w:val="FootnoteReference"/>
        </w:rPr>
        <w:footnoteRef/>
      </w:r>
      <w:r>
        <w:t xml:space="preserve"> </w:t>
      </w:r>
      <w:r>
        <w:t xml:space="preserve">Duke’s CAIDI for 2016 appears to be 136.42 minutes </w:t>
      </w:r>
      <w:r>
        <w:softHyphen/>
        <w:t xml:space="preserve">– about 11 percent higher than allowed under the current standard.  </w:t>
      </w:r>
      <w:r>
        <w:rPr>
          <w:i/>
        </w:rPr>
        <w:t>See</w:t>
      </w:r>
      <w:r>
        <w:t xml:space="preserve"> Hart Testimony at 6.  Ms. Hart offered no explanation for missing the standard, and Duke apparently considers this to be “performing well</w:t>
      </w:r>
      <w:r>
        <w:t>.</w:t>
      </w:r>
      <w:r>
        <w:t xml:space="preserve">”  </w:t>
      </w:r>
      <w:r>
        <w:rPr>
          <w:i/>
        </w:rPr>
        <w:t>Id.</w:t>
      </w:r>
      <w:r>
        <w:t xml:space="preserve"> at 5-6.  Because Duke’s CAIDI for 2016 is so far afield from the previous four years’ performance, it should n</w:t>
      </w:r>
      <w:r>
        <w:t>ot be used in calculating the CAIDI standard going forward.  Instead, the PUCO should find out why Duke’s 2016 CAIDI was so poor.</w:t>
      </w:r>
    </w:p>
  </w:footnote>
  <w:footnote w:id="28">
    <w:p w:rsidR="009A2933" w:rsidRDefault="00784174" w:rsidP="009A2933">
      <w:pPr>
        <w:pStyle w:val="FootnoteText"/>
      </w:pPr>
      <w:r>
        <w:rPr>
          <w:rStyle w:val="FootnoteReference"/>
        </w:rPr>
        <w:footnoteRef/>
      </w:r>
      <w:r>
        <w:t xml:space="preserve"> </w:t>
      </w:r>
      <w:r>
        <w:t>U.S. Department of Energy, “Distribution Automation Results from the Smart Grid Investment Grant Program,” September 2016</w:t>
      </w:r>
      <w:r>
        <w:t>,</w:t>
      </w:r>
      <w:r>
        <w:t xml:space="preserve"> a</w:t>
      </w:r>
      <w:r>
        <w:t xml:space="preserve">t </w:t>
      </w:r>
      <w:r>
        <w:t>40</w:t>
      </w:r>
      <w:r>
        <w:t xml:space="preserve"> (available at </w:t>
      </w:r>
      <w:r w:rsidRPr="00476D47">
        <w:t>https://energy.gov/sites/prod/files/2016/11/f34/Distribution%20Automation%20Summary%20Report_09-29-16.pdf</w:t>
      </w:r>
      <w:r>
        <w:t>.)</w:t>
      </w:r>
    </w:p>
  </w:footnote>
  <w:footnote w:id="29">
    <w:p w:rsidR="00747629" w:rsidRPr="00747629" w:rsidRDefault="00784174">
      <w:pPr>
        <w:pStyle w:val="FootnoteText"/>
      </w:pPr>
      <w:r>
        <w:rPr>
          <w:rStyle w:val="FootnoteReference"/>
        </w:rPr>
        <w:footnoteRef/>
      </w:r>
      <w:r>
        <w:t xml:space="preserve"> </w:t>
      </w:r>
      <w:r>
        <w:rPr>
          <w:i/>
        </w:rPr>
        <w:t>Id.</w:t>
      </w:r>
      <w:r>
        <w:t xml:space="preserve"> at 5.</w:t>
      </w:r>
    </w:p>
  </w:footnote>
  <w:footnote w:id="30">
    <w:p w:rsidR="009A2933" w:rsidRDefault="00784174" w:rsidP="009A2933">
      <w:pPr>
        <w:pStyle w:val="FootnoteText"/>
      </w:pPr>
      <w:r>
        <w:rPr>
          <w:rStyle w:val="FootnoteReference"/>
        </w:rPr>
        <w:footnoteRef/>
      </w:r>
      <w:r>
        <w:t xml:space="preserve"> </w:t>
      </w:r>
      <w:r w:rsidRPr="004F78F8">
        <w:rPr>
          <w:i/>
        </w:rPr>
        <w:t>Id</w:t>
      </w:r>
      <w:r>
        <w:t>.</w:t>
      </w:r>
    </w:p>
  </w:footnote>
  <w:footnote w:id="31">
    <w:p w:rsidR="00420454" w:rsidRDefault="00784174" w:rsidP="00420454">
      <w:pPr>
        <w:pStyle w:val="FootnoteText"/>
      </w:pPr>
      <w:r>
        <w:rPr>
          <w:rStyle w:val="FootnoteReference"/>
        </w:rPr>
        <w:footnoteRef/>
      </w:r>
      <w:r>
        <w:t xml:space="preserve"> </w:t>
      </w:r>
      <w:r>
        <w:rPr>
          <w:i/>
        </w:rPr>
        <w:t>Id.</w:t>
      </w:r>
      <w:r>
        <w:t xml:space="preserve"> at 40-43. </w:t>
      </w:r>
    </w:p>
  </w:footnote>
  <w:footnote w:id="32">
    <w:p w:rsidR="004F78F8" w:rsidRDefault="00784174">
      <w:pPr>
        <w:pStyle w:val="FootnoteText"/>
      </w:pPr>
      <w:r>
        <w:rPr>
          <w:rStyle w:val="FootnoteReference"/>
        </w:rPr>
        <w:footnoteRef/>
      </w:r>
      <w:r>
        <w:t xml:space="preserve"> </w:t>
      </w:r>
      <w:r>
        <w:rPr>
          <w:i/>
        </w:rPr>
        <w:t>Id.</w:t>
      </w:r>
    </w:p>
  </w:footnote>
  <w:footnote w:id="33">
    <w:p w:rsidR="004F78F8" w:rsidRDefault="00784174">
      <w:pPr>
        <w:pStyle w:val="FootnoteText"/>
      </w:pPr>
      <w:r>
        <w:rPr>
          <w:rStyle w:val="FootnoteReference"/>
        </w:rPr>
        <w:footnoteRef/>
      </w:r>
      <w:r>
        <w:t xml:space="preserve"> </w:t>
      </w:r>
      <w:r>
        <w:rPr>
          <w:i/>
        </w:rPr>
        <w:t>Id.</w:t>
      </w:r>
    </w:p>
  </w:footnote>
  <w:footnote w:id="34">
    <w:p w:rsidR="009A2933" w:rsidRDefault="00784174" w:rsidP="009A2933">
      <w:pPr>
        <w:pStyle w:val="FootnoteText"/>
      </w:pPr>
      <w:r>
        <w:rPr>
          <w:rStyle w:val="FootnoteReference"/>
        </w:rPr>
        <w:footnoteRef/>
      </w:r>
      <w:r>
        <w:t xml:space="preserve"> </w:t>
      </w:r>
      <w:r>
        <w:rPr>
          <w:i/>
        </w:rPr>
        <w:t xml:space="preserve">See </w:t>
      </w:r>
      <w:r w:rsidRPr="00446BA4">
        <w:rPr>
          <w:i/>
        </w:rPr>
        <w:t>In the Matter of the Annual Report of Duke Energy Ohio Pursuant to Rule 26 o</w:t>
      </w:r>
      <w:r w:rsidRPr="00446BA4">
        <w:rPr>
          <w:i/>
        </w:rPr>
        <w:t>f the Electric Service and Safety Standards, Ohio Administrative Code 4901:1-10-26,</w:t>
      </w:r>
      <w:r>
        <w:t xml:space="preserve"> Case No. 16-999-</w:t>
      </w:r>
      <w:r>
        <w:t>EL-</w:t>
      </w:r>
      <w:r>
        <w:t xml:space="preserve">ESS, </w:t>
      </w:r>
      <w:r>
        <w:t>Annual Report (</w:t>
      </w:r>
      <w:r>
        <w:t>March 23, 2016</w:t>
      </w:r>
      <w:r>
        <w:t>)</w:t>
      </w:r>
      <w:r>
        <w:t xml:space="preserve"> at 55-58.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57" w:rsidRDefault="00784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227" w:rsidRDefault="00784174">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630035" cy="1104900"/>
              <wp:effectExtent l="0" t="1905000" r="0" b="1895475"/>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30035" cy="1104900"/>
                      </a:xfrm>
                      <a:prstGeom prst="rect">
                        <a:avLst/>
                      </a:prstGeom>
                      <a:extLst>
                        <a:ext uri="{91240B29-F687-4F45-9708-019B960494DF}">
                          <a14:hiddenLine xmlns:a14="http://schemas.microsoft.com/office/drawing/2010/main" w="9525">
                            <a:solidFill>
                              <a:srgbClr val="000000"/>
                            </a:solidFill>
                            <a:round/>
                            <a:headEnd/>
                            <a:tailEnd/>
                          </a14:hiddenLine>
                        </a:ext>
                      </a:extLst>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rect id="WordArt 10" o:spid="_x0000_s2049" style="width:522.05pt;height:87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position:absolute;rotation:315;v-text-anchor:top;z-index:-251658240" o:allowincell="f" fillcolor="this">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57" w:rsidRDefault="007841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17A" w:rsidRDefault="007841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17A" w:rsidRDefault="007841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17A" w:rsidRDefault="00784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666BA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3462F9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92EF9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5FED77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37E3BE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C74FA6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A98AAA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6089CD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0DCBC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288A61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308A9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C51BD4"/>
    <w:multiLevelType w:val="hybridMultilevel"/>
    <w:tmpl w:val="EB001050"/>
    <w:lvl w:ilvl="0" w:tplc="984AD43A">
      <w:start w:val="1"/>
      <w:numFmt w:val="upperLetter"/>
      <w:lvlText w:val="%1."/>
      <w:lvlJc w:val="left"/>
      <w:pPr>
        <w:ind w:left="1080" w:hanging="360"/>
      </w:pPr>
      <w:rPr>
        <w:rFonts w:hint="default"/>
      </w:rPr>
    </w:lvl>
    <w:lvl w:ilvl="1" w:tplc="318E7B54" w:tentative="1">
      <w:start w:val="1"/>
      <w:numFmt w:val="lowerLetter"/>
      <w:lvlText w:val="%2."/>
      <w:lvlJc w:val="left"/>
      <w:pPr>
        <w:ind w:left="1800" w:hanging="360"/>
      </w:pPr>
    </w:lvl>
    <w:lvl w:ilvl="2" w:tplc="A40838FC" w:tentative="1">
      <w:start w:val="1"/>
      <w:numFmt w:val="lowerRoman"/>
      <w:lvlText w:val="%3."/>
      <w:lvlJc w:val="right"/>
      <w:pPr>
        <w:ind w:left="2520" w:hanging="180"/>
      </w:pPr>
    </w:lvl>
    <w:lvl w:ilvl="3" w:tplc="99BEAF86" w:tentative="1">
      <w:start w:val="1"/>
      <w:numFmt w:val="decimal"/>
      <w:lvlText w:val="%4."/>
      <w:lvlJc w:val="left"/>
      <w:pPr>
        <w:ind w:left="3240" w:hanging="360"/>
      </w:pPr>
    </w:lvl>
    <w:lvl w:ilvl="4" w:tplc="14684986" w:tentative="1">
      <w:start w:val="1"/>
      <w:numFmt w:val="lowerLetter"/>
      <w:lvlText w:val="%5."/>
      <w:lvlJc w:val="left"/>
      <w:pPr>
        <w:ind w:left="3960" w:hanging="360"/>
      </w:pPr>
    </w:lvl>
    <w:lvl w:ilvl="5" w:tplc="155AA2C2" w:tentative="1">
      <w:start w:val="1"/>
      <w:numFmt w:val="lowerRoman"/>
      <w:lvlText w:val="%6."/>
      <w:lvlJc w:val="right"/>
      <w:pPr>
        <w:ind w:left="4680" w:hanging="180"/>
      </w:pPr>
    </w:lvl>
    <w:lvl w:ilvl="6" w:tplc="8A02E064" w:tentative="1">
      <w:start w:val="1"/>
      <w:numFmt w:val="decimal"/>
      <w:lvlText w:val="%7."/>
      <w:lvlJc w:val="left"/>
      <w:pPr>
        <w:ind w:left="5400" w:hanging="360"/>
      </w:pPr>
    </w:lvl>
    <w:lvl w:ilvl="7" w:tplc="E494B690" w:tentative="1">
      <w:start w:val="1"/>
      <w:numFmt w:val="lowerLetter"/>
      <w:lvlText w:val="%8."/>
      <w:lvlJc w:val="left"/>
      <w:pPr>
        <w:ind w:left="6120" w:hanging="360"/>
      </w:pPr>
    </w:lvl>
    <w:lvl w:ilvl="8" w:tplc="2F2AE554" w:tentative="1">
      <w:start w:val="1"/>
      <w:numFmt w:val="lowerRoman"/>
      <w:lvlText w:val="%9."/>
      <w:lvlJc w:val="right"/>
      <w:pPr>
        <w:ind w:left="6840" w:hanging="180"/>
      </w:pPr>
    </w:lvl>
  </w:abstractNum>
  <w:abstractNum w:abstractNumId="12" w15:restartNumberingAfterBreak="0">
    <w:nsid w:val="15923C1B"/>
    <w:multiLevelType w:val="hybridMultilevel"/>
    <w:tmpl w:val="F116694A"/>
    <w:lvl w:ilvl="0" w:tplc="414666FA">
      <w:start w:val="1"/>
      <w:numFmt w:val="decimal"/>
      <w:lvlText w:val="%1."/>
      <w:lvlJc w:val="left"/>
      <w:pPr>
        <w:tabs>
          <w:tab w:val="num" w:pos="720"/>
        </w:tabs>
        <w:ind w:left="720" w:hanging="360"/>
      </w:pPr>
      <w:rPr>
        <w:rFonts w:hint="default"/>
      </w:rPr>
    </w:lvl>
    <w:lvl w:ilvl="1" w:tplc="E7C65898" w:tentative="1">
      <w:start w:val="1"/>
      <w:numFmt w:val="lowerLetter"/>
      <w:lvlText w:val="%2."/>
      <w:lvlJc w:val="left"/>
      <w:pPr>
        <w:tabs>
          <w:tab w:val="num" w:pos="1440"/>
        </w:tabs>
        <w:ind w:left="1440" w:hanging="360"/>
      </w:pPr>
    </w:lvl>
    <w:lvl w:ilvl="2" w:tplc="4E3E3156" w:tentative="1">
      <w:start w:val="1"/>
      <w:numFmt w:val="lowerRoman"/>
      <w:lvlText w:val="%3."/>
      <w:lvlJc w:val="right"/>
      <w:pPr>
        <w:tabs>
          <w:tab w:val="num" w:pos="2160"/>
        </w:tabs>
        <w:ind w:left="2160" w:hanging="180"/>
      </w:pPr>
    </w:lvl>
    <w:lvl w:ilvl="3" w:tplc="100AD3D8" w:tentative="1">
      <w:start w:val="1"/>
      <w:numFmt w:val="decimal"/>
      <w:lvlText w:val="%4."/>
      <w:lvlJc w:val="left"/>
      <w:pPr>
        <w:tabs>
          <w:tab w:val="num" w:pos="2880"/>
        </w:tabs>
        <w:ind w:left="2880" w:hanging="360"/>
      </w:pPr>
    </w:lvl>
    <w:lvl w:ilvl="4" w:tplc="99106182" w:tentative="1">
      <w:start w:val="1"/>
      <w:numFmt w:val="lowerLetter"/>
      <w:lvlText w:val="%5."/>
      <w:lvlJc w:val="left"/>
      <w:pPr>
        <w:tabs>
          <w:tab w:val="num" w:pos="3600"/>
        </w:tabs>
        <w:ind w:left="3600" w:hanging="360"/>
      </w:pPr>
    </w:lvl>
    <w:lvl w:ilvl="5" w:tplc="50CE77EA" w:tentative="1">
      <w:start w:val="1"/>
      <w:numFmt w:val="lowerRoman"/>
      <w:lvlText w:val="%6."/>
      <w:lvlJc w:val="right"/>
      <w:pPr>
        <w:tabs>
          <w:tab w:val="num" w:pos="4320"/>
        </w:tabs>
        <w:ind w:left="4320" w:hanging="180"/>
      </w:pPr>
    </w:lvl>
    <w:lvl w:ilvl="6" w:tplc="D49854A2" w:tentative="1">
      <w:start w:val="1"/>
      <w:numFmt w:val="decimal"/>
      <w:lvlText w:val="%7."/>
      <w:lvlJc w:val="left"/>
      <w:pPr>
        <w:tabs>
          <w:tab w:val="num" w:pos="5040"/>
        </w:tabs>
        <w:ind w:left="5040" w:hanging="360"/>
      </w:pPr>
    </w:lvl>
    <w:lvl w:ilvl="7" w:tplc="484E5114" w:tentative="1">
      <w:start w:val="1"/>
      <w:numFmt w:val="lowerLetter"/>
      <w:lvlText w:val="%8."/>
      <w:lvlJc w:val="left"/>
      <w:pPr>
        <w:tabs>
          <w:tab w:val="num" w:pos="5760"/>
        </w:tabs>
        <w:ind w:left="5760" w:hanging="360"/>
      </w:pPr>
    </w:lvl>
    <w:lvl w:ilvl="8" w:tplc="D046B3EC" w:tentative="1">
      <w:start w:val="1"/>
      <w:numFmt w:val="lowerRoman"/>
      <w:lvlText w:val="%9."/>
      <w:lvlJc w:val="right"/>
      <w:pPr>
        <w:tabs>
          <w:tab w:val="num" w:pos="6480"/>
        </w:tabs>
        <w:ind w:left="6480" w:hanging="180"/>
      </w:pPr>
    </w:lvl>
  </w:abstractNum>
  <w:abstractNum w:abstractNumId="13" w15:restartNumberingAfterBreak="0">
    <w:nsid w:val="1E4A364D"/>
    <w:multiLevelType w:val="hybridMultilevel"/>
    <w:tmpl w:val="8FF2A802"/>
    <w:lvl w:ilvl="0" w:tplc="07E2E056">
      <w:start w:val="1"/>
      <w:numFmt w:val="decimal"/>
      <w:lvlText w:val="%1."/>
      <w:lvlJc w:val="left"/>
      <w:pPr>
        <w:tabs>
          <w:tab w:val="num" w:pos="720"/>
        </w:tabs>
        <w:ind w:left="720" w:hanging="360"/>
      </w:pPr>
      <w:rPr>
        <w:rFonts w:hint="default"/>
      </w:rPr>
    </w:lvl>
    <w:lvl w:ilvl="1" w:tplc="DA8A83D0">
      <w:start w:val="1"/>
      <w:numFmt w:val="lowerLetter"/>
      <w:lvlText w:val="%2."/>
      <w:lvlJc w:val="left"/>
      <w:pPr>
        <w:tabs>
          <w:tab w:val="num" w:pos="1440"/>
        </w:tabs>
        <w:ind w:left="1440" w:hanging="360"/>
      </w:pPr>
    </w:lvl>
    <w:lvl w:ilvl="2" w:tplc="354C0F8E" w:tentative="1">
      <w:start w:val="1"/>
      <w:numFmt w:val="lowerRoman"/>
      <w:lvlText w:val="%3."/>
      <w:lvlJc w:val="right"/>
      <w:pPr>
        <w:tabs>
          <w:tab w:val="num" w:pos="2160"/>
        </w:tabs>
        <w:ind w:left="2160" w:hanging="180"/>
      </w:pPr>
    </w:lvl>
    <w:lvl w:ilvl="3" w:tplc="2842F6E0" w:tentative="1">
      <w:start w:val="1"/>
      <w:numFmt w:val="decimal"/>
      <w:lvlText w:val="%4."/>
      <w:lvlJc w:val="left"/>
      <w:pPr>
        <w:tabs>
          <w:tab w:val="num" w:pos="2880"/>
        </w:tabs>
        <w:ind w:left="2880" w:hanging="360"/>
      </w:pPr>
    </w:lvl>
    <w:lvl w:ilvl="4" w:tplc="8194778C" w:tentative="1">
      <w:start w:val="1"/>
      <w:numFmt w:val="lowerLetter"/>
      <w:lvlText w:val="%5."/>
      <w:lvlJc w:val="left"/>
      <w:pPr>
        <w:tabs>
          <w:tab w:val="num" w:pos="3600"/>
        </w:tabs>
        <w:ind w:left="3600" w:hanging="360"/>
      </w:pPr>
    </w:lvl>
    <w:lvl w:ilvl="5" w:tplc="AF062B06" w:tentative="1">
      <w:start w:val="1"/>
      <w:numFmt w:val="lowerRoman"/>
      <w:lvlText w:val="%6."/>
      <w:lvlJc w:val="right"/>
      <w:pPr>
        <w:tabs>
          <w:tab w:val="num" w:pos="4320"/>
        </w:tabs>
        <w:ind w:left="4320" w:hanging="180"/>
      </w:pPr>
    </w:lvl>
    <w:lvl w:ilvl="6" w:tplc="CF407CEA" w:tentative="1">
      <w:start w:val="1"/>
      <w:numFmt w:val="decimal"/>
      <w:lvlText w:val="%7."/>
      <w:lvlJc w:val="left"/>
      <w:pPr>
        <w:tabs>
          <w:tab w:val="num" w:pos="5040"/>
        </w:tabs>
        <w:ind w:left="5040" w:hanging="360"/>
      </w:pPr>
    </w:lvl>
    <w:lvl w:ilvl="7" w:tplc="B6323AF2" w:tentative="1">
      <w:start w:val="1"/>
      <w:numFmt w:val="lowerLetter"/>
      <w:lvlText w:val="%8."/>
      <w:lvlJc w:val="left"/>
      <w:pPr>
        <w:tabs>
          <w:tab w:val="num" w:pos="5760"/>
        </w:tabs>
        <w:ind w:left="5760" w:hanging="360"/>
      </w:pPr>
    </w:lvl>
    <w:lvl w:ilvl="8" w:tplc="A5AA0E26" w:tentative="1">
      <w:start w:val="1"/>
      <w:numFmt w:val="lowerRoman"/>
      <w:lvlText w:val="%9."/>
      <w:lvlJc w:val="right"/>
      <w:pPr>
        <w:tabs>
          <w:tab w:val="num" w:pos="6480"/>
        </w:tabs>
        <w:ind w:left="6480" w:hanging="180"/>
      </w:pPr>
    </w:lvl>
  </w:abstractNum>
  <w:abstractNum w:abstractNumId="14" w15:restartNumberingAfterBreak="0">
    <w:nsid w:val="20D541AA"/>
    <w:multiLevelType w:val="hybridMultilevel"/>
    <w:tmpl w:val="19042774"/>
    <w:lvl w:ilvl="0" w:tplc="D50010DC">
      <w:start w:val="1"/>
      <w:numFmt w:val="lowerLetter"/>
      <w:lvlText w:val="(%1)"/>
      <w:lvlJc w:val="left"/>
      <w:pPr>
        <w:ind w:left="720" w:hanging="360"/>
      </w:pPr>
      <w:rPr>
        <w:rFonts w:cs="Times New Roman" w:hint="default"/>
      </w:rPr>
    </w:lvl>
    <w:lvl w:ilvl="1" w:tplc="31E6B8B4">
      <w:start w:val="1"/>
      <w:numFmt w:val="lowerLetter"/>
      <w:lvlText w:val="%2."/>
      <w:lvlJc w:val="left"/>
      <w:pPr>
        <w:ind w:left="1440" w:hanging="360"/>
      </w:pPr>
      <w:rPr>
        <w:rFonts w:cs="Times New Roman"/>
      </w:rPr>
    </w:lvl>
    <w:lvl w:ilvl="2" w:tplc="6616F9F6">
      <w:start w:val="1"/>
      <w:numFmt w:val="lowerRoman"/>
      <w:lvlText w:val="%3."/>
      <w:lvlJc w:val="right"/>
      <w:pPr>
        <w:ind w:left="2160" w:hanging="180"/>
      </w:pPr>
      <w:rPr>
        <w:rFonts w:cs="Times New Roman"/>
      </w:rPr>
    </w:lvl>
    <w:lvl w:ilvl="3" w:tplc="E8BE42A8">
      <w:start w:val="1"/>
      <w:numFmt w:val="decimal"/>
      <w:lvlText w:val="%4."/>
      <w:lvlJc w:val="left"/>
      <w:pPr>
        <w:ind w:left="2880" w:hanging="360"/>
      </w:pPr>
      <w:rPr>
        <w:rFonts w:cs="Times New Roman"/>
      </w:rPr>
    </w:lvl>
    <w:lvl w:ilvl="4" w:tplc="8B163378">
      <w:start w:val="1"/>
      <w:numFmt w:val="lowerLetter"/>
      <w:lvlText w:val="%5."/>
      <w:lvlJc w:val="left"/>
      <w:pPr>
        <w:ind w:left="3600" w:hanging="360"/>
      </w:pPr>
      <w:rPr>
        <w:rFonts w:cs="Times New Roman"/>
      </w:rPr>
    </w:lvl>
    <w:lvl w:ilvl="5" w:tplc="EC7CEF16">
      <w:start w:val="1"/>
      <w:numFmt w:val="lowerRoman"/>
      <w:lvlText w:val="%6."/>
      <w:lvlJc w:val="right"/>
      <w:pPr>
        <w:ind w:left="4320" w:hanging="180"/>
      </w:pPr>
      <w:rPr>
        <w:rFonts w:cs="Times New Roman"/>
      </w:rPr>
    </w:lvl>
    <w:lvl w:ilvl="6" w:tplc="E6FAB2EE">
      <w:start w:val="1"/>
      <w:numFmt w:val="decimal"/>
      <w:lvlText w:val="%7."/>
      <w:lvlJc w:val="left"/>
      <w:pPr>
        <w:ind w:left="5040" w:hanging="360"/>
      </w:pPr>
      <w:rPr>
        <w:rFonts w:cs="Times New Roman"/>
      </w:rPr>
    </w:lvl>
    <w:lvl w:ilvl="7" w:tplc="F62EF98C">
      <w:start w:val="1"/>
      <w:numFmt w:val="lowerLetter"/>
      <w:lvlText w:val="%8."/>
      <w:lvlJc w:val="left"/>
      <w:pPr>
        <w:ind w:left="5760" w:hanging="360"/>
      </w:pPr>
      <w:rPr>
        <w:rFonts w:cs="Times New Roman"/>
      </w:rPr>
    </w:lvl>
    <w:lvl w:ilvl="8" w:tplc="FCC0EE46">
      <w:start w:val="1"/>
      <w:numFmt w:val="lowerRoman"/>
      <w:lvlText w:val="%9."/>
      <w:lvlJc w:val="right"/>
      <w:pPr>
        <w:ind w:left="6480" w:hanging="180"/>
      </w:pPr>
      <w:rPr>
        <w:rFonts w:cs="Times New Roman"/>
      </w:rPr>
    </w:lvl>
  </w:abstractNum>
  <w:abstractNum w:abstractNumId="15" w15:restartNumberingAfterBreak="0">
    <w:nsid w:val="20FC1D0E"/>
    <w:multiLevelType w:val="hybridMultilevel"/>
    <w:tmpl w:val="BACA78EE"/>
    <w:lvl w:ilvl="0" w:tplc="98A2F37C">
      <w:start w:val="5"/>
      <w:numFmt w:val="upperLetter"/>
      <w:lvlText w:val="%1."/>
      <w:lvlJc w:val="left"/>
      <w:pPr>
        <w:tabs>
          <w:tab w:val="num" w:pos="1080"/>
        </w:tabs>
        <w:ind w:left="1080" w:hanging="360"/>
      </w:pPr>
      <w:rPr>
        <w:rFonts w:hint="default"/>
      </w:rPr>
    </w:lvl>
    <w:lvl w:ilvl="1" w:tplc="951866C6" w:tentative="1">
      <w:start w:val="1"/>
      <w:numFmt w:val="lowerLetter"/>
      <w:lvlText w:val="%2."/>
      <w:lvlJc w:val="left"/>
      <w:pPr>
        <w:tabs>
          <w:tab w:val="num" w:pos="1800"/>
        </w:tabs>
        <w:ind w:left="1800" w:hanging="360"/>
      </w:pPr>
    </w:lvl>
    <w:lvl w:ilvl="2" w:tplc="356A8398" w:tentative="1">
      <w:start w:val="1"/>
      <w:numFmt w:val="lowerRoman"/>
      <w:lvlText w:val="%3."/>
      <w:lvlJc w:val="right"/>
      <w:pPr>
        <w:tabs>
          <w:tab w:val="num" w:pos="2520"/>
        </w:tabs>
        <w:ind w:left="2520" w:hanging="180"/>
      </w:pPr>
    </w:lvl>
    <w:lvl w:ilvl="3" w:tplc="F29846B2" w:tentative="1">
      <w:start w:val="1"/>
      <w:numFmt w:val="decimal"/>
      <w:lvlText w:val="%4."/>
      <w:lvlJc w:val="left"/>
      <w:pPr>
        <w:tabs>
          <w:tab w:val="num" w:pos="3240"/>
        </w:tabs>
        <w:ind w:left="3240" w:hanging="360"/>
      </w:pPr>
    </w:lvl>
    <w:lvl w:ilvl="4" w:tplc="8AD23870" w:tentative="1">
      <w:start w:val="1"/>
      <w:numFmt w:val="lowerLetter"/>
      <w:lvlText w:val="%5."/>
      <w:lvlJc w:val="left"/>
      <w:pPr>
        <w:tabs>
          <w:tab w:val="num" w:pos="3960"/>
        </w:tabs>
        <w:ind w:left="3960" w:hanging="360"/>
      </w:pPr>
    </w:lvl>
    <w:lvl w:ilvl="5" w:tplc="9BE8B30A" w:tentative="1">
      <w:start w:val="1"/>
      <w:numFmt w:val="lowerRoman"/>
      <w:lvlText w:val="%6."/>
      <w:lvlJc w:val="right"/>
      <w:pPr>
        <w:tabs>
          <w:tab w:val="num" w:pos="4680"/>
        </w:tabs>
        <w:ind w:left="4680" w:hanging="180"/>
      </w:pPr>
    </w:lvl>
    <w:lvl w:ilvl="6" w:tplc="37E6C400" w:tentative="1">
      <w:start w:val="1"/>
      <w:numFmt w:val="decimal"/>
      <w:lvlText w:val="%7."/>
      <w:lvlJc w:val="left"/>
      <w:pPr>
        <w:tabs>
          <w:tab w:val="num" w:pos="5400"/>
        </w:tabs>
        <w:ind w:left="5400" w:hanging="360"/>
      </w:pPr>
    </w:lvl>
    <w:lvl w:ilvl="7" w:tplc="EB189592" w:tentative="1">
      <w:start w:val="1"/>
      <w:numFmt w:val="lowerLetter"/>
      <w:lvlText w:val="%8."/>
      <w:lvlJc w:val="left"/>
      <w:pPr>
        <w:tabs>
          <w:tab w:val="num" w:pos="6120"/>
        </w:tabs>
        <w:ind w:left="6120" w:hanging="360"/>
      </w:pPr>
    </w:lvl>
    <w:lvl w:ilvl="8" w:tplc="8E140B90" w:tentative="1">
      <w:start w:val="1"/>
      <w:numFmt w:val="lowerRoman"/>
      <w:lvlText w:val="%9."/>
      <w:lvlJc w:val="right"/>
      <w:pPr>
        <w:tabs>
          <w:tab w:val="num" w:pos="6840"/>
        </w:tabs>
        <w:ind w:left="6840" w:hanging="180"/>
      </w:pPr>
    </w:lvl>
  </w:abstractNum>
  <w:abstractNum w:abstractNumId="16" w15:restartNumberingAfterBreak="0">
    <w:nsid w:val="2CE502B8"/>
    <w:multiLevelType w:val="hybridMultilevel"/>
    <w:tmpl w:val="9F5C3E86"/>
    <w:lvl w:ilvl="0" w:tplc="BC269B4E">
      <w:start w:val="500"/>
      <w:numFmt w:val="upperRoman"/>
      <w:lvlText w:val="%1."/>
      <w:lvlJc w:val="left"/>
      <w:pPr>
        <w:tabs>
          <w:tab w:val="num" w:pos="1440"/>
        </w:tabs>
        <w:ind w:left="1440" w:hanging="720"/>
      </w:pPr>
      <w:rPr>
        <w:rFonts w:hint="default"/>
      </w:rPr>
    </w:lvl>
    <w:lvl w:ilvl="1" w:tplc="727210FE" w:tentative="1">
      <w:start w:val="1"/>
      <w:numFmt w:val="lowerLetter"/>
      <w:lvlText w:val="%2."/>
      <w:lvlJc w:val="left"/>
      <w:pPr>
        <w:tabs>
          <w:tab w:val="num" w:pos="1800"/>
        </w:tabs>
        <w:ind w:left="1800" w:hanging="360"/>
      </w:pPr>
    </w:lvl>
    <w:lvl w:ilvl="2" w:tplc="33BAC4D2" w:tentative="1">
      <w:start w:val="1"/>
      <w:numFmt w:val="lowerRoman"/>
      <w:lvlText w:val="%3."/>
      <w:lvlJc w:val="right"/>
      <w:pPr>
        <w:tabs>
          <w:tab w:val="num" w:pos="2520"/>
        </w:tabs>
        <w:ind w:left="2520" w:hanging="180"/>
      </w:pPr>
    </w:lvl>
    <w:lvl w:ilvl="3" w:tplc="30A81CF4" w:tentative="1">
      <w:start w:val="1"/>
      <w:numFmt w:val="decimal"/>
      <w:lvlText w:val="%4."/>
      <w:lvlJc w:val="left"/>
      <w:pPr>
        <w:tabs>
          <w:tab w:val="num" w:pos="3240"/>
        </w:tabs>
        <w:ind w:left="3240" w:hanging="360"/>
      </w:pPr>
    </w:lvl>
    <w:lvl w:ilvl="4" w:tplc="1D687932" w:tentative="1">
      <w:start w:val="1"/>
      <w:numFmt w:val="lowerLetter"/>
      <w:lvlText w:val="%5."/>
      <w:lvlJc w:val="left"/>
      <w:pPr>
        <w:tabs>
          <w:tab w:val="num" w:pos="3960"/>
        </w:tabs>
        <w:ind w:left="3960" w:hanging="360"/>
      </w:pPr>
    </w:lvl>
    <w:lvl w:ilvl="5" w:tplc="D06C7FDC" w:tentative="1">
      <w:start w:val="1"/>
      <w:numFmt w:val="lowerRoman"/>
      <w:lvlText w:val="%6."/>
      <w:lvlJc w:val="right"/>
      <w:pPr>
        <w:tabs>
          <w:tab w:val="num" w:pos="4680"/>
        </w:tabs>
        <w:ind w:left="4680" w:hanging="180"/>
      </w:pPr>
    </w:lvl>
    <w:lvl w:ilvl="6" w:tplc="989CFF10" w:tentative="1">
      <w:start w:val="1"/>
      <w:numFmt w:val="decimal"/>
      <w:lvlText w:val="%7."/>
      <w:lvlJc w:val="left"/>
      <w:pPr>
        <w:tabs>
          <w:tab w:val="num" w:pos="5400"/>
        </w:tabs>
        <w:ind w:left="5400" w:hanging="360"/>
      </w:pPr>
    </w:lvl>
    <w:lvl w:ilvl="7" w:tplc="93CA483E" w:tentative="1">
      <w:start w:val="1"/>
      <w:numFmt w:val="lowerLetter"/>
      <w:lvlText w:val="%8."/>
      <w:lvlJc w:val="left"/>
      <w:pPr>
        <w:tabs>
          <w:tab w:val="num" w:pos="6120"/>
        </w:tabs>
        <w:ind w:left="6120" w:hanging="360"/>
      </w:pPr>
    </w:lvl>
    <w:lvl w:ilvl="8" w:tplc="E1181258" w:tentative="1">
      <w:start w:val="1"/>
      <w:numFmt w:val="lowerRoman"/>
      <w:lvlText w:val="%9."/>
      <w:lvlJc w:val="right"/>
      <w:pPr>
        <w:tabs>
          <w:tab w:val="num" w:pos="6840"/>
        </w:tabs>
        <w:ind w:left="6840" w:hanging="180"/>
      </w:pPr>
    </w:lvl>
  </w:abstractNum>
  <w:abstractNum w:abstractNumId="17" w15:restartNumberingAfterBreak="0">
    <w:nsid w:val="3F4F0671"/>
    <w:multiLevelType w:val="hybridMultilevel"/>
    <w:tmpl w:val="5284E9E0"/>
    <w:lvl w:ilvl="0" w:tplc="1F36A4AA">
      <w:start w:val="1"/>
      <w:numFmt w:val="lowerLetter"/>
      <w:lvlText w:val="(%1)"/>
      <w:lvlJc w:val="left"/>
      <w:pPr>
        <w:ind w:left="720" w:hanging="360"/>
      </w:pPr>
      <w:rPr>
        <w:rFonts w:cs="Times New Roman" w:hint="default"/>
      </w:rPr>
    </w:lvl>
    <w:lvl w:ilvl="1" w:tplc="89ACF762">
      <w:start w:val="1"/>
      <w:numFmt w:val="lowerLetter"/>
      <w:lvlText w:val="%2."/>
      <w:lvlJc w:val="left"/>
      <w:pPr>
        <w:ind w:left="1440" w:hanging="360"/>
      </w:pPr>
      <w:rPr>
        <w:rFonts w:cs="Times New Roman"/>
      </w:rPr>
    </w:lvl>
    <w:lvl w:ilvl="2" w:tplc="F992EEB6">
      <w:start w:val="1"/>
      <w:numFmt w:val="lowerRoman"/>
      <w:lvlText w:val="%3."/>
      <w:lvlJc w:val="right"/>
      <w:pPr>
        <w:ind w:left="2160" w:hanging="180"/>
      </w:pPr>
      <w:rPr>
        <w:rFonts w:cs="Times New Roman"/>
      </w:rPr>
    </w:lvl>
    <w:lvl w:ilvl="3" w:tplc="4E326358">
      <w:start w:val="1"/>
      <w:numFmt w:val="decimal"/>
      <w:lvlText w:val="%4."/>
      <w:lvlJc w:val="left"/>
      <w:pPr>
        <w:ind w:left="2880" w:hanging="360"/>
      </w:pPr>
      <w:rPr>
        <w:rFonts w:cs="Times New Roman"/>
      </w:rPr>
    </w:lvl>
    <w:lvl w:ilvl="4" w:tplc="80DA885E">
      <w:start w:val="1"/>
      <w:numFmt w:val="lowerLetter"/>
      <w:lvlText w:val="%5."/>
      <w:lvlJc w:val="left"/>
      <w:pPr>
        <w:ind w:left="3600" w:hanging="360"/>
      </w:pPr>
      <w:rPr>
        <w:rFonts w:cs="Times New Roman"/>
      </w:rPr>
    </w:lvl>
    <w:lvl w:ilvl="5" w:tplc="F1A4DF2A">
      <w:start w:val="1"/>
      <w:numFmt w:val="lowerRoman"/>
      <w:lvlText w:val="%6."/>
      <w:lvlJc w:val="right"/>
      <w:pPr>
        <w:ind w:left="4320" w:hanging="180"/>
      </w:pPr>
      <w:rPr>
        <w:rFonts w:cs="Times New Roman"/>
      </w:rPr>
    </w:lvl>
    <w:lvl w:ilvl="6" w:tplc="FAFA0984">
      <w:start w:val="1"/>
      <w:numFmt w:val="decimal"/>
      <w:lvlText w:val="%7."/>
      <w:lvlJc w:val="left"/>
      <w:pPr>
        <w:ind w:left="5040" w:hanging="360"/>
      </w:pPr>
      <w:rPr>
        <w:rFonts w:cs="Times New Roman"/>
      </w:rPr>
    </w:lvl>
    <w:lvl w:ilvl="7" w:tplc="530C7D92">
      <w:start w:val="1"/>
      <w:numFmt w:val="lowerLetter"/>
      <w:lvlText w:val="%8."/>
      <w:lvlJc w:val="left"/>
      <w:pPr>
        <w:ind w:left="5760" w:hanging="360"/>
      </w:pPr>
      <w:rPr>
        <w:rFonts w:cs="Times New Roman"/>
      </w:rPr>
    </w:lvl>
    <w:lvl w:ilvl="8" w:tplc="D5281CA2">
      <w:start w:val="1"/>
      <w:numFmt w:val="lowerRoman"/>
      <w:lvlText w:val="%9."/>
      <w:lvlJc w:val="right"/>
      <w:pPr>
        <w:ind w:left="6480" w:hanging="180"/>
      </w:pPr>
      <w:rPr>
        <w:rFonts w:cs="Times New Roman"/>
      </w:rPr>
    </w:lvl>
  </w:abstractNum>
  <w:abstractNum w:abstractNumId="18" w15:restartNumberingAfterBreak="0">
    <w:nsid w:val="43427D17"/>
    <w:multiLevelType w:val="hybridMultilevel"/>
    <w:tmpl w:val="EE2EE706"/>
    <w:lvl w:ilvl="0" w:tplc="CF988FC8">
      <w:start w:val="1"/>
      <w:numFmt w:val="bullet"/>
      <w:lvlText w:val=""/>
      <w:lvlJc w:val="left"/>
      <w:pPr>
        <w:ind w:left="1440" w:hanging="720"/>
      </w:pPr>
      <w:rPr>
        <w:rFonts w:ascii="Symbol" w:hAnsi="Symbol" w:hint="default"/>
      </w:rPr>
    </w:lvl>
    <w:lvl w:ilvl="1" w:tplc="6382D434" w:tentative="1">
      <w:start w:val="1"/>
      <w:numFmt w:val="lowerLetter"/>
      <w:lvlText w:val="%2."/>
      <w:lvlJc w:val="left"/>
      <w:pPr>
        <w:ind w:left="1800" w:hanging="360"/>
      </w:pPr>
    </w:lvl>
    <w:lvl w:ilvl="2" w:tplc="5D2828F6" w:tentative="1">
      <w:start w:val="1"/>
      <w:numFmt w:val="lowerRoman"/>
      <w:lvlText w:val="%3."/>
      <w:lvlJc w:val="right"/>
      <w:pPr>
        <w:ind w:left="2520" w:hanging="180"/>
      </w:pPr>
    </w:lvl>
    <w:lvl w:ilvl="3" w:tplc="EA8EE662" w:tentative="1">
      <w:start w:val="1"/>
      <w:numFmt w:val="decimal"/>
      <w:lvlText w:val="%4."/>
      <w:lvlJc w:val="left"/>
      <w:pPr>
        <w:ind w:left="3240" w:hanging="360"/>
      </w:pPr>
    </w:lvl>
    <w:lvl w:ilvl="4" w:tplc="C4685D0E" w:tentative="1">
      <w:start w:val="1"/>
      <w:numFmt w:val="lowerLetter"/>
      <w:lvlText w:val="%5."/>
      <w:lvlJc w:val="left"/>
      <w:pPr>
        <w:ind w:left="3960" w:hanging="360"/>
      </w:pPr>
    </w:lvl>
    <w:lvl w:ilvl="5" w:tplc="3D705258" w:tentative="1">
      <w:start w:val="1"/>
      <w:numFmt w:val="lowerRoman"/>
      <w:lvlText w:val="%6."/>
      <w:lvlJc w:val="right"/>
      <w:pPr>
        <w:ind w:left="4680" w:hanging="180"/>
      </w:pPr>
    </w:lvl>
    <w:lvl w:ilvl="6" w:tplc="68724166" w:tentative="1">
      <w:start w:val="1"/>
      <w:numFmt w:val="decimal"/>
      <w:lvlText w:val="%7."/>
      <w:lvlJc w:val="left"/>
      <w:pPr>
        <w:ind w:left="5400" w:hanging="360"/>
      </w:pPr>
    </w:lvl>
    <w:lvl w:ilvl="7" w:tplc="762C1126" w:tentative="1">
      <w:start w:val="1"/>
      <w:numFmt w:val="lowerLetter"/>
      <w:lvlText w:val="%8."/>
      <w:lvlJc w:val="left"/>
      <w:pPr>
        <w:ind w:left="6120" w:hanging="360"/>
      </w:pPr>
    </w:lvl>
    <w:lvl w:ilvl="8" w:tplc="3ED2567E" w:tentative="1">
      <w:start w:val="1"/>
      <w:numFmt w:val="lowerRoman"/>
      <w:lvlText w:val="%9."/>
      <w:lvlJc w:val="right"/>
      <w:pPr>
        <w:ind w:left="6840" w:hanging="180"/>
      </w:pPr>
    </w:lvl>
  </w:abstractNum>
  <w:abstractNum w:abstractNumId="19" w15:restartNumberingAfterBreak="0">
    <w:nsid w:val="50E9328B"/>
    <w:multiLevelType w:val="hybridMultilevel"/>
    <w:tmpl w:val="DBEA5616"/>
    <w:lvl w:ilvl="0" w:tplc="A380D1BA">
      <w:start w:val="2"/>
      <w:numFmt w:val="upperRoman"/>
      <w:lvlText w:val="%1."/>
      <w:lvlJc w:val="left"/>
      <w:pPr>
        <w:tabs>
          <w:tab w:val="num" w:pos="1080"/>
        </w:tabs>
        <w:ind w:left="1080" w:hanging="720"/>
      </w:pPr>
      <w:rPr>
        <w:rFonts w:hint="default"/>
      </w:rPr>
    </w:lvl>
    <w:lvl w:ilvl="1" w:tplc="5D90B000" w:tentative="1">
      <w:start w:val="1"/>
      <w:numFmt w:val="lowerLetter"/>
      <w:lvlText w:val="%2."/>
      <w:lvlJc w:val="left"/>
      <w:pPr>
        <w:tabs>
          <w:tab w:val="num" w:pos="1440"/>
        </w:tabs>
        <w:ind w:left="1440" w:hanging="360"/>
      </w:pPr>
    </w:lvl>
    <w:lvl w:ilvl="2" w:tplc="687A8F84" w:tentative="1">
      <w:start w:val="1"/>
      <w:numFmt w:val="lowerRoman"/>
      <w:lvlText w:val="%3."/>
      <w:lvlJc w:val="right"/>
      <w:pPr>
        <w:tabs>
          <w:tab w:val="num" w:pos="2160"/>
        </w:tabs>
        <w:ind w:left="2160" w:hanging="180"/>
      </w:pPr>
    </w:lvl>
    <w:lvl w:ilvl="3" w:tplc="2D7431D4" w:tentative="1">
      <w:start w:val="1"/>
      <w:numFmt w:val="decimal"/>
      <w:lvlText w:val="%4."/>
      <w:lvlJc w:val="left"/>
      <w:pPr>
        <w:tabs>
          <w:tab w:val="num" w:pos="2880"/>
        </w:tabs>
        <w:ind w:left="2880" w:hanging="360"/>
      </w:pPr>
    </w:lvl>
    <w:lvl w:ilvl="4" w:tplc="1DAA6994" w:tentative="1">
      <w:start w:val="1"/>
      <w:numFmt w:val="lowerLetter"/>
      <w:lvlText w:val="%5."/>
      <w:lvlJc w:val="left"/>
      <w:pPr>
        <w:tabs>
          <w:tab w:val="num" w:pos="3600"/>
        </w:tabs>
        <w:ind w:left="3600" w:hanging="360"/>
      </w:pPr>
    </w:lvl>
    <w:lvl w:ilvl="5" w:tplc="E83AAE94" w:tentative="1">
      <w:start w:val="1"/>
      <w:numFmt w:val="lowerRoman"/>
      <w:lvlText w:val="%6."/>
      <w:lvlJc w:val="right"/>
      <w:pPr>
        <w:tabs>
          <w:tab w:val="num" w:pos="4320"/>
        </w:tabs>
        <w:ind w:left="4320" w:hanging="180"/>
      </w:pPr>
    </w:lvl>
    <w:lvl w:ilvl="6" w:tplc="0330C85A" w:tentative="1">
      <w:start w:val="1"/>
      <w:numFmt w:val="decimal"/>
      <w:lvlText w:val="%7."/>
      <w:lvlJc w:val="left"/>
      <w:pPr>
        <w:tabs>
          <w:tab w:val="num" w:pos="5040"/>
        </w:tabs>
        <w:ind w:left="5040" w:hanging="360"/>
      </w:pPr>
    </w:lvl>
    <w:lvl w:ilvl="7" w:tplc="D26E4FE6" w:tentative="1">
      <w:start w:val="1"/>
      <w:numFmt w:val="lowerLetter"/>
      <w:lvlText w:val="%8."/>
      <w:lvlJc w:val="left"/>
      <w:pPr>
        <w:tabs>
          <w:tab w:val="num" w:pos="5760"/>
        </w:tabs>
        <w:ind w:left="5760" w:hanging="360"/>
      </w:pPr>
    </w:lvl>
    <w:lvl w:ilvl="8" w:tplc="B574A9C0" w:tentative="1">
      <w:start w:val="1"/>
      <w:numFmt w:val="lowerRoman"/>
      <w:lvlText w:val="%9."/>
      <w:lvlJc w:val="right"/>
      <w:pPr>
        <w:tabs>
          <w:tab w:val="num" w:pos="6480"/>
        </w:tabs>
        <w:ind w:left="6480" w:hanging="180"/>
      </w:pPr>
    </w:lvl>
  </w:abstractNum>
  <w:abstractNum w:abstractNumId="20" w15:restartNumberingAfterBreak="0">
    <w:nsid w:val="708A38CC"/>
    <w:multiLevelType w:val="hybridMultilevel"/>
    <w:tmpl w:val="1E90C296"/>
    <w:lvl w:ilvl="0" w:tplc="B8E80B70">
      <w:start w:val="100"/>
      <w:numFmt w:val="upperRoman"/>
      <w:lvlText w:val="%1."/>
      <w:lvlJc w:val="left"/>
      <w:pPr>
        <w:tabs>
          <w:tab w:val="num" w:pos="1440"/>
        </w:tabs>
        <w:ind w:left="1440" w:hanging="720"/>
      </w:pPr>
      <w:rPr>
        <w:rFonts w:hint="default"/>
      </w:rPr>
    </w:lvl>
    <w:lvl w:ilvl="1" w:tplc="2078DC58" w:tentative="1">
      <w:start w:val="1"/>
      <w:numFmt w:val="lowerLetter"/>
      <w:lvlText w:val="%2."/>
      <w:lvlJc w:val="left"/>
      <w:pPr>
        <w:tabs>
          <w:tab w:val="num" w:pos="1800"/>
        </w:tabs>
        <w:ind w:left="1800" w:hanging="360"/>
      </w:pPr>
    </w:lvl>
    <w:lvl w:ilvl="2" w:tplc="C95C6FC0" w:tentative="1">
      <w:start w:val="1"/>
      <w:numFmt w:val="lowerRoman"/>
      <w:lvlText w:val="%3."/>
      <w:lvlJc w:val="right"/>
      <w:pPr>
        <w:tabs>
          <w:tab w:val="num" w:pos="2520"/>
        </w:tabs>
        <w:ind w:left="2520" w:hanging="180"/>
      </w:pPr>
    </w:lvl>
    <w:lvl w:ilvl="3" w:tplc="7D2C7350" w:tentative="1">
      <w:start w:val="1"/>
      <w:numFmt w:val="decimal"/>
      <w:lvlText w:val="%4."/>
      <w:lvlJc w:val="left"/>
      <w:pPr>
        <w:tabs>
          <w:tab w:val="num" w:pos="3240"/>
        </w:tabs>
        <w:ind w:left="3240" w:hanging="360"/>
      </w:pPr>
    </w:lvl>
    <w:lvl w:ilvl="4" w:tplc="439048D4" w:tentative="1">
      <w:start w:val="1"/>
      <w:numFmt w:val="lowerLetter"/>
      <w:lvlText w:val="%5."/>
      <w:lvlJc w:val="left"/>
      <w:pPr>
        <w:tabs>
          <w:tab w:val="num" w:pos="3960"/>
        </w:tabs>
        <w:ind w:left="3960" w:hanging="360"/>
      </w:pPr>
    </w:lvl>
    <w:lvl w:ilvl="5" w:tplc="66424B10" w:tentative="1">
      <w:start w:val="1"/>
      <w:numFmt w:val="lowerRoman"/>
      <w:lvlText w:val="%6."/>
      <w:lvlJc w:val="right"/>
      <w:pPr>
        <w:tabs>
          <w:tab w:val="num" w:pos="4680"/>
        </w:tabs>
        <w:ind w:left="4680" w:hanging="180"/>
      </w:pPr>
    </w:lvl>
    <w:lvl w:ilvl="6" w:tplc="3A94D236" w:tentative="1">
      <w:start w:val="1"/>
      <w:numFmt w:val="decimal"/>
      <w:lvlText w:val="%7."/>
      <w:lvlJc w:val="left"/>
      <w:pPr>
        <w:tabs>
          <w:tab w:val="num" w:pos="5400"/>
        </w:tabs>
        <w:ind w:left="5400" w:hanging="360"/>
      </w:pPr>
    </w:lvl>
    <w:lvl w:ilvl="7" w:tplc="EBF0D572" w:tentative="1">
      <w:start w:val="1"/>
      <w:numFmt w:val="lowerLetter"/>
      <w:lvlText w:val="%8."/>
      <w:lvlJc w:val="left"/>
      <w:pPr>
        <w:tabs>
          <w:tab w:val="num" w:pos="6120"/>
        </w:tabs>
        <w:ind w:left="6120" w:hanging="360"/>
      </w:pPr>
    </w:lvl>
    <w:lvl w:ilvl="8" w:tplc="EEB06498" w:tentative="1">
      <w:start w:val="1"/>
      <w:numFmt w:val="lowerRoman"/>
      <w:lvlText w:val="%9."/>
      <w:lvlJc w:val="right"/>
      <w:pPr>
        <w:tabs>
          <w:tab w:val="num" w:pos="6840"/>
        </w:tabs>
        <w:ind w:left="6840" w:hanging="180"/>
      </w:pPr>
    </w:lvl>
  </w:abstractNum>
  <w:num w:numId="1">
    <w:abstractNumId w:val="13"/>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0"/>
  </w:num>
  <w:num w:numId="15">
    <w:abstractNumId w:val="19"/>
  </w:num>
  <w:num w:numId="16">
    <w:abstractNumId w:val="20"/>
  </w:num>
  <w:num w:numId="17">
    <w:abstractNumId w:val="16"/>
  </w:num>
  <w:num w:numId="18">
    <w:abstractNumId w:val="15"/>
  </w:num>
  <w:num w:numId="19">
    <w:abstractNumId w:val="15"/>
    <w:lvlOverride w:ilvl="0">
      <w:startOverride w:val="5"/>
    </w:lvlOverride>
  </w:num>
  <w:num w:numId="20">
    <w:abstractNumId w:val="17"/>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removePersonalInformation/>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A1"/>
    <w:rsid w:val="005240A1"/>
    <w:rsid w:val="0078417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23E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3E1"/>
    <w:rPr>
      <w:sz w:val="24"/>
      <w:szCs w:val="24"/>
    </w:rPr>
  </w:style>
  <w:style w:type="paragraph" w:styleId="Heading1">
    <w:name w:val="heading 1"/>
    <w:basedOn w:val="Normal"/>
    <w:next w:val="Normal"/>
    <w:link w:val="Heading1Char"/>
    <w:autoRedefine/>
    <w:qFormat/>
    <w:rsid w:val="008A3471"/>
    <w:pPr>
      <w:keepNext/>
      <w:spacing w:before="240" w:line="480" w:lineRule="auto"/>
      <w:outlineLvl w:val="0"/>
    </w:pPr>
    <w:rPr>
      <w:rFonts w:ascii="Times New Roman Bold" w:hAnsi="Times New Roman Bold"/>
      <w:b/>
      <w:bCs/>
      <w:caps/>
      <w:kern w:val="32"/>
      <w:szCs w:val="32"/>
    </w:rPr>
  </w:style>
  <w:style w:type="paragraph" w:styleId="Heading2">
    <w:name w:val="heading 2"/>
    <w:basedOn w:val="Normal"/>
    <w:next w:val="Normal"/>
    <w:link w:val="Heading2Char"/>
    <w:autoRedefine/>
    <w:qFormat/>
    <w:rsid w:val="008A3471"/>
    <w:pPr>
      <w:keepNext/>
      <w:spacing w:after="240"/>
      <w:ind w:left="1440" w:right="720" w:hanging="720"/>
      <w:outlineLvl w:val="1"/>
    </w:pPr>
    <w:rPr>
      <w:rFonts w:ascii="Times New Roman Bold" w:hAnsi="Times New Roman Bold"/>
      <w:b/>
      <w:bCs/>
      <w:iCs/>
      <w:szCs w:val="28"/>
    </w:rPr>
  </w:style>
  <w:style w:type="paragraph" w:styleId="Heading3">
    <w:name w:val="heading 3"/>
    <w:basedOn w:val="Normal"/>
    <w:next w:val="Normal"/>
    <w:link w:val="Heading3Char"/>
    <w:autoRedefine/>
    <w:qFormat/>
    <w:rsid w:val="001063E1"/>
    <w:pPr>
      <w:keepNext/>
      <w:spacing w:after="240"/>
      <w:ind w:left="2160" w:hanging="720"/>
      <w:outlineLvl w:val="2"/>
    </w:pPr>
    <w:rPr>
      <w:rFonts w:ascii="Times New Roman Bold" w:hAnsi="Times New Roman Bold"/>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A3471"/>
    <w:rPr>
      <w:rFonts w:ascii="Times New Roman Bold" w:hAnsi="Times New Roman Bold"/>
      <w:b/>
      <w:bCs/>
      <w:caps/>
      <w:kern w:val="32"/>
      <w:sz w:val="24"/>
      <w:szCs w:val="32"/>
    </w:rPr>
  </w:style>
  <w:style w:type="character" w:customStyle="1" w:styleId="Heading2Char">
    <w:name w:val="Heading 2 Char"/>
    <w:link w:val="Heading2"/>
    <w:rsid w:val="008A3471"/>
    <w:rPr>
      <w:rFonts w:ascii="Times New Roman Bold" w:hAnsi="Times New Roman Bold"/>
      <w:b/>
      <w:bCs/>
      <w:iCs/>
      <w:sz w:val="24"/>
      <w:szCs w:val="28"/>
    </w:rPr>
  </w:style>
  <w:style w:type="character" w:customStyle="1" w:styleId="Heading3Char">
    <w:name w:val="Heading 3 Char"/>
    <w:link w:val="Heading3"/>
    <w:semiHidden/>
    <w:rsid w:val="001063E1"/>
    <w:rPr>
      <w:rFonts w:ascii="Times New Roman Bold" w:eastAsia="Times New Roman" w:hAnsi="Times New Roman Bold" w:cs="Times New Roman"/>
      <w:b/>
      <w:bCs/>
      <w:sz w:val="24"/>
      <w:szCs w:val="26"/>
    </w:rPr>
  </w:style>
  <w:style w:type="paragraph" w:styleId="FootnoteText">
    <w:name w:val="footnote text"/>
    <w:basedOn w:val="Normal"/>
    <w:link w:val="FootnoteTextChar"/>
    <w:autoRedefine/>
    <w:semiHidden/>
    <w:rsid w:val="00A47C6D"/>
    <w:pPr>
      <w:spacing w:after="120"/>
    </w:pPr>
    <w:rPr>
      <w:sz w:val="20"/>
      <w:szCs w:val="20"/>
    </w:rPr>
  </w:style>
  <w:style w:type="character" w:styleId="FootnoteReference">
    <w:name w:val="footnote reference"/>
    <w:aliases w:val="(NECG) Footnote Reference,Appel note de bas de p,Style 12,Style 124,Style 13,Style 3,fr,o"/>
    <w:semiHidden/>
    <w:rsid w:val="00EB1F73"/>
    <w:rPr>
      <w:vertAlign w:val="superscript"/>
    </w:rPr>
  </w:style>
  <w:style w:type="table" w:styleId="TableGrid">
    <w:name w:val="Table Grid"/>
    <w:basedOn w:val="TableNormal"/>
    <w:rsid w:val="00653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B64361"/>
    <w:rPr>
      <w:sz w:val="20"/>
      <w:szCs w:val="20"/>
    </w:rPr>
  </w:style>
  <w:style w:type="character" w:customStyle="1" w:styleId="EndnoteTextChar">
    <w:name w:val="Endnote Text Char"/>
    <w:basedOn w:val="DefaultParagraphFont"/>
    <w:link w:val="EndnoteText"/>
    <w:rsid w:val="00B64361"/>
  </w:style>
  <w:style w:type="character" w:styleId="EndnoteReference">
    <w:name w:val="endnote reference"/>
    <w:rsid w:val="00B64361"/>
    <w:rPr>
      <w:vertAlign w:val="superscript"/>
    </w:rPr>
  </w:style>
  <w:style w:type="character" w:styleId="Hyperlink">
    <w:name w:val="Hyperlink"/>
    <w:uiPriority w:val="99"/>
    <w:rsid w:val="00CC3537"/>
    <w:rPr>
      <w:color w:val="0000FF"/>
      <w:u w:val="single"/>
    </w:rPr>
  </w:style>
  <w:style w:type="paragraph" w:styleId="Header">
    <w:name w:val="header"/>
    <w:basedOn w:val="Normal"/>
    <w:link w:val="HeaderChar"/>
    <w:rsid w:val="00932FD7"/>
    <w:pPr>
      <w:tabs>
        <w:tab w:val="center" w:pos="4680"/>
        <w:tab w:val="right" w:pos="9360"/>
      </w:tabs>
    </w:pPr>
  </w:style>
  <w:style w:type="character" w:customStyle="1" w:styleId="HeaderChar">
    <w:name w:val="Header Char"/>
    <w:link w:val="Header"/>
    <w:rsid w:val="00932FD7"/>
    <w:rPr>
      <w:sz w:val="24"/>
      <w:szCs w:val="24"/>
    </w:rPr>
  </w:style>
  <w:style w:type="paragraph" w:styleId="Footer">
    <w:name w:val="footer"/>
    <w:basedOn w:val="Normal"/>
    <w:link w:val="FooterChar"/>
    <w:uiPriority w:val="99"/>
    <w:rsid w:val="00932FD7"/>
    <w:pPr>
      <w:tabs>
        <w:tab w:val="center" w:pos="4680"/>
        <w:tab w:val="right" w:pos="9360"/>
      </w:tabs>
    </w:pPr>
  </w:style>
  <w:style w:type="character" w:customStyle="1" w:styleId="FooterChar">
    <w:name w:val="Footer Char"/>
    <w:link w:val="Footer"/>
    <w:uiPriority w:val="99"/>
    <w:rsid w:val="00932FD7"/>
    <w:rPr>
      <w:sz w:val="24"/>
      <w:szCs w:val="24"/>
    </w:rPr>
  </w:style>
  <w:style w:type="paragraph" w:styleId="BalloonText">
    <w:name w:val="Balloon Text"/>
    <w:basedOn w:val="Normal"/>
    <w:link w:val="BalloonTextChar"/>
    <w:rsid w:val="00395616"/>
    <w:rPr>
      <w:rFonts w:ascii="Tahoma" w:hAnsi="Tahoma" w:cs="Tahoma"/>
      <w:sz w:val="16"/>
      <w:szCs w:val="16"/>
    </w:rPr>
  </w:style>
  <w:style w:type="character" w:customStyle="1" w:styleId="BalloonTextChar">
    <w:name w:val="Balloon Text Char"/>
    <w:link w:val="BalloonText"/>
    <w:rsid w:val="00395616"/>
    <w:rPr>
      <w:rFonts w:ascii="Tahoma" w:hAnsi="Tahoma" w:cs="Tahoma"/>
      <w:sz w:val="16"/>
      <w:szCs w:val="16"/>
    </w:rPr>
  </w:style>
  <w:style w:type="paragraph" w:styleId="BodyTextIndent3">
    <w:name w:val="Body Text Indent 3"/>
    <w:basedOn w:val="Normal"/>
    <w:link w:val="BodyTextIndent3Char"/>
    <w:rsid w:val="00CB7AAD"/>
    <w:pPr>
      <w:spacing w:line="480" w:lineRule="atLeast"/>
      <w:ind w:firstLine="720"/>
    </w:pPr>
    <w:rPr>
      <w:szCs w:val="20"/>
    </w:rPr>
  </w:style>
  <w:style w:type="character" w:customStyle="1" w:styleId="BodyTextIndent3Char">
    <w:name w:val="Body Text Indent 3 Char"/>
    <w:link w:val="BodyTextIndent3"/>
    <w:rsid w:val="00CB7AAD"/>
    <w:rPr>
      <w:sz w:val="24"/>
    </w:rPr>
  </w:style>
  <w:style w:type="paragraph" w:styleId="BodyText">
    <w:name w:val="Body Text"/>
    <w:basedOn w:val="Normal"/>
    <w:link w:val="BodyTextChar"/>
    <w:rsid w:val="00CB7AAD"/>
    <w:pPr>
      <w:jc w:val="both"/>
    </w:pPr>
    <w:rPr>
      <w:szCs w:val="20"/>
    </w:rPr>
  </w:style>
  <w:style w:type="character" w:customStyle="1" w:styleId="BodyTextChar">
    <w:name w:val="Body Text Char"/>
    <w:link w:val="BodyText"/>
    <w:rsid w:val="00CB7AAD"/>
    <w:rPr>
      <w:sz w:val="24"/>
    </w:rPr>
  </w:style>
  <w:style w:type="paragraph" w:styleId="CommentText">
    <w:name w:val="annotation text"/>
    <w:basedOn w:val="Normal"/>
    <w:link w:val="CommentTextChar"/>
    <w:rsid w:val="00CB7AAD"/>
  </w:style>
  <w:style w:type="character" w:customStyle="1" w:styleId="CommentTextChar">
    <w:name w:val="Comment Text Char"/>
    <w:link w:val="CommentText"/>
    <w:rsid w:val="00CB7AAD"/>
    <w:rPr>
      <w:sz w:val="24"/>
      <w:szCs w:val="24"/>
    </w:rPr>
  </w:style>
  <w:style w:type="paragraph" w:styleId="CommentSubject">
    <w:name w:val="annotation subject"/>
    <w:basedOn w:val="CommentText"/>
    <w:next w:val="CommentText"/>
    <w:link w:val="CommentSubjectChar"/>
    <w:rsid w:val="00CB7AAD"/>
    <w:rPr>
      <w:szCs w:val="20"/>
    </w:rPr>
  </w:style>
  <w:style w:type="character" w:customStyle="1" w:styleId="CommentSubjectChar">
    <w:name w:val="Comment Subject Char"/>
    <w:basedOn w:val="CommentTextChar"/>
    <w:link w:val="CommentSubject"/>
    <w:rsid w:val="00CB7AAD"/>
    <w:rPr>
      <w:sz w:val="24"/>
      <w:szCs w:val="24"/>
    </w:rPr>
  </w:style>
  <w:style w:type="paragraph" w:styleId="TOC1">
    <w:name w:val="toc 1"/>
    <w:basedOn w:val="Normal"/>
    <w:next w:val="Normal"/>
    <w:autoRedefine/>
    <w:uiPriority w:val="39"/>
    <w:qFormat/>
    <w:rsid w:val="00CB7AAD"/>
    <w:pPr>
      <w:tabs>
        <w:tab w:val="left" w:pos="720"/>
        <w:tab w:val="decimal" w:leader="dot" w:pos="8640"/>
      </w:tabs>
      <w:spacing w:after="240"/>
      <w:ind w:left="720" w:hanging="720"/>
    </w:pPr>
    <w:rPr>
      <w:caps/>
    </w:rPr>
  </w:style>
  <w:style w:type="paragraph" w:styleId="TOC2">
    <w:name w:val="toc 2"/>
    <w:basedOn w:val="Normal"/>
    <w:next w:val="Normal"/>
    <w:autoRedefine/>
    <w:uiPriority w:val="39"/>
    <w:qFormat/>
    <w:rsid w:val="00CB7AAD"/>
    <w:pPr>
      <w:tabs>
        <w:tab w:val="left" w:pos="720"/>
        <w:tab w:val="decimal" w:leader="dot" w:pos="8640"/>
      </w:tabs>
      <w:spacing w:after="240"/>
      <w:ind w:left="1440" w:hanging="720"/>
    </w:pPr>
  </w:style>
  <w:style w:type="character" w:styleId="CommentReference">
    <w:name w:val="annotation reference"/>
    <w:uiPriority w:val="99"/>
    <w:rsid w:val="00C05E69"/>
    <w:rPr>
      <w:sz w:val="16"/>
      <w:szCs w:val="16"/>
    </w:rPr>
  </w:style>
  <w:style w:type="character" w:customStyle="1" w:styleId="FootnoteTextChar">
    <w:name w:val="Footnote Text Char"/>
    <w:link w:val="FootnoteText"/>
    <w:semiHidden/>
    <w:locked/>
    <w:rsid w:val="00A47C6D"/>
  </w:style>
  <w:style w:type="paragraph" w:styleId="ListParagraph">
    <w:name w:val="List Paragraph"/>
    <w:basedOn w:val="Normal"/>
    <w:qFormat/>
    <w:rsid w:val="00AC269F"/>
    <w:pPr>
      <w:spacing w:after="200" w:line="276" w:lineRule="auto"/>
      <w:ind w:left="720"/>
    </w:pPr>
    <w:rPr>
      <w:rFonts w:ascii="Calibri" w:hAnsi="Calibri"/>
      <w:sz w:val="22"/>
      <w:szCs w:val="22"/>
    </w:rPr>
  </w:style>
  <w:style w:type="table" w:customStyle="1" w:styleId="TableGrid1">
    <w:name w:val="Table Grid1"/>
    <w:basedOn w:val="TableNormal"/>
    <w:next w:val="TableGrid"/>
    <w:uiPriority w:val="59"/>
    <w:rsid w:val="00EF7B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7B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7B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C658A2"/>
  </w:style>
  <w:style w:type="character" w:styleId="Emphasis">
    <w:name w:val="Emphasis"/>
    <w:basedOn w:val="DefaultParagraphFont"/>
    <w:uiPriority w:val="20"/>
    <w:qFormat/>
    <w:rsid w:val="00C658A2"/>
    <w:rPr>
      <w:i/>
      <w:iCs/>
    </w:rPr>
  </w:style>
  <w:style w:type="character" w:styleId="FollowedHyperlink">
    <w:name w:val="FollowedHyperlink"/>
    <w:basedOn w:val="DefaultParagraphFont"/>
    <w:semiHidden/>
    <w:unhideWhenUsed/>
    <w:rsid w:val="003B48D1"/>
    <w:rPr>
      <w:color w:val="800080" w:themeColor="followedHyperlink"/>
      <w:u w:val="single"/>
    </w:rPr>
  </w:style>
  <w:style w:type="paragraph" w:styleId="NormalWeb">
    <w:name w:val="Normal (Web)"/>
    <w:basedOn w:val="Normal"/>
    <w:uiPriority w:val="99"/>
    <w:semiHidden/>
    <w:unhideWhenUsed/>
    <w:rsid w:val="0062147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di.bair@occ.ohio.gov"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puco.ohio.gov/puco/index.cfm/rules/pending-rules/staff-guidelines-for-electric-utility-reliability-standards-under-rule-4901-1-10-10-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2670</Words>
  <Characters>14958</Characters>
  <Application>Microsoft Office Word</Application>
  <DocSecurity>0</DocSecurity>
  <Lines>267</Lines>
  <Paragraphs>309</Paragraphs>
  <ScaleCrop>false</ScaleCrop>
  <HeadingPairs>
    <vt:vector size="2" baseType="variant">
      <vt:variant>
        <vt:lpstr>Title</vt:lpstr>
      </vt:variant>
      <vt:variant>
        <vt:i4>1</vt:i4>
      </vt:variant>
    </vt:vector>
  </HeadingPairs>
  <TitlesOfParts>
    <vt:vector size="1" baseType="lpstr">
      <vt:lpstr>Reply Comments (16-1602).DOCX</vt:lpstr>
    </vt:vector>
  </TitlesOfParts>
  <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2017-03-24T20:13:00Z</dcterms:created>
  <dcterms:modified xsi:type="dcterms:W3CDTF">2017-03-24T20:14:00Z</dcterms:modified>
</cp:coreProperties>
</file>