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8632" w14:textId="77777777" w:rsidR="00E34ED2" w:rsidRPr="009D71F6" w:rsidRDefault="00E34ED2" w:rsidP="00E34ED2">
      <w:pPr>
        <w:pStyle w:val="Title"/>
        <w:widowControl w:val="0"/>
        <w:rPr>
          <w:rFonts w:ascii="Arial" w:hAnsi="Arial" w:cs="Arial"/>
          <w:szCs w:val="24"/>
        </w:rPr>
      </w:pPr>
      <w:r w:rsidRPr="009D71F6">
        <w:rPr>
          <w:rFonts w:ascii="Arial" w:hAnsi="Arial" w:cs="Arial"/>
          <w:szCs w:val="24"/>
        </w:rPr>
        <w:t>BEFORE</w:t>
      </w:r>
    </w:p>
    <w:p w14:paraId="6BEC31E9" w14:textId="77777777" w:rsidR="00E34ED2" w:rsidRPr="009D71F6" w:rsidRDefault="00E34ED2" w:rsidP="00E34ED2">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E34ED2" w:rsidRPr="009D71F6" w14:paraId="697F241E" w14:textId="77777777" w:rsidTr="00177C60">
        <w:trPr>
          <w:trHeight w:val="873"/>
          <w:jc w:val="center"/>
        </w:trPr>
        <w:tc>
          <w:tcPr>
            <w:tcW w:w="4739" w:type="dxa"/>
          </w:tcPr>
          <w:p w14:paraId="5F439A53" w14:textId="77777777" w:rsidR="00E34ED2" w:rsidRPr="009D71F6" w:rsidRDefault="00E34ED2" w:rsidP="00177C60">
            <w:pPr>
              <w:widowControl w:val="0"/>
              <w:spacing w:after="0" w:line="240" w:lineRule="auto"/>
              <w:jc w:val="both"/>
              <w:rPr>
                <w:rFonts w:ascii="Arial" w:hAnsi="Arial" w:cs="Arial"/>
                <w:sz w:val="24"/>
                <w:szCs w:val="24"/>
              </w:rPr>
            </w:pPr>
            <w:r w:rsidRPr="003D01DA">
              <w:rPr>
                <w:rFonts w:ascii="Arial" w:hAnsi="Arial" w:cs="Arial"/>
                <w:sz w:val="24"/>
                <w:szCs w:val="24"/>
              </w:rPr>
              <w:t>In th</w:t>
            </w:r>
            <w:r>
              <w:rPr>
                <w:rFonts w:ascii="Arial" w:hAnsi="Arial" w:cs="Arial"/>
                <w:sz w:val="24"/>
                <w:szCs w:val="24"/>
              </w:rPr>
              <w:t xml:space="preserve">e Matter of Application of Duke </w:t>
            </w:r>
            <w:r w:rsidRPr="003D01DA">
              <w:rPr>
                <w:rFonts w:ascii="Arial" w:hAnsi="Arial" w:cs="Arial"/>
                <w:sz w:val="24"/>
                <w:szCs w:val="24"/>
              </w:rPr>
              <w:t>Ene</w:t>
            </w:r>
            <w:r>
              <w:rPr>
                <w:rFonts w:ascii="Arial" w:hAnsi="Arial" w:cs="Arial"/>
                <w:sz w:val="24"/>
                <w:szCs w:val="24"/>
              </w:rPr>
              <w:t>rgy Ohio, Inc. to File for Tariff Approval</w:t>
            </w:r>
          </w:p>
        </w:tc>
        <w:tc>
          <w:tcPr>
            <w:tcW w:w="630" w:type="dxa"/>
          </w:tcPr>
          <w:p w14:paraId="3F844489"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0460234"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8CF54D7"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34F68EAD" w14:textId="77777777" w:rsidR="00E34ED2" w:rsidRPr="009D71F6" w:rsidRDefault="00E34ED2" w:rsidP="00177C60">
            <w:pPr>
              <w:widowControl w:val="0"/>
              <w:spacing w:after="0" w:line="240" w:lineRule="auto"/>
              <w:jc w:val="center"/>
              <w:rPr>
                <w:rFonts w:ascii="Arial" w:hAnsi="Arial" w:cs="Arial"/>
                <w:sz w:val="24"/>
                <w:szCs w:val="24"/>
              </w:rPr>
            </w:pPr>
          </w:p>
        </w:tc>
        <w:tc>
          <w:tcPr>
            <w:tcW w:w="3928" w:type="dxa"/>
          </w:tcPr>
          <w:p w14:paraId="71CC6321" w14:textId="77777777" w:rsidR="00E34ED2" w:rsidRPr="009D71F6" w:rsidRDefault="00E34ED2" w:rsidP="00177C60">
            <w:pPr>
              <w:widowControl w:val="0"/>
              <w:spacing w:after="0" w:line="240" w:lineRule="auto"/>
              <w:rPr>
                <w:rFonts w:ascii="Arial" w:hAnsi="Arial" w:cs="Arial"/>
                <w:sz w:val="24"/>
                <w:szCs w:val="24"/>
              </w:rPr>
            </w:pPr>
          </w:p>
          <w:p w14:paraId="4903D27D" w14:textId="77777777" w:rsidR="00E34ED2" w:rsidRPr="009D71F6" w:rsidRDefault="00E34ED2" w:rsidP="00177C60">
            <w:pPr>
              <w:widowControl w:val="0"/>
              <w:spacing w:after="0" w:line="240" w:lineRule="auto"/>
              <w:rPr>
                <w:rFonts w:ascii="Arial" w:hAnsi="Arial" w:cs="Arial"/>
                <w:sz w:val="24"/>
                <w:szCs w:val="24"/>
              </w:rPr>
            </w:pPr>
            <w:r>
              <w:rPr>
                <w:rFonts w:ascii="Arial" w:hAnsi="Arial" w:cs="Arial"/>
                <w:sz w:val="24"/>
                <w:szCs w:val="24"/>
              </w:rPr>
              <w:t>Case No. 14-2209-EL-ATA</w:t>
            </w:r>
          </w:p>
          <w:p w14:paraId="32AED5A9" w14:textId="77777777" w:rsidR="00E34ED2" w:rsidRPr="009D71F6" w:rsidRDefault="00E34ED2" w:rsidP="00177C60">
            <w:pPr>
              <w:widowControl w:val="0"/>
              <w:spacing w:after="0" w:line="240" w:lineRule="auto"/>
              <w:rPr>
                <w:rFonts w:ascii="Arial" w:hAnsi="Arial" w:cs="Arial"/>
                <w:sz w:val="24"/>
                <w:szCs w:val="24"/>
              </w:rPr>
            </w:pPr>
          </w:p>
          <w:p w14:paraId="78477C79" w14:textId="77777777" w:rsidR="00E34ED2" w:rsidRPr="009D71F6" w:rsidRDefault="00E34ED2" w:rsidP="00177C60">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9" w14:textId="17358622" w:rsidR="00545F29" w:rsidRPr="009D71F6" w:rsidRDefault="00A806E5">
      <w:pPr>
        <w:widowControl w:val="0"/>
        <w:spacing w:after="0" w:line="240" w:lineRule="auto"/>
        <w:jc w:val="center"/>
        <w:rPr>
          <w:rFonts w:ascii="Arial" w:hAnsi="Arial" w:cs="Arial"/>
          <w:b/>
          <w:bCs/>
          <w:sz w:val="24"/>
          <w:szCs w:val="24"/>
        </w:rPr>
      </w:pPr>
      <w:r>
        <w:rPr>
          <w:rFonts w:ascii="Arial" w:hAnsi="Arial" w:cs="Arial"/>
          <w:b/>
          <w:bCs/>
          <w:sz w:val="24"/>
          <w:szCs w:val="24"/>
        </w:rPr>
        <w:t xml:space="preserve">MOTION TO </w:t>
      </w:r>
      <w:r w:rsidR="000038EF">
        <w:rPr>
          <w:rFonts w:ascii="Arial" w:hAnsi="Arial" w:cs="Arial"/>
          <w:b/>
          <w:bCs/>
          <w:sz w:val="24"/>
          <w:szCs w:val="24"/>
        </w:rPr>
        <w:t xml:space="preserve">COMPEL </w:t>
      </w:r>
      <w:r>
        <w:rPr>
          <w:rFonts w:ascii="Arial" w:hAnsi="Arial" w:cs="Arial"/>
          <w:b/>
          <w:bCs/>
          <w:sz w:val="24"/>
          <w:szCs w:val="24"/>
        </w:rPr>
        <w:t>PROTECTIVE AGREEMENT</w:t>
      </w:r>
    </w:p>
    <w:p w14:paraId="7176D2CA" w14:textId="50CD62B7"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AA75B4">
        <w:rPr>
          <w:rFonts w:ascii="Arial" w:hAnsi="Arial" w:cs="Arial"/>
          <w:b/>
          <w:bCs/>
          <w:sz w:val="24"/>
          <w:szCs w:val="24"/>
        </w:rPr>
        <w:t xml:space="preserve"> OF IGS ENERGY</w:t>
      </w:r>
      <w:r w:rsidR="002F7C44">
        <w:rPr>
          <w:rFonts w:ascii="Arial" w:hAnsi="Arial" w:cs="Arial"/>
          <w:b/>
          <w:bCs/>
          <w:sz w:val="24"/>
          <w:szCs w:val="24"/>
        </w:rPr>
        <w:t xml:space="preserve"> AND REQUEST FOR EXPEDITED TREATMENT</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2D25732C"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47F2F7F1" w14:textId="2150D310"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34BDCADB" w14:textId="05F111A5" w:rsidR="005259E3" w:rsidRDefault="005259E3" w:rsidP="00237730">
      <w:pPr>
        <w:spacing w:after="0" w:line="240" w:lineRule="auto"/>
        <w:ind w:left="5040"/>
        <w:rPr>
          <w:rFonts w:ascii="Arial" w:hAnsi="Arial" w:cs="Arial"/>
          <w:sz w:val="24"/>
          <w:szCs w:val="24"/>
        </w:rPr>
      </w:pPr>
      <w:r w:rsidRPr="005259E3">
        <w:rPr>
          <w:rFonts w:ascii="Arial" w:hAnsi="Arial" w:cs="Arial"/>
          <w:sz w:val="24"/>
          <w:szCs w:val="24"/>
        </w:rPr>
        <w:t>Email: joliker@igsenergy.com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5669870E" w:rsidR="00237730" w:rsidRDefault="005259E3"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75591524" w14:textId="77777777" w:rsidR="00EC019F" w:rsidRDefault="00EC019F" w:rsidP="00D13280">
      <w:pPr>
        <w:spacing w:after="0" w:line="240" w:lineRule="auto"/>
        <w:rPr>
          <w:rFonts w:ascii="Arial" w:hAnsi="Arial" w:cs="Arial"/>
          <w:b/>
          <w:sz w:val="24"/>
          <w:szCs w:val="24"/>
        </w:rPr>
      </w:pPr>
    </w:p>
    <w:p w14:paraId="758D02C1" w14:textId="77777777" w:rsidR="00EC019F" w:rsidRDefault="00EC019F" w:rsidP="00D13280">
      <w:pPr>
        <w:spacing w:after="0" w:line="240" w:lineRule="auto"/>
        <w:rPr>
          <w:rFonts w:ascii="Arial" w:hAnsi="Arial" w:cs="Arial"/>
          <w:b/>
          <w:sz w:val="24"/>
          <w:szCs w:val="24"/>
        </w:rPr>
      </w:pPr>
    </w:p>
    <w:p w14:paraId="3DAFAFE8" w14:textId="77777777" w:rsidR="00EC019F" w:rsidRDefault="00EC019F" w:rsidP="00D13280">
      <w:pPr>
        <w:spacing w:after="0" w:line="240" w:lineRule="auto"/>
        <w:rPr>
          <w:rFonts w:ascii="Arial" w:hAnsi="Arial" w:cs="Arial"/>
          <w:b/>
          <w:sz w:val="24"/>
          <w:szCs w:val="24"/>
        </w:rPr>
      </w:pPr>
    </w:p>
    <w:p w14:paraId="4D997DF8" w14:textId="77777777" w:rsidR="00E34ED2" w:rsidRDefault="00E34ED2" w:rsidP="00D13280">
      <w:pPr>
        <w:spacing w:after="0" w:line="240" w:lineRule="auto"/>
        <w:rPr>
          <w:rFonts w:ascii="Arial" w:hAnsi="Arial" w:cs="Arial"/>
          <w:b/>
          <w:sz w:val="24"/>
          <w:szCs w:val="24"/>
        </w:rPr>
      </w:pPr>
    </w:p>
    <w:p w14:paraId="14828297" w14:textId="77777777" w:rsidR="00E34ED2" w:rsidRDefault="00E34ED2" w:rsidP="00D13280">
      <w:pPr>
        <w:spacing w:after="0" w:line="240" w:lineRule="auto"/>
        <w:rPr>
          <w:rFonts w:ascii="Arial" w:hAnsi="Arial" w:cs="Arial"/>
          <w:b/>
          <w:sz w:val="24"/>
          <w:szCs w:val="24"/>
        </w:rPr>
      </w:pPr>
    </w:p>
    <w:p w14:paraId="6DD8991E" w14:textId="77777777" w:rsidR="00E34ED2" w:rsidRDefault="00E34ED2" w:rsidP="00D13280">
      <w:pPr>
        <w:spacing w:after="0" w:line="240" w:lineRule="auto"/>
        <w:rPr>
          <w:rFonts w:ascii="Arial" w:hAnsi="Arial" w:cs="Arial"/>
          <w:b/>
          <w:sz w:val="24"/>
          <w:szCs w:val="24"/>
        </w:rPr>
      </w:pPr>
    </w:p>
    <w:p w14:paraId="297711EE" w14:textId="77777777" w:rsidR="00E34ED2" w:rsidRDefault="00E34ED2" w:rsidP="00D13280">
      <w:pPr>
        <w:spacing w:after="0" w:line="240" w:lineRule="auto"/>
        <w:rPr>
          <w:rFonts w:ascii="Arial" w:hAnsi="Arial" w:cs="Arial"/>
          <w:b/>
          <w:sz w:val="24"/>
          <w:szCs w:val="24"/>
        </w:rPr>
      </w:pPr>
    </w:p>
    <w:p w14:paraId="519C4833" w14:textId="77777777" w:rsidR="00E34ED2" w:rsidRDefault="00E34ED2" w:rsidP="00D13280">
      <w:pPr>
        <w:spacing w:after="0" w:line="240" w:lineRule="auto"/>
        <w:rPr>
          <w:rFonts w:ascii="Arial" w:hAnsi="Arial" w:cs="Arial"/>
          <w:b/>
          <w:sz w:val="24"/>
          <w:szCs w:val="24"/>
        </w:rPr>
      </w:pPr>
    </w:p>
    <w:p w14:paraId="186244EE" w14:textId="672BA189" w:rsidR="00542A3B" w:rsidRDefault="00AC5A80" w:rsidP="00EC019F">
      <w:pPr>
        <w:spacing w:after="0" w:line="240" w:lineRule="auto"/>
        <w:rPr>
          <w:rFonts w:ascii="Arial" w:hAnsi="Arial" w:cs="Arial"/>
          <w:b/>
          <w:sz w:val="24"/>
          <w:szCs w:val="24"/>
        </w:rPr>
      </w:pPr>
      <w:r>
        <w:rPr>
          <w:rFonts w:ascii="Arial" w:hAnsi="Arial" w:cs="Arial"/>
          <w:b/>
          <w:sz w:val="24"/>
          <w:szCs w:val="24"/>
        </w:rPr>
        <w:t>September 15</w:t>
      </w:r>
      <w:r w:rsidR="00E34ED2">
        <w:rPr>
          <w:rFonts w:ascii="Arial" w:hAnsi="Arial" w:cs="Arial"/>
          <w:b/>
          <w:sz w:val="24"/>
          <w:szCs w:val="24"/>
        </w:rPr>
        <w:t>, 2016</w:t>
      </w:r>
    </w:p>
    <w:p w14:paraId="528DEA3E" w14:textId="77777777" w:rsidR="005259E3" w:rsidRDefault="005259E3" w:rsidP="00EC019F">
      <w:pPr>
        <w:spacing w:after="0" w:line="240" w:lineRule="auto"/>
        <w:rPr>
          <w:rFonts w:ascii="Arial" w:hAnsi="Arial" w:cs="Arial"/>
          <w:b/>
          <w:sz w:val="24"/>
          <w:szCs w:val="24"/>
        </w:rPr>
      </w:pPr>
    </w:p>
    <w:p w14:paraId="29602D08" w14:textId="77777777" w:rsidR="005259E3" w:rsidRDefault="005259E3" w:rsidP="00EC019F">
      <w:pPr>
        <w:spacing w:after="0" w:line="240" w:lineRule="auto"/>
        <w:rPr>
          <w:rFonts w:ascii="Arial" w:hAnsi="Arial" w:cs="Arial"/>
          <w:b/>
          <w:sz w:val="24"/>
          <w:szCs w:val="24"/>
        </w:rPr>
      </w:pPr>
    </w:p>
    <w:p w14:paraId="43B52F5C" w14:textId="77777777" w:rsidR="00E34ED2" w:rsidRPr="009D71F6" w:rsidRDefault="00E34ED2" w:rsidP="00E34ED2">
      <w:pPr>
        <w:pStyle w:val="Title"/>
        <w:widowControl w:val="0"/>
        <w:rPr>
          <w:rFonts w:ascii="Arial" w:hAnsi="Arial" w:cs="Arial"/>
          <w:szCs w:val="24"/>
        </w:rPr>
      </w:pPr>
      <w:r w:rsidRPr="009D71F6">
        <w:rPr>
          <w:rFonts w:ascii="Arial" w:hAnsi="Arial" w:cs="Arial"/>
          <w:szCs w:val="24"/>
        </w:rPr>
        <w:lastRenderedPageBreak/>
        <w:t>BEFORE</w:t>
      </w:r>
    </w:p>
    <w:p w14:paraId="18E6C7DF" w14:textId="77777777" w:rsidR="00E34ED2" w:rsidRPr="009D71F6" w:rsidRDefault="00E34ED2" w:rsidP="00E34ED2">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E34ED2" w:rsidRPr="009D71F6" w14:paraId="3BFCDF93" w14:textId="77777777" w:rsidTr="00177C60">
        <w:trPr>
          <w:trHeight w:val="873"/>
          <w:jc w:val="center"/>
        </w:trPr>
        <w:tc>
          <w:tcPr>
            <w:tcW w:w="4739" w:type="dxa"/>
          </w:tcPr>
          <w:p w14:paraId="688E7B9E" w14:textId="77777777" w:rsidR="00E34ED2" w:rsidRPr="009D71F6" w:rsidRDefault="00E34ED2" w:rsidP="00177C60">
            <w:pPr>
              <w:widowControl w:val="0"/>
              <w:spacing w:after="0" w:line="240" w:lineRule="auto"/>
              <w:jc w:val="both"/>
              <w:rPr>
                <w:rFonts w:ascii="Arial" w:hAnsi="Arial" w:cs="Arial"/>
                <w:sz w:val="24"/>
                <w:szCs w:val="24"/>
              </w:rPr>
            </w:pPr>
            <w:r w:rsidRPr="003D01DA">
              <w:rPr>
                <w:rFonts w:ascii="Arial" w:hAnsi="Arial" w:cs="Arial"/>
                <w:sz w:val="24"/>
                <w:szCs w:val="24"/>
              </w:rPr>
              <w:t>In th</w:t>
            </w:r>
            <w:r>
              <w:rPr>
                <w:rFonts w:ascii="Arial" w:hAnsi="Arial" w:cs="Arial"/>
                <w:sz w:val="24"/>
                <w:szCs w:val="24"/>
              </w:rPr>
              <w:t xml:space="preserve">e Matter of Application of Duke </w:t>
            </w:r>
            <w:r w:rsidRPr="003D01DA">
              <w:rPr>
                <w:rFonts w:ascii="Arial" w:hAnsi="Arial" w:cs="Arial"/>
                <w:sz w:val="24"/>
                <w:szCs w:val="24"/>
              </w:rPr>
              <w:t>Ene</w:t>
            </w:r>
            <w:r>
              <w:rPr>
                <w:rFonts w:ascii="Arial" w:hAnsi="Arial" w:cs="Arial"/>
                <w:sz w:val="24"/>
                <w:szCs w:val="24"/>
              </w:rPr>
              <w:t>rgy Ohio, Inc. to File for Tariff Approval</w:t>
            </w:r>
          </w:p>
        </w:tc>
        <w:tc>
          <w:tcPr>
            <w:tcW w:w="630" w:type="dxa"/>
          </w:tcPr>
          <w:p w14:paraId="3D2952C9"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559C28E"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F89C41D" w14:textId="77777777" w:rsidR="00E34ED2" w:rsidRPr="009D71F6" w:rsidRDefault="00E34ED2"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33355032" w14:textId="77777777" w:rsidR="00E34ED2" w:rsidRPr="009D71F6" w:rsidRDefault="00E34ED2" w:rsidP="00177C60">
            <w:pPr>
              <w:widowControl w:val="0"/>
              <w:spacing w:after="0" w:line="240" w:lineRule="auto"/>
              <w:jc w:val="center"/>
              <w:rPr>
                <w:rFonts w:ascii="Arial" w:hAnsi="Arial" w:cs="Arial"/>
                <w:sz w:val="24"/>
                <w:szCs w:val="24"/>
              </w:rPr>
            </w:pPr>
          </w:p>
        </w:tc>
        <w:tc>
          <w:tcPr>
            <w:tcW w:w="3928" w:type="dxa"/>
          </w:tcPr>
          <w:p w14:paraId="1F5268D4" w14:textId="77777777" w:rsidR="00E34ED2" w:rsidRPr="009D71F6" w:rsidRDefault="00E34ED2" w:rsidP="00177C60">
            <w:pPr>
              <w:widowControl w:val="0"/>
              <w:spacing w:after="0" w:line="240" w:lineRule="auto"/>
              <w:rPr>
                <w:rFonts w:ascii="Arial" w:hAnsi="Arial" w:cs="Arial"/>
                <w:sz w:val="24"/>
                <w:szCs w:val="24"/>
              </w:rPr>
            </w:pPr>
          </w:p>
          <w:p w14:paraId="378C5E9D" w14:textId="77777777" w:rsidR="00E34ED2" w:rsidRPr="009D71F6" w:rsidRDefault="00E34ED2" w:rsidP="00177C60">
            <w:pPr>
              <w:widowControl w:val="0"/>
              <w:spacing w:after="0" w:line="240" w:lineRule="auto"/>
              <w:rPr>
                <w:rFonts w:ascii="Arial" w:hAnsi="Arial" w:cs="Arial"/>
                <w:sz w:val="24"/>
                <w:szCs w:val="24"/>
              </w:rPr>
            </w:pPr>
            <w:r>
              <w:rPr>
                <w:rFonts w:ascii="Arial" w:hAnsi="Arial" w:cs="Arial"/>
                <w:sz w:val="24"/>
                <w:szCs w:val="24"/>
              </w:rPr>
              <w:t>Case No. 14-2209-EL-ATA</w:t>
            </w:r>
          </w:p>
          <w:p w14:paraId="1F167F75" w14:textId="77777777" w:rsidR="00E34ED2" w:rsidRPr="009D71F6" w:rsidRDefault="00E34ED2" w:rsidP="00177C60">
            <w:pPr>
              <w:widowControl w:val="0"/>
              <w:spacing w:after="0" w:line="240" w:lineRule="auto"/>
              <w:rPr>
                <w:rFonts w:ascii="Arial" w:hAnsi="Arial" w:cs="Arial"/>
                <w:sz w:val="24"/>
                <w:szCs w:val="24"/>
              </w:rPr>
            </w:pPr>
          </w:p>
          <w:p w14:paraId="3D247DDA" w14:textId="77777777" w:rsidR="00E34ED2" w:rsidRPr="009D71F6" w:rsidRDefault="00E34ED2" w:rsidP="00177C60">
            <w:pPr>
              <w:widowControl w:val="0"/>
              <w:spacing w:after="0" w:line="240" w:lineRule="auto"/>
              <w:rPr>
                <w:rFonts w:ascii="Arial" w:hAnsi="Arial" w:cs="Arial"/>
                <w:sz w:val="24"/>
                <w:szCs w:val="24"/>
              </w:rPr>
            </w:pP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784DE695" w:rsidR="00237730" w:rsidRPr="009D71F6" w:rsidRDefault="00E34ED2" w:rsidP="00237730">
      <w:pPr>
        <w:widowControl w:val="0"/>
        <w:spacing w:after="0" w:line="240" w:lineRule="auto"/>
        <w:jc w:val="center"/>
        <w:rPr>
          <w:rFonts w:ascii="Arial" w:hAnsi="Arial" w:cs="Arial"/>
          <w:b/>
          <w:bCs/>
          <w:sz w:val="24"/>
          <w:szCs w:val="24"/>
        </w:rPr>
      </w:pPr>
      <w:r>
        <w:rPr>
          <w:rFonts w:ascii="Arial" w:hAnsi="Arial" w:cs="Arial"/>
          <w:b/>
          <w:bCs/>
          <w:sz w:val="24"/>
          <w:szCs w:val="24"/>
        </w:rPr>
        <w:t>MOTION TO COMPEL</w:t>
      </w:r>
      <w:r w:rsidR="00237730" w:rsidRPr="009D71F6">
        <w:rPr>
          <w:rFonts w:ascii="Arial" w:hAnsi="Arial" w:cs="Arial"/>
          <w:b/>
          <w:bCs/>
          <w:sz w:val="24"/>
          <w:szCs w:val="24"/>
        </w:rPr>
        <w:t xml:space="preserve"> </w:t>
      </w:r>
      <w:r w:rsidR="00662EB7">
        <w:rPr>
          <w:rFonts w:ascii="Arial" w:hAnsi="Arial" w:cs="Arial"/>
          <w:b/>
          <w:bCs/>
          <w:sz w:val="24"/>
          <w:szCs w:val="24"/>
        </w:rPr>
        <w:t>AND REQUEST FOR EXPEDITED TREATMENT</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59DF01F1" w14:textId="164718F8" w:rsidR="00A806E5" w:rsidRDefault="0056270F" w:rsidP="00E34ED2">
      <w:pPr>
        <w:autoSpaceDE w:val="0"/>
        <w:autoSpaceDN w:val="0"/>
        <w:adjustRightInd w:val="0"/>
        <w:spacing w:after="120" w:line="480" w:lineRule="auto"/>
        <w:ind w:firstLine="720"/>
        <w:jc w:val="both"/>
        <w:rPr>
          <w:rFonts w:ascii="Arial" w:hAnsi="Arial" w:cs="Arial"/>
          <w:sz w:val="24"/>
          <w:szCs w:val="24"/>
        </w:rPr>
      </w:pPr>
      <w:r w:rsidRPr="009D71F6">
        <w:rPr>
          <w:rFonts w:ascii="Arial" w:hAnsi="Arial" w:cs="Arial"/>
          <w:sz w:val="24"/>
          <w:szCs w:val="24"/>
        </w:rPr>
        <w:t>Interstate Gas Supply, Inc. (“IGS”</w:t>
      </w:r>
      <w:r w:rsidR="00955F86">
        <w:rPr>
          <w:rFonts w:ascii="Arial" w:hAnsi="Arial" w:cs="Arial"/>
          <w:sz w:val="24"/>
          <w:szCs w:val="24"/>
        </w:rPr>
        <w:t xml:space="preserve"> or “IGS Energy”</w:t>
      </w:r>
      <w:r w:rsidR="00A806E5">
        <w:rPr>
          <w:rFonts w:ascii="Arial" w:hAnsi="Arial" w:cs="Arial"/>
          <w:sz w:val="24"/>
          <w:szCs w:val="24"/>
        </w:rPr>
        <w:t>) moves the At</w:t>
      </w:r>
      <w:r w:rsidR="00AA4B71">
        <w:rPr>
          <w:rFonts w:ascii="Arial" w:hAnsi="Arial" w:cs="Arial"/>
          <w:sz w:val="24"/>
          <w:szCs w:val="24"/>
        </w:rPr>
        <w:t>torney Examiner to establish a protective a</w:t>
      </w:r>
      <w:r w:rsidR="00A806E5">
        <w:rPr>
          <w:rFonts w:ascii="Arial" w:hAnsi="Arial" w:cs="Arial"/>
          <w:sz w:val="24"/>
          <w:szCs w:val="24"/>
        </w:rPr>
        <w:t>greement that can be used for purposes of obtaining confidential information from the</w:t>
      </w:r>
      <w:r w:rsidR="00E34ED2">
        <w:rPr>
          <w:rFonts w:ascii="Arial" w:hAnsi="Arial" w:cs="Arial"/>
          <w:sz w:val="24"/>
          <w:szCs w:val="24"/>
        </w:rPr>
        <w:t xml:space="preserve"> Duke Energy Ohio, Inc. (Duke”) in above-captioned proceeding.</w:t>
      </w:r>
      <w:r w:rsidR="00EF0745">
        <w:rPr>
          <w:rFonts w:ascii="Arial" w:hAnsi="Arial" w:cs="Arial"/>
          <w:sz w:val="24"/>
          <w:szCs w:val="24"/>
        </w:rPr>
        <w:t xml:space="preserve">  Su</w:t>
      </w:r>
      <w:r w:rsidR="007919E7">
        <w:rPr>
          <w:rFonts w:ascii="Arial" w:hAnsi="Arial" w:cs="Arial"/>
          <w:sz w:val="24"/>
          <w:szCs w:val="24"/>
        </w:rPr>
        <w:t xml:space="preserve">ch an order is necessary because the </w:t>
      </w:r>
      <w:r w:rsidR="00E34ED2">
        <w:rPr>
          <w:rFonts w:ascii="Arial" w:hAnsi="Arial" w:cs="Arial"/>
          <w:sz w:val="24"/>
          <w:szCs w:val="24"/>
        </w:rPr>
        <w:t>protective agreement</w:t>
      </w:r>
      <w:r w:rsidR="007919E7">
        <w:rPr>
          <w:rFonts w:ascii="Arial" w:hAnsi="Arial" w:cs="Arial"/>
          <w:sz w:val="24"/>
          <w:szCs w:val="24"/>
        </w:rPr>
        <w:t xml:space="preserve"> proposed by Duke</w:t>
      </w:r>
      <w:r w:rsidR="00E34ED2">
        <w:rPr>
          <w:rFonts w:ascii="Arial" w:hAnsi="Arial" w:cs="Arial"/>
          <w:sz w:val="24"/>
          <w:szCs w:val="24"/>
        </w:rPr>
        <w:t xml:space="preserve"> </w:t>
      </w:r>
      <w:r w:rsidR="00A806E5">
        <w:rPr>
          <w:rFonts w:ascii="Arial" w:hAnsi="Arial" w:cs="Arial"/>
          <w:sz w:val="24"/>
          <w:szCs w:val="24"/>
        </w:rPr>
        <w:t>contains</w:t>
      </w:r>
      <w:r w:rsidR="00E34ED2">
        <w:rPr>
          <w:rFonts w:ascii="Arial" w:hAnsi="Arial" w:cs="Arial"/>
          <w:sz w:val="24"/>
          <w:szCs w:val="24"/>
        </w:rPr>
        <w:t xml:space="preserve"> a restriction—that IGS cannot retain and utilize </w:t>
      </w:r>
      <w:r w:rsidR="00AC5A80">
        <w:rPr>
          <w:rFonts w:ascii="Arial" w:hAnsi="Arial" w:cs="Arial"/>
          <w:sz w:val="24"/>
          <w:szCs w:val="24"/>
        </w:rPr>
        <w:t xml:space="preserve">confidential </w:t>
      </w:r>
      <w:r w:rsidR="00E34ED2">
        <w:rPr>
          <w:rFonts w:ascii="Arial" w:hAnsi="Arial" w:cs="Arial"/>
          <w:sz w:val="24"/>
          <w:szCs w:val="24"/>
        </w:rPr>
        <w:t>documents produced in this proceeding under</w:t>
      </w:r>
      <w:r w:rsidR="007919E7">
        <w:rPr>
          <w:rFonts w:ascii="Arial" w:hAnsi="Arial" w:cs="Arial"/>
          <w:sz w:val="24"/>
          <w:szCs w:val="24"/>
        </w:rPr>
        <w:t xml:space="preserve"> seal in any future proceeding—the </w:t>
      </w:r>
      <w:r w:rsidR="00AC5A80">
        <w:rPr>
          <w:rFonts w:ascii="Arial" w:hAnsi="Arial" w:cs="Arial"/>
          <w:sz w:val="24"/>
          <w:szCs w:val="24"/>
        </w:rPr>
        <w:t xml:space="preserve">Public Utilities </w:t>
      </w:r>
      <w:r w:rsidR="007919E7">
        <w:rPr>
          <w:rFonts w:ascii="Arial" w:hAnsi="Arial" w:cs="Arial"/>
          <w:sz w:val="24"/>
          <w:szCs w:val="24"/>
        </w:rPr>
        <w:t>Commission</w:t>
      </w:r>
      <w:r w:rsidR="00AC5A80">
        <w:rPr>
          <w:rFonts w:ascii="Arial" w:hAnsi="Arial" w:cs="Arial"/>
          <w:sz w:val="24"/>
          <w:szCs w:val="24"/>
        </w:rPr>
        <w:t xml:space="preserve"> of Ohio (“Commission”)</w:t>
      </w:r>
      <w:r w:rsidR="00E34ED2">
        <w:rPr>
          <w:rFonts w:ascii="Arial" w:hAnsi="Arial" w:cs="Arial"/>
          <w:sz w:val="24"/>
          <w:szCs w:val="24"/>
        </w:rPr>
        <w:t xml:space="preserve"> previously rejected in Duke’s la</w:t>
      </w:r>
      <w:r w:rsidR="007919E7">
        <w:rPr>
          <w:rFonts w:ascii="Arial" w:hAnsi="Arial" w:cs="Arial"/>
          <w:sz w:val="24"/>
          <w:szCs w:val="24"/>
        </w:rPr>
        <w:t>st ESP case</w:t>
      </w:r>
      <w:r w:rsidR="00E34ED2">
        <w:rPr>
          <w:rFonts w:ascii="Arial" w:hAnsi="Arial" w:cs="Arial"/>
          <w:sz w:val="24"/>
          <w:szCs w:val="24"/>
        </w:rPr>
        <w:t>.</w:t>
      </w:r>
      <w:r w:rsidR="00AC5A80">
        <w:rPr>
          <w:rStyle w:val="FootnoteReference"/>
          <w:rFonts w:ascii="Arial" w:hAnsi="Arial" w:cs="Arial"/>
          <w:sz w:val="24"/>
          <w:szCs w:val="24"/>
        </w:rPr>
        <w:footnoteReference w:id="1"/>
      </w:r>
      <w:r w:rsidR="00E34ED2">
        <w:rPr>
          <w:rFonts w:ascii="Arial" w:hAnsi="Arial" w:cs="Arial"/>
          <w:sz w:val="24"/>
          <w:szCs w:val="24"/>
        </w:rPr>
        <w:t xml:space="preserve">  </w:t>
      </w:r>
    </w:p>
    <w:p w14:paraId="3527E5E6" w14:textId="5ADCE446" w:rsidR="00586EFA" w:rsidRDefault="00A806E5" w:rsidP="00E34ED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has attempted to resolve this matt</w:t>
      </w:r>
      <w:r w:rsidR="00E34ED2">
        <w:rPr>
          <w:rFonts w:ascii="Arial" w:hAnsi="Arial" w:cs="Arial"/>
          <w:sz w:val="24"/>
          <w:szCs w:val="24"/>
        </w:rPr>
        <w:t>er with Duke.  But Duke</w:t>
      </w:r>
      <w:r>
        <w:rPr>
          <w:rFonts w:ascii="Arial" w:hAnsi="Arial" w:cs="Arial"/>
          <w:sz w:val="24"/>
          <w:szCs w:val="24"/>
        </w:rPr>
        <w:t xml:space="preserve"> refuses </w:t>
      </w:r>
      <w:r w:rsidR="00E34ED2">
        <w:rPr>
          <w:rFonts w:ascii="Arial" w:hAnsi="Arial" w:cs="Arial"/>
          <w:sz w:val="24"/>
          <w:szCs w:val="24"/>
        </w:rPr>
        <w:t xml:space="preserve">to accommodate IGS’ requests, despite Commission precedent </w:t>
      </w:r>
      <w:r w:rsidR="00AC5A80">
        <w:rPr>
          <w:rFonts w:ascii="Arial" w:hAnsi="Arial" w:cs="Arial"/>
          <w:sz w:val="24"/>
          <w:szCs w:val="24"/>
        </w:rPr>
        <w:t>holding</w:t>
      </w:r>
      <w:r w:rsidR="00E34ED2">
        <w:rPr>
          <w:rFonts w:ascii="Arial" w:hAnsi="Arial" w:cs="Arial"/>
          <w:sz w:val="24"/>
          <w:szCs w:val="24"/>
        </w:rPr>
        <w:t xml:space="preserve"> that Duke’s posi</w:t>
      </w:r>
      <w:r w:rsidR="00AC5A80">
        <w:rPr>
          <w:rFonts w:ascii="Arial" w:hAnsi="Arial" w:cs="Arial"/>
          <w:sz w:val="24"/>
          <w:szCs w:val="24"/>
        </w:rPr>
        <w:t xml:space="preserve">tion is untenable. </w:t>
      </w:r>
      <w:r w:rsidR="00E34ED2">
        <w:rPr>
          <w:rFonts w:ascii="Arial" w:hAnsi="Arial" w:cs="Arial"/>
          <w:sz w:val="24"/>
          <w:szCs w:val="24"/>
        </w:rPr>
        <w:t xml:space="preserve"> </w:t>
      </w:r>
      <w:r w:rsidR="0051216C">
        <w:rPr>
          <w:rFonts w:ascii="Arial" w:hAnsi="Arial" w:cs="Arial"/>
          <w:sz w:val="24"/>
          <w:szCs w:val="24"/>
        </w:rPr>
        <w:t>Therefore, IGS respectfully requests that the Attorney Examiner issu</w:t>
      </w:r>
      <w:r w:rsidR="00586EFA">
        <w:rPr>
          <w:rFonts w:ascii="Arial" w:hAnsi="Arial" w:cs="Arial"/>
          <w:sz w:val="24"/>
          <w:szCs w:val="24"/>
        </w:rPr>
        <w:t>e an order</w:t>
      </w:r>
      <w:r w:rsidR="00E34ED2">
        <w:rPr>
          <w:rFonts w:ascii="Arial" w:hAnsi="Arial" w:cs="Arial"/>
          <w:sz w:val="24"/>
          <w:szCs w:val="24"/>
        </w:rPr>
        <w:t xml:space="preserve"> directing Duke</w:t>
      </w:r>
      <w:r w:rsidR="00586EFA">
        <w:rPr>
          <w:rFonts w:ascii="Arial" w:hAnsi="Arial" w:cs="Arial"/>
          <w:sz w:val="24"/>
          <w:szCs w:val="24"/>
        </w:rPr>
        <w:t xml:space="preserve"> to enter into a protective a</w:t>
      </w:r>
      <w:r w:rsidR="0051216C">
        <w:rPr>
          <w:rFonts w:ascii="Arial" w:hAnsi="Arial" w:cs="Arial"/>
          <w:sz w:val="24"/>
          <w:szCs w:val="24"/>
        </w:rPr>
        <w:t xml:space="preserve">greement </w:t>
      </w:r>
      <w:r w:rsidR="00E34ED2">
        <w:rPr>
          <w:rFonts w:ascii="Arial" w:hAnsi="Arial" w:cs="Arial"/>
          <w:sz w:val="24"/>
          <w:szCs w:val="24"/>
        </w:rPr>
        <w:t>to permit IGS to retain a copy of confidential documents produced in this proceeding for potential future use under seal, subject to normal rules regarding admissibility.</w:t>
      </w:r>
      <w:r w:rsidR="00586EFA">
        <w:rPr>
          <w:rFonts w:ascii="Arial" w:hAnsi="Arial" w:cs="Arial"/>
          <w:sz w:val="24"/>
          <w:szCs w:val="24"/>
        </w:rPr>
        <w:t xml:space="preserve">  Accordingly, IGS requests that the Commission adopt the protective agreement included in this motion as Attachment 1, which was previously authorized by the Commission in Duke’s last electric security plan case.</w:t>
      </w:r>
    </w:p>
    <w:p w14:paraId="44E89DFA" w14:textId="72C6CAA0" w:rsidR="00E34ED2" w:rsidRDefault="002F7C44" w:rsidP="00E34ED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requests that the Attorney Examiner provide</w:t>
      </w:r>
      <w:r w:rsidR="005259E3">
        <w:rPr>
          <w:rFonts w:ascii="Arial" w:hAnsi="Arial" w:cs="Arial"/>
          <w:sz w:val="24"/>
          <w:szCs w:val="24"/>
        </w:rPr>
        <w:t xml:space="preserve"> an expedited ruling on this motion due to the fact that the deadline for testimony is approaching quickly and IGS has yet to review Duke’s responses to the discovery at issue.  At the time of this filing, IGS has not had an opportunity to obtain consent from all parties to an expedited ruling.</w:t>
      </w:r>
      <w:r w:rsidR="00586EFA">
        <w:rPr>
          <w:rFonts w:ascii="Arial" w:hAnsi="Arial" w:cs="Arial"/>
          <w:sz w:val="24"/>
          <w:szCs w:val="24"/>
        </w:rPr>
        <w:t xml:space="preserve"> </w:t>
      </w:r>
    </w:p>
    <w:p w14:paraId="7176D2CF" w14:textId="3080356C" w:rsidR="00545F29" w:rsidRDefault="005259E3" w:rsidP="005259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the reasons discussed further in the attached memorandum in support, IGS requests that the Attorney Examiner grant this motion.</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2" w14:textId="77777777" w:rsidR="00545F29" w:rsidRDefault="00545F29" w:rsidP="00586EFA">
      <w:pPr>
        <w:spacing w:after="0" w:line="240" w:lineRule="auto"/>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71202B1E"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0181F1A6" w14:textId="1A5098FC" w:rsidR="00F5720A" w:rsidRPr="007B3399" w:rsidRDefault="00F5720A" w:rsidP="007B3399">
      <w:pPr>
        <w:spacing w:after="0" w:line="240" w:lineRule="auto"/>
        <w:ind w:left="5040"/>
        <w:rPr>
          <w:rFonts w:ascii="Arial" w:hAnsi="Arial" w:cs="Arial"/>
          <w:sz w:val="24"/>
          <w:szCs w:val="24"/>
        </w:rPr>
      </w:pPr>
      <w:r>
        <w:rPr>
          <w:rFonts w:ascii="Arial" w:eastAsia="Arial" w:hAnsi="Arial" w:cs="Arial"/>
          <w:sz w:val="24"/>
          <w:szCs w:val="24"/>
        </w:rPr>
        <w:t>Joseph Oliker</w:t>
      </w:r>
      <w:r w:rsidR="007B3399">
        <w:rPr>
          <w:rFonts w:ascii="Arial" w:eastAsia="Arial" w:hAnsi="Arial" w:cs="Arial"/>
          <w:sz w:val="24"/>
          <w:szCs w:val="24"/>
        </w:rPr>
        <w:t xml:space="preserve"> </w:t>
      </w:r>
      <w:r w:rsidR="007B3399">
        <w:rPr>
          <w:rFonts w:ascii="Arial" w:hAnsi="Arial" w:cs="Arial"/>
          <w:sz w:val="24"/>
          <w:szCs w:val="24"/>
        </w:rPr>
        <w:t>(0086088)</w:t>
      </w:r>
    </w:p>
    <w:p w14:paraId="4878AB42" w14:textId="5D55136F" w:rsidR="00F5720A" w:rsidRDefault="00F5720A">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7176D2D6" w14:textId="54340D04" w:rsidR="00545F29" w:rsidRDefault="00F5720A" w:rsidP="00F5720A">
      <w:pPr>
        <w:spacing w:after="0" w:line="240" w:lineRule="auto"/>
        <w:ind w:left="5040"/>
        <w:rPr>
          <w:rFonts w:ascii="Arial" w:hAnsi="Arial" w:cs="Arial"/>
          <w:sz w:val="24"/>
          <w:szCs w:val="24"/>
        </w:rPr>
      </w:pPr>
      <w:r>
        <w:rPr>
          <w:rFonts w:ascii="Arial" w:hAnsi="Arial" w:cs="Arial"/>
          <w:sz w:val="24"/>
          <w:szCs w:val="24"/>
        </w:rPr>
        <w:t>Email:  joliker</w:t>
      </w:r>
      <w:r w:rsidR="0056270F">
        <w:rPr>
          <w:rFonts w:ascii="Arial" w:hAnsi="Arial" w:cs="Arial"/>
          <w:sz w:val="24"/>
          <w:szCs w:val="24"/>
        </w:rPr>
        <w:t>@igsenergy.com</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368A84AF" w:rsidR="00545F29" w:rsidRPr="00237730" w:rsidRDefault="005259E3"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5B995E50" w14:textId="6CDDC3AA" w:rsidR="003D01DA" w:rsidRDefault="003D01DA">
      <w:pPr>
        <w:rPr>
          <w:rFonts w:ascii="Arial" w:hAnsi="Arial" w:cs="Arial"/>
          <w:b/>
          <w:szCs w:val="24"/>
          <w:u w:val="single"/>
        </w:rPr>
      </w:pPr>
    </w:p>
    <w:p w14:paraId="12A82F05" w14:textId="77777777" w:rsidR="003D01DA" w:rsidRDefault="003D01DA">
      <w:pPr>
        <w:rPr>
          <w:rFonts w:ascii="Arial" w:hAnsi="Arial" w:cs="Arial"/>
          <w:b/>
          <w:szCs w:val="24"/>
          <w:u w:val="single"/>
        </w:rPr>
      </w:pPr>
    </w:p>
    <w:p w14:paraId="5920999F" w14:textId="77777777" w:rsidR="003D01DA" w:rsidRDefault="003D01DA">
      <w:pPr>
        <w:rPr>
          <w:rFonts w:ascii="Arial" w:hAnsi="Arial" w:cs="Arial"/>
          <w:b/>
          <w:szCs w:val="24"/>
          <w:u w:val="single"/>
        </w:rPr>
      </w:pPr>
    </w:p>
    <w:p w14:paraId="52B25B8D" w14:textId="77777777" w:rsidR="003D01DA" w:rsidRDefault="003D01DA">
      <w:pPr>
        <w:rPr>
          <w:rFonts w:ascii="Arial" w:hAnsi="Arial" w:cs="Arial"/>
          <w:b/>
          <w:szCs w:val="24"/>
          <w:u w:val="single"/>
        </w:rPr>
      </w:pPr>
    </w:p>
    <w:p w14:paraId="1F6F148E" w14:textId="77777777" w:rsidR="003D01DA" w:rsidRDefault="003D01DA">
      <w:pPr>
        <w:rPr>
          <w:rFonts w:ascii="Arial" w:hAnsi="Arial" w:cs="Arial"/>
          <w:b/>
          <w:szCs w:val="24"/>
          <w:u w:val="single"/>
        </w:rPr>
      </w:pPr>
    </w:p>
    <w:p w14:paraId="025B9C57" w14:textId="77777777" w:rsidR="00AC5A80" w:rsidRDefault="00AC5A80">
      <w:pPr>
        <w:rPr>
          <w:rFonts w:ascii="Arial" w:hAnsi="Arial" w:cs="Arial"/>
          <w:b/>
          <w:szCs w:val="24"/>
          <w:u w:val="single"/>
        </w:rPr>
      </w:pPr>
    </w:p>
    <w:p w14:paraId="7B11084F" w14:textId="77777777" w:rsidR="005259E3" w:rsidRDefault="005259E3">
      <w:pPr>
        <w:rPr>
          <w:rFonts w:ascii="Arial" w:hAnsi="Arial" w:cs="Arial"/>
          <w:b/>
          <w:szCs w:val="24"/>
          <w:u w:val="single"/>
        </w:rPr>
      </w:pPr>
    </w:p>
    <w:p w14:paraId="0BA4F66A" w14:textId="77777777" w:rsidR="005259E3" w:rsidRDefault="005259E3">
      <w:pPr>
        <w:rPr>
          <w:rFonts w:ascii="Arial" w:hAnsi="Arial" w:cs="Arial"/>
          <w:b/>
          <w:szCs w:val="24"/>
          <w:u w:val="single"/>
        </w:rPr>
      </w:pPr>
    </w:p>
    <w:p w14:paraId="418E41E8" w14:textId="77777777" w:rsidR="005259E3" w:rsidRPr="003D01DA" w:rsidRDefault="005259E3">
      <w:pPr>
        <w:rPr>
          <w:rFonts w:ascii="Arial" w:hAnsi="Arial" w:cs="Arial"/>
          <w:b/>
          <w:szCs w:val="24"/>
          <w:u w:val="single"/>
        </w:rPr>
      </w:pPr>
    </w:p>
    <w:p w14:paraId="5B1B7B24" w14:textId="77777777" w:rsidR="00325C7A" w:rsidRPr="009D71F6" w:rsidRDefault="00325C7A" w:rsidP="00325C7A">
      <w:pPr>
        <w:pStyle w:val="Title"/>
        <w:widowControl w:val="0"/>
        <w:rPr>
          <w:rFonts w:ascii="Arial" w:hAnsi="Arial" w:cs="Arial"/>
          <w:szCs w:val="24"/>
        </w:rPr>
      </w:pPr>
      <w:r w:rsidRPr="009D71F6">
        <w:rPr>
          <w:rFonts w:ascii="Arial" w:hAnsi="Arial" w:cs="Arial"/>
          <w:szCs w:val="24"/>
        </w:rPr>
        <w:t>BEFORE</w:t>
      </w:r>
    </w:p>
    <w:p w14:paraId="4850049F" w14:textId="77777777" w:rsidR="00325C7A" w:rsidRPr="009D71F6" w:rsidRDefault="00325C7A" w:rsidP="00325C7A">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25C7A" w:rsidRPr="009D71F6" w14:paraId="0A904A16" w14:textId="77777777" w:rsidTr="00177C60">
        <w:trPr>
          <w:trHeight w:val="873"/>
          <w:jc w:val="center"/>
        </w:trPr>
        <w:tc>
          <w:tcPr>
            <w:tcW w:w="4739" w:type="dxa"/>
          </w:tcPr>
          <w:p w14:paraId="40CE1ADC" w14:textId="77777777" w:rsidR="00325C7A" w:rsidRPr="009D71F6" w:rsidRDefault="00325C7A" w:rsidP="00177C60">
            <w:pPr>
              <w:widowControl w:val="0"/>
              <w:spacing w:after="0" w:line="240" w:lineRule="auto"/>
              <w:jc w:val="both"/>
              <w:rPr>
                <w:rFonts w:ascii="Arial" w:hAnsi="Arial" w:cs="Arial"/>
                <w:sz w:val="24"/>
                <w:szCs w:val="24"/>
              </w:rPr>
            </w:pPr>
            <w:r w:rsidRPr="003D01DA">
              <w:rPr>
                <w:rFonts w:ascii="Arial" w:hAnsi="Arial" w:cs="Arial"/>
                <w:sz w:val="24"/>
                <w:szCs w:val="24"/>
              </w:rPr>
              <w:t>In th</w:t>
            </w:r>
            <w:r>
              <w:rPr>
                <w:rFonts w:ascii="Arial" w:hAnsi="Arial" w:cs="Arial"/>
                <w:sz w:val="24"/>
                <w:szCs w:val="24"/>
              </w:rPr>
              <w:t xml:space="preserve">e Matter of Application of Duke </w:t>
            </w:r>
            <w:r w:rsidRPr="003D01DA">
              <w:rPr>
                <w:rFonts w:ascii="Arial" w:hAnsi="Arial" w:cs="Arial"/>
                <w:sz w:val="24"/>
                <w:szCs w:val="24"/>
              </w:rPr>
              <w:t>Ene</w:t>
            </w:r>
            <w:r>
              <w:rPr>
                <w:rFonts w:ascii="Arial" w:hAnsi="Arial" w:cs="Arial"/>
                <w:sz w:val="24"/>
                <w:szCs w:val="24"/>
              </w:rPr>
              <w:t>rgy Ohio, Inc. to File for Tariff Approval</w:t>
            </w:r>
          </w:p>
        </w:tc>
        <w:tc>
          <w:tcPr>
            <w:tcW w:w="630" w:type="dxa"/>
          </w:tcPr>
          <w:p w14:paraId="3DE92E42" w14:textId="77777777" w:rsidR="00325C7A" w:rsidRPr="009D71F6" w:rsidRDefault="00325C7A"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35A066A1" w14:textId="77777777" w:rsidR="00325C7A" w:rsidRPr="009D71F6" w:rsidRDefault="00325C7A"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58E015B" w14:textId="77777777" w:rsidR="00325C7A" w:rsidRPr="009D71F6" w:rsidRDefault="00325C7A" w:rsidP="00177C60">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3D6FC38" w14:textId="77777777" w:rsidR="00325C7A" w:rsidRPr="009D71F6" w:rsidRDefault="00325C7A" w:rsidP="00177C60">
            <w:pPr>
              <w:widowControl w:val="0"/>
              <w:spacing w:after="0" w:line="240" w:lineRule="auto"/>
              <w:jc w:val="center"/>
              <w:rPr>
                <w:rFonts w:ascii="Arial" w:hAnsi="Arial" w:cs="Arial"/>
                <w:sz w:val="24"/>
                <w:szCs w:val="24"/>
              </w:rPr>
            </w:pPr>
          </w:p>
        </w:tc>
        <w:tc>
          <w:tcPr>
            <w:tcW w:w="3928" w:type="dxa"/>
          </w:tcPr>
          <w:p w14:paraId="3996A2FF" w14:textId="77777777" w:rsidR="00325C7A" w:rsidRPr="009D71F6" w:rsidRDefault="00325C7A" w:rsidP="00177C60">
            <w:pPr>
              <w:widowControl w:val="0"/>
              <w:spacing w:after="0" w:line="240" w:lineRule="auto"/>
              <w:rPr>
                <w:rFonts w:ascii="Arial" w:hAnsi="Arial" w:cs="Arial"/>
                <w:sz w:val="24"/>
                <w:szCs w:val="24"/>
              </w:rPr>
            </w:pPr>
          </w:p>
          <w:p w14:paraId="62F7E262" w14:textId="77777777" w:rsidR="00325C7A" w:rsidRPr="009D71F6" w:rsidRDefault="00325C7A" w:rsidP="00177C60">
            <w:pPr>
              <w:widowControl w:val="0"/>
              <w:spacing w:after="0" w:line="240" w:lineRule="auto"/>
              <w:rPr>
                <w:rFonts w:ascii="Arial" w:hAnsi="Arial" w:cs="Arial"/>
                <w:sz w:val="24"/>
                <w:szCs w:val="24"/>
              </w:rPr>
            </w:pPr>
            <w:r>
              <w:rPr>
                <w:rFonts w:ascii="Arial" w:hAnsi="Arial" w:cs="Arial"/>
                <w:sz w:val="24"/>
                <w:szCs w:val="24"/>
              </w:rPr>
              <w:t>Case No. 14-2209-EL-ATA</w:t>
            </w:r>
          </w:p>
          <w:p w14:paraId="5AB4A9F5" w14:textId="77777777" w:rsidR="00325C7A" w:rsidRPr="009D71F6" w:rsidRDefault="00325C7A" w:rsidP="00177C60">
            <w:pPr>
              <w:widowControl w:val="0"/>
              <w:spacing w:after="0" w:line="240" w:lineRule="auto"/>
              <w:rPr>
                <w:rFonts w:ascii="Arial" w:hAnsi="Arial" w:cs="Arial"/>
                <w:sz w:val="24"/>
                <w:szCs w:val="24"/>
              </w:rPr>
            </w:pPr>
          </w:p>
          <w:p w14:paraId="5FE90C78" w14:textId="77777777" w:rsidR="00325C7A" w:rsidRPr="009D71F6" w:rsidRDefault="00325C7A" w:rsidP="00177C60">
            <w:pPr>
              <w:widowControl w:val="0"/>
              <w:spacing w:after="0" w:line="240" w:lineRule="auto"/>
              <w:rPr>
                <w:rFonts w:ascii="Arial" w:hAnsi="Arial" w:cs="Arial"/>
                <w:sz w:val="24"/>
                <w:szCs w:val="24"/>
              </w:rPr>
            </w:pP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71070922"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1700C32F" w14:textId="77777777" w:rsidR="00237730" w:rsidRPr="00325C7A"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40466677" w14:textId="77777777" w:rsidR="00325C7A" w:rsidRDefault="00325C7A" w:rsidP="00325C7A">
      <w:pPr>
        <w:widowControl w:val="0"/>
        <w:spacing w:after="0" w:line="480" w:lineRule="auto"/>
        <w:jc w:val="both"/>
        <w:rPr>
          <w:rFonts w:ascii="Arial" w:hAnsi="Arial" w:cs="Arial"/>
          <w:sz w:val="24"/>
          <w:szCs w:val="24"/>
        </w:rPr>
      </w:pPr>
    </w:p>
    <w:p w14:paraId="4F90F8B3" w14:textId="7D9D2BCA" w:rsidR="00325C7A" w:rsidRDefault="00B62E75" w:rsidP="00B62E75">
      <w:pPr>
        <w:pStyle w:val="ListParagraph"/>
        <w:widowControl w:val="0"/>
        <w:numPr>
          <w:ilvl w:val="0"/>
          <w:numId w:val="11"/>
        </w:numPr>
        <w:spacing w:after="0" w:line="480" w:lineRule="auto"/>
        <w:jc w:val="both"/>
        <w:rPr>
          <w:rFonts w:ascii="Arial" w:hAnsi="Arial" w:cs="Arial"/>
          <w:b/>
          <w:sz w:val="24"/>
          <w:szCs w:val="24"/>
        </w:rPr>
      </w:pPr>
      <w:r>
        <w:rPr>
          <w:rFonts w:ascii="Arial" w:hAnsi="Arial" w:cs="Arial"/>
          <w:b/>
          <w:sz w:val="24"/>
          <w:szCs w:val="24"/>
        </w:rPr>
        <w:t>INTRODUCTION</w:t>
      </w:r>
    </w:p>
    <w:p w14:paraId="38792262" w14:textId="20870DDE" w:rsidR="00B62E75" w:rsidRDefault="00B62E75" w:rsidP="0076496B">
      <w:pPr>
        <w:widowControl w:val="0"/>
        <w:spacing w:after="0" w:line="480" w:lineRule="auto"/>
        <w:ind w:firstLine="720"/>
        <w:jc w:val="both"/>
        <w:rPr>
          <w:rFonts w:ascii="Arial" w:hAnsi="Arial" w:cs="Arial"/>
          <w:sz w:val="24"/>
          <w:szCs w:val="24"/>
        </w:rPr>
      </w:pPr>
      <w:r>
        <w:rPr>
          <w:rFonts w:ascii="Arial" w:hAnsi="Arial" w:cs="Arial"/>
          <w:sz w:val="24"/>
          <w:szCs w:val="24"/>
        </w:rPr>
        <w:t xml:space="preserve">Precedent </w:t>
      </w:r>
      <w:r w:rsidR="00586EFA">
        <w:rPr>
          <w:rFonts w:ascii="Arial" w:hAnsi="Arial" w:cs="Arial"/>
          <w:sz w:val="24"/>
          <w:szCs w:val="24"/>
        </w:rPr>
        <w:t>r</w:t>
      </w:r>
      <w:r>
        <w:rPr>
          <w:rFonts w:ascii="Arial" w:hAnsi="Arial" w:cs="Arial"/>
          <w:sz w:val="24"/>
          <w:szCs w:val="24"/>
        </w:rPr>
        <w:t>egarding the use of confidential information in future proceedings</w:t>
      </w:r>
      <w:r w:rsidR="00586EFA">
        <w:rPr>
          <w:rFonts w:ascii="Arial" w:hAnsi="Arial" w:cs="Arial"/>
          <w:sz w:val="24"/>
          <w:szCs w:val="24"/>
        </w:rPr>
        <w:t xml:space="preserve"> is well settled.  As the Commission</w:t>
      </w:r>
      <w:r>
        <w:rPr>
          <w:rFonts w:ascii="Arial" w:hAnsi="Arial" w:cs="Arial"/>
          <w:sz w:val="24"/>
          <w:szCs w:val="24"/>
        </w:rPr>
        <w:t xml:space="preserve"> noted</w:t>
      </w:r>
      <w:r w:rsidR="00AC5A80">
        <w:rPr>
          <w:rFonts w:ascii="Arial" w:hAnsi="Arial" w:cs="Arial"/>
          <w:sz w:val="24"/>
          <w:szCs w:val="24"/>
        </w:rPr>
        <w:t xml:space="preserve"> in the </w:t>
      </w:r>
      <w:r w:rsidR="00AC5A80">
        <w:rPr>
          <w:rFonts w:ascii="Arial" w:hAnsi="Arial" w:cs="Arial"/>
          <w:i/>
          <w:sz w:val="24"/>
          <w:szCs w:val="24"/>
        </w:rPr>
        <w:t>ESP III Case</w:t>
      </w:r>
      <w:r>
        <w:rPr>
          <w:rFonts w:ascii="Arial" w:hAnsi="Arial" w:cs="Arial"/>
          <w:sz w:val="24"/>
          <w:szCs w:val="24"/>
        </w:rPr>
        <w:t>, “</w:t>
      </w:r>
      <w:r w:rsidRPr="00B62E75">
        <w:rPr>
          <w:rFonts w:ascii="Arial" w:hAnsi="Arial" w:cs="Arial"/>
          <w:sz w:val="24"/>
          <w:szCs w:val="24"/>
        </w:rPr>
        <w:t>Duke is well aware of our determination that intervenors can retain a copy of the alleged confidential information and any attempted use of such information in a subsequent proceeding will be ruled upon within the context of that proceeding</w:t>
      </w:r>
      <w:r>
        <w:rPr>
          <w:rFonts w:ascii="Arial" w:hAnsi="Arial" w:cs="Arial"/>
          <w:sz w:val="24"/>
          <w:szCs w:val="24"/>
        </w:rPr>
        <w:t>.”  Despite the Commiss</w:t>
      </w:r>
      <w:r w:rsidR="00586EFA">
        <w:rPr>
          <w:rFonts w:ascii="Arial" w:hAnsi="Arial" w:cs="Arial"/>
          <w:sz w:val="24"/>
          <w:szCs w:val="24"/>
        </w:rPr>
        <w:t>ion’s precedent, continues to attempt to contractually restrict IGS’ use of confidential information to the proceeding in which it is produced</w:t>
      </w:r>
      <w:r w:rsidR="0076496B">
        <w:rPr>
          <w:rFonts w:ascii="Arial" w:hAnsi="Arial" w:cs="Arial"/>
          <w:sz w:val="24"/>
          <w:szCs w:val="24"/>
        </w:rPr>
        <w:t>.</w:t>
      </w:r>
      <w:r>
        <w:rPr>
          <w:rFonts w:ascii="Arial" w:hAnsi="Arial" w:cs="Arial"/>
          <w:sz w:val="24"/>
          <w:szCs w:val="24"/>
        </w:rPr>
        <w:t xml:space="preserve">  IGS therefore request</w:t>
      </w:r>
      <w:r w:rsidR="0076496B">
        <w:rPr>
          <w:rFonts w:ascii="Arial" w:hAnsi="Arial" w:cs="Arial"/>
          <w:sz w:val="24"/>
          <w:szCs w:val="24"/>
        </w:rPr>
        <w:t>s</w:t>
      </w:r>
      <w:r>
        <w:rPr>
          <w:rFonts w:ascii="Arial" w:hAnsi="Arial" w:cs="Arial"/>
          <w:sz w:val="24"/>
          <w:szCs w:val="24"/>
        </w:rPr>
        <w:t xml:space="preserve"> that the C</w:t>
      </w:r>
      <w:r w:rsidR="00586EFA">
        <w:rPr>
          <w:rFonts w:ascii="Arial" w:hAnsi="Arial" w:cs="Arial"/>
          <w:sz w:val="24"/>
          <w:szCs w:val="24"/>
        </w:rPr>
        <w:t>ommission compel Duke to adopt the</w:t>
      </w:r>
      <w:r>
        <w:rPr>
          <w:rFonts w:ascii="Arial" w:hAnsi="Arial" w:cs="Arial"/>
          <w:sz w:val="24"/>
          <w:szCs w:val="24"/>
        </w:rPr>
        <w:t xml:space="preserve"> suitabl</w:t>
      </w:r>
      <w:r w:rsidR="00586EFA">
        <w:rPr>
          <w:rFonts w:ascii="Arial" w:hAnsi="Arial" w:cs="Arial"/>
          <w:sz w:val="24"/>
          <w:szCs w:val="24"/>
        </w:rPr>
        <w:t>e protective agreement contained in Attachment 1, which was previously compelled by the Commission following litigation between IGS and Duke</w:t>
      </w:r>
      <w:r>
        <w:rPr>
          <w:rFonts w:ascii="Arial" w:hAnsi="Arial" w:cs="Arial"/>
          <w:sz w:val="24"/>
          <w:szCs w:val="24"/>
        </w:rPr>
        <w:t>.</w:t>
      </w:r>
      <w:r w:rsidR="00C96B14">
        <w:rPr>
          <w:rStyle w:val="FootnoteReference"/>
          <w:rFonts w:ascii="Arial" w:hAnsi="Arial" w:cs="Arial"/>
          <w:sz w:val="24"/>
          <w:szCs w:val="24"/>
        </w:rPr>
        <w:footnoteReference w:id="2"/>
      </w:r>
      <w:r>
        <w:rPr>
          <w:rFonts w:ascii="Arial" w:hAnsi="Arial" w:cs="Arial"/>
          <w:sz w:val="24"/>
          <w:szCs w:val="24"/>
        </w:rPr>
        <w:t xml:space="preserve"> </w:t>
      </w:r>
    </w:p>
    <w:p w14:paraId="31B3179B" w14:textId="3B2A9530" w:rsidR="00B62E75" w:rsidRPr="0076496B" w:rsidRDefault="0076496B" w:rsidP="0076496B">
      <w:pPr>
        <w:pStyle w:val="ListParagraph"/>
        <w:widowControl w:val="0"/>
        <w:numPr>
          <w:ilvl w:val="0"/>
          <w:numId w:val="11"/>
        </w:numPr>
        <w:spacing w:after="0" w:line="480" w:lineRule="auto"/>
        <w:jc w:val="both"/>
        <w:rPr>
          <w:rFonts w:ascii="Arial" w:hAnsi="Arial" w:cs="Arial"/>
          <w:b/>
          <w:sz w:val="24"/>
          <w:szCs w:val="24"/>
        </w:rPr>
      </w:pPr>
      <w:r>
        <w:rPr>
          <w:rFonts w:ascii="Arial" w:hAnsi="Arial" w:cs="Arial"/>
          <w:b/>
          <w:sz w:val="24"/>
          <w:szCs w:val="24"/>
        </w:rPr>
        <w:t>BACKGROUND</w:t>
      </w:r>
      <w:r w:rsidR="00C75207">
        <w:rPr>
          <w:rFonts w:ascii="Arial" w:hAnsi="Arial" w:cs="Arial"/>
          <w:b/>
          <w:sz w:val="24"/>
          <w:szCs w:val="24"/>
        </w:rPr>
        <w:t xml:space="preserve"> </w:t>
      </w:r>
    </w:p>
    <w:p w14:paraId="6CC44C94" w14:textId="33D2D74B" w:rsidR="00325C7A" w:rsidRPr="00325C7A" w:rsidRDefault="00325C7A" w:rsidP="00325C7A">
      <w:pPr>
        <w:widowControl w:val="0"/>
        <w:spacing w:after="0" w:line="480" w:lineRule="auto"/>
        <w:ind w:firstLine="720"/>
        <w:jc w:val="both"/>
        <w:rPr>
          <w:rFonts w:ascii="Arial" w:hAnsi="Arial" w:cs="Arial"/>
          <w:sz w:val="24"/>
          <w:szCs w:val="24"/>
        </w:rPr>
      </w:pPr>
      <w:r>
        <w:rPr>
          <w:rFonts w:ascii="Arial" w:hAnsi="Arial" w:cs="Arial"/>
          <w:sz w:val="24"/>
          <w:szCs w:val="24"/>
        </w:rPr>
        <w:t>On March 26, 2014—nearly two and half years ago—</w:t>
      </w:r>
      <w:r w:rsidRPr="00325C7A">
        <w:rPr>
          <w:rFonts w:ascii="Arial" w:hAnsi="Arial" w:cs="Arial"/>
          <w:sz w:val="24"/>
          <w:szCs w:val="24"/>
        </w:rPr>
        <w:t>the Public Utilities Commission of Ohio (“Commission”) issued a Finding and Order and policy statement in support of reforming utility practices to enable the competitive market to provide customers time-of-use</w:t>
      </w:r>
      <w:r w:rsidR="00586EFA">
        <w:rPr>
          <w:rFonts w:ascii="Arial" w:hAnsi="Arial" w:cs="Arial"/>
          <w:sz w:val="24"/>
          <w:szCs w:val="24"/>
        </w:rPr>
        <w:t xml:space="preserve"> (“TOU”)</w:t>
      </w:r>
      <w:r w:rsidRPr="00325C7A">
        <w:rPr>
          <w:rFonts w:ascii="Arial" w:hAnsi="Arial" w:cs="Arial"/>
          <w:sz w:val="24"/>
          <w:szCs w:val="24"/>
        </w:rPr>
        <w:t xml:space="preserve"> products and services that promote efficient energy usage.</w:t>
      </w:r>
      <w:r w:rsidRPr="00325C7A">
        <w:rPr>
          <w:rFonts w:ascii="Arial" w:hAnsi="Arial" w:cs="Arial"/>
          <w:sz w:val="24"/>
          <w:szCs w:val="24"/>
          <w:vertAlign w:val="superscript"/>
        </w:rPr>
        <w:footnoteReference w:id="3"/>
      </w:r>
      <w:r w:rsidRPr="00325C7A">
        <w:rPr>
          <w:rFonts w:ascii="Arial" w:hAnsi="Arial" w:cs="Arial"/>
          <w:sz w:val="24"/>
          <w:szCs w:val="24"/>
        </w:rPr>
        <w:t xml:space="preserve">  To that end, the Commission directed all electric distribution utilities to file a tariff specifying terms and conditions for the transfer of interval data, as well as proposed formulas for calculating customers’ individual network service peak load (“NSPL”) and peak load contribution (“PLCs”).</w:t>
      </w:r>
      <w:r w:rsidRPr="00325C7A">
        <w:rPr>
          <w:rFonts w:ascii="Arial" w:hAnsi="Arial" w:cs="Arial"/>
          <w:sz w:val="24"/>
          <w:szCs w:val="24"/>
          <w:vertAlign w:val="superscript"/>
        </w:rPr>
        <w:footnoteReference w:id="4"/>
      </w:r>
      <w:r w:rsidRPr="00325C7A">
        <w:rPr>
          <w:rFonts w:ascii="Arial" w:hAnsi="Arial" w:cs="Arial"/>
          <w:sz w:val="24"/>
          <w:szCs w:val="24"/>
        </w:rPr>
        <w:t xml:space="preserve">  This proceeding </w:t>
      </w:r>
      <w:r w:rsidR="00586EFA">
        <w:rPr>
          <w:rFonts w:ascii="Arial" w:hAnsi="Arial" w:cs="Arial"/>
          <w:sz w:val="24"/>
          <w:szCs w:val="24"/>
        </w:rPr>
        <w:t xml:space="preserve">relates to Duke Energy Ohio’s </w:t>
      </w:r>
      <w:r w:rsidRPr="00325C7A">
        <w:rPr>
          <w:rFonts w:ascii="Arial" w:hAnsi="Arial" w:cs="Arial"/>
          <w:sz w:val="24"/>
          <w:szCs w:val="24"/>
        </w:rPr>
        <w:t>filing,</w:t>
      </w:r>
      <w:r w:rsidR="00586EFA">
        <w:rPr>
          <w:rFonts w:ascii="Arial" w:hAnsi="Arial" w:cs="Arial"/>
          <w:sz w:val="24"/>
          <w:szCs w:val="24"/>
        </w:rPr>
        <w:t xml:space="preserve"> which departed from the</w:t>
      </w:r>
      <w:r w:rsidRPr="00325C7A">
        <w:rPr>
          <w:rFonts w:ascii="Arial" w:hAnsi="Arial" w:cs="Arial"/>
          <w:sz w:val="24"/>
          <w:szCs w:val="24"/>
        </w:rPr>
        <w:t xml:space="preserve"> Commission’s directive.</w:t>
      </w:r>
    </w:p>
    <w:p w14:paraId="47464405" w14:textId="03278662" w:rsidR="00325C7A" w:rsidRDefault="00325C7A" w:rsidP="00325C7A">
      <w:pPr>
        <w:widowControl w:val="0"/>
        <w:spacing w:after="0" w:line="480" w:lineRule="auto"/>
        <w:ind w:firstLine="720"/>
        <w:jc w:val="both"/>
        <w:rPr>
          <w:rFonts w:ascii="Arial" w:hAnsi="Arial" w:cs="Arial"/>
          <w:sz w:val="24"/>
          <w:szCs w:val="24"/>
        </w:rPr>
      </w:pPr>
      <w:r w:rsidRPr="00325C7A">
        <w:rPr>
          <w:rFonts w:ascii="Arial" w:hAnsi="Arial" w:cs="Arial"/>
          <w:sz w:val="24"/>
          <w:szCs w:val="24"/>
        </w:rPr>
        <w:t xml:space="preserve">In its </w:t>
      </w:r>
      <w:r>
        <w:rPr>
          <w:rFonts w:ascii="Arial" w:hAnsi="Arial" w:cs="Arial"/>
          <w:sz w:val="24"/>
          <w:szCs w:val="24"/>
        </w:rPr>
        <w:t xml:space="preserve">required tariff filing, Duke </w:t>
      </w:r>
      <w:r w:rsidRPr="00325C7A">
        <w:rPr>
          <w:rFonts w:ascii="Arial" w:hAnsi="Arial" w:cs="Arial"/>
          <w:sz w:val="24"/>
          <w:szCs w:val="24"/>
        </w:rPr>
        <w:t>attempted to kick the can further down the road, stating, “[m]atters related to providing granular residential interval CEUD to CRES providers will require significant investment and will require additional stakeholder development . . . .”</w:t>
      </w:r>
      <w:r w:rsidRPr="00325C7A">
        <w:rPr>
          <w:rFonts w:ascii="Arial" w:hAnsi="Arial" w:cs="Arial"/>
          <w:sz w:val="24"/>
          <w:szCs w:val="24"/>
          <w:vertAlign w:val="superscript"/>
        </w:rPr>
        <w:footnoteReference w:id="5"/>
      </w:r>
      <w:r w:rsidR="00AC5A80">
        <w:rPr>
          <w:rFonts w:ascii="Arial" w:hAnsi="Arial" w:cs="Arial"/>
          <w:sz w:val="24"/>
          <w:szCs w:val="24"/>
        </w:rPr>
        <w:t xml:space="preserve">  Finding that Duke had effectively proposed to move backward from the Commission’s directive</w:t>
      </w:r>
      <w:r>
        <w:rPr>
          <w:rFonts w:ascii="Arial" w:hAnsi="Arial" w:cs="Arial"/>
          <w:sz w:val="24"/>
          <w:szCs w:val="24"/>
        </w:rPr>
        <w:t>, the Commission</w:t>
      </w:r>
      <w:r w:rsidR="0076496B">
        <w:rPr>
          <w:rFonts w:ascii="Arial" w:hAnsi="Arial" w:cs="Arial"/>
          <w:sz w:val="24"/>
          <w:szCs w:val="24"/>
        </w:rPr>
        <w:t xml:space="preserve"> determined that it</w:t>
      </w:r>
      <w:r>
        <w:rPr>
          <w:rFonts w:ascii="Arial" w:hAnsi="Arial" w:cs="Arial"/>
          <w:sz w:val="24"/>
          <w:szCs w:val="24"/>
        </w:rPr>
        <w:t xml:space="preserve"> may be unjust and unreasonable and set the matter for hearing.  The Commission further determined that parties should address several issues:</w:t>
      </w:r>
    </w:p>
    <w:p w14:paraId="3746617B" w14:textId="66F0E343" w:rsidR="00325C7A" w:rsidRPr="005259E3" w:rsidRDefault="00325C7A" w:rsidP="005259E3">
      <w:pPr>
        <w:pStyle w:val="ListParagraph"/>
        <w:widowControl w:val="0"/>
        <w:numPr>
          <w:ilvl w:val="0"/>
          <w:numId w:val="12"/>
        </w:numPr>
        <w:spacing w:after="0" w:line="240" w:lineRule="auto"/>
        <w:ind w:left="720" w:right="720"/>
        <w:jc w:val="both"/>
        <w:rPr>
          <w:rFonts w:ascii="Arial" w:hAnsi="Arial" w:cs="Arial"/>
          <w:sz w:val="24"/>
          <w:szCs w:val="24"/>
        </w:rPr>
      </w:pPr>
      <w:r w:rsidRPr="005259E3">
        <w:rPr>
          <w:rFonts w:ascii="Arial" w:hAnsi="Arial" w:cs="Arial"/>
          <w:sz w:val="24"/>
          <w:szCs w:val="24"/>
        </w:rPr>
        <w:t xml:space="preserve">What AMI CEUD is Duke currently collecting, and what are its system capabilities? This includes granularity of data, frequency of data collection, duration of data stored, and the ability to validate, estimate, and edit AMI data. </w:t>
      </w:r>
    </w:p>
    <w:p w14:paraId="64DBFFCA" w14:textId="77777777" w:rsidR="005259E3" w:rsidRPr="005259E3" w:rsidRDefault="005259E3" w:rsidP="005259E3">
      <w:pPr>
        <w:pStyle w:val="ListParagraph"/>
        <w:widowControl w:val="0"/>
        <w:spacing w:after="0" w:line="240" w:lineRule="auto"/>
        <w:ind w:right="720"/>
        <w:jc w:val="both"/>
        <w:rPr>
          <w:rFonts w:ascii="Arial" w:hAnsi="Arial" w:cs="Arial"/>
          <w:sz w:val="24"/>
          <w:szCs w:val="24"/>
        </w:rPr>
      </w:pPr>
    </w:p>
    <w:p w14:paraId="22166B73" w14:textId="5E19EDCC" w:rsidR="00325C7A" w:rsidRPr="005259E3" w:rsidRDefault="00325C7A" w:rsidP="005259E3">
      <w:pPr>
        <w:pStyle w:val="ListParagraph"/>
        <w:widowControl w:val="0"/>
        <w:numPr>
          <w:ilvl w:val="0"/>
          <w:numId w:val="12"/>
        </w:numPr>
        <w:spacing w:after="0" w:line="240" w:lineRule="auto"/>
        <w:ind w:left="720" w:right="720"/>
        <w:jc w:val="both"/>
        <w:rPr>
          <w:rFonts w:ascii="Arial" w:hAnsi="Arial" w:cs="Arial"/>
          <w:sz w:val="24"/>
          <w:szCs w:val="24"/>
        </w:rPr>
      </w:pPr>
      <w:r w:rsidRPr="005259E3">
        <w:rPr>
          <w:rFonts w:ascii="Arial" w:hAnsi="Arial" w:cs="Arial"/>
          <w:sz w:val="24"/>
          <w:szCs w:val="24"/>
        </w:rPr>
        <w:t xml:space="preserve">What type of CEUD should be available to CRES providers? This includes how frequently and via what method. </w:t>
      </w:r>
    </w:p>
    <w:p w14:paraId="0EE40ED6" w14:textId="77777777" w:rsidR="005259E3" w:rsidRPr="005259E3" w:rsidRDefault="005259E3" w:rsidP="005259E3">
      <w:pPr>
        <w:widowControl w:val="0"/>
        <w:spacing w:after="0" w:line="240" w:lineRule="auto"/>
        <w:ind w:left="720" w:right="720"/>
        <w:jc w:val="both"/>
        <w:rPr>
          <w:rFonts w:ascii="Arial" w:hAnsi="Arial" w:cs="Arial"/>
          <w:sz w:val="24"/>
          <w:szCs w:val="24"/>
        </w:rPr>
      </w:pPr>
    </w:p>
    <w:p w14:paraId="5124E45B" w14:textId="6123ACC2" w:rsidR="00325C7A" w:rsidRPr="005259E3" w:rsidRDefault="00325C7A" w:rsidP="005259E3">
      <w:pPr>
        <w:pStyle w:val="ListParagraph"/>
        <w:widowControl w:val="0"/>
        <w:numPr>
          <w:ilvl w:val="0"/>
          <w:numId w:val="12"/>
        </w:numPr>
        <w:spacing w:after="0" w:line="240" w:lineRule="auto"/>
        <w:ind w:left="720" w:right="720"/>
        <w:jc w:val="both"/>
        <w:rPr>
          <w:rFonts w:ascii="Arial" w:hAnsi="Arial" w:cs="Arial"/>
          <w:sz w:val="24"/>
          <w:szCs w:val="24"/>
        </w:rPr>
      </w:pPr>
      <w:r w:rsidRPr="005259E3">
        <w:rPr>
          <w:rFonts w:ascii="Arial" w:hAnsi="Arial" w:cs="Arial"/>
          <w:sz w:val="24"/>
          <w:szCs w:val="24"/>
        </w:rPr>
        <w:t xml:space="preserve">What are the estimated costs to provide AMI CEUD to CRES providers and what is the appropriate cost recovery mechanism? </w:t>
      </w:r>
    </w:p>
    <w:p w14:paraId="1849C553" w14:textId="77777777" w:rsidR="005259E3" w:rsidRPr="005259E3" w:rsidRDefault="005259E3" w:rsidP="005259E3">
      <w:pPr>
        <w:widowControl w:val="0"/>
        <w:spacing w:after="0" w:line="240" w:lineRule="auto"/>
        <w:ind w:left="720" w:right="720"/>
        <w:jc w:val="both"/>
        <w:rPr>
          <w:rFonts w:ascii="Arial" w:hAnsi="Arial" w:cs="Arial"/>
          <w:sz w:val="24"/>
          <w:szCs w:val="24"/>
        </w:rPr>
      </w:pPr>
    </w:p>
    <w:p w14:paraId="5E8018D1" w14:textId="31B613FD" w:rsidR="0076496B" w:rsidRPr="005259E3" w:rsidRDefault="00325C7A" w:rsidP="005259E3">
      <w:pPr>
        <w:pStyle w:val="ListParagraph"/>
        <w:widowControl w:val="0"/>
        <w:numPr>
          <w:ilvl w:val="0"/>
          <w:numId w:val="12"/>
        </w:numPr>
        <w:spacing w:after="0" w:line="240" w:lineRule="auto"/>
        <w:ind w:left="720" w:right="720"/>
        <w:jc w:val="both"/>
        <w:rPr>
          <w:rFonts w:ascii="Arial" w:hAnsi="Arial" w:cs="Arial"/>
          <w:sz w:val="24"/>
          <w:szCs w:val="24"/>
        </w:rPr>
      </w:pPr>
      <w:r w:rsidRPr="005259E3">
        <w:rPr>
          <w:rFonts w:ascii="Arial" w:hAnsi="Arial" w:cs="Arial"/>
          <w:sz w:val="24"/>
          <w:szCs w:val="24"/>
        </w:rPr>
        <w:t>What is a realistic timeframe for imple</w:t>
      </w:r>
      <w:r w:rsidR="0076496B" w:rsidRPr="005259E3">
        <w:rPr>
          <w:rFonts w:ascii="Arial" w:hAnsi="Arial" w:cs="Arial"/>
          <w:sz w:val="24"/>
          <w:szCs w:val="24"/>
        </w:rPr>
        <w:t xml:space="preserve">menting a CEUD sharing system? </w:t>
      </w:r>
    </w:p>
    <w:p w14:paraId="562DAF97" w14:textId="77777777" w:rsidR="005259E3" w:rsidRPr="005259E3" w:rsidRDefault="005259E3" w:rsidP="005259E3">
      <w:pPr>
        <w:widowControl w:val="0"/>
        <w:spacing w:after="0" w:line="240" w:lineRule="auto"/>
        <w:jc w:val="both"/>
        <w:rPr>
          <w:rFonts w:ascii="Arial" w:hAnsi="Arial" w:cs="Arial"/>
          <w:sz w:val="24"/>
          <w:szCs w:val="24"/>
        </w:rPr>
      </w:pPr>
    </w:p>
    <w:p w14:paraId="05507304" w14:textId="77777777" w:rsidR="00AC5A80" w:rsidRDefault="0076496B" w:rsidP="00325C7A">
      <w:pPr>
        <w:widowControl w:val="0"/>
        <w:spacing w:after="0" w:line="480" w:lineRule="auto"/>
        <w:jc w:val="both"/>
        <w:rPr>
          <w:rFonts w:ascii="Arial" w:hAnsi="Arial" w:cs="Arial"/>
          <w:sz w:val="24"/>
          <w:szCs w:val="24"/>
        </w:rPr>
      </w:pPr>
      <w:r>
        <w:rPr>
          <w:rFonts w:ascii="Arial" w:hAnsi="Arial" w:cs="Arial"/>
          <w:sz w:val="24"/>
          <w:szCs w:val="24"/>
        </w:rPr>
        <w:t>IGS subsequently submitted discovery on Duke with respect to the questions identified in the Entry.  IGS, however, agreed to hold its discovery in abeyance during settlement negotiations between the parties.</w:t>
      </w:r>
      <w:r w:rsidR="00AC5A80">
        <w:rPr>
          <w:rFonts w:ascii="Arial" w:hAnsi="Arial" w:cs="Arial"/>
          <w:sz w:val="24"/>
          <w:szCs w:val="24"/>
        </w:rPr>
        <w:t xml:space="preserve">  During those discussions, parties freely exchanged information and did not find a need to enter into a protective agreement.</w:t>
      </w:r>
    </w:p>
    <w:p w14:paraId="1E5B03E4" w14:textId="0837489C" w:rsidR="00AC5A80" w:rsidRDefault="0076496B" w:rsidP="00AC5A80">
      <w:pPr>
        <w:widowControl w:val="0"/>
        <w:spacing w:after="0" w:line="480" w:lineRule="auto"/>
        <w:ind w:firstLine="720"/>
        <w:jc w:val="both"/>
        <w:rPr>
          <w:rFonts w:ascii="Arial" w:hAnsi="Arial" w:cs="Arial"/>
          <w:sz w:val="24"/>
          <w:szCs w:val="24"/>
        </w:rPr>
      </w:pPr>
      <w:r>
        <w:rPr>
          <w:rFonts w:ascii="Arial" w:hAnsi="Arial" w:cs="Arial"/>
          <w:sz w:val="24"/>
          <w:szCs w:val="24"/>
        </w:rPr>
        <w:t>Following several settlement discussions,</w:t>
      </w:r>
      <w:r w:rsidR="00AC5A80">
        <w:rPr>
          <w:rFonts w:ascii="Arial" w:hAnsi="Arial" w:cs="Arial"/>
          <w:sz w:val="24"/>
          <w:szCs w:val="24"/>
        </w:rPr>
        <w:t xml:space="preserve"> however, </w:t>
      </w:r>
      <w:r>
        <w:rPr>
          <w:rFonts w:ascii="Arial" w:hAnsi="Arial" w:cs="Arial"/>
          <w:sz w:val="24"/>
          <w:szCs w:val="24"/>
        </w:rPr>
        <w:t>it became apparent that the parties would not amicably resolve this matter through a stipulation and recommendation.  The Attorney Examiner then set this matter for hearing.</w:t>
      </w:r>
    </w:p>
    <w:p w14:paraId="22196369" w14:textId="22D64124" w:rsidR="00655CF7" w:rsidRDefault="0076496B" w:rsidP="00655CF7">
      <w:pPr>
        <w:widowControl w:val="0"/>
        <w:spacing w:after="0" w:line="480" w:lineRule="auto"/>
        <w:jc w:val="both"/>
        <w:rPr>
          <w:rFonts w:ascii="Arial" w:hAnsi="Arial" w:cs="Arial"/>
          <w:sz w:val="24"/>
          <w:szCs w:val="24"/>
        </w:rPr>
      </w:pPr>
      <w:r>
        <w:rPr>
          <w:rFonts w:ascii="Arial" w:hAnsi="Arial" w:cs="Arial"/>
          <w:sz w:val="24"/>
          <w:szCs w:val="24"/>
        </w:rPr>
        <w:tab/>
      </w:r>
      <w:r w:rsidR="00586EFA">
        <w:rPr>
          <w:rFonts w:ascii="Arial" w:hAnsi="Arial" w:cs="Arial"/>
          <w:sz w:val="24"/>
          <w:szCs w:val="24"/>
        </w:rPr>
        <w:t>After IGS reminded Duke of its</w:t>
      </w:r>
      <w:r>
        <w:rPr>
          <w:rFonts w:ascii="Arial" w:hAnsi="Arial" w:cs="Arial"/>
          <w:sz w:val="24"/>
          <w:szCs w:val="24"/>
        </w:rPr>
        <w:t xml:space="preserve"> outstanding discovery requests, Duke indicated that the requested documents could only be produced pursuant to a protective agreement.</w:t>
      </w:r>
      <w:r w:rsidR="00655CF7">
        <w:rPr>
          <w:rStyle w:val="FootnoteReference"/>
          <w:rFonts w:ascii="Arial" w:hAnsi="Arial" w:cs="Arial"/>
          <w:sz w:val="24"/>
          <w:szCs w:val="24"/>
        </w:rPr>
        <w:footnoteReference w:id="6"/>
      </w:r>
      <w:r>
        <w:rPr>
          <w:rFonts w:ascii="Arial" w:hAnsi="Arial" w:cs="Arial"/>
          <w:sz w:val="24"/>
          <w:szCs w:val="24"/>
        </w:rPr>
        <w:t xml:space="preserve">  </w:t>
      </w:r>
      <w:r w:rsidR="00690D08">
        <w:rPr>
          <w:rFonts w:ascii="Arial" w:hAnsi="Arial" w:cs="Arial"/>
          <w:sz w:val="24"/>
          <w:szCs w:val="24"/>
        </w:rPr>
        <w:t>On September 6, 2016, Duke submitted to IGS a proposed protective agreement.</w:t>
      </w:r>
      <w:r w:rsidR="00655CF7">
        <w:rPr>
          <w:rStyle w:val="FootnoteReference"/>
          <w:rFonts w:ascii="Arial" w:hAnsi="Arial" w:cs="Arial"/>
          <w:sz w:val="24"/>
          <w:szCs w:val="24"/>
        </w:rPr>
        <w:footnoteReference w:id="7"/>
      </w:r>
      <w:r w:rsidR="00690D08">
        <w:rPr>
          <w:rFonts w:ascii="Arial" w:hAnsi="Arial" w:cs="Arial"/>
          <w:sz w:val="24"/>
          <w:szCs w:val="24"/>
        </w:rPr>
        <w:t xml:space="preserve">  After reviewing the proposed agreement,</w:t>
      </w:r>
      <w:r w:rsidR="00655CF7">
        <w:rPr>
          <w:rFonts w:ascii="Arial" w:hAnsi="Arial" w:cs="Arial"/>
          <w:sz w:val="24"/>
          <w:szCs w:val="24"/>
        </w:rPr>
        <w:t xml:space="preserve"> it became apparent that the agreement departed from Commission precedent inasmuch as it would restrict IGS</w:t>
      </w:r>
      <w:r w:rsidR="00177C60">
        <w:rPr>
          <w:rFonts w:ascii="Arial" w:hAnsi="Arial" w:cs="Arial"/>
          <w:sz w:val="24"/>
          <w:szCs w:val="24"/>
        </w:rPr>
        <w:t>’</w:t>
      </w:r>
      <w:r w:rsidR="00655CF7">
        <w:rPr>
          <w:rFonts w:ascii="Arial" w:hAnsi="Arial" w:cs="Arial"/>
          <w:sz w:val="24"/>
          <w:szCs w:val="24"/>
        </w:rPr>
        <w:t xml:space="preserve"> right to use confidential documents in future proceedings, as well require IGS to destroy or return documents following the resolution of this proceeding.</w:t>
      </w:r>
      <w:r w:rsidR="00177C60">
        <w:rPr>
          <w:rStyle w:val="FootnoteReference"/>
          <w:rFonts w:ascii="Arial" w:hAnsi="Arial" w:cs="Arial"/>
          <w:sz w:val="24"/>
          <w:szCs w:val="24"/>
        </w:rPr>
        <w:footnoteReference w:id="8"/>
      </w:r>
      <w:r w:rsidR="00690D08">
        <w:rPr>
          <w:rFonts w:ascii="Arial" w:hAnsi="Arial" w:cs="Arial"/>
          <w:sz w:val="24"/>
          <w:szCs w:val="24"/>
        </w:rPr>
        <w:t xml:space="preserve"> </w:t>
      </w:r>
    </w:p>
    <w:p w14:paraId="4AC92656" w14:textId="45C51273" w:rsidR="00690D08" w:rsidRDefault="00655CF7" w:rsidP="00655CF7">
      <w:pPr>
        <w:widowControl w:val="0"/>
        <w:spacing w:after="0" w:line="480" w:lineRule="auto"/>
        <w:ind w:firstLine="720"/>
        <w:jc w:val="both"/>
        <w:rPr>
          <w:rFonts w:ascii="Arial" w:hAnsi="Arial" w:cs="Arial"/>
          <w:sz w:val="24"/>
          <w:szCs w:val="24"/>
        </w:rPr>
      </w:pPr>
      <w:r>
        <w:rPr>
          <w:rFonts w:ascii="Arial" w:hAnsi="Arial" w:cs="Arial"/>
          <w:sz w:val="24"/>
          <w:szCs w:val="24"/>
        </w:rPr>
        <w:t>On September 6, 2016, IGS</w:t>
      </w:r>
      <w:r w:rsidR="00690D08">
        <w:rPr>
          <w:rFonts w:ascii="Arial" w:hAnsi="Arial" w:cs="Arial"/>
          <w:sz w:val="24"/>
          <w:szCs w:val="24"/>
        </w:rPr>
        <w:t xml:space="preserve"> no</w:t>
      </w:r>
      <w:r w:rsidR="00C96B14">
        <w:rPr>
          <w:rFonts w:ascii="Arial" w:hAnsi="Arial" w:cs="Arial"/>
          <w:sz w:val="24"/>
          <w:szCs w:val="24"/>
        </w:rPr>
        <w:t xml:space="preserve">tified Duke that the parties should </w:t>
      </w:r>
      <w:r w:rsidR="00690D08">
        <w:rPr>
          <w:rFonts w:ascii="Arial" w:hAnsi="Arial" w:cs="Arial"/>
          <w:sz w:val="24"/>
          <w:szCs w:val="24"/>
        </w:rPr>
        <w:t>use the last agreement entered into between the parties in Duke’s ESP case</w:t>
      </w:r>
      <w:r>
        <w:rPr>
          <w:rFonts w:ascii="Arial" w:hAnsi="Arial" w:cs="Arial"/>
          <w:sz w:val="24"/>
          <w:szCs w:val="24"/>
        </w:rPr>
        <w:t xml:space="preserve"> as it has been approved by the Commission</w:t>
      </w:r>
      <w:r w:rsidR="00690D08">
        <w:rPr>
          <w:rFonts w:ascii="Arial" w:hAnsi="Arial" w:cs="Arial"/>
          <w:sz w:val="24"/>
          <w:szCs w:val="24"/>
        </w:rPr>
        <w:t>.</w:t>
      </w:r>
      <w:r>
        <w:rPr>
          <w:rStyle w:val="FootnoteReference"/>
          <w:rFonts w:ascii="Arial" w:hAnsi="Arial" w:cs="Arial"/>
          <w:sz w:val="24"/>
          <w:szCs w:val="24"/>
        </w:rPr>
        <w:footnoteReference w:id="9"/>
      </w:r>
      <w:r w:rsidR="00690D08">
        <w:rPr>
          <w:rFonts w:ascii="Arial" w:hAnsi="Arial" w:cs="Arial"/>
          <w:sz w:val="24"/>
          <w:szCs w:val="24"/>
        </w:rPr>
        <w:t xml:space="preserve">  IGS submitted that agreement for Duke’s review on </w:t>
      </w:r>
      <w:r w:rsidR="00177C60">
        <w:rPr>
          <w:rFonts w:ascii="Arial" w:hAnsi="Arial" w:cs="Arial"/>
          <w:sz w:val="24"/>
          <w:szCs w:val="24"/>
        </w:rPr>
        <w:t>that same day</w:t>
      </w:r>
      <w:r w:rsidR="00690D08">
        <w:rPr>
          <w:rFonts w:ascii="Arial" w:hAnsi="Arial" w:cs="Arial"/>
          <w:sz w:val="24"/>
          <w:szCs w:val="24"/>
        </w:rPr>
        <w:t xml:space="preserve">.  </w:t>
      </w:r>
      <w:r>
        <w:rPr>
          <w:rFonts w:ascii="Arial" w:hAnsi="Arial" w:cs="Arial"/>
          <w:sz w:val="24"/>
          <w:szCs w:val="24"/>
        </w:rPr>
        <w:t xml:space="preserve">Later that day, </w:t>
      </w:r>
      <w:r w:rsidR="00690D08">
        <w:rPr>
          <w:rFonts w:ascii="Arial" w:hAnsi="Arial" w:cs="Arial"/>
          <w:sz w:val="24"/>
          <w:szCs w:val="24"/>
        </w:rPr>
        <w:t>Duke indicated that it could only use the agreement proposed by IGS to the extent that additional edits were included in the document.</w:t>
      </w:r>
      <w:r>
        <w:rPr>
          <w:rStyle w:val="FootnoteReference"/>
          <w:rFonts w:ascii="Arial" w:hAnsi="Arial" w:cs="Arial"/>
          <w:sz w:val="24"/>
          <w:szCs w:val="24"/>
        </w:rPr>
        <w:footnoteReference w:id="10"/>
      </w:r>
      <w:r w:rsidR="00690D08">
        <w:rPr>
          <w:rFonts w:ascii="Arial" w:hAnsi="Arial" w:cs="Arial"/>
          <w:sz w:val="24"/>
          <w:szCs w:val="24"/>
        </w:rPr>
        <w:t xml:space="preserve">  In an effort to resolve the issue, IGS indicated that it would review and</w:t>
      </w:r>
      <w:r w:rsidR="00177C60">
        <w:rPr>
          <w:rFonts w:ascii="Arial" w:hAnsi="Arial" w:cs="Arial"/>
          <w:sz w:val="24"/>
          <w:szCs w:val="24"/>
        </w:rPr>
        <w:t xml:space="preserve"> consider any edits </w:t>
      </w:r>
      <w:r w:rsidR="00690D08">
        <w:rPr>
          <w:rFonts w:ascii="Arial" w:hAnsi="Arial" w:cs="Arial"/>
          <w:sz w:val="24"/>
          <w:szCs w:val="24"/>
        </w:rPr>
        <w:t>Duke</w:t>
      </w:r>
      <w:r w:rsidR="00177C60">
        <w:rPr>
          <w:rFonts w:ascii="Arial" w:hAnsi="Arial" w:cs="Arial"/>
          <w:sz w:val="24"/>
          <w:szCs w:val="24"/>
        </w:rPr>
        <w:t xml:space="preserve"> proposed</w:t>
      </w:r>
      <w:r w:rsidR="00690D08">
        <w:rPr>
          <w:rFonts w:ascii="Arial" w:hAnsi="Arial" w:cs="Arial"/>
          <w:sz w:val="24"/>
          <w:szCs w:val="24"/>
        </w:rPr>
        <w:t>.</w:t>
      </w:r>
      <w:r>
        <w:rPr>
          <w:rStyle w:val="FootnoteReference"/>
          <w:rFonts w:ascii="Arial" w:hAnsi="Arial" w:cs="Arial"/>
          <w:sz w:val="24"/>
          <w:szCs w:val="24"/>
        </w:rPr>
        <w:footnoteReference w:id="11"/>
      </w:r>
    </w:p>
    <w:p w14:paraId="4FCCB526" w14:textId="17CDB47F" w:rsidR="00E4353A" w:rsidRDefault="00690D08" w:rsidP="00325C7A">
      <w:pPr>
        <w:widowControl w:val="0"/>
        <w:spacing w:after="0" w:line="480" w:lineRule="auto"/>
        <w:jc w:val="both"/>
        <w:rPr>
          <w:rFonts w:ascii="Arial" w:hAnsi="Arial" w:cs="Arial"/>
          <w:sz w:val="24"/>
          <w:szCs w:val="24"/>
        </w:rPr>
      </w:pPr>
      <w:r>
        <w:rPr>
          <w:rFonts w:ascii="Arial" w:hAnsi="Arial" w:cs="Arial"/>
          <w:sz w:val="24"/>
          <w:szCs w:val="24"/>
        </w:rPr>
        <w:tab/>
        <w:t>On September 8, 2016, Duke submitte</w:t>
      </w:r>
      <w:r w:rsidR="00177C60">
        <w:rPr>
          <w:rFonts w:ascii="Arial" w:hAnsi="Arial" w:cs="Arial"/>
          <w:sz w:val="24"/>
          <w:szCs w:val="24"/>
        </w:rPr>
        <w:t>d to IGS proposed modifications</w:t>
      </w:r>
      <w:r>
        <w:rPr>
          <w:rFonts w:ascii="Arial" w:hAnsi="Arial" w:cs="Arial"/>
          <w:sz w:val="24"/>
          <w:szCs w:val="24"/>
        </w:rPr>
        <w:t xml:space="preserve"> to </w:t>
      </w:r>
      <w:r w:rsidR="00C96B14">
        <w:rPr>
          <w:rFonts w:ascii="Arial" w:hAnsi="Arial" w:cs="Arial"/>
          <w:sz w:val="24"/>
          <w:szCs w:val="24"/>
        </w:rPr>
        <w:t xml:space="preserve">the </w:t>
      </w:r>
      <w:r>
        <w:rPr>
          <w:rFonts w:ascii="Arial" w:hAnsi="Arial" w:cs="Arial"/>
          <w:sz w:val="24"/>
          <w:szCs w:val="24"/>
        </w:rPr>
        <w:t xml:space="preserve">agreement adopted by the Commission in </w:t>
      </w:r>
      <w:r w:rsidR="00177C60">
        <w:rPr>
          <w:rFonts w:ascii="Arial" w:hAnsi="Arial" w:cs="Arial"/>
          <w:sz w:val="24"/>
          <w:szCs w:val="24"/>
        </w:rPr>
        <w:t xml:space="preserve">the </w:t>
      </w:r>
      <w:r>
        <w:rPr>
          <w:rFonts w:ascii="Arial" w:hAnsi="Arial" w:cs="Arial"/>
          <w:i/>
          <w:sz w:val="24"/>
          <w:szCs w:val="24"/>
        </w:rPr>
        <w:t>ESP III</w:t>
      </w:r>
      <w:r w:rsidR="00177C60">
        <w:rPr>
          <w:rFonts w:ascii="Arial" w:hAnsi="Arial" w:cs="Arial"/>
          <w:i/>
          <w:sz w:val="24"/>
          <w:szCs w:val="24"/>
        </w:rPr>
        <w:t xml:space="preserve"> Case</w:t>
      </w:r>
      <w:r w:rsidR="00E4353A">
        <w:rPr>
          <w:rFonts w:ascii="Arial" w:hAnsi="Arial" w:cs="Arial"/>
          <w:sz w:val="24"/>
          <w:szCs w:val="24"/>
        </w:rPr>
        <w:t xml:space="preserve">. </w:t>
      </w:r>
      <w:r w:rsidR="00655CF7">
        <w:rPr>
          <w:rStyle w:val="FootnoteReference"/>
          <w:rFonts w:ascii="Arial" w:hAnsi="Arial" w:cs="Arial"/>
          <w:sz w:val="24"/>
          <w:szCs w:val="24"/>
        </w:rPr>
        <w:footnoteReference w:id="12"/>
      </w:r>
      <w:r w:rsidR="00E4353A">
        <w:rPr>
          <w:rFonts w:ascii="Arial" w:hAnsi="Arial" w:cs="Arial"/>
          <w:sz w:val="24"/>
          <w:szCs w:val="24"/>
        </w:rPr>
        <w:t xml:space="preserve"> In its edits</w:t>
      </w:r>
      <w:r>
        <w:rPr>
          <w:rFonts w:ascii="Arial" w:hAnsi="Arial" w:cs="Arial"/>
          <w:sz w:val="24"/>
          <w:szCs w:val="24"/>
        </w:rPr>
        <w:t xml:space="preserve">, however, </w:t>
      </w:r>
      <w:r w:rsidR="00E4353A">
        <w:rPr>
          <w:rFonts w:ascii="Arial" w:hAnsi="Arial" w:cs="Arial"/>
          <w:sz w:val="24"/>
          <w:szCs w:val="24"/>
        </w:rPr>
        <w:t xml:space="preserve">Duke </w:t>
      </w:r>
      <w:r>
        <w:rPr>
          <w:rFonts w:ascii="Arial" w:hAnsi="Arial" w:cs="Arial"/>
          <w:sz w:val="24"/>
          <w:szCs w:val="24"/>
        </w:rPr>
        <w:t>proposed that “[t]</w:t>
      </w:r>
      <w:r w:rsidRPr="00690D08">
        <w:rPr>
          <w:rFonts w:ascii="Arial" w:hAnsi="Arial" w:cs="Arial"/>
          <w:sz w:val="24"/>
          <w:szCs w:val="24"/>
        </w:rPr>
        <w:t xml:space="preserve">he Recipient shall not reveal or otherwise disclose Protected Materials other than as expressly authorized in this Agreement </w:t>
      </w:r>
      <w:r w:rsidRPr="00177C60">
        <w:rPr>
          <w:rFonts w:ascii="Arial" w:hAnsi="Arial" w:cs="Arial"/>
          <w:i/>
          <w:sz w:val="24"/>
          <w:szCs w:val="24"/>
        </w:rPr>
        <w:t>and only for the purpose of the Proceeding.</w:t>
      </w:r>
      <w:r>
        <w:rPr>
          <w:rFonts w:ascii="Arial" w:hAnsi="Arial" w:cs="Arial"/>
          <w:sz w:val="24"/>
          <w:szCs w:val="24"/>
        </w:rPr>
        <w:t>”</w:t>
      </w:r>
      <w:r w:rsidR="00E4353A">
        <w:rPr>
          <w:rStyle w:val="FootnoteReference"/>
          <w:rFonts w:ascii="Arial" w:hAnsi="Arial" w:cs="Arial"/>
          <w:sz w:val="24"/>
          <w:szCs w:val="24"/>
        </w:rPr>
        <w:footnoteReference w:id="13"/>
      </w:r>
      <w:r w:rsidR="00E4353A">
        <w:rPr>
          <w:rFonts w:ascii="Arial" w:hAnsi="Arial" w:cs="Arial"/>
          <w:sz w:val="24"/>
          <w:szCs w:val="24"/>
        </w:rPr>
        <w:t xml:space="preserve">  </w:t>
      </w:r>
    </w:p>
    <w:p w14:paraId="0FD27341" w14:textId="5275F25A" w:rsidR="00C75207" w:rsidRDefault="00E4353A" w:rsidP="00C75207">
      <w:pPr>
        <w:widowControl w:val="0"/>
        <w:spacing w:after="0" w:line="480" w:lineRule="auto"/>
        <w:ind w:firstLine="720"/>
        <w:jc w:val="both"/>
        <w:rPr>
          <w:rFonts w:ascii="Arial" w:hAnsi="Arial" w:cs="Arial"/>
          <w:sz w:val="24"/>
          <w:szCs w:val="24"/>
        </w:rPr>
      </w:pPr>
      <w:r>
        <w:rPr>
          <w:rFonts w:ascii="Arial" w:hAnsi="Arial" w:cs="Arial"/>
          <w:sz w:val="24"/>
          <w:szCs w:val="24"/>
        </w:rPr>
        <w:t>IGS promptly notified Duke on that same day that Duke’s proposal would violate Commission preceden</w:t>
      </w:r>
      <w:r w:rsidR="00655CF7">
        <w:rPr>
          <w:rFonts w:ascii="Arial" w:hAnsi="Arial" w:cs="Arial"/>
          <w:sz w:val="24"/>
          <w:szCs w:val="24"/>
        </w:rPr>
        <w:t>t resulting from litigation between IGS and Duke in the</w:t>
      </w:r>
      <w:r>
        <w:rPr>
          <w:rFonts w:ascii="Arial" w:hAnsi="Arial" w:cs="Arial"/>
          <w:sz w:val="24"/>
          <w:szCs w:val="24"/>
        </w:rPr>
        <w:t xml:space="preserve"> </w:t>
      </w:r>
      <w:r>
        <w:rPr>
          <w:rFonts w:ascii="Arial" w:hAnsi="Arial" w:cs="Arial"/>
          <w:i/>
          <w:sz w:val="24"/>
          <w:szCs w:val="24"/>
        </w:rPr>
        <w:t>ESP III</w:t>
      </w:r>
      <w:r w:rsidR="00655CF7">
        <w:rPr>
          <w:rFonts w:ascii="Arial" w:hAnsi="Arial" w:cs="Arial"/>
          <w:i/>
          <w:sz w:val="24"/>
          <w:szCs w:val="24"/>
        </w:rPr>
        <w:t xml:space="preserve"> Case</w:t>
      </w:r>
      <w:r>
        <w:rPr>
          <w:rFonts w:ascii="Arial" w:hAnsi="Arial" w:cs="Arial"/>
          <w:sz w:val="24"/>
          <w:szCs w:val="24"/>
        </w:rPr>
        <w:t>.</w:t>
      </w:r>
      <w:r w:rsidR="00655CF7">
        <w:rPr>
          <w:rStyle w:val="FootnoteReference"/>
          <w:rFonts w:ascii="Arial" w:hAnsi="Arial" w:cs="Arial"/>
          <w:sz w:val="24"/>
          <w:szCs w:val="24"/>
        </w:rPr>
        <w:footnoteReference w:id="14"/>
      </w:r>
      <w:r>
        <w:rPr>
          <w:rFonts w:ascii="Arial" w:hAnsi="Arial" w:cs="Arial"/>
          <w:sz w:val="24"/>
          <w:szCs w:val="24"/>
        </w:rPr>
        <w:t xml:space="preserve">  Duke did not disagree.  Instead, Duke claimed that:  “</w:t>
      </w:r>
      <w:r w:rsidRPr="00E4353A">
        <w:rPr>
          <w:rFonts w:ascii="Arial" w:hAnsi="Arial" w:cs="Arial"/>
          <w:sz w:val="24"/>
          <w:szCs w:val="24"/>
        </w:rPr>
        <w:t>Yes, we litigated all of these issues in the 841 case, but that case has not yet been concluded since rehearing was granted.  And we still have an opportunity to appeal the issue.  So we are not inclined to waive the argument here.</w:t>
      </w:r>
      <w:r>
        <w:rPr>
          <w:rFonts w:ascii="Arial" w:hAnsi="Arial" w:cs="Arial"/>
          <w:sz w:val="24"/>
          <w:szCs w:val="24"/>
        </w:rPr>
        <w:t>”</w:t>
      </w:r>
      <w:r w:rsidR="00655CF7">
        <w:rPr>
          <w:rStyle w:val="FootnoteReference"/>
          <w:rFonts w:ascii="Arial" w:hAnsi="Arial" w:cs="Arial"/>
          <w:sz w:val="24"/>
          <w:szCs w:val="24"/>
        </w:rPr>
        <w:footnoteReference w:id="15"/>
      </w:r>
      <w:r w:rsidR="00C75207">
        <w:rPr>
          <w:rFonts w:ascii="Arial" w:hAnsi="Arial" w:cs="Arial"/>
          <w:sz w:val="24"/>
          <w:szCs w:val="24"/>
        </w:rPr>
        <w:t xml:space="preserve">  IGS responded to Duke that its position is not reasonable</w:t>
      </w:r>
      <w:r w:rsidR="00E04507">
        <w:rPr>
          <w:rFonts w:ascii="Arial" w:hAnsi="Arial" w:cs="Arial"/>
          <w:sz w:val="24"/>
          <w:szCs w:val="24"/>
        </w:rPr>
        <w:t>, given that Commission has not reversed its precedent at this time</w:t>
      </w:r>
      <w:r w:rsidR="00C75207">
        <w:rPr>
          <w:rFonts w:ascii="Arial" w:hAnsi="Arial" w:cs="Arial"/>
          <w:sz w:val="24"/>
          <w:szCs w:val="24"/>
        </w:rPr>
        <w:t>.</w:t>
      </w:r>
      <w:r w:rsidR="00655CF7">
        <w:rPr>
          <w:rStyle w:val="FootnoteReference"/>
          <w:rFonts w:ascii="Arial" w:hAnsi="Arial" w:cs="Arial"/>
          <w:sz w:val="24"/>
          <w:szCs w:val="24"/>
        </w:rPr>
        <w:footnoteReference w:id="16"/>
      </w:r>
      <w:r w:rsidR="00C75207">
        <w:rPr>
          <w:rFonts w:ascii="Arial" w:hAnsi="Arial" w:cs="Arial"/>
          <w:sz w:val="24"/>
          <w:szCs w:val="24"/>
        </w:rPr>
        <w:t xml:space="preserve">  IGS further indicated that it would file a motion to compel if Duke did not adopt a suitable confidentiality agreement by Monday, September 12, 2016.</w:t>
      </w:r>
      <w:r w:rsidR="00655CF7">
        <w:rPr>
          <w:rStyle w:val="FootnoteReference"/>
          <w:rFonts w:ascii="Arial" w:hAnsi="Arial" w:cs="Arial"/>
          <w:sz w:val="24"/>
          <w:szCs w:val="24"/>
        </w:rPr>
        <w:footnoteReference w:id="17"/>
      </w:r>
      <w:r w:rsidR="00E35263">
        <w:rPr>
          <w:rFonts w:ascii="Arial" w:hAnsi="Arial" w:cs="Arial"/>
          <w:sz w:val="24"/>
          <w:szCs w:val="24"/>
        </w:rPr>
        <w:t xml:space="preserve">  IGS’ efforts to resolve this matter are further set forth in the Affidavit of Joseph Oliker, which is included in this motion as Attachment 5.</w:t>
      </w:r>
      <w:r w:rsidR="00C75207">
        <w:rPr>
          <w:rFonts w:ascii="Arial" w:hAnsi="Arial" w:cs="Arial"/>
          <w:sz w:val="24"/>
          <w:szCs w:val="24"/>
        </w:rPr>
        <w:t xml:space="preserve">  Because </w:t>
      </w:r>
      <w:r w:rsidR="00D57054">
        <w:rPr>
          <w:rFonts w:ascii="Arial" w:hAnsi="Arial" w:cs="Arial"/>
          <w:sz w:val="24"/>
          <w:szCs w:val="24"/>
        </w:rPr>
        <w:t>Duke has not agreed to remove its proposed unreasonable restriction, it is unfortunately necessary for the Commission to issue an order to resolve this discovery dispute.</w:t>
      </w:r>
      <w:r w:rsidR="00655CF7">
        <w:rPr>
          <w:rStyle w:val="FootnoteReference"/>
          <w:rFonts w:ascii="Arial" w:hAnsi="Arial" w:cs="Arial"/>
          <w:sz w:val="24"/>
          <w:szCs w:val="24"/>
        </w:rPr>
        <w:footnoteReference w:id="18"/>
      </w:r>
      <w:r w:rsidR="00D57054">
        <w:rPr>
          <w:rFonts w:ascii="Arial" w:hAnsi="Arial" w:cs="Arial"/>
          <w:sz w:val="24"/>
          <w:szCs w:val="24"/>
        </w:rPr>
        <w:t xml:space="preserve"> </w:t>
      </w:r>
    </w:p>
    <w:p w14:paraId="61030439" w14:textId="67AFEB6B" w:rsidR="00D57054" w:rsidRDefault="00D57054" w:rsidP="00D57054">
      <w:pPr>
        <w:pStyle w:val="ListParagraph"/>
        <w:widowControl w:val="0"/>
        <w:numPr>
          <w:ilvl w:val="0"/>
          <w:numId w:val="11"/>
        </w:numPr>
        <w:spacing w:after="0" w:line="480" w:lineRule="auto"/>
        <w:jc w:val="both"/>
        <w:rPr>
          <w:rFonts w:ascii="Arial" w:hAnsi="Arial" w:cs="Arial"/>
          <w:b/>
          <w:sz w:val="24"/>
          <w:szCs w:val="24"/>
        </w:rPr>
      </w:pPr>
      <w:r>
        <w:rPr>
          <w:rFonts w:ascii="Arial" w:hAnsi="Arial" w:cs="Arial"/>
          <w:b/>
          <w:sz w:val="24"/>
          <w:szCs w:val="24"/>
        </w:rPr>
        <w:t>ARGUMENT</w:t>
      </w:r>
    </w:p>
    <w:p w14:paraId="48189110" w14:textId="56199E95" w:rsidR="00BF3470" w:rsidRDefault="00BF3470" w:rsidP="00BF3470">
      <w:pPr>
        <w:widowControl w:val="0"/>
        <w:spacing w:after="0" w:line="480" w:lineRule="auto"/>
        <w:ind w:firstLine="720"/>
        <w:jc w:val="both"/>
        <w:rPr>
          <w:rFonts w:ascii="Arial" w:hAnsi="Arial" w:cs="Arial"/>
          <w:sz w:val="24"/>
          <w:szCs w:val="24"/>
        </w:rPr>
      </w:pPr>
      <w:r>
        <w:rPr>
          <w:rFonts w:ascii="Arial" w:hAnsi="Arial" w:cs="Arial"/>
          <w:sz w:val="24"/>
          <w:szCs w:val="24"/>
        </w:rPr>
        <w:t xml:space="preserve">This Motion requests that the Commission confirm its precedent in the </w:t>
      </w:r>
      <w:r>
        <w:rPr>
          <w:rFonts w:ascii="Arial" w:hAnsi="Arial" w:cs="Arial"/>
          <w:i/>
          <w:sz w:val="24"/>
          <w:szCs w:val="24"/>
        </w:rPr>
        <w:t xml:space="preserve">ESP III </w:t>
      </w:r>
      <w:r w:rsidRPr="00BF3470">
        <w:rPr>
          <w:rFonts w:ascii="Arial" w:hAnsi="Arial" w:cs="Arial"/>
          <w:i/>
          <w:sz w:val="24"/>
          <w:szCs w:val="24"/>
        </w:rPr>
        <w:t>Case</w:t>
      </w:r>
      <w:r>
        <w:rPr>
          <w:rFonts w:ascii="Arial" w:hAnsi="Arial" w:cs="Arial"/>
          <w:sz w:val="24"/>
          <w:szCs w:val="24"/>
        </w:rPr>
        <w:t xml:space="preserve">.  In that proceeding, the Commission held that </w:t>
      </w:r>
      <w:r w:rsidR="00E04507">
        <w:rPr>
          <w:rFonts w:ascii="Arial" w:hAnsi="Arial" w:cs="Arial"/>
          <w:sz w:val="24"/>
          <w:szCs w:val="24"/>
        </w:rPr>
        <w:t>in order to facilitate the efficient resolution of proceedings it is appropriate to allow parties to retain confidential documents for future proceedings subject to rules pertaining to admissibility.</w:t>
      </w:r>
      <w:r w:rsidR="00177C60">
        <w:rPr>
          <w:rStyle w:val="FootnoteReference"/>
          <w:rFonts w:ascii="Arial" w:hAnsi="Arial" w:cs="Arial"/>
          <w:sz w:val="24"/>
          <w:szCs w:val="24"/>
        </w:rPr>
        <w:footnoteReference w:id="19"/>
      </w:r>
      <w:r>
        <w:rPr>
          <w:rFonts w:ascii="Arial" w:hAnsi="Arial" w:cs="Arial"/>
          <w:sz w:val="24"/>
          <w:szCs w:val="24"/>
        </w:rPr>
        <w:t xml:space="preserve">  The Commission reaffirmed this holding following both an interlocutory appeal</w:t>
      </w:r>
      <w:r w:rsidR="003F3A27">
        <w:rPr>
          <w:rFonts w:ascii="Arial" w:hAnsi="Arial" w:cs="Arial"/>
          <w:sz w:val="24"/>
          <w:szCs w:val="24"/>
        </w:rPr>
        <w:t xml:space="preserve"> and</w:t>
      </w:r>
      <w:r>
        <w:rPr>
          <w:rFonts w:ascii="Arial" w:hAnsi="Arial" w:cs="Arial"/>
          <w:sz w:val="24"/>
          <w:szCs w:val="24"/>
        </w:rPr>
        <w:t xml:space="preserve"> an application</w:t>
      </w:r>
      <w:r w:rsidR="003F3A27">
        <w:rPr>
          <w:rFonts w:ascii="Arial" w:hAnsi="Arial" w:cs="Arial"/>
          <w:sz w:val="24"/>
          <w:szCs w:val="24"/>
        </w:rPr>
        <w:t xml:space="preserve"> for rehearing submitted by Duke litigating</w:t>
      </w:r>
      <w:r>
        <w:rPr>
          <w:rFonts w:ascii="Arial" w:hAnsi="Arial" w:cs="Arial"/>
          <w:sz w:val="24"/>
          <w:szCs w:val="24"/>
        </w:rPr>
        <w:t xml:space="preserve"> this issue ad nauseum.</w:t>
      </w:r>
      <w:r w:rsidR="00177C60">
        <w:rPr>
          <w:rStyle w:val="FootnoteReference"/>
          <w:rFonts w:ascii="Arial" w:hAnsi="Arial" w:cs="Arial"/>
          <w:sz w:val="24"/>
          <w:szCs w:val="24"/>
        </w:rPr>
        <w:footnoteReference w:id="20"/>
      </w:r>
      <w:r w:rsidR="00E04507">
        <w:rPr>
          <w:rFonts w:ascii="Arial" w:hAnsi="Arial" w:cs="Arial"/>
          <w:sz w:val="24"/>
          <w:szCs w:val="24"/>
        </w:rPr>
        <w:t xml:space="preserve">  </w:t>
      </w:r>
    </w:p>
    <w:p w14:paraId="49C761F8" w14:textId="68DAC4AF" w:rsidR="00BF3470" w:rsidRDefault="00BF3470" w:rsidP="00BF3470">
      <w:pPr>
        <w:widowControl w:val="0"/>
        <w:spacing w:after="0" w:line="480" w:lineRule="auto"/>
        <w:ind w:firstLine="720"/>
        <w:jc w:val="both"/>
        <w:rPr>
          <w:rFonts w:ascii="Arial" w:hAnsi="Arial" w:cs="Arial"/>
          <w:sz w:val="24"/>
          <w:szCs w:val="24"/>
        </w:rPr>
      </w:pPr>
      <w:r>
        <w:rPr>
          <w:rFonts w:ascii="Arial" w:hAnsi="Arial" w:cs="Arial"/>
          <w:sz w:val="24"/>
          <w:szCs w:val="24"/>
        </w:rPr>
        <w:t>Duke does not contest the</w:t>
      </w:r>
      <w:r w:rsidR="00E04507">
        <w:rPr>
          <w:rFonts w:ascii="Arial" w:hAnsi="Arial" w:cs="Arial"/>
          <w:sz w:val="24"/>
          <w:szCs w:val="24"/>
        </w:rPr>
        <w:t xml:space="preserve"> precedent</w:t>
      </w:r>
      <w:r>
        <w:rPr>
          <w:rFonts w:ascii="Arial" w:hAnsi="Arial" w:cs="Arial"/>
          <w:sz w:val="24"/>
          <w:szCs w:val="24"/>
        </w:rPr>
        <w:t xml:space="preserve"> in the </w:t>
      </w:r>
      <w:r>
        <w:rPr>
          <w:rFonts w:ascii="Arial" w:hAnsi="Arial" w:cs="Arial"/>
          <w:i/>
          <w:sz w:val="24"/>
          <w:szCs w:val="24"/>
        </w:rPr>
        <w:t>ESP III Case</w:t>
      </w:r>
      <w:r w:rsidR="00E04507">
        <w:rPr>
          <w:rFonts w:ascii="Arial" w:hAnsi="Arial" w:cs="Arial"/>
          <w:sz w:val="24"/>
          <w:szCs w:val="24"/>
        </w:rPr>
        <w:t>.  Rather, Duke claims that its a</w:t>
      </w:r>
      <w:r>
        <w:rPr>
          <w:rFonts w:ascii="Arial" w:hAnsi="Arial" w:cs="Arial"/>
          <w:sz w:val="24"/>
          <w:szCs w:val="24"/>
        </w:rPr>
        <w:t>pplication for rehearing in that case</w:t>
      </w:r>
      <w:r w:rsidR="00E04507">
        <w:rPr>
          <w:rFonts w:ascii="Arial" w:hAnsi="Arial" w:cs="Arial"/>
          <w:i/>
          <w:sz w:val="24"/>
          <w:szCs w:val="24"/>
        </w:rPr>
        <w:t xml:space="preserve"> </w:t>
      </w:r>
      <w:r w:rsidR="00E04507">
        <w:rPr>
          <w:rFonts w:ascii="Arial" w:hAnsi="Arial" w:cs="Arial"/>
          <w:sz w:val="24"/>
          <w:szCs w:val="24"/>
        </w:rPr>
        <w:t xml:space="preserve">was granted for further consideration; therefore, it is unwilling to follow existing precedent because it </w:t>
      </w:r>
      <w:r w:rsidR="00E04507">
        <w:rPr>
          <w:rFonts w:ascii="Arial" w:hAnsi="Arial" w:cs="Arial"/>
          <w:i/>
          <w:sz w:val="24"/>
          <w:szCs w:val="24"/>
        </w:rPr>
        <w:t xml:space="preserve">may </w:t>
      </w:r>
      <w:r w:rsidR="00E04507">
        <w:rPr>
          <w:rFonts w:ascii="Arial" w:hAnsi="Arial" w:cs="Arial"/>
          <w:sz w:val="24"/>
          <w:szCs w:val="24"/>
        </w:rPr>
        <w:t>decide to ultimately appeal the Commission’s decision</w:t>
      </w:r>
      <w:r w:rsidR="00C96B14">
        <w:rPr>
          <w:rFonts w:ascii="Arial" w:hAnsi="Arial" w:cs="Arial"/>
          <w:sz w:val="24"/>
          <w:szCs w:val="24"/>
        </w:rPr>
        <w:t xml:space="preserve"> and the Supreme Court may ultimately decide in favor of Duke</w:t>
      </w:r>
      <w:r w:rsidR="00655CF7">
        <w:rPr>
          <w:rFonts w:ascii="Arial" w:hAnsi="Arial" w:cs="Arial"/>
          <w:sz w:val="24"/>
          <w:szCs w:val="24"/>
        </w:rPr>
        <w:t xml:space="preserve">.  Duke’s position </w:t>
      </w:r>
      <w:r w:rsidR="00E04507">
        <w:rPr>
          <w:rFonts w:ascii="Arial" w:hAnsi="Arial" w:cs="Arial"/>
          <w:sz w:val="24"/>
          <w:szCs w:val="24"/>
        </w:rPr>
        <w:t>lacks merit.</w:t>
      </w:r>
    </w:p>
    <w:p w14:paraId="039908FE" w14:textId="63F5DD98" w:rsidR="000F2A2B" w:rsidRDefault="000F2A2B" w:rsidP="000F2A2B">
      <w:pPr>
        <w:widowControl w:val="0"/>
        <w:spacing w:after="0" w:line="480" w:lineRule="auto"/>
        <w:ind w:firstLine="720"/>
        <w:jc w:val="both"/>
        <w:rPr>
          <w:rFonts w:ascii="Arial" w:hAnsi="Arial" w:cs="Arial"/>
          <w:sz w:val="24"/>
          <w:szCs w:val="24"/>
        </w:rPr>
      </w:pPr>
      <w:r>
        <w:rPr>
          <w:rFonts w:ascii="Arial" w:hAnsi="Arial" w:cs="Arial"/>
          <w:sz w:val="24"/>
          <w:szCs w:val="24"/>
        </w:rPr>
        <w:t xml:space="preserve">Initially, IGS appreciates Duke’s desire to preserve its litigation position in the </w:t>
      </w:r>
      <w:r>
        <w:rPr>
          <w:rFonts w:ascii="Arial" w:hAnsi="Arial" w:cs="Arial"/>
          <w:i/>
          <w:sz w:val="24"/>
          <w:szCs w:val="24"/>
        </w:rPr>
        <w:t xml:space="preserve">ESP </w:t>
      </w:r>
      <w:r w:rsidRPr="000F2A2B">
        <w:rPr>
          <w:rFonts w:ascii="Arial" w:hAnsi="Arial" w:cs="Arial"/>
          <w:i/>
          <w:sz w:val="24"/>
          <w:szCs w:val="24"/>
        </w:rPr>
        <w:t>III Case</w:t>
      </w:r>
      <w:r>
        <w:rPr>
          <w:rFonts w:ascii="Arial" w:hAnsi="Arial" w:cs="Arial"/>
          <w:sz w:val="24"/>
          <w:szCs w:val="24"/>
        </w:rPr>
        <w:t>.  But Duke’s interest in not waiving the argument in this proceeding</w:t>
      </w:r>
      <w:r w:rsidR="00BF3470">
        <w:rPr>
          <w:rFonts w:ascii="Arial" w:hAnsi="Arial" w:cs="Arial"/>
          <w:sz w:val="24"/>
          <w:szCs w:val="24"/>
        </w:rPr>
        <w:t xml:space="preserve"> does not provide a basis </w:t>
      </w:r>
      <w:r>
        <w:rPr>
          <w:rFonts w:ascii="Arial" w:hAnsi="Arial" w:cs="Arial"/>
          <w:sz w:val="24"/>
          <w:szCs w:val="24"/>
        </w:rPr>
        <w:t xml:space="preserve">for the Commission to disturb its precedent.  Moreover, if the Commission’s determination in </w:t>
      </w:r>
      <w:r>
        <w:rPr>
          <w:rFonts w:ascii="Arial" w:hAnsi="Arial" w:cs="Arial"/>
          <w:i/>
          <w:sz w:val="24"/>
          <w:szCs w:val="24"/>
        </w:rPr>
        <w:t xml:space="preserve">ESP III Case </w:t>
      </w:r>
      <w:r>
        <w:rPr>
          <w:rFonts w:ascii="Arial" w:hAnsi="Arial" w:cs="Arial"/>
          <w:sz w:val="24"/>
          <w:szCs w:val="24"/>
        </w:rPr>
        <w:t>was truly an important issue to Duke, it could have taken an appeal from the denial of its interlocutory appeal and application for rehearing.</w:t>
      </w:r>
      <w:r w:rsidR="00336BD6">
        <w:rPr>
          <w:rFonts w:ascii="Arial" w:hAnsi="Arial" w:cs="Arial"/>
          <w:sz w:val="24"/>
          <w:szCs w:val="24"/>
        </w:rPr>
        <w:t xml:space="preserve">  It did not.</w:t>
      </w:r>
      <w:r>
        <w:rPr>
          <w:rFonts w:ascii="Arial" w:hAnsi="Arial" w:cs="Arial"/>
          <w:sz w:val="24"/>
          <w:szCs w:val="24"/>
        </w:rPr>
        <w:t xml:space="preserve">  </w:t>
      </w:r>
      <w:r w:rsidR="00C96B14">
        <w:rPr>
          <w:rFonts w:ascii="Arial" w:hAnsi="Arial" w:cs="Arial"/>
          <w:sz w:val="24"/>
          <w:szCs w:val="24"/>
        </w:rPr>
        <w:t>Therefore, IGS requests that the Commission issue an order adopting the protective agreeme</w:t>
      </w:r>
      <w:r w:rsidR="003F3A27">
        <w:rPr>
          <w:rFonts w:ascii="Arial" w:hAnsi="Arial" w:cs="Arial"/>
          <w:sz w:val="24"/>
          <w:szCs w:val="24"/>
        </w:rPr>
        <w:t>nt contained in Attachment 1</w:t>
      </w:r>
      <w:r w:rsidR="00C96B14">
        <w:rPr>
          <w:rFonts w:ascii="Arial" w:hAnsi="Arial" w:cs="Arial"/>
          <w:sz w:val="24"/>
          <w:szCs w:val="24"/>
        </w:rPr>
        <w:t>.</w:t>
      </w:r>
    </w:p>
    <w:p w14:paraId="2B15934A" w14:textId="4D2E0767" w:rsidR="00C96B14" w:rsidRDefault="00C96B14" w:rsidP="00C96B14">
      <w:pPr>
        <w:pStyle w:val="ListParagraph"/>
        <w:widowControl w:val="0"/>
        <w:numPr>
          <w:ilvl w:val="0"/>
          <w:numId w:val="11"/>
        </w:numPr>
        <w:spacing w:after="0" w:line="480" w:lineRule="auto"/>
        <w:jc w:val="both"/>
        <w:rPr>
          <w:rFonts w:ascii="Arial" w:hAnsi="Arial" w:cs="Arial"/>
          <w:b/>
          <w:sz w:val="24"/>
          <w:szCs w:val="24"/>
        </w:rPr>
      </w:pPr>
      <w:r>
        <w:rPr>
          <w:rFonts w:ascii="Arial" w:hAnsi="Arial" w:cs="Arial"/>
          <w:b/>
          <w:sz w:val="24"/>
          <w:szCs w:val="24"/>
        </w:rPr>
        <w:t>CONCLUSION</w:t>
      </w:r>
    </w:p>
    <w:p w14:paraId="7176D2F6" w14:textId="41095D53" w:rsidR="00545F29" w:rsidRPr="005259E3" w:rsidRDefault="00C96B14" w:rsidP="005259E3">
      <w:pPr>
        <w:spacing w:line="480" w:lineRule="auto"/>
        <w:ind w:firstLine="720"/>
        <w:jc w:val="both"/>
        <w:rPr>
          <w:rFonts w:ascii="Arial" w:hAnsi="Arial" w:cs="Arial"/>
          <w:color w:val="222222"/>
          <w:sz w:val="24"/>
          <w:szCs w:val="24"/>
        </w:rPr>
      </w:pPr>
      <w:r w:rsidRPr="00C96B14">
        <w:rPr>
          <w:rFonts w:ascii="Arial" w:hAnsi="Arial" w:cs="Arial"/>
          <w:color w:val="222222"/>
          <w:sz w:val="24"/>
          <w:szCs w:val="24"/>
        </w:rPr>
        <w:t>Confidential documents are exchanged in nearly every Commission case.  While confidential documents should be protected from disclosure to the public, it is necessary to allow such documents to be used in future cases to promote administrative economy</w:t>
      </w:r>
      <w:bookmarkStart w:id="0" w:name="_GoBack"/>
      <w:bookmarkEnd w:id="0"/>
      <w:r w:rsidRPr="00C96B14">
        <w:rPr>
          <w:rFonts w:ascii="Arial" w:hAnsi="Arial" w:cs="Arial"/>
          <w:color w:val="222222"/>
          <w:sz w:val="24"/>
          <w:szCs w:val="24"/>
        </w:rPr>
        <w:t xml:space="preserve"> and development of the record.  To prevent duplicative discovery and for consistency of the record, it is appropriate to allow parties to keep a copy of confidential documents for future use.  Therefore, IGS urges the Commissi</w:t>
      </w:r>
      <w:r w:rsidR="005259E3">
        <w:rPr>
          <w:rFonts w:ascii="Arial" w:hAnsi="Arial" w:cs="Arial"/>
          <w:color w:val="222222"/>
          <w:sz w:val="24"/>
          <w:szCs w:val="24"/>
        </w:rPr>
        <w:t>on to expeditiously grant this motion</w:t>
      </w:r>
      <w:r w:rsidRPr="00C96B14">
        <w:rPr>
          <w:rFonts w:ascii="Arial" w:hAnsi="Arial" w:cs="Arial"/>
          <w:color w:val="222222"/>
          <w:sz w:val="24"/>
          <w:szCs w:val="24"/>
        </w:rPr>
        <w:t>.</w:t>
      </w: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176D2FB" w14:textId="35F65A8F" w:rsidR="00F10F9B" w:rsidRDefault="00F10F9B" w:rsidP="00F10F9B">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sidR="00A71E20">
        <w:rPr>
          <w:rFonts w:ascii="Arial" w:eastAsia="Arial" w:hAnsi="Arial" w:cs="Arial"/>
          <w:i/>
          <w:sz w:val="24"/>
          <w:szCs w:val="24"/>
          <w:u w:val="single"/>
        </w:rPr>
        <w:t>Joseph Oliker</w:t>
      </w:r>
      <w:r w:rsidR="00237730">
        <w:rPr>
          <w:rFonts w:ascii="Arial" w:eastAsia="Arial" w:hAnsi="Arial" w:cs="Arial"/>
          <w:i/>
          <w:sz w:val="24"/>
          <w:szCs w:val="24"/>
          <w:u w:val="single"/>
        </w:rPr>
        <w:t>_________</w:t>
      </w:r>
    </w:p>
    <w:p w14:paraId="2109B4F2" w14:textId="0C6F60A3" w:rsidR="007B3399" w:rsidRDefault="00A71E20" w:rsidP="007B3399">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7176D2FD" w14:textId="53776E10" w:rsidR="00545F29" w:rsidRDefault="00A71E2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A71E20">
          <w:rPr>
            <w:rStyle w:val="Hyperlink"/>
            <w:rFonts w:ascii="Arial" w:hAnsi="Arial" w:cs="Arial"/>
            <w:color w:val="auto"/>
            <w:sz w:val="24"/>
            <w:szCs w:val="24"/>
            <w:u w:val="none"/>
          </w:rPr>
          <w:t>joliker@igsenergy.com</w:t>
        </w:r>
      </w:hyperlink>
    </w:p>
    <w:p w14:paraId="012A9F05" w14:textId="27C64B02" w:rsidR="00A71E20" w:rsidRDefault="00A71E20">
      <w:pPr>
        <w:spacing w:after="0" w:line="240" w:lineRule="auto"/>
        <w:ind w:left="5040"/>
        <w:rPr>
          <w:rFonts w:ascii="Arial" w:hAnsi="Arial" w:cs="Arial"/>
          <w:sz w:val="24"/>
          <w:szCs w:val="24"/>
        </w:rPr>
      </w:pPr>
      <w:r>
        <w:rPr>
          <w:rFonts w:ascii="Arial" w:hAnsi="Arial" w:cs="Arial"/>
          <w:sz w:val="24"/>
          <w:szCs w:val="24"/>
        </w:rPr>
        <w:t>Counsel of Record</w:t>
      </w:r>
    </w:p>
    <w:p w14:paraId="7176D301" w14:textId="1C20233B"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302"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303"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304"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305"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6F9F0CC5" w:rsidR="00545F29" w:rsidRPr="00237730" w:rsidRDefault="005259E3" w:rsidP="00237730">
      <w:pPr>
        <w:spacing w:after="0" w:line="240" w:lineRule="auto"/>
        <w:ind w:left="5040"/>
        <w:rPr>
          <w:rFonts w:ascii="Arial" w:hAnsi="Arial" w:cs="Arial"/>
          <w:b/>
          <w:i/>
          <w:sz w:val="24"/>
          <w:szCs w:val="24"/>
        </w:rPr>
      </w:pPr>
      <w:r>
        <w:rPr>
          <w:rFonts w:ascii="Arial" w:hAnsi="Arial" w:cs="Arial"/>
          <w:b/>
          <w:i/>
          <w:sz w:val="24"/>
          <w:szCs w:val="24"/>
        </w:rPr>
        <w:t>Attorney</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56951D03"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5259E3">
        <w:rPr>
          <w:rFonts w:ascii="Arial" w:eastAsia="Calibri" w:hAnsi="Arial" w:cs="Arial"/>
          <w:i/>
          <w:sz w:val="24"/>
          <w:szCs w:val="24"/>
        </w:rPr>
        <w:t>Motion to Compel Protective Agreement and Memorandum in Support of IGS Energy and Request for Expedited Treatment</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5259E3">
        <w:rPr>
          <w:rFonts w:ascii="Arial" w:eastAsia="Calibri" w:hAnsi="Arial" w:cs="Arial"/>
          <w:sz w:val="24"/>
          <w:szCs w:val="24"/>
        </w:rPr>
        <w:t>15</w:t>
      </w:r>
      <w:r w:rsidR="00474257">
        <w:rPr>
          <w:rFonts w:ascii="Arial" w:eastAsia="Calibri" w:hAnsi="Arial" w:cs="Arial"/>
          <w:sz w:val="24"/>
          <w:szCs w:val="24"/>
        </w:rPr>
        <w:t>t</w:t>
      </w:r>
      <w:r w:rsidR="00237730">
        <w:rPr>
          <w:rFonts w:ascii="Arial" w:eastAsia="Calibri" w:hAnsi="Arial" w:cs="Arial"/>
          <w:sz w:val="24"/>
          <w:szCs w:val="24"/>
        </w:rPr>
        <w:t>h</w:t>
      </w:r>
      <w:r w:rsidRPr="009D71F6">
        <w:rPr>
          <w:rFonts w:ascii="Arial" w:eastAsia="Calibri" w:hAnsi="Arial" w:cs="Arial"/>
          <w:sz w:val="24"/>
          <w:szCs w:val="24"/>
        </w:rPr>
        <w:t xml:space="preserve"> day of </w:t>
      </w:r>
      <w:r w:rsidR="005259E3">
        <w:rPr>
          <w:rFonts w:ascii="Arial" w:eastAsia="Calibri" w:hAnsi="Arial" w:cs="Arial"/>
          <w:sz w:val="24"/>
          <w:szCs w:val="24"/>
        </w:rPr>
        <w:t>September 2016</w:t>
      </w:r>
      <w:r w:rsidRPr="009D71F6">
        <w:rPr>
          <w:rFonts w:ascii="Arial" w:eastAsia="Calibri" w:hAnsi="Arial" w:cs="Arial"/>
          <w:sz w:val="24"/>
          <w:szCs w:val="24"/>
        </w:rPr>
        <w:t xml:space="preserve"> via electronic mail upon the following:</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3"/>
        <w:gridCol w:w="222"/>
      </w:tblGrid>
      <w:tr w:rsidR="005259E3" w14:paraId="5CD7C6D9" w14:textId="77777777" w:rsidTr="00A16E77">
        <w:tc>
          <w:tcPr>
            <w:tcW w:w="3955" w:type="dxa"/>
          </w:tcPr>
          <w:p w14:paraId="5CF456DC" w14:textId="77777777" w:rsidR="005259E3" w:rsidRDefault="005259E3" w:rsidP="00A16E77">
            <w:pPr>
              <w:pStyle w:val="BodyText"/>
              <w:spacing w:line="240" w:lineRule="auto"/>
              <w:jc w:val="left"/>
            </w:pPr>
          </w:p>
          <w:p w14:paraId="24B52292" w14:textId="77777777" w:rsidR="005259E3" w:rsidRPr="005259E3" w:rsidRDefault="005259E3" w:rsidP="00A16E77">
            <w:pPr>
              <w:pStyle w:val="BodyText"/>
              <w:spacing w:line="240" w:lineRule="auto"/>
              <w:jc w:val="left"/>
              <w:rPr>
                <w:rFonts w:ascii="Arial" w:hAnsi="Arial" w:cs="Arial"/>
              </w:rPr>
            </w:pPr>
          </w:p>
          <w:tbl>
            <w:tblPr>
              <w:tblStyle w:val="TableGrid"/>
              <w:tblW w:w="8887" w:type="dxa"/>
              <w:tblLook w:val="04A0" w:firstRow="1" w:lastRow="0" w:firstColumn="1" w:lastColumn="0" w:noHBand="0" w:noVBand="1"/>
            </w:tblPr>
            <w:tblGrid>
              <w:gridCol w:w="4477"/>
              <w:gridCol w:w="4410"/>
            </w:tblGrid>
            <w:tr w:rsidR="005259E3" w:rsidRPr="005259E3" w14:paraId="59F45CCA" w14:textId="77777777" w:rsidTr="005259E3">
              <w:tc>
                <w:tcPr>
                  <w:tcW w:w="4477" w:type="dxa"/>
                </w:tcPr>
                <w:p w14:paraId="7180FF8E" w14:textId="77777777" w:rsidR="005259E3" w:rsidRPr="005259E3" w:rsidRDefault="005259E3" w:rsidP="005259E3">
                  <w:pPr>
                    <w:pStyle w:val="BodyText"/>
                    <w:spacing w:line="240" w:lineRule="auto"/>
                    <w:rPr>
                      <w:rFonts w:ascii="Arial" w:hAnsi="Arial" w:cs="Arial"/>
                    </w:rPr>
                  </w:pPr>
                  <w:r w:rsidRPr="005259E3">
                    <w:rPr>
                      <w:rFonts w:ascii="Arial" w:hAnsi="Arial" w:cs="Arial"/>
                    </w:rPr>
                    <w:t>John.jones@puc.state.oh.us</w:t>
                  </w:r>
                </w:p>
                <w:p w14:paraId="7CD8DC79" w14:textId="77777777" w:rsidR="005259E3" w:rsidRPr="005259E3" w:rsidRDefault="005259E3" w:rsidP="005259E3">
                  <w:pPr>
                    <w:pStyle w:val="BodyText"/>
                    <w:spacing w:line="240" w:lineRule="auto"/>
                    <w:rPr>
                      <w:rFonts w:ascii="Arial" w:hAnsi="Arial" w:cs="Arial"/>
                    </w:rPr>
                  </w:pPr>
                  <w:r w:rsidRPr="005259E3">
                    <w:rPr>
                      <w:rFonts w:ascii="Arial" w:hAnsi="Arial" w:cs="Arial"/>
                    </w:rPr>
                    <w:t>Natalia.messenger@puc.state.oh.us</w:t>
                  </w:r>
                </w:p>
                <w:p w14:paraId="268F11C2" w14:textId="77777777" w:rsidR="005259E3" w:rsidRPr="005259E3" w:rsidRDefault="005259E3" w:rsidP="005259E3">
                  <w:pPr>
                    <w:pStyle w:val="BodyText"/>
                    <w:spacing w:line="240" w:lineRule="auto"/>
                    <w:rPr>
                      <w:rFonts w:ascii="Arial" w:hAnsi="Arial" w:cs="Arial"/>
                    </w:rPr>
                  </w:pPr>
                  <w:r w:rsidRPr="005259E3">
                    <w:rPr>
                      <w:rFonts w:ascii="Arial" w:hAnsi="Arial" w:cs="Arial"/>
                    </w:rPr>
                    <w:t>cmooney@ohiopartners.org</w:t>
                  </w:r>
                </w:p>
                <w:p w14:paraId="59A9066F" w14:textId="77777777" w:rsidR="005259E3" w:rsidRPr="005259E3" w:rsidRDefault="005259E3" w:rsidP="005259E3">
                  <w:pPr>
                    <w:pStyle w:val="BodyText"/>
                    <w:spacing w:line="240" w:lineRule="auto"/>
                    <w:rPr>
                      <w:rFonts w:ascii="Arial" w:hAnsi="Arial" w:cs="Arial"/>
                    </w:rPr>
                  </w:pPr>
                  <w:r w:rsidRPr="005259E3">
                    <w:rPr>
                      <w:rFonts w:ascii="Arial" w:hAnsi="Arial" w:cs="Arial"/>
                    </w:rPr>
                    <w:t>joliker@igsenergy.com</w:t>
                  </w:r>
                </w:p>
                <w:p w14:paraId="4468AAB0" w14:textId="77777777" w:rsidR="005259E3" w:rsidRPr="005259E3" w:rsidRDefault="005259E3" w:rsidP="005259E3">
                  <w:pPr>
                    <w:pStyle w:val="BodyText"/>
                    <w:spacing w:line="240" w:lineRule="auto"/>
                    <w:rPr>
                      <w:rFonts w:ascii="Arial" w:hAnsi="Arial" w:cs="Arial"/>
                    </w:rPr>
                  </w:pPr>
                  <w:r w:rsidRPr="005259E3">
                    <w:rPr>
                      <w:rFonts w:ascii="Arial" w:hAnsi="Arial" w:cs="Arial"/>
                    </w:rPr>
                    <w:t>mswhite@igsenergy.com</w:t>
                  </w:r>
                </w:p>
                <w:p w14:paraId="10873181" w14:textId="5044329E" w:rsidR="005259E3" w:rsidRPr="005259E3" w:rsidRDefault="005259E3" w:rsidP="005259E3">
                  <w:pPr>
                    <w:pStyle w:val="BodyText"/>
                    <w:spacing w:line="240" w:lineRule="auto"/>
                    <w:jc w:val="left"/>
                    <w:rPr>
                      <w:rFonts w:ascii="Arial" w:hAnsi="Arial" w:cs="Arial"/>
                    </w:rPr>
                  </w:pPr>
                  <w:hyperlink r:id="rId9" w:history="1">
                    <w:r w:rsidRPr="005259E3">
                      <w:rPr>
                        <w:rStyle w:val="Hyperlink"/>
                        <w:rFonts w:ascii="Arial" w:hAnsi="Arial" w:cs="Arial"/>
                        <w:color w:val="auto"/>
                        <w:u w:val="none"/>
                      </w:rPr>
                      <w:t>trent@theoec.org</w:t>
                    </w:r>
                  </w:hyperlink>
                </w:p>
                <w:p w14:paraId="2E8643F0" w14:textId="6578B422" w:rsidR="005259E3" w:rsidRPr="005259E3" w:rsidRDefault="005259E3" w:rsidP="005259E3">
                  <w:pPr>
                    <w:pStyle w:val="BodyText"/>
                    <w:spacing w:line="240" w:lineRule="auto"/>
                    <w:jc w:val="left"/>
                    <w:rPr>
                      <w:rFonts w:ascii="Arial" w:hAnsi="Arial" w:cs="Arial"/>
                    </w:rPr>
                  </w:pPr>
                </w:p>
              </w:tc>
              <w:tc>
                <w:tcPr>
                  <w:tcW w:w="4410" w:type="dxa"/>
                </w:tcPr>
                <w:p w14:paraId="219757F9" w14:textId="77777777" w:rsidR="005259E3" w:rsidRPr="005259E3" w:rsidRDefault="005259E3" w:rsidP="005259E3">
                  <w:pPr>
                    <w:pStyle w:val="BodyText"/>
                    <w:spacing w:line="240" w:lineRule="auto"/>
                    <w:rPr>
                      <w:rFonts w:ascii="Arial" w:hAnsi="Arial" w:cs="Arial"/>
                    </w:rPr>
                  </w:pPr>
                  <w:r w:rsidRPr="005259E3">
                    <w:rPr>
                      <w:rFonts w:ascii="Arial" w:hAnsi="Arial" w:cs="Arial"/>
                    </w:rPr>
                    <w:t>Amy.spiller@duke-energy.com</w:t>
                  </w:r>
                </w:p>
                <w:p w14:paraId="55F375B7" w14:textId="43B3107B" w:rsidR="005259E3" w:rsidRPr="005259E3" w:rsidRDefault="005259E3" w:rsidP="005259E3">
                  <w:pPr>
                    <w:pStyle w:val="BodyText"/>
                    <w:spacing w:line="240" w:lineRule="auto"/>
                    <w:rPr>
                      <w:rFonts w:ascii="Arial" w:hAnsi="Arial" w:cs="Arial"/>
                    </w:rPr>
                  </w:pPr>
                  <w:r w:rsidRPr="005259E3">
                    <w:rPr>
                      <w:rFonts w:ascii="Arial" w:hAnsi="Arial" w:cs="Arial"/>
                    </w:rPr>
                    <w:t>E</w:t>
                  </w:r>
                  <w:r w:rsidRPr="005259E3">
                    <w:rPr>
                      <w:rFonts w:ascii="Arial" w:hAnsi="Arial" w:cs="Arial"/>
                    </w:rPr>
                    <w:t>lizabeth.Watts@duke-energy.com</w:t>
                  </w:r>
                </w:p>
                <w:p w14:paraId="7BFBF48A" w14:textId="77777777" w:rsidR="005259E3" w:rsidRPr="005259E3" w:rsidRDefault="005259E3" w:rsidP="005259E3">
                  <w:pPr>
                    <w:pStyle w:val="BodyText"/>
                    <w:spacing w:line="240" w:lineRule="auto"/>
                    <w:rPr>
                      <w:rFonts w:ascii="Arial" w:hAnsi="Arial" w:cs="Arial"/>
                    </w:rPr>
                  </w:pPr>
                  <w:r w:rsidRPr="005259E3">
                    <w:rPr>
                      <w:rFonts w:ascii="Arial" w:hAnsi="Arial" w:cs="Arial"/>
                    </w:rPr>
                    <w:t xml:space="preserve">mjsettineri@vorys.com </w:t>
                  </w:r>
                </w:p>
                <w:p w14:paraId="0BE1400E" w14:textId="77777777" w:rsidR="005259E3" w:rsidRPr="005259E3" w:rsidRDefault="005259E3" w:rsidP="005259E3">
                  <w:pPr>
                    <w:pStyle w:val="BodyText"/>
                    <w:spacing w:line="240" w:lineRule="auto"/>
                    <w:rPr>
                      <w:rFonts w:ascii="Arial" w:hAnsi="Arial" w:cs="Arial"/>
                    </w:rPr>
                  </w:pPr>
                  <w:r w:rsidRPr="005259E3">
                    <w:rPr>
                      <w:rFonts w:ascii="Arial" w:hAnsi="Arial" w:cs="Arial"/>
                    </w:rPr>
                    <w:t>glpetrucci@vorys.com</w:t>
                  </w:r>
                </w:p>
                <w:p w14:paraId="5B631E8B" w14:textId="77777777" w:rsidR="005259E3" w:rsidRPr="005259E3" w:rsidRDefault="005259E3" w:rsidP="005259E3">
                  <w:pPr>
                    <w:pStyle w:val="BodyText"/>
                    <w:spacing w:line="240" w:lineRule="auto"/>
                    <w:rPr>
                      <w:rFonts w:ascii="Arial" w:hAnsi="Arial" w:cs="Arial"/>
                    </w:rPr>
                  </w:pPr>
                  <w:r w:rsidRPr="005259E3">
                    <w:rPr>
                      <w:rFonts w:ascii="Arial" w:hAnsi="Arial" w:cs="Arial"/>
                    </w:rPr>
                    <w:t>wasieck@vorys.com</w:t>
                  </w:r>
                </w:p>
                <w:p w14:paraId="0497A2F3" w14:textId="110F6D2D" w:rsidR="005259E3" w:rsidRPr="005259E3" w:rsidRDefault="005259E3" w:rsidP="005259E3">
                  <w:pPr>
                    <w:pStyle w:val="BodyText"/>
                    <w:spacing w:line="240" w:lineRule="auto"/>
                    <w:rPr>
                      <w:rFonts w:ascii="Arial" w:hAnsi="Arial" w:cs="Arial"/>
                    </w:rPr>
                  </w:pPr>
                  <w:r w:rsidRPr="005259E3">
                    <w:rPr>
                      <w:rFonts w:ascii="Arial" w:hAnsi="Arial" w:cs="Arial"/>
                    </w:rPr>
                    <w:t>whitt@whitt-sturtevant.com</w:t>
                  </w:r>
                </w:p>
                <w:p w14:paraId="6FE90867" w14:textId="77777777" w:rsidR="005259E3" w:rsidRPr="005259E3" w:rsidRDefault="005259E3" w:rsidP="00A16E77">
                  <w:pPr>
                    <w:pStyle w:val="BodyText"/>
                    <w:spacing w:line="240" w:lineRule="auto"/>
                    <w:jc w:val="left"/>
                    <w:rPr>
                      <w:rFonts w:ascii="Arial" w:hAnsi="Arial" w:cs="Arial"/>
                    </w:rPr>
                  </w:pPr>
                </w:p>
              </w:tc>
            </w:tr>
          </w:tbl>
          <w:p w14:paraId="5FF1BD8E" w14:textId="77777777" w:rsidR="005259E3" w:rsidRDefault="005259E3" w:rsidP="00A16E77">
            <w:pPr>
              <w:pStyle w:val="BodyText"/>
              <w:spacing w:line="240" w:lineRule="auto"/>
              <w:jc w:val="left"/>
            </w:pPr>
          </w:p>
          <w:p w14:paraId="441CB076" w14:textId="1F169A78" w:rsidR="005259E3" w:rsidRDefault="005259E3" w:rsidP="00A16E77">
            <w:pPr>
              <w:pStyle w:val="BodyText"/>
              <w:spacing w:line="240" w:lineRule="auto"/>
              <w:jc w:val="left"/>
              <w:rPr>
                <w:b/>
                <w:bCs/>
              </w:rPr>
            </w:pPr>
          </w:p>
        </w:tc>
        <w:tc>
          <w:tcPr>
            <w:tcW w:w="4860" w:type="dxa"/>
          </w:tcPr>
          <w:p w14:paraId="53FBFD0D" w14:textId="77777777" w:rsidR="005259E3" w:rsidRDefault="005259E3"/>
          <w:p w14:paraId="0527B68A" w14:textId="77777777" w:rsidR="005259E3" w:rsidRDefault="005259E3"/>
          <w:p w14:paraId="5F92854D" w14:textId="77777777" w:rsidR="005259E3" w:rsidRDefault="005259E3"/>
          <w:p w14:paraId="1310CB85" w14:textId="77777777" w:rsidR="005259E3" w:rsidRDefault="005259E3"/>
          <w:p w14:paraId="41B521A0" w14:textId="77777777" w:rsidR="005259E3" w:rsidRDefault="005259E3" w:rsidP="00A16E77">
            <w:pPr>
              <w:pStyle w:val="BodyText"/>
              <w:jc w:val="left"/>
              <w:rPr>
                <w:b/>
                <w:bCs/>
              </w:rPr>
            </w:pPr>
          </w:p>
        </w:tc>
      </w:tr>
    </w:tbl>
    <w:p w14:paraId="7176D30F" w14:textId="77777777" w:rsidR="00545F29" w:rsidRPr="009D71F6" w:rsidRDefault="00545F29">
      <w:pPr>
        <w:spacing w:after="0" w:line="240" w:lineRule="auto"/>
        <w:jc w:val="both"/>
        <w:rPr>
          <w:rFonts w:ascii="Arial" w:eastAsia="Arial" w:hAnsi="Arial" w:cs="Arial"/>
          <w:sz w:val="24"/>
          <w:szCs w:val="24"/>
        </w:rPr>
      </w:pPr>
    </w:p>
    <w:p w14:paraId="7176D310" w14:textId="0030D94C" w:rsidR="009D71F6" w:rsidRPr="009D71F6" w:rsidRDefault="009D71F6" w:rsidP="00237730">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8041D9">
        <w:rPr>
          <w:rFonts w:ascii="Arial" w:eastAsia="Arial" w:hAnsi="Arial" w:cs="Arial"/>
          <w:i/>
          <w:sz w:val="24"/>
          <w:szCs w:val="24"/>
          <w:u w:val="single"/>
        </w:rPr>
        <w:t>Joseph Oliker</w:t>
      </w:r>
    </w:p>
    <w:p w14:paraId="7176D311" w14:textId="5306D116" w:rsidR="00FE2DE0" w:rsidRPr="009D71F6" w:rsidRDefault="00237730" w:rsidP="00237730">
      <w:pPr>
        <w:spacing w:after="0" w:line="240" w:lineRule="auto"/>
        <w:ind w:left="5040" w:firstLine="720"/>
        <w:rPr>
          <w:rFonts w:ascii="Arial" w:hAnsi="Arial" w:cs="Arial"/>
          <w:sz w:val="24"/>
          <w:szCs w:val="24"/>
        </w:rPr>
      </w:pPr>
      <w:r>
        <w:rPr>
          <w:rFonts w:ascii="Arial" w:hAnsi="Arial" w:cs="Arial"/>
          <w:sz w:val="24"/>
          <w:szCs w:val="24"/>
        </w:rPr>
        <w:t>Joseph Oliker</w:t>
      </w:r>
    </w:p>
    <w:p w14:paraId="6FCF01CA" w14:textId="77777777" w:rsidR="00B270B3" w:rsidRDefault="00B270B3" w:rsidP="00B270B3">
      <w:pPr>
        <w:spacing w:after="0" w:line="240" w:lineRule="auto"/>
        <w:rPr>
          <w:rFonts w:ascii="Arial" w:hAnsi="Arial" w:cs="Arial"/>
          <w:sz w:val="16"/>
          <w:szCs w:val="16"/>
        </w:rPr>
      </w:pPr>
    </w:p>
    <w:p w14:paraId="7176D312" w14:textId="77777777" w:rsidR="00545F29" w:rsidRPr="003A51CC" w:rsidRDefault="00545F29">
      <w:pPr>
        <w:spacing w:after="0" w:line="240" w:lineRule="auto"/>
        <w:rPr>
          <w:rFonts w:ascii="Arial" w:hAnsi="Arial" w:cs="Arial"/>
          <w:sz w:val="24"/>
          <w:szCs w:val="24"/>
        </w:rPr>
      </w:pPr>
    </w:p>
    <w:sectPr w:rsidR="00545F29" w:rsidRPr="003A51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F8ED" w14:textId="77777777" w:rsidR="00177C60" w:rsidRDefault="00177C60">
      <w:pPr>
        <w:spacing w:after="0" w:line="240" w:lineRule="auto"/>
      </w:pPr>
      <w:r>
        <w:separator/>
      </w:r>
    </w:p>
  </w:endnote>
  <w:endnote w:type="continuationSeparator" w:id="0">
    <w:p w14:paraId="50D7F6DD" w14:textId="77777777" w:rsidR="00177C60" w:rsidRDefault="0017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DCEA" w14:textId="77777777" w:rsidR="00177C60" w:rsidRDefault="00177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Content>
      <w:p w14:paraId="7176D32E" w14:textId="77777777" w:rsidR="00177C60" w:rsidRDefault="00177C60">
        <w:pPr>
          <w:pStyle w:val="Footer"/>
          <w:jc w:val="center"/>
        </w:pPr>
        <w:r>
          <w:fldChar w:fldCharType="begin"/>
        </w:r>
        <w:r>
          <w:instrText xml:space="preserve"> PAGE   \* MERGEFORMAT </w:instrText>
        </w:r>
        <w:r>
          <w:fldChar w:fldCharType="separate"/>
        </w:r>
        <w:r w:rsidR="00E35263">
          <w:rPr>
            <w:noProof/>
          </w:rPr>
          <w:t>9</w:t>
        </w:r>
        <w:r>
          <w:rPr>
            <w:noProof/>
          </w:rPr>
          <w:fldChar w:fldCharType="end"/>
        </w:r>
      </w:p>
    </w:sdtContent>
  </w:sdt>
  <w:p w14:paraId="7176D32F" w14:textId="77777777" w:rsidR="00177C60" w:rsidRDefault="00177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1BB1" w14:textId="77777777" w:rsidR="00177C60" w:rsidRDefault="00177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60C1" w14:textId="77777777" w:rsidR="00177C60" w:rsidRDefault="00177C60">
      <w:pPr>
        <w:spacing w:after="0" w:line="240" w:lineRule="auto"/>
      </w:pPr>
      <w:r>
        <w:separator/>
      </w:r>
    </w:p>
  </w:footnote>
  <w:footnote w:type="continuationSeparator" w:id="0">
    <w:p w14:paraId="04246802" w14:textId="77777777" w:rsidR="00177C60" w:rsidRDefault="00177C60">
      <w:pPr>
        <w:spacing w:after="0" w:line="240" w:lineRule="auto"/>
      </w:pPr>
      <w:r>
        <w:continuationSeparator/>
      </w:r>
    </w:p>
  </w:footnote>
  <w:footnote w:id="1">
    <w:p w14:paraId="409597AB" w14:textId="037D8B74" w:rsidR="00177C60" w:rsidRDefault="00177C60">
      <w:pPr>
        <w:pStyle w:val="FootnoteText"/>
      </w:pPr>
      <w:r>
        <w:rPr>
          <w:rStyle w:val="FootnoteReference"/>
        </w:rPr>
        <w:footnoteRef/>
      </w:r>
      <w:r>
        <w:t xml:space="preserve"> </w:t>
      </w:r>
      <w:r w:rsidRPr="00BF38E4">
        <w:rPr>
          <w:rFonts w:ascii="Arial" w:hAnsi="Arial" w:cs="Arial"/>
          <w:i/>
          <w:iCs/>
        </w:rPr>
        <w:t>In the Matter of Application of Duke Energy Ohio, Inc. for Authority to Establish a Standard Service Offer Pursuant to R.C. 4928.143 in the Form of an Electric Security Plan, Accounting Modifications, and Tariffs for Generation Service</w:t>
      </w:r>
      <w:r w:rsidRPr="00BF38E4">
        <w:rPr>
          <w:rFonts w:ascii="Arial" w:hAnsi="Arial" w:cs="Arial"/>
          <w:iCs/>
        </w:rPr>
        <w:t>, Entry (Aug. 27, 2014) (hereinafter “</w:t>
      </w:r>
      <w:r w:rsidRPr="00BF38E4">
        <w:rPr>
          <w:rFonts w:ascii="Arial" w:hAnsi="Arial" w:cs="Arial"/>
          <w:i/>
          <w:iCs/>
        </w:rPr>
        <w:t>ESP II</w:t>
      </w:r>
      <w:r>
        <w:rPr>
          <w:rFonts w:ascii="Arial" w:hAnsi="Arial" w:cs="Arial"/>
          <w:i/>
          <w:iCs/>
        </w:rPr>
        <w:t>I</w:t>
      </w:r>
      <w:r w:rsidRPr="00BF38E4">
        <w:rPr>
          <w:rFonts w:ascii="Arial" w:hAnsi="Arial" w:cs="Arial"/>
          <w:i/>
          <w:iCs/>
        </w:rPr>
        <w:t xml:space="preserve"> Case</w:t>
      </w:r>
      <w:r w:rsidRPr="00BF38E4">
        <w:rPr>
          <w:rFonts w:ascii="Arial" w:hAnsi="Arial" w:cs="Arial"/>
          <w:iCs/>
        </w:rPr>
        <w:t xml:space="preserve">”); </w:t>
      </w:r>
      <w:r w:rsidRPr="00BF38E4">
        <w:rPr>
          <w:rFonts w:ascii="Arial" w:hAnsi="Arial" w:cs="Arial"/>
          <w:i/>
          <w:iCs/>
        </w:rPr>
        <w:t>ESP III</w:t>
      </w:r>
      <w:r w:rsidRPr="00BF38E4">
        <w:rPr>
          <w:rFonts w:ascii="Arial" w:hAnsi="Arial" w:cs="Arial"/>
          <w:iCs/>
        </w:rPr>
        <w:t>, Entry on Rehearing (Oct. 22, 2014).</w:t>
      </w:r>
    </w:p>
  </w:footnote>
  <w:footnote w:id="2">
    <w:p w14:paraId="0DA29167" w14:textId="56F7B0AE"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w:t>
      </w:r>
      <w:r w:rsidRPr="005259E3">
        <w:rPr>
          <w:rFonts w:ascii="Arial" w:hAnsi="Arial" w:cs="Arial"/>
          <w:i/>
        </w:rPr>
        <w:t xml:space="preserve">ESP III </w:t>
      </w:r>
      <w:r w:rsidRPr="005259E3">
        <w:rPr>
          <w:rFonts w:ascii="Arial" w:hAnsi="Arial" w:cs="Arial"/>
        </w:rPr>
        <w:t xml:space="preserve">Case, Entry (Aug. 27, 2014) (hereinafter “ESP III Case”); ESP III, Entry on Rehearing (Oct. 22, 2014); </w:t>
      </w:r>
      <w:r w:rsidRPr="005259E3">
        <w:rPr>
          <w:rFonts w:ascii="Arial" w:hAnsi="Arial" w:cs="Arial"/>
          <w:i/>
        </w:rPr>
        <w:t>ESP III Case</w:t>
      </w:r>
      <w:r w:rsidRPr="005259E3">
        <w:rPr>
          <w:rFonts w:ascii="Arial" w:hAnsi="Arial" w:cs="Arial"/>
        </w:rPr>
        <w:t>,</w:t>
      </w:r>
      <w:r w:rsidR="005259E3">
        <w:rPr>
          <w:rFonts w:ascii="Arial" w:hAnsi="Arial" w:cs="Arial"/>
        </w:rPr>
        <w:t xml:space="preserve"> Tr. at 49-52 (Aug. 12, 2014)</w:t>
      </w:r>
    </w:p>
  </w:footnote>
  <w:footnote w:id="3">
    <w:p w14:paraId="41BAA88D" w14:textId="77777777"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w:t>
      </w:r>
      <w:r w:rsidRPr="005259E3">
        <w:rPr>
          <w:rFonts w:ascii="Arial" w:hAnsi="Arial" w:cs="Arial"/>
          <w:i/>
        </w:rPr>
        <w:t>In the Matter of the Commission’s Investigation of Ohio’s Retail Electric Service Market</w:t>
      </w:r>
      <w:r w:rsidRPr="005259E3">
        <w:rPr>
          <w:rFonts w:ascii="Arial" w:hAnsi="Arial" w:cs="Arial"/>
        </w:rPr>
        <w:t>,</w:t>
      </w:r>
      <w:r w:rsidRPr="005259E3">
        <w:rPr>
          <w:rFonts w:ascii="Arial" w:hAnsi="Arial" w:cs="Arial"/>
          <w:i/>
        </w:rPr>
        <w:t xml:space="preserve"> </w:t>
      </w:r>
      <w:r w:rsidRPr="005259E3">
        <w:rPr>
          <w:rFonts w:ascii="Arial" w:hAnsi="Arial" w:cs="Arial"/>
        </w:rPr>
        <w:t>Case. No. 12-3151-EL-COI Finding and Order at 36 (Mar. 26, 2014) (hereinafter “</w:t>
      </w:r>
      <w:r w:rsidRPr="005259E3">
        <w:rPr>
          <w:rFonts w:ascii="Arial" w:hAnsi="Arial" w:cs="Arial"/>
          <w:i/>
        </w:rPr>
        <w:t>RMI Case</w:t>
      </w:r>
      <w:r w:rsidRPr="005259E3">
        <w:rPr>
          <w:rFonts w:ascii="Arial" w:hAnsi="Arial" w:cs="Arial"/>
        </w:rPr>
        <w:t xml:space="preserve">” or “RMI Order”); </w:t>
      </w:r>
      <w:r w:rsidRPr="005259E3">
        <w:rPr>
          <w:rFonts w:ascii="Arial" w:hAnsi="Arial" w:cs="Arial"/>
          <w:i/>
        </w:rPr>
        <w:t>RMI Case</w:t>
      </w:r>
      <w:r w:rsidRPr="005259E3">
        <w:rPr>
          <w:rFonts w:ascii="Arial" w:hAnsi="Arial" w:cs="Arial"/>
        </w:rPr>
        <w:t xml:space="preserve">, Entry on Rehearing at 19 (May 21, 2014). </w:t>
      </w:r>
    </w:p>
    <w:p w14:paraId="30E0FA85" w14:textId="77777777" w:rsidR="00177C60" w:rsidRPr="005259E3" w:rsidRDefault="00177C60" w:rsidP="005259E3">
      <w:pPr>
        <w:pStyle w:val="FootnoteText"/>
        <w:jc w:val="both"/>
        <w:rPr>
          <w:rFonts w:ascii="Arial" w:hAnsi="Arial" w:cs="Arial"/>
        </w:rPr>
      </w:pPr>
    </w:p>
  </w:footnote>
  <w:footnote w:id="4">
    <w:p w14:paraId="41F79D3A" w14:textId="77777777" w:rsidR="00177C60" w:rsidRPr="005259E3" w:rsidRDefault="00177C60" w:rsidP="005259E3">
      <w:pPr>
        <w:pStyle w:val="FootnoteText"/>
        <w:jc w:val="both"/>
        <w:rPr>
          <w:rFonts w:ascii="Arial" w:hAnsi="Arial" w:cs="Arial"/>
          <w:i/>
        </w:rPr>
      </w:pPr>
      <w:r w:rsidRPr="005259E3">
        <w:rPr>
          <w:rStyle w:val="FootnoteReference"/>
          <w:rFonts w:ascii="Arial" w:hAnsi="Arial" w:cs="Arial"/>
        </w:rPr>
        <w:footnoteRef/>
      </w:r>
      <w:r w:rsidRPr="005259E3">
        <w:rPr>
          <w:rFonts w:ascii="Arial" w:hAnsi="Arial" w:cs="Arial"/>
        </w:rPr>
        <w:t xml:space="preserve"> </w:t>
      </w:r>
      <w:r w:rsidRPr="005259E3">
        <w:rPr>
          <w:rFonts w:ascii="Arial" w:hAnsi="Arial" w:cs="Arial"/>
          <w:i/>
        </w:rPr>
        <w:t xml:space="preserve">Id. </w:t>
      </w:r>
    </w:p>
    <w:p w14:paraId="53579CE6" w14:textId="77777777" w:rsidR="00177C60" w:rsidRPr="005259E3" w:rsidRDefault="00177C60" w:rsidP="005259E3">
      <w:pPr>
        <w:pStyle w:val="FootnoteText"/>
        <w:jc w:val="both"/>
        <w:rPr>
          <w:rFonts w:ascii="Arial" w:hAnsi="Arial" w:cs="Arial"/>
          <w:i/>
        </w:rPr>
      </w:pPr>
    </w:p>
  </w:footnote>
  <w:footnote w:id="5">
    <w:p w14:paraId="7C37ED1A" w14:textId="77777777"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Application at 2.</w:t>
      </w:r>
    </w:p>
  </w:footnote>
  <w:footnote w:id="6">
    <w:p w14:paraId="37497100" w14:textId="206EB247"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See Attachment 4; Attachment 5 (containing the Affidavit of Joseph Oliker).</w:t>
      </w:r>
    </w:p>
    <w:p w14:paraId="0D246AA1" w14:textId="77777777" w:rsidR="00177C60" w:rsidRPr="005259E3" w:rsidRDefault="00177C60" w:rsidP="005259E3">
      <w:pPr>
        <w:pStyle w:val="FootnoteText"/>
        <w:jc w:val="both"/>
        <w:rPr>
          <w:rFonts w:ascii="Arial" w:hAnsi="Arial" w:cs="Arial"/>
        </w:rPr>
      </w:pPr>
    </w:p>
  </w:footnote>
  <w:footnote w:id="7">
    <w:p w14:paraId="60768949" w14:textId="1B9A3FEE"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See Attachment 3. </w:t>
      </w:r>
    </w:p>
    <w:p w14:paraId="5EAF7B92" w14:textId="77777777" w:rsidR="00177C60" w:rsidRPr="005259E3" w:rsidRDefault="00177C60" w:rsidP="005259E3">
      <w:pPr>
        <w:pStyle w:val="FootnoteText"/>
        <w:jc w:val="both"/>
        <w:rPr>
          <w:rFonts w:ascii="Arial" w:hAnsi="Arial" w:cs="Arial"/>
        </w:rPr>
      </w:pPr>
    </w:p>
  </w:footnote>
  <w:footnote w:id="8">
    <w:p w14:paraId="108DB4F5" w14:textId="3F1D360E"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Attachment 3 at 2-4 (“it will not use any of the Confidential Information for any reason or purpose other than to perform its obligations, if any, in the Pending Case” and “will destroy materials generated by the Receiving Party or the Receiving Party's Representatives that include or refer to any part of the Confidential Information, without retaining a copy of any such material.”)</w:t>
      </w:r>
    </w:p>
    <w:p w14:paraId="491B6D1E" w14:textId="77777777" w:rsidR="00177C60" w:rsidRPr="005259E3" w:rsidRDefault="00177C60" w:rsidP="005259E3">
      <w:pPr>
        <w:pStyle w:val="FootnoteText"/>
        <w:jc w:val="both"/>
        <w:rPr>
          <w:rFonts w:ascii="Arial" w:hAnsi="Arial" w:cs="Arial"/>
        </w:rPr>
      </w:pPr>
    </w:p>
  </w:footnote>
  <w:footnote w:id="9">
    <w:p w14:paraId="3803BF4A" w14:textId="6B882A5B" w:rsidR="00177C60"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See Attachment 1; Attachment 5.</w:t>
      </w:r>
    </w:p>
    <w:p w14:paraId="45D3413E" w14:textId="77777777" w:rsidR="005259E3" w:rsidRPr="005259E3" w:rsidRDefault="005259E3" w:rsidP="005259E3">
      <w:pPr>
        <w:pStyle w:val="FootnoteText"/>
        <w:jc w:val="both"/>
        <w:rPr>
          <w:rFonts w:ascii="Arial" w:hAnsi="Arial" w:cs="Arial"/>
        </w:rPr>
      </w:pPr>
    </w:p>
  </w:footnote>
  <w:footnote w:id="10">
    <w:p w14:paraId="30ADA670" w14:textId="52B1DB47"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Attachment 4.</w:t>
      </w:r>
    </w:p>
    <w:p w14:paraId="3C35EE71" w14:textId="77777777" w:rsidR="00177C60" w:rsidRPr="005259E3" w:rsidRDefault="00177C60" w:rsidP="005259E3">
      <w:pPr>
        <w:pStyle w:val="FootnoteText"/>
        <w:jc w:val="both"/>
        <w:rPr>
          <w:rFonts w:ascii="Arial" w:hAnsi="Arial" w:cs="Arial"/>
        </w:rPr>
      </w:pPr>
    </w:p>
  </w:footnote>
  <w:footnote w:id="11">
    <w:p w14:paraId="6ED41A8A" w14:textId="51BA17AC"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See Attachment 4; Attachment 5.</w:t>
      </w:r>
    </w:p>
    <w:p w14:paraId="7C093705" w14:textId="77777777" w:rsidR="00177C60" w:rsidRPr="005259E3" w:rsidRDefault="00177C60" w:rsidP="005259E3">
      <w:pPr>
        <w:pStyle w:val="FootnoteText"/>
        <w:jc w:val="both"/>
        <w:rPr>
          <w:rFonts w:ascii="Arial" w:hAnsi="Arial" w:cs="Arial"/>
        </w:rPr>
      </w:pPr>
    </w:p>
  </w:footnote>
  <w:footnote w:id="12">
    <w:p w14:paraId="0F87006D" w14:textId="0AFC6703"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Attachment 2; Attachment 4. </w:t>
      </w:r>
    </w:p>
    <w:p w14:paraId="0890B015" w14:textId="77777777" w:rsidR="00177C60" w:rsidRPr="005259E3" w:rsidRDefault="00177C60" w:rsidP="005259E3">
      <w:pPr>
        <w:pStyle w:val="FootnoteText"/>
        <w:jc w:val="both"/>
        <w:rPr>
          <w:rFonts w:ascii="Arial" w:hAnsi="Arial" w:cs="Arial"/>
        </w:rPr>
      </w:pPr>
    </w:p>
  </w:footnote>
  <w:footnote w:id="13">
    <w:p w14:paraId="25BB0627" w14:textId="489E3638" w:rsidR="00177C60" w:rsidRPr="005259E3" w:rsidRDefault="00177C60" w:rsidP="005259E3">
      <w:pPr>
        <w:pStyle w:val="FootnoteText"/>
        <w:jc w:val="both"/>
        <w:rPr>
          <w:rFonts w:ascii="Arial" w:hAnsi="Arial" w:cs="Arial"/>
        </w:rPr>
      </w:pPr>
      <w:r w:rsidRPr="005259E3">
        <w:rPr>
          <w:rStyle w:val="FootnoteReference"/>
          <w:rFonts w:ascii="Arial" w:hAnsi="Arial" w:cs="Arial"/>
        </w:rPr>
        <w:footnoteRef/>
      </w:r>
      <w:r w:rsidRPr="005259E3">
        <w:rPr>
          <w:rFonts w:ascii="Arial" w:hAnsi="Arial" w:cs="Arial"/>
        </w:rPr>
        <w:t xml:space="preserve"> Attachment 1 at 1 (emphasis added).</w:t>
      </w:r>
    </w:p>
    <w:p w14:paraId="31BFD372" w14:textId="77777777" w:rsidR="00177C60" w:rsidRPr="005259E3" w:rsidRDefault="00177C60" w:rsidP="005259E3">
      <w:pPr>
        <w:pStyle w:val="FootnoteText"/>
        <w:jc w:val="both"/>
        <w:rPr>
          <w:rFonts w:ascii="Arial" w:hAnsi="Arial" w:cs="Arial"/>
        </w:rPr>
      </w:pPr>
    </w:p>
  </w:footnote>
  <w:footnote w:id="14">
    <w:p w14:paraId="0D80BCC2" w14:textId="3794897D" w:rsidR="00177C60" w:rsidRPr="005259E3" w:rsidRDefault="00177C60" w:rsidP="005259E3">
      <w:pPr>
        <w:autoSpaceDE w:val="0"/>
        <w:autoSpaceDN w:val="0"/>
        <w:adjustRightInd w:val="0"/>
        <w:spacing w:after="0" w:line="240" w:lineRule="auto"/>
        <w:jc w:val="both"/>
        <w:rPr>
          <w:rFonts w:ascii="Arial" w:hAnsi="Arial" w:cs="Arial"/>
          <w:iCs/>
          <w:sz w:val="20"/>
          <w:szCs w:val="20"/>
        </w:rPr>
      </w:pPr>
      <w:r w:rsidRPr="005259E3">
        <w:rPr>
          <w:rStyle w:val="FootnoteReference"/>
          <w:rFonts w:ascii="Arial" w:hAnsi="Arial" w:cs="Arial"/>
          <w:sz w:val="20"/>
          <w:szCs w:val="20"/>
        </w:rPr>
        <w:footnoteRef/>
      </w:r>
      <w:r w:rsidRPr="005259E3">
        <w:rPr>
          <w:rFonts w:ascii="Arial" w:hAnsi="Arial" w:cs="Arial"/>
          <w:sz w:val="20"/>
          <w:szCs w:val="20"/>
        </w:rPr>
        <w:t xml:space="preserve"> </w:t>
      </w:r>
      <w:r w:rsidRPr="005259E3">
        <w:rPr>
          <w:rFonts w:ascii="Arial" w:hAnsi="Arial" w:cs="Arial"/>
          <w:i/>
          <w:iCs/>
          <w:sz w:val="20"/>
          <w:szCs w:val="20"/>
        </w:rPr>
        <w:t>ESP III Case</w:t>
      </w:r>
      <w:r w:rsidRPr="005259E3">
        <w:rPr>
          <w:rFonts w:ascii="Arial" w:hAnsi="Arial" w:cs="Arial"/>
          <w:iCs/>
          <w:sz w:val="20"/>
          <w:szCs w:val="20"/>
        </w:rPr>
        <w:t xml:space="preserve">, Entry (Aug. 27, 2014); </w:t>
      </w:r>
      <w:r w:rsidRPr="005259E3">
        <w:rPr>
          <w:rFonts w:ascii="Arial" w:hAnsi="Arial" w:cs="Arial"/>
          <w:i/>
          <w:iCs/>
          <w:sz w:val="20"/>
          <w:szCs w:val="20"/>
        </w:rPr>
        <w:t>ESP III</w:t>
      </w:r>
      <w:r w:rsidRPr="005259E3">
        <w:rPr>
          <w:rFonts w:ascii="Arial" w:hAnsi="Arial" w:cs="Arial"/>
          <w:iCs/>
          <w:sz w:val="20"/>
          <w:szCs w:val="20"/>
        </w:rPr>
        <w:t>, Entry on Rehearing (Oct. 22, 2014).</w:t>
      </w:r>
    </w:p>
    <w:p w14:paraId="1636D07A" w14:textId="5A36B7A1" w:rsidR="00177C60" w:rsidRPr="005259E3" w:rsidRDefault="00177C60" w:rsidP="005259E3">
      <w:pPr>
        <w:pStyle w:val="FootnoteText"/>
        <w:jc w:val="both"/>
        <w:rPr>
          <w:rFonts w:ascii="Arial" w:hAnsi="Arial" w:cs="Arial"/>
          <w:i/>
        </w:rPr>
      </w:pPr>
    </w:p>
  </w:footnote>
  <w:footnote w:id="15">
    <w:p w14:paraId="3412D5DB" w14:textId="6F7B3409" w:rsidR="00177C60" w:rsidRDefault="00177C60">
      <w:pPr>
        <w:pStyle w:val="FootnoteText"/>
        <w:rPr>
          <w:rFonts w:ascii="Arial" w:hAnsi="Arial" w:cs="Arial"/>
        </w:rPr>
      </w:pPr>
      <w:r w:rsidRPr="00BF38E4">
        <w:rPr>
          <w:rStyle w:val="FootnoteReference"/>
          <w:rFonts w:ascii="Arial" w:hAnsi="Arial" w:cs="Arial"/>
        </w:rPr>
        <w:footnoteRef/>
      </w:r>
      <w:r w:rsidRPr="00BF38E4">
        <w:rPr>
          <w:rFonts w:ascii="Arial" w:hAnsi="Arial" w:cs="Arial"/>
        </w:rPr>
        <w:t xml:space="preserve"> Attachment 4.</w:t>
      </w:r>
    </w:p>
    <w:p w14:paraId="271F90A3" w14:textId="77777777" w:rsidR="00177C60" w:rsidRPr="00BF38E4" w:rsidRDefault="00177C60">
      <w:pPr>
        <w:pStyle w:val="FootnoteText"/>
        <w:rPr>
          <w:rFonts w:ascii="Arial" w:hAnsi="Arial" w:cs="Arial"/>
        </w:rPr>
      </w:pPr>
    </w:p>
  </w:footnote>
  <w:footnote w:id="16">
    <w:p w14:paraId="5A7A1364" w14:textId="28731041" w:rsidR="00177C60" w:rsidRDefault="00177C60">
      <w:pPr>
        <w:pStyle w:val="FootnoteText"/>
        <w:rPr>
          <w:rFonts w:ascii="Arial" w:hAnsi="Arial" w:cs="Arial"/>
          <w:i/>
        </w:rPr>
      </w:pPr>
      <w:r w:rsidRPr="00BF38E4">
        <w:rPr>
          <w:rStyle w:val="FootnoteReference"/>
          <w:rFonts w:ascii="Arial" w:hAnsi="Arial" w:cs="Arial"/>
        </w:rPr>
        <w:footnoteRef/>
      </w:r>
      <w:r w:rsidRPr="00BF38E4">
        <w:rPr>
          <w:rFonts w:ascii="Arial" w:hAnsi="Arial" w:cs="Arial"/>
        </w:rPr>
        <w:t xml:space="preserve"> </w:t>
      </w:r>
      <w:r w:rsidRPr="00BF38E4">
        <w:rPr>
          <w:rFonts w:ascii="Arial" w:hAnsi="Arial" w:cs="Arial"/>
          <w:i/>
        </w:rPr>
        <w:t xml:space="preserve">Id. </w:t>
      </w:r>
    </w:p>
    <w:p w14:paraId="586B62DD" w14:textId="77777777" w:rsidR="00177C60" w:rsidRPr="00BF38E4" w:rsidRDefault="00177C60">
      <w:pPr>
        <w:pStyle w:val="FootnoteText"/>
        <w:rPr>
          <w:rFonts w:ascii="Arial" w:hAnsi="Arial" w:cs="Arial"/>
          <w:i/>
        </w:rPr>
      </w:pPr>
    </w:p>
  </w:footnote>
  <w:footnote w:id="17">
    <w:p w14:paraId="712CA716" w14:textId="074878A9" w:rsidR="00177C60" w:rsidRDefault="00177C60">
      <w:pPr>
        <w:pStyle w:val="FootnoteText"/>
        <w:rPr>
          <w:rFonts w:ascii="Arial" w:hAnsi="Arial" w:cs="Arial"/>
          <w:i/>
        </w:rPr>
      </w:pPr>
      <w:r w:rsidRPr="00BF38E4">
        <w:rPr>
          <w:rStyle w:val="FootnoteReference"/>
          <w:rFonts w:ascii="Arial" w:hAnsi="Arial" w:cs="Arial"/>
        </w:rPr>
        <w:footnoteRef/>
      </w:r>
      <w:r w:rsidRPr="00BF38E4">
        <w:rPr>
          <w:rFonts w:ascii="Arial" w:hAnsi="Arial" w:cs="Arial"/>
        </w:rPr>
        <w:t xml:space="preserve"> </w:t>
      </w:r>
      <w:r w:rsidRPr="00BF38E4">
        <w:rPr>
          <w:rFonts w:ascii="Arial" w:hAnsi="Arial" w:cs="Arial"/>
          <w:i/>
        </w:rPr>
        <w:t xml:space="preserve">Id. </w:t>
      </w:r>
    </w:p>
    <w:p w14:paraId="00FC76FD" w14:textId="77777777" w:rsidR="00177C60" w:rsidRPr="00BF38E4" w:rsidRDefault="00177C60">
      <w:pPr>
        <w:pStyle w:val="FootnoteText"/>
        <w:rPr>
          <w:rFonts w:ascii="Arial" w:hAnsi="Arial" w:cs="Arial"/>
          <w:i/>
        </w:rPr>
      </w:pPr>
    </w:p>
  </w:footnote>
  <w:footnote w:id="18">
    <w:p w14:paraId="5CD6A8E4" w14:textId="1604D258" w:rsidR="00177C60" w:rsidRDefault="00177C60">
      <w:pPr>
        <w:pStyle w:val="FootnoteText"/>
        <w:rPr>
          <w:rFonts w:ascii="Arial" w:hAnsi="Arial" w:cs="Arial"/>
        </w:rPr>
      </w:pPr>
      <w:r w:rsidRPr="00BF38E4">
        <w:rPr>
          <w:rStyle w:val="FootnoteReference"/>
          <w:rFonts w:ascii="Arial" w:hAnsi="Arial" w:cs="Arial"/>
        </w:rPr>
        <w:footnoteRef/>
      </w:r>
      <w:r w:rsidRPr="00BF38E4">
        <w:rPr>
          <w:rFonts w:ascii="Arial" w:hAnsi="Arial" w:cs="Arial"/>
        </w:rPr>
        <w:t xml:space="preserve"> Attachment 5.</w:t>
      </w:r>
    </w:p>
    <w:p w14:paraId="321F8906" w14:textId="77777777" w:rsidR="003F3A27" w:rsidRDefault="003F3A27">
      <w:pPr>
        <w:pStyle w:val="FootnoteText"/>
      </w:pPr>
    </w:p>
  </w:footnote>
  <w:footnote w:id="19">
    <w:p w14:paraId="63897C61" w14:textId="76CB2CBD" w:rsidR="00177C60" w:rsidRDefault="00177C60">
      <w:pPr>
        <w:pStyle w:val="FootnoteText"/>
        <w:rPr>
          <w:rFonts w:ascii="Arial" w:hAnsi="Arial" w:cs="Arial"/>
          <w:iCs/>
        </w:rPr>
      </w:pPr>
      <w:r>
        <w:rPr>
          <w:rStyle w:val="FootnoteReference"/>
        </w:rPr>
        <w:footnoteRef/>
      </w:r>
      <w:r>
        <w:t xml:space="preserve"> </w:t>
      </w:r>
      <w:r>
        <w:rPr>
          <w:rFonts w:ascii="Arial" w:hAnsi="Arial" w:cs="Arial"/>
          <w:i/>
          <w:iCs/>
        </w:rPr>
        <w:t xml:space="preserve">ESP </w:t>
      </w:r>
      <w:r w:rsidRPr="00177C60">
        <w:rPr>
          <w:rFonts w:ascii="Arial" w:hAnsi="Arial" w:cs="Arial"/>
          <w:i/>
          <w:iCs/>
        </w:rPr>
        <w:t>III Case</w:t>
      </w:r>
      <w:r>
        <w:rPr>
          <w:rFonts w:ascii="Arial" w:hAnsi="Arial" w:cs="Arial"/>
          <w:iCs/>
        </w:rPr>
        <w:t xml:space="preserve">, </w:t>
      </w:r>
      <w:r w:rsidRPr="00177C60">
        <w:rPr>
          <w:rFonts w:ascii="Arial" w:hAnsi="Arial" w:cs="Arial"/>
          <w:iCs/>
        </w:rPr>
        <w:t>Entry</w:t>
      </w:r>
      <w:r>
        <w:rPr>
          <w:rFonts w:ascii="Arial" w:hAnsi="Arial" w:cs="Arial"/>
          <w:iCs/>
        </w:rPr>
        <w:t xml:space="preserve"> (Aug. 27, 2014)</w:t>
      </w:r>
      <w:r w:rsidRPr="00BF38E4">
        <w:rPr>
          <w:rFonts w:ascii="Arial" w:hAnsi="Arial" w:cs="Arial"/>
          <w:iCs/>
        </w:rPr>
        <w:t xml:space="preserve">; </w:t>
      </w:r>
      <w:r w:rsidRPr="00BF38E4">
        <w:rPr>
          <w:rFonts w:ascii="Arial" w:hAnsi="Arial" w:cs="Arial"/>
          <w:i/>
          <w:iCs/>
        </w:rPr>
        <w:t>ESP III</w:t>
      </w:r>
      <w:r w:rsidRPr="00BF38E4">
        <w:rPr>
          <w:rFonts w:ascii="Arial" w:hAnsi="Arial" w:cs="Arial"/>
          <w:iCs/>
        </w:rPr>
        <w:t>, En</w:t>
      </w:r>
      <w:r w:rsidR="003F3A27">
        <w:rPr>
          <w:rFonts w:ascii="Arial" w:hAnsi="Arial" w:cs="Arial"/>
          <w:iCs/>
        </w:rPr>
        <w:t>try on Rehearing (Oct. 22, 2014).</w:t>
      </w:r>
    </w:p>
    <w:p w14:paraId="7ED87F78" w14:textId="77777777" w:rsidR="003F3A27" w:rsidRDefault="003F3A27">
      <w:pPr>
        <w:pStyle w:val="FootnoteText"/>
      </w:pPr>
    </w:p>
  </w:footnote>
  <w:footnote w:id="20">
    <w:p w14:paraId="22E60C88" w14:textId="564C7A90" w:rsidR="00177C60" w:rsidRPr="00177C60" w:rsidRDefault="00177C60">
      <w:pPr>
        <w:pStyle w:val="FootnoteText"/>
      </w:pPr>
      <w:r>
        <w:rPr>
          <w:rStyle w:val="FootnoteReference"/>
        </w:rPr>
        <w:footnoteRef/>
      </w:r>
      <w:r>
        <w:t xml:space="preserve"> </w:t>
      </w:r>
      <w:r>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BAEE" w14:textId="77777777" w:rsidR="00177C60" w:rsidRDefault="00177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536F" w14:textId="77777777" w:rsidR="00177C60" w:rsidRDefault="00177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177C60" w:rsidRDefault="00177C60">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659C"/>
    <w:multiLevelType w:val="hybridMultilevel"/>
    <w:tmpl w:val="730C0910"/>
    <w:lvl w:ilvl="0" w:tplc="B2980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901C3"/>
    <w:multiLevelType w:val="hybridMultilevel"/>
    <w:tmpl w:val="CE04EEB0"/>
    <w:lvl w:ilvl="0" w:tplc="9F1465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B744A"/>
    <w:multiLevelType w:val="hybridMultilevel"/>
    <w:tmpl w:val="759AEFDA"/>
    <w:lvl w:ilvl="0" w:tplc="DC2034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A6513"/>
    <w:multiLevelType w:val="hybridMultilevel"/>
    <w:tmpl w:val="4640685A"/>
    <w:lvl w:ilvl="0" w:tplc="599062FE">
      <w:start w:val="1"/>
      <w:numFmt w:val="lowerLetter"/>
      <w:lvlText w:val="(%1)"/>
      <w:lvlJc w:val="left"/>
      <w:pPr>
        <w:ind w:left="1157" w:hanging="43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1359C"/>
    <w:multiLevelType w:val="hybridMultilevel"/>
    <w:tmpl w:val="39001A4C"/>
    <w:lvl w:ilvl="0" w:tplc="EA8222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6"/>
  </w:num>
  <w:num w:numId="5">
    <w:abstractNumId w:val="3"/>
  </w:num>
  <w:num w:numId="6">
    <w:abstractNumId w:val="8"/>
  </w:num>
  <w:num w:numId="7">
    <w:abstractNumId w:val="2"/>
  </w:num>
  <w:num w:numId="8">
    <w:abstractNumId w:val="1"/>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38EF"/>
    <w:rsid w:val="00004E6B"/>
    <w:rsid w:val="000B223F"/>
    <w:rsid w:val="000F2A2B"/>
    <w:rsid w:val="001144C4"/>
    <w:rsid w:val="00121836"/>
    <w:rsid w:val="00177C60"/>
    <w:rsid w:val="001D3B5A"/>
    <w:rsid w:val="00227C04"/>
    <w:rsid w:val="00231B62"/>
    <w:rsid w:val="00237730"/>
    <w:rsid w:val="002410B3"/>
    <w:rsid w:val="0025719F"/>
    <w:rsid w:val="0026046D"/>
    <w:rsid w:val="002F05DC"/>
    <w:rsid w:val="002F7C44"/>
    <w:rsid w:val="003005D8"/>
    <w:rsid w:val="00325C7A"/>
    <w:rsid w:val="00336BD6"/>
    <w:rsid w:val="003427CD"/>
    <w:rsid w:val="00355B90"/>
    <w:rsid w:val="003A51CC"/>
    <w:rsid w:val="003D01DA"/>
    <w:rsid w:val="003F3A27"/>
    <w:rsid w:val="0040390B"/>
    <w:rsid w:val="00413918"/>
    <w:rsid w:val="00413EE0"/>
    <w:rsid w:val="00474257"/>
    <w:rsid w:val="00483963"/>
    <w:rsid w:val="00492AD6"/>
    <w:rsid w:val="0051216C"/>
    <w:rsid w:val="005259E3"/>
    <w:rsid w:val="00542A3B"/>
    <w:rsid w:val="00545F29"/>
    <w:rsid w:val="0056270F"/>
    <w:rsid w:val="00586EFA"/>
    <w:rsid w:val="005B37CC"/>
    <w:rsid w:val="005B63F0"/>
    <w:rsid w:val="005F3574"/>
    <w:rsid w:val="00613140"/>
    <w:rsid w:val="0061450C"/>
    <w:rsid w:val="00623213"/>
    <w:rsid w:val="00655CF7"/>
    <w:rsid w:val="00662EB7"/>
    <w:rsid w:val="00681E8C"/>
    <w:rsid w:val="00690D08"/>
    <w:rsid w:val="00696B83"/>
    <w:rsid w:val="0071471B"/>
    <w:rsid w:val="0076496B"/>
    <w:rsid w:val="007919E7"/>
    <w:rsid w:val="007A0222"/>
    <w:rsid w:val="007B3399"/>
    <w:rsid w:val="007C2CF7"/>
    <w:rsid w:val="007D2210"/>
    <w:rsid w:val="008041D9"/>
    <w:rsid w:val="00813BFB"/>
    <w:rsid w:val="0082422E"/>
    <w:rsid w:val="008361FD"/>
    <w:rsid w:val="00914094"/>
    <w:rsid w:val="00955F86"/>
    <w:rsid w:val="00972956"/>
    <w:rsid w:val="00976CF5"/>
    <w:rsid w:val="0098338B"/>
    <w:rsid w:val="0098755F"/>
    <w:rsid w:val="009B4EBD"/>
    <w:rsid w:val="009D5434"/>
    <w:rsid w:val="009D71F6"/>
    <w:rsid w:val="009F4632"/>
    <w:rsid w:val="009F6674"/>
    <w:rsid w:val="00A55948"/>
    <w:rsid w:val="00A71E20"/>
    <w:rsid w:val="00A806E5"/>
    <w:rsid w:val="00A940AD"/>
    <w:rsid w:val="00AA4B71"/>
    <w:rsid w:val="00AA75B4"/>
    <w:rsid w:val="00AC5A80"/>
    <w:rsid w:val="00AD5E1E"/>
    <w:rsid w:val="00B270B3"/>
    <w:rsid w:val="00B62E75"/>
    <w:rsid w:val="00B92A76"/>
    <w:rsid w:val="00BF3470"/>
    <w:rsid w:val="00BF38E4"/>
    <w:rsid w:val="00C20F96"/>
    <w:rsid w:val="00C25624"/>
    <w:rsid w:val="00C379AF"/>
    <w:rsid w:val="00C75207"/>
    <w:rsid w:val="00C84BD1"/>
    <w:rsid w:val="00C96B14"/>
    <w:rsid w:val="00CB17AB"/>
    <w:rsid w:val="00D13280"/>
    <w:rsid w:val="00D51948"/>
    <w:rsid w:val="00D57054"/>
    <w:rsid w:val="00D57E21"/>
    <w:rsid w:val="00DA7931"/>
    <w:rsid w:val="00DE4973"/>
    <w:rsid w:val="00E04507"/>
    <w:rsid w:val="00E34ED2"/>
    <w:rsid w:val="00E35263"/>
    <w:rsid w:val="00E4353A"/>
    <w:rsid w:val="00E86999"/>
    <w:rsid w:val="00EA0C60"/>
    <w:rsid w:val="00EC019F"/>
    <w:rsid w:val="00EF0745"/>
    <w:rsid w:val="00F10F9B"/>
    <w:rsid w:val="00F111C7"/>
    <w:rsid w:val="00F5720A"/>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rsid w:val="005259E3"/>
    <w:pPr>
      <w:tabs>
        <w:tab w:val="left" w:pos="-720"/>
      </w:tabs>
      <w:suppressAutoHyphens/>
      <w:spacing w:after="0" w:line="480" w:lineRule="auto"/>
      <w:jc w:val="both"/>
    </w:pPr>
    <w:rPr>
      <w:rFonts w:ascii="Times New Roman" w:eastAsia="Times New Roman" w:hAnsi="Times New Roman" w:cs="Times New Roman"/>
      <w:spacing w:val="-3"/>
      <w:sz w:val="24"/>
      <w:szCs w:val="24"/>
    </w:rPr>
  </w:style>
  <w:style w:type="character" w:customStyle="1" w:styleId="BodyTextChar">
    <w:name w:val="Body Text Char"/>
    <w:basedOn w:val="DefaultParagraphFont"/>
    <w:link w:val="BodyText"/>
    <w:uiPriority w:val="99"/>
    <w:rsid w:val="005259E3"/>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nt@theoe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D529-4DB7-45E3-BBD8-4A2DFBF6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1703</Words>
  <Characters>9829</Characters>
  <Application>Microsoft Office Word</Application>
  <DocSecurity>0</DocSecurity>
  <Lines>378</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2016-09-13T16:17:00Z</dcterms:created>
  <dcterms:modified xsi:type="dcterms:W3CDTF">2016-09-15T20:09:00Z</dcterms:modified>
</cp:coreProperties>
</file>