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10" w:rsidRDefault="004A6E10" w:rsidP="004A6E10">
      <w:pPr>
        <w:pStyle w:val="Title"/>
        <w:rPr>
          <w:sz w:val="28"/>
        </w:rPr>
      </w:pPr>
      <w:bookmarkStart w:id="0" w:name="OLE_LINK2"/>
      <w:bookmarkStart w:id="1" w:name="OLE_LINK1"/>
      <w:r>
        <w:rPr>
          <w:sz w:val="28"/>
        </w:rPr>
        <w:t>Before</w:t>
      </w:r>
    </w:p>
    <w:p w:rsidR="004A6E10" w:rsidRDefault="004A6E10" w:rsidP="004A6E10">
      <w:pPr>
        <w:jc w:val="center"/>
        <w:rPr>
          <w:rFonts w:cs="Arial"/>
          <w:b/>
          <w:smallCaps/>
          <w:sz w:val="28"/>
        </w:rPr>
      </w:pPr>
      <w:r>
        <w:rPr>
          <w:rFonts w:cs="Arial"/>
          <w:b/>
          <w:smallCaps/>
          <w:sz w:val="28"/>
        </w:rPr>
        <w:t>The Public Utilities Commission of Ohio</w:t>
      </w:r>
    </w:p>
    <w:p w:rsidR="004A6E10" w:rsidRDefault="004A6E10" w:rsidP="004A6E10">
      <w:pPr>
        <w:autoSpaceDE w:val="0"/>
        <w:autoSpaceDN w:val="0"/>
        <w:adjustRightInd w:val="0"/>
        <w:rPr>
          <w:rFonts w:cs="Arial"/>
        </w:rPr>
      </w:pPr>
    </w:p>
    <w:p w:rsidR="004A6E10" w:rsidRDefault="004A6E10" w:rsidP="004A6E10">
      <w:pPr>
        <w:pStyle w:val="BodyTextIndent2"/>
        <w:ind w:left="0"/>
        <w:rPr>
          <w:sz w:val="24"/>
        </w:rPr>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Ohio Power Company and</w:t>
      </w:r>
      <w:r>
        <w:tab/>
        <w:t>)</w:t>
      </w:r>
      <w:r>
        <w:tab/>
      </w:r>
      <w:r>
        <w:tab/>
        <w:t>Case No. 10-501-EL-FOR</w:t>
      </w:r>
    </w:p>
    <w:p w:rsidR="004A6E10" w:rsidRDefault="004A6E10" w:rsidP="004A6E10">
      <w:pPr>
        <w:pStyle w:val="BodyText"/>
        <w:tabs>
          <w:tab w:val="left" w:pos="4680"/>
          <w:tab w:val="left" w:pos="5040"/>
        </w:tabs>
      </w:pPr>
      <w:r>
        <w:t>Related Matters.</w:t>
      </w:r>
      <w:r>
        <w:tab/>
        <w:t>)</w:t>
      </w:r>
    </w:p>
    <w:p w:rsidR="004A6E10" w:rsidRDefault="004A6E10" w:rsidP="004A6E10">
      <w:pPr>
        <w:pStyle w:val="BodyText"/>
        <w:tabs>
          <w:tab w:val="left" w:pos="5040"/>
        </w:tabs>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Columbus Southern Power</w:t>
      </w:r>
      <w:r>
        <w:tab/>
        <w:t>)</w:t>
      </w:r>
      <w:r>
        <w:tab/>
      </w:r>
      <w:r>
        <w:tab/>
        <w:t>Case No. 10-502-EL-FOR</w:t>
      </w:r>
    </w:p>
    <w:p w:rsidR="004A6E10" w:rsidRDefault="004A6E10" w:rsidP="004A6E10">
      <w:pPr>
        <w:pStyle w:val="BodyText"/>
        <w:tabs>
          <w:tab w:val="left" w:pos="4680"/>
        </w:tabs>
      </w:pPr>
      <w:r>
        <w:t>Company and Related Matters.</w:t>
      </w:r>
      <w:r>
        <w:tab/>
        <w:t>)</w:t>
      </w:r>
    </w:p>
    <w:p w:rsidR="004A6E10" w:rsidRDefault="004A6E10" w:rsidP="004A6E10">
      <w:pPr>
        <w:pStyle w:val="BodyText"/>
        <w:tabs>
          <w:tab w:val="left" w:pos="5040"/>
        </w:tabs>
      </w:pPr>
    </w:p>
    <w:p w:rsidR="004A6E10" w:rsidRDefault="004A6E10" w:rsidP="004A6E10">
      <w:pPr>
        <w:pStyle w:val="BodyText"/>
        <w:tabs>
          <w:tab w:val="left" w:pos="5040"/>
        </w:tabs>
      </w:pPr>
    </w:p>
    <w:p w:rsidR="004A6E10" w:rsidRDefault="004A6E10" w:rsidP="004A6E10">
      <w:pPr>
        <w:pBdr>
          <w:top w:val="single" w:sz="12" w:space="1" w:color="auto"/>
        </w:pBdr>
        <w:tabs>
          <w:tab w:val="left" w:pos="7320"/>
        </w:tabs>
        <w:jc w:val="both"/>
        <w:rPr>
          <w:rFonts w:cs="Arial"/>
          <w:sz w:val="28"/>
        </w:rPr>
      </w:pPr>
    </w:p>
    <w:p w:rsidR="004A6E10" w:rsidRPr="00BD2496" w:rsidRDefault="00806AC4" w:rsidP="00BD2496">
      <w:pPr>
        <w:jc w:val="center"/>
        <w:rPr>
          <w:b/>
          <w:szCs w:val="28"/>
        </w:rPr>
      </w:pPr>
      <w:r w:rsidRPr="00BD2496">
        <w:rPr>
          <w:b/>
        </w:rPr>
        <w:t>SUPPLEMENTAL</w:t>
      </w:r>
      <w:r w:rsidR="004A6E10" w:rsidRPr="00BD2496">
        <w:rPr>
          <w:b/>
        </w:rPr>
        <w:t xml:space="preserve"> </w:t>
      </w:r>
      <w:r w:rsidR="0077686E">
        <w:rPr>
          <w:b/>
        </w:rPr>
        <w:t>REPLY</w:t>
      </w:r>
      <w:r w:rsidR="004A6E10" w:rsidRPr="00BD2496">
        <w:rPr>
          <w:b/>
        </w:rPr>
        <w:t xml:space="preserve"> OF INDUSTRIAL ENERGY USERS-OHIO</w:t>
      </w:r>
    </w:p>
    <w:p w:rsidR="004A6E10" w:rsidRDefault="004A6E10" w:rsidP="004A6E10">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bookmarkEnd w:id="0"/>
    <w:bookmarkEnd w:id="1"/>
    <w:p w:rsidR="004A6E10" w:rsidRDefault="004A6E10" w:rsidP="004A6E10">
      <w:pPr>
        <w:pStyle w:val="Title"/>
        <w:rPr>
          <w:sz w:val="28"/>
          <w:u w:val="single"/>
        </w:rPr>
      </w:pPr>
    </w:p>
    <w:p w:rsidR="00836F24" w:rsidRDefault="00836F24"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rPr>
          <w:sz w:val="28"/>
          <w:u w:val="single"/>
        </w:rPr>
      </w:pPr>
    </w:p>
    <w:p w:rsidR="004A6E10" w:rsidRDefault="004A6E10" w:rsidP="004A6E10">
      <w:pPr>
        <w:pStyle w:val="Title"/>
        <w:tabs>
          <w:tab w:val="left" w:pos="4140"/>
        </w:tabs>
        <w:rPr>
          <w:sz w:val="28"/>
          <w:u w:val="single"/>
        </w:rPr>
      </w:pPr>
    </w:p>
    <w:p w:rsidR="004A6E10" w:rsidRDefault="004A6E10" w:rsidP="004A6E10">
      <w:pPr>
        <w:tabs>
          <w:tab w:val="left" w:pos="-1350"/>
          <w:tab w:val="right" w:pos="8640"/>
        </w:tabs>
        <w:ind w:left="4320" w:hanging="180"/>
        <w:jc w:val="both"/>
        <w:rPr>
          <w:rFonts w:cs="Arial"/>
        </w:rPr>
      </w:pPr>
      <w:r>
        <w:rPr>
          <w:rFonts w:cs="Arial"/>
        </w:rPr>
        <w:t xml:space="preserve">Samuel C. Randazzo </w:t>
      </w:r>
    </w:p>
    <w:p w:rsidR="004A6E10" w:rsidRDefault="004A6E10" w:rsidP="004A6E10">
      <w:pPr>
        <w:pStyle w:val="BodyText3"/>
        <w:widowControl w:val="0"/>
        <w:tabs>
          <w:tab w:val="left" w:pos="0"/>
        </w:tabs>
        <w:ind w:left="4140"/>
        <w:jc w:val="both"/>
        <w:rPr>
          <w:rFonts w:cs="Arial"/>
          <w:b w:val="0"/>
          <w:bCs/>
        </w:rPr>
      </w:pPr>
      <w:r>
        <w:rPr>
          <w:rFonts w:cs="Arial"/>
          <w:b w:val="0"/>
          <w:bCs/>
        </w:rPr>
        <w:t>(Counsel of Record)</w:t>
      </w:r>
    </w:p>
    <w:p w:rsidR="004A6E10" w:rsidRDefault="004A6E10" w:rsidP="004A6E10">
      <w:pPr>
        <w:pStyle w:val="BodyText3"/>
        <w:widowControl w:val="0"/>
        <w:tabs>
          <w:tab w:val="left" w:pos="0"/>
        </w:tabs>
        <w:ind w:left="4140"/>
        <w:jc w:val="both"/>
        <w:rPr>
          <w:rFonts w:cs="Arial"/>
          <w:b w:val="0"/>
          <w:bCs/>
        </w:rPr>
      </w:pPr>
      <w:r>
        <w:rPr>
          <w:rFonts w:cs="Arial"/>
          <w:b w:val="0"/>
          <w:bCs/>
        </w:rPr>
        <w:t>Frank P. Darr</w:t>
      </w:r>
    </w:p>
    <w:p w:rsidR="004A6E10" w:rsidRDefault="004A6E10" w:rsidP="004A6E10">
      <w:pPr>
        <w:pStyle w:val="BodyText3"/>
        <w:widowControl w:val="0"/>
        <w:tabs>
          <w:tab w:val="left" w:pos="0"/>
        </w:tabs>
        <w:ind w:left="4140"/>
        <w:jc w:val="both"/>
        <w:rPr>
          <w:rFonts w:cs="Arial"/>
          <w:b w:val="0"/>
          <w:bCs/>
        </w:rPr>
      </w:pPr>
      <w:r>
        <w:rPr>
          <w:rFonts w:cs="Arial"/>
          <w:b w:val="0"/>
          <w:bCs/>
        </w:rPr>
        <w:t>Joseph E. Oliker</w:t>
      </w:r>
    </w:p>
    <w:p w:rsidR="00806AC4" w:rsidRDefault="00806AC4" w:rsidP="004A6E10">
      <w:pPr>
        <w:pStyle w:val="BodyText3"/>
        <w:widowControl w:val="0"/>
        <w:tabs>
          <w:tab w:val="left" w:pos="0"/>
        </w:tabs>
        <w:ind w:left="4140"/>
        <w:jc w:val="both"/>
        <w:rPr>
          <w:rFonts w:cs="Arial"/>
          <w:b w:val="0"/>
          <w:bCs/>
        </w:rPr>
      </w:pPr>
      <w:r>
        <w:rPr>
          <w:rFonts w:cs="Arial"/>
          <w:b w:val="0"/>
          <w:bCs/>
        </w:rPr>
        <w:t>Matthew R. Pritchard</w:t>
      </w:r>
    </w:p>
    <w:p w:rsidR="004A6E10" w:rsidRDefault="004A6E10" w:rsidP="004A6E10">
      <w:pPr>
        <w:pStyle w:val="BodyText3"/>
        <w:widowControl w:val="0"/>
        <w:tabs>
          <w:tab w:val="left" w:pos="0"/>
        </w:tabs>
        <w:ind w:left="4140"/>
        <w:jc w:val="both"/>
        <w:rPr>
          <w:rFonts w:cs="Arial"/>
          <w:b w:val="0"/>
          <w:bCs/>
          <w:smallCaps/>
          <w:szCs w:val="24"/>
        </w:rPr>
      </w:pPr>
      <w:r>
        <w:rPr>
          <w:rFonts w:cs="Arial"/>
          <w:b w:val="0"/>
          <w:bCs/>
          <w:smallCaps/>
          <w:szCs w:val="24"/>
        </w:rPr>
        <w:t>McNees Wallace &amp; Nurick LLC</w:t>
      </w:r>
    </w:p>
    <w:p w:rsidR="004A6E10" w:rsidRDefault="004A6E10" w:rsidP="004A6E10">
      <w:pPr>
        <w:pStyle w:val="BodyText3"/>
        <w:widowControl w:val="0"/>
        <w:tabs>
          <w:tab w:val="left" w:pos="0"/>
        </w:tabs>
        <w:ind w:left="4140"/>
        <w:jc w:val="both"/>
        <w:rPr>
          <w:rFonts w:cs="Arial"/>
          <w:b w:val="0"/>
          <w:bCs/>
        </w:rPr>
      </w:pPr>
      <w:r>
        <w:rPr>
          <w:rFonts w:cs="Arial"/>
          <w:b w:val="0"/>
          <w:bCs/>
        </w:rPr>
        <w:t>21 East State Street, 17</w:t>
      </w:r>
      <w:r>
        <w:rPr>
          <w:rFonts w:cs="Arial"/>
          <w:b w:val="0"/>
          <w:bCs/>
          <w:vertAlign w:val="superscript"/>
        </w:rPr>
        <w:t>TH</w:t>
      </w:r>
      <w:r>
        <w:rPr>
          <w:rFonts w:cs="Arial"/>
          <w:b w:val="0"/>
          <w:bCs/>
        </w:rPr>
        <w:t xml:space="preserve"> Floor</w:t>
      </w:r>
    </w:p>
    <w:p w:rsidR="004A6E10" w:rsidRDefault="004A6E10" w:rsidP="004A6E10">
      <w:pPr>
        <w:pStyle w:val="BodyText"/>
        <w:tabs>
          <w:tab w:val="left" w:pos="0"/>
        </w:tabs>
        <w:ind w:left="4140"/>
      </w:pPr>
      <w:r>
        <w:t>Columbus, OH  43215</w:t>
      </w:r>
    </w:p>
    <w:p w:rsidR="004A6E10" w:rsidRDefault="004A6E10" w:rsidP="004A6E10">
      <w:pPr>
        <w:pStyle w:val="BodyText"/>
        <w:tabs>
          <w:tab w:val="left" w:pos="0"/>
        </w:tabs>
        <w:ind w:left="4140"/>
      </w:pPr>
      <w:r>
        <w:t>Telephone:  (614) 469-8000</w:t>
      </w:r>
    </w:p>
    <w:p w:rsidR="004A6E10" w:rsidRDefault="004A6E10" w:rsidP="004A6E10">
      <w:pPr>
        <w:pStyle w:val="BodyText"/>
        <w:tabs>
          <w:tab w:val="left" w:pos="0"/>
        </w:tabs>
        <w:ind w:left="4140"/>
      </w:pPr>
      <w:r>
        <w:t>Telecopier:  (614) 469-4653</w:t>
      </w:r>
    </w:p>
    <w:p w:rsidR="004A6E10" w:rsidRDefault="004A6E10" w:rsidP="004A6E10">
      <w:pPr>
        <w:pStyle w:val="BodyText"/>
        <w:tabs>
          <w:tab w:val="left" w:pos="0"/>
        </w:tabs>
        <w:ind w:left="4140"/>
      </w:pPr>
      <w:r>
        <w:t>sam@mwncmh.com</w:t>
      </w:r>
    </w:p>
    <w:p w:rsidR="004A6E10" w:rsidRDefault="004A6E10" w:rsidP="004A6E10">
      <w:pPr>
        <w:pStyle w:val="BodyText"/>
        <w:tabs>
          <w:tab w:val="left" w:pos="0"/>
        </w:tabs>
        <w:ind w:left="4140"/>
      </w:pPr>
      <w:r>
        <w:t>fdarr@mwncmh.com</w:t>
      </w:r>
    </w:p>
    <w:p w:rsidR="004A6E10" w:rsidRDefault="004A6E10" w:rsidP="004A6E10">
      <w:pPr>
        <w:pStyle w:val="BodyText"/>
        <w:tabs>
          <w:tab w:val="left" w:pos="0"/>
        </w:tabs>
        <w:ind w:left="4140"/>
      </w:pPr>
      <w:r>
        <w:t>joliker@mwncmh.com</w:t>
      </w:r>
    </w:p>
    <w:p w:rsidR="00806AC4" w:rsidRDefault="00806AC4" w:rsidP="004A6E10">
      <w:pPr>
        <w:pStyle w:val="BodyText"/>
        <w:tabs>
          <w:tab w:val="left" w:pos="0"/>
        </w:tabs>
        <w:ind w:left="4140"/>
      </w:pPr>
      <w:r>
        <w:t>mpritchard@mwncmh.com</w:t>
      </w:r>
    </w:p>
    <w:p w:rsidR="004A6E10" w:rsidRDefault="004A6E10" w:rsidP="004A6E10">
      <w:pPr>
        <w:pStyle w:val="BodyText"/>
        <w:tabs>
          <w:tab w:val="left" w:pos="0"/>
        </w:tabs>
      </w:pPr>
    </w:p>
    <w:p w:rsidR="004A6E10" w:rsidRDefault="00BB66D5" w:rsidP="004A6E10">
      <w:pPr>
        <w:autoSpaceDE w:val="0"/>
        <w:autoSpaceDN w:val="0"/>
        <w:adjustRightInd w:val="0"/>
        <w:ind w:left="4140" w:hanging="4140"/>
        <w:rPr>
          <w:rFonts w:cs="Arial"/>
          <w:b/>
          <w:smallCaps/>
        </w:rPr>
      </w:pPr>
      <w:r w:rsidRPr="00866E97">
        <w:rPr>
          <w:rFonts w:cs="Arial"/>
          <w:b/>
          <w:smallCaps/>
        </w:rPr>
        <w:t>Octobe</w:t>
      </w:r>
      <w:r w:rsidR="00B10C9B">
        <w:rPr>
          <w:rFonts w:cs="Arial"/>
          <w:b/>
          <w:smallCaps/>
        </w:rPr>
        <w:t>r 17</w:t>
      </w:r>
      <w:r w:rsidR="004A6E10" w:rsidRPr="00866E97">
        <w:rPr>
          <w:rFonts w:cs="Arial"/>
          <w:b/>
          <w:smallCaps/>
        </w:rPr>
        <w:t>, 2012</w:t>
      </w:r>
      <w:r w:rsidR="004A6E10" w:rsidRPr="00866E97">
        <w:rPr>
          <w:rFonts w:cs="Arial"/>
          <w:b/>
        </w:rPr>
        <w:tab/>
      </w:r>
      <w:r w:rsidR="004A6E10" w:rsidRPr="00866E97">
        <w:rPr>
          <w:rFonts w:cs="Arial"/>
          <w:b/>
          <w:smallCaps/>
        </w:rPr>
        <w:t>Attorneys for Industrial Energy Users-Ohio</w:t>
      </w:r>
    </w:p>
    <w:p w:rsidR="00B10C9B" w:rsidRDefault="00B10C9B" w:rsidP="004A6E10">
      <w:pPr>
        <w:autoSpaceDE w:val="0"/>
        <w:autoSpaceDN w:val="0"/>
        <w:adjustRightInd w:val="0"/>
        <w:ind w:left="4140" w:hanging="4140"/>
        <w:rPr>
          <w:rFonts w:cs="Arial"/>
          <w:b/>
          <w:smallCaps/>
        </w:rPr>
      </w:pPr>
    </w:p>
    <w:p w:rsidR="00865D80" w:rsidRDefault="00865D80" w:rsidP="004A6E10">
      <w:pPr>
        <w:autoSpaceDE w:val="0"/>
        <w:autoSpaceDN w:val="0"/>
        <w:adjustRightInd w:val="0"/>
        <w:ind w:left="4140" w:hanging="4140"/>
        <w:rPr>
          <w:rFonts w:ascii="Arial Bold" w:hAnsi="Arial Bold" w:cs="Arial"/>
          <w:b/>
        </w:rPr>
        <w:sectPr w:rsidR="00865D80" w:rsidSect="00866E97">
          <w:headerReference w:type="even" r:id="rId9"/>
          <w:headerReference w:type="default" r:id="rId10"/>
          <w:footerReference w:type="even" r:id="rId11"/>
          <w:footerReference w:type="default" r:id="rId12"/>
          <w:headerReference w:type="first" r:id="rId13"/>
          <w:footerReference w:type="first" r:id="rId14"/>
          <w:pgSz w:w="12240" w:h="15840" w:code="1"/>
          <w:pgMar w:top="1152" w:right="1253" w:bottom="662" w:left="1571" w:header="720" w:footer="720" w:gutter="0"/>
          <w:pgNumType w:fmt="lowerRoman" w:start="1"/>
          <w:cols w:space="720"/>
          <w:noEndnote/>
          <w:titlePg/>
          <w:docGrid w:linePitch="326"/>
        </w:sectPr>
      </w:pPr>
    </w:p>
    <w:p w:rsidR="0016796A" w:rsidRPr="0016796A" w:rsidRDefault="0016796A" w:rsidP="0016796A">
      <w:pPr>
        <w:pStyle w:val="TOCHeading"/>
        <w:rPr>
          <w:rFonts w:ascii="Arial Bold" w:hAnsi="Arial Bold"/>
          <w:caps/>
          <w:color w:val="auto"/>
        </w:rPr>
      </w:pPr>
      <w:bookmarkStart w:id="2" w:name="TOCHeading"/>
      <w:r w:rsidRPr="0016796A">
        <w:rPr>
          <w:rFonts w:ascii="Arial Bold" w:hAnsi="Arial Bold"/>
          <w:caps/>
          <w:color w:val="auto"/>
        </w:rPr>
        <w:lastRenderedPageBreak/>
        <w:t>Table of Contents</w:t>
      </w:r>
    </w:p>
    <w:p w:rsidR="0016796A" w:rsidRDefault="0016796A" w:rsidP="0016796A">
      <w:pPr>
        <w:pStyle w:val="TOCPage"/>
      </w:pPr>
      <w:bookmarkStart w:id="3" w:name="TOCPage"/>
      <w:bookmarkEnd w:id="2"/>
      <w:r>
        <w:t>Page</w:t>
      </w:r>
    </w:p>
    <w:bookmarkEnd w:id="3"/>
    <w:p w:rsidR="0016796A" w:rsidRDefault="0016796A">
      <w:pPr>
        <w:pStyle w:val="TOC1"/>
        <w:rPr>
          <w:noProof/>
        </w:rPr>
      </w:pPr>
      <w:r>
        <w:rPr>
          <w:b/>
        </w:rPr>
        <w:fldChar w:fldCharType="begin"/>
      </w:r>
      <w:r>
        <w:rPr>
          <w:b/>
        </w:rPr>
        <w:instrText xml:space="preserve"> TOC \t "Heading 1,1,Heading 2,2,Heading 3,3" </w:instrText>
      </w:r>
      <w:r>
        <w:rPr>
          <w:b/>
        </w:rPr>
        <w:fldChar w:fldCharType="separate"/>
      </w:r>
      <w:bookmarkStart w:id="4" w:name="TOCLocation"/>
      <w:r w:rsidRPr="001A3CB0">
        <w:rPr>
          <w:noProof/>
          <w:color w:val="010000"/>
        </w:rPr>
        <w:t>I.</w:t>
      </w:r>
      <w:r>
        <w:rPr>
          <w:rFonts w:asciiTheme="minorHAnsi" w:eastAsiaTheme="minorEastAsia" w:hAnsiTheme="minorHAnsi" w:cstheme="minorBidi"/>
          <w:noProof/>
          <w:sz w:val="22"/>
          <w:szCs w:val="22"/>
        </w:rPr>
        <w:tab/>
      </w:r>
      <w:r w:rsidRPr="0016796A">
        <w:rPr>
          <w:caps/>
          <w:noProof/>
        </w:rPr>
        <w:t>Introduction</w:t>
      </w:r>
      <w:r>
        <w:rPr>
          <w:noProof/>
        </w:rPr>
        <w:tab/>
      </w:r>
      <w:r>
        <w:rPr>
          <w:noProof/>
        </w:rPr>
        <w:fldChar w:fldCharType="begin"/>
      </w:r>
      <w:r>
        <w:rPr>
          <w:noProof/>
        </w:rPr>
        <w:instrText xml:space="preserve"> PAGEREF _Toc338234650 \h </w:instrText>
      </w:r>
      <w:r>
        <w:rPr>
          <w:noProof/>
        </w:rPr>
      </w:r>
      <w:r>
        <w:rPr>
          <w:noProof/>
        </w:rPr>
        <w:fldChar w:fldCharType="separate"/>
      </w:r>
      <w:r w:rsidR="000B54E5">
        <w:rPr>
          <w:noProof/>
        </w:rPr>
        <w:t>1</w:t>
      </w:r>
      <w:r>
        <w:rPr>
          <w:noProof/>
        </w:rPr>
        <w:fldChar w:fldCharType="end"/>
      </w:r>
    </w:p>
    <w:p w:rsidR="0016796A" w:rsidRPr="0016796A" w:rsidRDefault="0016796A" w:rsidP="0016796A"/>
    <w:p w:rsidR="0016796A" w:rsidRDefault="0016796A">
      <w:pPr>
        <w:pStyle w:val="TOC1"/>
        <w:rPr>
          <w:noProof/>
        </w:rPr>
      </w:pPr>
      <w:r w:rsidRPr="001A3CB0">
        <w:rPr>
          <w:noProof/>
          <w:color w:val="010000"/>
        </w:rPr>
        <w:t>II.</w:t>
      </w:r>
      <w:r>
        <w:rPr>
          <w:rFonts w:asciiTheme="minorHAnsi" w:eastAsiaTheme="minorEastAsia" w:hAnsiTheme="minorHAnsi" w:cstheme="minorBidi"/>
          <w:noProof/>
          <w:sz w:val="22"/>
          <w:szCs w:val="22"/>
        </w:rPr>
        <w:tab/>
      </w:r>
      <w:r w:rsidRPr="0016796A">
        <w:rPr>
          <w:caps/>
          <w:noProof/>
        </w:rPr>
        <w:t>Argument</w:t>
      </w:r>
      <w:r>
        <w:rPr>
          <w:noProof/>
        </w:rPr>
        <w:tab/>
      </w:r>
      <w:r>
        <w:rPr>
          <w:noProof/>
        </w:rPr>
        <w:fldChar w:fldCharType="begin"/>
      </w:r>
      <w:r>
        <w:rPr>
          <w:noProof/>
        </w:rPr>
        <w:instrText xml:space="preserve"> PAGEREF _Toc338234651 \h </w:instrText>
      </w:r>
      <w:r>
        <w:rPr>
          <w:noProof/>
        </w:rPr>
      </w:r>
      <w:r>
        <w:rPr>
          <w:noProof/>
        </w:rPr>
        <w:fldChar w:fldCharType="separate"/>
      </w:r>
      <w:r w:rsidR="000B54E5">
        <w:rPr>
          <w:noProof/>
        </w:rPr>
        <w:t>2</w:t>
      </w:r>
      <w:r>
        <w:rPr>
          <w:noProof/>
        </w:rPr>
        <w:fldChar w:fldCharType="end"/>
      </w:r>
    </w:p>
    <w:p w:rsidR="0016796A" w:rsidRPr="0016796A" w:rsidRDefault="0016796A" w:rsidP="0016796A"/>
    <w:p w:rsidR="0016796A" w:rsidRDefault="0016796A">
      <w:pPr>
        <w:pStyle w:val="TOC2"/>
        <w:rPr>
          <w:noProof/>
        </w:rPr>
      </w:pPr>
      <w:r w:rsidRPr="001A3CB0">
        <w:rPr>
          <w:rFonts w:eastAsia="Calibri"/>
          <w:noProof/>
          <w:color w:val="010000"/>
        </w:rPr>
        <w:t>A.</w:t>
      </w:r>
      <w:r>
        <w:rPr>
          <w:rFonts w:asciiTheme="minorHAnsi" w:eastAsiaTheme="minorEastAsia" w:hAnsiTheme="minorHAnsi" w:cstheme="minorBidi"/>
          <w:noProof/>
          <w:sz w:val="22"/>
          <w:szCs w:val="22"/>
        </w:rPr>
        <w:tab/>
      </w:r>
      <w:r w:rsidRPr="001A3CB0">
        <w:rPr>
          <w:rFonts w:eastAsia="Calibri"/>
          <w:noProof/>
        </w:rPr>
        <w:t>Need cannot be determined in an LTFR proceeding</w:t>
      </w:r>
      <w:r>
        <w:rPr>
          <w:noProof/>
        </w:rPr>
        <w:tab/>
      </w:r>
      <w:r>
        <w:rPr>
          <w:noProof/>
        </w:rPr>
        <w:fldChar w:fldCharType="begin"/>
      </w:r>
      <w:r>
        <w:rPr>
          <w:noProof/>
        </w:rPr>
        <w:instrText xml:space="preserve"> PAGEREF _Toc338234652 \h </w:instrText>
      </w:r>
      <w:r>
        <w:rPr>
          <w:noProof/>
        </w:rPr>
      </w:r>
      <w:r>
        <w:rPr>
          <w:noProof/>
        </w:rPr>
        <w:fldChar w:fldCharType="separate"/>
      </w:r>
      <w:r w:rsidR="000B54E5">
        <w:rPr>
          <w:noProof/>
        </w:rPr>
        <w:t>3</w:t>
      </w:r>
      <w:r>
        <w:rPr>
          <w:noProof/>
        </w:rPr>
        <w:fldChar w:fldCharType="end"/>
      </w:r>
    </w:p>
    <w:p w:rsidR="0016796A" w:rsidRPr="0016796A" w:rsidRDefault="0016796A" w:rsidP="0016796A"/>
    <w:p w:rsidR="0016796A" w:rsidRDefault="0016796A">
      <w:pPr>
        <w:pStyle w:val="TOC2"/>
        <w:rPr>
          <w:noProof/>
        </w:rPr>
      </w:pPr>
      <w:r w:rsidRPr="001A3CB0">
        <w:rPr>
          <w:rFonts w:eastAsia="Calibri"/>
          <w:noProof/>
          <w:color w:val="010000"/>
        </w:rPr>
        <w:t>B.</w:t>
      </w:r>
      <w:r>
        <w:rPr>
          <w:rFonts w:asciiTheme="minorHAnsi" w:eastAsiaTheme="minorEastAsia" w:hAnsiTheme="minorHAnsi" w:cstheme="minorBidi"/>
          <w:noProof/>
          <w:sz w:val="22"/>
          <w:szCs w:val="22"/>
        </w:rPr>
        <w:tab/>
      </w:r>
      <w:r w:rsidRPr="001A3CB0">
        <w:rPr>
          <w:rFonts w:eastAsia="Calibri"/>
          <w:noProof/>
        </w:rPr>
        <w:t>Regardless of how need is defined it cannot be based on sREC requirements</w:t>
      </w:r>
      <w:r>
        <w:rPr>
          <w:noProof/>
        </w:rPr>
        <w:tab/>
      </w:r>
      <w:r>
        <w:rPr>
          <w:noProof/>
        </w:rPr>
        <w:fldChar w:fldCharType="begin"/>
      </w:r>
      <w:r>
        <w:rPr>
          <w:noProof/>
        </w:rPr>
        <w:instrText xml:space="preserve"> PAGEREF _Toc338234653 \h </w:instrText>
      </w:r>
      <w:r>
        <w:rPr>
          <w:noProof/>
        </w:rPr>
      </w:r>
      <w:r>
        <w:rPr>
          <w:noProof/>
        </w:rPr>
        <w:fldChar w:fldCharType="separate"/>
      </w:r>
      <w:r w:rsidR="000B54E5">
        <w:rPr>
          <w:noProof/>
        </w:rPr>
        <w:t>4</w:t>
      </w:r>
      <w:r>
        <w:rPr>
          <w:noProof/>
        </w:rPr>
        <w:fldChar w:fldCharType="end"/>
      </w:r>
    </w:p>
    <w:p w:rsidR="0016796A" w:rsidRPr="0016796A" w:rsidRDefault="0016796A" w:rsidP="0016796A"/>
    <w:p w:rsidR="0016796A" w:rsidRDefault="0016796A">
      <w:pPr>
        <w:pStyle w:val="TOC2"/>
        <w:rPr>
          <w:noProof/>
        </w:rPr>
      </w:pPr>
      <w:r w:rsidRPr="001A3CB0">
        <w:rPr>
          <w:rFonts w:eastAsia="Calibri"/>
          <w:noProof/>
          <w:color w:val="010000"/>
        </w:rPr>
        <w:t>C.</w:t>
      </w:r>
      <w:r>
        <w:rPr>
          <w:rFonts w:asciiTheme="minorHAnsi" w:eastAsiaTheme="minorEastAsia" w:hAnsiTheme="minorHAnsi" w:cstheme="minorBidi"/>
          <w:noProof/>
          <w:sz w:val="22"/>
          <w:szCs w:val="22"/>
        </w:rPr>
        <w:tab/>
      </w:r>
      <w:r w:rsidRPr="001A3CB0">
        <w:rPr>
          <w:rFonts w:eastAsia="Calibri"/>
          <w:noProof/>
        </w:rPr>
        <w:t>The evidence does not support a finding of need under any theory</w:t>
      </w:r>
      <w:r>
        <w:rPr>
          <w:noProof/>
        </w:rPr>
        <w:tab/>
      </w:r>
      <w:r>
        <w:rPr>
          <w:noProof/>
        </w:rPr>
        <w:fldChar w:fldCharType="begin"/>
      </w:r>
      <w:r>
        <w:rPr>
          <w:noProof/>
        </w:rPr>
        <w:instrText xml:space="preserve"> PAGEREF _Toc338234654 \h </w:instrText>
      </w:r>
      <w:r>
        <w:rPr>
          <w:noProof/>
        </w:rPr>
      </w:r>
      <w:r>
        <w:rPr>
          <w:noProof/>
        </w:rPr>
        <w:fldChar w:fldCharType="separate"/>
      </w:r>
      <w:r w:rsidR="000B54E5">
        <w:rPr>
          <w:noProof/>
        </w:rPr>
        <w:t>7</w:t>
      </w:r>
      <w:r>
        <w:rPr>
          <w:noProof/>
        </w:rPr>
        <w:fldChar w:fldCharType="end"/>
      </w:r>
    </w:p>
    <w:p w:rsidR="0016796A" w:rsidRPr="0016796A" w:rsidRDefault="0016796A" w:rsidP="0016796A"/>
    <w:p w:rsidR="0016796A" w:rsidRDefault="0016796A" w:rsidP="0016796A">
      <w:pPr>
        <w:pStyle w:val="TOC3"/>
        <w:ind w:left="1800" w:hanging="1320"/>
        <w:rPr>
          <w:noProof/>
        </w:rPr>
      </w:pPr>
      <w:r>
        <w:rPr>
          <w:noProof/>
        </w:rPr>
        <w:tab/>
        <w:t>1.</w:t>
      </w:r>
      <w:r>
        <w:rPr>
          <w:noProof/>
        </w:rPr>
        <w:tab/>
      </w:r>
      <w:r w:rsidRPr="001A3CB0">
        <w:rPr>
          <w:noProof/>
        </w:rPr>
        <w:t>Turning Point is not required to s</w:t>
      </w:r>
      <w:r>
        <w:rPr>
          <w:noProof/>
        </w:rPr>
        <w:t>atisfy AEP-Ohio’s specific sREC</w:t>
      </w:r>
      <w:r w:rsidRPr="001A3CB0">
        <w:rPr>
          <w:noProof/>
        </w:rPr>
        <w:t>requirements</w:t>
      </w:r>
      <w:r>
        <w:rPr>
          <w:noProof/>
        </w:rPr>
        <w:tab/>
      </w:r>
      <w:r>
        <w:rPr>
          <w:noProof/>
        </w:rPr>
        <w:fldChar w:fldCharType="begin"/>
      </w:r>
      <w:r>
        <w:rPr>
          <w:noProof/>
        </w:rPr>
        <w:instrText xml:space="preserve"> PAGEREF _Toc338234655 \h </w:instrText>
      </w:r>
      <w:r>
        <w:rPr>
          <w:noProof/>
        </w:rPr>
      </w:r>
      <w:r>
        <w:rPr>
          <w:noProof/>
        </w:rPr>
        <w:fldChar w:fldCharType="separate"/>
      </w:r>
      <w:r w:rsidR="000B54E5">
        <w:rPr>
          <w:noProof/>
        </w:rPr>
        <w:t>7</w:t>
      </w:r>
      <w:r>
        <w:rPr>
          <w:noProof/>
        </w:rPr>
        <w:fldChar w:fldCharType="end"/>
      </w:r>
    </w:p>
    <w:p w:rsidR="0016796A" w:rsidRPr="0016796A" w:rsidRDefault="0016796A" w:rsidP="0016796A"/>
    <w:p w:rsidR="0016796A" w:rsidRDefault="0016796A" w:rsidP="0016796A">
      <w:pPr>
        <w:pStyle w:val="TOC3"/>
        <w:rPr>
          <w:noProof/>
        </w:rPr>
      </w:pPr>
      <w:r>
        <w:rPr>
          <w:noProof/>
        </w:rPr>
        <w:tab/>
        <w:t>2.</w:t>
      </w:r>
      <w:r>
        <w:rPr>
          <w:rFonts w:asciiTheme="minorHAnsi" w:eastAsiaTheme="minorEastAsia" w:hAnsiTheme="minorHAnsi" w:cstheme="minorBidi"/>
          <w:noProof/>
          <w:sz w:val="22"/>
          <w:szCs w:val="22"/>
        </w:rPr>
        <w:tab/>
      </w:r>
      <w:r w:rsidRPr="001A3CB0">
        <w:rPr>
          <w:noProof/>
        </w:rPr>
        <w:t>Evidence of a statewide need is irrelevant</w:t>
      </w:r>
      <w:r>
        <w:rPr>
          <w:noProof/>
        </w:rPr>
        <w:tab/>
      </w:r>
      <w:r>
        <w:rPr>
          <w:noProof/>
        </w:rPr>
        <w:fldChar w:fldCharType="begin"/>
      </w:r>
      <w:r>
        <w:rPr>
          <w:noProof/>
        </w:rPr>
        <w:instrText xml:space="preserve"> PAGEREF _Toc338234656 \h </w:instrText>
      </w:r>
      <w:r>
        <w:rPr>
          <w:noProof/>
        </w:rPr>
      </w:r>
      <w:r>
        <w:rPr>
          <w:noProof/>
        </w:rPr>
        <w:fldChar w:fldCharType="separate"/>
      </w:r>
      <w:r w:rsidR="000B54E5">
        <w:rPr>
          <w:noProof/>
        </w:rPr>
        <w:t>10</w:t>
      </w:r>
      <w:r>
        <w:rPr>
          <w:noProof/>
        </w:rPr>
        <w:fldChar w:fldCharType="end"/>
      </w:r>
    </w:p>
    <w:p w:rsidR="0016796A" w:rsidRPr="0016796A" w:rsidRDefault="0016796A" w:rsidP="0016796A"/>
    <w:p w:rsidR="0016796A" w:rsidRDefault="0016796A">
      <w:pPr>
        <w:pStyle w:val="TOC1"/>
        <w:rPr>
          <w:rFonts w:asciiTheme="minorHAnsi" w:eastAsiaTheme="minorEastAsia" w:hAnsiTheme="minorHAnsi" w:cstheme="minorBidi"/>
          <w:noProof/>
          <w:sz w:val="22"/>
          <w:szCs w:val="22"/>
        </w:rPr>
      </w:pPr>
      <w:r w:rsidRPr="001A3CB0">
        <w:rPr>
          <w:noProof/>
          <w:color w:val="010000"/>
        </w:rPr>
        <w:t>III.</w:t>
      </w:r>
      <w:r>
        <w:rPr>
          <w:rFonts w:asciiTheme="minorHAnsi" w:eastAsiaTheme="minorEastAsia" w:hAnsiTheme="minorHAnsi" w:cstheme="minorBidi"/>
          <w:noProof/>
          <w:sz w:val="22"/>
          <w:szCs w:val="22"/>
        </w:rPr>
        <w:tab/>
      </w:r>
      <w:r w:rsidRPr="0016796A">
        <w:rPr>
          <w:caps/>
          <w:noProof/>
        </w:rPr>
        <w:t>Conclusion</w:t>
      </w:r>
      <w:r>
        <w:rPr>
          <w:noProof/>
        </w:rPr>
        <w:tab/>
      </w:r>
      <w:r>
        <w:rPr>
          <w:noProof/>
        </w:rPr>
        <w:fldChar w:fldCharType="begin"/>
      </w:r>
      <w:r>
        <w:rPr>
          <w:noProof/>
        </w:rPr>
        <w:instrText xml:space="preserve"> PAGEREF _Toc338234657 \h </w:instrText>
      </w:r>
      <w:r>
        <w:rPr>
          <w:noProof/>
        </w:rPr>
      </w:r>
      <w:r>
        <w:rPr>
          <w:noProof/>
        </w:rPr>
        <w:fldChar w:fldCharType="separate"/>
      </w:r>
      <w:r w:rsidR="000B54E5">
        <w:rPr>
          <w:noProof/>
        </w:rPr>
        <w:t>15</w:t>
      </w:r>
      <w:r>
        <w:rPr>
          <w:noProof/>
        </w:rPr>
        <w:fldChar w:fldCharType="end"/>
      </w:r>
    </w:p>
    <w:bookmarkEnd w:id="4"/>
    <w:p w:rsidR="00B10C9B" w:rsidRDefault="0016796A" w:rsidP="00B10C9B">
      <w:pPr>
        <w:pStyle w:val="Title"/>
        <w:jc w:val="left"/>
        <w:rPr>
          <w:b w:val="0"/>
          <w:sz w:val="24"/>
        </w:rPr>
      </w:pPr>
      <w:r>
        <w:rPr>
          <w:b w:val="0"/>
          <w:sz w:val="24"/>
        </w:rPr>
        <w:fldChar w:fldCharType="end"/>
      </w:r>
    </w:p>
    <w:p w:rsidR="0016796A" w:rsidRPr="00B10C9B" w:rsidRDefault="0016796A" w:rsidP="00B10C9B">
      <w:pPr>
        <w:pStyle w:val="Title"/>
        <w:jc w:val="left"/>
        <w:rPr>
          <w:b w:val="0"/>
          <w:sz w:val="24"/>
        </w:rPr>
      </w:pPr>
    </w:p>
    <w:p w:rsidR="00B10C9B" w:rsidRPr="00B10C9B" w:rsidRDefault="00B10C9B" w:rsidP="00B10C9B">
      <w:pPr>
        <w:pStyle w:val="Title"/>
        <w:jc w:val="left"/>
        <w:rPr>
          <w:b w:val="0"/>
          <w:sz w:val="28"/>
        </w:rPr>
        <w:sectPr w:rsidR="00B10C9B" w:rsidRPr="00B10C9B" w:rsidSect="0016796A">
          <w:headerReference w:type="default" r:id="rId15"/>
          <w:footerReference w:type="default" r:id="rId16"/>
          <w:headerReference w:type="first" r:id="rId17"/>
          <w:footerReference w:type="first" r:id="rId18"/>
          <w:pgSz w:w="12240" w:h="15840" w:code="1"/>
          <w:pgMar w:top="1440" w:right="1440" w:bottom="1440" w:left="1440" w:header="720" w:footer="720" w:gutter="0"/>
          <w:pgNumType w:fmt="lowerRoman" w:start="1"/>
          <w:cols w:space="720"/>
          <w:noEndnote/>
          <w:titlePg/>
          <w:docGrid w:linePitch="326"/>
        </w:sectPr>
      </w:pPr>
    </w:p>
    <w:p w:rsidR="004A6E10" w:rsidRPr="00865D80" w:rsidRDefault="004A6E10" w:rsidP="004A6E10">
      <w:pPr>
        <w:pStyle w:val="Title"/>
        <w:rPr>
          <w:sz w:val="28"/>
        </w:rPr>
      </w:pPr>
      <w:r w:rsidRPr="00865D80">
        <w:rPr>
          <w:sz w:val="28"/>
        </w:rPr>
        <w:lastRenderedPageBreak/>
        <w:t>Before</w:t>
      </w:r>
    </w:p>
    <w:p w:rsidR="004A6E10" w:rsidRDefault="004A6E10" w:rsidP="004A6E10">
      <w:pPr>
        <w:jc w:val="center"/>
        <w:rPr>
          <w:rFonts w:cs="Arial"/>
          <w:b/>
          <w:smallCaps/>
          <w:sz w:val="28"/>
        </w:rPr>
      </w:pPr>
      <w:r>
        <w:rPr>
          <w:rFonts w:cs="Arial"/>
          <w:b/>
          <w:smallCaps/>
          <w:sz w:val="28"/>
        </w:rPr>
        <w:t>The Public Utilities Commission of Ohio</w:t>
      </w:r>
    </w:p>
    <w:p w:rsidR="004A6E10" w:rsidRDefault="004A6E10" w:rsidP="004A6E10">
      <w:pPr>
        <w:autoSpaceDE w:val="0"/>
        <w:autoSpaceDN w:val="0"/>
        <w:adjustRightInd w:val="0"/>
        <w:rPr>
          <w:rFonts w:cs="Arial"/>
        </w:rPr>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Ohio Power Company and</w:t>
      </w:r>
      <w:r>
        <w:tab/>
        <w:t>)</w:t>
      </w:r>
      <w:r>
        <w:tab/>
      </w:r>
      <w:r>
        <w:tab/>
        <w:t>Case No. 10-501-EL-FOR</w:t>
      </w:r>
    </w:p>
    <w:p w:rsidR="004A6E10" w:rsidRDefault="004A6E10" w:rsidP="004A6E10">
      <w:pPr>
        <w:pStyle w:val="BodyText"/>
        <w:tabs>
          <w:tab w:val="left" w:pos="4680"/>
          <w:tab w:val="left" w:pos="5040"/>
        </w:tabs>
      </w:pPr>
      <w:r>
        <w:t>Related Matters.</w:t>
      </w:r>
      <w:r>
        <w:tab/>
        <w:t>)</w:t>
      </w:r>
    </w:p>
    <w:p w:rsidR="004A6E10" w:rsidRDefault="004A6E10" w:rsidP="004A6E10">
      <w:pPr>
        <w:pStyle w:val="BodyText"/>
        <w:tabs>
          <w:tab w:val="left" w:pos="5040"/>
        </w:tabs>
      </w:pPr>
    </w:p>
    <w:p w:rsidR="004A6E10" w:rsidRDefault="004A6E10" w:rsidP="004A6E10">
      <w:pPr>
        <w:pStyle w:val="BodyText"/>
        <w:tabs>
          <w:tab w:val="left" w:pos="4680"/>
          <w:tab w:val="left" w:pos="5040"/>
        </w:tabs>
      </w:pPr>
      <w:r>
        <w:t>In the Matter of the Long-Term Forecast</w:t>
      </w:r>
      <w:r>
        <w:tab/>
        <w:t>)</w:t>
      </w:r>
    </w:p>
    <w:p w:rsidR="004A6E10" w:rsidRDefault="004A6E10" w:rsidP="004A6E10">
      <w:pPr>
        <w:pStyle w:val="BodyText"/>
        <w:tabs>
          <w:tab w:val="left" w:pos="4680"/>
        </w:tabs>
      </w:pPr>
      <w:r>
        <w:t>Report of Columbus Southern Power</w:t>
      </w:r>
      <w:r>
        <w:tab/>
        <w:t>)</w:t>
      </w:r>
      <w:r>
        <w:tab/>
      </w:r>
      <w:r>
        <w:tab/>
        <w:t>Case No. 10-502-EL-FOR</w:t>
      </w:r>
    </w:p>
    <w:p w:rsidR="004A6E10" w:rsidRDefault="004A6E10" w:rsidP="004A6E10">
      <w:pPr>
        <w:pStyle w:val="BodyText"/>
        <w:tabs>
          <w:tab w:val="left" w:pos="4680"/>
        </w:tabs>
      </w:pPr>
      <w:r>
        <w:t>Company and Related Matters.</w:t>
      </w:r>
      <w:r>
        <w:tab/>
        <w:t>)</w:t>
      </w:r>
    </w:p>
    <w:p w:rsidR="004A6E10" w:rsidRDefault="004A6E10" w:rsidP="004A6E10">
      <w:pPr>
        <w:pStyle w:val="BodyText"/>
        <w:tabs>
          <w:tab w:val="left" w:pos="5040"/>
        </w:tabs>
      </w:pPr>
    </w:p>
    <w:p w:rsidR="004A6E10" w:rsidRDefault="004A6E10" w:rsidP="004A6E10">
      <w:pPr>
        <w:pStyle w:val="BodyText"/>
        <w:tabs>
          <w:tab w:val="left" w:pos="5040"/>
        </w:tabs>
      </w:pPr>
    </w:p>
    <w:p w:rsidR="004A6E10" w:rsidRDefault="004A6E10" w:rsidP="004A6E10">
      <w:pPr>
        <w:pBdr>
          <w:top w:val="single" w:sz="12" w:space="1" w:color="auto"/>
        </w:pBdr>
        <w:tabs>
          <w:tab w:val="left" w:pos="7320"/>
        </w:tabs>
        <w:jc w:val="both"/>
        <w:rPr>
          <w:rFonts w:cs="Arial"/>
          <w:sz w:val="28"/>
        </w:rPr>
      </w:pPr>
    </w:p>
    <w:p w:rsidR="004A6E10" w:rsidRPr="00BD2496" w:rsidRDefault="00806AC4" w:rsidP="00BD2496">
      <w:pPr>
        <w:jc w:val="center"/>
        <w:rPr>
          <w:b/>
          <w:szCs w:val="28"/>
        </w:rPr>
      </w:pPr>
      <w:r w:rsidRPr="00BD2496">
        <w:rPr>
          <w:b/>
        </w:rPr>
        <w:t xml:space="preserve">SUPPLEMENTAL </w:t>
      </w:r>
      <w:r w:rsidR="0077686E">
        <w:rPr>
          <w:b/>
        </w:rPr>
        <w:t>REPLY</w:t>
      </w:r>
      <w:r w:rsidR="004A6E10" w:rsidRPr="00BD2496">
        <w:rPr>
          <w:b/>
        </w:rPr>
        <w:t xml:space="preserve"> OF INDUSTRIAL ENERGY USERS-OHIO</w:t>
      </w:r>
    </w:p>
    <w:p w:rsidR="004A6E10" w:rsidRDefault="004A6E10" w:rsidP="004A6E10">
      <w:pPr>
        <w:pStyle w:val="Title"/>
        <w:rPr>
          <w:sz w:val="28"/>
          <w:u w:val="single"/>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77686E" w:rsidRDefault="0077686E" w:rsidP="004A6E10">
      <w:pPr>
        <w:pStyle w:val="BodyTextIndent"/>
        <w:tabs>
          <w:tab w:val="left" w:pos="7320"/>
        </w:tabs>
        <w:spacing w:after="100" w:afterAutospacing="1"/>
        <w:ind w:firstLine="0"/>
      </w:pPr>
    </w:p>
    <w:p w:rsidR="0074699E" w:rsidRPr="00857474" w:rsidRDefault="00836F24" w:rsidP="0016796A">
      <w:pPr>
        <w:pStyle w:val="Heading1"/>
      </w:pPr>
      <w:bookmarkStart w:id="5" w:name="_Toc338234650"/>
      <w:r w:rsidRPr="00857474">
        <w:t>I</w:t>
      </w:r>
      <w:r w:rsidR="00E50337" w:rsidRPr="00857474">
        <w:t>ntroduction</w:t>
      </w:r>
      <w:bookmarkEnd w:id="5"/>
    </w:p>
    <w:p w:rsidR="008B415E" w:rsidRPr="0074699E" w:rsidRDefault="0019213F" w:rsidP="00B10C9B">
      <w:pPr>
        <w:pStyle w:val="BodyTextIndent"/>
        <w:spacing w:line="480" w:lineRule="auto"/>
        <w:rPr>
          <w:b/>
        </w:rPr>
      </w:pPr>
      <w:r>
        <w:rPr>
          <w:rFonts w:eastAsia="Calibri"/>
        </w:rPr>
        <w:t>On November 21, 2011, Ohio Power Company (“OP” or “AEP-Ohio”) and the Public Utilities Commission of Ohio’s (“Commission”) Staff (“Staff”) filed a partial Stipulation an</w:t>
      </w:r>
      <w:r w:rsidR="00054D56">
        <w:rPr>
          <w:rFonts w:eastAsia="Calibri"/>
        </w:rPr>
        <w:t>d Recommendation (“Stipulation”)</w:t>
      </w:r>
      <w:r w:rsidR="00B36660">
        <w:rPr>
          <w:rFonts w:eastAsia="Calibri"/>
        </w:rPr>
        <w:t xml:space="preserve">.  Paragraph 2 of the </w:t>
      </w:r>
      <w:r>
        <w:rPr>
          <w:rFonts w:eastAsia="Calibri"/>
        </w:rPr>
        <w:t>Stipulation recom</w:t>
      </w:r>
      <w:r w:rsidR="00054D56">
        <w:rPr>
          <w:rFonts w:eastAsia="Calibri"/>
        </w:rPr>
        <w:t>mended that the</w:t>
      </w:r>
      <w:r w:rsidR="00B36660">
        <w:rPr>
          <w:rFonts w:eastAsia="Calibri"/>
        </w:rPr>
        <w:t xml:space="preserve"> Commission determine</w:t>
      </w:r>
      <w:r w:rsidR="001A4E7A">
        <w:rPr>
          <w:rFonts w:eastAsia="Calibri"/>
        </w:rPr>
        <w:t xml:space="preserve"> that </w:t>
      </w:r>
      <w:r w:rsidR="00836F24">
        <w:rPr>
          <w:rFonts w:eastAsia="Calibri"/>
        </w:rPr>
        <w:t xml:space="preserve">the </w:t>
      </w:r>
      <w:r>
        <w:rPr>
          <w:rFonts w:eastAsia="Calibri"/>
        </w:rPr>
        <w:t>Turning Point Solar</w:t>
      </w:r>
      <w:r w:rsidR="001A4E7A">
        <w:rPr>
          <w:rFonts w:eastAsia="Calibri"/>
        </w:rPr>
        <w:t xml:space="preserve"> (“Turning Point”)</w:t>
      </w:r>
      <w:r>
        <w:rPr>
          <w:rFonts w:eastAsia="Calibri"/>
        </w:rPr>
        <w:t xml:space="preserve"> </w:t>
      </w:r>
      <w:r w:rsidR="00836F24">
        <w:rPr>
          <w:rFonts w:eastAsia="Calibri"/>
        </w:rPr>
        <w:t xml:space="preserve">facility </w:t>
      </w:r>
      <w:r>
        <w:rPr>
          <w:rFonts w:eastAsia="Calibri"/>
        </w:rPr>
        <w:t>is “needed” to comply with the in-state solar renewable energy credit</w:t>
      </w:r>
      <w:r w:rsidR="001A4E7A">
        <w:rPr>
          <w:rFonts w:eastAsia="Calibri"/>
        </w:rPr>
        <w:t xml:space="preserve"> (“sREC”)</w:t>
      </w:r>
      <w:r>
        <w:rPr>
          <w:rFonts w:eastAsia="Calibri"/>
        </w:rPr>
        <w:t xml:space="preserve"> obligations contained in Section 4928.64, Revised</w:t>
      </w:r>
      <w:r w:rsidR="008B415E">
        <w:rPr>
          <w:rFonts w:eastAsia="Calibri"/>
        </w:rPr>
        <w:t xml:space="preserve"> Code.  AEP-Ohio, Staff, and </w:t>
      </w:r>
      <w:r w:rsidR="00587E98">
        <w:rPr>
          <w:rFonts w:eastAsia="Calibri"/>
        </w:rPr>
        <w:t xml:space="preserve">the </w:t>
      </w:r>
      <w:r w:rsidR="002A4BE7">
        <w:rPr>
          <w:rFonts w:eastAsia="Calibri"/>
        </w:rPr>
        <w:t>University of Toledo Innovation</w:t>
      </w:r>
      <w:r>
        <w:rPr>
          <w:rFonts w:eastAsia="Calibri"/>
        </w:rPr>
        <w:t xml:space="preserve"> </w:t>
      </w:r>
      <w:r w:rsidR="002A4BE7">
        <w:rPr>
          <w:rFonts w:eastAsia="Calibri"/>
        </w:rPr>
        <w:t xml:space="preserve">Enterprises </w:t>
      </w:r>
      <w:r>
        <w:rPr>
          <w:rFonts w:eastAsia="Calibri"/>
        </w:rPr>
        <w:t>(“UT”) have sought to link a finding of need in this long term forecast report (“LTFR”) proceeding to a non-bypassable charge</w:t>
      </w:r>
      <w:r w:rsidR="00054D56">
        <w:rPr>
          <w:rFonts w:eastAsia="Calibri"/>
        </w:rPr>
        <w:t xml:space="preserve"> that may be potentially available</w:t>
      </w:r>
      <w:r>
        <w:rPr>
          <w:rFonts w:eastAsia="Calibri"/>
        </w:rPr>
        <w:t xml:space="preserve"> under Section 4928.143(B)(2)(c), Revised Code</w:t>
      </w:r>
      <w:r w:rsidR="00054D56">
        <w:rPr>
          <w:rFonts w:eastAsia="Calibri"/>
        </w:rPr>
        <w:t xml:space="preserve">, </w:t>
      </w:r>
      <w:r w:rsidR="00B36660">
        <w:rPr>
          <w:rFonts w:eastAsia="Calibri"/>
        </w:rPr>
        <w:t>in an electric security plan (“ESP”)</w:t>
      </w:r>
      <w:r>
        <w:rPr>
          <w:rFonts w:eastAsia="Calibri"/>
        </w:rPr>
        <w:t>.</w:t>
      </w:r>
      <w:r w:rsidR="00CF789E" w:rsidRPr="00CF789E">
        <w:rPr>
          <w:rFonts w:eastAsia="Calibri"/>
        </w:rPr>
        <w:t xml:space="preserve"> </w:t>
      </w:r>
    </w:p>
    <w:p w:rsidR="001A4E7A" w:rsidRDefault="001E0D20" w:rsidP="00B10C9B">
      <w:pPr>
        <w:pStyle w:val="BodyTextIndent"/>
        <w:spacing w:line="480" w:lineRule="auto"/>
        <w:rPr>
          <w:rFonts w:eastAsia="Calibri"/>
        </w:rPr>
      </w:pPr>
      <w:r>
        <w:rPr>
          <w:rFonts w:eastAsia="Calibri"/>
        </w:rPr>
        <w:t>Paragraph 2 of the</w:t>
      </w:r>
      <w:r w:rsidR="00054D56">
        <w:rPr>
          <w:rFonts w:eastAsia="Calibri"/>
        </w:rPr>
        <w:t xml:space="preserve"> Stipulation</w:t>
      </w:r>
      <w:r>
        <w:rPr>
          <w:rFonts w:eastAsia="Calibri"/>
        </w:rPr>
        <w:t>’</w:t>
      </w:r>
      <w:r w:rsidR="00054D56">
        <w:rPr>
          <w:rFonts w:eastAsia="Calibri"/>
        </w:rPr>
        <w:t xml:space="preserve">s requested relief is </w:t>
      </w:r>
      <w:r w:rsidR="00D035A0">
        <w:rPr>
          <w:rFonts w:eastAsia="Calibri"/>
        </w:rPr>
        <w:t>contrary to Ohio law</w:t>
      </w:r>
      <w:r w:rsidR="008B415E">
        <w:rPr>
          <w:rFonts w:eastAsia="Calibri"/>
        </w:rPr>
        <w:t xml:space="preserve"> in several respects</w:t>
      </w:r>
      <w:r w:rsidR="00D035A0">
        <w:rPr>
          <w:rFonts w:eastAsia="Calibri"/>
        </w:rPr>
        <w:t>: (1) Section 4928.64(E), Revised Code, specifically prohibits recovery of the cost of compliance with sREC obligations thro</w:t>
      </w:r>
      <w:r w:rsidR="00BB75F0">
        <w:rPr>
          <w:rFonts w:eastAsia="Calibri"/>
        </w:rPr>
        <w:t xml:space="preserve">ugh non-bypassable charges; </w:t>
      </w:r>
      <w:r w:rsidR="00D035A0">
        <w:rPr>
          <w:rFonts w:eastAsia="Calibri"/>
        </w:rPr>
        <w:t xml:space="preserve">(2) even if </w:t>
      </w:r>
      <w:r w:rsidR="00836F24">
        <w:rPr>
          <w:rFonts w:eastAsia="Calibri"/>
        </w:rPr>
        <w:t xml:space="preserve">a </w:t>
      </w:r>
      <w:r w:rsidR="00D035A0">
        <w:rPr>
          <w:rFonts w:eastAsia="Calibri"/>
        </w:rPr>
        <w:t>f</w:t>
      </w:r>
      <w:r w:rsidR="008B415E">
        <w:rPr>
          <w:rFonts w:eastAsia="Calibri"/>
        </w:rPr>
        <w:t>inding of need for a renewable energy facility w</w:t>
      </w:r>
      <w:r w:rsidR="00836F24">
        <w:rPr>
          <w:rFonts w:eastAsia="Calibri"/>
        </w:rPr>
        <w:t>as</w:t>
      </w:r>
      <w:r w:rsidR="00D035A0">
        <w:rPr>
          <w:rFonts w:eastAsia="Calibri"/>
        </w:rPr>
        <w:t xml:space="preserve"> not illegal on its face, such a finding </w:t>
      </w:r>
      <w:r w:rsidR="00D035A0">
        <w:rPr>
          <w:rFonts w:eastAsia="Calibri"/>
        </w:rPr>
        <w:lastRenderedPageBreak/>
        <w:t>must be made in an ESP</w:t>
      </w:r>
      <w:r w:rsidR="00BB75F0">
        <w:rPr>
          <w:rFonts w:eastAsia="Calibri"/>
        </w:rPr>
        <w:t>;</w:t>
      </w:r>
      <w:r w:rsidR="00B36660">
        <w:rPr>
          <w:rFonts w:eastAsia="Calibri"/>
        </w:rPr>
        <w:t xml:space="preserve"> and (3) a finding of need must be</w:t>
      </w:r>
      <w:r w:rsidR="00BB75F0">
        <w:rPr>
          <w:rFonts w:eastAsia="Calibri"/>
        </w:rPr>
        <w:t xml:space="preserve"> based on the </w:t>
      </w:r>
      <w:r w:rsidR="00B36660">
        <w:rPr>
          <w:rFonts w:eastAsia="Calibri"/>
        </w:rPr>
        <w:t>specific</w:t>
      </w:r>
      <w:r w:rsidR="00BB75F0">
        <w:rPr>
          <w:rFonts w:eastAsia="Calibri"/>
        </w:rPr>
        <w:t xml:space="preserve"> needs of</w:t>
      </w:r>
      <w:r w:rsidR="00B36660">
        <w:rPr>
          <w:rFonts w:eastAsia="Calibri"/>
        </w:rPr>
        <w:t xml:space="preserve"> an </w:t>
      </w:r>
      <w:r w:rsidR="00836F24">
        <w:rPr>
          <w:rFonts w:eastAsia="Calibri"/>
        </w:rPr>
        <w:t>electric distribution utility (“</w:t>
      </w:r>
      <w:r w:rsidR="00B36660">
        <w:rPr>
          <w:rFonts w:eastAsia="Calibri"/>
        </w:rPr>
        <w:t>EDU</w:t>
      </w:r>
      <w:r w:rsidR="00836F24">
        <w:rPr>
          <w:rFonts w:eastAsia="Calibri"/>
        </w:rPr>
        <w:t>”)</w:t>
      </w:r>
      <w:r w:rsidR="008B415E">
        <w:rPr>
          <w:rFonts w:eastAsia="Calibri"/>
        </w:rPr>
        <w:t>, rather than the statewide approach advocated by the proponents of the Stipulation.</w:t>
      </w:r>
      <w:r w:rsidR="00B36660">
        <w:rPr>
          <w:rFonts w:eastAsia="Calibri"/>
        </w:rPr>
        <w:t xml:space="preserve"> </w:t>
      </w:r>
    </w:p>
    <w:p w:rsidR="00B36660" w:rsidRDefault="001A4E7A" w:rsidP="00B10C9B">
      <w:pPr>
        <w:pStyle w:val="BodyTextIndent"/>
        <w:spacing w:after="240" w:line="480" w:lineRule="auto"/>
        <w:ind w:firstLine="0"/>
        <w:rPr>
          <w:rFonts w:eastAsia="Calibri"/>
        </w:rPr>
      </w:pPr>
      <w:r>
        <w:rPr>
          <w:rFonts w:eastAsia="Calibri"/>
        </w:rPr>
        <w:tab/>
      </w:r>
      <w:r w:rsidR="00B36660">
        <w:rPr>
          <w:rFonts w:eastAsia="Calibri"/>
        </w:rPr>
        <w:t>Despite the clear prohibition in Ohio law against</w:t>
      </w:r>
      <w:r w:rsidR="005E1E92">
        <w:rPr>
          <w:rFonts w:eastAsia="Calibri"/>
        </w:rPr>
        <w:t xml:space="preserve"> the Stipulation’s requested relief</w:t>
      </w:r>
      <w:r w:rsidR="00B36660">
        <w:rPr>
          <w:rFonts w:eastAsia="Calibri"/>
        </w:rPr>
        <w:t>, t</w:t>
      </w:r>
      <w:r w:rsidR="008B415E">
        <w:rPr>
          <w:rFonts w:eastAsia="Calibri"/>
        </w:rPr>
        <w:t>he Commission issued an Entry</w:t>
      </w:r>
      <w:r w:rsidR="008646FF">
        <w:rPr>
          <w:rFonts w:eastAsia="Calibri"/>
        </w:rPr>
        <w:t xml:space="preserve"> </w:t>
      </w:r>
      <w:r w:rsidR="008B415E">
        <w:rPr>
          <w:rFonts w:eastAsia="Calibri"/>
        </w:rPr>
        <w:t>reopening the record for additional briefing</w:t>
      </w:r>
      <w:r w:rsidR="008646FF">
        <w:rPr>
          <w:rFonts w:eastAsia="Calibri"/>
        </w:rPr>
        <w:t xml:space="preserve"> to address additional </w:t>
      </w:r>
      <w:r w:rsidR="00BE2754">
        <w:rPr>
          <w:rFonts w:eastAsia="Calibri"/>
        </w:rPr>
        <w:t>academically interesting issues.</w:t>
      </w:r>
      <w:r w:rsidR="00BE2754">
        <w:rPr>
          <w:rStyle w:val="FootnoteReference"/>
          <w:rFonts w:eastAsia="Calibri"/>
        </w:rPr>
        <w:footnoteReference w:id="1"/>
      </w:r>
      <w:r w:rsidR="005E1E92">
        <w:rPr>
          <w:rFonts w:eastAsia="Calibri"/>
        </w:rPr>
        <w:t xml:space="preserve">  The legal contortionism contained in</w:t>
      </w:r>
      <w:r w:rsidR="00BE2754">
        <w:rPr>
          <w:rFonts w:eastAsia="Calibri"/>
        </w:rPr>
        <w:t xml:space="preserve"> the supplemental briefs of the proponents of the Stipulation</w:t>
      </w:r>
      <w:r w:rsidR="001E0D20">
        <w:rPr>
          <w:rFonts w:eastAsia="Calibri"/>
        </w:rPr>
        <w:t xml:space="preserve"> is astounding, but no amount of </w:t>
      </w:r>
      <w:r w:rsidR="000E379B">
        <w:rPr>
          <w:rFonts w:eastAsia="Calibri"/>
        </w:rPr>
        <w:t xml:space="preserve">squirming or repositioning </w:t>
      </w:r>
      <w:r w:rsidR="001E0D20">
        <w:rPr>
          <w:rFonts w:eastAsia="Calibri"/>
        </w:rPr>
        <w:t>can change the</w:t>
      </w:r>
      <w:r w:rsidR="00BE2754">
        <w:rPr>
          <w:rFonts w:eastAsia="Calibri"/>
        </w:rPr>
        <w:t xml:space="preserve"> illegal nature</w:t>
      </w:r>
      <w:r w:rsidR="001E0D20">
        <w:rPr>
          <w:rFonts w:eastAsia="Calibri"/>
        </w:rPr>
        <w:t xml:space="preserve"> of the relief requested in Paragraph 2 of the Stipulation</w:t>
      </w:r>
      <w:r w:rsidR="00BE2754">
        <w:rPr>
          <w:rFonts w:eastAsia="Calibri"/>
        </w:rPr>
        <w:t xml:space="preserve">. </w:t>
      </w:r>
      <w:r w:rsidR="00336E25">
        <w:rPr>
          <w:rFonts w:eastAsia="Calibri"/>
        </w:rPr>
        <w:t xml:space="preserve"> </w:t>
      </w:r>
      <w:r w:rsidR="0025583D">
        <w:rPr>
          <w:rFonts w:eastAsia="Calibri"/>
        </w:rPr>
        <w:t xml:space="preserve">It is uncontested </w:t>
      </w:r>
      <w:r w:rsidR="00B36660">
        <w:rPr>
          <w:rFonts w:eastAsia="Calibri"/>
        </w:rPr>
        <w:t>that the only purported “need” for Turning Point is t</w:t>
      </w:r>
      <w:r w:rsidR="00BE2754">
        <w:rPr>
          <w:rFonts w:eastAsia="Calibri"/>
        </w:rPr>
        <w:t xml:space="preserve">he need for sRECs.  </w:t>
      </w:r>
      <w:r w:rsidR="00B36660">
        <w:rPr>
          <w:rFonts w:eastAsia="Calibri"/>
        </w:rPr>
        <w:t>N</w:t>
      </w:r>
      <w:r w:rsidR="00CD2F8A">
        <w:rPr>
          <w:rFonts w:eastAsia="Calibri"/>
        </w:rPr>
        <w:t xml:space="preserve">o amount of </w:t>
      </w:r>
      <w:r w:rsidR="000E379B">
        <w:rPr>
          <w:rFonts w:eastAsia="Calibri"/>
        </w:rPr>
        <w:t xml:space="preserve">incremental </w:t>
      </w:r>
      <w:r w:rsidR="00CD2F8A">
        <w:rPr>
          <w:rFonts w:eastAsia="Calibri"/>
        </w:rPr>
        <w:t>briefing can</w:t>
      </w:r>
      <w:r w:rsidR="008646FF">
        <w:rPr>
          <w:rFonts w:eastAsia="Calibri"/>
        </w:rPr>
        <w:t xml:space="preserve"> change or rew</w:t>
      </w:r>
      <w:r w:rsidR="00E50337">
        <w:rPr>
          <w:rFonts w:eastAsia="Calibri"/>
        </w:rPr>
        <w:t xml:space="preserve">rite the prohibition in Ohio law against recovering </w:t>
      </w:r>
      <w:r w:rsidR="008646FF">
        <w:rPr>
          <w:rFonts w:eastAsia="Calibri"/>
        </w:rPr>
        <w:t>the cost of co</w:t>
      </w:r>
      <w:r w:rsidR="001E0D20">
        <w:rPr>
          <w:rFonts w:eastAsia="Calibri"/>
        </w:rPr>
        <w:t>mpliance with sREC ob</w:t>
      </w:r>
      <w:r w:rsidR="00E50337">
        <w:rPr>
          <w:rFonts w:eastAsia="Calibri"/>
        </w:rPr>
        <w:t>li</w:t>
      </w:r>
      <w:r w:rsidR="001E0D20">
        <w:rPr>
          <w:rFonts w:eastAsia="Calibri"/>
        </w:rPr>
        <w:t>g</w:t>
      </w:r>
      <w:r w:rsidR="00E50337">
        <w:rPr>
          <w:rFonts w:eastAsia="Calibri"/>
        </w:rPr>
        <w:t>ation</w:t>
      </w:r>
      <w:r w:rsidR="001E0D20">
        <w:rPr>
          <w:rFonts w:eastAsia="Calibri"/>
        </w:rPr>
        <w:t>s</w:t>
      </w:r>
      <w:r w:rsidR="00E50337">
        <w:rPr>
          <w:rFonts w:eastAsia="Calibri"/>
        </w:rPr>
        <w:t xml:space="preserve"> </w:t>
      </w:r>
      <w:r w:rsidR="008646FF">
        <w:rPr>
          <w:rFonts w:eastAsia="Calibri"/>
        </w:rPr>
        <w:t>through non-</w:t>
      </w:r>
      <w:r w:rsidR="00CD2F8A">
        <w:rPr>
          <w:rFonts w:eastAsia="Calibri"/>
        </w:rPr>
        <w:t>bypassable charges.  Nor can it modify</w:t>
      </w:r>
      <w:r w:rsidR="00E50337">
        <w:rPr>
          <w:rFonts w:eastAsia="Calibri"/>
        </w:rPr>
        <w:t xml:space="preserve"> the requirement that a </w:t>
      </w:r>
      <w:r w:rsidR="008646FF">
        <w:rPr>
          <w:rFonts w:eastAsia="Calibri"/>
        </w:rPr>
        <w:t>finding of need must be made in an ESP proceeding</w:t>
      </w:r>
      <w:r w:rsidR="00B36660">
        <w:rPr>
          <w:rFonts w:eastAsia="Calibri"/>
        </w:rPr>
        <w:t xml:space="preserve"> or that the fi</w:t>
      </w:r>
      <w:r w:rsidR="0025583D">
        <w:rPr>
          <w:rFonts w:eastAsia="Calibri"/>
        </w:rPr>
        <w:t xml:space="preserve">nding must be </w:t>
      </w:r>
      <w:r w:rsidR="00736D42">
        <w:rPr>
          <w:rFonts w:eastAsia="Calibri"/>
        </w:rPr>
        <w:t xml:space="preserve">     </w:t>
      </w:r>
      <w:r w:rsidR="0025583D">
        <w:rPr>
          <w:rFonts w:eastAsia="Calibri"/>
        </w:rPr>
        <w:t>EDU-specific</w:t>
      </w:r>
      <w:r w:rsidR="008646FF">
        <w:rPr>
          <w:rFonts w:eastAsia="Calibri"/>
        </w:rPr>
        <w:t>.</w:t>
      </w:r>
      <w:r w:rsidR="00736D42">
        <w:rPr>
          <w:rFonts w:eastAsia="Calibri"/>
        </w:rPr>
        <w:t xml:space="preserve">  Thus, P</w:t>
      </w:r>
      <w:r w:rsidR="00E50337">
        <w:rPr>
          <w:rFonts w:eastAsia="Calibri"/>
        </w:rPr>
        <w:t>aragraph 2 of the Stipulation must be rejected.</w:t>
      </w:r>
      <w:r w:rsidR="001E0D20">
        <w:rPr>
          <w:rFonts w:eastAsia="Calibri"/>
        </w:rPr>
        <w:t xml:space="preserve">  Finally, even assuming that Turning Point could be the subject of a finding of need</w:t>
      </w:r>
      <w:r w:rsidR="000E379B">
        <w:rPr>
          <w:rFonts w:eastAsia="Calibri"/>
        </w:rPr>
        <w:t xml:space="preserve"> </w:t>
      </w:r>
      <w:r w:rsidR="001E0D20">
        <w:rPr>
          <w:rFonts w:eastAsia="Calibri"/>
        </w:rPr>
        <w:t>—</w:t>
      </w:r>
      <w:r w:rsidR="000E379B">
        <w:rPr>
          <w:rFonts w:eastAsia="Calibri"/>
        </w:rPr>
        <w:t xml:space="preserve"> </w:t>
      </w:r>
      <w:r w:rsidR="001E0D20">
        <w:rPr>
          <w:rFonts w:eastAsia="Calibri"/>
        </w:rPr>
        <w:t>either based on an EDU-specific or statewide approach</w:t>
      </w:r>
      <w:r w:rsidR="000E379B">
        <w:rPr>
          <w:rFonts w:eastAsia="Calibri"/>
        </w:rPr>
        <w:t xml:space="preserve"> </w:t>
      </w:r>
      <w:r w:rsidR="001E0D20">
        <w:rPr>
          <w:rFonts w:eastAsia="Calibri"/>
        </w:rPr>
        <w:t>—</w:t>
      </w:r>
      <w:r w:rsidR="000E379B">
        <w:rPr>
          <w:rFonts w:eastAsia="Calibri"/>
        </w:rPr>
        <w:t xml:space="preserve"> </w:t>
      </w:r>
      <w:r w:rsidR="001E0D20">
        <w:rPr>
          <w:rFonts w:eastAsia="Calibri"/>
        </w:rPr>
        <w:t xml:space="preserve">the proponents of the Stipulation have failed </w:t>
      </w:r>
      <w:r w:rsidR="008B415E">
        <w:rPr>
          <w:rFonts w:eastAsia="Calibri"/>
        </w:rPr>
        <w:t>to demonstrate that there is currently</w:t>
      </w:r>
      <w:r w:rsidR="001E0D20">
        <w:rPr>
          <w:rFonts w:eastAsia="Calibri"/>
        </w:rPr>
        <w:t xml:space="preserve"> or </w:t>
      </w:r>
      <w:r w:rsidR="008B415E">
        <w:rPr>
          <w:rFonts w:eastAsia="Calibri"/>
        </w:rPr>
        <w:t>ever will</w:t>
      </w:r>
      <w:r w:rsidR="001E0D20">
        <w:rPr>
          <w:rFonts w:eastAsia="Calibri"/>
        </w:rPr>
        <w:t xml:space="preserve"> be a shortage of sRECs. </w:t>
      </w:r>
    </w:p>
    <w:p w:rsidR="00CF789E" w:rsidRPr="008F0E64" w:rsidRDefault="00E50337" w:rsidP="0016796A">
      <w:pPr>
        <w:pStyle w:val="Heading1"/>
      </w:pPr>
      <w:bookmarkStart w:id="6" w:name="_Toc338234651"/>
      <w:r w:rsidRPr="008F0E64">
        <w:t>Argument</w:t>
      </w:r>
      <w:bookmarkEnd w:id="6"/>
    </w:p>
    <w:p w:rsidR="00A61583" w:rsidRDefault="00C2613E" w:rsidP="00B10C9B">
      <w:pPr>
        <w:spacing w:line="480" w:lineRule="auto"/>
        <w:ind w:firstLine="720"/>
        <w:jc w:val="both"/>
        <w:rPr>
          <w:rFonts w:eastAsia="Calibri" w:cs="Arial"/>
        </w:rPr>
      </w:pPr>
      <w:r w:rsidRPr="00C354C4">
        <w:rPr>
          <w:rFonts w:eastAsia="Calibri" w:cs="Arial"/>
        </w:rPr>
        <w:t>Before approving a settlement</w:t>
      </w:r>
      <w:r w:rsidR="0025583D">
        <w:rPr>
          <w:rFonts w:eastAsia="Calibri" w:cs="Arial"/>
        </w:rPr>
        <w:t xml:space="preserve"> </w:t>
      </w:r>
      <w:r w:rsidRPr="00C354C4">
        <w:rPr>
          <w:rFonts w:eastAsia="Calibri" w:cs="Arial"/>
        </w:rPr>
        <w:t>the Commission must</w:t>
      </w:r>
      <w:r>
        <w:rPr>
          <w:rFonts w:eastAsia="Calibri" w:cs="Arial"/>
        </w:rPr>
        <w:t xml:space="preserve">, among other things, find that </w:t>
      </w:r>
      <w:r w:rsidRPr="00C354C4">
        <w:rPr>
          <w:rFonts w:eastAsia="Calibri" w:cs="Arial"/>
        </w:rPr>
        <w:t xml:space="preserve">the settlement package does not violate any important regulatory principles or </w:t>
      </w:r>
      <w:r w:rsidRPr="00C354C4">
        <w:rPr>
          <w:rFonts w:eastAsia="Calibri" w:cs="Arial"/>
        </w:rPr>
        <w:lastRenderedPageBreak/>
        <w:t>practices.</w:t>
      </w:r>
      <w:r w:rsidRPr="00C354C4">
        <w:rPr>
          <w:rFonts w:eastAsia="Calibri"/>
          <w:vertAlign w:val="superscript"/>
        </w:rPr>
        <w:footnoteReference w:id="2"/>
      </w:r>
      <w:r>
        <w:rPr>
          <w:rFonts w:eastAsia="Calibri" w:cs="Arial"/>
        </w:rPr>
        <w:t xml:space="preserve">  </w:t>
      </w:r>
      <w:r w:rsidRPr="00C354C4">
        <w:rPr>
          <w:rFonts w:eastAsia="Calibri" w:cs="Arial"/>
        </w:rPr>
        <w:t>A settlement</w:t>
      </w:r>
      <w:r>
        <w:rPr>
          <w:rFonts w:eastAsia="Calibri" w:cs="Arial"/>
        </w:rPr>
        <w:t>, moreover,</w:t>
      </w:r>
      <w:r w:rsidRPr="00C354C4">
        <w:rPr>
          <w:rFonts w:eastAsia="Calibri" w:cs="Arial"/>
        </w:rPr>
        <w:t xml:space="preserve"> cannot provide the Commission with authority to do what the Commission does not otherwise have authority to do or to disrespect procedural or substantive requirements established by the General Assem</w:t>
      </w:r>
      <w:r>
        <w:rPr>
          <w:rFonts w:eastAsia="Calibri" w:cs="Arial"/>
        </w:rPr>
        <w:t>bly or the Commission’s rules.</w:t>
      </w:r>
      <w:r>
        <w:rPr>
          <w:rStyle w:val="FootnoteReference"/>
          <w:rFonts w:cs="Arial"/>
        </w:rPr>
        <w:footnoteReference w:id="3"/>
      </w:r>
      <w:r>
        <w:rPr>
          <w:rFonts w:eastAsia="Calibri" w:cs="Arial"/>
        </w:rPr>
        <w:t xml:space="preserve">  </w:t>
      </w:r>
    </w:p>
    <w:p w:rsidR="00C2613E" w:rsidRDefault="00A61583" w:rsidP="00B10C9B">
      <w:pPr>
        <w:spacing w:after="120" w:line="480" w:lineRule="auto"/>
        <w:ind w:firstLine="720"/>
        <w:jc w:val="both"/>
        <w:rPr>
          <w:rFonts w:eastAsia="Calibri" w:cs="Arial"/>
        </w:rPr>
      </w:pPr>
      <w:r>
        <w:rPr>
          <w:rFonts w:eastAsia="Calibri" w:cs="Arial"/>
        </w:rPr>
        <w:t>The proponents of the Stipul</w:t>
      </w:r>
      <w:r w:rsidR="008B415E">
        <w:rPr>
          <w:rFonts w:eastAsia="Calibri" w:cs="Arial"/>
        </w:rPr>
        <w:t xml:space="preserve">ation, in their </w:t>
      </w:r>
      <w:r w:rsidR="000E379B">
        <w:rPr>
          <w:rFonts w:eastAsia="Calibri" w:cs="Arial"/>
        </w:rPr>
        <w:t xml:space="preserve">prolonged </w:t>
      </w:r>
      <w:r w:rsidR="008B415E">
        <w:rPr>
          <w:rFonts w:eastAsia="Calibri" w:cs="Arial"/>
        </w:rPr>
        <w:t>assault</w:t>
      </w:r>
      <w:r>
        <w:rPr>
          <w:rFonts w:eastAsia="Calibri" w:cs="Arial"/>
        </w:rPr>
        <w:t xml:space="preserve"> on shopping customers</w:t>
      </w:r>
      <w:r w:rsidR="008B415E">
        <w:rPr>
          <w:rFonts w:eastAsia="Calibri" w:cs="Arial"/>
        </w:rPr>
        <w:t xml:space="preserve"> </w:t>
      </w:r>
      <w:r w:rsidR="000E379B">
        <w:rPr>
          <w:rFonts w:eastAsia="Calibri" w:cs="Arial"/>
        </w:rPr>
        <w:t xml:space="preserve">during </w:t>
      </w:r>
      <w:r w:rsidR="008B415E">
        <w:rPr>
          <w:rFonts w:eastAsia="Calibri" w:cs="Arial"/>
        </w:rPr>
        <w:t>this protracted proceeding</w:t>
      </w:r>
      <w:r>
        <w:rPr>
          <w:rFonts w:eastAsia="Calibri" w:cs="Arial"/>
        </w:rPr>
        <w:t>, have atte</w:t>
      </w:r>
      <w:r w:rsidR="008E768B">
        <w:rPr>
          <w:rFonts w:eastAsia="Calibri" w:cs="Arial"/>
        </w:rPr>
        <w:t>mpted to build a bridge from a</w:t>
      </w:r>
      <w:r>
        <w:rPr>
          <w:rFonts w:eastAsia="Calibri" w:cs="Arial"/>
        </w:rPr>
        <w:t xml:space="preserve"> finding of need in this proceeding to a non-bypassable charge in an ESP.  But, as stated </w:t>
      </w:r>
      <w:r w:rsidR="0025583D">
        <w:rPr>
          <w:rFonts w:eastAsia="Calibri" w:cs="Arial"/>
        </w:rPr>
        <w:t xml:space="preserve">herein, </w:t>
      </w:r>
      <w:r w:rsidR="001E0D20">
        <w:rPr>
          <w:rFonts w:eastAsia="Calibri" w:cs="Arial"/>
        </w:rPr>
        <w:t xml:space="preserve">such </w:t>
      </w:r>
      <w:r w:rsidR="0025583D">
        <w:rPr>
          <w:rFonts w:eastAsia="Calibri" w:cs="Arial"/>
        </w:rPr>
        <w:t>a fi</w:t>
      </w:r>
      <w:r w:rsidR="001E0D20">
        <w:rPr>
          <w:rFonts w:eastAsia="Calibri" w:cs="Arial"/>
        </w:rPr>
        <w:t>nding</w:t>
      </w:r>
      <w:r>
        <w:rPr>
          <w:rFonts w:eastAsia="Calibri" w:cs="Arial"/>
        </w:rPr>
        <w:t xml:space="preserve"> is beyond the Commission’s authority; thus, it must be rejected.</w:t>
      </w:r>
    </w:p>
    <w:p w:rsidR="00822A40" w:rsidRDefault="00822A40" w:rsidP="0016796A">
      <w:pPr>
        <w:pStyle w:val="Heading2"/>
        <w:rPr>
          <w:rFonts w:eastAsia="Calibri"/>
        </w:rPr>
      </w:pPr>
      <w:bookmarkStart w:id="7" w:name="_Toc338234652"/>
      <w:r>
        <w:rPr>
          <w:rFonts w:eastAsia="Calibri"/>
        </w:rPr>
        <w:t>Need cannot be determined in a</w:t>
      </w:r>
      <w:r w:rsidR="008F0E64">
        <w:rPr>
          <w:rFonts w:eastAsia="Calibri"/>
        </w:rPr>
        <w:t>n</w:t>
      </w:r>
      <w:r>
        <w:rPr>
          <w:rFonts w:eastAsia="Calibri"/>
        </w:rPr>
        <w:t xml:space="preserve"> LTFR proceeding</w:t>
      </w:r>
      <w:bookmarkEnd w:id="7"/>
    </w:p>
    <w:p w:rsidR="00593B88" w:rsidRPr="008B415E" w:rsidRDefault="001E0D20" w:rsidP="00B10C9B">
      <w:pPr>
        <w:spacing w:line="480" w:lineRule="auto"/>
        <w:ind w:left="86" w:firstLine="634"/>
        <w:jc w:val="both"/>
        <w:rPr>
          <w:rFonts w:eastAsia="Calibri" w:cs="Arial"/>
        </w:rPr>
      </w:pPr>
      <w:r>
        <w:rPr>
          <w:rFonts w:eastAsia="Calibri" w:cs="Arial"/>
        </w:rPr>
        <w:t>T</w:t>
      </w:r>
      <w:r w:rsidR="00822A40">
        <w:rPr>
          <w:rFonts w:eastAsia="Calibri" w:cs="Arial"/>
        </w:rPr>
        <w:t>he t</w:t>
      </w:r>
      <w:r>
        <w:rPr>
          <w:rFonts w:eastAsia="Calibri" w:cs="Arial"/>
        </w:rPr>
        <w:t xml:space="preserve">hreshold problem inherent in Paragraph 2 of the Stipulation is </w:t>
      </w:r>
      <w:r w:rsidR="00822A40">
        <w:rPr>
          <w:rFonts w:eastAsia="Calibri" w:cs="Arial"/>
        </w:rPr>
        <w:t xml:space="preserve">that the Commission </w:t>
      </w:r>
      <w:r w:rsidR="00593B88">
        <w:rPr>
          <w:rFonts w:eastAsia="Calibri" w:cs="Arial"/>
        </w:rPr>
        <w:t xml:space="preserve">has no authority to </w:t>
      </w:r>
      <w:r w:rsidR="00822A40">
        <w:rPr>
          <w:rFonts w:eastAsia="Calibri" w:cs="Arial"/>
        </w:rPr>
        <w:t>determine that Turning Point is needed in an LTFR proceeding.</w:t>
      </w:r>
      <w:r>
        <w:rPr>
          <w:rFonts w:eastAsia="Calibri" w:cs="Arial"/>
        </w:rPr>
        <w:t xml:space="preserve">  </w:t>
      </w:r>
      <w:r w:rsidR="000E379B">
        <w:rPr>
          <w:rFonts w:eastAsia="Calibri" w:cs="Arial"/>
        </w:rPr>
        <w:t xml:space="preserve">The </w:t>
      </w:r>
      <w:r w:rsidR="00A004F8">
        <w:rPr>
          <w:rFonts w:eastAsia="Calibri" w:cs="Arial"/>
        </w:rPr>
        <w:t xml:space="preserve">supplemental </w:t>
      </w:r>
      <w:r w:rsidR="000E379B">
        <w:rPr>
          <w:rFonts w:eastAsia="Calibri" w:cs="Arial"/>
        </w:rPr>
        <w:t xml:space="preserve">briefs of </w:t>
      </w:r>
      <w:r>
        <w:rPr>
          <w:rFonts w:eastAsia="Calibri" w:cs="Arial"/>
        </w:rPr>
        <w:t>AEP-Ohio, Staff, and UT each failed to address this problem.</w:t>
      </w:r>
      <w:r w:rsidR="00822A40">
        <w:rPr>
          <w:rFonts w:eastAsia="Calibri" w:cs="Arial"/>
        </w:rPr>
        <w:t xml:space="preserve">  Rather, the</w:t>
      </w:r>
      <w:r w:rsidR="00A004F8">
        <w:rPr>
          <w:rFonts w:eastAsia="Calibri" w:cs="Arial"/>
        </w:rPr>
        <w:t xml:space="preserve"> supplemental</w:t>
      </w:r>
      <w:r w:rsidR="000E379B">
        <w:rPr>
          <w:rFonts w:eastAsia="Calibri" w:cs="Arial"/>
        </w:rPr>
        <w:t xml:space="preserve"> briefs of these </w:t>
      </w:r>
      <w:r w:rsidR="00822A40">
        <w:rPr>
          <w:rFonts w:eastAsia="Calibri" w:cs="Arial"/>
        </w:rPr>
        <w:t>parties</w:t>
      </w:r>
      <w:r>
        <w:rPr>
          <w:rFonts w:eastAsia="Calibri" w:cs="Arial"/>
        </w:rPr>
        <w:t xml:space="preserve"> </w:t>
      </w:r>
      <w:r w:rsidR="000E379B">
        <w:rPr>
          <w:rFonts w:eastAsia="Calibri" w:cs="Arial"/>
        </w:rPr>
        <w:t xml:space="preserve">assume </w:t>
      </w:r>
      <w:r w:rsidR="00822A40">
        <w:rPr>
          <w:rFonts w:eastAsia="Calibri" w:cs="Arial"/>
        </w:rPr>
        <w:t>that an LTFR proceeding is the appropriate venue</w:t>
      </w:r>
      <w:r>
        <w:rPr>
          <w:rFonts w:eastAsia="Calibri" w:cs="Arial"/>
        </w:rPr>
        <w:t xml:space="preserve"> to make such a determination.</w:t>
      </w:r>
      <w:r w:rsidR="008B415E">
        <w:rPr>
          <w:rFonts w:eastAsia="Calibri" w:cs="Arial"/>
        </w:rPr>
        <w:t xml:space="preserve">  But, </w:t>
      </w:r>
      <w:r w:rsidR="008B415E">
        <w:rPr>
          <w:rFonts w:eastAsia="Calibri" w:cs="Arial"/>
          <w:lang w:val="en"/>
        </w:rPr>
        <w:t>d</w:t>
      </w:r>
      <w:r w:rsidR="00475EDA">
        <w:rPr>
          <w:rFonts w:eastAsia="Calibri" w:cs="Arial"/>
          <w:lang w:val="en"/>
        </w:rPr>
        <w:t>etermining whether a specific generating facility is needed is not an issue for LTFR proceeding</w:t>
      </w:r>
      <w:r w:rsidR="000E379B">
        <w:rPr>
          <w:rFonts w:eastAsia="Calibri" w:cs="Arial"/>
          <w:lang w:val="en"/>
        </w:rPr>
        <w:t>s</w:t>
      </w:r>
      <w:r w:rsidR="00475EDA">
        <w:rPr>
          <w:rFonts w:eastAsia="Calibri" w:cs="Arial"/>
          <w:lang w:val="en"/>
        </w:rPr>
        <w:t>.</w:t>
      </w:r>
      <w:r w:rsidR="000E379B">
        <w:rPr>
          <w:rFonts w:eastAsia="Calibri" w:cs="Arial"/>
          <w:lang w:val="en"/>
        </w:rPr>
        <w:t xml:space="preserve"> </w:t>
      </w:r>
      <w:r w:rsidR="00475EDA">
        <w:rPr>
          <w:rFonts w:eastAsia="Calibri" w:cs="Arial"/>
          <w:lang w:val="en"/>
        </w:rPr>
        <w:t xml:space="preserve"> Such proceedings</w:t>
      </w:r>
      <w:r w:rsidR="00593B88" w:rsidRPr="00593B88">
        <w:rPr>
          <w:rFonts w:cs="Arial"/>
        </w:rPr>
        <w:t xml:space="preserve"> are “limited to issues relating to forecasting”</w:t>
      </w:r>
      <w:r w:rsidR="00593B88" w:rsidRPr="00593B88">
        <w:rPr>
          <w:rFonts w:cs="Arial"/>
          <w:vertAlign w:val="superscript"/>
        </w:rPr>
        <w:footnoteReference w:id="4"/>
      </w:r>
      <w:r w:rsidR="00593B88" w:rsidRPr="00593B88">
        <w:rPr>
          <w:rFonts w:cs="Arial"/>
        </w:rPr>
        <w:t xml:space="preserve"> and the Commission’s role is to determine whether the LTFR</w:t>
      </w:r>
      <w:r w:rsidR="00593B88" w:rsidRPr="00593B88">
        <w:rPr>
          <w:rFonts w:eastAsia="Calibri" w:cs="Arial"/>
          <w:lang w:val="en"/>
        </w:rPr>
        <w:t xml:space="preserve"> </w:t>
      </w:r>
      <w:r w:rsidR="00593B88" w:rsidRPr="00593B88">
        <w:rPr>
          <w:rFonts w:cs="Arial"/>
        </w:rPr>
        <w:t>is accurate, complete, and reasonable.</w:t>
      </w:r>
      <w:r w:rsidR="00593B88" w:rsidRPr="00593B88">
        <w:rPr>
          <w:rFonts w:cs="Arial"/>
          <w:vertAlign w:val="superscript"/>
        </w:rPr>
        <w:footnoteReference w:id="5"/>
      </w:r>
      <w:r w:rsidR="00593B88" w:rsidRPr="00593B88">
        <w:rPr>
          <w:rFonts w:cs="Arial"/>
        </w:rPr>
        <w:t xml:space="preserve">  The ultimate purpose of an LTFR is to </w:t>
      </w:r>
      <w:r w:rsidR="00593B88" w:rsidRPr="00593B88">
        <w:rPr>
          <w:rFonts w:eastAsia="Calibri" w:cs="Arial"/>
          <w:lang w:val="en"/>
        </w:rPr>
        <w:t>determine whether the applicant’s forecast of load requirements and resou</w:t>
      </w:r>
      <w:r w:rsidR="00DB1A90">
        <w:rPr>
          <w:rFonts w:eastAsia="Calibri" w:cs="Arial"/>
          <w:lang w:val="en"/>
        </w:rPr>
        <w:t>rces is accurate and reasonable</w:t>
      </w:r>
      <w:r w:rsidR="00F6015C">
        <w:rPr>
          <w:rFonts w:eastAsia="Calibri" w:cs="Arial"/>
          <w:lang w:val="en"/>
        </w:rPr>
        <w:t xml:space="preserve"> </w:t>
      </w:r>
      <w:r w:rsidR="00DB1A90">
        <w:rPr>
          <w:rFonts w:eastAsia="Calibri" w:cs="Arial"/>
          <w:lang w:val="en"/>
        </w:rPr>
        <w:t>—</w:t>
      </w:r>
      <w:r w:rsidR="00F6015C">
        <w:rPr>
          <w:rFonts w:eastAsia="Calibri" w:cs="Arial"/>
          <w:lang w:val="en"/>
        </w:rPr>
        <w:t xml:space="preserve"> </w:t>
      </w:r>
      <w:r w:rsidR="00593B88" w:rsidRPr="00593B88">
        <w:rPr>
          <w:rFonts w:eastAsia="Calibri" w:cs="Arial"/>
          <w:lang w:val="en"/>
        </w:rPr>
        <w:t xml:space="preserve">it is </w:t>
      </w:r>
      <w:r w:rsidR="00593B88" w:rsidRPr="00593B88">
        <w:rPr>
          <w:rFonts w:eastAsia="Calibri" w:cs="Arial"/>
          <w:lang w:val="en"/>
        </w:rPr>
        <w:lastRenderedPageBreak/>
        <w:t>specifically focused on the reasonableness of forecasting techniques and methodologies.</w:t>
      </w:r>
      <w:r w:rsidR="00593B88" w:rsidRPr="00593B88">
        <w:rPr>
          <w:rFonts w:eastAsia="Calibri" w:cs="Arial"/>
          <w:vertAlign w:val="superscript"/>
          <w:lang w:val="en"/>
        </w:rPr>
        <w:footnoteReference w:id="6"/>
      </w:r>
      <w:r w:rsidR="00593B88" w:rsidRPr="00593B88">
        <w:rPr>
          <w:rFonts w:eastAsia="Calibri" w:cs="Arial"/>
          <w:lang w:val="en"/>
        </w:rPr>
        <w:t xml:space="preserve">  </w:t>
      </w:r>
    </w:p>
    <w:p w:rsidR="00475EDA" w:rsidRPr="00593B88" w:rsidRDefault="00593B88" w:rsidP="00B10C9B">
      <w:pPr>
        <w:spacing w:after="120" w:line="480" w:lineRule="auto"/>
        <w:ind w:left="86" w:firstLine="634"/>
        <w:jc w:val="both"/>
        <w:rPr>
          <w:rFonts w:eastAsia="Calibri" w:cs="Arial"/>
        </w:rPr>
      </w:pPr>
      <w:r>
        <w:rPr>
          <w:rFonts w:eastAsia="Calibri" w:cs="Arial"/>
        </w:rPr>
        <w:t>A finding of need must be made in an ESP</w:t>
      </w:r>
      <w:r w:rsidR="000E379B">
        <w:rPr>
          <w:rFonts w:eastAsia="Calibri" w:cs="Arial"/>
        </w:rPr>
        <w:t xml:space="preserve"> proceeding where, unlike in an LTFR proceeding, a hearing is mandatory</w:t>
      </w:r>
      <w:r>
        <w:rPr>
          <w:rFonts w:eastAsia="Calibri" w:cs="Arial"/>
        </w:rPr>
        <w:t xml:space="preserve">.  </w:t>
      </w:r>
      <w:r w:rsidRPr="00593B88">
        <w:rPr>
          <w:rFonts w:eastAsia="Calibri" w:cs="Arial"/>
        </w:rPr>
        <w:t>Section 4928.143(B)(2)(c), Revised Code (the Section referenced in the Stipulation), states,</w:t>
      </w:r>
      <w:r w:rsidRPr="00593B88">
        <w:rPr>
          <w:rFonts w:ascii="Verdana" w:eastAsia="Times New Roman" w:hAnsi="Verdana"/>
          <w:sz w:val="19"/>
          <w:szCs w:val="19"/>
          <w:lang w:val="en"/>
        </w:rPr>
        <w:t xml:space="preserve"> “</w:t>
      </w:r>
      <w:r w:rsidRPr="00593B88">
        <w:rPr>
          <w:rFonts w:eastAsia="Calibri" w:cs="Arial"/>
          <w:lang w:val="en"/>
        </w:rPr>
        <w:t xml:space="preserve">no surcharge shall be authorized </w:t>
      </w:r>
      <w:r w:rsidRPr="00593B88">
        <w:rPr>
          <w:rFonts w:eastAsia="Calibri" w:cs="Arial"/>
          <w:b/>
          <w:lang w:val="en"/>
        </w:rPr>
        <w:t>unless the commission first determines in the [ESP] proceeding that there is need</w:t>
      </w:r>
      <w:r w:rsidRPr="00593B88">
        <w:rPr>
          <w:rFonts w:eastAsia="Calibri" w:cs="Arial"/>
          <w:lang w:val="en"/>
        </w:rPr>
        <w:t xml:space="preserve"> </w:t>
      </w:r>
      <w:r w:rsidRPr="00593B88">
        <w:rPr>
          <w:rFonts w:eastAsia="Calibri" w:cs="Arial"/>
          <w:b/>
          <w:lang w:val="en"/>
        </w:rPr>
        <w:t>for the facility</w:t>
      </w:r>
      <w:r w:rsidRPr="00593B88">
        <w:rPr>
          <w:rFonts w:eastAsia="Calibri" w:cs="Arial"/>
          <w:lang w:val="en"/>
        </w:rPr>
        <w:t xml:space="preserve"> based on resource planning projections submitted by the electric distribution utility.”</w:t>
      </w:r>
      <w:r w:rsidRPr="00593B88">
        <w:rPr>
          <w:rFonts w:eastAsia="Calibri" w:cs="Arial"/>
          <w:vertAlign w:val="superscript"/>
          <w:lang w:val="en"/>
        </w:rPr>
        <w:footnoteReference w:id="7"/>
      </w:r>
      <w:r w:rsidRPr="00593B88">
        <w:rPr>
          <w:rFonts w:eastAsia="Calibri" w:cs="Arial"/>
          <w:lang w:val="en"/>
        </w:rPr>
        <w:t xml:space="preserve">  Accordingly, any need determination relevant for purposes of Section 4928.143(B)(2)(c), Revised Code, must be made in an ESP rather than an LTFR proceeding.</w:t>
      </w:r>
      <w:r w:rsidR="00822A40">
        <w:rPr>
          <w:rFonts w:eastAsia="Calibri" w:cs="Arial"/>
        </w:rPr>
        <w:t xml:space="preserve"> </w:t>
      </w:r>
      <w:r w:rsidR="008B415E">
        <w:rPr>
          <w:rFonts w:eastAsia="Calibri" w:cs="Arial"/>
        </w:rPr>
        <w:t xml:space="preserve"> As discussed further below, this </w:t>
      </w:r>
      <w:r w:rsidR="000E379B">
        <w:rPr>
          <w:rFonts w:eastAsia="Calibri" w:cs="Arial"/>
        </w:rPr>
        <w:t xml:space="preserve">ESP-related requirement </w:t>
      </w:r>
      <w:r w:rsidR="008B415E">
        <w:rPr>
          <w:rFonts w:eastAsia="Calibri" w:cs="Arial"/>
        </w:rPr>
        <w:t>is important because it undermines the contextual</w:t>
      </w:r>
      <w:r w:rsidR="000E379B">
        <w:rPr>
          <w:rFonts w:eastAsia="Calibri" w:cs="Arial"/>
        </w:rPr>
        <w:t>ized</w:t>
      </w:r>
      <w:r w:rsidR="008B415E">
        <w:rPr>
          <w:rFonts w:eastAsia="Calibri" w:cs="Arial"/>
        </w:rPr>
        <w:t xml:space="preserve"> basis upon which the proponents attempt to support their claims.</w:t>
      </w:r>
    </w:p>
    <w:p w:rsidR="00C2613E" w:rsidRDefault="00A61583" w:rsidP="0016796A">
      <w:pPr>
        <w:pStyle w:val="Heading2"/>
        <w:rPr>
          <w:rFonts w:eastAsia="Calibri"/>
        </w:rPr>
      </w:pPr>
      <w:bookmarkStart w:id="8" w:name="_Toc338234653"/>
      <w:r>
        <w:rPr>
          <w:rFonts w:eastAsia="Calibri"/>
        </w:rPr>
        <w:t>Regardless of how</w:t>
      </w:r>
      <w:r w:rsidR="000071A7">
        <w:rPr>
          <w:rFonts w:eastAsia="Calibri"/>
        </w:rPr>
        <w:t xml:space="preserve"> need is defined it cannot be based on sREC requirements</w:t>
      </w:r>
      <w:bookmarkEnd w:id="8"/>
    </w:p>
    <w:p w:rsidR="00375964" w:rsidRDefault="0025583D" w:rsidP="00B10C9B">
      <w:pPr>
        <w:spacing w:line="480" w:lineRule="auto"/>
        <w:ind w:firstLine="720"/>
        <w:jc w:val="both"/>
        <w:rPr>
          <w:rFonts w:eastAsia="Calibri" w:cs="Arial"/>
        </w:rPr>
      </w:pPr>
      <w:r>
        <w:rPr>
          <w:rFonts w:eastAsia="Calibri" w:cs="Arial"/>
        </w:rPr>
        <w:t>The proponents of the Stipulation have argued that the definition</w:t>
      </w:r>
      <w:r w:rsidR="004E0CAA">
        <w:rPr>
          <w:rFonts w:eastAsia="Calibri" w:cs="Arial"/>
        </w:rPr>
        <w:t xml:space="preserve"> of need should be defined </w:t>
      </w:r>
      <w:r>
        <w:rPr>
          <w:rFonts w:eastAsia="Calibri" w:cs="Arial"/>
        </w:rPr>
        <w:t>broadly</w:t>
      </w:r>
      <w:r w:rsidR="004E0CAA">
        <w:rPr>
          <w:rFonts w:eastAsia="Calibri" w:cs="Arial"/>
        </w:rPr>
        <w:t xml:space="preserve"> to include the need for sRECs</w:t>
      </w:r>
      <w:r w:rsidR="000E379B">
        <w:rPr>
          <w:rFonts w:eastAsia="Calibri" w:cs="Arial"/>
        </w:rPr>
        <w:t xml:space="preserve"> even though there is nothing in the statutory provisions concerning the LTFR process that might suggest that this claim has merit</w:t>
      </w:r>
      <w:r w:rsidR="00375964">
        <w:rPr>
          <w:rFonts w:eastAsia="Calibri" w:cs="Arial"/>
        </w:rPr>
        <w:t>.  The</w:t>
      </w:r>
      <w:r>
        <w:rPr>
          <w:rFonts w:eastAsia="Calibri" w:cs="Arial"/>
        </w:rPr>
        <w:t xml:space="preserve"> proponent</w:t>
      </w:r>
      <w:r w:rsidR="000E379B">
        <w:rPr>
          <w:rFonts w:eastAsia="Calibri" w:cs="Arial"/>
        </w:rPr>
        <w:t>s</w:t>
      </w:r>
      <w:r w:rsidR="00375964">
        <w:rPr>
          <w:rFonts w:eastAsia="Calibri" w:cs="Arial"/>
        </w:rPr>
        <w:t xml:space="preserve"> of the Stipulation come </w:t>
      </w:r>
      <w:r>
        <w:rPr>
          <w:rFonts w:eastAsia="Calibri" w:cs="Arial"/>
        </w:rPr>
        <w:t>to</w:t>
      </w:r>
      <w:r w:rsidR="00375964">
        <w:rPr>
          <w:rFonts w:eastAsia="Calibri" w:cs="Arial"/>
        </w:rPr>
        <w:t xml:space="preserve"> their</w:t>
      </w:r>
      <w:r>
        <w:rPr>
          <w:rFonts w:eastAsia="Calibri" w:cs="Arial"/>
        </w:rPr>
        <w:t xml:space="preserve"> conclusion</w:t>
      </w:r>
      <w:r w:rsidR="00375964">
        <w:rPr>
          <w:rFonts w:eastAsia="Calibri" w:cs="Arial"/>
        </w:rPr>
        <w:t>s from varying</w:t>
      </w:r>
      <w:r>
        <w:rPr>
          <w:rFonts w:eastAsia="Calibri" w:cs="Arial"/>
        </w:rPr>
        <w:t xml:space="preserve"> misguided angle</w:t>
      </w:r>
      <w:r w:rsidR="00375964">
        <w:rPr>
          <w:rFonts w:eastAsia="Calibri" w:cs="Arial"/>
        </w:rPr>
        <w:t>s</w:t>
      </w:r>
      <w:r w:rsidR="00A004F8">
        <w:rPr>
          <w:rFonts w:eastAsia="Calibri" w:cs="Arial"/>
        </w:rPr>
        <w:t>, but</w:t>
      </w:r>
      <w:r w:rsidR="002A4BE7">
        <w:rPr>
          <w:rFonts w:eastAsia="Calibri" w:cs="Arial"/>
        </w:rPr>
        <w:t xml:space="preserve"> </w:t>
      </w:r>
      <w:r w:rsidR="00A004F8">
        <w:rPr>
          <w:rFonts w:eastAsia="Calibri" w:cs="Arial"/>
        </w:rPr>
        <w:t>each</w:t>
      </w:r>
      <w:r w:rsidR="000E379B">
        <w:rPr>
          <w:rFonts w:eastAsia="Calibri" w:cs="Arial"/>
        </w:rPr>
        <w:t xml:space="preserve"> attack fails </w:t>
      </w:r>
      <w:r w:rsidR="002A4BE7">
        <w:rPr>
          <w:rFonts w:eastAsia="Calibri" w:cs="Arial"/>
        </w:rPr>
        <w:t xml:space="preserve">for the same </w:t>
      </w:r>
      <w:r w:rsidR="000E379B">
        <w:rPr>
          <w:rFonts w:eastAsia="Calibri" w:cs="Arial"/>
        </w:rPr>
        <w:t xml:space="preserve">fundamental </w:t>
      </w:r>
      <w:r w:rsidR="002A4BE7">
        <w:rPr>
          <w:rFonts w:eastAsia="Calibri" w:cs="Arial"/>
        </w:rPr>
        <w:t>reason</w:t>
      </w:r>
      <w:r>
        <w:rPr>
          <w:rFonts w:eastAsia="Calibri" w:cs="Arial"/>
        </w:rPr>
        <w:t>.</w:t>
      </w:r>
      <w:r w:rsidR="004E0CAA">
        <w:rPr>
          <w:rFonts w:eastAsia="Calibri" w:cs="Arial"/>
        </w:rPr>
        <w:t xml:space="preserve">  </w:t>
      </w:r>
    </w:p>
    <w:p w:rsidR="00036637" w:rsidRDefault="004E0CAA" w:rsidP="00F26AC6">
      <w:pPr>
        <w:spacing w:line="480" w:lineRule="auto"/>
        <w:ind w:firstLine="720"/>
        <w:jc w:val="both"/>
        <w:rPr>
          <w:rFonts w:eastAsia="Calibri" w:cs="Arial"/>
        </w:rPr>
      </w:pPr>
      <w:r>
        <w:rPr>
          <w:rFonts w:eastAsia="Calibri" w:cs="Arial"/>
        </w:rPr>
        <w:t>AE</w:t>
      </w:r>
      <w:r w:rsidR="00375964">
        <w:rPr>
          <w:rFonts w:eastAsia="Calibri" w:cs="Arial"/>
        </w:rPr>
        <w:t>P-Ohio argues (UT submits a similar argument) that the contents of its proposed resource plan support a finding of need for Turning Point, stating</w:t>
      </w:r>
      <w:r w:rsidR="00036637">
        <w:rPr>
          <w:rFonts w:eastAsia="Calibri" w:cs="Arial"/>
        </w:rPr>
        <w:t xml:space="preserve">: </w:t>
      </w:r>
    </w:p>
    <w:p w:rsidR="008E768B" w:rsidRDefault="00036637" w:rsidP="00036637">
      <w:pPr>
        <w:spacing w:after="120"/>
        <w:ind w:left="720" w:right="720"/>
        <w:jc w:val="both"/>
        <w:rPr>
          <w:rFonts w:eastAsia="Calibri" w:cs="Arial"/>
        </w:rPr>
      </w:pPr>
      <w:r>
        <w:rPr>
          <w:rFonts w:eastAsia="Calibri" w:cs="Arial"/>
        </w:rPr>
        <w:lastRenderedPageBreak/>
        <w:t>[T]he section’s usage of the phrase “based on resource planning projections submitted by the electric distribution utility” provides guidance in answering these questions, and shows that a simplistic view considering only energy and capacity under-represents the Commission’s oversight and a utility’s duty with respect to resource planning.</w:t>
      </w:r>
    </w:p>
    <w:p w:rsidR="000E379B" w:rsidRDefault="00036637" w:rsidP="00A004F8">
      <w:pPr>
        <w:spacing w:after="120"/>
        <w:ind w:left="720" w:right="720"/>
        <w:jc w:val="both"/>
        <w:rPr>
          <w:rFonts w:eastAsia="Calibri" w:cs="Arial"/>
        </w:rPr>
      </w:pPr>
      <w:r>
        <w:rPr>
          <w:rFonts w:eastAsia="Calibri" w:cs="Arial"/>
        </w:rPr>
        <w:tab/>
        <w:t>Ohio law and the Commission’s rules governing resource planning require utility to analyze factors beyond just energy and capacity when preparing a resource plan.</w:t>
      </w:r>
      <w:r>
        <w:rPr>
          <w:rStyle w:val="FootnoteReference"/>
          <w:rFonts w:eastAsia="Calibri" w:cs="Arial"/>
        </w:rPr>
        <w:footnoteReference w:id="8"/>
      </w:r>
    </w:p>
    <w:p w:rsidR="002A4BE7" w:rsidRDefault="002A4BE7" w:rsidP="000B54E5">
      <w:pPr>
        <w:spacing w:before="240" w:line="480" w:lineRule="auto"/>
        <w:jc w:val="both"/>
        <w:rPr>
          <w:rFonts w:eastAsia="Calibri" w:cs="Arial"/>
        </w:rPr>
      </w:pPr>
      <w:r>
        <w:rPr>
          <w:rFonts w:eastAsia="Calibri" w:cs="Arial"/>
        </w:rPr>
        <w:t>AEP-Ohio thereby concludes that, because</w:t>
      </w:r>
      <w:r w:rsidR="00375964">
        <w:rPr>
          <w:rFonts w:eastAsia="Calibri" w:cs="Arial"/>
        </w:rPr>
        <w:t xml:space="preserve"> it has included</w:t>
      </w:r>
      <w:r>
        <w:rPr>
          <w:rFonts w:eastAsia="Calibri" w:cs="Arial"/>
        </w:rPr>
        <w:t xml:space="preserve"> renewable energy facilities </w:t>
      </w:r>
      <w:r w:rsidR="00375964">
        <w:rPr>
          <w:rFonts w:eastAsia="Calibri" w:cs="Arial"/>
        </w:rPr>
        <w:t>in its proposed resource plan as a result of its compliance requirements under Section 4928.64, Revised Code</w:t>
      </w:r>
      <w:r>
        <w:rPr>
          <w:rFonts w:eastAsia="Calibri" w:cs="Arial"/>
        </w:rPr>
        <w:t>, the Commission should determine that such resources are eligible for a finding of need under Section 4928.143(B)(2)(c), Revised Code.</w:t>
      </w:r>
      <w:r w:rsidR="00F6015C">
        <w:rPr>
          <w:rStyle w:val="FootnoteReference"/>
          <w:rFonts w:eastAsia="Calibri" w:cs="Arial"/>
        </w:rPr>
        <w:footnoteReference w:id="9"/>
      </w:r>
    </w:p>
    <w:p w:rsidR="00344C7D" w:rsidRDefault="002A4BE7" w:rsidP="00F26AC6">
      <w:pPr>
        <w:spacing w:line="480" w:lineRule="auto"/>
        <w:ind w:firstLine="720"/>
        <w:jc w:val="both"/>
        <w:rPr>
          <w:rFonts w:eastAsia="Calibri" w:cs="Arial"/>
        </w:rPr>
      </w:pPr>
      <w:r>
        <w:rPr>
          <w:rFonts w:eastAsia="Calibri" w:cs="Arial"/>
        </w:rPr>
        <w:t>Staff argues that</w:t>
      </w:r>
      <w:r w:rsidR="0069555E">
        <w:rPr>
          <w:rFonts w:eastAsia="Calibri" w:cs="Arial"/>
        </w:rPr>
        <w:t xml:space="preserve"> ne</w:t>
      </w:r>
      <w:r w:rsidR="00465B43">
        <w:rPr>
          <w:rFonts w:eastAsia="Calibri" w:cs="Arial"/>
        </w:rPr>
        <w:t>ed should</w:t>
      </w:r>
      <w:r w:rsidR="0069555E">
        <w:rPr>
          <w:rFonts w:eastAsia="Calibri" w:cs="Arial"/>
        </w:rPr>
        <w:t xml:space="preserve"> be defined broadly because it is not specifically defined by Section 4928.143(B)(2)(c)</w:t>
      </w:r>
      <w:r w:rsidR="00465B43">
        <w:rPr>
          <w:rFonts w:eastAsia="Calibri" w:cs="Arial"/>
        </w:rPr>
        <w:t xml:space="preserve">.  Staff further argues </w:t>
      </w:r>
      <w:r w:rsidR="008E768B">
        <w:rPr>
          <w:rFonts w:eastAsia="Calibri" w:cs="Arial"/>
        </w:rPr>
        <w:t xml:space="preserve">that </w:t>
      </w:r>
      <w:r w:rsidR="00736D42">
        <w:rPr>
          <w:rFonts w:eastAsia="Calibri" w:cs="Arial"/>
        </w:rPr>
        <w:t xml:space="preserve">the </w:t>
      </w:r>
      <w:r w:rsidR="008E768B">
        <w:rPr>
          <w:rFonts w:eastAsia="Calibri" w:cs="Arial"/>
        </w:rPr>
        <w:t>rules of statutory construction support its position, stating:</w:t>
      </w:r>
      <w:r w:rsidR="00344C7D">
        <w:rPr>
          <w:rFonts w:eastAsia="Calibri" w:cs="Arial"/>
        </w:rPr>
        <w:t xml:space="preserve"> </w:t>
      </w:r>
    </w:p>
    <w:p w:rsidR="00A61583" w:rsidRDefault="00494269" w:rsidP="00F26AC6">
      <w:pPr>
        <w:spacing w:after="240"/>
        <w:ind w:left="720" w:right="720"/>
        <w:jc w:val="both"/>
        <w:rPr>
          <w:rFonts w:eastAsia="Calibri" w:cs="Arial"/>
        </w:rPr>
      </w:pPr>
      <w:r>
        <w:rPr>
          <w:rFonts w:eastAsia="Calibri" w:cs="Arial"/>
        </w:rPr>
        <w:t xml:space="preserve">What does </w:t>
      </w:r>
      <w:r w:rsidR="0067282A">
        <w:rPr>
          <w:rFonts w:eastAsia="Calibri" w:cs="Arial"/>
        </w:rPr>
        <w:t>“</w:t>
      </w:r>
      <w:r>
        <w:rPr>
          <w:rFonts w:eastAsia="Calibri" w:cs="Arial"/>
        </w:rPr>
        <w:t>need</w:t>
      </w:r>
      <w:r w:rsidR="0067282A">
        <w:rPr>
          <w:rFonts w:eastAsia="Calibri" w:cs="Arial"/>
        </w:rPr>
        <w:t>”</w:t>
      </w:r>
      <w:r>
        <w:rPr>
          <w:rFonts w:eastAsia="Calibri" w:cs="Arial"/>
        </w:rPr>
        <w:t xml:space="preserve"> mean i</w:t>
      </w:r>
      <w:r w:rsidR="008E768B">
        <w:rPr>
          <w:rFonts w:eastAsia="Calibri" w:cs="Arial"/>
        </w:rPr>
        <w:t xml:space="preserve">n the context of </w:t>
      </w:r>
      <w:r>
        <w:rPr>
          <w:rFonts w:eastAsia="Calibri" w:cs="Arial"/>
        </w:rPr>
        <w:t>R.C. 4928.143(B)(2)(c)?</w:t>
      </w:r>
      <w:r w:rsidR="00344C7D">
        <w:rPr>
          <w:rFonts w:eastAsia="Calibri" w:cs="Arial"/>
        </w:rPr>
        <w:t xml:space="preserve"> The Revised Code does not provide an answer, the term is undefined.  In </w:t>
      </w:r>
      <w:r w:rsidR="00EC2D0E">
        <w:rPr>
          <w:rFonts w:eastAsia="Calibri" w:cs="Arial"/>
        </w:rPr>
        <w:t xml:space="preserve">such circumstances the Revised Code does require that </w:t>
      </w:r>
      <w:r w:rsidR="00EC2D0E" w:rsidRPr="00EC2D0E">
        <w:rPr>
          <w:rFonts w:eastAsia="Calibri" w:cs="Arial"/>
          <w:b/>
          <w:i/>
        </w:rPr>
        <w:t xml:space="preserve">“[w]ords and phrases shall be read in context and </w:t>
      </w:r>
      <w:r w:rsidR="00EC2D0E" w:rsidRPr="00EC2D0E">
        <w:rPr>
          <w:rFonts w:eastAsia="Calibri" w:cs="Arial"/>
          <w:b/>
        </w:rPr>
        <w:t>construed according to the rules of grammar and common usage</w:t>
      </w:r>
      <w:r w:rsidR="00EC2D0E" w:rsidRPr="00EC2D0E">
        <w:rPr>
          <w:rFonts w:eastAsia="Calibri" w:cs="Arial"/>
          <w:b/>
          <w:i/>
        </w:rPr>
        <w:t>.</w:t>
      </w:r>
      <w:r w:rsidR="00EC2D0E">
        <w:rPr>
          <w:rFonts w:eastAsia="Calibri" w:cs="Arial"/>
        </w:rPr>
        <w:t>”</w:t>
      </w:r>
      <w:r w:rsidR="00EC2D0E">
        <w:rPr>
          <w:rStyle w:val="FootnoteReference"/>
          <w:rFonts w:eastAsia="Calibri" w:cs="Arial"/>
        </w:rPr>
        <w:footnoteReference w:id="10"/>
      </w:r>
    </w:p>
    <w:p w:rsidR="00341965" w:rsidRDefault="0069555E" w:rsidP="00F26AC6">
      <w:pPr>
        <w:spacing w:line="480" w:lineRule="auto"/>
        <w:jc w:val="both"/>
        <w:rPr>
          <w:rFonts w:eastAsia="Calibri" w:cs="Arial"/>
        </w:rPr>
      </w:pPr>
      <w:r>
        <w:rPr>
          <w:rFonts w:eastAsia="Calibri" w:cs="Arial"/>
        </w:rPr>
        <w:t>Staff then claims that the dictionary defines “need” as an “obligation or requirement”</w:t>
      </w:r>
      <w:r w:rsidR="00F6015C">
        <w:rPr>
          <w:rStyle w:val="FootnoteReference"/>
          <w:rFonts w:eastAsia="Calibri" w:cs="Arial"/>
        </w:rPr>
        <w:footnoteReference w:id="11"/>
      </w:r>
      <w:r>
        <w:rPr>
          <w:rFonts w:eastAsia="Calibri" w:cs="Arial"/>
        </w:rPr>
        <w:t xml:space="preserve"> and under Section 4928.64(B), Revised Code</w:t>
      </w:r>
      <w:r w:rsidR="00341965">
        <w:rPr>
          <w:rFonts w:eastAsia="Calibri" w:cs="Arial"/>
        </w:rPr>
        <w:t>:</w:t>
      </w:r>
    </w:p>
    <w:p w:rsidR="00341965" w:rsidRDefault="00341965" w:rsidP="00C63F6D">
      <w:pPr>
        <w:spacing w:after="240"/>
        <w:ind w:left="720" w:right="720"/>
        <w:jc w:val="both"/>
        <w:rPr>
          <w:rFonts w:eastAsia="Calibri" w:cs="Arial"/>
        </w:rPr>
      </w:pPr>
      <w:r>
        <w:rPr>
          <w:rFonts w:eastAsia="Calibri" w:cs="Arial"/>
        </w:rPr>
        <w:t>An electric distribution utility (EDU) or electric service</w:t>
      </w:r>
      <w:r w:rsidR="0067282A">
        <w:rPr>
          <w:rFonts w:eastAsia="Calibri" w:cs="Arial"/>
        </w:rPr>
        <w:t>s</w:t>
      </w:r>
      <w:r>
        <w:rPr>
          <w:rFonts w:eastAsia="Calibri" w:cs="Arial"/>
        </w:rPr>
        <w:t xml:space="preserve"> company must have increasing quantities of in-state solar RECs according to the </w:t>
      </w:r>
      <w:r>
        <w:rPr>
          <w:rFonts w:eastAsia="Calibri" w:cs="Arial"/>
        </w:rPr>
        <w:lastRenderedPageBreak/>
        <w:t>schedule in that code section. EDUs and electric service</w:t>
      </w:r>
      <w:r w:rsidR="0067282A">
        <w:rPr>
          <w:rFonts w:eastAsia="Calibri" w:cs="Arial"/>
        </w:rPr>
        <w:t>s</w:t>
      </w:r>
      <w:r>
        <w:rPr>
          <w:rFonts w:eastAsia="Calibri" w:cs="Arial"/>
        </w:rPr>
        <w:t xml:space="preserve"> companies therefore have necessity or obligations created by that statute.</w:t>
      </w:r>
      <w:r>
        <w:rPr>
          <w:rStyle w:val="FootnoteReference"/>
          <w:rFonts w:eastAsia="Calibri" w:cs="Arial"/>
        </w:rPr>
        <w:footnoteReference w:id="12"/>
      </w:r>
    </w:p>
    <w:p w:rsidR="00723DC4" w:rsidRDefault="00723DC4" w:rsidP="00B10C9B">
      <w:pPr>
        <w:spacing w:line="480" w:lineRule="auto"/>
        <w:jc w:val="both"/>
        <w:rPr>
          <w:rFonts w:eastAsia="Calibri" w:cs="Arial"/>
        </w:rPr>
      </w:pPr>
      <w:r>
        <w:rPr>
          <w:rFonts w:eastAsia="Calibri" w:cs="Arial"/>
        </w:rPr>
        <w:t>Thus, Staff concludes that the Commission should determine that there is need to construct Turning Point to comply with the requirements of Section 4928.64(B), Revised Code.</w:t>
      </w:r>
    </w:p>
    <w:p w:rsidR="00FB2EF9" w:rsidRDefault="00690537" w:rsidP="00B10C9B">
      <w:pPr>
        <w:spacing w:line="480" w:lineRule="auto"/>
        <w:ind w:firstLine="720"/>
        <w:jc w:val="both"/>
        <w:rPr>
          <w:rFonts w:eastAsia="Calibri" w:cs="Arial"/>
        </w:rPr>
      </w:pPr>
      <w:r>
        <w:rPr>
          <w:rFonts w:eastAsia="Calibri" w:cs="Arial"/>
        </w:rPr>
        <w:t>Staff’s argument</w:t>
      </w:r>
      <w:r w:rsidR="00EC2D0E">
        <w:rPr>
          <w:rFonts w:eastAsia="Calibri" w:cs="Arial"/>
        </w:rPr>
        <w:t xml:space="preserve"> ignores a key rule</w:t>
      </w:r>
      <w:r w:rsidR="00723DC4">
        <w:rPr>
          <w:rFonts w:eastAsia="Calibri" w:cs="Arial"/>
        </w:rPr>
        <w:t xml:space="preserve"> of statutory construction that defeats Staff’s, AEP-Ohio’s, and UT’s claims</w:t>
      </w:r>
      <w:r w:rsidR="0019117E">
        <w:rPr>
          <w:rFonts w:eastAsia="Calibri" w:cs="Arial"/>
        </w:rPr>
        <w:t xml:space="preserve">: </w:t>
      </w:r>
      <w:r w:rsidR="00EC2D0E">
        <w:rPr>
          <w:rFonts w:eastAsia="Calibri" w:cs="Arial"/>
        </w:rPr>
        <w:t xml:space="preserve"> </w:t>
      </w:r>
      <w:r w:rsidR="00EC2D0E" w:rsidRPr="00EC2D0E">
        <w:rPr>
          <w:rFonts w:eastAsia="Calibri" w:cs="Arial"/>
        </w:rPr>
        <w:t>“</w:t>
      </w:r>
      <w:r w:rsidR="0019117E">
        <w:rPr>
          <w:rFonts w:eastAsia="Calibri" w:cs="Arial"/>
          <w:b/>
          <w:i/>
        </w:rPr>
        <w:t>W</w:t>
      </w:r>
      <w:r w:rsidR="00EC2D0E" w:rsidRPr="00EC2D0E">
        <w:rPr>
          <w:rFonts w:eastAsia="Calibri" w:cs="Arial"/>
          <w:b/>
          <w:i/>
        </w:rPr>
        <w:t>ords and phrases shall be read in context</w:t>
      </w:r>
      <w:r w:rsidR="00EC2D0E">
        <w:rPr>
          <w:rFonts w:eastAsia="Calibri" w:cs="Arial"/>
        </w:rPr>
        <w:t>.</w:t>
      </w:r>
      <w:r w:rsidR="00EC2D0E" w:rsidRPr="00EC2D0E">
        <w:rPr>
          <w:rFonts w:eastAsia="Calibri" w:cs="Arial"/>
        </w:rPr>
        <w:t>”</w:t>
      </w:r>
      <w:r w:rsidR="00EC2D0E">
        <w:rPr>
          <w:rStyle w:val="FootnoteReference"/>
          <w:rFonts w:eastAsia="Calibri" w:cs="Arial"/>
        </w:rPr>
        <w:footnoteReference w:id="13"/>
      </w:r>
      <w:r>
        <w:rPr>
          <w:rFonts w:eastAsia="Calibri" w:cs="Arial"/>
        </w:rPr>
        <w:t xml:space="preserve"> </w:t>
      </w:r>
      <w:r w:rsidR="0019117E">
        <w:rPr>
          <w:rFonts w:eastAsia="Calibri" w:cs="Arial"/>
        </w:rPr>
        <w:t xml:space="preserve"> </w:t>
      </w:r>
      <w:r w:rsidR="00D63078">
        <w:rPr>
          <w:rFonts w:eastAsia="Calibri" w:cs="Arial"/>
        </w:rPr>
        <w:t xml:space="preserve">Although need is not specifically defined in </w:t>
      </w:r>
      <w:r>
        <w:rPr>
          <w:rFonts w:eastAsia="Calibri" w:cs="Arial"/>
        </w:rPr>
        <w:t>Section 4928.143(B)(2)(c), Revised Code</w:t>
      </w:r>
      <w:r w:rsidR="00D63078">
        <w:rPr>
          <w:rFonts w:eastAsia="Calibri" w:cs="Arial"/>
        </w:rPr>
        <w:t>, the context provided by</w:t>
      </w:r>
      <w:r w:rsidR="00341965">
        <w:rPr>
          <w:rFonts w:eastAsia="Calibri" w:cs="Arial"/>
        </w:rPr>
        <w:t xml:space="preserve"> Section 4928.143(B), Revised Code,</w:t>
      </w:r>
      <w:r w:rsidR="00D63078">
        <w:rPr>
          <w:rFonts w:eastAsia="Calibri" w:cs="Arial"/>
        </w:rPr>
        <w:t xml:space="preserve"> demonstrates </w:t>
      </w:r>
      <w:r w:rsidR="00FB2EF9">
        <w:rPr>
          <w:rFonts w:eastAsia="Calibri" w:cs="Arial"/>
        </w:rPr>
        <w:t xml:space="preserve">that </w:t>
      </w:r>
      <w:r w:rsidR="00D63078">
        <w:rPr>
          <w:rFonts w:eastAsia="Calibri" w:cs="Arial"/>
        </w:rPr>
        <w:t xml:space="preserve">need </w:t>
      </w:r>
      <w:r w:rsidR="00D63078" w:rsidRPr="00465B43">
        <w:rPr>
          <w:rFonts w:eastAsia="Calibri" w:cs="Arial"/>
          <w:i/>
        </w:rPr>
        <w:t>cannot</w:t>
      </w:r>
      <w:r w:rsidR="00D63078">
        <w:rPr>
          <w:rFonts w:eastAsia="Calibri" w:cs="Arial"/>
        </w:rPr>
        <w:t xml:space="preserve"> be defined</w:t>
      </w:r>
      <w:r w:rsidR="00F6015C">
        <w:rPr>
          <w:rFonts w:eastAsia="Calibri" w:cs="Arial"/>
        </w:rPr>
        <w:t xml:space="preserve"> as</w:t>
      </w:r>
      <w:r w:rsidR="00FB2EF9">
        <w:rPr>
          <w:rFonts w:eastAsia="Calibri" w:cs="Arial"/>
        </w:rPr>
        <w:t xml:space="preserve"> Staff, AEP-Ohio and UT claim</w:t>
      </w:r>
      <w:r w:rsidR="00D63078">
        <w:rPr>
          <w:rFonts w:eastAsia="Calibri" w:cs="Arial"/>
        </w:rPr>
        <w:t xml:space="preserve">.  </w:t>
      </w:r>
    </w:p>
    <w:p w:rsidR="00D63078" w:rsidRDefault="00D63078" w:rsidP="000B54E5">
      <w:pPr>
        <w:spacing w:after="120" w:line="480" w:lineRule="auto"/>
        <w:ind w:firstLine="720"/>
        <w:jc w:val="both"/>
        <w:rPr>
          <w:rFonts w:eastAsia="Calibri" w:cs="Arial"/>
        </w:rPr>
      </w:pPr>
      <w:r>
        <w:rPr>
          <w:rFonts w:eastAsia="Calibri" w:cs="Arial"/>
        </w:rPr>
        <w:t>More specifically, Section 4928.143(B), Revised Code, states</w:t>
      </w:r>
      <w:r w:rsidR="00341965" w:rsidRPr="00341965">
        <w:rPr>
          <w:rFonts w:eastAsia="Calibri" w:cs="Arial"/>
        </w:rPr>
        <w:t xml:space="preserve"> </w:t>
      </w:r>
      <w:r w:rsidR="00341965" w:rsidRPr="00341965">
        <w:rPr>
          <w:rFonts w:eastAsia="Calibri" w:cs="Arial"/>
          <w:i/>
        </w:rPr>
        <w:t>“</w:t>
      </w:r>
      <w:r w:rsidR="00341965" w:rsidRPr="00341965">
        <w:rPr>
          <w:rFonts w:eastAsia="Calibri" w:cs="Arial"/>
          <w:b/>
          <w:i/>
        </w:rPr>
        <w:t xml:space="preserve">[n]otwithstanding any other provision of Title XLIX of the Revised Code to the contrary </w:t>
      </w:r>
      <w:r w:rsidR="00341965" w:rsidRPr="00341965">
        <w:rPr>
          <w:rFonts w:eastAsia="Calibri" w:cs="Arial"/>
          <w:b/>
          <w:i/>
          <w:u w:val="single"/>
        </w:rPr>
        <w:t>except</w:t>
      </w:r>
      <w:r w:rsidR="00341965" w:rsidRPr="00341965">
        <w:rPr>
          <w:rFonts w:eastAsia="Calibri" w:cs="Arial"/>
          <w:b/>
        </w:rPr>
        <w:t xml:space="preserve"> </w:t>
      </w:r>
      <w:r w:rsidR="00341965" w:rsidRPr="00341965">
        <w:rPr>
          <w:rFonts w:eastAsia="Calibri" w:cs="Arial"/>
        </w:rPr>
        <w:t xml:space="preserve">division (D) of this section, divisions (I), (J), and (K) of section </w:t>
      </w:r>
      <w:hyperlink r:id="rId19" w:history="1">
        <w:r w:rsidR="00341965" w:rsidRPr="00341965">
          <w:rPr>
            <w:rStyle w:val="Hyperlink"/>
            <w:rFonts w:eastAsia="Calibri" w:cs="Arial"/>
            <w:color w:val="auto"/>
          </w:rPr>
          <w:t>4928.20</w:t>
        </w:r>
      </w:hyperlink>
      <w:r w:rsidR="00341965" w:rsidRPr="00341965">
        <w:rPr>
          <w:rFonts w:eastAsia="Calibri" w:cs="Arial"/>
          <w:i/>
        </w:rPr>
        <w:t>,</w:t>
      </w:r>
      <w:r w:rsidR="00341965" w:rsidRPr="00341965">
        <w:rPr>
          <w:rFonts w:eastAsia="Calibri" w:cs="Arial"/>
          <w:b/>
          <w:i/>
        </w:rPr>
        <w:t xml:space="preserve"> division (E) of section </w:t>
      </w:r>
      <w:hyperlink r:id="rId20" w:history="1">
        <w:r w:rsidR="00341965" w:rsidRPr="00341965">
          <w:rPr>
            <w:rStyle w:val="Hyperlink"/>
            <w:rFonts w:eastAsia="Calibri" w:cs="Arial"/>
            <w:b/>
            <w:i/>
            <w:color w:val="auto"/>
          </w:rPr>
          <w:t>4928.64</w:t>
        </w:r>
      </w:hyperlink>
      <w:r w:rsidR="00341965" w:rsidRPr="00341965">
        <w:rPr>
          <w:rFonts w:eastAsia="Calibri" w:cs="Arial"/>
        </w:rPr>
        <w:t xml:space="preserve"> . . . .the plan may provide for. . . a nonbypassable surcharge.”</w:t>
      </w:r>
      <w:r w:rsidR="00341965" w:rsidRPr="00341965">
        <w:rPr>
          <w:rFonts w:eastAsia="Calibri" w:cs="Arial"/>
          <w:vertAlign w:val="superscript"/>
        </w:rPr>
        <w:footnoteReference w:id="14"/>
      </w:r>
      <w:r w:rsidR="00341965" w:rsidRPr="00341965">
        <w:rPr>
          <w:rFonts w:eastAsia="Calibri" w:cs="Arial"/>
        </w:rPr>
        <w:t xml:space="preserve"> </w:t>
      </w:r>
      <w:r w:rsidR="00FB2EF9">
        <w:rPr>
          <w:rFonts w:eastAsia="Calibri" w:cs="Arial"/>
        </w:rPr>
        <w:t xml:space="preserve"> </w:t>
      </w:r>
      <w:r w:rsidR="00341965" w:rsidRPr="00171707">
        <w:rPr>
          <w:rFonts w:eastAsia="Calibri" w:cs="Arial"/>
        </w:rPr>
        <w:t>Division (E) of Section 4928.</w:t>
      </w:r>
      <w:r w:rsidR="00341965">
        <w:rPr>
          <w:rFonts w:eastAsia="Calibri" w:cs="Arial"/>
        </w:rPr>
        <w:t xml:space="preserve">64, Revised Code, provides that </w:t>
      </w:r>
      <w:r w:rsidR="00341965">
        <w:rPr>
          <w:rFonts w:eastAsia="Calibri" w:cs="Arial"/>
          <w:b/>
          <w:i/>
        </w:rPr>
        <w:t>“[a]</w:t>
      </w:r>
      <w:r w:rsidR="00341965" w:rsidRPr="009A13B0">
        <w:rPr>
          <w:rFonts w:eastAsia="Calibri" w:cs="Arial"/>
          <w:b/>
          <w:i/>
        </w:rPr>
        <w:t>ll costs incurred by an electric distribution utility in complying with the requirements of this section shall be bypassable by any consumer that has exercised choice of supplier.”</w:t>
      </w:r>
      <w:r w:rsidR="00341965" w:rsidRPr="00B11705">
        <w:rPr>
          <w:rStyle w:val="FootnoteReference"/>
          <w:rFonts w:eastAsia="Calibri" w:cs="Arial"/>
        </w:rPr>
        <w:footnoteReference w:id="15"/>
      </w:r>
      <w:r w:rsidR="00690537">
        <w:rPr>
          <w:rFonts w:eastAsia="Calibri" w:cs="Arial"/>
          <w:b/>
          <w:i/>
        </w:rPr>
        <w:t xml:space="preserve"> </w:t>
      </w:r>
      <w:r w:rsidR="00FB2EF9">
        <w:rPr>
          <w:rFonts w:eastAsia="Calibri" w:cs="Arial"/>
          <w:b/>
          <w:i/>
        </w:rPr>
        <w:t xml:space="preserve"> </w:t>
      </w:r>
      <w:r w:rsidR="0076661F">
        <w:rPr>
          <w:rFonts w:eastAsia="Calibri" w:cs="Arial"/>
        </w:rPr>
        <w:t>In this context</w:t>
      </w:r>
      <w:r w:rsidR="00FB2EF9">
        <w:rPr>
          <w:rFonts w:eastAsia="Calibri" w:cs="Arial"/>
        </w:rPr>
        <w:t xml:space="preserve"> </w:t>
      </w:r>
      <w:r w:rsidR="0076661F">
        <w:rPr>
          <w:rFonts w:eastAsia="Calibri" w:cs="Arial"/>
        </w:rPr>
        <w:t>—</w:t>
      </w:r>
      <w:r w:rsidR="00FB2EF9">
        <w:rPr>
          <w:rFonts w:eastAsia="Calibri" w:cs="Arial"/>
        </w:rPr>
        <w:t xml:space="preserve"> </w:t>
      </w:r>
      <w:r w:rsidR="0076661F">
        <w:rPr>
          <w:rFonts w:eastAsia="Calibri" w:cs="Arial"/>
        </w:rPr>
        <w:t>regardless of what type of resources AEP-Ohio include</w:t>
      </w:r>
      <w:r w:rsidR="00FB2EF9">
        <w:rPr>
          <w:rFonts w:eastAsia="Calibri" w:cs="Arial"/>
        </w:rPr>
        <w:t>d</w:t>
      </w:r>
      <w:r w:rsidR="0076661F">
        <w:rPr>
          <w:rFonts w:eastAsia="Calibri" w:cs="Arial"/>
        </w:rPr>
        <w:t xml:space="preserve"> in its </w:t>
      </w:r>
      <w:r w:rsidR="00FB2EF9">
        <w:rPr>
          <w:rFonts w:eastAsia="Calibri" w:cs="Arial"/>
        </w:rPr>
        <w:t xml:space="preserve">LTFR </w:t>
      </w:r>
      <w:r w:rsidR="0076661F">
        <w:rPr>
          <w:rFonts w:eastAsia="Calibri" w:cs="Arial"/>
        </w:rPr>
        <w:t>resource plan and regardless of</w:t>
      </w:r>
      <w:r w:rsidR="00F6015C">
        <w:rPr>
          <w:rFonts w:eastAsia="Calibri" w:cs="Arial"/>
        </w:rPr>
        <w:t xml:space="preserve"> availability of</w:t>
      </w:r>
      <w:r w:rsidR="0076661F">
        <w:rPr>
          <w:rFonts w:eastAsia="Calibri" w:cs="Arial"/>
        </w:rPr>
        <w:t xml:space="preserve"> </w:t>
      </w:r>
      <w:r w:rsidR="0076661F">
        <w:rPr>
          <w:rFonts w:eastAsia="Calibri" w:cs="Arial"/>
        </w:rPr>
        <w:lastRenderedPageBreak/>
        <w:t>sREC</w:t>
      </w:r>
      <w:r w:rsidR="00F6015C">
        <w:rPr>
          <w:rFonts w:eastAsia="Calibri" w:cs="Arial"/>
        </w:rPr>
        <w:t>s</w:t>
      </w:r>
      <w:r w:rsidR="00FB2EF9">
        <w:rPr>
          <w:rFonts w:eastAsia="Calibri" w:cs="Arial"/>
        </w:rPr>
        <w:t xml:space="preserve"> </w:t>
      </w:r>
      <w:r w:rsidR="0076661F">
        <w:rPr>
          <w:rFonts w:eastAsia="Calibri" w:cs="Arial"/>
        </w:rPr>
        <w:t>—</w:t>
      </w:r>
      <w:r w:rsidR="00FB2EF9">
        <w:rPr>
          <w:rFonts w:eastAsia="Calibri" w:cs="Arial"/>
        </w:rPr>
        <w:t xml:space="preserve"> </w:t>
      </w:r>
      <w:r w:rsidR="00690537">
        <w:rPr>
          <w:rFonts w:eastAsia="Calibri" w:cs="Arial"/>
        </w:rPr>
        <w:t>it would defy reason</w:t>
      </w:r>
      <w:r w:rsidR="0076661F">
        <w:rPr>
          <w:rFonts w:eastAsia="Calibri" w:cs="Arial"/>
        </w:rPr>
        <w:t xml:space="preserve"> and be unlawful and unreasonable to determine that a renewable</w:t>
      </w:r>
      <w:r w:rsidR="0076661F">
        <w:rPr>
          <w:rFonts w:eastAsia="Calibri" w:cs="Arial"/>
          <w:b/>
        </w:rPr>
        <w:t xml:space="preserve"> </w:t>
      </w:r>
      <w:r w:rsidR="0076661F">
        <w:rPr>
          <w:rFonts w:eastAsia="Calibri" w:cs="Arial"/>
        </w:rPr>
        <w:t>energy f</w:t>
      </w:r>
      <w:r w:rsidR="00172D00">
        <w:rPr>
          <w:rFonts w:eastAsia="Calibri" w:cs="Arial"/>
        </w:rPr>
        <w:t>acility is “needed” as that term</w:t>
      </w:r>
      <w:r w:rsidR="0076661F">
        <w:rPr>
          <w:rFonts w:eastAsia="Calibri" w:cs="Arial"/>
        </w:rPr>
        <w:t xml:space="preserve"> is relevant under Section 4928.143(B)(2)(c), Revised Code.</w:t>
      </w:r>
    </w:p>
    <w:p w:rsidR="00EC2D0E" w:rsidRPr="007F29B2" w:rsidRDefault="00F8525A" w:rsidP="0016796A">
      <w:pPr>
        <w:pStyle w:val="Heading2"/>
        <w:rPr>
          <w:rFonts w:eastAsia="Calibri"/>
        </w:rPr>
      </w:pPr>
      <w:bookmarkStart w:id="9" w:name="_Toc338234654"/>
      <w:r>
        <w:rPr>
          <w:rFonts w:eastAsia="Calibri"/>
        </w:rPr>
        <w:t xml:space="preserve">The </w:t>
      </w:r>
      <w:r w:rsidR="00F26AC6">
        <w:rPr>
          <w:rFonts w:eastAsia="Calibri"/>
        </w:rPr>
        <w:t>e</w:t>
      </w:r>
      <w:r w:rsidR="00A81471">
        <w:rPr>
          <w:rFonts w:eastAsia="Calibri"/>
        </w:rPr>
        <w:t>vidence does not support a finding of need under any theory</w:t>
      </w:r>
      <w:bookmarkEnd w:id="9"/>
    </w:p>
    <w:p w:rsidR="00D63078" w:rsidRDefault="007F29B2" w:rsidP="00B10C9B">
      <w:pPr>
        <w:spacing w:after="120" w:line="480" w:lineRule="auto"/>
        <w:jc w:val="both"/>
        <w:rPr>
          <w:rFonts w:eastAsia="Calibri" w:cs="Arial"/>
        </w:rPr>
      </w:pPr>
      <w:r>
        <w:rPr>
          <w:rFonts w:eastAsia="Calibri" w:cs="Arial"/>
        </w:rPr>
        <w:tab/>
      </w:r>
      <w:r w:rsidR="001F3134">
        <w:rPr>
          <w:rFonts w:eastAsia="Calibri" w:cs="Arial"/>
        </w:rPr>
        <w:t>AEP-Ohio</w:t>
      </w:r>
      <w:r w:rsidR="009D1264">
        <w:rPr>
          <w:rFonts w:eastAsia="Calibri" w:cs="Arial"/>
        </w:rPr>
        <w:t>’s</w:t>
      </w:r>
      <w:r w:rsidR="001F3134">
        <w:rPr>
          <w:rFonts w:eastAsia="Calibri" w:cs="Arial"/>
        </w:rPr>
        <w:t>, Staff</w:t>
      </w:r>
      <w:r w:rsidR="009D1264">
        <w:rPr>
          <w:rFonts w:eastAsia="Calibri" w:cs="Arial"/>
        </w:rPr>
        <w:t>’s</w:t>
      </w:r>
      <w:r w:rsidR="001F3134">
        <w:rPr>
          <w:rFonts w:eastAsia="Calibri" w:cs="Arial"/>
        </w:rPr>
        <w:t>, and UT</w:t>
      </w:r>
      <w:r w:rsidR="009D1264">
        <w:rPr>
          <w:rFonts w:eastAsia="Calibri" w:cs="Arial"/>
        </w:rPr>
        <w:t>’s</w:t>
      </w:r>
      <w:r w:rsidR="00D63078">
        <w:rPr>
          <w:rFonts w:eastAsia="Calibri" w:cs="Arial"/>
        </w:rPr>
        <w:t xml:space="preserve"> </w:t>
      </w:r>
      <w:r w:rsidR="009D1264">
        <w:rPr>
          <w:rFonts w:eastAsia="Calibri" w:cs="Arial"/>
        </w:rPr>
        <w:t xml:space="preserve">remaining arguments </w:t>
      </w:r>
      <w:r w:rsidR="00D63078">
        <w:rPr>
          <w:rFonts w:eastAsia="Calibri" w:cs="Arial"/>
        </w:rPr>
        <w:t>regarding the eviden</w:t>
      </w:r>
      <w:r w:rsidR="00465B43">
        <w:rPr>
          <w:rFonts w:eastAsia="Calibri" w:cs="Arial"/>
        </w:rPr>
        <w:t>ce that may</w:t>
      </w:r>
      <w:r w:rsidR="00D63078">
        <w:rPr>
          <w:rFonts w:eastAsia="Calibri" w:cs="Arial"/>
        </w:rPr>
        <w:t xml:space="preserve"> be relied upon to support a finding of need are </w:t>
      </w:r>
      <w:r>
        <w:rPr>
          <w:rFonts w:eastAsia="Calibri" w:cs="Arial"/>
        </w:rPr>
        <w:t>based on the unlawful premise</w:t>
      </w:r>
      <w:r w:rsidR="00D63078">
        <w:rPr>
          <w:rFonts w:eastAsia="Calibri" w:cs="Arial"/>
        </w:rPr>
        <w:t xml:space="preserve"> that need may</w:t>
      </w:r>
      <w:r>
        <w:rPr>
          <w:rFonts w:eastAsia="Calibri" w:cs="Arial"/>
        </w:rPr>
        <w:t xml:space="preserve"> be based on the </w:t>
      </w:r>
      <w:r w:rsidR="009D1264">
        <w:rPr>
          <w:rFonts w:eastAsia="Calibri" w:cs="Arial"/>
        </w:rPr>
        <w:t>need for sRECs; thus,</w:t>
      </w:r>
      <w:r w:rsidR="00D63078">
        <w:rPr>
          <w:rFonts w:eastAsia="Calibri" w:cs="Arial"/>
        </w:rPr>
        <w:t xml:space="preserve"> the Co</w:t>
      </w:r>
      <w:r w:rsidR="00465B43">
        <w:rPr>
          <w:rFonts w:eastAsia="Calibri" w:cs="Arial"/>
        </w:rPr>
        <w:t xml:space="preserve">mmission </w:t>
      </w:r>
      <w:r w:rsidR="00FB2EF9">
        <w:rPr>
          <w:rFonts w:eastAsia="Calibri" w:cs="Arial"/>
        </w:rPr>
        <w:t xml:space="preserve">cannot adopt them for purposes of addressing the Stipulation’s recommendation that </w:t>
      </w:r>
      <w:r w:rsidR="00FB2EF9">
        <w:rPr>
          <w:rFonts w:eastAsia="Calibri"/>
        </w:rPr>
        <w:t>the Commission determine that Turning Point is “needed” to comply with the in-state sREC obligations contained in Section 4928.64, Revised Code.</w:t>
      </w:r>
      <w:r w:rsidR="001F3134">
        <w:rPr>
          <w:rFonts w:eastAsia="Calibri" w:cs="Arial"/>
        </w:rPr>
        <w:t xml:space="preserve">  Regardless, the proponents of the Stipulation have failed to </w:t>
      </w:r>
      <w:r w:rsidR="009D1264">
        <w:rPr>
          <w:rFonts w:eastAsia="Calibri" w:cs="Arial"/>
        </w:rPr>
        <w:t>demonstrate that the evidence may support a finding of need for Turning Point on either an EDU-specific basis or through a statewide approach</w:t>
      </w:r>
      <w:r w:rsidR="001F3134">
        <w:rPr>
          <w:rFonts w:eastAsia="Calibri" w:cs="Arial"/>
        </w:rPr>
        <w:t xml:space="preserve">. </w:t>
      </w:r>
      <w:r w:rsidR="009D1264">
        <w:rPr>
          <w:rFonts w:eastAsia="Calibri" w:cs="Arial"/>
        </w:rPr>
        <w:t xml:space="preserve"> Additionally, even the proponents of the Stipulation are in agreement that it would exceed the Commission’s jurisdiction to base a finding of </w:t>
      </w:r>
      <w:r w:rsidR="00FB2EF9">
        <w:rPr>
          <w:rFonts w:eastAsia="Calibri" w:cs="Arial"/>
        </w:rPr>
        <w:t xml:space="preserve">need </w:t>
      </w:r>
      <w:r w:rsidR="00EC2889">
        <w:rPr>
          <w:rFonts w:eastAsia="Calibri" w:cs="Arial"/>
        </w:rPr>
        <w:t>on other states’ obligations to comply with</w:t>
      </w:r>
      <w:r w:rsidR="00FB2EF9">
        <w:rPr>
          <w:rFonts w:eastAsia="Calibri" w:cs="Arial"/>
        </w:rPr>
        <w:t xml:space="preserve"> </w:t>
      </w:r>
      <w:r w:rsidR="00EC2889">
        <w:rPr>
          <w:rFonts w:eastAsia="Calibri" w:cs="Arial"/>
        </w:rPr>
        <w:t>sREC requirements</w:t>
      </w:r>
      <w:r w:rsidR="009D1264">
        <w:rPr>
          <w:rFonts w:eastAsia="Calibri" w:cs="Arial"/>
        </w:rPr>
        <w:t xml:space="preserve">. </w:t>
      </w:r>
    </w:p>
    <w:p w:rsidR="00A81471" w:rsidRDefault="00073D12" w:rsidP="0016796A">
      <w:pPr>
        <w:pStyle w:val="Heading3"/>
        <w:rPr>
          <w:rFonts w:eastAsia="Calibri"/>
        </w:rPr>
      </w:pPr>
      <w:bookmarkStart w:id="10" w:name="_Toc338234655"/>
      <w:r>
        <w:rPr>
          <w:rFonts w:eastAsia="Calibri"/>
        </w:rPr>
        <w:t>Turning Point is not required to satisfy AEP-Ohio’s specific sREC requirements</w:t>
      </w:r>
      <w:bookmarkEnd w:id="10"/>
    </w:p>
    <w:p w:rsidR="00896C0C" w:rsidRDefault="009D1264" w:rsidP="00B10C9B">
      <w:pPr>
        <w:spacing w:line="480" w:lineRule="auto"/>
        <w:ind w:firstLine="720"/>
        <w:jc w:val="both"/>
        <w:rPr>
          <w:rFonts w:eastAsia="Calibri" w:cs="Arial"/>
        </w:rPr>
      </w:pPr>
      <w:r>
        <w:rPr>
          <w:rFonts w:eastAsia="Calibri" w:cs="Arial"/>
        </w:rPr>
        <w:t xml:space="preserve">While AEP-Ohio argues that need should be evaluated from a statewide perspective, AEP-Ohio claims that it specifically needs Turning Point to satisfy its own sREC requirements.  </w:t>
      </w:r>
      <w:r w:rsidR="00073D12">
        <w:rPr>
          <w:rFonts w:eastAsia="Calibri" w:cs="Arial"/>
        </w:rPr>
        <w:t xml:space="preserve">AEP-Ohio </w:t>
      </w:r>
      <w:r w:rsidR="00195F35">
        <w:rPr>
          <w:rFonts w:eastAsia="Calibri" w:cs="Arial"/>
        </w:rPr>
        <w:t>claims that its purchase power contract with Wyandot Solar provides it with 15.1 gigawatt hours of s</w:t>
      </w:r>
      <w:r>
        <w:rPr>
          <w:rFonts w:eastAsia="Calibri" w:cs="Arial"/>
        </w:rPr>
        <w:t>olar energy, but, “in 2013, AEP</w:t>
      </w:r>
      <w:r w:rsidR="00722637">
        <w:rPr>
          <w:rFonts w:eastAsia="Calibri" w:cs="Arial"/>
        </w:rPr>
        <w:t xml:space="preserve"> </w:t>
      </w:r>
      <w:r w:rsidR="00195F35">
        <w:rPr>
          <w:rFonts w:eastAsia="Calibri" w:cs="Arial"/>
        </w:rPr>
        <w:t>Ohio’s in-state RPS solar benchmark requirement is projected to be more than 18 GWh.”</w:t>
      </w:r>
      <w:r w:rsidR="00195F35">
        <w:rPr>
          <w:rStyle w:val="FootnoteReference"/>
          <w:rFonts w:eastAsia="Calibri" w:cs="Arial"/>
        </w:rPr>
        <w:footnoteReference w:id="16"/>
      </w:r>
      <w:r w:rsidR="00195F35">
        <w:rPr>
          <w:rFonts w:eastAsia="Calibri" w:cs="Arial"/>
        </w:rPr>
        <w:t xml:space="preserve">  </w:t>
      </w:r>
      <w:r w:rsidR="00962FC3">
        <w:rPr>
          <w:rFonts w:eastAsia="Calibri" w:cs="Arial"/>
        </w:rPr>
        <w:t xml:space="preserve">  </w:t>
      </w:r>
      <w:r w:rsidR="00195F35">
        <w:rPr>
          <w:rFonts w:eastAsia="Calibri" w:cs="Arial"/>
        </w:rPr>
        <w:t>AEP-Ohio’s assertion is factually incorrect</w:t>
      </w:r>
      <w:r w:rsidR="00896C0C">
        <w:rPr>
          <w:rFonts w:eastAsia="Calibri" w:cs="Arial"/>
        </w:rPr>
        <w:t xml:space="preserve"> for several reasons.  First, sREC obligations </w:t>
      </w:r>
      <w:r w:rsidR="00465B43">
        <w:rPr>
          <w:rFonts w:eastAsia="Calibri" w:cs="Arial"/>
        </w:rPr>
        <w:lastRenderedPageBreak/>
        <w:t>are calculated based on an EDU’s average annual</w:t>
      </w:r>
      <w:r w:rsidR="00896C0C">
        <w:rPr>
          <w:rFonts w:eastAsia="Calibri" w:cs="Arial"/>
        </w:rPr>
        <w:t xml:space="preserve"> </w:t>
      </w:r>
      <w:r w:rsidR="00465B43">
        <w:rPr>
          <w:rFonts w:eastAsia="Calibri" w:cs="Arial"/>
        </w:rPr>
        <w:t>kilowatt (“</w:t>
      </w:r>
      <w:r w:rsidR="00896C0C">
        <w:rPr>
          <w:rFonts w:eastAsia="Calibri" w:cs="Arial"/>
        </w:rPr>
        <w:t>kWh</w:t>
      </w:r>
      <w:r w:rsidR="00465B43">
        <w:rPr>
          <w:rFonts w:eastAsia="Calibri" w:cs="Arial"/>
        </w:rPr>
        <w:t>”)</w:t>
      </w:r>
      <w:r w:rsidR="00896C0C">
        <w:rPr>
          <w:rFonts w:eastAsia="Calibri" w:cs="Arial"/>
        </w:rPr>
        <w:t xml:space="preserve"> sales</w:t>
      </w:r>
      <w:r w:rsidR="00465B43">
        <w:rPr>
          <w:rFonts w:eastAsia="Calibri" w:cs="Arial"/>
        </w:rPr>
        <w:t xml:space="preserve"> in the preceding three years; thus, an EDU’s sREC obligations are</w:t>
      </w:r>
      <w:r w:rsidR="00896C0C">
        <w:rPr>
          <w:rFonts w:eastAsia="Calibri" w:cs="Arial"/>
        </w:rPr>
        <w:t xml:space="preserve"> highly sensitive to shopping.  Second,</w:t>
      </w:r>
      <w:r w:rsidR="00195F35">
        <w:rPr>
          <w:rFonts w:eastAsia="Calibri" w:cs="Arial"/>
        </w:rPr>
        <w:t xml:space="preserve"> </w:t>
      </w:r>
      <w:r w:rsidR="00896C0C">
        <w:rPr>
          <w:rFonts w:eastAsia="Calibri" w:cs="Arial"/>
        </w:rPr>
        <w:t xml:space="preserve">as admitted by AEP-Ohio witness Castle during the hearing, </w:t>
      </w:r>
      <w:r w:rsidR="00962FC3">
        <w:rPr>
          <w:rFonts w:eastAsia="Calibri" w:cs="Arial"/>
        </w:rPr>
        <w:t xml:space="preserve">    </w:t>
      </w:r>
      <w:r w:rsidR="00896C0C">
        <w:rPr>
          <w:rFonts w:eastAsia="Calibri" w:cs="Arial"/>
        </w:rPr>
        <w:t>AEP-Ohio’s claimed sREC shortage is based on the incorrect shopping assumptions contained in the LTFR Supplement.</w:t>
      </w:r>
      <w:r w:rsidR="00896C0C">
        <w:rPr>
          <w:rStyle w:val="FootnoteReference"/>
          <w:rFonts w:eastAsia="Calibri"/>
        </w:rPr>
        <w:footnoteReference w:id="17"/>
      </w:r>
      <w:r w:rsidR="00896C0C">
        <w:rPr>
          <w:rFonts w:eastAsia="Calibri" w:cs="Arial"/>
        </w:rPr>
        <w:t xml:space="preserve">  AE</w:t>
      </w:r>
      <w:r w:rsidR="00465B43">
        <w:rPr>
          <w:rFonts w:eastAsia="Calibri" w:cs="Arial"/>
        </w:rPr>
        <w:t>P-Ohio’s LTFR Supplement assumed</w:t>
      </w:r>
      <w:r w:rsidR="00896C0C">
        <w:rPr>
          <w:rFonts w:eastAsia="Calibri" w:cs="Arial"/>
        </w:rPr>
        <w:t xml:space="preserve"> </w:t>
      </w:r>
      <w:r>
        <w:rPr>
          <w:rFonts w:eastAsia="Calibri" w:cs="Arial"/>
        </w:rPr>
        <w:t xml:space="preserve">that only </w:t>
      </w:r>
      <w:r w:rsidR="00896C0C">
        <w:rPr>
          <w:rFonts w:eastAsia="Calibri" w:cs="Arial"/>
        </w:rPr>
        <w:t>9%</w:t>
      </w:r>
      <w:r w:rsidR="00465B43">
        <w:rPr>
          <w:rFonts w:eastAsia="Calibri" w:cs="Arial"/>
        </w:rPr>
        <w:t xml:space="preserve"> o</w:t>
      </w:r>
      <w:r>
        <w:rPr>
          <w:rFonts w:eastAsia="Calibri" w:cs="Arial"/>
        </w:rPr>
        <w:t>f AEP-Ohio’s load shopped in 2012, with only minor incremental shopping in future years</w:t>
      </w:r>
      <w:r w:rsidR="00896C0C">
        <w:rPr>
          <w:rFonts w:eastAsia="Calibri" w:cs="Arial"/>
        </w:rPr>
        <w:t>.</w:t>
      </w:r>
      <w:r w:rsidR="00896C0C">
        <w:rPr>
          <w:rStyle w:val="FootnoteReference"/>
          <w:rFonts w:eastAsia="Calibri"/>
        </w:rPr>
        <w:footnoteReference w:id="18"/>
      </w:r>
    </w:p>
    <w:p w:rsidR="00690537" w:rsidRDefault="009D1264" w:rsidP="00B10C9B">
      <w:pPr>
        <w:spacing w:line="480" w:lineRule="auto"/>
        <w:ind w:firstLine="720"/>
        <w:jc w:val="both"/>
        <w:rPr>
          <w:rFonts w:eastAsia="Calibri" w:cs="Arial"/>
        </w:rPr>
      </w:pPr>
      <w:r>
        <w:rPr>
          <w:rFonts w:eastAsia="Calibri" w:cs="Arial"/>
        </w:rPr>
        <w:t>Based on the affidavit of AEP-Ohio shopping expert</w:t>
      </w:r>
      <w:r w:rsidR="00896C0C">
        <w:rPr>
          <w:rFonts w:eastAsia="Calibri" w:cs="Arial"/>
        </w:rPr>
        <w:t xml:space="preserve"> William Allen that was submitted into evidence during the hearing, AEP-Ohio’s actual shopping rate (switched and pending) during the first three months of 2012 was 36.7%.</w:t>
      </w:r>
      <w:r w:rsidR="00F6015C">
        <w:rPr>
          <w:rStyle w:val="FootnoteReference"/>
          <w:rFonts w:eastAsia="Calibri" w:cs="Arial"/>
        </w:rPr>
        <w:footnoteReference w:id="19"/>
      </w:r>
      <w:r w:rsidR="00896C0C">
        <w:rPr>
          <w:rFonts w:eastAsia="Calibri" w:cs="Arial"/>
        </w:rPr>
        <w:t xml:space="preserve">  The affidavit indicated that if the Commission </w:t>
      </w:r>
      <w:r w:rsidR="00BC2A52">
        <w:rPr>
          <w:rFonts w:eastAsia="Calibri" w:cs="Arial"/>
        </w:rPr>
        <w:t>directed AEP-Ohio to charge</w:t>
      </w:r>
      <w:r w:rsidR="00BC2A52" w:rsidRPr="00BC2A52">
        <w:rPr>
          <w:rFonts w:eastAsia="Calibri" w:cs="Arial"/>
        </w:rPr>
        <w:t xml:space="preserve"> </w:t>
      </w:r>
      <w:r w:rsidR="00BC2A52">
        <w:rPr>
          <w:rFonts w:eastAsia="Calibri" w:cs="Arial"/>
        </w:rPr>
        <w:t>competitive retail electric service (“CRES”) providers</w:t>
      </w:r>
      <w:r w:rsidR="00896C0C">
        <w:rPr>
          <w:rFonts w:eastAsia="Calibri" w:cs="Arial"/>
        </w:rPr>
        <w:t xml:space="preserve"> </w:t>
      </w:r>
      <w:r w:rsidR="00BC2A52">
        <w:rPr>
          <w:rFonts w:eastAsia="Calibri" w:cs="Arial"/>
        </w:rPr>
        <w:t xml:space="preserve">the </w:t>
      </w:r>
      <w:r w:rsidR="00896C0C">
        <w:rPr>
          <w:rFonts w:eastAsia="Calibri" w:cs="Arial"/>
        </w:rPr>
        <w:t>reliabili</w:t>
      </w:r>
      <w:r w:rsidR="00BC2A52">
        <w:rPr>
          <w:rFonts w:eastAsia="Calibri" w:cs="Arial"/>
        </w:rPr>
        <w:t>ty pricing model (“RPM”) price</w:t>
      </w:r>
      <w:r w:rsidR="00896C0C">
        <w:rPr>
          <w:rFonts w:eastAsia="Calibri" w:cs="Arial"/>
        </w:rPr>
        <w:t xml:space="preserve"> for capacity, shopping would quickly rise to 79%.</w:t>
      </w:r>
      <w:r w:rsidR="00896C0C">
        <w:rPr>
          <w:rStyle w:val="FootnoteReference"/>
          <w:rFonts w:eastAsia="Calibri" w:cs="Arial"/>
        </w:rPr>
        <w:footnoteReference w:id="20"/>
      </w:r>
      <w:r w:rsidR="00BC2A52">
        <w:rPr>
          <w:rFonts w:eastAsia="Calibri" w:cs="Arial"/>
        </w:rPr>
        <w:t xml:space="preserve">  On July 2, 2012, the Commission determined that:</w:t>
      </w:r>
    </w:p>
    <w:p w:rsidR="00BC2A52" w:rsidRDefault="00BC2A52" w:rsidP="002D3E07">
      <w:pPr>
        <w:autoSpaceDE w:val="0"/>
        <w:autoSpaceDN w:val="0"/>
        <w:adjustRightInd w:val="0"/>
        <w:ind w:left="720" w:right="720"/>
        <w:jc w:val="both"/>
        <w:rPr>
          <w:rFonts w:cs="Arial"/>
        </w:rPr>
      </w:pPr>
      <w:r>
        <w:rPr>
          <w:rFonts w:cs="Arial"/>
          <w:b/>
          <w:i/>
        </w:rPr>
        <w:t>[B]</w:t>
      </w:r>
      <w:r w:rsidRPr="00BC2A52">
        <w:rPr>
          <w:rFonts w:cs="Arial"/>
          <w:b/>
          <w:i/>
        </w:rPr>
        <w:t>ecause the record in this proceeding demonstrates that RPM-based capacity pricing will promote retail electric competition, we find it necessary to take appropriate measures to facilitate this important objective.</w:t>
      </w:r>
      <w:r w:rsidRPr="00BC2A52">
        <w:rPr>
          <w:rFonts w:cs="Arial"/>
        </w:rPr>
        <w:t xml:space="preserve"> </w:t>
      </w:r>
      <w:r w:rsidRPr="00465B43">
        <w:rPr>
          <w:rFonts w:cs="Arial"/>
          <w:b/>
          <w:i/>
        </w:rPr>
        <w:t>For that reason, the Commission directs AEP-Ohio to charge CRES providers the adjusted final zonal PJM RPM rate</w:t>
      </w:r>
      <w:r w:rsidRPr="00BC2A52">
        <w:rPr>
          <w:rFonts w:cs="Arial"/>
        </w:rPr>
        <w:t xml:space="preserve"> in effect for the rest of the RTO region for</w:t>
      </w:r>
      <w:r>
        <w:rPr>
          <w:rFonts w:cs="Arial"/>
        </w:rPr>
        <w:t xml:space="preserve"> </w:t>
      </w:r>
      <w:r w:rsidRPr="00BC2A52">
        <w:rPr>
          <w:rFonts w:cs="Arial"/>
        </w:rPr>
        <w:t>the current PJM delivery year (as of today, approximately $20/MW-day), and with the rate</w:t>
      </w:r>
      <w:r>
        <w:rPr>
          <w:rFonts w:cs="Arial"/>
        </w:rPr>
        <w:t xml:space="preserve"> </w:t>
      </w:r>
      <w:r w:rsidRPr="00BC2A52">
        <w:rPr>
          <w:rFonts w:cs="Arial"/>
        </w:rPr>
        <w:t>changing annually on June 1,</w:t>
      </w:r>
      <w:r w:rsidR="000571E3">
        <w:rPr>
          <w:rFonts w:cs="Arial"/>
        </w:rPr>
        <w:t xml:space="preserve"> </w:t>
      </w:r>
      <w:r w:rsidRPr="00BC2A52">
        <w:rPr>
          <w:rFonts w:cs="Arial"/>
        </w:rPr>
        <w:t>2013, and June 1,</w:t>
      </w:r>
      <w:r w:rsidR="000571E3">
        <w:rPr>
          <w:rFonts w:cs="Arial"/>
        </w:rPr>
        <w:t xml:space="preserve"> </w:t>
      </w:r>
      <w:r w:rsidRPr="00BC2A52">
        <w:rPr>
          <w:rFonts w:cs="Arial"/>
        </w:rPr>
        <w:t>2014, to match the then current adjusted final zonal PJM RPM rate in the rest of the RTO region.</w:t>
      </w:r>
      <w:r>
        <w:rPr>
          <w:rStyle w:val="FootnoteReference"/>
          <w:rFonts w:cs="Arial"/>
        </w:rPr>
        <w:footnoteReference w:id="21"/>
      </w:r>
    </w:p>
    <w:p w:rsidR="00896C0C" w:rsidRDefault="00465B43" w:rsidP="002D3E07">
      <w:pPr>
        <w:autoSpaceDE w:val="0"/>
        <w:autoSpaceDN w:val="0"/>
        <w:adjustRightInd w:val="0"/>
        <w:spacing w:line="480" w:lineRule="auto"/>
        <w:jc w:val="both"/>
        <w:rPr>
          <w:rFonts w:eastAsia="Calibri" w:cs="Arial"/>
        </w:rPr>
      </w:pPr>
      <w:r>
        <w:rPr>
          <w:rFonts w:eastAsia="Calibri" w:cs="Arial"/>
        </w:rPr>
        <w:lastRenderedPageBreak/>
        <w:t>F</w:t>
      </w:r>
      <w:r w:rsidR="00BC2A52">
        <w:rPr>
          <w:rFonts w:eastAsia="Calibri" w:cs="Arial"/>
        </w:rPr>
        <w:t xml:space="preserve">or purposes of determining AEP-Ohio’s future sREC obligations, the Commission must take </w:t>
      </w:r>
      <w:r w:rsidR="00573A8C">
        <w:rPr>
          <w:rFonts w:eastAsia="Calibri" w:cs="Arial"/>
        </w:rPr>
        <w:t xml:space="preserve">the sworn statement </w:t>
      </w:r>
      <w:r w:rsidR="00054D56">
        <w:rPr>
          <w:rFonts w:eastAsia="Calibri" w:cs="Arial"/>
        </w:rPr>
        <w:t>contained in the affidavit</w:t>
      </w:r>
      <w:r w:rsidR="00BC2A52">
        <w:rPr>
          <w:rFonts w:eastAsia="Calibri" w:cs="Arial"/>
        </w:rPr>
        <w:t xml:space="preserve"> as true.  </w:t>
      </w:r>
      <w:r w:rsidR="00896C0C">
        <w:rPr>
          <w:rFonts w:eastAsia="Calibri" w:cs="Arial"/>
        </w:rPr>
        <w:t>Utilizing the 79</w:t>
      </w:r>
      <w:r w:rsidR="00896C0C" w:rsidRPr="00411A99">
        <w:rPr>
          <w:rFonts w:eastAsia="Calibri" w:cs="Arial"/>
        </w:rPr>
        <w:t>%</w:t>
      </w:r>
      <w:r w:rsidR="00896C0C">
        <w:rPr>
          <w:rFonts w:eastAsia="Calibri" w:cs="Arial"/>
        </w:rPr>
        <w:t xml:space="preserve"> shopping projection from the affidavit of Mr. Allen, Dr. Lesser</w:t>
      </w:r>
      <w:r w:rsidR="00934DFD">
        <w:rPr>
          <w:rFonts w:eastAsia="Calibri" w:cs="Arial"/>
        </w:rPr>
        <w:t xml:space="preserve"> determined that AE</w:t>
      </w:r>
      <w:r w:rsidR="00054D56">
        <w:rPr>
          <w:rFonts w:eastAsia="Calibri" w:cs="Arial"/>
        </w:rPr>
        <w:t>P</w:t>
      </w:r>
      <w:r w:rsidR="00934DFD">
        <w:rPr>
          <w:rFonts w:eastAsia="Calibri" w:cs="Arial"/>
        </w:rPr>
        <w:t>-Ohio</w:t>
      </w:r>
      <w:r w:rsidR="00054D56">
        <w:rPr>
          <w:rFonts w:eastAsia="Calibri" w:cs="Arial"/>
        </w:rPr>
        <w:t>’s in-state s</w:t>
      </w:r>
      <w:r w:rsidR="00896C0C">
        <w:rPr>
          <w:rFonts w:eastAsia="Calibri" w:cs="Arial"/>
        </w:rPr>
        <w:t>REC requirement would peak at 16,282 MW hours</w:t>
      </w:r>
      <w:r w:rsidR="00896C0C">
        <w:rPr>
          <w:rStyle w:val="FootnoteReference"/>
          <w:rFonts w:eastAsia="Calibri"/>
        </w:rPr>
        <w:footnoteReference w:id="22"/>
      </w:r>
      <w:r w:rsidR="00896C0C">
        <w:rPr>
          <w:rFonts w:eastAsia="Calibri" w:cs="Arial"/>
        </w:rPr>
        <w:t xml:space="preserve"> and</w:t>
      </w:r>
      <w:r w:rsidR="00054D56">
        <w:rPr>
          <w:rFonts w:eastAsia="Calibri" w:cs="Arial"/>
        </w:rPr>
        <w:t xml:space="preserve"> then</w:t>
      </w:r>
      <w:r w:rsidR="00896C0C">
        <w:rPr>
          <w:rFonts w:eastAsia="Calibri" w:cs="Arial"/>
        </w:rPr>
        <w:t xml:space="preserve"> not exceed 15,000 MW</w:t>
      </w:r>
      <w:r w:rsidR="00054D56">
        <w:rPr>
          <w:rFonts w:eastAsia="Calibri" w:cs="Arial"/>
        </w:rPr>
        <w:t xml:space="preserve"> hours per year before 2020.  Because AEP-Ohio</w:t>
      </w:r>
      <w:r w:rsidR="00896C0C">
        <w:rPr>
          <w:rFonts w:eastAsia="Calibri" w:cs="Arial"/>
        </w:rPr>
        <w:t xml:space="preserve"> has a long-term purchase power agreement with W</w:t>
      </w:r>
      <w:r w:rsidR="00054D56">
        <w:rPr>
          <w:rFonts w:eastAsia="Calibri" w:cs="Arial"/>
        </w:rPr>
        <w:t xml:space="preserve">yandot Solar </w:t>
      </w:r>
      <w:r w:rsidR="00896C0C">
        <w:rPr>
          <w:rFonts w:eastAsia="Calibri" w:cs="Arial"/>
        </w:rPr>
        <w:t>that will produce 15,</w:t>
      </w:r>
      <w:r w:rsidR="00054D56">
        <w:rPr>
          <w:rFonts w:eastAsia="Calibri" w:cs="Arial"/>
        </w:rPr>
        <w:t>100 MW hours of energy per year,</w:t>
      </w:r>
      <w:r w:rsidR="00896C0C">
        <w:rPr>
          <w:rStyle w:val="FootnoteReference"/>
          <w:rFonts w:eastAsia="Calibri"/>
        </w:rPr>
        <w:footnoteReference w:id="23"/>
      </w:r>
      <w:r w:rsidR="00896C0C">
        <w:rPr>
          <w:rFonts w:eastAsia="Calibri" w:cs="Arial"/>
        </w:rPr>
        <w:t xml:space="preserve"> the Wyandot Solar facility alone will sat</w:t>
      </w:r>
      <w:r w:rsidR="00054D56">
        <w:rPr>
          <w:rFonts w:eastAsia="Calibri" w:cs="Arial"/>
        </w:rPr>
        <w:t>isfy AEP</w:t>
      </w:r>
      <w:r w:rsidR="00F6015C">
        <w:rPr>
          <w:rFonts w:eastAsia="Calibri" w:cs="Arial"/>
        </w:rPr>
        <w:t>-Ohio</w:t>
      </w:r>
      <w:r w:rsidR="00054D56">
        <w:rPr>
          <w:rFonts w:eastAsia="Calibri" w:cs="Arial"/>
        </w:rPr>
        <w:t>’s s</w:t>
      </w:r>
      <w:r w:rsidR="00896C0C">
        <w:rPr>
          <w:rFonts w:eastAsia="Calibri" w:cs="Arial"/>
        </w:rPr>
        <w:t>REC requirements through at least 2020.</w:t>
      </w:r>
    </w:p>
    <w:p w:rsidR="002D3E07" w:rsidRDefault="002D3E07" w:rsidP="00B10C9B">
      <w:pPr>
        <w:autoSpaceDE w:val="0"/>
        <w:autoSpaceDN w:val="0"/>
        <w:adjustRightInd w:val="0"/>
        <w:spacing w:after="120" w:line="480" w:lineRule="auto"/>
        <w:jc w:val="both"/>
        <w:rPr>
          <w:rFonts w:eastAsia="Calibri" w:cs="Arial"/>
        </w:rPr>
      </w:pPr>
      <w:r>
        <w:rPr>
          <w:rFonts w:eastAsia="Calibri" w:cs="Arial"/>
        </w:rPr>
        <w:tab/>
        <w:t>In recognit</w:t>
      </w:r>
      <w:r w:rsidR="00F8525A">
        <w:rPr>
          <w:rFonts w:eastAsia="Calibri" w:cs="Arial"/>
        </w:rPr>
        <w:t>ion of the above shopping projections</w:t>
      </w:r>
      <w:r>
        <w:rPr>
          <w:rFonts w:eastAsia="Calibri" w:cs="Arial"/>
        </w:rPr>
        <w:t xml:space="preserve">, </w:t>
      </w:r>
      <w:r w:rsidR="00125A53">
        <w:rPr>
          <w:rFonts w:eastAsia="Calibri" w:cs="Arial"/>
        </w:rPr>
        <w:t>AEP-Ohio</w:t>
      </w:r>
      <w:r w:rsidR="00054D56">
        <w:rPr>
          <w:rFonts w:eastAsia="Calibri" w:cs="Arial"/>
        </w:rPr>
        <w:t xml:space="preserve"> attempted to deflect attention from its specific sREC requirements.  </w:t>
      </w:r>
      <w:r w:rsidR="00FB2EF9">
        <w:rPr>
          <w:rFonts w:eastAsia="Calibri" w:cs="Arial"/>
        </w:rPr>
        <w:t xml:space="preserve">To this end, </w:t>
      </w:r>
      <w:r w:rsidR="00054D56">
        <w:rPr>
          <w:rFonts w:eastAsia="Calibri" w:cs="Arial"/>
        </w:rPr>
        <w:t>AEP-Ohio</w:t>
      </w:r>
      <w:r>
        <w:rPr>
          <w:rFonts w:eastAsia="Calibri" w:cs="Arial"/>
        </w:rPr>
        <w:t xml:space="preserve"> has claimed</w:t>
      </w:r>
      <w:r w:rsidR="00125A53">
        <w:rPr>
          <w:rFonts w:eastAsia="Calibri" w:cs="Arial"/>
        </w:rPr>
        <w:t xml:space="preserve"> that it is the provider of last resort and s</w:t>
      </w:r>
      <w:r w:rsidR="00E1649C">
        <w:rPr>
          <w:rFonts w:eastAsia="Calibri" w:cs="Arial"/>
        </w:rPr>
        <w:t>hopping customers may return down the road</w:t>
      </w:r>
      <w:r>
        <w:rPr>
          <w:rFonts w:eastAsia="Calibri" w:cs="Arial"/>
        </w:rPr>
        <w:t>; therefore, Turning Point is needed now to safeguard against that possibility</w:t>
      </w:r>
      <w:r w:rsidR="00F05BD1">
        <w:rPr>
          <w:rFonts w:eastAsia="Calibri" w:cs="Arial"/>
        </w:rPr>
        <w:t>.</w:t>
      </w:r>
      <w:r w:rsidR="00E1649C">
        <w:rPr>
          <w:rStyle w:val="FootnoteReference"/>
          <w:rFonts w:eastAsia="Calibri" w:cs="Arial"/>
        </w:rPr>
        <w:footnoteReference w:id="24"/>
      </w:r>
      <w:r w:rsidR="00F05BD1">
        <w:rPr>
          <w:rFonts w:eastAsia="Calibri" w:cs="Arial"/>
        </w:rPr>
        <w:t xml:space="preserve"> </w:t>
      </w:r>
      <w:r w:rsidR="00E1649C">
        <w:rPr>
          <w:rFonts w:eastAsia="Calibri" w:cs="Arial"/>
        </w:rPr>
        <w:t xml:space="preserve"> </w:t>
      </w:r>
      <w:r w:rsidR="00962FC3">
        <w:rPr>
          <w:rFonts w:eastAsia="Calibri" w:cs="Arial"/>
        </w:rPr>
        <w:t xml:space="preserve">        </w:t>
      </w:r>
      <w:r w:rsidR="00E1649C">
        <w:rPr>
          <w:rFonts w:eastAsia="Calibri" w:cs="Arial"/>
        </w:rPr>
        <w:t>AEP-Ohio’s argument is flawed.  There is no evidence in the record to suggest that customers may one day return</w:t>
      </w:r>
      <w:r w:rsidR="00FB2EF9">
        <w:rPr>
          <w:rFonts w:eastAsia="Calibri" w:cs="Arial"/>
        </w:rPr>
        <w:t xml:space="preserve"> and </w:t>
      </w:r>
      <w:r w:rsidR="004470C8">
        <w:rPr>
          <w:rFonts w:eastAsia="Calibri" w:cs="Arial"/>
        </w:rPr>
        <w:t xml:space="preserve">the timing of any return may well occur after </w:t>
      </w:r>
      <w:r w:rsidR="00962FC3">
        <w:rPr>
          <w:rFonts w:eastAsia="Calibri" w:cs="Arial"/>
        </w:rPr>
        <w:t xml:space="preserve">     </w:t>
      </w:r>
      <w:r w:rsidR="004470C8">
        <w:rPr>
          <w:rFonts w:eastAsia="Calibri" w:cs="Arial"/>
        </w:rPr>
        <w:t>AEP-Ohio has commenced reliance on a competitive bid process (</w:t>
      </w:r>
      <w:r w:rsidR="00DD06C1">
        <w:rPr>
          <w:rFonts w:eastAsia="Calibri" w:cs="Arial"/>
        </w:rPr>
        <w:t>“</w:t>
      </w:r>
      <w:r w:rsidR="004470C8">
        <w:rPr>
          <w:rFonts w:eastAsia="Calibri" w:cs="Arial"/>
        </w:rPr>
        <w:t>CBP</w:t>
      </w:r>
      <w:r w:rsidR="00DD06C1">
        <w:rPr>
          <w:rFonts w:eastAsia="Calibri" w:cs="Arial"/>
        </w:rPr>
        <w:t>”</w:t>
      </w:r>
      <w:r w:rsidR="004470C8">
        <w:rPr>
          <w:rFonts w:eastAsia="Calibri" w:cs="Arial"/>
        </w:rPr>
        <w:t>) to establish the price of default generation supply</w:t>
      </w:r>
      <w:r w:rsidR="00E1649C">
        <w:rPr>
          <w:rFonts w:eastAsia="Calibri" w:cs="Arial"/>
        </w:rPr>
        <w:t>.</w:t>
      </w:r>
      <w:r w:rsidR="004470C8">
        <w:rPr>
          <w:rFonts w:eastAsia="Calibri" w:cs="Arial"/>
        </w:rPr>
        <w:t xml:space="preserve">  As part of this CBP, AEP-Ohio will have the opportunity to require default generation supply bidders to satisfy the s</w:t>
      </w:r>
      <w:r w:rsidR="00417418">
        <w:rPr>
          <w:rFonts w:eastAsia="Calibri" w:cs="Arial"/>
        </w:rPr>
        <w:t>REC</w:t>
      </w:r>
      <w:r w:rsidR="004470C8">
        <w:rPr>
          <w:rFonts w:eastAsia="Calibri" w:cs="Arial"/>
        </w:rPr>
        <w:t xml:space="preserve"> requirements.</w:t>
      </w:r>
      <w:r>
        <w:rPr>
          <w:rFonts w:eastAsia="Calibri" w:cs="Arial"/>
        </w:rPr>
        <w:t xml:space="preserve">  And if customers </w:t>
      </w:r>
      <w:r w:rsidR="004470C8">
        <w:rPr>
          <w:rFonts w:eastAsia="Calibri" w:cs="Arial"/>
        </w:rPr>
        <w:t xml:space="preserve">do </w:t>
      </w:r>
      <w:r>
        <w:rPr>
          <w:rFonts w:eastAsia="Calibri" w:cs="Arial"/>
        </w:rPr>
        <w:t>return</w:t>
      </w:r>
      <w:r w:rsidR="004470C8">
        <w:rPr>
          <w:rFonts w:eastAsia="Calibri" w:cs="Arial"/>
        </w:rPr>
        <w:t xml:space="preserve"> in the future in ways that AEP-Ohio is, in other </w:t>
      </w:r>
      <w:r w:rsidR="00DD06C1">
        <w:rPr>
          <w:rFonts w:eastAsia="Calibri" w:cs="Arial"/>
        </w:rPr>
        <w:t>C</w:t>
      </w:r>
      <w:r w:rsidR="004470C8">
        <w:rPr>
          <w:rFonts w:eastAsia="Calibri" w:cs="Arial"/>
        </w:rPr>
        <w:t>ommission proceedings, claiming will not happen</w:t>
      </w:r>
      <w:r>
        <w:rPr>
          <w:rFonts w:eastAsia="Calibri" w:cs="Arial"/>
        </w:rPr>
        <w:t xml:space="preserve">, </w:t>
      </w:r>
      <w:r w:rsidR="00E1649C">
        <w:rPr>
          <w:rFonts w:eastAsia="Calibri" w:cs="Arial"/>
        </w:rPr>
        <w:t>then AEP-Ohio, at that time</w:t>
      </w:r>
      <w:r w:rsidR="00FB2EF9">
        <w:rPr>
          <w:rFonts w:eastAsia="Calibri" w:cs="Arial"/>
        </w:rPr>
        <w:t xml:space="preserve"> </w:t>
      </w:r>
      <w:r w:rsidR="00E1649C">
        <w:rPr>
          <w:rFonts w:eastAsia="Calibri" w:cs="Arial"/>
        </w:rPr>
        <w:t>—</w:t>
      </w:r>
      <w:r w:rsidR="004470C8">
        <w:rPr>
          <w:rFonts w:eastAsia="Calibri" w:cs="Arial"/>
        </w:rPr>
        <w:t xml:space="preserve"> </w:t>
      </w:r>
      <w:r>
        <w:rPr>
          <w:rFonts w:eastAsia="Calibri" w:cs="Arial"/>
        </w:rPr>
        <w:t xml:space="preserve">assuming the premise of AEP-Ohio’s argument is legal and </w:t>
      </w:r>
      <w:r w:rsidR="00E1649C">
        <w:rPr>
          <w:rFonts w:eastAsia="Calibri" w:cs="Arial"/>
        </w:rPr>
        <w:t xml:space="preserve">if there are no sRECs </w:t>
      </w:r>
      <w:r w:rsidR="00E1649C">
        <w:rPr>
          <w:rFonts w:eastAsia="Calibri" w:cs="Arial"/>
        </w:rPr>
        <w:lastRenderedPageBreak/>
        <w:t>available in the market</w:t>
      </w:r>
      <w:r w:rsidR="004470C8">
        <w:rPr>
          <w:rFonts w:eastAsia="Calibri" w:cs="Arial"/>
        </w:rPr>
        <w:t xml:space="preserve"> </w:t>
      </w:r>
      <w:r w:rsidR="00E1649C">
        <w:rPr>
          <w:rFonts w:eastAsia="Calibri" w:cs="Arial"/>
        </w:rPr>
        <w:t>—</w:t>
      </w:r>
      <w:r w:rsidR="004470C8">
        <w:rPr>
          <w:rFonts w:eastAsia="Calibri" w:cs="Arial"/>
        </w:rPr>
        <w:t xml:space="preserve"> </w:t>
      </w:r>
      <w:r w:rsidR="00054D56">
        <w:rPr>
          <w:rFonts w:eastAsia="Calibri" w:cs="Arial"/>
        </w:rPr>
        <w:t xml:space="preserve">may </w:t>
      </w:r>
      <w:r w:rsidR="00E1649C">
        <w:rPr>
          <w:rFonts w:eastAsia="Calibri" w:cs="Arial"/>
        </w:rPr>
        <w:t>seek a finding of need in a</w:t>
      </w:r>
      <w:r w:rsidR="004470C8">
        <w:rPr>
          <w:rFonts w:eastAsia="Calibri" w:cs="Arial"/>
        </w:rPr>
        <w:t xml:space="preserve"> future</w:t>
      </w:r>
      <w:r w:rsidR="00E1649C">
        <w:rPr>
          <w:rFonts w:eastAsia="Calibri" w:cs="Arial"/>
        </w:rPr>
        <w:t xml:space="preserve"> ESP proceeding.  After all, sREC obligations are cal</w:t>
      </w:r>
      <w:r w:rsidR="00417418">
        <w:rPr>
          <w:rFonts w:eastAsia="Calibri" w:cs="Arial"/>
        </w:rPr>
        <w:t>culated based on the energy sales from the preceding three</w:t>
      </w:r>
      <w:r w:rsidR="00E1649C">
        <w:rPr>
          <w:rFonts w:eastAsia="Calibri" w:cs="Arial"/>
        </w:rPr>
        <w:t xml:space="preserve"> </w:t>
      </w:r>
      <w:r w:rsidR="00417418">
        <w:rPr>
          <w:rFonts w:eastAsia="Calibri" w:cs="Arial"/>
        </w:rPr>
        <w:t>years</w:t>
      </w:r>
      <w:r w:rsidR="00E1649C">
        <w:rPr>
          <w:rFonts w:eastAsia="Calibri" w:cs="Arial"/>
        </w:rPr>
        <w:t>;</w:t>
      </w:r>
      <w:r w:rsidR="00E1649C">
        <w:rPr>
          <w:rStyle w:val="FootnoteReference"/>
          <w:rFonts w:eastAsia="Calibri" w:cs="Arial"/>
        </w:rPr>
        <w:footnoteReference w:id="25"/>
      </w:r>
      <w:r w:rsidR="00E1649C">
        <w:rPr>
          <w:rFonts w:eastAsia="Calibri" w:cs="Arial"/>
        </w:rPr>
        <w:t xml:space="preserve"> thus, there would be sufficient lag time between customers returning and the obligation coming due to construct a new facility.</w:t>
      </w:r>
      <w:r>
        <w:rPr>
          <w:rFonts w:eastAsia="Calibri" w:cs="Arial"/>
        </w:rPr>
        <w:t xml:space="preserve">  Moreover, the Commission may adjust the compliance obligation pursuant to Section 4928.64(C), Revised Code.  </w:t>
      </w:r>
    </w:p>
    <w:p w:rsidR="00125A53" w:rsidRPr="00F8525A" w:rsidRDefault="00F8525A" w:rsidP="0016796A">
      <w:pPr>
        <w:pStyle w:val="Heading3"/>
      </w:pPr>
      <w:bookmarkStart w:id="11" w:name="_Toc338234656"/>
      <w:r w:rsidRPr="00F8525A">
        <w:rPr>
          <w:rFonts w:eastAsia="Calibri"/>
        </w:rPr>
        <w:t>Evidence of a</w:t>
      </w:r>
      <w:r w:rsidR="00465B43">
        <w:rPr>
          <w:rFonts w:eastAsia="Calibri"/>
        </w:rPr>
        <w:t xml:space="preserve"> state</w:t>
      </w:r>
      <w:r>
        <w:rPr>
          <w:rFonts w:eastAsia="Calibri"/>
        </w:rPr>
        <w:t>wide need is irrelevant</w:t>
      </w:r>
      <w:bookmarkEnd w:id="11"/>
      <w:r>
        <w:rPr>
          <w:rFonts w:eastAsia="Calibri"/>
        </w:rPr>
        <w:t xml:space="preserve"> </w:t>
      </w:r>
    </w:p>
    <w:p w:rsidR="007A3351" w:rsidRDefault="00F8525A" w:rsidP="00F8525A">
      <w:pPr>
        <w:autoSpaceDE w:val="0"/>
        <w:autoSpaceDN w:val="0"/>
        <w:adjustRightInd w:val="0"/>
        <w:spacing w:line="480" w:lineRule="auto"/>
        <w:ind w:firstLine="720"/>
        <w:jc w:val="both"/>
      </w:pPr>
      <w:r>
        <w:t xml:space="preserve">AEP-Ohio, UT, and Staff, through varying theories, argue </w:t>
      </w:r>
      <w:r w:rsidR="00BB7FB5">
        <w:t>that need should be evaluated from a statewide approach</w:t>
      </w:r>
      <w:r>
        <w:t xml:space="preserve">. </w:t>
      </w:r>
      <w:r w:rsidR="00054D56">
        <w:t xml:space="preserve"> While each argument is individually without merit, as addressed below, </w:t>
      </w:r>
      <w:r w:rsidR="007A3351">
        <w:t xml:space="preserve">Section 4928.143(C), Revised Code, precludes an evaluation of need based on a statewide approach: </w:t>
      </w:r>
    </w:p>
    <w:p w:rsidR="00F8525A" w:rsidRDefault="007A3351" w:rsidP="00417418">
      <w:pPr>
        <w:autoSpaceDE w:val="0"/>
        <w:autoSpaceDN w:val="0"/>
        <w:adjustRightInd w:val="0"/>
        <w:ind w:left="720" w:right="720"/>
        <w:jc w:val="both"/>
      </w:pPr>
      <w:r>
        <w:t>[I]</w:t>
      </w:r>
      <w:r w:rsidRPr="007A3351">
        <w:t xml:space="preserve">f the commission so approves an application that contains a surcharge under division (B)(2)(b) or (c) of this section, </w:t>
      </w:r>
      <w:r w:rsidRPr="007A3351">
        <w:rPr>
          <w:b/>
        </w:rPr>
        <w:t>the commission shall ensure that the benefits derived for any purpose for which the surcharge is established are reserved and made available to those that bear the surcharge</w:t>
      </w:r>
      <w:r w:rsidRPr="007A3351">
        <w:t>.</w:t>
      </w:r>
      <w:r w:rsidR="00417418">
        <w:rPr>
          <w:rStyle w:val="FootnoteReference"/>
        </w:rPr>
        <w:footnoteReference w:id="26"/>
      </w:r>
    </w:p>
    <w:p w:rsidR="007A3351" w:rsidRDefault="007A3351" w:rsidP="007A3351">
      <w:pPr>
        <w:autoSpaceDE w:val="0"/>
        <w:autoSpaceDN w:val="0"/>
        <w:adjustRightInd w:val="0"/>
        <w:jc w:val="both"/>
      </w:pPr>
    </w:p>
    <w:p w:rsidR="007A3351" w:rsidRDefault="006A0091" w:rsidP="006A0091">
      <w:pPr>
        <w:autoSpaceDE w:val="0"/>
        <w:autoSpaceDN w:val="0"/>
        <w:adjustRightInd w:val="0"/>
        <w:spacing w:line="480" w:lineRule="auto"/>
        <w:jc w:val="both"/>
      </w:pPr>
      <w:r>
        <w:t>Taking account of the need outside of AEP-Ohio’s service territory would require customers of AEP-Ohio to</w:t>
      </w:r>
      <w:r w:rsidR="00BB7FB5">
        <w:t xml:space="preserve"> pay a surcharge for </w:t>
      </w:r>
      <w:r>
        <w:t xml:space="preserve">a benefit to customers outside of </w:t>
      </w:r>
      <w:r w:rsidR="00962FC3">
        <w:t xml:space="preserve">     </w:t>
      </w:r>
      <w:r>
        <w:t xml:space="preserve">AEP-Ohio’s service territory; an outcome prohibited under Ohio law.  AEP-Ohio, Staff, and UT each failed to address this legal </w:t>
      </w:r>
      <w:r w:rsidR="004470C8">
        <w:t xml:space="preserve">barrier to their effort to entice the Commission to evaluate the Stipulation from a statewide perspective which is nowhere mentioned in the Stipulation.  </w:t>
      </w:r>
    </w:p>
    <w:p w:rsidR="007A3351" w:rsidRDefault="00465B43" w:rsidP="00B10C9B">
      <w:pPr>
        <w:autoSpaceDE w:val="0"/>
        <w:autoSpaceDN w:val="0"/>
        <w:adjustRightInd w:val="0"/>
        <w:spacing w:line="480" w:lineRule="auto"/>
        <w:ind w:firstLine="720"/>
        <w:jc w:val="both"/>
        <w:rPr>
          <w:rFonts w:eastAsia="Calibri" w:cs="Arial"/>
          <w:lang w:val="en"/>
        </w:rPr>
      </w:pPr>
      <w:r>
        <w:t>AEP-Ohio argues</w:t>
      </w:r>
      <w:r w:rsidR="00593B88">
        <w:t xml:space="preserve"> that</w:t>
      </w:r>
      <w:r w:rsidR="009F2BCA">
        <w:t xml:space="preserve"> Section 4935.04(F)</w:t>
      </w:r>
      <w:r w:rsidR="00593B88">
        <w:t>(6)</w:t>
      </w:r>
      <w:r w:rsidR="009F2BCA">
        <w:t>,</w:t>
      </w:r>
      <w:r>
        <w:t xml:space="preserve"> Revised Code, supports its position because,</w:t>
      </w:r>
      <w:r w:rsidR="009F2BCA">
        <w:t xml:space="preserve"> the Commission “shall determine if . . . the report considers plans for expansion of the regional power grid and the planned facilities of other utilities in the </w:t>
      </w:r>
      <w:r w:rsidR="009F2BCA">
        <w:lastRenderedPageBreak/>
        <w:t>state.”</w:t>
      </w:r>
      <w:r w:rsidR="007A3351">
        <w:t xml:space="preserve">  Staff</w:t>
      </w:r>
      <w:r w:rsidR="00BE0C0F">
        <w:t xml:space="preserve"> and UT make similar arguments</w:t>
      </w:r>
      <w:r w:rsidR="007A3351">
        <w:t>.</w:t>
      </w:r>
      <w:r w:rsidR="007A3351">
        <w:rPr>
          <w:rStyle w:val="FootnoteReference"/>
        </w:rPr>
        <w:footnoteReference w:id="27"/>
      </w:r>
      <w:r>
        <w:t xml:space="preserve">  First,</w:t>
      </w:r>
      <w:r w:rsidR="009F2BCA">
        <w:t xml:space="preserve"> AEP-Ohio</w:t>
      </w:r>
      <w:r w:rsidR="00934DFD">
        <w:t>,</w:t>
      </w:r>
      <w:r w:rsidR="007A3351">
        <w:t xml:space="preserve"> Staff</w:t>
      </w:r>
      <w:r w:rsidR="00934DFD">
        <w:t>, and UT</w:t>
      </w:r>
      <w:r w:rsidR="007A3351">
        <w:t xml:space="preserve"> fail</w:t>
      </w:r>
      <w:r w:rsidR="009F2BCA">
        <w:t xml:space="preserve"> to comprehend that the “facilities” identified in the LTFR sta</w:t>
      </w:r>
      <w:r w:rsidR="009E736E">
        <w:t>tute are transmission lines</w:t>
      </w:r>
      <w:r w:rsidR="009F2BCA">
        <w:t xml:space="preserve">.  Amended Substitute Senate Bill 3 </w:t>
      </w:r>
      <w:r w:rsidR="009F2BCA">
        <w:rPr>
          <w:rFonts w:eastAsia="Calibri" w:cs="Arial"/>
          <w:lang w:val="en"/>
        </w:rPr>
        <w:t xml:space="preserve">removed “electric generating facility” from the definition of “major utility facility” in the LTFR statute.  </w:t>
      </w:r>
      <w:r w:rsidR="00021D19">
        <w:rPr>
          <w:rFonts w:eastAsia="Calibri" w:cs="Arial"/>
          <w:lang w:val="en"/>
        </w:rPr>
        <w:t xml:space="preserve">The definition of </w:t>
      </w:r>
      <w:r w:rsidR="009F2BCA">
        <w:rPr>
          <w:rFonts w:eastAsia="Calibri" w:cs="Arial"/>
          <w:lang w:val="en"/>
        </w:rPr>
        <w:t>“</w:t>
      </w:r>
      <w:r w:rsidR="00DD06C1">
        <w:rPr>
          <w:rFonts w:eastAsia="Calibri" w:cs="Arial"/>
          <w:lang w:val="en"/>
        </w:rPr>
        <w:t>m</w:t>
      </w:r>
      <w:r w:rsidR="009F2BCA">
        <w:rPr>
          <w:rFonts w:eastAsia="Calibri" w:cs="Arial"/>
          <w:lang w:val="en"/>
        </w:rPr>
        <w:t xml:space="preserve">ajor utility facility” is now </w:t>
      </w:r>
      <w:r w:rsidR="00021D19">
        <w:rPr>
          <w:rFonts w:eastAsia="Calibri" w:cs="Arial"/>
          <w:lang w:val="en"/>
        </w:rPr>
        <w:t xml:space="preserve">limited to </w:t>
      </w:r>
      <w:r w:rsidR="009F2BCA">
        <w:rPr>
          <w:rFonts w:eastAsia="Calibri" w:cs="Arial"/>
          <w:lang w:val="en"/>
        </w:rPr>
        <w:t>a transmission line.  Thus, use of the term “facilities” in the context of the LT</w:t>
      </w:r>
      <w:r w:rsidR="00DD06C1">
        <w:rPr>
          <w:rFonts w:eastAsia="Calibri" w:cs="Arial"/>
          <w:lang w:val="en"/>
        </w:rPr>
        <w:t>F</w:t>
      </w:r>
      <w:r w:rsidR="009F2BCA">
        <w:rPr>
          <w:rFonts w:eastAsia="Calibri" w:cs="Arial"/>
          <w:lang w:val="en"/>
        </w:rPr>
        <w:t>R statute refers to transmission line</w:t>
      </w:r>
      <w:r w:rsidR="00021D19">
        <w:rPr>
          <w:rFonts w:eastAsia="Calibri" w:cs="Arial"/>
          <w:lang w:val="en"/>
        </w:rPr>
        <w:t>s above specified voltage levels</w:t>
      </w:r>
      <w:r w:rsidR="007A3351">
        <w:rPr>
          <w:rFonts w:eastAsia="Calibri" w:cs="Arial"/>
          <w:lang w:val="en"/>
        </w:rPr>
        <w:t xml:space="preserve"> and cannot be relied upon to demonstrate that the Commission</w:t>
      </w:r>
      <w:r w:rsidR="009E736E">
        <w:rPr>
          <w:rFonts w:eastAsia="Calibri" w:cs="Arial"/>
          <w:lang w:val="en"/>
        </w:rPr>
        <w:t xml:space="preserve"> can</w:t>
      </w:r>
      <w:r w:rsidR="007A3351">
        <w:rPr>
          <w:rFonts w:eastAsia="Calibri" w:cs="Arial"/>
          <w:lang w:val="en"/>
        </w:rPr>
        <w:t xml:space="preserve"> make a finding o</w:t>
      </w:r>
      <w:r w:rsidR="009E736E">
        <w:rPr>
          <w:rFonts w:eastAsia="Calibri" w:cs="Arial"/>
          <w:lang w:val="en"/>
        </w:rPr>
        <w:t xml:space="preserve">f need based on a statewide </w:t>
      </w:r>
      <w:r w:rsidR="00021D19">
        <w:rPr>
          <w:rFonts w:eastAsia="Calibri" w:cs="Arial"/>
          <w:lang w:val="en"/>
        </w:rPr>
        <w:t>assessment regarding the need for sRECs or Turning Point</w:t>
      </w:r>
      <w:r w:rsidR="009F2BCA">
        <w:rPr>
          <w:rFonts w:eastAsia="Calibri" w:cs="Arial"/>
          <w:lang w:val="en"/>
        </w:rPr>
        <w:t>.</w:t>
      </w:r>
    </w:p>
    <w:p w:rsidR="00465B43" w:rsidRPr="00465B43" w:rsidRDefault="00465B43" w:rsidP="00B10C9B">
      <w:pPr>
        <w:autoSpaceDE w:val="0"/>
        <w:autoSpaceDN w:val="0"/>
        <w:adjustRightInd w:val="0"/>
        <w:spacing w:line="480" w:lineRule="auto"/>
        <w:ind w:firstLine="720"/>
        <w:jc w:val="both"/>
      </w:pPr>
      <w:r>
        <w:t>Second, even if the facilities referenced in the statute are generation related, the consideration of planned facilities does not imply that the existence</w:t>
      </w:r>
      <w:r w:rsidR="00DD06C1">
        <w:t>,</w:t>
      </w:r>
      <w:r>
        <w:t xml:space="preserve"> or lack thereof</w:t>
      </w:r>
      <w:r w:rsidR="00DD06C1">
        <w:t>,</w:t>
      </w:r>
      <w:r>
        <w:t xml:space="preserve"> of such facilities supports the proposition that a finding of need can be made in a</w:t>
      </w:r>
      <w:r w:rsidR="00DD06C1">
        <w:t>n</w:t>
      </w:r>
      <w:r>
        <w:t xml:space="preserve"> LTFR proceeding.  Although the LTFR must</w:t>
      </w:r>
      <w:r w:rsidRPr="009E736E">
        <w:rPr>
          <w:i/>
        </w:rPr>
        <w:t xml:space="preserve"> consider</w:t>
      </w:r>
      <w:r>
        <w:t xml:space="preserve"> the planned facilities of other utilities, as stated above, the Commission’s role in an LTFR proceeding is to determine whether the LTFR is accurate, complete, and reasonable.</w:t>
      </w:r>
      <w:r w:rsidR="007633B8">
        <w:t xml:space="preserve">  </w:t>
      </w:r>
      <w:r w:rsidR="00021D19">
        <w:t>And the Stipulation asks the Commission to make a determination of need in the LTFR proceeding for the purposes of satisfying the need requirement that must be met in an ESP proceeding before a non-bypassable charge can be lawfully authorized by the Commission.</w:t>
      </w:r>
    </w:p>
    <w:p w:rsidR="00F8525A" w:rsidRPr="00F8525A" w:rsidRDefault="007A3351" w:rsidP="00B10C9B">
      <w:pPr>
        <w:autoSpaceDE w:val="0"/>
        <w:autoSpaceDN w:val="0"/>
        <w:adjustRightInd w:val="0"/>
        <w:spacing w:line="480" w:lineRule="auto"/>
        <w:ind w:firstLine="720"/>
        <w:jc w:val="both"/>
      </w:pPr>
      <w:r>
        <w:rPr>
          <w:rFonts w:eastAsia="Calibri" w:cs="Arial"/>
          <w:lang w:val="en"/>
        </w:rPr>
        <w:t>AEP</w:t>
      </w:r>
      <w:r w:rsidR="00054D56">
        <w:rPr>
          <w:rFonts w:eastAsia="Calibri" w:cs="Arial"/>
          <w:lang w:val="en"/>
        </w:rPr>
        <w:t>-Ohio and UT</w:t>
      </w:r>
      <w:r w:rsidR="006A0091">
        <w:rPr>
          <w:rFonts w:eastAsia="Calibri" w:cs="Arial"/>
          <w:lang w:val="en"/>
        </w:rPr>
        <w:t xml:space="preserve"> claim t</w:t>
      </w:r>
      <w:r w:rsidR="00054D56">
        <w:rPr>
          <w:rFonts w:eastAsia="Calibri" w:cs="Arial"/>
          <w:lang w:val="en"/>
        </w:rPr>
        <w:t>hat “the statewide approach also</w:t>
      </w:r>
      <w:r w:rsidR="006A0091">
        <w:rPr>
          <w:rFonts w:eastAsia="Calibri" w:cs="Arial"/>
          <w:lang w:val="en"/>
        </w:rPr>
        <w:t xml:space="preserve"> satisfies the policy objectives for the Commission outlined in R.C. 4928.02.”  AEP-Ohio</w:t>
      </w:r>
      <w:r w:rsidR="00BE0C0F">
        <w:rPr>
          <w:rFonts w:eastAsia="Calibri" w:cs="Arial"/>
          <w:lang w:val="en"/>
        </w:rPr>
        <w:t xml:space="preserve"> and UT</w:t>
      </w:r>
      <w:r w:rsidR="00431FB9">
        <w:rPr>
          <w:rFonts w:eastAsia="Calibri" w:cs="Arial"/>
          <w:lang w:val="en"/>
        </w:rPr>
        <w:t xml:space="preserve"> rely</w:t>
      </w:r>
      <w:r w:rsidR="006A0091">
        <w:rPr>
          <w:rFonts w:eastAsia="Calibri" w:cs="Arial"/>
          <w:lang w:val="en"/>
        </w:rPr>
        <w:t xml:space="preserve"> on subsections (J) and (N), which state</w:t>
      </w:r>
      <w:r w:rsidR="00431FB9">
        <w:rPr>
          <w:rFonts w:eastAsia="Calibri" w:cs="Arial"/>
          <w:lang w:val="en"/>
        </w:rPr>
        <w:t xml:space="preserve"> that it is the state policy to</w:t>
      </w:r>
      <w:r w:rsidR="006A0091">
        <w:rPr>
          <w:rFonts w:eastAsia="Calibri" w:cs="Arial"/>
          <w:lang w:val="en"/>
        </w:rPr>
        <w:t xml:space="preserve"> “[p]</w:t>
      </w:r>
      <w:r w:rsidR="006A0091" w:rsidRPr="006A0091">
        <w:rPr>
          <w:rFonts w:eastAsia="Calibri" w:cs="Arial"/>
          <w:lang w:val="en"/>
        </w:rPr>
        <w:t xml:space="preserve">rovide coherent, transparent means of giving </w:t>
      </w:r>
      <w:r w:rsidR="006A0091" w:rsidRPr="00A77B0E">
        <w:rPr>
          <w:rFonts w:eastAsia="Calibri" w:cs="Arial"/>
          <w:b/>
          <w:i/>
          <w:lang w:val="en"/>
        </w:rPr>
        <w:t>appropriate</w:t>
      </w:r>
      <w:r w:rsidR="006A0091" w:rsidRPr="006A0091">
        <w:rPr>
          <w:rFonts w:eastAsia="Calibri" w:cs="Arial"/>
          <w:b/>
          <w:lang w:val="en"/>
        </w:rPr>
        <w:t xml:space="preserve"> </w:t>
      </w:r>
      <w:r w:rsidR="006A0091" w:rsidRPr="006A0091">
        <w:rPr>
          <w:rFonts w:eastAsia="Calibri" w:cs="Arial"/>
          <w:lang w:val="en"/>
        </w:rPr>
        <w:t>incentives to technologies that can adapt successfully to potential environmental mandates</w:t>
      </w:r>
      <w:r w:rsidR="006A0091">
        <w:rPr>
          <w:rFonts w:eastAsia="Calibri" w:cs="Arial"/>
          <w:lang w:val="en"/>
        </w:rPr>
        <w:t>” (emphasis added) and “[f]</w:t>
      </w:r>
      <w:r w:rsidR="006A0091" w:rsidRPr="006A0091">
        <w:rPr>
          <w:rFonts w:eastAsia="Calibri" w:cs="Arial"/>
          <w:lang w:val="en"/>
        </w:rPr>
        <w:t xml:space="preserve">acilitate the </w:t>
      </w:r>
      <w:r w:rsidR="006A0091" w:rsidRPr="006A0091">
        <w:rPr>
          <w:rFonts w:eastAsia="Calibri" w:cs="Arial"/>
          <w:lang w:val="en"/>
        </w:rPr>
        <w:lastRenderedPageBreak/>
        <w:t>state’s effectiveness in the global economy</w:t>
      </w:r>
      <w:r w:rsidR="006A0091">
        <w:rPr>
          <w:rFonts w:eastAsia="Calibri" w:cs="Arial"/>
          <w:lang w:val="en"/>
        </w:rPr>
        <w:t>” respectively.</w:t>
      </w:r>
      <w:r w:rsidR="00431FB9">
        <w:rPr>
          <w:rStyle w:val="FootnoteReference"/>
          <w:rFonts w:eastAsia="Calibri" w:cs="Arial"/>
          <w:lang w:val="en"/>
        </w:rPr>
        <w:footnoteReference w:id="28"/>
      </w:r>
      <w:r w:rsidR="006A0091">
        <w:rPr>
          <w:rFonts w:eastAsia="Calibri" w:cs="Arial"/>
          <w:lang w:val="en"/>
        </w:rPr>
        <w:t xml:space="preserve">  First, any incentives must be appropriate, and it would not be appropriate </w:t>
      </w:r>
      <w:r w:rsidR="00A77B0E">
        <w:rPr>
          <w:rFonts w:eastAsia="Calibri" w:cs="Arial"/>
          <w:lang w:val="en"/>
        </w:rPr>
        <w:t>to provide a non-bypassable charge for Turning Point which would send market-distorting price signals</w:t>
      </w:r>
      <w:r w:rsidR="006A0091">
        <w:rPr>
          <w:rFonts w:eastAsia="Calibri" w:cs="Arial"/>
          <w:lang w:val="en"/>
        </w:rPr>
        <w:t xml:space="preserve"> </w:t>
      </w:r>
      <w:r w:rsidR="00A77B0E">
        <w:rPr>
          <w:rFonts w:eastAsia="Calibri" w:cs="Arial"/>
          <w:lang w:val="en"/>
        </w:rPr>
        <w:t>to potential developers of solar facilities in Ohio.</w:t>
      </w:r>
      <w:r w:rsidR="009E736E">
        <w:rPr>
          <w:rStyle w:val="FootnoteReference"/>
          <w:rFonts w:eastAsia="Calibri" w:cs="Arial"/>
          <w:lang w:val="en"/>
        </w:rPr>
        <w:footnoteReference w:id="29"/>
      </w:r>
      <w:r w:rsidR="00A77B0E">
        <w:rPr>
          <w:rFonts w:eastAsia="Calibri" w:cs="Arial"/>
          <w:lang w:val="en"/>
        </w:rPr>
        <w:t xml:space="preserve">  Second, </w:t>
      </w:r>
      <w:r w:rsidR="00021D19">
        <w:rPr>
          <w:rFonts w:eastAsia="Calibri" w:cs="Arial"/>
          <w:lang w:val="en"/>
        </w:rPr>
        <w:t xml:space="preserve">the Stipulation’s proposed role for </w:t>
      </w:r>
      <w:r w:rsidR="009E736E">
        <w:rPr>
          <w:rFonts w:eastAsia="Calibri" w:cs="Arial"/>
          <w:lang w:val="en"/>
        </w:rPr>
        <w:t>Turning Point would cause</w:t>
      </w:r>
      <w:r w:rsidR="00A77B0E">
        <w:rPr>
          <w:rFonts w:eastAsia="Calibri" w:cs="Arial"/>
          <w:lang w:val="en"/>
        </w:rPr>
        <w:t xml:space="preserve"> an across-the-board rate increase that would make manufacturers less effective in the global economy.  Third,</w:t>
      </w:r>
      <w:r w:rsidR="00B564AE">
        <w:rPr>
          <w:rFonts w:eastAsia="Calibri" w:cs="Arial"/>
          <w:lang w:val="en"/>
        </w:rPr>
        <w:t xml:space="preserve"> not only does</w:t>
      </w:r>
      <w:r w:rsidR="00A77B0E">
        <w:rPr>
          <w:rFonts w:eastAsia="Calibri" w:cs="Arial"/>
          <w:lang w:val="en"/>
        </w:rPr>
        <w:t xml:space="preserve"> Turning Point</w:t>
      </w:r>
      <w:r w:rsidR="00B564AE">
        <w:rPr>
          <w:rFonts w:eastAsia="Calibri" w:cs="Arial"/>
          <w:lang w:val="en"/>
        </w:rPr>
        <w:t xml:space="preserve"> not promote the state policy identified by the proponents of the Stipulation, it</w:t>
      </w:r>
      <w:r w:rsidR="00A77B0E">
        <w:rPr>
          <w:rFonts w:eastAsia="Calibri" w:cs="Arial"/>
          <w:lang w:val="en"/>
        </w:rPr>
        <w:t xml:space="preserve"> would violate the state policy against anticompetitive subsidies</w:t>
      </w:r>
      <w:r w:rsidR="00021D19">
        <w:rPr>
          <w:rFonts w:eastAsia="Calibri" w:cs="Arial"/>
          <w:lang w:val="en"/>
        </w:rPr>
        <w:t xml:space="preserve"> and “customer choice”</w:t>
      </w:r>
      <w:r w:rsidR="00A77B0E">
        <w:rPr>
          <w:rFonts w:eastAsia="Calibri" w:cs="Arial"/>
          <w:lang w:val="en"/>
        </w:rPr>
        <w:t>.</w:t>
      </w:r>
      <w:r w:rsidR="00A77B0E">
        <w:rPr>
          <w:rStyle w:val="FootnoteReference"/>
          <w:rFonts w:eastAsia="Calibri" w:cs="Arial"/>
          <w:lang w:val="en"/>
        </w:rPr>
        <w:footnoteReference w:id="30"/>
      </w:r>
    </w:p>
    <w:p w:rsidR="00DE27D9" w:rsidRDefault="00431FB9" w:rsidP="00B10C9B">
      <w:pPr>
        <w:spacing w:line="480" w:lineRule="auto"/>
        <w:ind w:firstLine="720"/>
        <w:jc w:val="both"/>
        <w:rPr>
          <w:rFonts w:eastAsia="Calibri" w:cs="Arial"/>
        </w:rPr>
      </w:pPr>
      <w:r>
        <w:rPr>
          <w:rFonts w:eastAsia="Calibri" w:cs="Arial"/>
        </w:rPr>
        <w:t xml:space="preserve">Staff and UT, in an argument that AEP-Ohio does not join, claim that </w:t>
      </w:r>
      <w:r w:rsidR="007633B8">
        <w:rPr>
          <w:rFonts w:eastAsia="Calibri" w:cs="Arial"/>
        </w:rPr>
        <w:t xml:space="preserve">the </w:t>
      </w:r>
      <w:r>
        <w:rPr>
          <w:rFonts w:eastAsia="Calibri" w:cs="Arial"/>
        </w:rPr>
        <w:t xml:space="preserve">Commission should evaluate need </w:t>
      </w:r>
      <w:r w:rsidR="009E736E">
        <w:rPr>
          <w:rFonts w:eastAsia="Calibri" w:cs="Arial"/>
        </w:rPr>
        <w:t>on a statewide approach because</w:t>
      </w:r>
      <w:r>
        <w:rPr>
          <w:rFonts w:eastAsia="Calibri" w:cs="Arial"/>
        </w:rPr>
        <w:t xml:space="preserve"> Section 4935.01, Revised Code, obligates the Commission to “[e]stimate statewide and regional needs for energy for the forthcoming </w:t>
      </w:r>
      <w:r w:rsidR="007633B8">
        <w:rPr>
          <w:rFonts w:eastAsia="Calibri" w:cs="Arial"/>
        </w:rPr>
        <w:t>f</w:t>
      </w:r>
      <w:r>
        <w:rPr>
          <w:rFonts w:eastAsia="Calibri" w:cs="Arial"/>
        </w:rPr>
        <w:t>ive- and ten-year periods . . .</w:t>
      </w:r>
      <w:r w:rsidR="007633B8">
        <w:rPr>
          <w:rFonts w:eastAsia="Calibri" w:cs="Arial"/>
        </w:rPr>
        <w:t xml:space="preserve"> .</w:t>
      </w:r>
      <w:r>
        <w:rPr>
          <w:rFonts w:eastAsia="Calibri" w:cs="Arial"/>
        </w:rPr>
        <w:t>”</w:t>
      </w:r>
      <w:r w:rsidR="007633B8">
        <w:rPr>
          <w:rStyle w:val="FootnoteReference"/>
          <w:rFonts w:eastAsia="Calibri" w:cs="Arial"/>
        </w:rPr>
        <w:footnoteReference w:id="31"/>
      </w:r>
      <w:r>
        <w:rPr>
          <w:rFonts w:eastAsia="Calibri" w:cs="Arial"/>
        </w:rPr>
        <w:t xml:space="preserve">  </w:t>
      </w:r>
      <w:r w:rsidR="00593B88">
        <w:rPr>
          <w:rFonts w:eastAsia="Calibri" w:cs="Arial"/>
        </w:rPr>
        <w:t xml:space="preserve">First, </w:t>
      </w:r>
      <w:r w:rsidR="005044AF">
        <w:rPr>
          <w:rFonts w:eastAsia="Calibri" w:cs="Arial"/>
        </w:rPr>
        <w:t>UT and Staff are incorrect because</w:t>
      </w:r>
      <w:r w:rsidR="00DE27D9">
        <w:rPr>
          <w:rFonts w:eastAsia="Calibri" w:cs="Arial"/>
        </w:rPr>
        <w:t xml:space="preserve"> Section 4935.01, Revised code, lays out</w:t>
      </w:r>
      <w:r w:rsidR="00DF4854">
        <w:rPr>
          <w:rFonts w:eastAsia="Calibri" w:cs="Arial"/>
        </w:rPr>
        <w:t xml:space="preserve"> the</w:t>
      </w:r>
      <w:r w:rsidR="005044AF">
        <w:rPr>
          <w:rFonts w:eastAsia="Calibri" w:cs="Arial"/>
        </w:rPr>
        <w:t xml:space="preserve"> Commission’s obligations</w:t>
      </w:r>
      <w:r w:rsidR="00DE27D9">
        <w:rPr>
          <w:rFonts w:eastAsia="Calibri" w:cs="Arial"/>
        </w:rPr>
        <w:t xml:space="preserve"> with respect to energy forecasting, and those obligations </w:t>
      </w:r>
      <w:r w:rsidR="00DF4854">
        <w:rPr>
          <w:rFonts w:eastAsia="Calibri" w:cs="Arial"/>
        </w:rPr>
        <w:t>are disconnected from the issues to be determined in a</w:t>
      </w:r>
      <w:r w:rsidR="00DD06C1">
        <w:rPr>
          <w:rFonts w:eastAsia="Calibri" w:cs="Arial"/>
        </w:rPr>
        <w:t>n</w:t>
      </w:r>
      <w:r w:rsidR="00DF4854">
        <w:rPr>
          <w:rFonts w:eastAsia="Calibri" w:cs="Arial"/>
        </w:rPr>
        <w:t xml:space="preserve"> LTFR proceeding</w:t>
      </w:r>
      <w:r w:rsidR="00DE27D9">
        <w:rPr>
          <w:rFonts w:eastAsia="Calibri" w:cs="Arial"/>
        </w:rPr>
        <w:t xml:space="preserve">.  Indeed, the information to be contained in </w:t>
      </w:r>
      <w:r w:rsidR="00DF4854">
        <w:rPr>
          <w:rFonts w:eastAsia="Calibri" w:cs="Arial"/>
        </w:rPr>
        <w:t xml:space="preserve">an </w:t>
      </w:r>
      <w:r w:rsidR="005044AF">
        <w:rPr>
          <w:rFonts w:eastAsia="Calibri" w:cs="Arial"/>
        </w:rPr>
        <w:t>LTFR</w:t>
      </w:r>
      <w:r w:rsidR="00DF4854">
        <w:rPr>
          <w:rFonts w:eastAsia="Calibri" w:cs="Arial"/>
        </w:rPr>
        <w:t xml:space="preserve"> and the scope of an LTFR</w:t>
      </w:r>
      <w:r w:rsidR="005044AF">
        <w:rPr>
          <w:rFonts w:eastAsia="Calibri" w:cs="Arial"/>
        </w:rPr>
        <w:t xml:space="preserve"> proceeding</w:t>
      </w:r>
      <w:r w:rsidR="00DE27D9">
        <w:rPr>
          <w:rFonts w:eastAsia="Calibri" w:cs="Arial"/>
        </w:rPr>
        <w:t xml:space="preserve"> is governed by Section 4935.04, Revised Code</w:t>
      </w:r>
      <w:r w:rsidR="005044AF">
        <w:rPr>
          <w:rFonts w:eastAsia="Calibri" w:cs="Arial"/>
        </w:rPr>
        <w:t>.</w:t>
      </w:r>
      <w:r w:rsidR="00DE27D9">
        <w:rPr>
          <w:rFonts w:eastAsia="Calibri" w:cs="Arial"/>
        </w:rPr>
        <w:t xml:space="preserve">  Under that Section, the Commission’s role is limited to determining whether the LTFR is complete, accurate, and reasonable. </w:t>
      </w:r>
      <w:r w:rsidR="00DF4854">
        <w:rPr>
          <w:rFonts w:eastAsia="Calibri" w:cs="Arial"/>
        </w:rPr>
        <w:t xml:space="preserve"> </w:t>
      </w:r>
      <w:r w:rsidR="00DE27D9">
        <w:rPr>
          <w:rFonts w:eastAsia="Calibri" w:cs="Arial"/>
        </w:rPr>
        <w:t xml:space="preserve">And, as Staff </w:t>
      </w:r>
      <w:r w:rsidR="00DE27D9">
        <w:rPr>
          <w:rFonts w:eastAsia="Calibri" w:cs="Arial"/>
        </w:rPr>
        <w:lastRenderedPageBreak/>
        <w:t xml:space="preserve">concedes, LTFRs are specific to each EDU because “under the forecasting statutes individual companies are responsible only for their own service </w:t>
      </w:r>
      <w:r w:rsidR="00D25088">
        <w:rPr>
          <w:rFonts w:eastAsia="Calibri" w:cs="Arial"/>
        </w:rPr>
        <w:t>areas</w:t>
      </w:r>
      <w:r w:rsidR="00DE27D9">
        <w:rPr>
          <w:rFonts w:eastAsia="Calibri" w:cs="Arial"/>
        </w:rPr>
        <w:t>.”</w:t>
      </w:r>
      <w:r w:rsidR="00DE27D9">
        <w:rPr>
          <w:rStyle w:val="FootnoteReference"/>
          <w:rFonts w:eastAsia="Calibri" w:cs="Arial"/>
        </w:rPr>
        <w:footnoteReference w:id="32"/>
      </w:r>
      <w:r w:rsidR="00DE27D9">
        <w:rPr>
          <w:rFonts w:eastAsia="Calibri" w:cs="Arial"/>
        </w:rPr>
        <w:t xml:space="preserve">  </w:t>
      </w:r>
    </w:p>
    <w:p w:rsidR="00896C0C" w:rsidRDefault="00DE27D9" w:rsidP="00B10C9B">
      <w:pPr>
        <w:spacing w:line="480" w:lineRule="auto"/>
        <w:ind w:firstLine="720"/>
        <w:jc w:val="both"/>
        <w:rPr>
          <w:rFonts w:eastAsia="Calibri" w:cs="Arial"/>
        </w:rPr>
      </w:pPr>
      <w:r>
        <w:rPr>
          <w:rFonts w:eastAsia="Calibri" w:cs="Arial"/>
        </w:rPr>
        <w:t>Sections 4928.143 and 4928.64</w:t>
      </w:r>
      <w:r w:rsidR="00B564AE">
        <w:rPr>
          <w:rFonts w:eastAsia="Calibri" w:cs="Arial"/>
        </w:rPr>
        <w:t>, Revised Code,</w:t>
      </w:r>
      <w:r>
        <w:rPr>
          <w:rFonts w:eastAsia="Calibri" w:cs="Arial"/>
        </w:rPr>
        <w:t xml:space="preserve"> further demonstrate that need must be based on an EDU-specific approach.  </w:t>
      </w:r>
      <w:r w:rsidR="00962BC8">
        <w:rPr>
          <w:rFonts w:eastAsia="Calibri" w:cs="Arial"/>
        </w:rPr>
        <w:t>s</w:t>
      </w:r>
      <w:r w:rsidR="00DF69F7">
        <w:rPr>
          <w:rFonts w:eastAsia="Calibri" w:cs="Arial"/>
        </w:rPr>
        <w:t>REC obligations are</w:t>
      </w:r>
      <w:r w:rsidR="005044AF">
        <w:rPr>
          <w:rFonts w:eastAsia="Calibri" w:cs="Arial"/>
        </w:rPr>
        <w:t xml:space="preserve"> </w:t>
      </w:r>
      <w:r w:rsidR="00021D19">
        <w:rPr>
          <w:rFonts w:eastAsia="Calibri" w:cs="Arial"/>
        </w:rPr>
        <w:t xml:space="preserve">computed </w:t>
      </w:r>
      <w:r w:rsidR="005044AF">
        <w:rPr>
          <w:rFonts w:eastAsia="Calibri" w:cs="Arial"/>
        </w:rPr>
        <w:t>specific to the annual energy sales of each EDU or electric service company.</w:t>
      </w:r>
      <w:r>
        <w:rPr>
          <w:rFonts w:eastAsia="Calibri" w:cs="Arial"/>
        </w:rPr>
        <w:t xml:space="preserve"> </w:t>
      </w:r>
      <w:r w:rsidR="00DF69F7">
        <w:rPr>
          <w:rFonts w:eastAsia="Calibri" w:cs="Arial"/>
        </w:rPr>
        <w:t xml:space="preserve"> Section 4928.143, Revised Code, which is the only statute that can authorize a non-bypassable charge for the life of a generating facility</w:t>
      </w:r>
      <w:r w:rsidR="003439BC">
        <w:rPr>
          <w:rFonts w:eastAsia="Calibri" w:cs="Arial"/>
        </w:rPr>
        <w:t>,</w:t>
      </w:r>
      <w:r w:rsidR="00DF69F7">
        <w:rPr>
          <w:rFonts w:eastAsia="Calibri" w:cs="Arial"/>
        </w:rPr>
        <w:t xml:space="preserve"> </w:t>
      </w:r>
      <w:r w:rsidR="00021D19">
        <w:rPr>
          <w:rFonts w:eastAsia="Calibri" w:cs="Arial"/>
        </w:rPr>
        <w:t xml:space="preserve">can only be applied by its own words, on an EDU-specific basis.  </w:t>
      </w:r>
      <w:r w:rsidR="00DF69F7">
        <w:rPr>
          <w:rFonts w:eastAsia="Calibri" w:cs="Arial"/>
        </w:rPr>
        <w:t>Finally, as stated above, the benefits derived from a non-by</w:t>
      </w:r>
      <w:r w:rsidR="007633B8">
        <w:rPr>
          <w:rFonts w:eastAsia="Calibri" w:cs="Arial"/>
        </w:rPr>
        <w:t>p</w:t>
      </w:r>
      <w:r w:rsidR="00DF69F7">
        <w:rPr>
          <w:rFonts w:eastAsia="Calibri" w:cs="Arial"/>
        </w:rPr>
        <w:t xml:space="preserve">assable surcharge must be reserved and made available to </w:t>
      </w:r>
      <w:r>
        <w:rPr>
          <w:rFonts w:eastAsia="Calibri" w:cs="Arial"/>
        </w:rPr>
        <w:t xml:space="preserve">the </w:t>
      </w:r>
      <w:r w:rsidR="00DF69F7">
        <w:rPr>
          <w:rFonts w:eastAsia="Calibri" w:cs="Arial"/>
        </w:rPr>
        <w:t xml:space="preserve">customers that pay the surcharge.  Making such benefits available to customers outside of AEP-Ohio’s service territory would violate this </w:t>
      </w:r>
      <w:r w:rsidR="007633B8">
        <w:rPr>
          <w:rFonts w:eastAsia="Calibri" w:cs="Arial"/>
        </w:rPr>
        <w:t>cost/benefit relationship</w:t>
      </w:r>
      <w:r w:rsidR="00021D19">
        <w:rPr>
          <w:rFonts w:eastAsia="Calibri" w:cs="Arial"/>
        </w:rPr>
        <w:t xml:space="preserve"> required by </w:t>
      </w:r>
      <w:r w:rsidR="00DF69F7">
        <w:rPr>
          <w:rFonts w:eastAsia="Calibri" w:cs="Arial"/>
        </w:rPr>
        <w:t>Ohio law</w:t>
      </w:r>
      <w:r w:rsidR="00021D19">
        <w:rPr>
          <w:rFonts w:eastAsia="Calibri" w:cs="Arial"/>
        </w:rPr>
        <w:t xml:space="preserve"> in circumstances where a </w:t>
      </w:r>
      <w:r w:rsidR="0038601F">
        <w:rPr>
          <w:rFonts w:eastAsia="Calibri" w:cs="Arial"/>
        </w:rPr>
        <w:t xml:space="preserve"> </w:t>
      </w:r>
      <w:r w:rsidR="00021D19">
        <w:rPr>
          <w:rFonts w:eastAsia="Calibri" w:cs="Arial"/>
        </w:rPr>
        <w:t>n</w:t>
      </w:r>
      <w:r w:rsidR="007633B8">
        <w:rPr>
          <w:rFonts w:eastAsia="Calibri" w:cs="Arial"/>
        </w:rPr>
        <w:t>on-bypassable charge is lawful</w:t>
      </w:r>
      <w:r w:rsidR="00021D19">
        <w:rPr>
          <w:rFonts w:eastAsia="Calibri" w:cs="Arial"/>
        </w:rPr>
        <w:t xml:space="preserve"> and reasonable</w:t>
      </w:r>
      <w:r w:rsidR="00DF69F7">
        <w:rPr>
          <w:rFonts w:eastAsia="Calibri" w:cs="Arial"/>
        </w:rPr>
        <w:t>.</w:t>
      </w:r>
    </w:p>
    <w:p w:rsidR="00D86330" w:rsidRDefault="00DE27D9" w:rsidP="00B10C9B">
      <w:pPr>
        <w:spacing w:line="480" w:lineRule="auto"/>
        <w:jc w:val="both"/>
        <w:rPr>
          <w:rFonts w:eastAsia="Calibri" w:cs="Arial"/>
        </w:rPr>
      </w:pPr>
      <w:r>
        <w:rPr>
          <w:rFonts w:eastAsia="Calibri" w:cs="Arial"/>
        </w:rPr>
        <w:tab/>
        <w:t>Even assuming</w:t>
      </w:r>
      <w:r w:rsidR="007633B8">
        <w:rPr>
          <w:rFonts w:eastAsia="Calibri" w:cs="Arial"/>
        </w:rPr>
        <w:t>,</w:t>
      </w:r>
      <w:r>
        <w:rPr>
          <w:rFonts w:eastAsia="Calibri" w:cs="Arial"/>
        </w:rPr>
        <w:t xml:space="preserve"> </w:t>
      </w:r>
      <w:r>
        <w:rPr>
          <w:rFonts w:eastAsia="Calibri" w:cs="Arial"/>
          <w:i/>
        </w:rPr>
        <w:t>arguendo</w:t>
      </w:r>
      <w:r w:rsidR="00E848CD">
        <w:rPr>
          <w:rFonts w:eastAsia="Calibri" w:cs="Arial"/>
        </w:rPr>
        <w:t>,</w:t>
      </w:r>
      <w:r w:rsidR="00466318">
        <w:rPr>
          <w:rFonts w:eastAsia="Calibri" w:cs="Arial"/>
        </w:rPr>
        <w:t xml:space="preserve"> a determination of need may be made based on a statewide approach, </w:t>
      </w:r>
      <w:r w:rsidR="00242C91">
        <w:rPr>
          <w:rFonts w:eastAsia="Calibri" w:cs="Arial"/>
        </w:rPr>
        <w:t>the proponents of the Stipulation have not met their burden.  While AEP-Ohio claims that “Turning Point is the only known planned facility with sufficient capacity to satisfy the imminent [statewide] need for additional in-state solar generating resources</w:t>
      </w:r>
      <w:r w:rsidR="00054D56">
        <w:rPr>
          <w:rFonts w:eastAsia="Calibri" w:cs="Arial"/>
        </w:rPr>
        <w:t>,</w:t>
      </w:r>
      <w:r w:rsidR="00242C91">
        <w:rPr>
          <w:rFonts w:eastAsia="Calibri" w:cs="Arial"/>
        </w:rPr>
        <w:t>”</w:t>
      </w:r>
      <w:r w:rsidR="00242C91">
        <w:rPr>
          <w:rStyle w:val="FootnoteReference"/>
          <w:rFonts w:eastAsia="Calibri" w:cs="Arial"/>
        </w:rPr>
        <w:footnoteReference w:id="33"/>
      </w:r>
      <w:r w:rsidR="00242C91">
        <w:rPr>
          <w:rFonts w:eastAsia="Calibri" w:cs="Arial"/>
        </w:rPr>
        <w:t xml:space="preserve"> the</w:t>
      </w:r>
      <w:r w:rsidR="00D86330">
        <w:rPr>
          <w:rFonts w:eastAsia="Calibri" w:cs="Arial"/>
        </w:rPr>
        <w:t>re is no</w:t>
      </w:r>
      <w:r w:rsidR="00242C91">
        <w:rPr>
          <w:rFonts w:eastAsia="Calibri" w:cs="Arial"/>
        </w:rPr>
        <w:t xml:space="preserve"> evidence </w:t>
      </w:r>
      <w:r w:rsidR="00D86330">
        <w:rPr>
          <w:rFonts w:eastAsia="Calibri" w:cs="Arial"/>
        </w:rPr>
        <w:t>to support AEP-Ohio’s claim.  Indeed, the evidence requires a different conclusion.</w:t>
      </w:r>
    </w:p>
    <w:p w:rsidR="00FF15B1" w:rsidRDefault="00DF69F7" w:rsidP="00B10C9B">
      <w:pPr>
        <w:spacing w:line="480" w:lineRule="auto"/>
        <w:ind w:firstLine="720"/>
        <w:jc w:val="both"/>
        <w:rPr>
          <w:rFonts w:eastAsia="Calibri" w:cs="Arial"/>
        </w:rPr>
      </w:pPr>
      <w:r w:rsidRPr="00DF69F7">
        <w:rPr>
          <w:rFonts w:eastAsia="Calibri" w:cs="Arial"/>
        </w:rPr>
        <w:t>According to Mr. Bellamy’s testimony, construction of 15 MW</w:t>
      </w:r>
      <w:r w:rsidR="003439BC">
        <w:rPr>
          <w:rFonts w:eastAsia="Calibri" w:cs="Arial"/>
        </w:rPr>
        <w:t>s</w:t>
      </w:r>
      <w:r w:rsidRPr="00DF69F7">
        <w:rPr>
          <w:rFonts w:eastAsia="Calibri" w:cs="Arial"/>
        </w:rPr>
        <w:t xml:space="preserve"> of solar generation in Ohio per year will satisfy the in-state sREC requirements of the entire state through </w:t>
      </w:r>
      <w:r w:rsidRPr="00DF69F7">
        <w:rPr>
          <w:rFonts w:eastAsia="Calibri" w:cs="Arial"/>
        </w:rPr>
        <w:lastRenderedPageBreak/>
        <w:t>2025.</w:t>
      </w:r>
      <w:r w:rsidRPr="00DF69F7">
        <w:rPr>
          <w:rFonts w:eastAsia="Calibri" w:cs="Arial"/>
          <w:vertAlign w:val="superscript"/>
        </w:rPr>
        <w:footnoteReference w:id="34"/>
      </w:r>
      <w:r>
        <w:rPr>
          <w:rFonts w:eastAsia="Calibri" w:cs="Arial"/>
        </w:rPr>
        <w:t xml:space="preserve"> </w:t>
      </w:r>
      <w:r w:rsidR="003439BC">
        <w:rPr>
          <w:rFonts w:eastAsia="Calibri" w:cs="Arial"/>
        </w:rPr>
        <w:t xml:space="preserve"> </w:t>
      </w:r>
      <w:r>
        <w:rPr>
          <w:rFonts w:eastAsia="Calibri" w:cs="Arial"/>
        </w:rPr>
        <w:t xml:space="preserve">Mr. Bellamy conceded that if solar resource development continues at the same pace as in 2010 and 2011, the entire state </w:t>
      </w:r>
      <w:r w:rsidR="00D86330">
        <w:rPr>
          <w:rFonts w:eastAsia="Calibri" w:cs="Arial"/>
        </w:rPr>
        <w:t xml:space="preserve">will have more </w:t>
      </w:r>
      <w:r w:rsidR="00242C91">
        <w:rPr>
          <w:rFonts w:eastAsia="Calibri" w:cs="Arial"/>
        </w:rPr>
        <w:t>sREC</w:t>
      </w:r>
      <w:r w:rsidR="00466318">
        <w:rPr>
          <w:rFonts w:eastAsia="Calibri" w:cs="Arial"/>
        </w:rPr>
        <w:t>s</w:t>
      </w:r>
      <w:r w:rsidR="00242C91">
        <w:rPr>
          <w:rFonts w:eastAsia="Calibri" w:cs="Arial"/>
        </w:rPr>
        <w:t xml:space="preserve"> </w:t>
      </w:r>
      <w:r w:rsidR="00D86330">
        <w:rPr>
          <w:rFonts w:eastAsia="Calibri" w:cs="Arial"/>
        </w:rPr>
        <w:t xml:space="preserve">than is needed </w:t>
      </w:r>
      <w:r>
        <w:rPr>
          <w:rFonts w:eastAsia="Calibri" w:cs="Arial"/>
        </w:rPr>
        <w:t>by a large margin.</w:t>
      </w:r>
      <w:r w:rsidR="00D86330">
        <w:rPr>
          <w:rStyle w:val="FootnoteReference"/>
          <w:rFonts w:eastAsia="Calibri" w:cs="Arial"/>
        </w:rPr>
        <w:footnoteReference w:id="35"/>
      </w:r>
      <w:r>
        <w:rPr>
          <w:rFonts w:eastAsia="Calibri" w:cs="Arial"/>
        </w:rPr>
        <w:t xml:space="preserve"> </w:t>
      </w:r>
      <w:r w:rsidR="00D86330">
        <w:rPr>
          <w:rFonts w:eastAsia="Calibri" w:cs="Arial"/>
        </w:rPr>
        <w:t xml:space="preserve"> </w:t>
      </w:r>
      <w:r>
        <w:rPr>
          <w:rFonts w:eastAsia="Calibri" w:cs="Arial"/>
        </w:rPr>
        <w:t>Moreover, i</w:t>
      </w:r>
      <w:r w:rsidRPr="00DF69F7">
        <w:rPr>
          <w:rFonts w:eastAsia="Calibri" w:cs="Arial"/>
        </w:rPr>
        <w:t>n the first nine months of 2012, the Commission has issued certification determinations for over 17.94 M</w:t>
      </w:r>
      <w:r>
        <w:rPr>
          <w:rFonts w:eastAsia="Calibri" w:cs="Arial"/>
        </w:rPr>
        <w:t>W</w:t>
      </w:r>
      <w:r w:rsidR="003439BC">
        <w:rPr>
          <w:rFonts w:eastAsia="Calibri" w:cs="Arial"/>
        </w:rPr>
        <w:t>s</w:t>
      </w:r>
      <w:r>
        <w:rPr>
          <w:rFonts w:eastAsia="Calibri" w:cs="Arial"/>
        </w:rPr>
        <w:t xml:space="preserve"> of Ohio-based solar projects</w:t>
      </w:r>
      <w:r w:rsidRPr="00DF69F7">
        <w:rPr>
          <w:rFonts w:eastAsia="Calibri" w:cs="Arial"/>
        </w:rPr>
        <w:t>.</w:t>
      </w:r>
      <w:r w:rsidRPr="00DF69F7">
        <w:rPr>
          <w:rFonts w:eastAsia="Calibri" w:cs="Arial"/>
          <w:vertAlign w:val="superscript"/>
        </w:rPr>
        <w:footnoteReference w:id="36"/>
      </w:r>
      <w:r w:rsidR="00242C91">
        <w:rPr>
          <w:rFonts w:eastAsia="Calibri" w:cs="Arial"/>
        </w:rPr>
        <w:t xml:space="preserve">  AEP-Ohio’s </w:t>
      </w:r>
      <w:r w:rsidR="00D86330">
        <w:rPr>
          <w:rFonts w:eastAsia="Calibri" w:cs="Arial"/>
        </w:rPr>
        <w:t xml:space="preserve">claim about what will happen without Turning Point stands in direct conflict with what is happening without Turning Point and the non-bypassable charges that are the ultimate objective of AEP-Ohio, Staff and UT.  </w:t>
      </w:r>
    </w:p>
    <w:p w:rsidR="00E848CD" w:rsidRDefault="00E848CD" w:rsidP="00B10C9B">
      <w:pPr>
        <w:spacing w:after="120" w:line="480" w:lineRule="auto"/>
        <w:ind w:firstLine="720"/>
        <w:jc w:val="both"/>
        <w:rPr>
          <w:rFonts w:eastAsia="Calibri" w:cs="Arial"/>
        </w:rPr>
      </w:pPr>
      <w:r>
        <w:rPr>
          <w:rFonts w:eastAsia="Calibri" w:cs="Arial"/>
        </w:rPr>
        <w:t xml:space="preserve">Finally, Staff’s and UT’s </w:t>
      </w:r>
      <w:r w:rsidR="00257973">
        <w:rPr>
          <w:rFonts w:eastAsia="Calibri" w:cs="Arial"/>
        </w:rPr>
        <w:t>supplemental briefs wrongly claim</w:t>
      </w:r>
      <w:r>
        <w:rPr>
          <w:rFonts w:eastAsia="Calibri" w:cs="Arial"/>
        </w:rPr>
        <w:t xml:space="preserve"> that</w:t>
      </w:r>
      <w:r w:rsidR="00257973">
        <w:rPr>
          <w:rFonts w:eastAsia="Calibri" w:cs="Arial"/>
        </w:rPr>
        <w:t xml:space="preserve"> the</w:t>
      </w:r>
      <w:r>
        <w:rPr>
          <w:rFonts w:eastAsia="Calibri" w:cs="Arial"/>
        </w:rPr>
        <w:t xml:space="preserve"> excess sRECs </w:t>
      </w:r>
      <w:r w:rsidR="00257973">
        <w:rPr>
          <w:rFonts w:eastAsia="Calibri" w:cs="Arial"/>
        </w:rPr>
        <w:t xml:space="preserve">that could be potentially produced by Turning Point </w:t>
      </w:r>
      <w:r>
        <w:rPr>
          <w:rFonts w:eastAsia="Calibri" w:cs="Arial"/>
        </w:rPr>
        <w:t>may be needed to comply with the portion</w:t>
      </w:r>
      <w:r w:rsidR="00257973">
        <w:rPr>
          <w:rFonts w:eastAsia="Calibri" w:cs="Arial"/>
        </w:rPr>
        <w:t xml:space="preserve"> (one</w:t>
      </w:r>
      <w:r w:rsidR="003439BC">
        <w:rPr>
          <w:rFonts w:eastAsia="Calibri" w:cs="Arial"/>
        </w:rPr>
        <w:t>-</w:t>
      </w:r>
      <w:r w:rsidR="00257973">
        <w:rPr>
          <w:rFonts w:eastAsia="Calibri" w:cs="Arial"/>
        </w:rPr>
        <w:t xml:space="preserve">half) </w:t>
      </w:r>
      <w:r w:rsidR="003439BC">
        <w:rPr>
          <w:rFonts w:eastAsia="Calibri" w:cs="Arial"/>
        </w:rPr>
        <w:t xml:space="preserve">of </w:t>
      </w:r>
      <w:r w:rsidR="00257973">
        <w:rPr>
          <w:rFonts w:eastAsia="Calibri" w:cs="Arial"/>
        </w:rPr>
        <w:t>the</w:t>
      </w:r>
      <w:r>
        <w:rPr>
          <w:rFonts w:eastAsia="Calibri" w:cs="Arial"/>
        </w:rPr>
        <w:t xml:space="preserve"> s</w:t>
      </w:r>
      <w:r w:rsidR="00257973">
        <w:rPr>
          <w:rFonts w:eastAsia="Calibri" w:cs="Arial"/>
        </w:rPr>
        <w:t>REC obligation that may be satisfied by out-of-state solar facilities</w:t>
      </w:r>
      <w:r>
        <w:rPr>
          <w:rFonts w:eastAsia="Calibri" w:cs="Arial"/>
        </w:rPr>
        <w:t>.</w:t>
      </w:r>
      <w:r w:rsidR="00257973">
        <w:rPr>
          <w:rStyle w:val="FootnoteReference"/>
          <w:rFonts w:eastAsia="Calibri" w:cs="Arial"/>
        </w:rPr>
        <w:footnoteReference w:id="37"/>
      </w:r>
      <w:r w:rsidR="00257973">
        <w:rPr>
          <w:rFonts w:eastAsia="Calibri" w:cs="Arial"/>
        </w:rPr>
        <w:t xml:space="preserve">  As w</w:t>
      </w:r>
      <w:r>
        <w:rPr>
          <w:rFonts w:eastAsia="Calibri" w:cs="Arial"/>
        </w:rPr>
        <w:t>itness Bellamy</w:t>
      </w:r>
      <w:r w:rsidR="00257973">
        <w:rPr>
          <w:rFonts w:eastAsia="Calibri" w:cs="Arial"/>
        </w:rPr>
        <w:t xml:space="preserve"> identified, at the time of the hearing, Pennsylvania alone had constructed </w:t>
      </w:r>
      <w:r w:rsidR="00E5668A">
        <w:rPr>
          <w:rFonts w:eastAsia="Calibri" w:cs="Arial"/>
        </w:rPr>
        <w:t>115 MW</w:t>
      </w:r>
      <w:r w:rsidR="00841979">
        <w:rPr>
          <w:rFonts w:eastAsia="Calibri" w:cs="Arial"/>
        </w:rPr>
        <w:t>s of solar facilities.</w:t>
      </w:r>
      <w:r w:rsidR="009F257D">
        <w:rPr>
          <w:rStyle w:val="FootnoteReference"/>
          <w:rFonts w:eastAsia="Calibri" w:cs="Arial"/>
        </w:rPr>
        <w:footnoteReference w:id="38"/>
      </w:r>
      <w:r w:rsidR="009F257D">
        <w:rPr>
          <w:rFonts w:eastAsia="Calibri" w:cs="Arial"/>
        </w:rPr>
        <w:t xml:space="preserve">  Based on those facilities, Ohio will </w:t>
      </w:r>
      <w:r w:rsidR="009F257D">
        <w:rPr>
          <w:rFonts w:eastAsia="Calibri" w:cs="Arial"/>
        </w:rPr>
        <w:lastRenderedPageBreak/>
        <w:t>not require</w:t>
      </w:r>
      <w:r w:rsidR="00841979">
        <w:rPr>
          <w:rFonts w:eastAsia="Calibri" w:cs="Arial"/>
        </w:rPr>
        <w:t xml:space="preserve"> additional out-of-state sRECs prior to 2018</w:t>
      </w:r>
      <w:r w:rsidR="00257973">
        <w:rPr>
          <w:rFonts w:eastAsia="Calibri" w:cs="Arial"/>
        </w:rPr>
        <w:t>.</w:t>
      </w:r>
      <w:r w:rsidR="004B6331">
        <w:rPr>
          <w:rStyle w:val="FootnoteReference"/>
          <w:rFonts w:eastAsia="Calibri" w:cs="Arial"/>
        </w:rPr>
        <w:footnoteReference w:id="39"/>
      </w:r>
      <w:r w:rsidR="00E5668A">
        <w:rPr>
          <w:rFonts w:eastAsia="Calibri" w:cs="Arial"/>
        </w:rPr>
        <w:t xml:space="preserve">  Moreover,</w:t>
      </w:r>
      <w:r w:rsidR="00257973">
        <w:rPr>
          <w:rFonts w:eastAsia="Calibri" w:cs="Arial"/>
        </w:rPr>
        <w:t xml:space="preserve"> </w:t>
      </w:r>
      <w:r w:rsidR="00E5668A">
        <w:rPr>
          <w:rFonts w:eastAsia="Calibri" w:cs="Arial"/>
        </w:rPr>
        <w:t>at the time of the hearing, there were over 500 MW</w:t>
      </w:r>
      <w:r w:rsidR="004B6331">
        <w:rPr>
          <w:rFonts w:eastAsia="Calibri" w:cs="Arial"/>
        </w:rPr>
        <w:t>s</w:t>
      </w:r>
      <w:r w:rsidR="00E5668A">
        <w:rPr>
          <w:rFonts w:eastAsia="Calibri" w:cs="Arial"/>
        </w:rPr>
        <w:t xml:space="preserve"> of solar facilities</w:t>
      </w:r>
      <w:r w:rsidR="009F257D">
        <w:rPr>
          <w:rFonts w:eastAsia="Calibri" w:cs="Arial"/>
        </w:rPr>
        <w:t xml:space="preserve"> listed</w:t>
      </w:r>
      <w:r w:rsidR="00E5668A">
        <w:rPr>
          <w:rFonts w:eastAsia="Calibri" w:cs="Arial"/>
        </w:rPr>
        <w:t xml:space="preserve"> in the Pennsylvania portion of the PJM Interconnection</w:t>
      </w:r>
      <w:r w:rsidR="00841979">
        <w:rPr>
          <w:rFonts w:eastAsia="Calibri" w:cs="Arial"/>
        </w:rPr>
        <w:t xml:space="preserve"> LLC Generation</w:t>
      </w:r>
      <w:r w:rsidR="00E5668A">
        <w:rPr>
          <w:rFonts w:eastAsia="Calibri" w:cs="Arial"/>
        </w:rPr>
        <w:t xml:space="preserve"> Queue.</w:t>
      </w:r>
      <w:r w:rsidR="00E5668A">
        <w:rPr>
          <w:rStyle w:val="FootnoteReference"/>
          <w:rFonts w:eastAsia="Calibri" w:cs="Arial"/>
        </w:rPr>
        <w:footnoteReference w:id="40"/>
      </w:r>
      <w:r w:rsidR="00E5668A">
        <w:rPr>
          <w:rFonts w:eastAsia="Calibri" w:cs="Arial"/>
        </w:rPr>
        <w:t xml:space="preserve">  Given that the amount of planned solar facilities in Pe</w:t>
      </w:r>
      <w:bookmarkStart w:id="12" w:name="_GoBack"/>
      <w:bookmarkEnd w:id="12"/>
      <w:r w:rsidR="00E5668A">
        <w:rPr>
          <w:rFonts w:eastAsia="Calibri" w:cs="Arial"/>
        </w:rPr>
        <w:t>nnsylvania alone exceeds the existing amount</w:t>
      </w:r>
      <w:r w:rsidR="009F257D">
        <w:rPr>
          <w:rFonts w:eastAsia="Calibri" w:cs="Arial"/>
        </w:rPr>
        <w:t xml:space="preserve"> — which could provide compliance through 2017 — </w:t>
      </w:r>
      <w:r w:rsidR="00E5668A">
        <w:rPr>
          <w:rFonts w:eastAsia="Calibri" w:cs="Arial"/>
        </w:rPr>
        <w:t>by nearly five times, Staff’s and UT’s claim that the excess sRECs from Turning Point might be neede</w:t>
      </w:r>
      <w:r w:rsidR="009F257D">
        <w:rPr>
          <w:rFonts w:eastAsia="Calibri" w:cs="Arial"/>
        </w:rPr>
        <w:t>d at some later date is unfounded</w:t>
      </w:r>
      <w:r w:rsidR="00841979">
        <w:rPr>
          <w:rFonts w:eastAsia="Calibri" w:cs="Arial"/>
        </w:rPr>
        <w:t xml:space="preserve"> and cannot be relied upon to support a finding of need in this proceeding</w:t>
      </w:r>
      <w:r w:rsidR="00E5668A">
        <w:rPr>
          <w:rFonts w:eastAsia="Calibri" w:cs="Arial"/>
        </w:rPr>
        <w:t>.</w:t>
      </w:r>
    </w:p>
    <w:p w:rsidR="00FF15B1" w:rsidRPr="003439BC" w:rsidRDefault="0074699E" w:rsidP="0016796A">
      <w:pPr>
        <w:pStyle w:val="Heading1"/>
      </w:pPr>
      <w:bookmarkStart w:id="13" w:name="_Toc338234657"/>
      <w:r w:rsidRPr="003439BC">
        <w:t>Conclusion</w:t>
      </w:r>
      <w:bookmarkEnd w:id="13"/>
    </w:p>
    <w:p w:rsidR="00FF15B1" w:rsidRPr="00FF15B1" w:rsidRDefault="00B564AE" w:rsidP="003439BC">
      <w:pPr>
        <w:spacing w:line="480" w:lineRule="auto"/>
        <w:ind w:firstLine="720"/>
        <w:jc w:val="both"/>
        <w:rPr>
          <w:rFonts w:cs="Arial"/>
        </w:rPr>
      </w:pPr>
      <w:r>
        <w:rPr>
          <w:rFonts w:cs="Arial"/>
        </w:rPr>
        <w:t>F</w:t>
      </w:r>
      <w:r w:rsidR="00FF15B1" w:rsidRPr="00FF15B1">
        <w:rPr>
          <w:rFonts w:cs="Arial"/>
        </w:rPr>
        <w:t>or the reasons set forth herein and previously, and, regardless of the co</w:t>
      </w:r>
      <w:r>
        <w:rPr>
          <w:rFonts w:cs="Arial"/>
        </w:rPr>
        <w:t>ntent of any additional briefs</w:t>
      </w:r>
      <w:r w:rsidR="00FF15B1" w:rsidRPr="00FF15B1">
        <w:rPr>
          <w:rFonts w:cs="Arial"/>
        </w:rPr>
        <w:t xml:space="preserve">, IEU-Ohio urges the Commission to reject the Stipulation’s request that the Commission find that there is a need for Turning Point for any purpose relevant to the application of Section 4928.143(B)(2)(c), Revised Code, or the establishment of any non-bypassable generation-related charge.  </w:t>
      </w:r>
    </w:p>
    <w:p w:rsidR="00EB6B22" w:rsidRDefault="00E91985" w:rsidP="001B14FD">
      <w:pPr>
        <w:tabs>
          <w:tab w:val="left" w:pos="3780"/>
        </w:tabs>
        <w:spacing w:after="200" w:line="480" w:lineRule="auto"/>
        <w:ind w:firstLine="720"/>
        <w:jc w:val="both"/>
        <w:rPr>
          <w:rFonts w:eastAsia="Calibri" w:cs="Arial"/>
        </w:rPr>
      </w:pPr>
      <w:r>
        <w:rPr>
          <w:rFonts w:eastAsia="Calibri" w:cs="Arial"/>
        </w:rPr>
        <w:tab/>
      </w:r>
      <w:r w:rsidR="001B14FD">
        <w:rPr>
          <w:rFonts w:eastAsia="Calibri" w:cs="Arial"/>
        </w:rPr>
        <w:t xml:space="preserve">Respectfully </w:t>
      </w:r>
      <w:r w:rsidR="00866E97">
        <w:rPr>
          <w:rFonts w:eastAsia="Calibri" w:cs="Arial"/>
        </w:rPr>
        <w:t>s</w:t>
      </w:r>
      <w:r w:rsidR="00693780">
        <w:rPr>
          <w:rFonts w:eastAsia="Calibri" w:cs="Arial"/>
        </w:rPr>
        <w:t>ubmitted:</w:t>
      </w:r>
    </w:p>
    <w:p w:rsidR="00693780" w:rsidRPr="00693780" w:rsidRDefault="004005A2" w:rsidP="001B14FD">
      <w:pPr>
        <w:tabs>
          <w:tab w:val="left" w:pos="-1350"/>
          <w:tab w:val="left" w:pos="7920"/>
        </w:tabs>
        <w:ind w:left="3780"/>
        <w:jc w:val="both"/>
        <w:rPr>
          <w:rFonts w:cs="Arial"/>
          <w:u w:val="single"/>
        </w:rPr>
      </w:pPr>
      <w:r>
        <w:rPr>
          <w:rFonts w:cs="Arial"/>
          <w:u w:val="single"/>
        </w:rPr>
        <w:t>/s/ Joseph E. Oliker</w:t>
      </w:r>
      <w:r w:rsidR="001B14FD">
        <w:rPr>
          <w:rFonts w:cs="Arial"/>
          <w:u w:val="single"/>
        </w:rPr>
        <w:tab/>
      </w:r>
    </w:p>
    <w:p w:rsidR="00693780" w:rsidRDefault="00693780" w:rsidP="001B14FD">
      <w:pPr>
        <w:tabs>
          <w:tab w:val="left" w:pos="-1350"/>
          <w:tab w:val="right" w:pos="8640"/>
        </w:tabs>
        <w:ind w:left="3780"/>
        <w:jc w:val="both"/>
        <w:rPr>
          <w:rFonts w:cs="Arial"/>
        </w:rPr>
      </w:pPr>
      <w:r>
        <w:rPr>
          <w:rFonts w:cs="Arial"/>
        </w:rPr>
        <w:t xml:space="preserve">Samuel C. Randazzo </w:t>
      </w:r>
    </w:p>
    <w:p w:rsidR="00693780" w:rsidRDefault="00693780" w:rsidP="001B14FD">
      <w:pPr>
        <w:pStyle w:val="BodyText3"/>
        <w:widowControl w:val="0"/>
        <w:tabs>
          <w:tab w:val="left" w:pos="0"/>
        </w:tabs>
        <w:ind w:left="3780"/>
        <w:jc w:val="both"/>
        <w:rPr>
          <w:rFonts w:cs="Arial"/>
          <w:b w:val="0"/>
          <w:bCs/>
        </w:rPr>
      </w:pPr>
      <w:r>
        <w:rPr>
          <w:rFonts w:cs="Arial"/>
          <w:b w:val="0"/>
          <w:bCs/>
        </w:rPr>
        <w:t>(Counsel of Record)</w:t>
      </w:r>
    </w:p>
    <w:p w:rsidR="00693780" w:rsidRDefault="00693780" w:rsidP="001B14FD">
      <w:pPr>
        <w:pStyle w:val="BodyText3"/>
        <w:widowControl w:val="0"/>
        <w:tabs>
          <w:tab w:val="left" w:pos="0"/>
        </w:tabs>
        <w:ind w:left="3780"/>
        <w:jc w:val="both"/>
        <w:rPr>
          <w:rFonts w:cs="Arial"/>
          <w:b w:val="0"/>
          <w:bCs/>
        </w:rPr>
      </w:pPr>
      <w:r>
        <w:rPr>
          <w:rFonts w:cs="Arial"/>
          <w:b w:val="0"/>
          <w:bCs/>
        </w:rPr>
        <w:t>Frank P. Darr</w:t>
      </w:r>
    </w:p>
    <w:p w:rsidR="00693780" w:rsidRDefault="00693780" w:rsidP="001B14FD">
      <w:pPr>
        <w:pStyle w:val="BodyText3"/>
        <w:widowControl w:val="0"/>
        <w:tabs>
          <w:tab w:val="left" w:pos="0"/>
        </w:tabs>
        <w:ind w:left="3780"/>
        <w:jc w:val="both"/>
        <w:rPr>
          <w:rFonts w:cs="Arial"/>
          <w:b w:val="0"/>
          <w:bCs/>
        </w:rPr>
      </w:pPr>
      <w:r>
        <w:rPr>
          <w:rFonts w:cs="Arial"/>
          <w:b w:val="0"/>
          <w:bCs/>
        </w:rPr>
        <w:t>Joseph E. Oliker</w:t>
      </w:r>
    </w:p>
    <w:p w:rsidR="00806AC4" w:rsidRDefault="00806AC4" w:rsidP="001B14FD">
      <w:pPr>
        <w:pStyle w:val="BodyText3"/>
        <w:widowControl w:val="0"/>
        <w:tabs>
          <w:tab w:val="left" w:pos="0"/>
        </w:tabs>
        <w:ind w:left="3780"/>
        <w:jc w:val="both"/>
        <w:rPr>
          <w:rFonts w:cs="Arial"/>
          <w:b w:val="0"/>
          <w:bCs/>
        </w:rPr>
      </w:pPr>
      <w:r>
        <w:rPr>
          <w:rFonts w:cs="Arial"/>
          <w:b w:val="0"/>
          <w:bCs/>
        </w:rPr>
        <w:t>Matthew R. Pritchard</w:t>
      </w:r>
    </w:p>
    <w:p w:rsidR="00693780" w:rsidRDefault="00693780" w:rsidP="001B14FD">
      <w:pPr>
        <w:pStyle w:val="BodyText3"/>
        <w:widowControl w:val="0"/>
        <w:tabs>
          <w:tab w:val="left" w:pos="0"/>
        </w:tabs>
        <w:ind w:left="3780"/>
        <w:jc w:val="both"/>
        <w:rPr>
          <w:rFonts w:cs="Arial"/>
          <w:b w:val="0"/>
          <w:bCs/>
          <w:smallCaps/>
          <w:szCs w:val="24"/>
        </w:rPr>
      </w:pPr>
      <w:r>
        <w:rPr>
          <w:rFonts w:cs="Arial"/>
          <w:b w:val="0"/>
          <w:bCs/>
          <w:smallCaps/>
          <w:szCs w:val="24"/>
        </w:rPr>
        <w:t>McNees Wallace &amp; Nurick LLC</w:t>
      </w:r>
    </w:p>
    <w:p w:rsidR="00693780" w:rsidRDefault="00693780" w:rsidP="001B14FD">
      <w:pPr>
        <w:pStyle w:val="BodyText3"/>
        <w:widowControl w:val="0"/>
        <w:tabs>
          <w:tab w:val="left" w:pos="0"/>
        </w:tabs>
        <w:ind w:left="3780"/>
        <w:jc w:val="both"/>
        <w:rPr>
          <w:rFonts w:cs="Arial"/>
          <w:b w:val="0"/>
          <w:bCs/>
        </w:rPr>
      </w:pPr>
      <w:r>
        <w:rPr>
          <w:rFonts w:cs="Arial"/>
          <w:b w:val="0"/>
          <w:bCs/>
        </w:rPr>
        <w:t>21 East State Street, 17</w:t>
      </w:r>
      <w:r>
        <w:rPr>
          <w:rFonts w:cs="Arial"/>
          <w:b w:val="0"/>
          <w:bCs/>
          <w:vertAlign w:val="superscript"/>
        </w:rPr>
        <w:t>TH</w:t>
      </w:r>
      <w:r>
        <w:rPr>
          <w:rFonts w:cs="Arial"/>
          <w:b w:val="0"/>
          <w:bCs/>
        </w:rPr>
        <w:t xml:space="preserve"> Floor</w:t>
      </w:r>
    </w:p>
    <w:p w:rsidR="00693780" w:rsidRDefault="00693780" w:rsidP="001B14FD">
      <w:pPr>
        <w:pStyle w:val="BodyText"/>
        <w:tabs>
          <w:tab w:val="left" w:pos="0"/>
        </w:tabs>
        <w:ind w:left="3780"/>
      </w:pPr>
      <w:r>
        <w:t>Columbus, OH  43215</w:t>
      </w:r>
    </w:p>
    <w:p w:rsidR="00806AC4" w:rsidRDefault="00806AC4" w:rsidP="001B14FD">
      <w:pPr>
        <w:pStyle w:val="BodyText"/>
        <w:tabs>
          <w:tab w:val="left" w:pos="0"/>
        </w:tabs>
        <w:ind w:left="3780"/>
      </w:pPr>
    </w:p>
    <w:p w:rsidR="00693780" w:rsidRDefault="00693780" w:rsidP="001B14FD">
      <w:pPr>
        <w:autoSpaceDE w:val="0"/>
        <w:autoSpaceDN w:val="0"/>
        <w:adjustRightInd w:val="0"/>
        <w:ind w:left="3780"/>
        <w:rPr>
          <w:rFonts w:cs="Arial"/>
          <w:b/>
          <w:smallCaps/>
        </w:rPr>
      </w:pPr>
      <w:r w:rsidRPr="001B14FD">
        <w:rPr>
          <w:rFonts w:cs="Arial"/>
          <w:b/>
          <w:smallCaps/>
        </w:rPr>
        <w:t>Attorneys for Industrial Energy Users-Ohio</w:t>
      </w:r>
    </w:p>
    <w:p w:rsidR="00865D80" w:rsidRDefault="00865D80" w:rsidP="001B14FD">
      <w:pPr>
        <w:autoSpaceDE w:val="0"/>
        <w:autoSpaceDN w:val="0"/>
        <w:adjustRightInd w:val="0"/>
        <w:ind w:left="3780"/>
        <w:rPr>
          <w:rFonts w:cs="Arial"/>
          <w:b/>
          <w:smallCaps/>
        </w:rPr>
        <w:sectPr w:rsidR="00865D80" w:rsidSect="00865D80">
          <w:headerReference w:type="default" r:id="rId21"/>
          <w:footerReference w:type="default" r:id="rId22"/>
          <w:headerReference w:type="first" r:id="rId23"/>
          <w:footerReference w:type="first" r:id="rId24"/>
          <w:pgSz w:w="12240" w:h="15840" w:code="1"/>
          <w:pgMar w:top="1440" w:right="1440" w:bottom="1440" w:left="1440" w:header="720" w:footer="720" w:gutter="0"/>
          <w:pgNumType w:start="1"/>
          <w:cols w:space="720"/>
          <w:noEndnote/>
          <w:titlePg/>
          <w:docGrid w:linePitch="326"/>
        </w:sectPr>
      </w:pPr>
    </w:p>
    <w:p w:rsidR="00806AC4" w:rsidRPr="00BD2496" w:rsidRDefault="00806AC4" w:rsidP="00BD2496">
      <w:pPr>
        <w:jc w:val="center"/>
        <w:rPr>
          <w:rFonts w:ascii="Arial Bold" w:hAnsi="Arial Bold"/>
          <w:b/>
          <w:i/>
          <w:caps/>
          <w:smallCaps/>
          <w:u w:val="single"/>
        </w:rPr>
      </w:pPr>
      <w:r w:rsidRPr="00BD2496">
        <w:rPr>
          <w:rFonts w:ascii="Arial Bold" w:hAnsi="Arial Bold"/>
          <w:b/>
          <w:caps/>
          <w:u w:val="single"/>
        </w:rPr>
        <w:lastRenderedPageBreak/>
        <w:t>Certificate of Service</w:t>
      </w:r>
    </w:p>
    <w:p w:rsidR="00806AC4" w:rsidRDefault="00806AC4" w:rsidP="00806AC4">
      <w:pPr>
        <w:jc w:val="both"/>
      </w:pPr>
    </w:p>
    <w:p w:rsidR="00806AC4" w:rsidRDefault="00806AC4" w:rsidP="00806AC4">
      <w:pPr>
        <w:pStyle w:val="BodyText"/>
        <w:spacing w:line="480" w:lineRule="auto"/>
        <w:ind w:firstLine="720"/>
        <w:rPr>
          <w:b/>
          <w:smallCaps/>
        </w:rPr>
      </w:pPr>
      <w:r>
        <w:t xml:space="preserve">I hereby certify that a copy of the foregoing </w:t>
      </w:r>
      <w:r w:rsidR="0077686E">
        <w:rPr>
          <w:i/>
        </w:rPr>
        <w:t>Supplemental Reply</w:t>
      </w:r>
      <w:r w:rsidR="00CE1247">
        <w:rPr>
          <w:i/>
        </w:rPr>
        <w:t xml:space="preserve"> of Industrial Energy Users-Ohio,</w:t>
      </w:r>
      <w:r>
        <w:rPr>
          <w:i/>
          <w:iCs/>
        </w:rPr>
        <w:t xml:space="preserve"> </w:t>
      </w:r>
      <w:r>
        <w:t xml:space="preserve">was served upon the following parties of record this </w:t>
      </w:r>
      <w:r w:rsidR="00B10C9B">
        <w:t>17th</w:t>
      </w:r>
      <w:r w:rsidR="00CB0126">
        <w:t xml:space="preserve"> </w:t>
      </w:r>
      <w:r>
        <w:t xml:space="preserve">day of </w:t>
      </w:r>
      <w:r w:rsidR="00CB0126">
        <w:t>October</w:t>
      </w:r>
      <w:r>
        <w:t xml:space="preserve"> 201</w:t>
      </w:r>
      <w:r w:rsidR="00ED19E7">
        <w:t>2</w:t>
      </w:r>
      <w:r>
        <w:t xml:space="preserve">, </w:t>
      </w:r>
      <w:r>
        <w:rPr>
          <w:i/>
        </w:rPr>
        <w:t>via</w:t>
      </w:r>
      <w:r>
        <w:t xml:space="preserve"> electronic transmission, hand-delivery or first class U.S. mail, postage prepaid.</w:t>
      </w:r>
    </w:p>
    <w:p w:rsidR="00806AC4" w:rsidRDefault="00806AC4" w:rsidP="00806AC4">
      <w:pPr>
        <w:tabs>
          <w:tab w:val="left" w:pos="-1440"/>
          <w:tab w:val="left" w:pos="-720"/>
          <w:tab w:val="left" w:pos="5040"/>
          <w:tab w:val="center" w:pos="7200"/>
        </w:tabs>
        <w:jc w:val="both"/>
        <w:rPr>
          <w:rFonts w:cs="Arial"/>
        </w:rPr>
      </w:pPr>
    </w:p>
    <w:p w:rsidR="00806AC4" w:rsidRDefault="004005A2" w:rsidP="00806AC4">
      <w:pPr>
        <w:tabs>
          <w:tab w:val="left" w:pos="-1440"/>
          <w:tab w:val="left" w:pos="-720"/>
          <w:tab w:val="left" w:pos="5040"/>
          <w:tab w:val="center" w:pos="7200"/>
          <w:tab w:val="right" w:pos="9360"/>
        </w:tabs>
        <w:ind w:firstLine="5040"/>
        <w:jc w:val="both"/>
        <w:rPr>
          <w:rFonts w:cs="Arial"/>
        </w:rPr>
      </w:pPr>
      <w:r>
        <w:rPr>
          <w:rFonts w:cs="Arial"/>
          <w:u w:val="single"/>
        </w:rPr>
        <w:t>/s/ Joseph E. Oliker</w:t>
      </w:r>
      <w:r w:rsidR="00806AC4">
        <w:rPr>
          <w:rFonts w:cs="Arial"/>
          <w:u w:val="single"/>
        </w:rPr>
        <w:tab/>
      </w:r>
      <w:r w:rsidR="00806AC4">
        <w:rPr>
          <w:rFonts w:cs="Arial"/>
          <w:u w:val="single"/>
        </w:rPr>
        <w:tab/>
      </w:r>
    </w:p>
    <w:p w:rsidR="00806AC4" w:rsidRDefault="00CB0126" w:rsidP="00806AC4">
      <w:pPr>
        <w:tabs>
          <w:tab w:val="left" w:pos="-1440"/>
          <w:tab w:val="left" w:pos="-720"/>
          <w:tab w:val="left" w:pos="5040"/>
          <w:tab w:val="center" w:pos="7200"/>
        </w:tabs>
        <w:ind w:firstLine="5040"/>
        <w:jc w:val="both"/>
        <w:rPr>
          <w:rFonts w:cs="Arial"/>
        </w:rPr>
      </w:pPr>
      <w:r>
        <w:rPr>
          <w:rFonts w:cs="Arial"/>
        </w:rPr>
        <w:t>Joseph E. Oliker</w:t>
      </w:r>
    </w:p>
    <w:p w:rsidR="00806AC4" w:rsidRDefault="00806AC4" w:rsidP="00806AC4">
      <w:pPr>
        <w:tabs>
          <w:tab w:val="left" w:pos="2160"/>
          <w:tab w:val="left" w:pos="2280"/>
        </w:tabs>
        <w:jc w:val="both"/>
        <w:rPr>
          <w:rFonts w:cs="Arial"/>
        </w:rPr>
      </w:pPr>
    </w:p>
    <w:p w:rsidR="00806AC4" w:rsidRDefault="00806AC4" w:rsidP="00806AC4">
      <w:pPr>
        <w:tabs>
          <w:tab w:val="left" w:pos="2160"/>
          <w:tab w:val="left" w:pos="2280"/>
        </w:tabs>
        <w:jc w:val="both"/>
        <w:rPr>
          <w:rFonts w:cs="Arial"/>
          <w:sz w:val="20"/>
          <w:szCs w:val="20"/>
        </w:rPr>
        <w:sectPr w:rsidR="00806AC4" w:rsidSect="00600153">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41" w:left="1440" w:header="720" w:footer="720" w:gutter="0"/>
          <w:pgNumType w:start="1"/>
          <w:cols w:space="720"/>
          <w:titlePg/>
          <w:docGrid w:linePitch="326"/>
        </w:sectPr>
      </w:pPr>
    </w:p>
    <w:p w:rsidR="001B65B4" w:rsidRPr="00BE31C7" w:rsidRDefault="001B65B4" w:rsidP="001B65B4">
      <w:pPr>
        <w:tabs>
          <w:tab w:val="left" w:pos="2160"/>
          <w:tab w:val="left" w:pos="2280"/>
        </w:tabs>
        <w:rPr>
          <w:rFonts w:cs="Arial"/>
          <w:sz w:val="20"/>
          <w:szCs w:val="20"/>
        </w:rPr>
      </w:pPr>
      <w:r w:rsidRPr="00BE31C7">
        <w:rPr>
          <w:rFonts w:cs="Arial"/>
          <w:sz w:val="20"/>
          <w:szCs w:val="20"/>
        </w:rPr>
        <w:t>Steven T. Nourse</w:t>
      </w:r>
    </w:p>
    <w:p w:rsidR="001B65B4" w:rsidRPr="00BE31C7" w:rsidRDefault="001B65B4" w:rsidP="001B65B4">
      <w:pPr>
        <w:tabs>
          <w:tab w:val="left" w:pos="2160"/>
          <w:tab w:val="left" w:pos="2280"/>
        </w:tabs>
        <w:rPr>
          <w:rFonts w:cs="Arial"/>
          <w:sz w:val="20"/>
          <w:szCs w:val="20"/>
        </w:rPr>
      </w:pPr>
      <w:r w:rsidRPr="00BE31C7">
        <w:rPr>
          <w:rFonts w:cs="Arial"/>
          <w:sz w:val="20"/>
          <w:szCs w:val="20"/>
        </w:rPr>
        <w:t>American Electric Power Service Corporation</w:t>
      </w:r>
    </w:p>
    <w:p w:rsidR="001B65B4" w:rsidRPr="00BE31C7" w:rsidRDefault="001B65B4" w:rsidP="001B65B4">
      <w:pPr>
        <w:tabs>
          <w:tab w:val="left" w:pos="2160"/>
          <w:tab w:val="left" w:pos="2280"/>
        </w:tabs>
        <w:rPr>
          <w:rFonts w:cs="Arial"/>
          <w:sz w:val="20"/>
          <w:szCs w:val="20"/>
        </w:rPr>
      </w:pPr>
      <w:r w:rsidRPr="00BE31C7">
        <w:rPr>
          <w:rFonts w:cs="Arial"/>
          <w:sz w:val="20"/>
          <w:szCs w:val="20"/>
        </w:rPr>
        <w:t>1 Riverside Plaza, 29</w:t>
      </w:r>
      <w:r w:rsidRPr="00BE31C7">
        <w:rPr>
          <w:rFonts w:cs="Arial"/>
          <w:sz w:val="20"/>
          <w:szCs w:val="20"/>
          <w:vertAlign w:val="superscript"/>
        </w:rPr>
        <w:t>th</w:t>
      </w:r>
      <w:r w:rsidRPr="00BE31C7">
        <w:rPr>
          <w:rFonts w:cs="Arial"/>
          <w:sz w:val="20"/>
          <w:szCs w:val="20"/>
        </w:rPr>
        <w:t xml:space="preserve"> Floor</w:t>
      </w:r>
    </w:p>
    <w:p w:rsidR="001B65B4" w:rsidRPr="00BE31C7" w:rsidRDefault="001B65B4" w:rsidP="001B65B4">
      <w:pPr>
        <w:tabs>
          <w:tab w:val="left" w:pos="2160"/>
          <w:tab w:val="left" w:pos="2280"/>
        </w:tabs>
        <w:rPr>
          <w:rFonts w:cs="Arial"/>
          <w:sz w:val="20"/>
          <w:szCs w:val="20"/>
        </w:rPr>
      </w:pPr>
      <w:r w:rsidRPr="00BE31C7">
        <w:rPr>
          <w:rFonts w:cs="Arial"/>
          <w:sz w:val="20"/>
          <w:szCs w:val="20"/>
        </w:rPr>
        <w:t>Columbus, OH  43215</w:t>
      </w:r>
    </w:p>
    <w:p w:rsidR="001B65B4" w:rsidRPr="00BE31C7" w:rsidRDefault="001B65B4" w:rsidP="001B65B4">
      <w:pPr>
        <w:tabs>
          <w:tab w:val="left" w:pos="2160"/>
          <w:tab w:val="left" w:pos="2280"/>
        </w:tabs>
        <w:rPr>
          <w:rFonts w:cs="Arial"/>
          <w:sz w:val="20"/>
          <w:szCs w:val="20"/>
        </w:rPr>
      </w:pPr>
      <w:r w:rsidRPr="00BA7AFE">
        <w:rPr>
          <w:rFonts w:cs="Arial"/>
          <w:sz w:val="20"/>
          <w:szCs w:val="20"/>
        </w:rPr>
        <w:t>mjsatterwhite@aep.com</w:t>
      </w:r>
    </w:p>
    <w:p w:rsidR="001B65B4" w:rsidRPr="00BE31C7" w:rsidRDefault="001B65B4" w:rsidP="001B65B4">
      <w:pPr>
        <w:tabs>
          <w:tab w:val="left" w:pos="2160"/>
          <w:tab w:val="left" w:pos="2280"/>
        </w:tabs>
        <w:rPr>
          <w:rFonts w:cs="Arial"/>
          <w:sz w:val="20"/>
          <w:szCs w:val="20"/>
        </w:rPr>
      </w:pPr>
      <w:r w:rsidRPr="00BA7AFE">
        <w:rPr>
          <w:rFonts w:cs="Arial"/>
          <w:sz w:val="20"/>
          <w:szCs w:val="20"/>
        </w:rPr>
        <w:t>stnourse@aep.com</w:t>
      </w:r>
    </w:p>
    <w:p w:rsidR="001B65B4" w:rsidRPr="00BE31C7" w:rsidRDefault="001B65B4" w:rsidP="001B65B4">
      <w:pPr>
        <w:tabs>
          <w:tab w:val="left" w:pos="2160"/>
          <w:tab w:val="left" w:pos="2280"/>
        </w:tabs>
        <w:rPr>
          <w:rFonts w:cs="Arial"/>
          <w:sz w:val="20"/>
          <w:szCs w:val="20"/>
        </w:rPr>
      </w:pPr>
    </w:p>
    <w:p w:rsidR="001B65B4" w:rsidRPr="00BE31C7" w:rsidRDefault="001B65B4" w:rsidP="001B65B4">
      <w:pPr>
        <w:tabs>
          <w:tab w:val="left" w:pos="2160"/>
          <w:tab w:val="left" w:pos="2280"/>
        </w:tabs>
        <w:rPr>
          <w:rFonts w:cs="Arial"/>
          <w:b/>
          <w:smallCaps/>
          <w:sz w:val="20"/>
          <w:szCs w:val="20"/>
        </w:rPr>
      </w:pPr>
      <w:r w:rsidRPr="00BE31C7">
        <w:rPr>
          <w:rFonts w:cs="Arial"/>
          <w:b/>
          <w:smallCaps/>
          <w:sz w:val="20"/>
          <w:szCs w:val="20"/>
        </w:rPr>
        <w:t>On Behalf of Columbus Southern Power Company and Ohio Power Company</w:t>
      </w:r>
    </w:p>
    <w:p w:rsidR="001B65B4" w:rsidRPr="00BE31C7" w:rsidRDefault="001B65B4" w:rsidP="001B65B4">
      <w:pPr>
        <w:tabs>
          <w:tab w:val="left" w:pos="2160"/>
          <w:tab w:val="left" w:pos="2280"/>
        </w:tabs>
        <w:rPr>
          <w:rFonts w:cs="Arial"/>
          <w:sz w:val="20"/>
          <w:szCs w:val="20"/>
        </w:rPr>
      </w:pPr>
    </w:p>
    <w:p w:rsidR="001B65B4" w:rsidRPr="006A6C77" w:rsidRDefault="001B65B4" w:rsidP="001B65B4">
      <w:pPr>
        <w:ind w:right="144"/>
        <w:rPr>
          <w:rFonts w:cs="Arial"/>
          <w:sz w:val="20"/>
          <w:szCs w:val="20"/>
        </w:rPr>
      </w:pPr>
      <w:r w:rsidRPr="006A6C77">
        <w:rPr>
          <w:rFonts w:cs="Arial"/>
          <w:sz w:val="20"/>
          <w:szCs w:val="20"/>
        </w:rPr>
        <w:t>Mark A. Hayden</w:t>
      </w:r>
    </w:p>
    <w:p w:rsidR="001B65B4" w:rsidRPr="006A6C77" w:rsidRDefault="001B65B4" w:rsidP="001B65B4">
      <w:pPr>
        <w:ind w:right="144"/>
        <w:rPr>
          <w:rFonts w:cs="Arial"/>
          <w:sz w:val="20"/>
          <w:szCs w:val="20"/>
        </w:rPr>
      </w:pPr>
      <w:r w:rsidRPr="006A6C77">
        <w:rPr>
          <w:rFonts w:cs="Arial"/>
          <w:sz w:val="20"/>
          <w:szCs w:val="20"/>
        </w:rPr>
        <w:t>Attorney</w:t>
      </w:r>
    </w:p>
    <w:p w:rsidR="001B65B4" w:rsidRPr="006A6C77" w:rsidRDefault="001B65B4" w:rsidP="001B65B4">
      <w:pPr>
        <w:ind w:right="144"/>
        <w:rPr>
          <w:rFonts w:cs="Arial"/>
          <w:sz w:val="20"/>
          <w:szCs w:val="20"/>
        </w:rPr>
      </w:pPr>
      <w:r w:rsidRPr="006A6C77">
        <w:rPr>
          <w:rFonts w:cs="Arial"/>
          <w:sz w:val="20"/>
          <w:szCs w:val="20"/>
        </w:rPr>
        <w:t>FirstEnergy Service Company</w:t>
      </w:r>
    </w:p>
    <w:p w:rsidR="001B65B4" w:rsidRPr="006A6C77" w:rsidRDefault="001B65B4" w:rsidP="001B65B4">
      <w:pPr>
        <w:ind w:right="144"/>
        <w:rPr>
          <w:rFonts w:cs="Arial"/>
          <w:sz w:val="20"/>
          <w:szCs w:val="20"/>
        </w:rPr>
      </w:pPr>
      <w:r w:rsidRPr="006A6C77">
        <w:rPr>
          <w:rFonts w:cs="Arial"/>
          <w:sz w:val="20"/>
          <w:szCs w:val="20"/>
        </w:rPr>
        <w:t>76 South Main Street</w:t>
      </w:r>
    </w:p>
    <w:p w:rsidR="001B65B4" w:rsidRDefault="001B65B4" w:rsidP="001B65B4">
      <w:pPr>
        <w:tabs>
          <w:tab w:val="left" w:pos="2160"/>
          <w:tab w:val="left" w:pos="2280"/>
        </w:tabs>
        <w:rPr>
          <w:rFonts w:cs="Arial"/>
          <w:sz w:val="20"/>
          <w:szCs w:val="20"/>
        </w:rPr>
      </w:pPr>
      <w:r w:rsidRPr="006A6C77">
        <w:rPr>
          <w:rFonts w:cs="Arial"/>
          <w:sz w:val="20"/>
          <w:szCs w:val="20"/>
        </w:rPr>
        <w:t>Akron, OH  44308</w:t>
      </w:r>
    </w:p>
    <w:p w:rsidR="001B65B4" w:rsidRDefault="001B65B4" w:rsidP="001B65B4">
      <w:pPr>
        <w:tabs>
          <w:tab w:val="left" w:pos="2160"/>
          <w:tab w:val="left" w:pos="2280"/>
        </w:tabs>
        <w:rPr>
          <w:rFonts w:cs="Arial"/>
          <w:sz w:val="20"/>
          <w:szCs w:val="20"/>
        </w:rPr>
      </w:pPr>
      <w:r w:rsidRPr="00BA7AFE">
        <w:rPr>
          <w:rFonts w:cs="Arial"/>
          <w:sz w:val="20"/>
          <w:szCs w:val="20"/>
        </w:rPr>
        <w:t>haydenm@firstenergycorp.com</w:t>
      </w:r>
    </w:p>
    <w:p w:rsidR="001B65B4" w:rsidRDefault="001B65B4" w:rsidP="001B65B4">
      <w:pPr>
        <w:tabs>
          <w:tab w:val="left" w:pos="2160"/>
          <w:tab w:val="left" w:pos="2280"/>
        </w:tabs>
        <w:rPr>
          <w:rFonts w:cs="Arial"/>
          <w:sz w:val="20"/>
          <w:szCs w:val="20"/>
        </w:rPr>
      </w:pPr>
    </w:p>
    <w:p w:rsidR="001B65B4" w:rsidRPr="00BA7AFE" w:rsidRDefault="001B65B4" w:rsidP="001B65B4">
      <w:pPr>
        <w:autoSpaceDE w:val="0"/>
        <w:autoSpaceDN w:val="0"/>
        <w:adjustRightInd w:val="0"/>
        <w:rPr>
          <w:rFonts w:cs="Arial"/>
          <w:sz w:val="20"/>
          <w:szCs w:val="20"/>
        </w:rPr>
      </w:pPr>
      <w:r w:rsidRPr="00BA7AFE">
        <w:rPr>
          <w:rFonts w:cs="Arial"/>
          <w:sz w:val="20"/>
          <w:szCs w:val="20"/>
        </w:rPr>
        <w:t xml:space="preserve">James F. Lang </w:t>
      </w:r>
    </w:p>
    <w:p w:rsidR="001B65B4" w:rsidRPr="00BA7AFE" w:rsidRDefault="001B65B4" w:rsidP="001B65B4">
      <w:pPr>
        <w:autoSpaceDE w:val="0"/>
        <w:autoSpaceDN w:val="0"/>
        <w:adjustRightInd w:val="0"/>
        <w:rPr>
          <w:rFonts w:cs="Arial"/>
          <w:sz w:val="20"/>
          <w:szCs w:val="20"/>
        </w:rPr>
      </w:pPr>
      <w:r w:rsidRPr="00BA7AFE">
        <w:rPr>
          <w:rFonts w:cs="Arial"/>
          <w:sz w:val="20"/>
          <w:szCs w:val="20"/>
        </w:rPr>
        <w:t xml:space="preserve">Laura C. McBride </w:t>
      </w:r>
    </w:p>
    <w:p w:rsidR="001B65B4" w:rsidRPr="00BA7AFE" w:rsidRDefault="001B65B4" w:rsidP="001B65B4">
      <w:pPr>
        <w:autoSpaceDE w:val="0"/>
        <w:autoSpaceDN w:val="0"/>
        <w:adjustRightInd w:val="0"/>
        <w:rPr>
          <w:rFonts w:cs="Arial"/>
          <w:sz w:val="20"/>
          <w:szCs w:val="20"/>
        </w:rPr>
      </w:pPr>
      <w:r w:rsidRPr="00BA7AFE">
        <w:rPr>
          <w:rFonts w:cs="Arial"/>
          <w:sz w:val="20"/>
          <w:szCs w:val="20"/>
        </w:rPr>
        <w:t>N. Trevor Alexander</w:t>
      </w:r>
    </w:p>
    <w:p w:rsidR="001B65B4" w:rsidRPr="00BA7AFE" w:rsidRDefault="001B65B4" w:rsidP="001B65B4">
      <w:pPr>
        <w:autoSpaceDE w:val="0"/>
        <w:autoSpaceDN w:val="0"/>
        <w:adjustRightInd w:val="0"/>
        <w:rPr>
          <w:rFonts w:cs="Arial"/>
          <w:smallCaps/>
          <w:sz w:val="20"/>
          <w:szCs w:val="20"/>
        </w:rPr>
      </w:pPr>
      <w:r w:rsidRPr="00BA7AFE">
        <w:rPr>
          <w:rFonts w:cs="Arial"/>
          <w:smallCaps/>
          <w:sz w:val="20"/>
          <w:szCs w:val="20"/>
        </w:rPr>
        <w:t>Calfee, Halter &amp;  Griswold LLP</w:t>
      </w:r>
    </w:p>
    <w:p w:rsidR="001B65B4" w:rsidRPr="00BA7AFE" w:rsidRDefault="001B65B4" w:rsidP="001B65B4">
      <w:pPr>
        <w:autoSpaceDE w:val="0"/>
        <w:autoSpaceDN w:val="0"/>
        <w:adjustRightInd w:val="0"/>
        <w:rPr>
          <w:rFonts w:cs="Arial"/>
          <w:sz w:val="20"/>
          <w:szCs w:val="20"/>
        </w:rPr>
      </w:pPr>
      <w:r w:rsidRPr="00BA7AFE">
        <w:rPr>
          <w:rFonts w:cs="Arial"/>
          <w:sz w:val="20"/>
          <w:szCs w:val="20"/>
        </w:rPr>
        <w:t>1400 KeyBank Center</w:t>
      </w:r>
    </w:p>
    <w:p w:rsidR="001B65B4" w:rsidRPr="00BA7AFE" w:rsidRDefault="001B65B4" w:rsidP="001B65B4">
      <w:pPr>
        <w:autoSpaceDE w:val="0"/>
        <w:autoSpaceDN w:val="0"/>
        <w:adjustRightInd w:val="0"/>
        <w:rPr>
          <w:rFonts w:cs="Arial"/>
          <w:sz w:val="20"/>
          <w:szCs w:val="20"/>
        </w:rPr>
      </w:pPr>
      <w:r w:rsidRPr="00BA7AFE">
        <w:rPr>
          <w:rFonts w:cs="Arial"/>
          <w:sz w:val="20"/>
          <w:szCs w:val="20"/>
        </w:rPr>
        <w:t>800 Superior Ave.</w:t>
      </w:r>
    </w:p>
    <w:p w:rsidR="001B65B4" w:rsidRPr="00BA7AFE" w:rsidRDefault="001B65B4" w:rsidP="001B65B4">
      <w:pPr>
        <w:autoSpaceDE w:val="0"/>
        <w:autoSpaceDN w:val="0"/>
        <w:adjustRightInd w:val="0"/>
        <w:rPr>
          <w:rFonts w:cs="Arial"/>
          <w:sz w:val="20"/>
          <w:szCs w:val="20"/>
        </w:rPr>
      </w:pPr>
      <w:r w:rsidRPr="00BA7AFE">
        <w:rPr>
          <w:rFonts w:cs="Arial"/>
          <w:sz w:val="20"/>
          <w:szCs w:val="20"/>
        </w:rPr>
        <w:t>Cleveland, OH 44114</w:t>
      </w:r>
    </w:p>
    <w:p w:rsidR="001B65B4" w:rsidRPr="00BA7AFE" w:rsidRDefault="001B65B4" w:rsidP="001B65B4">
      <w:pPr>
        <w:autoSpaceDE w:val="0"/>
        <w:autoSpaceDN w:val="0"/>
        <w:adjustRightInd w:val="0"/>
        <w:rPr>
          <w:rFonts w:cs="Arial"/>
          <w:sz w:val="20"/>
          <w:szCs w:val="20"/>
        </w:rPr>
      </w:pPr>
      <w:r w:rsidRPr="00BA7AFE">
        <w:rPr>
          <w:rFonts w:cs="Arial"/>
          <w:sz w:val="20"/>
          <w:szCs w:val="20"/>
        </w:rPr>
        <w:t>jlang@calfee.com</w:t>
      </w:r>
    </w:p>
    <w:p w:rsidR="001B65B4" w:rsidRPr="00BA7AFE" w:rsidRDefault="001B65B4" w:rsidP="001B65B4">
      <w:pPr>
        <w:autoSpaceDE w:val="0"/>
        <w:autoSpaceDN w:val="0"/>
        <w:adjustRightInd w:val="0"/>
        <w:rPr>
          <w:rFonts w:cs="Arial"/>
          <w:sz w:val="20"/>
          <w:szCs w:val="20"/>
        </w:rPr>
      </w:pPr>
      <w:r w:rsidRPr="00BA7AFE">
        <w:rPr>
          <w:rFonts w:cs="Arial"/>
          <w:sz w:val="20"/>
          <w:szCs w:val="20"/>
        </w:rPr>
        <w:t>lmcbride@calfee.com</w:t>
      </w:r>
    </w:p>
    <w:p w:rsidR="001B65B4" w:rsidRDefault="001B65B4" w:rsidP="001B65B4">
      <w:pPr>
        <w:tabs>
          <w:tab w:val="left" w:pos="2160"/>
          <w:tab w:val="left" w:pos="2280"/>
        </w:tabs>
        <w:rPr>
          <w:rFonts w:cs="Arial"/>
          <w:sz w:val="20"/>
          <w:szCs w:val="20"/>
        </w:rPr>
      </w:pPr>
    </w:p>
    <w:p w:rsidR="001B65B4" w:rsidRPr="00BE31C7" w:rsidRDefault="001B65B4" w:rsidP="001B65B4">
      <w:pPr>
        <w:tabs>
          <w:tab w:val="left" w:pos="2160"/>
          <w:tab w:val="left" w:pos="2280"/>
        </w:tabs>
        <w:rPr>
          <w:rFonts w:cs="Arial"/>
          <w:b/>
          <w:smallCaps/>
          <w:sz w:val="20"/>
          <w:szCs w:val="20"/>
        </w:rPr>
      </w:pPr>
      <w:r w:rsidRPr="00BE31C7">
        <w:rPr>
          <w:rFonts w:cs="Arial"/>
          <w:b/>
          <w:smallCaps/>
          <w:sz w:val="20"/>
          <w:szCs w:val="20"/>
        </w:rPr>
        <w:t xml:space="preserve">On Behalf of </w:t>
      </w:r>
      <w:r>
        <w:rPr>
          <w:rFonts w:cs="Arial"/>
          <w:b/>
          <w:smallCaps/>
          <w:sz w:val="20"/>
          <w:szCs w:val="20"/>
        </w:rPr>
        <w:t>FirstEnergy Service Company</w:t>
      </w:r>
    </w:p>
    <w:p w:rsidR="001B65B4" w:rsidRDefault="001B65B4" w:rsidP="001B65B4">
      <w:pPr>
        <w:tabs>
          <w:tab w:val="left" w:pos="2160"/>
          <w:tab w:val="left" w:pos="2280"/>
        </w:tabs>
        <w:rPr>
          <w:rFonts w:cs="Arial"/>
          <w:sz w:val="20"/>
          <w:szCs w:val="20"/>
        </w:rPr>
      </w:pPr>
    </w:p>
    <w:p w:rsidR="001B65B4" w:rsidRDefault="001B65B4" w:rsidP="001B65B4">
      <w:pPr>
        <w:tabs>
          <w:tab w:val="left" w:pos="2160"/>
          <w:tab w:val="left" w:pos="2280"/>
        </w:tabs>
        <w:rPr>
          <w:rFonts w:cs="Arial"/>
          <w:sz w:val="20"/>
          <w:szCs w:val="20"/>
        </w:rPr>
      </w:pPr>
      <w:r>
        <w:rPr>
          <w:rFonts w:cs="Arial"/>
          <w:sz w:val="20"/>
          <w:szCs w:val="20"/>
        </w:rPr>
        <w:t>Jack D’Aurora</w:t>
      </w:r>
    </w:p>
    <w:p w:rsidR="001B65B4" w:rsidRDefault="001B65B4" w:rsidP="001B65B4">
      <w:pPr>
        <w:tabs>
          <w:tab w:val="left" w:pos="2160"/>
          <w:tab w:val="left" w:pos="2280"/>
        </w:tabs>
        <w:rPr>
          <w:rFonts w:cs="Arial"/>
          <w:sz w:val="20"/>
          <w:szCs w:val="20"/>
        </w:rPr>
      </w:pPr>
      <w:r>
        <w:rPr>
          <w:rFonts w:cs="Arial"/>
          <w:sz w:val="20"/>
          <w:szCs w:val="20"/>
        </w:rPr>
        <w:t>The Behal Law Group LLC</w:t>
      </w:r>
    </w:p>
    <w:p w:rsidR="001B65B4" w:rsidRDefault="001B65B4" w:rsidP="001B65B4">
      <w:pPr>
        <w:tabs>
          <w:tab w:val="left" w:pos="2160"/>
          <w:tab w:val="left" w:pos="2280"/>
        </w:tabs>
        <w:rPr>
          <w:rFonts w:cs="Arial"/>
          <w:sz w:val="20"/>
          <w:szCs w:val="20"/>
        </w:rPr>
      </w:pPr>
      <w:r>
        <w:rPr>
          <w:rFonts w:cs="Arial"/>
          <w:sz w:val="20"/>
          <w:szCs w:val="20"/>
        </w:rPr>
        <w:t>501 South High Street</w:t>
      </w:r>
    </w:p>
    <w:p w:rsidR="001B65B4" w:rsidRDefault="001B65B4" w:rsidP="001B65B4">
      <w:pPr>
        <w:tabs>
          <w:tab w:val="left" w:pos="2160"/>
          <w:tab w:val="left" w:pos="2280"/>
        </w:tabs>
        <w:rPr>
          <w:rFonts w:cs="Arial"/>
          <w:sz w:val="20"/>
          <w:szCs w:val="20"/>
        </w:rPr>
      </w:pPr>
      <w:r>
        <w:rPr>
          <w:rFonts w:cs="Arial"/>
          <w:sz w:val="20"/>
          <w:szCs w:val="20"/>
        </w:rPr>
        <w:t>Columbus, OH  43215</w:t>
      </w:r>
    </w:p>
    <w:p w:rsidR="001B65B4" w:rsidRPr="0063397E" w:rsidRDefault="000B54E5" w:rsidP="001B65B4">
      <w:pPr>
        <w:tabs>
          <w:tab w:val="left" w:pos="2160"/>
          <w:tab w:val="left" w:pos="2280"/>
        </w:tabs>
        <w:rPr>
          <w:rFonts w:cs="Arial"/>
          <w:color w:val="000000" w:themeColor="text1"/>
          <w:sz w:val="20"/>
          <w:szCs w:val="20"/>
        </w:rPr>
      </w:pPr>
      <w:hyperlink r:id="rId31" w:history="1">
        <w:r w:rsidR="001B65B4" w:rsidRPr="0063397E">
          <w:rPr>
            <w:rStyle w:val="Hyperlink"/>
            <w:rFonts w:cs="Arial"/>
            <w:color w:val="000000" w:themeColor="text1"/>
            <w:sz w:val="20"/>
            <w:szCs w:val="20"/>
            <w:u w:val="none"/>
          </w:rPr>
          <w:t>jdaurora@behallaw.com</w:t>
        </w:r>
      </w:hyperlink>
    </w:p>
    <w:p w:rsidR="001B65B4" w:rsidRDefault="001B65B4" w:rsidP="001B65B4">
      <w:pPr>
        <w:tabs>
          <w:tab w:val="left" w:pos="2160"/>
          <w:tab w:val="left" w:pos="2280"/>
        </w:tabs>
        <w:rPr>
          <w:rFonts w:cs="Arial"/>
          <w:sz w:val="20"/>
          <w:szCs w:val="20"/>
        </w:rPr>
      </w:pPr>
    </w:p>
    <w:p w:rsidR="001B65B4" w:rsidRPr="003C41B9" w:rsidRDefault="001B65B4" w:rsidP="001B65B4">
      <w:pPr>
        <w:tabs>
          <w:tab w:val="left" w:pos="2160"/>
          <w:tab w:val="left" w:pos="2280"/>
        </w:tabs>
        <w:rPr>
          <w:rFonts w:cs="Arial"/>
          <w:b/>
          <w:smallCaps/>
          <w:sz w:val="20"/>
          <w:szCs w:val="20"/>
        </w:rPr>
      </w:pPr>
      <w:r w:rsidRPr="003C41B9">
        <w:rPr>
          <w:rFonts w:cs="Arial"/>
          <w:b/>
          <w:smallCaps/>
          <w:sz w:val="20"/>
          <w:szCs w:val="20"/>
        </w:rPr>
        <w:t>On Behalf of University of Toledo Innovation Enterprises Corporation</w:t>
      </w:r>
    </w:p>
    <w:p w:rsidR="001B65B4" w:rsidRPr="00FA25B5" w:rsidRDefault="001B65B4" w:rsidP="001B65B4">
      <w:pPr>
        <w:tabs>
          <w:tab w:val="left" w:pos="450"/>
          <w:tab w:val="left" w:pos="2160"/>
          <w:tab w:val="left" w:pos="2280"/>
        </w:tabs>
        <w:rPr>
          <w:rFonts w:cs="Arial"/>
          <w:sz w:val="20"/>
          <w:szCs w:val="20"/>
        </w:rPr>
      </w:pPr>
      <w:r>
        <w:rPr>
          <w:rFonts w:cs="Arial"/>
          <w:sz w:val="20"/>
          <w:szCs w:val="20"/>
        </w:rPr>
        <w:br w:type="column"/>
      </w:r>
      <w:r w:rsidRPr="00FA25B5">
        <w:rPr>
          <w:rFonts w:cs="Arial"/>
          <w:sz w:val="20"/>
          <w:szCs w:val="20"/>
        </w:rPr>
        <w:t>M. Howard Petricoff</w:t>
      </w:r>
    </w:p>
    <w:p w:rsidR="001B65B4" w:rsidRPr="00FA25B5" w:rsidRDefault="001B65B4" w:rsidP="001B65B4">
      <w:pPr>
        <w:tabs>
          <w:tab w:val="left" w:pos="450"/>
          <w:tab w:val="left" w:pos="2160"/>
          <w:tab w:val="left" w:pos="2280"/>
        </w:tabs>
        <w:rPr>
          <w:rFonts w:cs="Arial"/>
          <w:sz w:val="20"/>
          <w:szCs w:val="20"/>
        </w:rPr>
      </w:pPr>
      <w:r w:rsidRPr="00FA25B5">
        <w:rPr>
          <w:rFonts w:cs="Arial"/>
          <w:sz w:val="20"/>
          <w:szCs w:val="20"/>
        </w:rPr>
        <w:t>Vorys, Sater, Seymour and Pease LLP</w:t>
      </w:r>
    </w:p>
    <w:p w:rsidR="001B65B4" w:rsidRPr="00FA25B5" w:rsidRDefault="001B65B4" w:rsidP="001B65B4">
      <w:pPr>
        <w:tabs>
          <w:tab w:val="left" w:pos="450"/>
          <w:tab w:val="left" w:pos="2160"/>
          <w:tab w:val="left" w:pos="2280"/>
        </w:tabs>
        <w:rPr>
          <w:rFonts w:cs="Arial"/>
          <w:sz w:val="20"/>
          <w:szCs w:val="20"/>
        </w:rPr>
      </w:pPr>
      <w:r w:rsidRPr="00FA25B5">
        <w:rPr>
          <w:rFonts w:cs="Arial"/>
          <w:sz w:val="20"/>
          <w:szCs w:val="20"/>
        </w:rPr>
        <w:t>52 E. Gay Street</w:t>
      </w:r>
    </w:p>
    <w:p w:rsidR="001B65B4" w:rsidRDefault="001B65B4" w:rsidP="001B65B4">
      <w:pPr>
        <w:tabs>
          <w:tab w:val="left" w:pos="450"/>
          <w:tab w:val="left" w:pos="2160"/>
          <w:tab w:val="left" w:pos="2280"/>
        </w:tabs>
        <w:rPr>
          <w:rFonts w:cs="Arial"/>
          <w:sz w:val="20"/>
          <w:szCs w:val="20"/>
        </w:rPr>
      </w:pPr>
      <w:r w:rsidRPr="00FA25B5">
        <w:rPr>
          <w:rFonts w:cs="Arial"/>
          <w:sz w:val="20"/>
          <w:szCs w:val="20"/>
        </w:rPr>
        <w:t>Columbus, OH  43215</w:t>
      </w:r>
    </w:p>
    <w:p w:rsidR="001B65B4" w:rsidRPr="0063397E" w:rsidRDefault="000B54E5" w:rsidP="001B65B4">
      <w:pPr>
        <w:tabs>
          <w:tab w:val="left" w:pos="450"/>
          <w:tab w:val="left" w:pos="2160"/>
          <w:tab w:val="left" w:pos="2280"/>
        </w:tabs>
        <w:rPr>
          <w:rFonts w:cs="Arial"/>
          <w:color w:val="000000" w:themeColor="text1"/>
          <w:sz w:val="20"/>
          <w:szCs w:val="20"/>
        </w:rPr>
      </w:pPr>
      <w:hyperlink r:id="rId32" w:history="1">
        <w:r w:rsidR="001B65B4" w:rsidRPr="0063397E">
          <w:rPr>
            <w:rStyle w:val="Hyperlink"/>
            <w:rFonts w:cs="Arial"/>
            <w:color w:val="000000" w:themeColor="text1"/>
            <w:sz w:val="20"/>
            <w:szCs w:val="20"/>
            <w:u w:val="none"/>
          </w:rPr>
          <w:t>mhpetricof@vorys.com</w:t>
        </w:r>
      </w:hyperlink>
    </w:p>
    <w:p w:rsidR="001B65B4" w:rsidRDefault="001B65B4" w:rsidP="001B65B4">
      <w:pPr>
        <w:tabs>
          <w:tab w:val="left" w:pos="450"/>
          <w:tab w:val="left" w:pos="2160"/>
          <w:tab w:val="left" w:pos="2280"/>
        </w:tabs>
        <w:rPr>
          <w:rFonts w:cs="Arial"/>
          <w:sz w:val="20"/>
          <w:szCs w:val="20"/>
        </w:rPr>
      </w:pPr>
    </w:p>
    <w:p w:rsidR="001B65B4" w:rsidRPr="00FA25B5" w:rsidRDefault="001B65B4" w:rsidP="001B65B4">
      <w:pPr>
        <w:tabs>
          <w:tab w:val="left" w:pos="450"/>
          <w:tab w:val="left" w:pos="2160"/>
          <w:tab w:val="left" w:pos="2280"/>
        </w:tabs>
        <w:rPr>
          <w:rFonts w:ascii="Arial Bold" w:hAnsi="Arial Bold" w:cs="Arial"/>
          <w:b/>
          <w:smallCaps/>
          <w:sz w:val="20"/>
          <w:szCs w:val="20"/>
        </w:rPr>
      </w:pPr>
      <w:r w:rsidRPr="00FA25B5">
        <w:rPr>
          <w:rFonts w:ascii="Arial Bold" w:hAnsi="Arial Bold" w:cs="Arial"/>
          <w:b/>
          <w:smallCaps/>
          <w:sz w:val="20"/>
          <w:szCs w:val="20"/>
        </w:rPr>
        <w:t>On Behalf of Interstate Gas Supply, Inc. d/b/a IGS Energy</w:t>
      </w:r>
      <w:r>
        <w:rPr>
          <w:rFonts w:ascii="Arial Bold" w:hAnsi="Arial Bold" w:cs="Arial"/>
          <w:b/>
          <w:smallCaps/>
          <w:sz w:val="20"/>
          <w:szCs w:val="20"/>
        </w:rPr>
        <w:t xml:space="preserve"> and The Retail Energy Supply Association</w:t>
      </w:r>
    </w:p>
    <w:p w:rsidR="001B65B4" w:rsidRPr="00FA25B5" w:rsidRDefault="001B65B4" w:rsidP="001B65B4">
      <w:pPr>
        <w:tabs>
          <w:tab w:val="left" w:pos="450"/>
        </w:tabs>
        <w:rPr>
          <w:rFonts w:cs="Arial"/>
          <w:sz w:val="20"/>
          <w:szCs w:val="20"/>
        </w:rPr>
      </w:pPr>
    </w:p>
    <w:p w:rsidR="001B65B4" w:rsidRPr="00BE31C7" w:rsidRDefault="001B65B4" w:rsidP="001B65B4">
      <w:pPr>
        <w:rPr>
          <w:rFonts w:cs="Arial"/>
          <w:sz w:val="20"/>
          <w:szCs w:val="20"/>
        </w:rPr>
      </w:pPr>
      <w:r w:rsidRPr="00BE31C7">
        <w:rPr>
          <w:rFonts w:cs="Arial"/>
          <w:sz w:val="20"/>
          <w:szCs w:val="20"/>
        </w:rPr>
        <w:t>Thomas W. McNamee</w:t>
      </w:r>
    </w:p>
    <w:p w:rsidR="001B65B4" w:rsidRDefault="001B65B4" w:rsidP="001B65B4">
      <w:pPr>
        <w:tabs>
          <w:tab w:val="left" w:pos="2160"/>
          <w:tab w:val="left" w:pos="2280"/>
        </w:tabs>
        <w:rPr>
          <w:rFonts w:cs="Arial"/>
          <w:sz w:val="20"/>
          <w:szCs w:val="20"/>
        </w:rPr>
      </w:pPr>
      <w:r w:rsidRPr="00BE31C7">
        <w:rPr>
          <w:rFonts w:cs="Arial"/>
          <w:sz w:val="20"/>
          <w:szCs w:val="20"/>
        </w:rPr>
        <w:t>Assistant Attorney General</w:t>
      </w:r>
    </w:p>
    <w:p w:rsidR="001B65B4" w:rsidRPr="00BE31C7" w:rsidRDefault="001B65B4" w:rsidP="001B65B4">
      <w:pPr>
        <w:tabs>
          <w:tab w:val="left" w:pos="2160"/>
          <w:tab w:val="left" w:pos="2280"/>
        </w:tabs>
        <w:rPr>
          <w:rFonts w:cs="Arial"/>
          <w:sz w:val="20"/>
          <w:szCs w:val="20"/>
        </w:rPr>
      </w:pPr>
      <w:r>
        <w:rPr>
          <w:rFonts w:cs="Arial"/>
          <w:sz w:val="20"/>
          <w:szCs w:val="20"/>
        </w:rPr>
        <w:t>William Wright, Chief</w:t>
      </w:r>
    </w:p>
    <w:p w:rsidR="001B65B4" w:rsidRPr="00BE31C7" w:rsidRDefault="001B65B4" w:rsidP="001B65B4">
      <w:pPr>
        <w:tabs>
          <w:tab w:val="left" w:pos="2160"/>
          <w:tab w:val="left" w:pos="2280"/>
        </w:tabs>
        <w:rPr>
          <w:rFonts w:cs="Arial"/>
          <w:sz w:val="20"/>
          <w:szCs w:val="20"/>
        </w:rPr>
      </w:pPr>
      <w:r w:rsidRPr="00BE31C7">
        <w:rPr>
          <w:rFonts w:cs="Arial"/>
          <w:sz w:val="20"/>
          <w:szCs w:val="20"/>
        </w:rPr>
        <w:t>Public Utilities Section</w:t>
      </w:r>
    </w:p>
    <w:p w:rsidR="001B65B4" w:rsidRPr="00BE31C7" w:rsidRDefault="001B65B4" w:rsidP="001B65B4">
      <w:pPr>
        <w:tabs>
          <w:tab w:val="left" w:pos="2160"/>
          <w:tab w:val="left" w:pos="2280"/>
        </w:tabs>
        <w:rPr>
          <w:rFonts w:cs="Arial"/>
          <w:sz w:val="20"/>
          <w:szCs w:val="20"/>
        </w:rPr>
      </w:pPr>
      <w:r w:rsidRPr="00BE31C7">
        <w:rPr>
          <w:rFonts w:cs="Arial"/>
          <w:sz w:val="20"/>
          <w:szCs w:val="20"/>
        </w:rPr>
        <w:t>180 E. Broad Street, 6</w:t>
      </w:r>
      <w:r w:rsidRPr="00BE31C7">
        <w:rPr>
          <w:rFonts w:cs="Arial"/>
          <w:sz w:val="20"/>
          <w:szCs w:val="20"/>
          <w:vertAlign w:val="superscript"/>
        </w:rPr>
        <w:t>th</w:t>
      </w:r>
      <w:r w:rsidRPr="00BE31C7">
        <w:rPr>
          <w:rFonts w:cs="Arial"/>
          <w:sz w:val="20"/>
          <w:szCs w:val="20"/>
        </w:rPr>
        <w:t xml:space="preserve"> Floor</w:t>
      </w:r>
    </w:p>
    <w:p w:rsidR="001B65B4" w:rsidRPr="00BE31C7" w:rsidRDefault="001B65B4" w:rsidP="001B65B4">
      <w:pPr>
        <w:tabs>
          <w:tab w:val="left" w:pos="2160"/>
          <w:tab w:val="left" w:pos="2280"/>
        </w:tabs>
        <w:rPr>
          <w:rFonts w:cs="Arial"/>
          <w:sz w:val="20"/>
          <w:szCs w:val="20"/>
        </w:rPr>
      </w:pPr>
      <w:r w:rsidRPr="00BE31C7">
        <w:rPr>
          <w:rFonts w:cs="Arial"/>
          <w:sz w:val="20"/>
          <w:szCs w:val="20"/>
        </w:rPr>
        <w:t>Columbus, OH  43215-3793</w:t>
      </w:r>
    </w:p>
    <w:p w:rsidR="001B65B4" w:rsidRPr="00BE31C7" w:rsidRDefault="001B65B4" w:rsidP="001B65B4">
      <w:pPr>
        <w:tabs>
          <w:tab w:val="left" w:pos="2160"/>
          <w:tab w:val="left" w:pos="2280"/>
        </w:tabs>
        <w:rPr>
          <w:rFonts w:cs="Arial"/>
          <w:sz w:val="20"/>
          <w:szCs w:val="20"/>
        </w:rPr>
      </w:pPr>
      <w:r w:rsidRPr="00BA7AFE">
        <w:rPr>
          <w:rFonts w:cs="Arial"/>
          <w:sz w:val="20"/>
          <w:szCs w:val="20"/>
        </w:rPr>
        <w:t>thomas.mcnamee@puc.state.oh.us</w:t>
      </w:r>
    </w:p>
    <w:p w:rsidR="001B65B4" w:rsidRPr="00BE31C7" w:rsidRDefault="001B65B4" w:rsidP="001B65B4">
      <w:pPr>
        <w:tabs>
          <w:tab w:val="left" w:pos="2160"/>
          <w:tab w:val="left" w:pos="2280"/>
        </w:tabs>
        <w:rPr>
          <w:rFonts w:cs="Arial"/>
          <w:sz w:val="20"/>
          <w:szCs w:val="20"/>
        </w:rPr>
      </w:pPr>
    </w:p>
    <w:p w:rsidR="001B65B4" w:rsidRPr="00BE31C7" w:rsidRDefault="001B65B4" w:rsidP="001B65B4">
      <w:pPr>
        <w:tabs>
          <w:tab w:val="left" w:pos="2160"/>
          <w:tab w:val="left" w:pos="2280"/>
        </w:tabs>
        <w:rPr>
          <w:rFonts w:cs="Arial"/>
          <w:b/>
          <w:smallCaps/>
          <w:sz w:val="20"/>
          <w:szCs w:val="20"/>
        </w:rPr>
      </w:pPr>
      <w:r w:rsidRPr="00BE31C7">
        <w:rPr>
          <w:rFonts w:cs="Arial"/>
          <w:b/>
          <w:smallCaps/>
          <w:sz w:val="20"/>
          <w:szCs w:val="20"/>
        </w:rPr>
        <w:t>On Behalf of the Staff of the Public Utilities Commission of Ohio</w:t>
      </w:r>
    </w:p>
    <w:p w:rsidR="001B65B4" w:rsidRDefault="001B65B4" w:rsidP="001B65B4">
      <w:pPr>
        <w:tabs>
          <w:tab w:val="left" w:pos="2160"/>
          <w:tab w:val="left" w:pos="2280"/>
        </w:tabs>
        <w:rPr>
          <w:rFonts w:cs="Arial"/>
          <w:sz w:val="20"/>
          <w:szCs w:val="20"/>
        </w:rPr>
      </w:pPr>
    </w:p>
    <w:p w:rsidR="001B65B4" w:rsidRPr="00BE31C7" w:rsidRDefault="001B65B4" w:rsidP="001B65B4">
      <w:pPr>
        <w:tabs>
          <w:tab w:val="left" w:pos="2160"/>
          <w:tab w:val="left" w:pos="2280"/>
        </w:tabs>
        <w:rPr>
          <w:rFonts w:cs="Arial"/>
          <w:sz w:val="20"/>
          <w:szCs w:val="20"/>
        </w:rPr>
      </w:pPr>
      <w:r>
        <w:rPr>
          <w:rFonts w:cs="Arial"/>
          <w:sz w:val="20"/>
          <w:szCs w:val="20"/>
        </w:rPr>
        <w:t>Greta See</w:t>
      </w:r>
    </w:p>
    <w:p w:rsidR="001B65B4" w:rsidRDefault="001B65B4" w:rsidP="001B65B4">
      <w:pPr>
        <w:tabs>
          <w:tab w:val="left" w:pos="2160"/>
          <w:tab w:val="left" w:pos="2280"/>
        </w:tabs>
        <w:rPr>
          <w:rFonts w:cs="Arial"/>
          <w:sz w:val="20"/>
          <w:szCs w:val="20"/>
        </w:rPr>
      </w:pPr>
      <w:r>
        <w:rPr>
          <w:rFonts w:cs="Arial"/>
          <w:sz w:val="20"/>
          <w:szCs w:val="20"/>
        </w:rPr>
        <w:t>Sarah Parrott</w:t>
      </w:r>
    </w:p>
    <w:p w:rsidR="001B65B4" w:rsidRPr="00BE31C7" w:rsidRDefault="001B65B4" w:rsidP="001B65B4">
      <w:pPr>
        <w:tabs>
          <w:tab w:val="left" w:pos="2160"/>
          <w:tab w:val="left" w:pos="2280"/>
        </w:tabs>
        <w:rPr>
          <w:rFonts w:cs="Arial"/>
          <w:sz w:val="20"/>
          <w:szCs w:val="20"/>
        </w:rPr>
      </w:pPr>
      <w:r>
        <w:rPr>
          <w:rFonts w:cs="Arial"/>
          <w:sz w:val="20"/>
          <w:szCs w:val="20"/>
        </w:rPr>
        <w:t>Attorney Examiners</w:t>
      </w:r>
    </w:p>
    <w:p w:rsidR="001B65B4" w:rsidRPr="00BE31C7" w:rsidRDefault="001B65B4" w:rsidP="001B65B4">
      <w:pPr>
        <w:tabs>
          <w:tab w:val="left" w:pos="2160"/>
          <w:tab w:val="left" w:pos="2280"/>
        </w:tabs>
        <w:rPr>
          <w:rFonts w:cs="Arial"/>
          <w:sz w:val="20"/>
          <w:szCs w:val="20"/>
        </w:rPr>
      </w:pPr>
      <w:r w:rsidRPr="00BE31C7">
        <w:rPr>
          <w:rFonts w:cs="Arial"/>
          <w:sz w:val="20"/>
          <w:szCs w:val="20"/>
        </w:rPr>
        <w:t xml:space="preserve">Public Utilities </w:t>
      </w:r>
      <w:r>
        <w:rPr>
          <w:rFonts w:cs="Arial"/>
          <w:sz w:val="20"/>
          <w:szCs w:val="20"/>
        </w:rPr>
        <w:t>Commission of Ohio</w:t>
      </w:r>
    </w:p>
    <w:p w:rsidR="001B65B4" w:rsidRPr="00BE31C7" w:rsidRDefault="001B65B4" w:rsidP="001B65B4">
      <w:pPr>
        <w:tabs>
          <w:tab w:val="left" w:pos="2160"/>
          <w:tab w:val="left" w:pos="2280"/>
        </w:tabs>
        <w:rPr>
          <w:rFonts w:cs="Arial"/>
          <w:sz w:val="20"/>
          <w:szCs w:val="20"/>
        </w:rPr>
      </w:pPr>
      <w:r w:rsidRPr="00BE31C7">
        <w:rPr>
          <w:rFonts w:cs="Arial"/>
          <w:sz w:val="20"/>
          <w:szCs w:val="20"/>
        </w:rPr>
        <w:t xml:space="preserve">180 E. Broad Street, </w:t>
      </w:r>
      <w:r>
        <w:rPr>
          <w:rFonts w:cs="Arial"/>
          <w:sz w:val="20"/>
          <w:szCs w:val="20"/>
        </w:rPr>
        <w:t>12</w:t>
      </w:r>
      <w:r w:rsidRPr="00BE31C7">
        <w:rPr>
          <w:rFonts w:cs="Arial"/>
          <w:sz w:val="20"/>
          <w:szCs w:val="20"/>
          <w:vertAlign w:val="superscript"/>
        </w:rPr>
        <w:t>th</w:t>
      </w:r>
      <w:r>
        <w:rPr>
          <w:rFonts w:cs="Arial"/>
          <w:sz w:val="20"/>
          <w:szCs w:val="20"/>
        </w:rPr>
        <w:t xml:space="preserve"> Floor</w:t>
      </w:r>
    </w:p>
    <w:p w:rsidR="001B65B4" w:rsidRPr="00BE31C7" w:rsidRDefault="001B65B4" w:rsidP="001B65B4">
      <w:pPr>
        <w:tabs>
          <w:tab w:val="left" w:pos="2160"/>
          <w:tab w:val="left" w:pos="2280"/>
        </w:tabs>
        <w:rPr>
          <w:rFonts w:cs="Arial"/>
          <w:sz w:val="20"/>
          <w:szCs w:val="20"/>
        </w:rPr>
      </w:pPr>
      <w:r w:rsidRPr="00BE31C7">
        <w:rPr>
          <w:rFonts w:cs="Arial"/>
          <w:sz w:val="20"/>
          <w:szCs w:val="20"/>
        </w:rPr>
        <w:t>Columbus, OH  43215-3793</w:t>
      </w:r>
    </w:p>
    <w:p w:rsidR="001B65B4" w:rsidRDefault="001B65B4" w:rsidP="001B65B4">
      <w:pPr>
        <w:tabs>
          <w:tab w:val="left" w:pos="2160"/>
          <w:tab w:val="left" w:pos="2280"/>
        </w:tabs>
        <w:rPr>
          <w:rFonts w:cs="Arial"/>
          <w:sz w:val="20"/>
          <w:szCs w:val="20"/>
        </w:rPr>
      </w:pPr>
      <w:r w:rsidRPr="00BA7AFE">
        <w:rPr>
          <w:rFonts w:cs="Arial"/>
          <w:sz w:val="20"/>
          <w:szCs w:val="20"/>
        </w:rPr>
        <w:t>Greta.See@puc.state.oh.us</w:t>
      </w:r>
    </w:p>
    <w:p w:rsidR="001B65B4" w:rsidRDefault="001B65B4" w:rsidP="001B65B4">
      <w:pPr>
        <w:tabs>
          <w:tab w:val="left" w:pos="2160"/>
          <w:tab w:val="left" w:pos="2280"/>
        </w:tabs>
        <w:rPr>
          <w:rFonts w:cs="Arial"/>
          <w:sz w:val="20"/>
          <w:szCs w:val="20"/>
        </w:rPr>
      </w:pPr>
      <w:r>
        <w:rPr>
          <w:rFonts w:cs="Arial"/>
          <w:sz w:val="20"/>
          <w:szCs w:val="20"/>
        </w:rPr>
        <w:t>Sarah.Parrot@puc.state.oh.us</w:t>
      </w:r>
    </w:p>
    <w:p w:rsidR="001B65B4" w:rsidRPr="00BE31C7" w:rsidRDefault="001B65B4" w:rsidP="001B65B4">
      <w:pPr>
        <w:tabs>
          <w:tab w:val="left" w:pos="2160"/>
          <w:tab w:val="left" w:pos="2280"/>
        </w:tabs>
        <w:rPr>
          <w:rFonts w:cs="Arial"/>
          <w:sz w:val="20"/>
          <w:szCs w:val="20"/>
        </w:rPr>
      </w:pPr>
    </w:p>
    <w:p w:rsidR="001B65B4" w:rsidRPr="00BE31C7" w:rsidRDefault="001B65B4" w:rsidP="001B65B4">
      <w:pPr>
        <w:tabs>
          <w:tab w:val="left" w:pos="2160"/>
          <w:tab w:val="left" w:pos="2280"/>
        </w:tabs>
        <w:rPr>
          <w:rFonts w:cs="Arial"/>
          <w:b/>
          <w:smallCaps/>
          <w:sz w:val="20"/>
          <w:szCs w:val="20"/>
        </w:rPr>
      </w:pPr>
      <w:r>
        <w:rPr>
          <w:rFonts w:cs="Arial"/>
          <w:b/>
          <w:smallCaps/>
          <w:sz w:val="20"/>
          <w:szCs w:val="20"/>
        </w:rPr>
        <w:t>Attorney Examiner</w:t>
      </w:r>
    </w:p>
    <w:p w:rsidR="001B65B4" w:rsidRDefault="001B65B4" w:rsidP="001B65B4"/>
    <w:p w:rsidR="00806AC4" w:rsidRDefault="00806AC4" w:rsidP="00806AC4"/>
    <w:p w:rsidR="00693780" w:rsidRDefault="00693780" w:rsidP="00806AC4">
      <w:pPr>
        <w:keepNext/>
        <w:keepLines/>
        <w:spacing w:before="200" w:line="276" w:lineRule="auto"/>
        <w:jc w:val="center"/>
        <w:outlineLvl w:val="3"/>
        <w:rPr>
          <w:rFonts w:eastAsia="Calibri" w:cs="Arial"/>
        </w:rPr>
      </w:pPr>
    </w:p>
    <w:sectPr w:rsidR="00693780" w:rsidSect="00600153">
      <w:headerReference w:type="default" r:id="rId33"/>
      <w:footerReference w:type="default" r:id="rId34"/>
      <w:headerReference w:type="first" r:id="rId35"/>
      <w:footerReference w:type="first" r:id="rId36"/>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31A" w:rsidRDefault="0040331A" w:rsidP="004A6E10">
      <w:r>
        <w:separator/>
      </w:r>
    </w:p>
  </w:endnote>
  <w:endnote w:type="continuationSeparator" w:id="0">
    <w:p w:rsidR="0040331A" w:rsidRDefault="0040331A" w:rsidP="004A6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F16EE5" w:rsidRDefault="002C0E39">
    <w:pPr>
      <w:pStyle w:val="Footer"/>
    </w:pPr>
    <w:r w:rsidRPr="002C0E39">
      <w:rPr>
        <w:noProof/>
        <w:sz w:val="16"/>
      </w:rPr>
      <w:t>{C38911: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F16EE5" w:rsidRDefault="002C0E39">
    <w:pPr>
      <w:pStyle w:val="Footer"/>
    </w:pPr>
    <w:r w:rsidRPr="002C0E39">
      <w:rPr>
        <w:noProof/>
        <w:sz w:val="16"/>
      </w:rPr>
      <w:t>{C38911: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F16EE5" w:rsidRDefault="002C0E39">
    <w:pPr>
      <w:pStyle w:val="Footer"/>
    </w:pPr>
    <w:r w:rsidRPr="002C0E39">
      <w:rPr>
        <w:noProof/>
        <w:sz w:val="16"/>
      </w:rPr>
      <w:t>{C38911: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866E97" w:rsidRDefault="002C0E39">
    <w:pPr>
      <w:pStyle w:val="Footer"/>
      <w:jc w:val="center"/>
    </w:pPr>
    <w:r w:rsidRPr="002C0E39">
      <w:rPr>
        <w:noProof/>
        <w:sz w:val="16"/>
      </w:rPr>
      <w:t>{C38911: }</w:t>
    </w:r>
    <w:sdt>
      <w:sdtPr>
        <w:id w:val="1433629970"/>
        <w:docPartObj>
          <w:docPartGallery w:val="Page Numbers (Bottom of Page)"/>
          <w:docPartUnique/>
        </w:docPartObj>
      </w:sdtPr>
      <w:sdtEndPr>
        <w:rPr>
          <w:noProof/>
        </w:rPr>
      </w:sdtEndPr>
      <w:sdtContent>
        <w:r w:rsidR="0040331A" w:rsidRPr="00866E97">
          <w:fldChar w:fldCharType="begin"/>
        </w:r>
        <w:r w:rsidR="0040331A" w:rsidRPr="00866E97">
          <w:instrText xml:space="preserve"> PAGE   \* MERGEFORMAT </w:instrText>
        </w:r>
        <w:r w:rsidR="0040331A" w:rsidRPr="00866E97">
          <w:fldChar w:fldCharType="separate"/>
        </w:r>
        <w:r w:rsidR="0040331A">
          <w:rPr>
            <w:noProof/>
          </w:rPr>
          <w:t>i</w:t>
        </w:r>
        <w:r w:rsidR="0040331A" w:rsidRPr="00866E97">
          <w:rPr>
            <w:noProof/>
          </w:rPr>
          <w:fldChar w:fldCharType="end"/>
        </w:r>
      </w:sdtContent>
    </w:sdt>
  </w:p>
  <w:p w:rsidR="0040331A" w:rsidRPr="00866E97" w:rsidRDefault="004033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866E97" w:rsidRDefault="002C0E39" w:rsidP="00630941">
    <w:pPr>
      <w:pStyle w:val="Footer"/>
    </w:pPr>
    <w:r w:rsidRPr="002C0E39">
      <w:rPr>
        <w:noProof/>
        <w:sz w:val="16"/>
      </w:rPr>
      <w:t>{C38911: }</w:t>
    </w:r>
    <w:sdt>
      <w:sdtPr>
        <w:id w:val="261732659"/>
        <w:docPartObj>
          <w:docPartGallery w:val="Page Numbers (Bottom of Page)"/>
          <w:docPartUnique/>
        </w:docPartObj>
      </w:sdtPr>
      <w:sdtEndPr>
        <w:rPr>
          <w:noProof/>
        </w:rPr>
      </w:sdtEndPr>
      <w:sdtContent>
        <w:r w:rsidR="0040331A">
          <w:tab/>
        </w:r>
      </w:sdtContent>
    </w:sdt>
  </w:p>
  <w:p w:rsidR="0040331A" w:rsidRPr="00866E97" w:rsidRDefault="0040331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C63F63" w:rsidRDefault="002C0E39" w:rsidP="00010A30">
    <w:pPr>
      <w:pStyle w:val="Footer"/>
    </w:pPr>
    <w:r w:rsidRPr="002C0E39">
      <w:rPr>
        <w:noProof/>
        <w:sz w:val="16"/>
      </w:rPr>
      <w:t>{C38911: }</w:t>
    </w:r>
    <w:sdt>
      <w:sdtPr>
        <w:id w:val="-1972272700"/>
        <w:docPartObj>
          <w:docPartGallery w:val="Page Numbers (Bottom of Page)"/>
          <w:docPartUnique/>
        </w:docPartObj>
      </w:sdtPr>
      <w:sdtEndPr>
        <w:rPr>
          <w:noProof/>
        </w:rPr>
      </w:sdtEndPr>
      <w:sdtContent>
        <w:r w:rsidR="0040331A">
          <w:tab/>
        </w:r>
        <w:r w:rsidR="0040331A" w:rsidRPr="00C63F63">
          <w:fldChar w:fldCharType="begin"/>
        </w:r>
        <w:r w:rsidR="0040331A" w:rsidRPr="00C63F63">
          <w:instrText xml:space="preserve"> PAGE   \* MERGEFORMAT </w:instrText>
        </w:r>
        <w:r w:rsidR="0040331A" w:rsidRPr="00C63F63">
          <w:fldChar w:fldCharType="separate"/>
        </w:r>
        <w:r w:rsidR="0040331A">
          <w:rPr>
            <w:noProof/>
          </w:rPr>
          <w:t>15</w:t>
        </w:r>
        <w:r w:rsidR="0040331A" w:rsidRPr="00C63F63">
          <w:rPr>
            <w:noProof/>
          </w:rPr>
          <w:fldChar w:fldCharType="end"/>
        </w:r>
      </w:sdtContent>
    </w:sdt>
  </w:p>
  <w:p w:rsidR="0040331A" w:rsidRPr="00C63F63" w:rsidRDefault="0040331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16796A" w:rsidRDefault="002C0E39" w:rsidP="0067282A">
    <w:pPr>
      <w:pStyle w:val="Footer"/>
    </w:pPr>
    <w:r w:rsidRPr="002C0E39">
      <w:rPr>
        <w:noProof/>
        <w:sz w:val="16"/>
      </w:rPr>
      <w:t>{C38911: }</w:t>
    </w:r>
    <w:sdt>
      <w:sdtPr>
        <w:id w:val="-1910761796"/>
        <w:docPartObj>
          <w:docPartGallery w:val="Page Numbers (Bottom of Page)"/>
          <w:docPartUnique/>
        </w:docPartObj>
      </w:sdtPr>
      <w:sdtEndPr>
        <w:rPr>
          <w:noProof/>
        </w:rPr>
      </w:sdtEndPr>
      <w:sdtContent>
        <w:r w:rsidR="0040331A">
          <w:tab/>
        </w:r>
        <w:r w:rsidR="0040331A" w:rsidRPr="0016796A">
          <w:fldChar w:fldCharType="begin"/>
        </w:r>
        <w:r w:rsidR="0040331A" w:rsidRPr="0016796A">
          <w:instrText xml:space="preserve"> PAGE   \* MERGEFORMAT </w:instrText>
        </w:r>
        <w:r w:rsidR="0040331A" w:rsidRPr="0016796A">
          <w:fldChar w:fldCharType="separate"/>
        </w:r>
        <w:r>
          <w:rPr>
            <w:noProof/>
          </w:rPr>
          <w:t>i</w:t>
        </w:r>
        <w:r w:rsidR="0040331A" w:rsidRPr="0016796A">
          <w:rPr>
            <w:noProof/>
          </w:rPr>
          <w:fldChar w:fldCharType="end"/>
        </w:r>
      </w:sdtContent>
    </w:sdt>
  </w:p>
  <w:p w:rsidR="0040331A" w:rsidRPr="0016796A" w:rsidRDefault="0040331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C63F63" w:rsidRDefault="002C0E39" w:rsidP="00010A30">
    <w:pPr>
      <w:pStyle w:val="Footer"/>
    </w:pPr>
    <w:r w:rsidRPr="002C0E39">
      <w:rPr>
        <w:noProof/>
        <w:sz w:val="16"/>
      </w:rPr>
      <w:t>{C38911: }</w:t>
    </w:r>
    <w:sdt>
      <w:sdtPr>
        <w:id w:val="-245954695"/>
        <w:docPartObj>
          <w:docPartGallery w:val="Page Numbers (Bottom of Page)"/>
          <w:docPartUnique/>
        </w:docPartObj>
      </w:sdtPr>
      <w:sdtEndPr>
        <w:rPr>
          <w:noProof/>
        </w:rPr>
      </w:sdtEndPr>
      <w:sdtContent>
        <w:r w:rsidR="0040331A">
          <w:tab/>
        </w:r>
        <w:r w:rsidR="0040331A" w:rsidRPr="00C63F63">
          <w:fldChar w:fldCharType="begin"/>
        </w:r>
        <w:r w:rsidR="0040331A" w:rsidRPr="00C63F63">
          <w:instrText xml:space="preserve"> PAGE   \* MERGEFORMAT </w:instrText>
        </w:r>
        <w:r w:rsidR="0040331A" w:rsidRPr="00C63F63">
          <w:fldChar w:fldCharType="separate"/>
        </w:r>
        <w:r>
          <w:rPr>
            <w:noProof/>
          </w:rPr>
          <w:t>15</w:t>
        </w:r>
        <w:r w:rsidR="0040331A" w:rsidRPr="00C63F63">
          <w:rPr>
            <w:noProof/>
          </w:rPr>
          <w:fldChar w:fldCharType="end"/>
        </w:r>
      </w:sdtContent>
    </w:sdt>
  </w:p>
  <w:p w:rsidR="0040331A" w:rsidRPr="00C63F63" w:rsidRDefault="0040331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16796A" w:rsidRDefault="002C0E39" w:rsidP="003772FE">
    <w:pPr>
      <w:pStyle w:val="Footer"/>
    </w:pPr>
    <w:r w:rsidRPr="002C0E39">
      <w:rPr>
        <w:noProof/>
        <w:sz w:val="16"/>
      </w:rPr>
      <w:t>{C38911: }</w:t>
    </w:r>
  </w:p>
  <w:p w:rsidR="0040331A" w:rsidRPr="0016796A" w:rsidRDefault="0040331A">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Pr="00F16EE5" w:rsidRDefault="002C0E39">
    <w:pPr>
      <w:pStyle w:val="Footer"/>
    </w:pPr>
    <w:r w:rsidRPr="002C0E39">
      <w:rPr>
        <w:noProof/>
        <w:sz w:val="16"/>
      </w:rPr>
      <w:t>{C38911: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31A" w:rsidRDefault="0040331A" w:rsidP="004A6E10">
      <w:pPr>
        <w:rPr>
          <w:noProof/>
        </w:rPr>
      </w:pPr>
      <w:r>
        <w:rPr>
          <w:noProof/>
        </w:rPr>
        <w:separator/>
      </w:r>
    </w:p>
  </w:footnote>
  <w:footnote w:type="continuationSeparator" w:id="0">
    <w:p w:rsidR="0040331A" w:rsidRDefault="0040331A" w:rsidP="004A6E10">
      <w:r>
        <w:continuationSeparator/>
      </w:r>
    </w:p>
  </w:footnote>
  <w:footnote w:id="1">
    <w:p w:rsidR="0040331A" w:rsidRDefault="0040331A" w:rsidP="00466318">
      <w:pPr>
        <w:pStyle w:val="FootnoteText"/>
        <w:jc w:val="both"/>
      </w:pPr>
      <w:r>
        <w:rPr>
          <w:rStyle w:val="FootnoteReference"/>
        </w:rPr>
        <w:footnoteRef/>
      </w:r>
      <w:r>
        <w:t xml:space="preserve"> S</w:t>
      </w:r>
      <w:r w:rsidRPr="00BE2754">
        <w:t>uch as (1) whether need should be defined solely as the need for energy and capacity, or does need include compliance with the renewable portfolio standard requirements (“RPS Requirements”); (2) the proper legal standard that should be applied to the Commission's analysis of need; (3) what evidence is relevant to the Commission's determination of need; (4) whether the Commission should solely consider AEP-Ohio's need for the project, or whether the Commission should look beyond AEP-Ohio’s need to the need of the state or the need outside of the state.</w:t>
      </w:r>
    </w:p>
  </w:footnote>
  <w:footnote w:id="2">
    <w:p w:rsidR="0040331A" w:rsidRPr="000C41B4" w:rsidRDefault="0040331A" w:rsidP="00C2613E">
      <w:pPr>
        <w:pStyle w:val="NormalWeb"/>
        <w:jc w:val="both"/>
        <w:rPr>
          <w:rFonts w:ascii="Arial" w:hAnsi="Arial" w:cs="Arial"/>
          <w:sz w:val="20"/>
          <w:szCs w:val="20"/>
        </w:rPr>
      </w:pPr>
      <w:r w:rsidRPr="00BB0C49">
        <w:rPr>
          <w:rStyle w:val="FootnoteReference"/>
          <w:rFonts w:ascii="Arial" w:hAnsi="Arial" w:cs="Arial"/>
          <w:sz w:val="20"/>
          <w:szCs w:val="20"/>
        </w:rPr>
        <w:footnoteRef/>
      </w:r>
      <w:r w:rsidRPr="00BB0C49">
        <w:rPr>
          <w:rFonts w:ascii="Arial" w:hAnsi="Arial" w:cs="Arial"/>
          <w:sz w:val="20"/>
          <w:szCs w:val="20"/>
        </w:rPr>
        <w:t xml:space="preserve"> </w:t>
      </w:r>
      <w:r w:rsidRPr="000C41B4">
        <w:rPr>
          <w:rFonts w:ascii="Arial" w:hAnsi="Arial" w:cs="Arial"/>
          <w:i/>
          <w:sz w:val="20"/>
          <w:szCs w:val="20"/>
        </w:rPr>
        <w:t>Consumers' Counsel v. Pub. Util. Comm</w:t>
      </w:r>
      <w:r w:rsidRPr="000C41B4">
        <w:rPr>
          <w:rFonts w:ascii="Arial" w:hAnsi="Arial" w:cs="Arial"/>
          <w:sz w:val="20"/>
          <w:szCs w:val="20"/>
        </w:rPr>
        <w:t xml:space="preserve">., 64 Ohio St.3d 123, 126 (1992).  </w:t>
      </w:r>
      <w:r w:rsidRPr="000C41B4">
        <w:rPr>
          <w:rFonts w:ascii="Arial" w:hAnsi="Arial" w:cs="Arial"/>
          <w:i/>
          <w:sz w:val="20"/>
          <w:szCs w:val="20"/>
        </w:rPr>
        <w:t>See, also, AK Steel Corp. v. Pub. Util. Comm</w:t>
      </w:r>
      <w:r w:rsidRPr="000C41B4">
        <w:rPr>
          <w:rFonts w:ascii="Arial" w:hAnsi="Arial" w:cs="Arial"/>
          <w:sz w:val="20"/>
          <w:szCs w:val="20"/>
        </w:rPr>
        <w:t xml:space="preserve">., 95 Ohio St.3d 81, 82-83 (2002). </w:t>
      </w:r>
    </w:p>
    <w:p w:rsidR="0040331A" w:rsidRDefault="0040331A" w:rsidP="00C2613E">
      <w:pPr>
        <w:pStyle w:val="NormalWeb"/>
        <w:jc w:val="both"/>
      </w:pPr>
    </w:p>
  </w:footnote>
  <w:footnote w:id="3">
    <w:p w:rsidR="0040331A" w:rsidRDefault="0040331A" w:rsidP="00C2613E">
      <w:pPr>
        <w:pStyle w:val="FootnoteText"/>
        <w:jc w:val="both"/>
        <w:rPr>
          <w:rStyle w:val="ft"/>
          <w:rFonts w:cs="Arial"/>
        </w:rPr>
      </w:pPr>
      <w:r>
        <w:rPr>
          <w:rStyle w:val="FootnoteReference"/>
        </w:rPr>
        <w:footnoteRef/>
      </w:r>
      <w:r>
        <w:t xml:space="preserve"> </w:t>
      </w:r>
      <w:r w:rsidRPr="00F646E7">
        <w:rPr>
          <w:rStyle w:val="ft"/>
          <w:rFonts w:cs="Arial"/>
          <w:bCs/>
          <w:i/>
          <w:color w:val="000000"/>
        </w:rPr>
        <w:t>Monongahela Power Co</w:t>
      </w:r>
      <w:r w:rsidRPr="00F646E7">
        <w:rPr>
          <w:rStyle w:val="ft"/>
          <w:rFonts w:cs="Arial"/>
          <w:i/>
        </w:rPr>
        <w:t xml:space="preserve">. </w:t>
      </w:r>
      <w:r w:rsidRPr="00F646E7">
        <w:rPr>
          <w:rStyle w:val="ft"/>
          <w:rFonts w:cs="Arial"/>
          <w:bCs/>
          <w:i/>
          <w:color w:val="000000"/>
        </w:rPr>
        <w:t>v</w:t>
      </w:r>
      <w:r w:rsidRPr="00F646E7">
        <w:rPr>
          <w:rStyle w:val="ft"/>
          <w:rFonts w:cs="Arial"/>
          <w:i/>
        </w:rPr>
        <w:t xml:space="preserve">. </w:t>
      </w:r>
      <w:r w:rsidRPr="00F646E7">
        <w:rPr>
          <w:rStyle w:val="ft"/>
          <w:rFonts w:cs="Arial"/>
          <w:bCs/>
          <w:i/>
          <w:color w:val="000000"/>
        </w:rPr>
        <w:t>Pub</w:t>
      </w:r>
      <w:r w:rsidRPr="00F646E7">
        <w:rPr>
          <w:rStyle w:val="ft"/>
          <w:rFonts w:cs="Arial"/>
          <w:i/>
        </w:rPr>
        <w:t xml:space="preserve">. </w:t>
      </w:r>
      <w:r w:rsidRPr="00F646E7">
        <w:rPr>
          <w:rStyle w:val="ft"/>
          <w:rFonts w:cs="Arial"/>
          <w:bCs/>
          <w:i/>
          <w:color w:val="000000"/>
        </w:rPr>
        <w:t>Util</w:t>
      </w:r>
      <w:r w:rsidRPr="00F646E7">
        <w:rPr>
          <w:rStyle w:val="ft"/>
          <w:rFonts w:cs="Arial"/>
          <w:i/>
        </w:rPr>
        <w:t xml:space="preserve">. </w:t>
      </w:r>
      <w:r w:rsidRPr="00F646E7">
        <w:rPr>
          <w:rStyle w:val="ft"/>
          <w:rFonts w:cs="Arial"/>
          <w:bCs/>
          <w:i/>
          <w:color w:val="000000"/>
        </w:rPr>
        <w:t>Comm</w:t>
      </w:r>
      <w:r w:rsidRPr="00F646E7">
        <w:rPr>
          <w:rStyle w:val="ft"/>
          <w:rFonts w:cs="Arial"/>
        </w:rPr>
        <w:t xml:space="preserve">., </w:t>
      </w:r>
      <w:r w:rsidRPr="00F646E7">
        <w:rPr>
          <w:rStyle w:val="ft"/>
          <w:rFonts w:cs="Arial"/>
          <w:bCs/>
          <w:color w:val="000000"/>
        </w:rPr>
        <w:t xml:space="preserve">104 Ohio St.3d 571, 2004-Ohio-6896 </w:t>
      </w:r>
      <w:r w:rsidRPr="00F646E7">
        <w:rPr>
          <w:rStyle w:val="ft"/>
          <w:rFonts w:cs="Arial"/>
        </w:rPr>
        <w:t>at ¶26 (2004)</w:t>
      </w:r>
      <w:r>
        <w:rPr>
          <w:rStyle w:val="ft"/>
          <w:rFonts w:cs="Arial"/>
        </w:rPr>
        <w:t>.</w:t>
      </w:r>
    </w:p>
    <w:p w:rsidR="0040331A" w:rsidRDefault="0040331A" w:rsidP="00C2613E">
      <w:pPr>
        <w:pStyle w:val="FootnoteText"/>
        <w:jc w:val="both"/>
      </w:pPr>
    </w:p>
  </w:footnote>
  <w:footnote w:id="4">
    <w:p w:rsidR="0040331A" w:rsidRPr="00907680" w:rsidRDefault="0040331A" w:rsidP="00593B88">
      <w:pPr>
        <w:pStyle w:val="FootnoteText"/>
        <w:jc w:val="both"/>
        <w:rPr>
          <w:rFonts w:cs="Arial"/>
        </w:rPr>
      </w:pPr>
      <w:r w:rsidRPr="00907680">
        <w:rPr>
          <w:rStyle w:val="FootnoteReference"/>
          <w:rFonts w:cs="Arial"/>
        </w:rPr>
        <w:footnoteRef/>
      </w:r>
      <w:r w:rsidRPr="00907680">
        <w:rPr>
          <w:rFonts w:cs="Arial"/>
        </w:rPr>
        <w:t xml:space="preserve"> Section 4935.04(E)(1), Revised Code.</w:t>
      </w:r>
    </w:p>
    <w:p w:rsidR="0040331A" w:rsidRPr="00C55E94" w:rsidRDefault="0040331A" w:rsidP="00593B88">
      <w:pPr>
        <w:pStyle w:val="FootnoteText"/>
        <w:jc w:val="both"/>
        <w:rPr>
          <w:rFonts w:cs="Arial"/>
        </w:rPr>
      </w:pPr>
    </w:p>
  </w:footnote>
  <w:footnote w:id="5">
    <w:p w:rsidR="0040331A" w:rsidRPr="00C55E94" w:rsidRDefault="0040331A" w:rsidP="00593B88">
      <w:pPr>
        <w:pStyle w:val="FootnoteText"/>
        <w:jc w:val="both"/>
        <w:rPr>
          <w:rFonts w:cs="Arial"/>
        </w:rPr>
      </w:pPr>
      <w:r w:rsidRPr="00C55E94">
        <w:rPr>
          <w:rStyle w:val="FootnoteReference"/>
          <w:rFonts w:cs="Arial"/>
        </w:rPr>
        <w:footnoteRef/>
      </w:r>
      <w:r w:rsidRPr="00C55E94">
        <w:rPr>
          <w:rFonts w:cs="Arial"/>
        </w:rPr>
        <w:t xml:space="preserve"> </w:t>
      </w:r>
      <w:r>
        <w:rPr>
          <w:rFonts w:cs="Arial"/>
        </w:rPr>
        <w:t xml:space="preserve">Section </w:t>
      </w:r>
      <w:r w:rsidRPr="00C55E94">
        <w:rPr>
          <w:rFonts w:cs="Arial"/>
        </w:rPr>
        <w:t>4935.04(F), Revised Code.</w:t>
      </w:r>
    </w:p>
    <w:p w:rsidR="0040331A" w:rsidRPr="004A566D" w:rsidRDefault="0040331A" w:rsidP="00593B88">
      <w:pPr>
        <w:pStyle w:val="FootnoteText"/>
        <w:jc w:val="both"/>
        <w:rPr>
          <w:rFonts w:cs="Arial"/>
        </w:rPr>
      </w:pPr>
    </w:p>
  </w:footnote>
  <w:footnote w:id="6">
    <w:p w:rsidR="0040331A" w:rsidRDefault="0040331A" w:rsidP="00593B88">
      <w:pPr>
        <w:pStyle w:val="FootnoteText"/>
        <w:rPr>
          <w:i/>
        </w:rPr>
      </w:pPr>
      <w:r>
        <w:rPr>
          <w:rStyle w:val="FootnoteReference"/>
        </w:rPr>
        <w:footnoteRef/>
      </w:r>
      <w:r>
        <w:t xml:space="preserve"> </w:t>
      </w:r>
      <w:r>
        <w:rPr>
          <w:i/>
        </w:rPr>
        <w:t>Id.</w:t>
      </w:r>
    </w:p>
    <w:p w:rsidR="0040331A" w:rsidRDefault="0040331A" w:rsidP="00593B88">
      <w:pPr>
        <w:pStyle w:val="FootnoteText"/>
      </w:pPr>
    </w:p>
  </w:footnote>
  <w:footnote w:id="7">
    <w:p w:rsidR="0040331A" w:rsidRPr="002E2C46" w:rsidRDefault="0040331A" w:rsidP="00593B88">
      <w:pPr>
        <w:pStyle w:val="FootnoteText"/>
        <w:jc w:val="both"/>
        <w:rPr>
          <w:rFonts w:cs="Arial"/>
        </w:rPr>
      </w:pPr>
      <w:r w:rsidRPr="002702CD">
        <w:rPr>
          <w:rStyle w:val="FootnoteReference"/>
          <w:rFonts w:cs="Arial"/>
        </w:rPr>
        <w:footnoteRef/>
      </w:r>
      <w:r w:rsidRPr="002702CD">
        <w:rPr>
          <w:rFonts w:cs="Arial"/>
        </w:rPr>
        <w:t xml:space="preserve"> Section 4928.143(B)(2)(c)</w:t>
      </w:r>
      <w:r>
        <w:rPr>
          <w:rFonts w:cs="Arial"/>
        </w:rPr>
        <w:t xml:space="preserve">, Revised Code (emphasis added); </w:t>
      </w:r>
      <w:r w:rsidRPr="00075599">
        <w:rPr>
          <w:rFonts w:cs="Arial"/>
          <w:i/>
        </w:rPr>
        <w:t>see</w:t>
      </w:r>
      <w:r>
        <w:rPr>
          <w:rFonts w:cs="Arial"/>
        </w:rPr>
        <w:t xml:space="preserve"> Post </w:t>
      </w:r>
      <w:r w:rsidRPr="00863E16">
        <w:rPr>
          <w:rFonts w:cs="Arial"/>
        </w:rPr>
        <w:t>Hearing</w:t>
      </w:r>
      <w:r>
        <w:rPr>
          <w:rFonts w:cs="Arial"/>
        </w:rPr>
        <w:t xml:space="preserve"> Brief of Industrial Energy Users-Ohio (“IEU-Ohio”) at 12 (Apr. 25, 2012). </w:t>
      </w:r>
    </w:p>
    <w:p w:rsidR="0040331A" w:rsidRPr="002702CD" w:rsidRDefault="0040331A" w:rsidP="00593B88">
      <w:pPr>
        <w:pStyle w:val="FootnoteText"/>
        <w:jc w:val="both"/>
        <w:rPr>
          <w:rFonts w:cs="Arial"/>
        </w:rPr>
      </w:pPr>
    </w:p>
  </w:footnote>
  <w:footnote w:id="8">
    <w:p w:rsidR="0040331A" w:rsidRDefault="0040331A" w:rsidP="00857474">
      <w:pPr>
        <w:pStyle w:val="FootnoteText"/>
        <w:jc w:val="both"/>
      </w:pPr>
      <w:r>
        <w:rPr>
          <w:rStyle w:val="FootnoteReference"/>
        </w:rPr>
        <w:footnoteRef/>
      </w:r>
      <w:r>
        <w:t xml:space="preserve"> Commission-Requested Supplemental Brief of Ohio Power Company at 4-5 (Oct. 3, 2012) (hereinafter “AEP-Ohio Supplemental Brief”).</w:t>
      </w:r>
    </w:p>
    <w:p w:rsidR="0040331A" w:rsidRDefault="0040331A" w:rsidP="00857474">
      <w:pPr>
        <w:pStyle w:val="FootnoteText"/>
        <w:jc w:val="both"/>
      </w:pPr>
    </w:p>
  </w:footnote>
  <w:footnote w:id="9">
    <w:p w:rsidR="0040331A" w:rsidRDefault="0040331A">
      <w:pPr>
        <w:pStyle w:val="FootnoteText"/>
      </w:pPr>
      <w:r>
        <w:rPr>
          <w:rStyle w:val="FootnoteReference"/>
        </w:rPr>
        <w:footnoteRef/>
      </w:r>
      <w:r>
        <w:t xml:space="preserve"> </w:t>
      </w:r>
      <w:r>
        <w:rPr>
          <w:i/>
        </w:rPr>
        <w:t>Id</w:t>
      </w:r>
      <w:r>
        <w:t>.</w:t>
      </w:r>
    </w:p>
    <w:p w:rsidR="0040331A" w:rsidRPr="00F6015C" w:rsidRDefault="0040331A">
      <w:pPr>
        <w:pStyle w:val="FootnoteText"/>
      </w:pPr>
    </w:p>
  </w:footnote>
  <w:footnote w:id="10">
    <w:p w:rsidR="0040331A" w:rsidRDefault="0040331A" w:rsidP="00857474">
      <w:pPr>
        <w:pStyle w:val="FootnoteText"/>
        <w:jc w:val="both"/>
      </w:pPr>
      <w:r>
        <w:rPr>
          <w:rStyle w:val="FootnoteReference"/>
        </w:rPr>
        <w:footnoteRef/>
      </w:r>
      <w:r>
        <w:t xml:space="preserve"> Brief in Response to September 5, 2012 Order Submitted on Behalf of the Public Utilities Commission of Ohio at 1-2 (Oct. 3, 2012) (hereinafter “Staff Supplemental Brief”) (emphasis added).</w:t>
      </w:r>
    </w:p>
    <w:p w:rsidR="0040331A" w:rsidRDefault="0040331A" w:rsidP="00857474">
      <w:pPr>
        <w:pStyle w:val="FootnoteText"/>
        <w:jc w:val="both"/>
      </w:pPr>
    </w:p>
  </w:footnote>
  <w:footnote w:id="11">
    <w:p w:rsidR="0040331A" w:rsidRPr="00F6015C" w:rsidRDefault="0040331A">
      <w:pPr>
        <w:pStyle w:val="FootnoteText"/>
      </w:pPr>
      <w:r>
        <w:rPr>
          <w:rStyle w:val="FootnoteReference"/>
        </w:rPr>
        <w:footnoteRef/>
      </w:r>
      <w:r>
        <w:t xml:space="preserve"> </w:t>
      </w:r>
      <w:r>
        <w:rPr>
          <w:i/>
        </w:rPr>
        <w:t>Id.</w:t>
      </w:r>
      <w:r>
        <w:t xml:space="preserve"> at 2.</w:t>
      </w:r>
    </w:p>
  </w:footnote>
  <w:footnote w:id="12">
    <w:p w:rsidR="0040331A" w:rsidRDefault="0040331A" w:rsidP="00857474">
      <w:pPr>
        <w:pStyle w:val="FootnoteText"/>
        <w:jc w:val="both"/>
      </w:pPr>
      <w:r>
        <w:rPr>
          <w:rStyle w:val="FootnoteReference"/>
        </w:rPr>
        <w:footnoteRef/>
      </w:r>
      <w:r>
        <w:t xml:space="preserve"> Staff Supplemental Brief at 2-3 (Oct. 3, 2012) (footnotes omitted). </w:t>
      </w:r>
    </w:p>
    <w:p w:rsidR="0040331A" w:rsidRDefault="0040331A" w:rsidP="00857474">
      <w:pPr>
        <w:pStyle w:val="FootnoteText"/>
        <w:jc w:val="both"/>
      </w:pPr>
    </w:p>
  </w:footnote>
  <w:footnote w:id="13">
    <w:p w:rsidR="0040331A" w:rsidRDefault="0040331A" w:rsidP="00F05DC5">
      <w:pPr>
        <w:pStyle w:val="FootnoteText"/>
        <w:jc w:val="both"/>
      </w:pPr>
      <w:r>
        <w:rPr>
          <w:rStyle w:val="FootnoteReference"/>
        </w:rPr>
        <w:footnoteRef/>
      </w:r>
      <w:r>
        <w:t xml:space="preserve"> Section 1.42, Revised Code (emphasis added).  Staff concedes that Section 1.42, Revised Code, governs the interpretation of need in the context of Section 4928.143, Revised Code.  Staff Supplemental Brief at footnote 1 (Oct. 3, 2012).</w:t>
      </w:r>
    </w:p>
    <w:p w:rsidR="0040331A" w:rsidRDefault="0040331A" w:rsidP="00F05DC5">
      <w:pPr>
        <w:pStyle w:val="FootnoteText"/>
        <w:jc w:val="both"/>
      </w:pPr>
    </w:p>
  </w:footnote>
  <w:footnote w:id="14">
    <w:p w:rsidR="0040331A" w:rsidRDefault="0040331A" w:rsidP="00F26AC6">
      <w:pPr>
        <w:pStyle w:val="FootnoteText"/>
        <w:jc w:val="both"/>
      </w:pPr>
      <w:r w:rsidRPr="00B11705">
        <w:rPr>
          <w:rStyle w:val="FootnoteReference"/>
          <w:rFonts w:cs="Arial"/>
        </w:rPr>
        <w:footnoteRef/>
      </w:r>
      <w:r w:rsidRPr="00B11705">
        <w:rPr>
          <w:rFonts w:cs="Arial"/>
        </w:rPr>
        <w:t xml:space="preserve"> Section 4928.143(B), Revised Code</w:t>
      </w:r>
      <w:r>
        <w:rPr>
          <w:rFonts w:cs="Arial"/>
        </w:rPr>
        <w:t xml:space="preserve"> (emphasis added)</w:t>
      </w:r>
      <w:r w:rsidRPr="00B11705">
        <w:rPr>
          <w:rFonts w:cs="Arial"/>
        </w:rPr>
        <w:t>.</w:t>
      </w:r>
      <w:r>
        <w:t xml:space="preserve"> </w:t>
      </w:r>
    </w:p>
    <w:p w:rsidR="0040331A" w:rsidRDefault="0040331A" w:rsidP="00722637">
      <w:pPr>
        <w:pStyle w:val="FootnoteText"/>
        <w:jc w:val="both"/>
      </w:pPr>
    </w:p>
  </w:footnote>
  <w:footnote w:id="15">
    <w:p w:rsidR="0040331A" w:rsidRDefault="0040331A" w:rsidP="003439BC">
      <w:pPr>
        <w:pStyle w:val="FootnoteText"/>
        <w:jc w:val="both"/>
        <w:rPr>
          <w:rFonts w:cs="Arial"/>
        </w:rPr>
      </w:pPr>
      <w:r w:rsidRPr="00B11705">
        <w:rPr>
          <w:rStyle w:val="FootnoteReference"/>
          <w:rFonts w:cs="Arial"/>
        </w:rPr>
        <w:footnoteRef/>
      </w:r>
      <w:r w:rsidRPr="00B11705">
        <w:rPr>
          <w:rFonts w:cs="Arial"/>
        </w:rPr>
        <w:t xml:space="preserve"> Section 4928.64(E), Revised Code (emphasis added).</w:t>
      </w:r>
    </w:p>
    <w:p w:rsidR="0040331A" w:rsidRPr="00B11705" w:rsidRDefault="0040331A" w:rsidP="003439BC">
      <w:pPr>
        <w:pStyle w:val="FootnoteText"/>
        <w:jc w:val="both"/>
        <w:rPr>
          <w:rFonts w:cs="Arial"/>
        </w:rPr>
      </w:pPr>
    </w:p>
  </w:footnote>
  <w:footnote w:id="16">
    <w:p w:rsidR="0040331A" w:rsidRDefault="0040331A">
      <w:pPr>
        <w:pStyle w:val="FootnoteText"/>
      </w:pPr>
      <w:r>
        <w:rPr>
          <w:rStyle w:val="FootnoteReference"/>
        </w:rPr>
        <w:footnoteRef/>
      </w:r>
      <w:r>
        <w:t xml:space="preserve"> AEP-Ohio Supplemental Brief at 13 (Oct. 3, 2012). </w:t>
      </w:r>
    </w:p>
  </w:footnote>
  <w:footnote w:id="17">
    <w:p w:rsidR="0040331A" w:rsidRDefault="0040331A" w:rsidP="00896C0C">
      <w:pPr>
        <w:pStyle w:val="FootnoteText"/>
        <w:jc w:val="both"/>
        <w:rPr>
          <w:rFonts w:cs="Arial"/>
        </w:rPr>
      </w:pPr>
      <w:r w:rsidRPr="00222651">
        <w:rPr>
          <w:rStyle w:val="FootnoteReference"/>
        </w:rPr>
        <w:footnoteRef/>
      </w:r>
      <w:r w:rsidRPr="00222651">
        <w:rPr>
          <w:rFonts w:cs="Arial"/>
        </w:rPr>
        <w:t xml:space="preserve"> Tr. Vol. I at 47.</w:t>
      </w:r>
    </w:p>
    <w:p w:rsidR="0040331A" w:rsidRPr="00222651" w:rsidRDefault="0040331A" w:rsidP="00896C0C">
      <w:pPr>
        <w:pStyle w:val="FootnoteText"/>
        <w:jc w:val="both"/>
        <w:rPr>
          <w:rFonts w:cs="Arial"/>
        </w:rPr>
      </w:pPr>
    </w:p>
  </w:footnote>
  <w:footnote w:id="18">
    <w:p w:rsidR="0040331A" w:rsidRPr="00F05DC5" w:rsidRDefault="0040331A" w:rsidP="00896C0C">
      <w:pPr>
        <w:pStyle w:val="FootnoteText"/>
        <w:jc w:val="both"/>
        <w:rPr>
          <w:rFonts w:cs="Arial"/>
          <w:i/>
        </w:rPr>
      </w:pPr>
      <w:r w:rsidRPr="00222651">
        <w:rPr>
          <w:rStyle w:val="FootnoteReference"/>
        </w:rPr>
        <w:footnoteRef/>
      </w:r>
      <w:r w:rsidRPr="00222651">
        <w:rPr>
          <w:rFonts w:cs="Arial"/>
        </w:rPr>
        <w:t xml:space="preserve"> </w:t>
      </w:r>
      <w:r>
        <w:rPr>
          <w:rFonts w:cs="Arial"/>
          <w:i/>
        </w:rPr>
        <w:t>Id.</w:t>
      </w:r>
    </w:p>
    <w:p w:rsidR="0040331A" w:rsidRPr="00222651" w:rsidRDefault="0040331A" w:rsidP="00896C0C">
      <w:pPr>
        <w:pStyle w:val="FootnoteText"/>
        <w:jc w:val="both"/>
        <w:rPr>
          <w:rFonts w:cs="Arial"/>
        </w:rPr>
      </w:pPr>
    </w:p>
  </w:footnote>
  <w:footnote w:id="19">
    <w:p w:rsidR="0040331A" w:rsidRDefault="0040331A">
      <w:pPr>
        <w:pStyle w:val="FootnoteText"/>
        <w:rPr>
          <w:rFonts w:cs="Arial"/>
        </w:rPr>
      </w:pPr>
      <w:r>
        <w:rPr>
          <w:rStyle w:val="FootnoteReference"/>
        </w:rPr>
        <w:footnoteRef/>
      </w:r>
      <w:r>
        <w:t xml:space="preserve"> </w:t>
      </w:r>
      <w:r>
        <w:rPr>
          <w:rFonts w:cs="Arial"/>
        </w:rPr>
        <w:t>IEU-Ohio Ex. 2 at 7-9</w:t>
      </w:r>
      <w:r w:rsidRPr="00222651">
        <w:rPr>
          <w:rFonts w:cs="Arial"/>
        </w:rPr>
        <w:t>.</w:t>
      </w:r>
    </w:p>
    <w:p w:rsidR="0040331A" w:rsidRDefault="0040331A">
      <w:pPr>
        <w:pStyle w:val="FootnoteText"/>
      </w:pPr>
    </w:p>
  </w:footnote>
  <w:footnote w:id="20">
    <w:p w:rsidR="0040331A" w:rsidRPr="00F6015C" w:rsidRDefault="0040331A">
      <w:pPr>
        <w:pStyle w:val="FootnoteText"/>
      </w:pPr>
      <w:r>
        <w:rPr>
          <w:rStyle w:val="FootnoteReference"/>
        </w:rPr>
        <w:footnoteRef/>
      </w:r>
      <w:r>
        <w:t xml:space="preserve"> </w:t>
      </w:r>
      <w:r>
        <w:rPr>
          <w:i/>
        </w:rPr>
        <w:t>Id</w:t>
      </w:r>
      <w:r>
        <w:t>.</w:t>
      </w:r>
    </w:p>
  </w:footnote>
  <w:footnote w:id="21">
    <w:p w:rsidR="0040331A" w:rsidRDefault="0040331A">
      <w:pPr>
        <w:pStyle w:val="FootnoteText"/>
      </w:pPr>
    </w:p>
    <w:p w:rsidR="0040331A" w:rsidRDefault="0040331A" w:rsidP="000571E3">
      <w:pPr>
        <w:pStyle w:val="FootnoteText"/>
        <w:jc w:val="both"/>
      </w:pPr>
      <w:r>
        <w:rPr>
          <w:rStyle w:val="FootnoteReference"/>
        </w:rPr>
        <w:footnoteRef/>
      </w:r>
      <w:r>
        <w:t xml:space="preserve"> </w:t>
      </w:r>
      <w:r w:rsidRPr="00BC2A52">
        <w:rPr>
          <w:i/>
        </w:rPr>
        <w:t>In the Matter of the Commission Review of the Capacity Charges of Ohio Power Company and Columbus Southern Power Company</w:t>
      </w:r>
      <w:r>
        <w:t>, Case No. 10-2929-EL-UNC, Opinion and Order at 23 (Jul. 2, 2012) (emphasis added).</w:t>
      </w:r>
    </w:p>
    <w:p w:rsidR="0040331A" w:rsidRDefault="0040331A">
      <w:pPr>
        <w:pStyle w:val="FootnoteText"/>
      </w:pPr>
    </w:p>
  </w:footnote>
  <w:footnote w:id="22">
    <w:p w:rsidR="0040331A" w:rsidRPr="004D73FD" w:rsidRDefault="0040331A" w:rsidP="00896C0C">
      <w:pPr>
        <w:pStyle w:val="FootnoteText"/>
        <w:jc w:val="both"/>
        <w:rPr>
          <w:rFonts w:cs="Arial"/>
        </w:rPr>
      </w:pPr>
      <w:r w:rsidRPr="004D73FD">
        <w:rPr>
          <w:rStyle w:val="FootnoteReference"/>
        </w:rPr>
        <w:footnoteRef/>
      </w:r>
      <w:r w:rsidRPr="004D73FD">
        <w:rPr>
          <w:rFonts w:cs="Arial"/>
        </w:rPr>
        <w:t xml:space="preserve"> O</w:t>
      </w:r>
      <w:r>
        <w:rPr>
          <w:rFonts w:cs="Arial"/>
        </w:rPr>
        <w:t>P could easily bank its excess s</w:t>
      </w:r>
      <w:r w:rsidRPr="004D73FD">
        <w:rPr>
          <w:rFonts w:cs="Arial"/>
        </w:rPr>
        <w:t xml:space="preserve">RECs and use them to satisfy </w:t>
      </w:r>
      <w:r>
        <w:rPr>
          <w:rFonts w:cs="Arial"/>
        </w:rPr>
        <w:t>the compliance shortfall of 1,180</w:t>
      </w:r>
      <w:r w:rsidRPr="004D73FD">
        <w:rPr>
          <w:rFonts w:cs="Arial"/>
        </w:rPr>
        <w:t xml:space="preserve"> MW</w:t>
      </w:r>
      <w:r>
        <w:rPr>
          <w:rFonts w:cs="Arial"/>
        </w:rPr>
        <w:t xml:space="preserve"> </w:t>
      </w:r>
      <w:r w:rsidRPr="004D73FD">
        <w:rPr>
          <w:rFonts w:cs="Arial"/>
        </w:rPr>
        <w:t>hours that will occur during the peak year.</w:t>
      </w:r>
    </w:p>
    <w:p w:rsidR="0040331A" w:rsidRPr="004D73FD" w:rsidRDefault="0040331A" w:rsidP="00896C0C">
      <w:pPr>
        <w:pStyle w:val="FootnoteText"/>
        <w:jc w:val="both"/>
        <w:rPr>
          <w:rFonts w:cs="Arial"/>
        </w:rPr>
      </w:pPr>
    </w:p>
  </w:footnote>
  <w:footnote w:id="23">
    <w:p w:rsidR="0040331A" w:rsidRDefault="0040331A" w:rsidP="00896C0C">
      <w:pPr>
        <w:pStyle w:val="FootnoteText"/>
        <w:jc w:val="both"/>
        <w:rPr>
          <w:rFonts w:cs="Arial"/>
        </w:rPr>
      </w:pPr>
      <w:r w:rsidRPr="004D73FD">
        <w:rPr>
          <w:rStyle w:val="FootnoteReference"/>
        </w:rPr>
        <w:footnoteRef/>
      </w:r>
      <w:r w:rsidRPr="004D73FD">
        <w:rPr>
          <w:rFonts w:cs="Arial"/>
        </w:rPr>
        <w:t xml:space="preserve"> Tr. Vol. I at 28</w:t>
      </w:r>
      <w:r>
        <w:rPr>
          <w:rFonts w:cs="Arial"/>
        </w:rPr>
        <w:t>.</w:t>
      </w:r>
    </w:p>
    <w:p w:rsidR="0040331A" w:rsidRDefault="0040331A" w:rsidP="00896C0C">
      <w:pPr>
        <w:pStyle w:val="FootnoteText"/>
        <w:jc w:val="both"/>
      </w:pPr>
    </w:p>
  </w:footnote>
  <w:footnote w:id="24">
    <w:p w:rsidR="0040331A" w:rsidRDefault="0040331A">
      <w:pPr>
        <w:pStyle w:val="FootnoteText"/>
      </w:pPr>
      <w:r>
        <w:rPr>
          <w:rStyle w:val="FootnoteReference"/>
        </w:rPr>
        <w:footnoteRef/>
      </w:r>
      <w:r>
        <w:t xml:space="preserve"> AEP-Ohio Supplemental Brief at 13 (Oct. 3, 2012).</w:t>
      </w:r>
    </w:p>
    <w:p w:rsidR="0040331A" w:rsidRDefault="0040331A">
      <w:pPr>
        <w:pStyle w:val="FootnoteText"/>
      </w:pPr>
    </w:p>
  </w:footnote>
  <w:footnote w:id="25">
    <w:p w:rsidR="0040331A" w:rsidRDefault="0040331A">
      <w:pPr>
        <w:pStyle w:val="FootnoteText"/>
      </w:pPr>
      <w:r>
        <w:rPr>
          <w:rStyle w:val="FootnoteReference"/>
        </w:rPr>
        <w:footnoteRef/>
      </w:r>
      <w:r>
        <w:t xml:space="preserve"> Section 4928.64(B), Revised Code.</w:t>
      </w:r>
    </w:p>
    <w:p w:rsidR="0040331A" w:rsidRDefault="0040331A">
      <w:pPr>
        <w:pStyle w:val="FootnoteText"/>
      </w:pPr>
    </w:p>
  </w:footnote>
  <w:footnote w:id="26">
    <w:p w:rsidR="0040331A" w:rsidRDefault="0040331A">
      <w:pPr>
        <w:pStyle w:val="FootnoteText"/>
      </w:pPr>
      <w:r>
        <w:rPr>
          <w:rStyle w:val="FootnoteReference"/>
        </w:rPr>
        <w:footnoteRef/>
      </w:r>
      <w:r>
        <w:t xml:space="preserve"> Section 4928.143(C), Revised Code (emphasis added).</w:t>
      </w:r>
    </w:p>
  </w:footnote>
  <w:footnote w:id="27">
    <w:p w:rsidR="0040331A" w:rsidRDefault="0040331A">
      <w:pPr>
        <w:pStyle w:val="FootnoteText"/>
      </w:pPr>
      <w:r>
        <w:rPr>
          <w:rStyle w:val="FootnoteReference"/>
        </w:rPr>
        <w:footnoteRef/>
      </w:r>
      <w:r>
        <w:t xml:space="preserve"> Staff Supplemental Brief at 8 (Oct. 3, 2012); UT Supplemental Brief at 8 (Oct. 3, 2012). </w:t>
      </w:r>
    </w:p>
  </w:footnote>
  <w:footnote w:id="28">
    <w:p w:rsidR="0040331A" w:rsidRDefault="0040331A">
      <w:pPr>
        <w:pStyle w:val="FootnoteText"/>
      </w:pPr>
      <w:r>
        <w:rPr>
          <w:rStyle w:val="FootnoteReference"/>
        </w:rPr>
        <w:footnoteRef/>
      </w:r>
      <w:r>
        <w:t xml:space="preserve"> AEP-Ohio Supplemental Brief at 9 (Oct. 3, 2012); UT Supplemental Brief at 2 and 8 (Oct. 3, 2012).</w:t>
      </w:r>
    </w:p>
    <w:p w:rsidR="0040331A" w:rsidRDefault="0040331A">
      <w:pPr>
        <w:pStyle w:val="FootnoteText"/>
      </w:pPr>
    </w:p>
  </w:footnote>
  <w:footnote w:id="29">
    <w:p w:rsidR="0040331A" w:rsidRDefault="0040331A">
      <w:pPr>
        <w:pStyle w:val="FootnoteText"/>
      </w:pPr>
      <w:r>
        <w:rPr>
          <w:rStyle w:val="FootnoteReference"/>
        </w:rPr>
        <w:footnoteRef/>
      </w:r>
      <w:r>
        <w:t xml:space="preserve"> FirstEnergy Solutions Corp. (“FES”) Exhibit 1 at 4.</w:t>
      </w:r>
    </w:p>
  </w:footnote>
  <w:footnote w:id="30">
    <w:p w:rsidR="0040331A" w:rsidRDefault="0040331A">
      <w:pPr>
        <w:pStyle w:val="FootnoteText"/>
      </w:pPr>
    </w:p>
    <w:p w:rsidR="0040331A" w:rsidRDefault="0040331A">
      <w:pPr>
        <w:pStyle w:val="FootnoteText"/>
      </w:pPr>
      <w:r>
        <w:rPr>
          <w:rStyle w:val="FootnoteReference"/>
        </w:rPr>
        <w:footnoteRef/>
      </w:r>
      <w:r>
        <w:t xml:space="preserve"> Section 4928.02(H), Revised Code.</w:t>
      </w:r>
    </w:p>
    <w:p w:rsidR="0040331A" w:rsidRDefault="0040331A">
      <w:pPr>
        <w:pStyle w:val="FootnoteText"/>
      </w:pPr>
    </w:p>
  </w:footnote>
  <w:footnote w:id="31">
    <w:p w:rsidR="0040331A" w:rsidRDefault="0040331A">
      <w:pPr>
        <w:pStyle w:val="FootnoteText"/>
      </w:pPr>
      <w:r>
        <w:rPr>
          <w:rStyle w:val="FootnoteReference"/>
        </w:rPr>
        <w:footnoteRef/>
      </w:r>
      <w:r>
        <w:t xml:space="preserve"> Staff Supplemental Brief at 7 (Oct. 3, 2012); UT Supplemental Brief at 4 (Oct. 3, 2012).</w:t>
      </w:r>
    </w:p>
  </w:footnote>
  <w:footnote w:id="32">
    <w:p w:rsidR="0040331A" w:rsidRDefault="0040331A" w:rsidP="00DE27D9">
      <w:pPr>
        <w:pStyle w:val="FootnoteText"/>
      </w:pPr>
      <w:r>
        <w:rPr>
          <w:rStyle w:val="FootnoteReference"/>
        </w:rPr>
        <w:footnoteRef/>
      </w:r>
      <w:r>
        <w:t xml:space="preserve"> Staff Supplemental Brief at 7 (Oct. 3, 2012). </w:t>
      </w:r>
    </w:p>
    <w:p w:rsidR="0040331A" w:rsidRDefault="0040331A" w:rsidP="00DE27D9">
      <w:pPr>
        <w:pStyle w:val="FootnoteText"/>
      </w:pPr>
    </w:p>
  </w:footnote>
  <w:footnote w:id="33">
    <w:p w:rsidR="0040331A" w:rsidRDefault="0040331A">
      <w:pPr>
        <w:pStyle w:val="FootnoteText"/>
      </w:pPr>
      <w:r>
        <w:rPr>
          <w:rStyle w:val="FootnoteReference"/>
        </w:rPr>
        <w:footnoteRef/>
      </w:r>
      <w:r>
        <w:t xml:space="preserve"> AEP-Ohio Supplemental Brief at 4 (Oct. 3, 2012).</w:t>
      </w:r>
    </w:p>
    <w:p w:rsidR="0040331A" w:rsidRDefault="0040331A">
      <w:pPr>
        <w:pStyle w:val="FootnoteText"/>
      </w:pPr>
    </w:p>
  </w:footnote>
  <w:footnote w:id="34">
    <w:p w:rsidR="0040331A" w:rsidRDefault="0040331A" w:rsidP="00DF69F7">
      <w:pPr>
        <w:pStyle w:val="FootnoteText"/>
        <w:jc w:val="both"/>
        <w:rPr>
          <w:rFonts w:cs="Arial"/>
        </w:rPr>
      </w:pPr>
      <w:r w:rsidRPr="007865DD">
        <w:rPr>
          <w:rStyle w:val="FootnoteReference"/>
          <w:rFonts w:cs="Arial"/>
        </w:rPr>
        <w:footnoteRef/>
      </w:r>
      <w:r w:rsidRPr="007865DD">
        <w:rPr>
          <w:rFonts w:cs="Arial"/>
        </w:rPr>
        <w:t xml:space="preserve"> A</w:t>
      </w:r>
      <w:r w:rsidRPr="00D83B62">
        <w:rPr>
          <w:rFonts w:cs="Arial"/>
        </w:rPr>
        <w:t>ccording to Mr. Bellamy’s testimony, there must be approximately 250 MW of solar constructed in Ohio by 2025.  Since there was 40 MW of solar completed at the end of 2011, then there must be 210 MW de</w:t>
      </w:r>
      <w:r>
        <w:rPr>
          <w:rFonts w:cs="Arial"/>
        </w:rPr>
        <w:t>veloped over the next 14 years.  Staff Ex. 1 at 5 (Figure 1); AEP-Ohio Ex. 1 at 11.</w:t>
      </w:r>
      <w:r w:rsidRPr="00D83B62">
        <w:rPr>
          <w:rFonts w:cs="Arial"/>
        </w:rPr>
        <w:t xml:space="preserve"> </w:t>
      </w:r>
      <w:r>
        <w:rPr>
          <w:rFonts w:cs="Arial"/>
        </w:rPr>
        <w:t xml:space="preserve"> </w:t>
      </w:r>
      <w:r w:rsidRPr="00D83B62">
        <w:rPr>
          <w:rFonts w:cs="Arial"/>
        </w:rPr>
        <w:t xml:space="preserve">Thus, the average development target is 15 MW per year.  </w:t>
      </w:r>
      <w:r>
        <w:rPr>
          <w:rFonts w:cs="Arial"/>
        </w:rPr>
        <w:t>These projections ignore the Commission’s ability to modify the RPS Requirements upon a showing that compliance requirements cannot be reasonably satisfied.</w:t>
      </w:r>
    </w:p>
    <w:p w:rsidR="0040331A" w:rsidRDefault="0040331A" w:rsidP="00DF69F7">
      <w:pPr>
        <w:pStyle w:val="FootnoteText"/>
        <w:jc w:val="both"/>
      </w:pPr>
    </w:p>
  </w:footnote>
  <w:footnote w:id="35">
    <w:p w:rsidR="0040331A" w:rsidRDefault="0040331A">
      <w:pPr>
        <w:pStyle w:val="FootnoteText"/>
      </w:pPr>
      <w:r>
        <w:rPr>
          <w:rStyle w:val="FootnoteReference"/>
        </w:rPr>
        <w:footnoteRef/>
      </w:r>
      <w:r>
        <w:t xml:space="preserve"> Staff Ex. 1 at 7-8.</w:t>
      </w:r>
    </w:p>
    <w:p w:rsidR="0040331A" w:rsidRDefault="0040331A">
      <w:pPr>
        <w:pStyle w:val="FootnoteText"/>
      </w:pPr>
    </w:p>
  </w:footnote>
  <w:footnote w:id="36">
    <w:p w:rsidR="0040331A" w:rsidRDefault="0040331A" w:rsidP="00DF69F7">
      <w:pPr>
        <w:pStyle w:val="FootnoteText"/>
        <w:jc w:val="both"/>
      </w:pPr>
      <w:r>
        <w:rPr>
          <w:rStyle w:val="FootnoteReference"/>
        </w:rPr>
        <w:footnoteRef/>
      </w:r>
      <w:r>
        <w:t xml:space="preserve"> See Attachment A, submitted in the Supplemental Brief of IEU-Ohio, containing a list of Ohio-based solar energy facilities certified by the Commission in 2012 (last updated on Sept. 21, 2012), sorted from the Commission’s list of certified renewable energy facilities.  Located at</w:t>
      </w:r>
      <w:r w:rsidRPr="009433E3">
        <w:t xml:space="preserve"> </w:t>
      </w:r>
      <w:hyperlink r:id="rId1" w:history="1">
        <w:r w:rsidRPr="009433E3">
          <w:rPr>
            <w:rStyle w:val="Hyperlink"/>
            <w:color w:val="auto"/>
          </w:rPr>
          <w:t>http://www.puco.ohio.gov/puco/index.cfm/industry-information/industry-topics/ohioe28099s-renewable-and-advanced-energy-portfolio-standard/</w:t>
        </w:r>
      </w:hyperlink>
      <w:r>
        <w:t xml:space="preserve"> (last viewed on Oct. 3, 2012)</w:t>
      </w:r>
      <w:r w:rsidRPr="009433E3">
        <w:t xml:space="preserve">.  </w:t>
      </w:r>
      <w:r>
        <w:t>The Commission should admit Attachment A into evidence or, at a minimum, take administrative notice of the 17.94 MW of certified solar facilities listed on Attachment A.  The facilities, MW values, docket numbers, and actual certificates can be viewed on the Commission’s website.  Moreover, during the hearing, the Attorney Examiner took administrative notice of several pending applications for certification as a renewable energy facility.</w:t>
      </w:r>
      <w:r w:rsidRPr="009433E3">
        <w:t xml:space="preserve"> </w:t>
      </w:r>
      <w:r>
        <w:t>Tr.</w:t>
      </w:r>
      <w:r w:rsidRPr="009433E3">
        <w:t xml:space="preserve"> at 62-64</w:t>
      </w:r>
      <w:r>
        <w:t>.  The existence of the certificates listed on Attachment A cannot be disputed.</w:t>
      </w:r>
    </w:p>
    <w:p w:rsidR="0040331A" w:rsidRDefault="0040331A" w:rsidP="00DF69F7">
      <w:pPr>
        <w:pStyle w:val="FootnoteText"/>
        <w:jc w:val="both"/>
      </w:pPr>
    </w:p>
  </w:footnote>
  <w:footnote w:id="37">
    <w:p w:rsidR="0040331A" w:rsidRDefault="0040331A">
      <w:pPr>
        <w:pStyle w:val="FootnoteText"/>
      </w:pPr>
      <w:r>
        <w:rPr>
          <w:rStyle w:val="FootnoteReference"/>
        </w:rPr>
        <w:footnoteRef/>
      </w:r>
      <w:r>
        <w:t xml:space="preserve"> UT Supplemental Brief at 9 (Oct. 3, 2012).</w:t>
      </w:r>
    </w:p>
    <w:p w:rsidR="0040331A" w:rsidRDefault="0040331A">
      <w:pPr>
        <w:pStyle w:val="FootnoteText"/>
      </w:pPr>
      <w:r>
        <w:t xml:space="preserve"> </w:t>
      </w:r>
    </w:p>
  </w:footnote>
  <w:footnote w:id="38">
    <w:p w:rsidR="0040331A" w:rsidRDefault="0040331A">
      <w:pPr>
        <w:pStyle w:val="FootnoteText"/>
      </w:pPr>
      <w:r>
        <w:rPr>
          <w:rStyle w:val="FootnoteReference"/>
        </w:rPr>
        <w:footnoteRef/>
      </w:r>
      <w:r>
        <w:t xml:space="preserve"> Staff Ex. 1 at 8. </w:t>
      </w:r>
    </w:p>
  </w:footnote>
  <w:footnote w:id="39">
    <w:p w:rsidR="0040331A" w:rsidRDefault="0040331A">
      <w:pPr>
        <w:pStyle w:val="FootnoteText"/>
      </w:pPr>
      <w:r>
        <w:rPr>
          <w:rStyle w:val="FootnoteReference"/>
        </w:rPr>
        <w:footnoteRef/>
      </w:r>
      <w:r>
        <w:t xml:space="preserve"> </w:t>
      </w:r>
      <w:r>
        <w:rPr>
          <w:i/>
        </w:rPr>
        <w:t>Id</w:t>
      </w:r>
      <w:r>
        <w:t>.</w:t>
      </w:r>
    </w:p>
    <w:p w:rsidR="0040331A" w:rsidRPr="004B6331" w:rsidRDefault="0040331A">
      <w:pPr>
        <w:pStyle w:val="FootnoteText"/>
      </w:pPr>
    </w:p>
  </w:footnote>
  <w:footnote w:id="40">
    <w:p w:rsidR="0040331A" w:rsidRDefault="0040331A">
      <w:pPr>
        <w:pStyle w:val="FootnoteText"/>
      </w:pPr>
      <w:r>
        <w:rPr>
          <w:rStyle w:val="FootnoteReference"/>
        </w:rPr>
        <w:footnoteRef/>
      </w:r>
      <w:r>
        <w:t xml:space="preserve"> </w:t>
      </w:r>
      <w:r>
        <w:rPr>
          <w:rFonts w:cs="Arial"/>
        </w:rPr>
        <w:t>FES Ex. 1 at JAL-8.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31A" w:rsidRDefault="004033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9B0"/>
    <w:multiLevelType w:val="hybridMultilevel"/>
    <w:tmpl w:val="6CD0CFB2"/>
    <w:lvl w:ilvl="0" w:tplc="0D582B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0E3B89"/>
    <w:multiLevelType w:val="hybridMultilevel"/>
    <w:tmpl w:val="51BE35F0"/>
    <w:lvl w:ilvl="0" w:tplc="0128C7E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CB3668B"/>
    <w:multiLevelType w:val="hybridMultilevel"/>
    <w:tmpl w:val="7AE2C4C6"/>
    <w:lvl w:ilvl="0" w:tplc="A14C4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4E3ABE"/>
    <w:multiLevelType w:val="hybridMultilevel"/>
    <w:tmpl w:val="1E32C40E"/>
    <w:lvl w:ilvl="0" w:tplc="C3D8AF4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C7A1F"/>
    <w:multiLevelType w:val="hybridMultilevel"/>
    <w:tmpl w:val="A5402348"/>
    <w:name w:val="IEU-Ohio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20CC5A46"/>
    <w:multiLevelType w:val="hybridMultilevel"/>
    <w:tmpl w:val="9CE4743A"/>
    <w:lvl w:ilvl="0" w:tplc="744E48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640036"/>
    <w:multiLevelType w:val="hybridMultilevel"/>
    <w:tmpl w:val="1FA8BE3E"/>
    <w:lvl w:ilvl="0" w:tplc="12545D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DD90960"/>
    <w:multiLevelType w:val="hybridMultilevel"/>
    <w:tmpl w:val="E5FCA906"/>
    <w:lvl w:ilvl="0" w:tplc="FCC0E884">
      <w:start w:val="3"/>
      <w:numFmt w:val="upperRoman"/>
      <w:lvlText w:val="%1."/>
      <w:lvlJc w:val="left"/>
      <w:pPr>
        <w:ind w:left="900" w:hanging="720"/>
      </w:pPr>
      <w:rPr>
        <w:rFonts w:ascii="Arial" w:hAnsi="Arial"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356F2AE7"/>
    <w:multiLevelType w:val="multilevel"/>
    <w:tmpl w:val="04465B12"/>
    <w:name w:val="IEU-Ohio"/>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9">
    <w:nsid w:val="58DB07F7"/>
    <w:multiLevelType w:val="hybridMultilevel"/>
    <w:tmpl w:val="B6623CE0"/>
    <w:lvl w:ilvl="0" w:tplc="41526B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9282CC7"/>
    <w:multiLevelType w:val="hybridMultilevel"/>
    <w:tmpl w:val="40F2D8AC"/>
    <w:lvl w:ilvl="0" w:tplc="0074E1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F8534CB"/>
    <w:multiLevelType w:val="hybridMultilevel"/>
    <w:tmpl w:val="AD645382"/>
    <w:lvl w:ilvl="0" w:tplc="974251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0A43893"/>
    <w:multiLevelType w:val="hybridMultilevel"/>
    <w:tmpl w:val="11E84712"/>
    <w:lvl w:ilvl="0" w:tplc="DC322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D2EEB"/>
    <w:multiLevelType w:val="hybridMultilevel"/>
    <w:tmpl w:val="361644CC"/>
    <w:name w:val="(Unnamed Numbering Scheme)"/>
    <w:lvl w:ilvl="0" w:tplc="4FEC640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D5236BF"/>
    <w:multiLevelType w:val="hybridMultilevel"/>
    <w:tmpl w:val="794241D6"/>
    <w:lvl w:ilvl="0" w:tplc="BC3848A0">
      <w:start w:val="1"/>
      <w:numFmt w:val="upperRoman"/>
      <w:lvlText w:val="%1."/>
      <w:lvlJc w:val="left"/>
      <w:pPr>
        <w:ind w:left="2520" w:hanging="72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nsid w:val="70D2078A"/>
    <w:multiLevelType w:val="hybridMultilevel"/>
    <w:tmpl w:val="42C039F2"/>
    <w:lvl w:ilvl="0" w:tplc="A93014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15"/>
  </w:num>
  <w:num w:numId="5">
    <w:abstractNumId w:val="5"/>
  </w:num>
  <w:num w:numId="6">
    <w:abstractNumId w:val="13"/>
  </w:num>
  <w:num w:numId="7">
    <w:abstractNumId w:val="6"/>
  </w:num>
  <w:num w:numId="8">
    <w:abstractNumId w:val="9"/>
  </w:num>
  <w:num w:numId="9">
    <w:abstractNumId w:val="3"/>
  </w:num>
  <w:num w:numId="10">
    <w:abstractNumId w:val="8"/>
  </w:num>
  <w:num w:numId="11">
    <w:abstractNumId w:val="4"/>
  </w:num>
  <w:num w:numId="12">
    <w:abstractNumId w:val="11"/>
  </w:num>
  <w:num w:numId="13">
    <w:abstractNumId w:val="2"/>
  </w:num>
  <w:num w:numId="14">
    <w:abstractNumId w:val="0"/>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False"/>
    <w:docVar w:name="HyperlinkTOC" w:val="False"/>
    <w:docVar w:name="IncludeTOCAndPageHeadings" w:val="True"/>
    <w:docVar w:name="LastSchemeChoice" w:val="IEU-Ohio"/>
    <w:docVar w:name="LastSchemeUniqueID" w:val="2"/>
    <w:docVar w:name="NoNumberLevel1TOC" w:val="False"/>
    <w:docVar w:name="Option0True" w:val="False"/>
    <w:docVar w:name="Option1True" w:val="False"/>
    <w:docVar w:name="Option2True"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Position" w:val="Current cursor position"/>
    <w:docVar w:name="TOCRun" w:val="True"/>
    <w:docVar w:name="TOCSpecialLevels" w:val="False"/>
    <w:docVar w:name="UnderlineTOCLevel1" w:val="False"/>
    <w:docVar w:name="UpperLevelTOC" w:val="3"/>
  </w:docVars>
  <w:rsids>
    <w:rsidRoot w:val="004A6E10"/>
    <w:rsid w:val="000048F4"/>
    <w:rsid w:val="00005E21"/>
    <w:rsid w:val="000071A7"/>
    <w:rsid w:val="00007B92"/>
    <w:rsid w:val="00010A30"/>
    <w:rsid w:val="000131FC"/>
    <w:rsid w:val="00021D19"/>
    <w:rsid w:val="00025A05"/>
    <w:rsid w:val="00027507"/>
    <w:rsid w:val="00027845"/>
    <w:rsid w:val="0003365F"/>
    <w:rsid w:val="00036637"/>
    <w:rsid w:val="000500D1"/>
    <w:rsid w:val="00054D56"/>
    <w:rsid w:val="00055CD2"/>
    <w:rsid w:val="000571E3"/>
    <w:rsid w:val="00073D12"/>
    <w:rsid w:val="00075599"/>
    <w:rsid w:val="000922F8"/>
    <w:rsid w:val="000A07D5"/>
    <w:rsid w:val="000B54E5"/>
    <w:rsid w:val="000C705F"/>
    <w:rsid w:val="000E06A0"/>
    <w:rsid w:val="000E379B"/>
    <w:rsid w:val="000E559D"/>
    <w:rsid w:val="000E655A"/>
    <w:rsid w:val="00105CD2"/>
    <w:rsid w:val="00114891"/>
    <w:rsid w:val="00117F09"/>
    <w:rsid w:val="00125A53"/>
    <w:rsid w:val="00145DC2"/>
    <w:rsid w:val="00152EEA"/>
    <w:rsid w:val="0016796A"/>
    <w:rsid w:val="00171707"/>
    <w:rsid w:val="00172D00"/>
    <w:rsid w:val="0019117E"/>
    <w:rsid w:val="00191950"/>
    <w:rsid w:val="0019213F"/>
    <w:rsid w:val="00195F35"/>
    <w:rsid w:val="00196B67"/>
    <w:rsid w:val="001A4E7A"/>
    <w:rsid w:val="001B14FD"/>
    <w:rsid w:val="001B50B1"/>
    <w:rsid w:val="001B65B4"/>
    <w:rsid w:val="001D5CD7"/>
    <w:rsid w:val="001E0D20"/>
    <w:rsid w:val="001E0E3D"/>
    <w:rsid w:val="001F3134"/>
    <w:rsid w:val="001F3F8F"/>
    <w:rsid w:val="00205677"/>
    <w:rsid w:val="00214D85"/>
    <w:rsid w:val="00217E8B"/>
    <w:rsid w:val="00230942"/>
    <w:rsid w:val="0023778B"/>
    <w:rsid w:val="00242C91"/>
    <w:rsid w:val="002448A0"/>
    <w:rsid w:val="00245CCC"/>
    <w:rsid w:val="00250C72"/>
    <w:rsid w:val="0025583D"/>
    <w:rsid w:val="00257973"/>
    <w:rsid w:val="002652E1"/>
    <w:rsid w:val="00265A1C"/>
    <w:rsid w:val="00280425"/>
    <w:rsid w:val="002918A3"/>
    <w:rsid w:val="00295284"/>
    <w:rsid w:val="002957E3"/>
    <w:rsid w:val="00296D18"/>
    <w:rsid w:val="002A4BE7"/>
    <w:rsid w:val="002A587B"/>
    <w:rsid w:val="002B0460"/>
    <w:rsid w:val="002B0D1C"/>
    <w:rsid w:val="002B3885"/>
    <w:rsid w:val="002B3986"/>
    <w:rsid w:val="002B3A04"/>
    <w:rsid w:val="002B746C"/>
    <w:rsid w:val="002B7DF4"/>
    <w:rsid w:val="002C0E39"/>
    <w:rsid w:val="002D3E07"/>
    <w:rsid w:val="002D43BC"/>
    <w:rsid w:val="002E2C46"/>
    <w:rsid w:val="002E72FC"/>
    <w:rsid w:val="00300756"/>
    <w:rsid w:val="00302064"/>
    <w:rsid w:val="00303F7C"/>
    <w:rsid w:val="003104F9"/>
    <w:rsid w:val="00313CE5"/>
    <w:rsid w:val="00313E77"/>
    <w:rsid w:val="00336E25"/>
    <w:rsid w:val="003402F6"/>
    <w:rsid w:val="00341965"/>
    <w:rsid w:val="0034371E"/>
    <w:rsid w:val="003439BC"/>
    <w:rsid w:val="00344C7D"/>
    <w:rsid w:val="00345A39"/>
    <w:rsid w:val="003536F4"/>
    <w:rsid w:val="0035451B"/>
    <w:rsid w:val="003702FF"/>
    <w:rsid w:val="003733BC"/>
    <w:rsid w:val="00375964"/>
    <w:rsid w:val="003772FE"/>
    <w:rsid w:val="00384B51"/>
    <w:rsid w:val="0038601F"/>
    <w:rsid w:val="003A15F9"/>
    <w:rsid w:val="003A361F"/>
    <w:rsid w:val="003A4F93"/>
    <w:rsid w:val="003A7C78"/>
    <w:rsid w:val="003B3A85"/>
    <w:rsid w:val="003B4E21"/>
    <w:rsid w:val="003C1401"/>
    <w:rsid w:val="003C68F4"/>
    <w:rsid w:val="003D46DB"/>
    <w:rsid w:val="003D475A"/>
    <w:rsid w:val="003F5D81"/>
    <w:rsid w:val="004005A2"/>
    <w:rsid w:val="004024E4"/>
    <w:rsid w:val="0040331A"/>
    <w:rsid w:val="00405A2D"/>
    <w:rsid w:val="00417336"/>
    <w:rsid w:val="00417418"/>
    <w:rsid w:val="0042342A"/>
    <w:rsid w:val="00431FB9"/>
    <w:rsid w:val="004470C8"/>
    <w:rsid w:val="0045017F"/>
    <w:rsid w:val="00460179"/>
    <w:rsid w:val="00465B43"/>
    <w:rsid w:val="00466318"/>
    <w:rsid w:val="00475EDA"/>
    <w:rsid w:val="00477221"/>
    <w:rsid w:val="00494269"/>
    <w:rsid w:val="004A1C73"/>
    <w:rsid w:val="004A6E10"/>
    <w:rsid w:val="004B49FE"/>
    <w:rsid w:val="004B6331"/>
    <w:rsid w:val="004D2566"/>
    <w:rsid w:val="004E0CAA"/>
    <w:rsid w:val="004E4A13"/>
    <w:rsid w:val="004F1874"/>
    <w:rsid w:val="004F3A00"/>
    <w:rsid w:val="004F6991"/>
    <w:rsid w:val="00503E46"/>
    <w:rsid w:val="005044AF"/>
    <w:rsid w:val="00504804"/>
    <w:rsid w:val="00521BCD"/>
    <w:rsid w:val="00531034"/>
    <w:rsid w:val="00534B53"/>
    <w:rsid w:val="0055724C"/>
    <w:rsid w:val="00567798"/>
    <w:rsid w:val="00571D6C"/>
    <w:rsid w:val="00573A8C"/>
    <w:rsid w:val="0058010D"/>
    <w:rsid w:val="00582EE3"/>
    <w:rsid w:val="00587E98"/>
    <w:rsid w:val="00593B88"/>
    <w:rsid w:val="00597797"/>
    <w:rsid w:val="005B2C70"/>
    <w:rsid w:val="005C19F5"/>
    <w:rsid w:val="005C4E3C"/>
    <w:rsid w:val="005E1E92"/>
    <w:rsid w:val="005F0BFA"/>
    <w:rsid w:val="005F3438"/>
    <w:rsid w:val="005F4C4E"/>
    <w:rsid w:val="005F79C3"/>
    <w:rsid w:val="00600153"/>
    <w:rsid w:val="00600BD0"/>
    <w:rsid w:val="00611D80"/>
    <w:rsid w:val="0061320A"/>
    <w:rsid w:val="00613D45"/>
    <w:rsid w:val="006145CE"/>
    <w:rsid w:val="00630941"/>
    <w:rsid w:val="006315FC"/>
    <w:rsid w:val="0063397E"/>
    <w:rsid w:val="0064703A"/>
    <w:rsid w:val="00655C28"/>
    <w:rsid w:val="0066023F"/>
    <w:rsid w:val="0067282A"/>
    <w:rsid w:val="00686D6A"/>
    <w:rsid w:val="00690537"/>
    <w:rsid w:val="00693780"/>
    <w:rsid w:val="0069555E"/>
    <w:rsid w:val="006A0091"/>
    <w:rsid w:val="006C5178"/>
    <w:rsid w:val="006F1EA6"/>
    <w:rsid w:val="006F2855"/>
    <w:rsid w:val="006F6146"/>
    <w:rsid w:val="006F6780"/>
    <w:rsid w:val="00717330"/>
    <w:rsid w:val="00722637"/>
    <w:rsid w:val="00723DC4"/>
    <w:rsid w:val="00725236"/>
    <w:rsid w:val="00736D42"/>
    <w:rsid w:val="00740BB7"/>
    <w:rsid w:val="0074699E"/>
    <w:rsid w:val="0075271E"/>
    <w:rsid w:val="007633B8"/>
    <w:rsid w:val="0076661F"/>
    <w:rsid w:val="00772D06"/>
    <w:rsid w:val="0077686E"/>
    <w:rsid w:val="007769D1"/>
    <w:rsid w:val="0079616E"/>
    <w:rsid w:val="007A3351"/>
    <w:rsid w:val="007D61CB"/>
    <w:rsid w:val="007E56C4"/>
    <w:rsid w:val="007F0198"/>
    <w:rsid w:val="007F29B2"/>
    <w:rsid w:val="007F7B2D"/>
    <w:rsid w:val="008024F1"/>
    <w:rsid w:val="008042F9"/>
    <w:rsid w:val="008064EE"/>
    <w:rsid w:val="00806AC4"/>
    <w:rsid w:val="00811B0F"/>
    <w:rsid w:val="00812739"/>
    <w:rsid w:val="008127D9"/>
    <w:rsid w:val="00812F50"/>
    <w:rsid w:val="00813594"/>
    <w:rsid w:val="00816008"/>
    <w:rsid w:val="00822A40"/>
    <w:rsid w:val="008254BD"/>
    <w:rsid w:val="00826EAF"/>
    <w:rsid w:val="00830789"/>
    <w:rsid w:val="008315F6"/>
    <w:rsid w:val="00836F24"/>
    <w:rsid w:val="00841979"/>
    <w:rsid w:val="00857474"/>
    <w:rsid w:val="00863E16"/>
    <w:rsid w:val="008646FF"/>
    <w:rsid w:val="00865D80"/>
    <w:rsid w:val="00866E97"/>
    <w:rsid w:val="00887989"/>
    <w:rsid w:val="00896C0C"/>
    <w:rsid w:val="008A0507"/>
    <w:rsid w:val="008B063B"/>
    <w:rsid w:val="008B0AE1"/>
    <w:rsid w:val="008B415E"/>
    <w:rsid w:val="008E135D"/>
    <w:rsid w:val="008E768B"/>
    <w:rsid w:val="008F0E64"/>
    <w:rsid w:val="008F2F6E"/>
    <w:rsid w:val="008F4568"/>
    <w:rsid w:val="009178E4"/>
    <w:rsid w:val="009213AE"/>
    <w:rsid w:val="00926272"/>
    <w:rsid w:val="00927192"/>
    <w:rsid w:val="00932571"/>
    <w:rsid w:val="009348C9"/>
    <w:rsid w:val="00934919"/>
    <w:rsid w:val="00934DFD"/>
    <w:rsid w:val="00935AAA"/>
    <w:rsid w:val="009433E3"/>
    <w:rsid w:val="00955790"/>
    <w:rsid w:val="0096037E"/>
    <w:rsid w:val="00962BC8"/>
    <w:rsid w:val="00962FC3"/>
    <w:rsid w:val="0098245C"/>
    <w:rsid w:val="009A4D61"/>
    <w:rsid w:val="009A51A5"/>
    <w:rsid w:val="009B5551"/>
    <w:rsid w:val="009D024F"/>
    <w:rsid w:val="009D1264"/>
    <w:rsid w:val="009D2BF6"/>
    <w:rsid w:val="009E736E"/>
    <w:rsid w:val="009F1978"/>
    <w:rsid w:val="009F257D"/>
    <w:rsid w:val="009F2BCA"/>
    <w:rsid w:val="00A004F8"/>
    <w:rsid w:val="00A238BE"/>
    <w:rsid w:val="00A27384"/>
    <w:rsid w:val="00A33FE0"/>
    <w:rsid w:val="00A4168D"/>
    <w:rsid w:val="00A4773A"/>
    <w:rsid w:val="00A61583"/>
    <w:rsid w:val="00A62624"/>
    <w:rsid w:val="00A6718B"/>
    <w:rsid w:val="00A72B8D"/>
    <w:rsid w:val="00A735F8"/>
    <w:rsid w:val="00A77B0E"/>
    <w:rsid w:val="00A81471"/>
    <w:rsid w:val="00A81AC2"/>
    <w:rsid w:val="00AA40B5"/>
    <w:rsid w:val="00AC5293"/>
    <w:rsid w:val="00AC6ED8"/>
    <w:rsid w:val="00AD176F"/>
    <w:rsid w:val="00AE79E2"/>
    <w:rsid w:val="00AF3B21"/>
    <w:rsid w:val="00AF75C1"/>
    <w:rsid w:val="00B10C9B"/>
    <w:rsid w:val="00B12FFA"/>
    <w:rsid w:val="00B132EB"/>
    <w:rsid w:val="00B177D3"/>
    <w:rsid w:val="00B23FC2"/>
    <w:rsid w:val="00B36660"/>
    <w:rsid w:val="00B47E49"/>
    <w:rsid w:val="00B55710"/>
    <w:rsid w:val="00B55D7F"/>
    <w:rsid w:val="00B564AE"/>
    <w:rsid w:val="00B56B10"/>
    <w:rsid w:val="00B60E46"/>
    <w:rsid w:val="00B62727"/>
    <w:rsid w:val="00B7558C"/>
    <w:rsid w:val="00B8385E"/>
    <w:rsid w:val="00BA02BE"/>
    <w:rsid w:val="00BA66DA"/>
    <w:rsid w:val="00BB5BD0"/>
    <w:rsid w:val="00BB66D5"/>
    <w:rsid w:val="00BB6AB8"/>
    <w:rsid w:val="00BB75F0"/>
    <w:rsid w:val="00BB7FB5"/>
    <w:rsid w:val="00BC2A52"/>
    <w:rsid w:val="00BC72F1"/>
    <w:rsid w:val="00BD2496"/>
    <w:rsid w:val="00BD7BD1"/>
    <w:rsid w:val="00BE0C0F"/>
    <w:rsid w:val="00BE2754"/>
    <w:rsid w:val="00BF64C0"/>
    <w:rsid w:val="00BF7CE9"/>
    <w:rsid w:val="00C03AF6"/>
    <w:rsid w:val="00C136BD"/>
    <w:rsid w:val="00C136E3"/>
    <w:rsid w:val="00C17FF4"/>
    <w:rsid w:val="00C2613E"/>
    <w:rsid w:val="00C27297"/>
    <w:rsid w:val="00C34F52"/>
    <w:rsid w:val="00C4023E"/>
    <w:rsid w:val="00C45916"/>
    <w:rsid w:val="00C63F63"/>
    <w:rsid w:val="00C63F6D"/>
    <w:rsid w:val="00C65FD5"/>
    <w:rsid w:val="00C768A1"/>
    <w:rsid w:val="00C804AB"/>
    <w:rsid w:val="00C8189C"/>
    <w:rsid w:val="00C9160E"/>
    <w:rsid w:val="00C923AC"/>
    <w:rsid w:val="00CA427B"/>
    <w:rsid w:val="00CA574F"/>
    <w:rsid w:val="00CB0126"/>
    <w:rsid w:val="00CB0426"/>
    <w:rsid w:val="00CB55BA"/>
    <w:rsid w:val="00CD1F0D"/>
    <w:rsid w:val="00CD2F8A"/>
    <w:rsid w:val="00CE1247"/>
    <w:rsid w:val="00CF1946"/>
    <w:rsid w:val="00CF5106"/>
    <w:rsid w:val="00CF541D"/>
    <w:rsid w:val="00CF789E"/>
    <w:rsid w:val="00D035A0"/>
    <w:rsid w:val="00D07042"/>
    <w:rsid w:val="00D119BF"/>
    <w:rsid w:val="00D11F2E"/>
    <w:rsid w:val="00D16327"/>
    <w:rsid w:val="00D173D2"/>
    <w:rsid w:val="00D25088"/>
    <w:rsid w:val="00D33A72"/>
    <w:rsid w:val="00D3726E"/>
    <w:rsid w:val="00D42806"/>
    <w:rsid w:val="00D45722"/>
    <w:rsid w:val="00D53DDA"/>
    <w:rsid w:val="00D549FF"/>
    <w:rsid w:val="00D63078"/>
    <w:rsid w:val="00D85BE8"/>
    <w:rsid w:val="00D86330"/>
    <w:rsid w:val="00D9125D"/>
    <w:rsid w:val="00D91F3C"/>
    <w:rsid w:val="00DA2691"/>
    <w:rsid w:val="00DA7864"/>
    <w:rsid w:val="00DB1A90"/>
    <w:rsid w:val="00DC123D"/>
    <w:rsid w:val="00DC7FF7"/>
    <w:rsid w:val="00DD06C1"/>
    <w:rsid w:val="00DE27D9"/>
    <w:rsid w:val="00DE4469"/>
    <w:rsid w:val="00DE49ED"/>
    <w:rsid w:val="00DE7252"/>
    <w:rsid w:val="00DF04E1"/>
    <w:rsid w:val="00DF39B6"/>
    <w:rsid w:val="00DF4854"/>
    <w:rsid w:val="00DF69F7"/>
    <w:rsid w:val="00E1649C"/>
    <w:rsid w:val="00E249E7"/>
    <w:rsid w:val="00E31884"/>
    <w:rsid w:val="00E32EB4"/>
    <w:rsid w:val="00E50337"/>
    <w:rsid w:val="00E53FC0"/>
    <w:rsid w:val="00E5668A"/>
    <w:rsid w:val="00E848CD"/>
    <w:rsid w:val="00E86EB4"/>
    <w:rsid w:val="00E91985"/>
    <w:rsid w:val="00E93008"/>
    <w:rsid w:val="00E9558B"/>
    <w:rsid w:val="00EA6158"/>
    <w:rsid w:val="00EA6E6E"/>
    <w:rsid w:val="00EB6B22"/>
    <w:rsid w:val="00EC0D46"/>
    <w:rsid w:val="00EC2889"/>
    <w:rsid w:val="00EC2D0E"/>
    <w:rsid w:val="00EC41EC"/>
    <w:rsid w:val="00ED19E7"/>
    <w:rsid w:val="00ED3587"/>
    <w:rsid w:val="00ED416E"/>
    <w:rsid w:val="00ED7BE6"/>
    <w:rsid w:val="00F05BD1"/>
    <w:rsid w:val="00F05DC5"/>
    <w:rsid w:val="00F115DA"/>
    <w:rsid w:val="00F15AF2"/>
    <w:rsid w:val="00F16A4C"/>
    <w:rsid w:val="00F16BD8"/>
    <w:rsid w:val="00F26AC6"/>
    <w:rsid w:val="00F4337C"/>
    <w:rsid w:val="00F6015C"/>
    <w:rsid w:val="00F621D0"/>
    <w:rsid w:val="00F7737D"/>
    <w:rsid w:val="00F8525A"/>
    <w:rsid w:val="00F9414C"/>
    <w:rsid w:val="00FB2EF9"/>
    <w:rsid w:val="00FD703A"/>
    <w:rsid w:val="00FD72F2"/>
    <w:rsid w:val="00FD7E93"/>
    <w:rsid w:val="00FF15B1"/>
    <w:rsid w:val="00FF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0"/>
    <w:pPr>
      <w:spacing w:after="0" w:line="240" w:lineRule="auto"/>
    </w:pPr>
  </w:style>
  <w:style w:type="paragraph" w:styleId="Heading1">
    <w:name w:val="heading 1"/>
    <w:basedOn w:val="Normal"/>
    <w:next w:val="Normal"/>
    <w:link w:val="Heading1Char"/>
    <w:qFormat/>
    <w:rsid w:val="00B10C9B"/>
    <w:pPr>
      <w:numPr>
        <w:numId w:val="10"/>
      </w:numPr>
      <w:tabs>
        <w:tab w:val="clear" w:pos="720"/>
      </w:tabs>
      <w:spacing w:after="240"/>
      <w:jc w:val="both"/>
      <w:outlineLvl w:val="0"/>
    </w:pPr>
    <w:rPr>
      <w:rFonts w:cs="Arial"/>
      <w:b/>
      <w:caps/>
      <w:u w:val="single"/>
    </w:rPr>
  </w:style>
  <w:style w:type="paragraph" w:styleId="Heading2">
    <w:name w:val="heading 2"/>
    <w:basedOn w:val="Normal"/>
    <w:next w:val="Normal"/>
    <w:link w:val="Heading2Char"/>
    <w:uiPriority w:val="9"/>
    <w:unhideWhenUsed/>
    <w:qFormat/>
    <w:rsid w:val="00B10C9B"/>
    <w:pPr>
      <w:numPr>
        <w:ilvl w:val="1"/>
        <w:numId w:val="10"/>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B10C9B"/>
    <w:pPr>
      <w:numPr>
        <w:ilvl w:val="2"/>
        <w:numId w:val="10"/>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B10C9B"/>
    <w:pPr>
      <w:numPr>
        <w:ilvl w:val="3"/>
        <w:numId w:val="10"/>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B10C9B"/>
    <w:pPr>
      <w:numPr>
        <w:ilvl w:val="4"/>
        <w:numId w:val="10"/>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B10C9B"/>
    <w:pPr>
      <w:numPr>
        <w:ilvl w:val="5"/>
        <w:numId w:val="10"/>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B10C9B"/>
    <w:pPr>
      <w:numPr>
        <w:ilvl w:val="6"/>
        <w:numId w:val="10"/>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B10C9B"/>
    <w:pPr>
      <w:numPr>
        <w:ilvl w:val="7"/>
        <w:numId w:val="10"/>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B10C9B"/>
    <w:pPr>
      <w:numPr>
        <w:ilvl w:val="8"/>
        <w:numId w:val="10"/>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C9B"/>
    <w:rPr>
      <w:rFonts w:cs="Arial"/>
      <w:b/>
      <w:caps/>
      <w:u w:val="single"/>
    </w:rPr>
  </w:style>
  <w:style w:type="paragraph" w:styleId="Title">
    <w:name w:val="Title"/>
    <w:basedOn w:val="Normal"/>
    <w:link w:val="TitleChar"/>
    <w:qFormat/>
    <w:rsid w:val="004A6E10"/>
    <w:pPr>
      <w:jc w:val="center"/>
    </w:pPr>
    <w:rPr>
      <w:rFonts w:cs="Arial"/>
      <w:b/>
      <w:smallCaps/>
      <w:sz w:val="32"/>
    </w:rPr>
  </w:style>
  <w:style w:type="character" w:customStyle="1" w:styleId="TitleChar">
    <w:name w:val="Title Char"/>
    <w:basedOn w:val="DefaultParagraphFont"/>
    <w:link w:val="Title"/>
    <w:rsid w:val="004A6E10"/>
    <w:rPr>
      <w:rFonts w:eastAsia="Times New Roman" w:cs="Arial"/>
      <w:b/>
      <w:smallCaps/>
      <w:sz w:val="32"/>
      <w:szCs w:val="24"/>
    </w:rPr>
  </w:style>
  <w:style w:type="paragraph" w:styleId="BodyText">
    <w:name w:val="Body Text"/>
    <w:basedOn w:val="Normal"/>
    <w:link w:val="BodyTextChar"/>
    <w:semiHidden/>
    <w:unhideWhenUsed/>
    <w:rsid w:val="004A6E10"/>
    <w:pPr>
      <w:jc w:val="both"/>
    </w:pPr>
    <w:rPr>
      <w:rFonts w:cs="Arial"/>
    </w:rPr>
  </w:style>
  <w:style w:type="character" w:customStyle="1" w:styleId="BodyTextChar">
    <w:name w:val="Body Text Char"/>
    <w:basedOn w:val="DefaultParagraphFont"/>
    <w:link w:val="BodyText"/>
    <w:semiHidden/>
    <w:rsid w:val="004A6E10"/>
    <w:rPr>
      <w:rFonts w:eastAsia="Times New Roman" w:cs="Arial"/>
      <w:szCs w:val="24"/>
    </w:rPr>
  </w:style>
  <w:style w:type="paragraph" w:styleId="BodyTextIndent">
    <w:name w:val="Body Text Indent"/>
    <w:basedOn w:val="Normal"/>
    <w:link w:val="BodyTextIndentChar"/>
    <w:semiHidden/>
    <w:unhideWhenUsed/>
    <w:rsid w:val="004A6E10"/>
    <w:pPr>
      <w:ind w:firstLine="720"/>
      <w:jc w:val="both"/>
    </w:pPr>
    <w:rPr>
      <w:rFonts w:cs="Arial"/>
    </w:rPr>
  </w:style>
  <w:style w:type="character" w:customStyle="1" w:styleId="BodyTextIndentChar">
    <w:name w:val="Body Text Indent Char"/>
    <w:basedOn w:val="DefaultParagraphFont"/>
    <w:link w:val="BodyTextIndent"/>
    <w:semiHidden/>
    <w:rsid w:val="004A6E10"/>
    <w:rPr>
      <w:rFonts w:eastAsia="Times New Roman" w:cs="Arial"/>
      <w:szCs w:val="24"/>
    </w:rPr>
  </w:style>
  <w:style w:type="paragraph" w:styleId="BodyText3">
    <w:name w:val="Body Text 3"/>
    <w:basedOn w:val="Normal"/>
    <w:link w:val="BodyText3Char"/>
    <w:semiHidden/>
    <w:unhideWhenUsed/>
    <w:rsid w:val="004A6E10"/>
    <w:rPr>
      <w:b/>
      <w:szCs w:val="20"/>
    </w:rPr>
  </w:style>
  <w:style w:type="character" w:customStyle="1" w:styleId="BodyText3Char">
    <w:name w:val="Body Text 3 Char"/>
    <w:basedOn w:val="DefaultParagraphFont"/>
    <w:link w:val="BodyText3"/>
    <w:semiHidden/>
    <w:rsid w:val="004A6E10"/>
    <w:rPr>
      <w:rFonts w:ascii="Times New Roman" w:eastAsia="Times New Roman" w:hAnsi="Times New Roman" w:cs="Times New Roman"/>
      <w:b/>
      <w:szCs w:val="20"/>
    </w:rPr>
  </w:style>
  <w:style w:type="paragraph" w:styleId="BodyTextIndent2">
    <w:name w:val="Body Text Indent 2"/>
    <w:basedOn w:val="Normal"/>
    <w:link w:val="BodyTextIndent2Char"/>
    <w:semiHidden/>
    <w:unhideWhenUsed/>
    <w:rsid w:val="004A6E10"/>
    <w:pPr>
      <w:ind w:left="4920"/>
      <w:jc w:val="both"/>
    </w:pPr>
    <w:rPr>
      <w:rFonts w:cs="Arial"/>
      <w:sz w:val="21"/>
    </w:rPr>
  </w:style>
  <w:style w:type="character" w:customStyle="1" w:styleId="BodyTextIndent2Char">
    <w:name w:val="Body Text Indent 2 Char"/>
    <w:basedOn w:val="DefaultParagraphFont"/>
    <w:link w:val="BodyTextIndent2"/>
    <w:semiHidden/>
    <w:rsid w:val="004A6E10"/>
    <w:rPr>
      <w:rFonts w:eastAsia="Times New Roman" w:cs="Arial"/>
      <w:sz w:val="21"/>
      <w:szCs w:val="24"/>
    </w:rPr>
  </w:style>
  <w:style w:type="paragraph" w:styleId="ListParagraph">
    <w:name w:val="List Paragraph"/>
    <w:basedOn w:val="Normal"/>
    <w:uiPriority w:val="34"/>
    <w:qFormat/>
    <w:rsid w:val="004A6E10"/>
    <w:pPr>
      <w:ind w:left="720"/>
      <w:contextualSpacing/>
    </w:pPr>
  </w:style>
  <w:style w:type="paragraph" w:styleId="Header">
    <w:name w:val="header"/>
    <w:basedOn w:val="Normal"/>
    <w:link w:val="HeaderChar"/>
    <w:uiPriority w:val="99"/>
    <w:unhideWhenUsed/>
    <w:rsid w:val="004A6E10"/>
    <w:pPr>
      <w:tabs>
        <w:tab w:val="center" w:pos="4680"/>
        <w:tab w:val="right" w:pos="9360"/>
      </w:tabs>
    </w:pPr>
  </w:style>
  <w:style w:type="character" w:customStyle="1" w:styleId="HeaderChar">
    <w:name w:val="Header Char"/>
    <w:basedOn w:val="DefaultParagraphFont"/>
    <w:link w:val="Header"/>
    <w:uiPriority w:val="99"/>
    <w:rsid w:val="004A6E10"/>
    <w:rPr>
      <w:rFonts w:ascii="Times New Roman" w:eastAsia="Times New Roman" w:hAnsi="Times New Roman" w:cs="Times New Roman"/>
      <w:szCs w:val="24"/>
    </w:rPr>
  </w:style>
  <w:style w:type="paragraph" w:styleId="Footer">
    <w:name w:val="footer"/>
    <w:basedOn w:val="Normal"/>
    <w:link w:val="FooterChar"/>
    <w:uiPriority w:val="99"/>
    <w:unhideWhenUsed/>
    <w:rsid w:val="004A6E10"/>
    <w:pPr>
      <w:tabs>
        <w:tab w:val="center" w:pos="4680"/>
        <w:tab w:val="right" w:pos="9360"/>
      </w:tabs>
    </w:pPr>
  </w:style>
  <w:style w:type="character" w:customStyle="1" w:styleId="FooterChar">
    <w:name w:val="Footer Char"/>
    <w:basedOn w:val="DefaultParagraphFont"/>
    <w:link w:val="Footer"/>
    <w:uiPriority w:val="99"/>
    <w:rsid w:val="004A6E10"/>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97797"/>
    <w:rPr>
      <w:sz w:val="20"/>
      <w:szCs w:val="20"/>
    </w:rPr>
  </w:style>
  <w:style w:type="character" w:customStyle="1" w:styleId="FootnoteTextChar">
    <w:name w:val="Footnote Text Char"/>
    <w:basedOn w:val="DefaultParagraphFont"/>
    <w:link w:val="FootnoteText"/>
    <w:uiPriority w:val="99"/>
    <w:semiHidden/>
    <w:rsid w:val="005977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797"/>
    <w:rPr>
      <w:vertAlign w:val="superscript"/>
    </w:rPr>
  </w:style>
  <w:style w:type="character" w:customStyle="1" w:styleId="ft">
    <w:name w:val="ft"/>
    <w:basedOn w:val="DefaultParagraphFont"/>
    <w:rsid w:val="00597797"/>
  </w:style>
  <w:style w:type="paragraph" w:styleId="BalloonText">
    <w:name w:val="Balloon Text"/>
    <w:basedOn w:val="Normal"/>
    <w:link w:val="BalloonTextChar"/>
    <w:uiPriority w:val="99"/>
    <w:semiHidden/>
    <w:unhideWhenUsed/>
    <w:rsid w:val="00027845"/>
    <w:rPr>
      <w:rFonts w:ascii="Tahoma" w:hAnsi="Tahoma" w:cs="Tahoma"/>
      <w:sz w:val="16"/>
      <w:szCs w:val="16"/>
    </w:rPr>
  </w:style>
  <w:style w:type="character" w:customStyle="1" w:styleId="BalloonTextChar">
    <w:name w:val="Balloon Text Char"/>
    <w:basedOn w:val="DefaultParagraphFont"/>
    <w:link w:val="BalloonText"/>
    <w:uiPriority w:val="99"/>
    <w:semiHidden/>
    <w:rsid w:val="00027845"/>
    <w:rPr>
      <w:rFonts w:ascii="Tahoma" w:hAnsi="Tahoma" w:cs="Tahoma"/>
      <w:sz w:val="16"/>
      <w:szCs w:val="16"/>
    </w:rPr>
  </w:style>
  <w:style w:type="character" w:customStyle="1" w:styleId="Heading4Char">
    <w:name w:val="Heading 4 Char"/>
    <w:basedOn w:val="DefaultParagraphFont"/>
    <w:link w:val="Heading4"/>
    <w:uiPriority w:val="9"/>
    <w:semiHidden/>
    <w:rsid w:val="00B10C9B"/>
    <w:rPr>
      <w:rFonts w:eastAsiaTheme="majorEastAsia" w:cs="Arial"/>
      <w:b/>
      <w:bCs/>
      <w:i/>
      <w:iCs/>
    </w:rPr>
  </w:style>
  <w:style w:type="paragraph" w:styleId="NormalWeb">
    <w:name w:val="Normal (Web)"/>
    <w:basedOn w:val="Normal"/>
    <w:uiPriority w:val="99"/>
    <w:semiHidden/>
    <w:unhideWhenUsed/>
    <w:rsid w:val="002957E3"/>
    <w:rPr>
      <w:rFonts w:ascii="Times New Roman" w:eastAsia="Times New Roman" w:hAnsi="Times New Roman"/>
    </w:rPr>
  </w:style>
  <w:style w:type="character" w:customStyle="1" w:styleId="Heading9Char">
    <w:name w:val="Heading 9 Char"/>
    <w:basedOn w:val="DefaultParagraphFont"/>
    <w:link w:val="Heading9"/>
    <w:uiPriority w:val="9"/>
    <w:semiHidden/>
    <w:rsid w:val="00B10C9B"/>
    <w:rPr>
      <w:rFonts w:asciiTheme="majorHAnsi" w:eastAsiaTheme="majorEastAsia" w:hAnsiTheme="majorHAnsi" w:cs="Arial"/>
      <w:iCs/>
      <w:color w:val="404040" w:themeColor="text1" w:themeTint="BF"/>
      <w:szCs w:val="20"/>
    </w:rPr>
  </w:style>
  <w:style w:type="character" w:styleId="Hyperlink">
    <w:name w:val="Hyperlink"/>
    <w:basedOn w:val="DefaultParagraphFont"/>
    <w:uiPriority w:val="99"/>
    <w:unhideWhenUsed/>
    <w:rsid w:val="00806AC4"/>
    <w:rPr>
      <w:color w:val="0000FF" w:themeColor="hyperlink"/>
      <w:u w:val="single"/>
    </w:rPr>
  </w:style>
  <w:style w:type="character" w:customStyle="1" w:styleId="Heading2Char">
    <w:name w:val="Heading 2 Char"/>
    <w:basedOn w:val="DefaultParagraphFont"/>
    <w:link w:val="Heading2"/>
    <w:uiPriority w:val="9"/>
    <w:rsid w:val="00B10C9B"/>
    <w:rPr>
      <w:rFonts w:eastAsiaTheme="majorEastAsia" w:cs="Arial"/>
      <w:b/>
      <w:bCs/>
      <w:szCs w:val="26"/>
    </w:rPr>
  </w:style>
  <w:style w:type="character" w:customStyle="1" w:styleId="Heading3Char">
    <w:name w:val="Heading 3 Char"/>
    <w:basedOn w:val="DefaultParagraphFont"/>
    <w:link w:val="Heading3"/>
    <w:uiPriority w:val="9"/>
    <w:rsid w:val="00B10C9B"/>
    <w:rPr>
      <w:rFonts w:eastAsiaTheme="majorEastAsia" w:cs="Arial"/>
      <w:b/>
      <w:bCs/>
    </w:rPr>
  </w:style>
  <w:style w:type="character" w:customStyle="1" w:styleId="Heading5Char">
    <w:name w:val="Heading 5 Char"/>
    <w:basedOn w:val="DefaultParagraphFont"/>
    <w:link w:val="Heading5"/>
    <w:uiPriority w:val="9"/>
    <w:semiHidden/>
    <w:rsid w:val="00B10C9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B10C9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B10C9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B10C9B"/>
    <w:rPr>
      <w:rFonts w:asciiTheme="majorHAnsi" w:eastAsiaTheme="majorEastAsia" w:hAnsiTheme="majorHAnsi" w:cs="Arial"/>
      <w:color w:val="404040" w:themeColor="text1" w:themeTint="BF"/>
      <w:szCs w:val="20"/>
    </w:rPr>
  </w:style>
  <w:style w:type="paragraph" w:styleId="TOCHeading">
    <w:name w:val="TOC Heading"/>
    <w:basedOn w:val="Normal"/>
    <w:next w:val="TOC1"/>
    <w:uiPriority w:val="39"/>
    <w:unhideWhenUsed/>
    <w:qFormat/>
    <w:rsid w:val="00BD2496"/>
    <w:pPr>
      <w:keepNext/>
      <w:keepLines/>
      <w:spacing w:before="480" w:after="240"/>
      <w:jc w:val="center"/>
    </w:pPr>
    <w:rPr>
      <w:rFonts w:eastAsiaTheme="majorEastAsia" w:cs="Arial"/>
      <w:b/>
      <w:bCs/>
      <w:color w:val="365F91" w:themeColor="accent1" w:themeShade="BF"/>
      <w:szCs w:val="28"/>
    </w:rPr>
  </w:style>
  <w:style w:type="paragraph" w:styleId="TOC1">
    <w:name w:val="toc 1"/>
    <w:basedOn w:val="Normal"/>
    <w:next w:val="Normal"/>
    <w:autoRedefine/>
    <w:uiPriority w:val="39"/>
    <w:unhideWhenUsed/>
    <w:rsid w:val="00866E97"/>
    <w:pPr>
      <w:tabs>
        <w:tab w:val="right" w:leader="dot" w:pos="9406"/>
      </w:tabs>
      <w:spacing w:after="100"/>
      <w:ind w:left="720" w:hanging="720"/>
    </w:pPr>
  </w:style>
  <w:style w:type="paragraph" w:styleId="TOC2">
    <w:name w:val="toc 2"/>
    <w:basedOn w:val="Normal"/>
    <w:next w:val="Normal"/>
    <w:autoRedefine/>
    <w:uiPriority w:val="39"/>
    <w:unhideWhenUsed/>
    <w:rsid w:val="00866E97"/>
    <w:pPr>
      <w:tabs>
        <w:tab w:val="left" w:pos="1440"/>
        <w:tab w:val="right" w:leader="dot" w:pos="9406"/>
      </w:tabs>
      <w:spacing w:after="100"/>
      <w:ind w:left="1440" w:hanging="720"/>
      <w:jc w:val="both"/>
    </w:pPr>
  </w:style>
  <w:style w:type="paragraph" w:styleId="TOC3">
    <w:name w:val="toc 3"/>
    <w:basedOn w:val="Normal"/>
    <w:next w:val="Normal"/>
    <w:autoRedefine/>
    <w:uiPriority w:val="39"/>
    <w:unhideWhenUsed/>
    <w:rsid w:val="0016796A"/>
    <w:pPr>
      <w:tabs>
        <w:tab w:val="left" w:pos="1440"/>
        <w:tab w:val="left" w:pos="1800"/>
        <w:tab w:val="right" w:leader="dot" w:pos="9350"/>
      </w:tabs>
      <w:spacing w:after="100"/>
      <w:ind w:left="1440" w:hanging="960"/>
    </w:pPr>
  </w:style>
  <w:style w:type="paragraph" w:styleId="TOC4">
    <w:name w:val="toc 4"/>
    <w:basedOn w:val="Normal"/>
    <w:next w:val="Normal"/>
    <w:autoRedefine/>
    <w:uiPriority w:val="39"/>
    <w:semiHidden/>
    <w:unhideWhenUsed/>
    <w:rsid w:val="00BD2496"/>
    <w:pPr>
      <w:spacing w:after="100"/>
      <w:ind w:left="720"/>
    </w:pPr>
  </w:style>
  <w:style w:type="paragraph" w:styleId="TOC5">
    <w:name w:val="toc 5"/>
    <w:basedOn w:val="Normal"/>
    <w:next w:val="Normal"/>
    <w:autoRedefine/>
    <w:uiPriority w:val="39"/>
    <w:semiHidden/>
    <w:unhideWhenUsed/>
    <w:rsid w:val="00BD2496"/>
    <w:pPr>
      <w:spacing w:after="100"/>
      <w:ind w:left="960"/>
    </w:pPr>
  </w:style>
  <w:style w:type="paragraph" w:styleId="TOC6">
    <w:name w:val="toc 6"/>
    <w:basedOn w:val="Normal"/>
    <w:next w:val="Normal"/>
    <w:autoRedefine/>
    <w:uiPriority w:val="39"/>
    <w:semiHidden/>
    <w:unhideWhenUsed/>
    <w:rsid w:val="00BD2496"/>
    <w:pPr>
      <w:spacing w:after="100"/>
      <w:ind w:left="1200"/>
    </w:pPr>
  </w:style>
  <w:style w:type="paragraph" w:styleId="TOC7">
    <w:name w:val="toc 7"/>
    <w:basedOn w:val="Normal"/>
    <w:next w:val="Normal"/>
    <w:autoRedefine/>
    <w:uiPriority w:val="39"/>
    <w:semiHidden/>
    <w:unhideWhenUsed/>
    <w:rsid w:val="00BD2496"/>
    <w:pPr>
      <w:spacing w:after="100"/>
      <w:ind w:left="1440"/>
    </w:pPr>
  </w:style>
  <w:style w:type="paragraph" w:styleId="TOC8">
    <w:name w:val="toc 8"/>
    <w:basedOn w:val="Normal"/>
    <w:next w:val="Normal"/>
    <w:autoRedefine/>
    <w:uiPriority w:val="39"/>
    <w:semiHidden/>
    <w:unhideWhenUsed/>
    <w:rsid w:val="00BD2496"/>
    <w:pPr>
      <w:spacing w:after="100"/>
      <w:ind w:left="1680"/>
    </w:pPr>
  </w:style>
  <w:style w:type="paragraph" w:styleId="TOC9">
    <w:name w:val="toc 9"/>
    <w:basedOn w:val="Normal"/>
    <w:next w:val="Normal"/>
    <w:autoRedefine/>
    <w:uiPriority w:val="39"/>
    <w:semiHidden/>
    <w:unhideWhenUsed/>
    <w:rsid w:val="00BD2496"/>
    <w:pPr>
      <w:spacing w:after="100"/>
      <w:ind w:left="1920"/>
    </w:pPr>
  </w:style>
  <w:style w:type="paragraph" w:customStyle="1" w:styleId="TOCPage">
    <w:name w:val="TOC Page"/>
    <w:basedOn w:val="Normal"/>
    <w:next w:val="Normal"/>
    <w:link w:val="TOCPageChar"/>
    <w:rsid w:val="00BD2496"/>
    <w:pPr>
      <w:autoSpaceDE w:val="0"/>
      <w:autoSpaceDN w:val="0"/>
      <w:adjustRightInd w:val="0"/>
      <w:spacing w:after="240"/>
      <w:ind w:left="4140" w:hanging="4140"/>
      <w:jc w:val="right"/>
    </w:pPr>
    <w:rPr>
      <w:rFonts w:cs="Arial"/>
      <w:b/>
      <w:smallCaps/>
    </w:rPr>
  </w:style>
  <w:style w:type="character" w:customStyle="1" w:styleId="TOCPageChar">
    <w:name w:val="TOC Page Char"/>
    <w:basedOn w:val="DefaultParagraphFont"/>
    <w:link w:val="TOCPage"/>
    <w:rsid w:val="00BD2496"/>
    <w:rPr>
      <w:rFonts w:cs="Arial"/>
      <w:b/>
      <w:smallCaps/>
    </w:rPr>
  </w:style>
  <w:style w:type="character" w:styleId="CommentReference">
    <w:name w:val="annotation reference"/>
    <w:basedOn w:val="DefaultParagraphFont"/>
    <w:uiPriority w:val="99"/>
    <w:semiHidden/>
    <w:unhideWhenUsed/>
    <w:rsid w:val="00021D19"/>
    <w:rPr>
      <w:sz w:val="16"/>
      <w:szCs w:val="16"/>
    </w:rPr>
  </w:style>
  <w:style w:type="paragraph" w:styleId="CommentText">
    <w:name w:val="annotation text"/>
    <w:basedOn w:val="Normal"/>
    <w:link w:val="CommentTextChar"/>
    <w:uiPriority w:val="99"/>
    <w:semiHidden/>
    <w:unhideWhenUsed/>
    <w:rsid w:val="00021D19"/>
    <w:rPr>
      <w:sz w:val="20"/>
      <w:szCs w:val="20"/>
    </w:rPr>
  </w:style>
  <w:style w:type="character" w:customStyle="1" w:styleId="CommentTextChar">
    <w:name w:val="Comment Text Char"/>
    <w:basedOn w:val="DefaultParagraphFont"/>
    <w:link w:val="CommentText"/>
    <w:uiPriority w:val="99"/>
    <w:semiHidden/>
    <w:rsid w:val="00021D19"/>
    <w:rPr>
      <w:sz w:val="20"/>
      <w:szCs w:val="20"/>
    </w:rPr>
  </w:style>
  <w:style w:type="paragraph" w:styleId="CommentSubject">
    <w:name w:val="annotation subject"/>
    <w:basedOn w:val="CommentText"/>
    <w:next w:val="CommentText"/>
    <w:link w:val="CommentSubjectChar"/>
    <w:uiPriority w:val="99"/>
    <w:semiHidden/>
    <w:unhideWhenUsed/>
    <w:rsid w:val="00021D19"/>
    <w:rPr>
      <w:b/>
      <w:bCs/>
    </w:rPr>
  </w:style>
  <w:style w:type="character" w:customStyle="1" w:styleId="CommentSubjectChar">
    <w:name w:val="Comment Subject Char"/>
    <w:basedOn w:val="CommentTextChar"/>
    <w:link w:val="CommentSubject"/>
    <w:uiPriority w:val="99"/>
    <w:semiHidden/>
    <w:rsid w:val="00021D1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E10"/>
    <w:pPr>
      <w:spacing w:after="0" w:line="240" w:lineRule="auto"/>
    </w:pPr>
  </w:style>
  <w:style w:type="paragraph" w:styleId="Heading1">
    <w:name w:val="heading 1"/>
    <w:basedOn w:val="Normal"/>
    <w:next w:val="Normal"/>
    <w:link w:val="Heading1Char"/>
    <w:qFormat/>
    <w:rsid w:val="00B10C9B"/>
    <w:pPr>
      <w:numPr>
        <w:numId w:val="10"/>
      </w:numPr>
      <w:tabs>
        <w:tab w:val="clear" w:pos="720"/>
      </w:tabs>
      <w:spacing w:after="240"/>
      <w:jc w:val="both"/>
      <w:outlineLvl w:val="0"/>
    </w:pPr>
    <w:rPr>
      <w:rFonts w:cs="Arial"/>
      <w:b/>
      <w:caps/>
      <w:u w:val="single"/>
    </w:rPr>
  </w:style>
  <w:style w:type="paragraph" w:styleId="Heading2">
    <w:name w:val="heading 2"/>
    <w:basedOn w:val="Normal"/>
    <w:next w:val="Normal"/>
    <w:link w:val="Heading2Char"/>
    <w:uiPriority w:val="9"/>
    <w:unhideWhenUsed/>
    <w:qFormat/>
    <w:rsid w:val="00B10C9B"/>
    <w:pPr>
      <w:numPr>
        <w:ilvl w:val="1"/>
        <w:numId w:val="10"/>
      </w:numPr>
      <w:spacing w:after="240"/>
      <w:jc w:val="both"/>
      <w:outlineLvl w:val="1"/>
    </w:pPr>
    <w:rPr>
      <w:rFonts w:eastAsiaTheme="majorEastAsia" w:cs="Arial"/>
      <w:b/>
      <w:bCs/>
      <w:szCs w:val="26"/>
    </w:rPr>
  </w:style>
  <w:style w:type="paragraph" w:styleId="Heading3">
    <w:name w:val="heading 3"/>
    <w:basedOn w:val="Normal"/>
    <w:next w:val="Normal"/>
    <w:link w:val="Heading3Char"/>
    <w:uiPriority w:val="9"/>
    <w:unhideWhenUsed/>
    <w:qFormat/>
    <w:rsid w:val="00B10C9B"/>
    <w:pPr>
      <w:numPr>
        <w:ilvl w:val="2"/>
        <w:numId w:val="10"/>
      </w:numPr>
      <w:spacing w:after="240"/>
      <w:jc w:val="both"/>
      <w:outlineLvl w:val="2"/>
    </w:pPr>
    <w:rPr>
      <w:rFonts w:eastAsiaTheme="majorEastAsia" w:cs="Arial"/>
      <w:b/>
      <w:bCs/>
    </w:rPr>
  </w:style>
  <w:style w:type="paragraph" w:styleId="Heading4">
    <w:name w:val="heading 4"/>
    <w:basedOn w:val="Normal"/>
    <w:next w:val="Normal"/>
    <w:link w:val="Heading4Char"/>
    <w:uiPriority w:val="9"/>
    <w:semiHidden/>
    <w:unhideWhenUsed/>
    <w:qFormat/>
    <w:rsid w:val="00B10C9B"/>
    <w:pPr>
      <w:numPr>
        <w:ilvl w:val="3"/>
        <w:numId w:val="10"/>
      </w:numPr>
      <w:spacing w:after="240"/>
      <w:jc w:val="both"/>
      <w:outlineLvl w:val="3"/>
    </w:pPr>
    <w:rPr>
      <w:rFonts w:eastAsiaTheme="majorEastAsia" w:cs="Arial"/>
      <w:b/>
      <w:bCs/>
      <w:i/>
      <w:iCs/>
    </w:rPr>
  </w:style>
  <w:style w:type="paragraph" w:styleId="Heading5">
    <w:name w:val="heading 5"/>
    <w:basedOn w:val="Normal"/>
    <w:next w:val="Normal"/>
    <w:link w:val="Heading5Char"/>
    <w:uiPriority w:val="9"/>
    <w:semiHidden/>
    <w:unhideWhenUsed/>
    <w:qFormat/>
    <w:rsid w:val="00B10C9B"/>
    <w:pPr>
      <w:numPr>
        <w:ilvl w:val="4"/>
        <w:numId w:val="10"/>
      </w:numPr>
      <w:spacing w:after="240"/>
      <w:jc w:val="both"/>
      <w:outlineLvl w:val="4"/>
    </w:pPr>
    <w:rPr>
      <w:rFonts w:asciiTheme="majorHAnsi" w:eastAsiaTheme="majorEastAsia" w:hAnsiTheme="majorHAnsi" w:cs="Arial"/>
      <w:color w:val="243F60" w:themeColor="accent1" w:themeShade="7F"/>
    </w:rPr>
  </w:style>
  <w:style w:type="paragraph" w:styleId="Heading6">
    <w:name w:val="heading 6"/>
    <w:basedOn w:val="Normal"/>
    <w:next w:val="Normal"/>
    <w:link w:val="Heading6Char"/>
    <w:uiPriority w:val="9"/>
    <w:semiHidden/>
    <w:unhideWhenUsed/>
    <w:qFormat/>
    <w:rsid w:val="00B10C9B"/>
    <w:pPr>
      <w:numPr>
        <w:ilvl w:val="5"/>
        <w:numId w:val="10"/>
      </w:numPr>
      <w:spacing w:after="240"/>
      <w:jc w:val="both"/>
      <w:outlineLvl w:val="5"/>
    </w:pPr>
    <w:rPr>
      <w:rFonts w:asciiTheme="majorHAnsi" w:eastAsiaTheme="majorEastAsia" w:hAnsiTheme="majorHAnsi" w:cs="Arial"/>
      <w:iCs/>
      <w:color w:val="243F60" w:themeColor="accent1" w:themeShade="7F"/>
    </w:rPr>
  </w:style>
  <w:style w:type="paragraph" w:styleId="Heading7">
    <w:name w:val="heading 7"/>
    <w:basedOn w:val="Normal"/>
    <w:next w:val="Normal"/>
    <w:link w:val="Heading7Char"/>
    <w:uiPriority w:val="9"/>
    <w:semiHidden/>
    <w:unhideWhenUsed/>
    <w:qFormat/>
    <w:rsid w:val="00B10C9B"/>
    <w:pPr>
      <w:numPr>
        <w:ilvl w:val="6"/>
        <w:numId w:val="10"/>
      </w:numPr>
      <w:spacing w:after="240"/>
      <w:jc w:val="both"/>
      <w:outlineLvl w:val="6"/>
    </w:pPr>
    <w:rPr>
      <w:rFonts w:asciiTheme="majorHAnsi" w:eastAsiaTheme="majorEastAsia" w:hAnsiTheme="majorHAnsi" w:cs="Arial"/>
      <w:iCs/>
      <w:color w:val="404040" w:themeColor="text1" w:themeTint="BF"/>
    </w:rPr>
  </w:style>
  <w:style w:type="paragraph" w:styleId="Heading8">
    <w:name w:val="heading 8"/>
    <w:basedOn w:val="Normal"/>
    <w:next w:val="Normal"/>
    <w:link w:val="Heading8Char"/>
    <w:uiPriority w:val="9"/>
    <w:semiHidden/>
    <w:unhideWhenUsed/>
    <w:qFormat/>
    <w:rsid w:val="00B10C9B"/>
    <w:pPr>
      <w:numPr>
        <w:ilvl w:val="7"/>
        <w:numId w:val="10"/>
      </w:numPr>
      <w:spacing w:after="240"/>
      <w:jc w:val="both"/>
      <w:outlineLvl w:val="7"/>
    </w:pPr>
    <w:rPr>
      <w:rFonts w:asciiTheme="majorHAnsi" w:eastAsiaTheme="majorEastAsia" w:hAnsiTheme="majorHAnsi" w:cs="Arial"/>
      <w:color w:val="404040" w:themeColor="text1" w:themeTint="BF"/>
      <w:szCs w:val="20"/>
    </w:rPr>
  </w:style>
  <w:style w:type="paragraph" w:styleId="Heading9">
    <w:name w:val="heading 9"/>
    <w:basedOn w:val="Normal"/>
    <w:next w:val="Normal"/>
    <w:link w:val="Heading9Char"/>
    <w:uiPriority w:val="9"/>
    <w:semiHidden/>
    <w:unhideWhenUsed/>
    <w:qFormat/>
    <w:rsid w:val="00B10C9B"/>
    <w:pPr>
      <w:numPr>
        <w:ilvl w:val="8"/>
        <w:numId w:val="10"/>
      </w:numPr>
      <w:spacing w:after="240"/>
      <w:jc w:val="both"/>
      <w:outlineLvl w:val="8"/>
    </w:pPr>
    <w:rPr>
      <w:rFonts w:asciiTheme="majorHAnsi" w:eastAsiaTheme="majorEastAsia" w:hAnsiTheme="majorHAnsi" w:cs="Arial"/>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0C9B"/>
    <w:rPr>
      <w:rFonts w:cs="Arial"/>
      <w:b/>
      <w:caps/>
      <w:u w:val="single"/>
    </w:rPr>
  </w:style>
  <w:style w:type="paragraph" w:styleId="Title">
    <w:name w:val="Title"/>
    <w:basedOn w:val="Normal"/>
    <w:link w:val="TitleChar"/>
    <w:qFormat/>
    <w:rsid w:val="004A6E10"/>
    <w:pPr>
      <w:jc w:val="center"/>
    </w:pPr>
    <w:rPr>
      <w:rFonts w:cs="Arial"/>
      <w:b/>
      <w:smallCaps/>
      <w:sz w:val="32"/>
    </w:rPr>
  </w:style>
  <w:style w:type="character" w:customStyle="1" w:styleId="TitleChar">
    <w:name w:val="Title Char"/>
    <w:basedOn w:val="DefaultParagraphFont"/>
    <w:link w:val="Title"/>
    <w:rsid w:val="004A6E10"/>
    <w:rPr>
      <w:rFonts w:eastAsia="Times New Roman" w:cs="Arial"/>
      <w:b/>
      <w:smallCaps/>
      <w:sz w:val="32"/>
      <w:szCs w:val="24"/>
    </w:rPr>
  </w:style>
  <w:style w:type="paragraph" w:styleId="BodyText">
    <w:name w:val="Body Text"/>
    <w:basedOn w:val="Normal"/>
    <w:link w:val="BodyTextChar"/>
    <w:semiHidden/>
    <w:unhideWhenUsed/>
    <w:rsid w:val="004A6E10"/>
    <w:pPr>
      <w:jc w:val="both"/>
    </w:pPr>
    <w:rPr>
      <w:rFonts w:cs="Arial"/>
    </w:rPr>
  </w:style>
  <w:style w:type="character" w:customStyle="1" w:styleId="BodyTextChar">
    <w:name w:val="Body Text Char"/>
    <w:basedOn w:val="DefaultParagraphFont"/>
    <w:link w:val="BodyText"/>
    <w:semiHidden/>
    <w:rsid w:val="004A6E10"/>
    <w:rPr>
      <w:rFonts w:eastAsia="Times New Roman" w:cs="Arial"/>
      <w:szCs w:val="24"/>
    </w:rPr>
  </w:style>
  <w:style w:type="paragraph" w:styleId="BodyTextIndent">
    <w:name w:val="Body Text Indent"/>
    <w:basedOn w:val="Normal"/>
    <w:link w:val="BodyTextIndentChar"/>
    <w:semiHidden/>
    <w:unhideWhenUsed/>
    <w:rsid w:val="004A6E10"/>
    <w:pPr>
      <w:ind w:firstLine="720"/>
      <w:jc w:val="both"/>
    </w:pPr>
    <w:rPr>
      <w:rFonts w:cs="Arial"/>
    </w:rPr>
  </w:style>
  <w:style w:type="character" w:customStyle="1" w:styleId="BodyTextIndentChar">
    <w:name w:val="Body Text Indent Char"/>
    <w:basedOn w:val="DefaultParagraphFont"/>
    <w:link w:val="BodyTextIndent"/>
    <w:semiHidden/>
    <w:rsid w:val="004A6E10"/>
    <w:rPr>
      <w:rFonts w:eastAsia="Times New Roman" w:cs="Arial"/>
      <w:szCs w:val="24"/>
    </w:rPr>
  </w:style>
  <w:style w:type="paragraph" w:styleId="BodyText3">
    <w:name w:val="Body Text 3"/>
    <w:basedOn w:val="Normal"/>
    <w:link w:val="BodyText3Char"/>
    <w:semiHidden/>
    <w:unhideWhenUsed/>
    <w:rsid w:val="004A6E10"/>
    <w:rPr>
      <w:b/>
      <w:szCs w:val="20"/>
    </w:rPr>
  </w:style>
  <w:style w:type="character" w:customStyle="1" w:styleId="BodyText3Char">
    <w:name w:val="Body Text 3 Char"/>
    <w:basedOn w:val="DefaultParagraphFont"/>
    <w:link w:val="BodyText3"/>
    <w:semiHidden/>
    <w:rsid w:val="004A6E10"/>
    <w:rPr>
      <w:rFonts w:ascii="Times New Roman" w:eastAsia="Times New Roman" w:hAnsi="Times New Roman" w:cs="Times New Roman"/>
      <w:b/>
      <w:szCs w:val="20"/>
    </w:rPr>
  </w:style>
  <w:style w:type="paragraph" w:styleId="BodyTextIndent2">
    <w:name w:val="Body Text Indent 2"/>
    <w:basedOn w:val="Normal"/>
    <w:link w:val="BodyTextIndent2Char"/>
    <w:semiHidden/>
    <w:unhideWhenUsed/>
    <w:rsid w:val="004A6E10"/>
    <w:pPr>
      <w:ind w:left="4920"/>
      <w:jc w:val="both"/>
    </w:pPr>
    <w:rPr>
      <w:rFonts w:cs="Arial"/>
      <w:sz w:val="21"/>
    </w:rPr>
  </w:style>
  <w:style w:type="character" w:customStyle="1" w:styleId="BodyTextIndent2Char">
    <w:name w:val="Body Text Indent 2 Char"/>
    <w:basedOn w:val="DefaultParagraphFont"/>
    <w:link w:val="BodyTextIndent2"/>
    <w:semiHidden/>
    <w:rsid w:val="004A6E10"/>
    <w:rPr>
      <w:rFonts w:eastAsia="Times New Roman" w:cs="Arial"/>
      <w:sz w:val="21"/>
      <w:szCs w:val="24"/>
    </w:rPr>
  </w:style>
  <w:style w:type="paragraph" w:styleId="ListParagraph">
    <w:name w:val="List Paragraph"/>
    <w:basedOn w:val="Normal"/>
    <w:uiPriority w:val="34"/>
    <w:qFormat/>
    <w:rsid w:val="004A6E10"/>
    <w:pPr>
      <w:ind w:left="720"/>
      <w:contextualSpacing/>
    </w:pPr>
  </w:style>
  <w:style w:type="paragraph" w:styleId="Header">
    <w:name w:val="header"/>
    <w:basedOn w:val="Normal"/>
    <w:link w:val="HeaderChar"/>
    <w:uiPriority w:val="99"/>
    <w:unhideWhenUsed/>
    <w:rsid w:val="004A6E10"/>
    <w:pPr>
      <w:tabs>
        <w:tab w:val="center" w:pos="4680"/>
        <w:tab w:val="right" w:pos="9360"/>
      </w:tabs>
    </w:pPr>
  </w:style>
  <w:style w:type="character" w:customStyle="1" w:styleId="HeaderChar">
    <w:name w:val="Header Char"/>
    <w:basedOn w:val="DefaultParagraphFont"/>
    <w:link w:val="Header"/>
    <w:uiPriority w:val="99"/>
    <w:rsid w:val="004A6E10"/>
    <w:rPr>
      <w:rFonts w:ascii="Times New Roman" w:eastAsia="Times New Roman" w:hAnsi="Times New Roman" w:cs="Times New Roman"/>
      <w:szCs w:val="24"/>
    </w:rPr>
  </w:style>
  <w:style w:type="paragraph" w:styleId="Footer">
    <w:name w:val="footer"/>
    <w:basedOn w:val="Normal"/>
    <w:link w:val="FooterChar"/>
    <w:uiPriority w:val="99"/>
    <w:unhideWhenUsed/>
    <w:rsid w:val="004A6E10"/>
    <w:pPr>
      <w:tabs>
        <w:tab w:val="center" w:pos="4680"/>
        <w:tab w:val="right" w:pos="9360"/>
      </w:tabs>
    </w:pPr>
  </w:style>
  <w:style w:type="character" w:customStyle="1" w:styleId="FooterChar">
    <w:name w:val="Footer Char"/>
    <w:basedOn w:val="DefaultParagraphFont"/>
    <w:link w:val="Footer"/>
    <w:uiPriority w:val="99"/>
    <w:rsid w:val="004A6E10"/>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597797"/>
    <w:rPr>
      <w:sz w:val="20"/>
      <w:szCs w:val="20"/>
    </w:rPr>
  </w:style>
  <w:style w:type="character" w:customStyle="1" w:styleId="FootnoteTextChar">
    <w:name w:val="Footnote Text Char"/>
    <w:basedOn w:val="DefaultParagraphFont"/>
    <w:link w:val="FootnoteText"/>
    <w:uiPriority w:val="99"/>
    <w:semiHidden/>
    <w:rsid w:val="0059779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97797"/>
    <w:rPr>
      <w:vertAlign w:val="superscript"/>
    </w:rPr>
  </w:style>
  <w:style w:type="character" w:customStyle="1" w:styleId="ft">
    <w:name w:val="ft"/>
    <w:basedOn w:val="DefaultParagraphFont"/>
    <w:rsid w:val="00597797"/>
  </w:style>
  <w:style w:type="paragraph" w:styleId="BalloonText">
    <w:name w:val="Balloon Text"/>
    <w:basedOn w:val="Normal"/>
    <w:link w:val="BalloonTextChar"/>
    <w:uiPriority w:val="99"/>
    <w:semiHidden/>
    <w:unhideWhenUsed/>
    <w:rsid w:val="00027845"/>
    <w:rPr>
      <w:rFonts w:ascii="Tahoma" w:hAnsi="Tahoma" w:cs="Tahoma"/>
      <w:sz w:val="16"/>
      <w:szCs w:val="16"/>
    </w:rPr>
  </w:style>
  <w:style w:type="character" w:customStyle="1" w:styleId="BalloonTextChar">
    <w:name w:val="Balloon Text Char"/>
    <w:basedOn w:val="DefaultParagraphFont"/>
    <w:link w:val="BalloonText"/>
    <w:uiPriority w:val="99"/>
    <w:semiHidden/>
    <w:rsid w:val="00027845"/>
    <w:rPr>
      <w:rFonts w:ascii="Tahoma" w:hAnsi="Tahoma" w:cs="Tahoma"/>
      <w:sz w:val="16"/>
      <w:szCs w:val="16"/>
    </w:rPr>
  </w:style>
  <w:style w:type="character" w:customStyle="1" w:styleId="Heading4Char">
    <w:name w:val="Heading 4 Char"/>
    <w:basedOn w:val="DefaultParagraphFont"/>
    <w:link w:val="Heading4"/>
    <w:uiPriority w:val="9"/>
    <w:semiHidden/>
    <w:rsid w:val="00B10C9B"/>
    <w:rPr>
      <w:rFonts w:eastAsiaTheme="majorEastAsia" w:cs="Arial"/>
      <w:b/>
      <w:bCs/>
      <w:i/>
      <w:iCs/>
    </w:rPr>
  </w:style>
  <w:style w:type="paragraph" w:styleId="NormalWeb">
    <w:name w:val="Normal (Web)"/>
    <w:basedOn w:val="Normal"/>
    <w:uiPriority w:val="99"/>
    <w:semiHidden/>
    <w:unhideWhenUsed/>
    <w:rsid w:val="002957E3"/>
    <w:rPr>
      <w:rFonts w:ascii="Times New Roman" w:eastAsia="Times New Roman" w:hAnsi="Times New Roman"/>
    </w:rPr>
  </w:style>
  <w:style w:type="character" w:customStyle="1" w:styleId="Heading9Char">
    <w:name w:val="Heading 9 Char"/>
    <w:basedOn w:val="DefaultParagraphFont"/>
    <w:link w:val="Heading9"/>
    <w:uiPriority w:val="9"/>
    <w:semiHidden/>
    <w:rsid w:val="00B10C9B"/>
    <w:rPr>
      <w:rFonts w:asciiTheme="majorHAnsi" w:eastAsiaTheme="majorEastAsia" w:hAnsiTheme="majorHAnsi" w:cs="Arial"/>
      <w:iCs/>
      <w:color w:val="404040" w:themeColor="text1" w:themeTint="BF"/>
      <w:szCs w:val="20"/>
    </w:rPr>
  </w:style>
  <w:style w:type="character" w:styleId="Hyperlink">
    <w:name w:val="Hyperlink"/>
    <w:basedOn w:val="DefaultParagraphFont"/>
    <w:uiPriority w:val="99"/>
    <w:unhideWhenUsed/>
    <w:rsid w:val="00806AC4"/>
    <w:rPr>
      <w:color w:val="0000FF" w:themeColor="hyperlink"/>
      <w:u w:val="single"/>
    </w:rPr>
  </w:style>
  <w:style w:type="character" w:customStyle="1" w:styleId="Heading2Char">
    <w:name w:val="Heading 2 Char"/>
    <w:basedOn w:val="DefaultParagraphFont"/>
    <w:link w:val="Heading2"/>
    <w:uiPriority w:val="9"/>
    <w:rsid w:val="00B10C9B"/>
    <w:rPr>
      <w:rFonts w:eastAsiaTheme="majorEastAsia" w:cs="Arial"/>
      <w:b/>
      <w:bCs/>
      <w:szCs w:val="26"/>
    </w:rPr>
  </w:style>
  <w:style w:type="character" w:customStyle="1" w:styleId="Heading3Char">
    <w:name w:val="Heading 3 Char"/>
    <w:basedOn w:val="DefaultParagraphFont"/>
    <w:link w:val="Heading3"/>
    <w:uiPriority w:val="9"/>
    <w:rsid w:val="00B10C9B"/>
    <w:rPr>
      <w:rFonts w:eastAsiaTheme="majorEastAsia" w:cs="Arial"/>
      <w:b/>
      <w:bCs/>
    </w:rPr>
  </w:style>
  <w:style w:type="character" w:customStyle="1" w:styleId="Heading5Char">
    <w:name w:val="Heading 5 Char"/>
    <w:basedOn w:val="DefaultParagraphFont"/>
    <w:link w:val="Heading5"/>
    <w:uiPriority w:val="9"/>
    <w:semiHidden/>
    <w:rsid w:val="00B10C9B"/>
    <w:rPr>
      <w:rFonts w:asciiTheme="majorHAnsi" w:eastAsiaTheme="majorEastAsia" w:hAnsiTheme="majorHAnsi" w:cs="Arial"/>
      <w:color w:val="243F60" w:themeColor="accent1" w:themeShade="7F"/>
    </w:rPr>
  </w:style>
  <w:style w:type="character" w:customStyle="1" w:styleId="Heading6Char">
    <w:name w:val="Heading 6 Char"/>
    <w:basedOn w:val="DefaultParagraphFont"/>
    <w:link w:val="Heading6"/>
    <w:uiPriority w:val="9"/>
    <w:semiHidden/>
    <w:rsid w:val="00B10C9B"/>
    <w:rPr>
      <w:rFonts w:asciiTheme="majorHAnsi" w:eastAsiaTheme="majorEastAsia" w:hAnsiTheme="majorHAnsi" w:cs="Arial"/>
      <w:iCs/>
      <w:color w:val="243F60" w:themeColor="accent1" w:themeShade="7F"/>
    </w:rPr>
  </w:style>
  <w:style w:type="character" w:customStyle="1" w:styleId="Heading7Char">
    <w:name w:val="Heading 7 Char"/>
    <w:basedOn w:val="DefaultParagraphFont"/>
    <w:link w:val="Heading7"/>
    <w:uiPriority w:val="9"/>
    <w:semiHidden/>
    <w:rsid w:val="00B10C9B"/>
    <w:rPr>
      <w:rFonts w:asciiTheme="majorHAnsi" w:eastAsiaTheme="majorEastAsia" w:hAnsiTheme="majorHAnsi" w:cs="Arial"/>
      <w:iCs/>
      <w:color w:val="404040" w:themeColor="text1" w:themeTint="BF"/>
    </w:rPr>
  </w:style>
  <w:style w:type="character" w:customStyle="1" w:styleId="Heading8Char">
    <w:name w:val="Heading 8 Char"/>
    <w:basedOn w:val="DefaultParagraphFont"/>
    <w:link w:val="Heading8"/>
    <w:uiPriority w:val="9"/>
    <w:semiHidden/>
    <w:rsid w:val="00B10C9B"/>
    <w:rPr>
      <w:rFonts w:asciiTheme="majorHAnsi" w:eastAsiaTheme="majorEastAsia" w:hAnsiTheme="majorHAnsi" w:cs="Arial"/>
      <w:color w:val="404040" w:themeColor="text1" w:themeTint="BF"/>
      <w:szCs w:val="20"/>
    </w:rPr>
  </w:style>
  <w:style w:type="paragraph" w:styleId="TOCHeading">
    <w:name w:val="TOC Heading"/>
    <w:basedOn w:val="Normal"/>
    <w:next w:val="TOC1"/>
    <w:uiPriority w:val="39"/>
    <w:unhideWhenUsed/>
    <w:qFormat/>
    <w:rsid w:val="00BD2496"/>
    <w:pPr>
      <w:keepNext/>
      <w:keepLines/>
      <w:spacing w:before="480" w:after="240"/>
      <w:jc w:val="center"/>
    </w:pPr>
    <w:rPr>
      <w:rFonts w:eastAsiaTheme="majorEastAsia" w:cs="Arial"/>
      <w:b/>
      <w:bCs/>
      <w:color w:val="365F91" w:themeColor="accent1" w:themeShade="BF"/>
      <w:szCs w:val="28"/>
    </w:rPr>
  </w:style>
  <w:style w:type="paragraph" w:styleId="TOC1">
    <w:name w:val="toc 1"/>
    <w:basedOn w:val="Normal"/>
    <w:next w:val="Normal"/>
    <w:autoRedefine/>
    <w:uiPriority w:val="39"/>
    <w:unhideWhenUsed/>
    <w:rsid w:val="00866E97"/>
    <w:pPr>
      <w:tabs>
        <w:tab w:val="right" w:leader="dot" w:pos="9406"/>
      </w:tabs>
      <w:spacing w:after="100"/>
      <w:ind w:left="720" w:hanging="720"/>
    </w:pPr>
  </w:style>
  <w:style w:type="paragraph" w:styleId="TOC2">
    <w:name w:val="toc 2"/>
    <w:basedOn w:val="Normal"/>
    <w:next w:val="Normal"/>
    <w:autoRedefine/>
    <w:uiPriority w:val="39"/>
    <w:unhideWhenUsed/>
    <w:rsid w:val="00866E97"/>
    <w:pPr>
      <w:tabs>
        <w:tab w:val="left" w:pos="1440"/>
        <w:tab w:val="right" w:leader="dot" w:pos="9406"/>
      </w:tabs>
      <w:spacing w:after="100"/>
      <w:ind w:left="1440" w:hanging="720"/>
      <w:jc w:val="both"/>
    </w:pPr>
  </w:style>
  <w:style w:type="paragraph" w:styleId="TOC3">
    <w:name w:val="toc 3"/>
    <w:basedOn w:val="Normal"/>
    <w:next w:val="Normal"/>
    <w:autoRedefine/>
    <w:uiPriority w:val="39"/>
    <w:unhideWhenUsed/>
    <w:rsid w:val="0016796A"/>
    <w:pPr>
      <w:tabs>
        <w:tab w:val="left" w:pos="1440"/>
        <w:tab w:val="left" w:pos="1800"/>
        <w:tab w:val="right" w:leader="dot" w:pos="9350"/>
      </w:tabs>
      <w:spacing w:after="100"/>
      <w:ind w:left="1440" w:hanging="960"/>
    </w:pPr>
  </w:style>
  <w:style w:type="paragraph" w:styleId="TOC4">
    <w:name w:val="toc 4"/>
    <w:basedOn w:val="Normal"/>
    <w:next w:val="Normal"/>
    <w:autoRedefine/>
    <w:uiPriority w:val="39"/>
    <w:semiHidden/>
    <w:unhideWhenUsed/>
    <w:rsid w:val="00BD2496"/>
    <w:pPr>
      <w:spacing w:after="100"/>
      <w:ind w:left="720"/>
    </w:pPr>
  </w:style>
  <w:style w:type="paragraph" w:styleId="TOC5">
    <w:name w:val="toc 5"/>
    <w:basedOn w:val="Normal"/>
    <w:next w:val="Normal"/>
    <w:autoRedefine/>
    <w:uiPriority w:val="39"/>
    <w:semiHidden/>
    <w:unhideWhenUsed/>
    <w:rsid w:val="00BD2496"/>
    <w:pPr>
      <w:spacing w:after="100"/>
      <w:ind w:left="960"/>
    </w:pPr>
  </w:style>
  <w:style w:type="paragraph" w:styleId="TOC6">
    <w:name w:val="toc 6"/>
    <w:basedOn w:val="Normal"/>
    <w:next w:val="Normal"/>
    <w:autoRedefine/>
    <w:uiPriority w:val="39"/>
    <w:semiHidden/>
    <w:unhideWhenUsed/>
    <w:rsid w:val="00BD2496"/>
    <w:pPr>
      <w:spacing w:after="100"/>
      <w:ind w:left="1200"/>
    </w:pPr>
  </w:style>
  <w:style w:type="paragraph" w:styleId="TOC7">
    <w:name w:val="toc 7"/>
    <w:basedOn w:val="Normal"/>
    <w:next w:val="Normal"/>
    <w:autoRedefine/>
    <w:uiPriority w:val="39"/>
    <w:semiHidden/>
    <w:unhideWhenUsed/>
    <w:rsid w:val="00BD2496"/>
    <w:pPr>
      <w:spacing w:after="100"/>
      <w:ind w:left="1440"/>
    </w:pPr>
  </w:style>
  <w:style w:type="paragraph" w:styleId="TOC8">
    <w:name w:val="toc 8"/>
    <w:basedOn w:val="Normal"/>
    <w:next w:val="Normal"/>
    <w:autoRedefine/>
    <w:uiPriority w:val="39"/>
    <w:semiHidden/>
    <w:unhideWhenUsed/>
    <w:rsid w:val="00BD2496"/>
    <w:pPr>
      <w:spacing w:after="100"/>
      <w:ind w:left="1680"/>
    </w:pPr>
  </w:style>
  <w:style w:type="paragraph" w:styleId="TOC9">
    <w:name w:val="toc 9"/>
    <w:basedOn w:val="Normal"/>
    <w:next w:val="Normal"/>
    <w:autoRedefine/>
    <w:uiPriority w:val="39"/>
    <w:semiHidden/>
    <w:unhideWhenUsed/>
    <w:rsid w:val="00BD2496"/>
    <w:pPr>
      <w:spacing w:after="100"/>
      <w:ind w:left="1920"/>
    </w:pPr>
  </w:style>
  <w:style w:type="paragraph" w:customStyle="1" w:styleId="TOCPage">
    <w:name w:val="TOC Page"/>
    <w:basedOn w:val="Normal"/>
    <w:next w:val="Normal"/>
    <w:link w:val="TOCPageChar"/>
    <w:rsid w:val="00BD2496"/>
    <w:pPr>
      <w:autoSpaceDE w:val="0"/>
      <w:autoSpaceDN w:val="0"/>
      <w:adjustRightInd w:val="0"/>
      <w:spacing w:after="240"/>
      <w:ind w:left="4140" w:hanging="4140"/>
      <w:jc w:val="right"/>
    </w:pPr>
    <w:rPr>
      <w:rFonts w:cs="Arial"/>
      <w:b/>
      <w:smallCaps/>
    </w:rPr>
  </w:style>
  <w:style w:type="character" w:customStyle="1" w:styleId="TOCPageChar">
    <w:name w:val="TOC Page Char"/>
    <w:basedOn w:val="DefaultParagraphFont"/>
    <w:link w:val="TOCPage"/>
    <w:rsid w:val="00BD2496"/>
    <w:rPr>
      <w:rFonts w:cs="Arial"/>
      <w:b/>
      <w:smallCaps/>
    </w:rPr>
  </w:style>
  <w:style w:type="character" w:styleId="CommentReference">
    <w:name w:val="annotation reference"/>
    <w:basedOn w:val="DefaultParagraphFont"/>
    <w:uiPriority w:val="99"/>
    <w:semiHidden/>
    <w:unhideWhenUsed/>
    <w:rsid w:val="00021D19"/>
    <w:rPr>
      <w:sz w:val="16"/>
      <w:szCs w:val="16"/>
    </w:rPr>
  </w:style>
  <w:style w:type="paragraph" w:styleId="CommentText">
    <w:name w:val="annotation text"/>
    <w:basedOn w:val="Normal"/>
    <w:link w:val="CommentTextChar"/>
    <w:uiPriority w:val="99"/>
    <w:semiHidden/>
    <w:unhideWhenUsed/>
    <w:rsid w:val="00021D19"/>
    <w:rPr>
      <w:sz w:val="20"/>
      <w:szCs w:val="20"/>
    </w:rPr>
  </w:style>
  <w:style w:type="character" w:customStyle="1" w:styleId="CommentTextChar">
    <w:name w:val="Comment Text Char"/>
    <w:basedOn w:val="DefaultParagraphFont"/>
    <w:link w:val="CommentText"/>
    <w:uiPriority w:val="99"/>
    <w:semiHidden/>
    <w:rsid w:val="00021D19"/>
    <w:rPr>
      <w:sz w:val="20"/>
      <w:szCs w:val="20"/>
    </w:rPr>
  </w:style>
  <w:style w:type="paragraph" w:styleId="CommentSubject">
    <w:name w:val="annotation subject"/>
    <w:basedOn w:val="CommentText"/>
    <w:next w:val="CommentText"/>
    <w:link w:val="CommentSubjectChar"/>
    <w:uiPriority w:val="99"/>
    <w:semiHidden/>
    <w:unhideWhenUsed/>
    <w:rsid w:val="00021D19"/>
    <w:rPr>
      <w:b/>
      <w:bCs/>
    </w:rPr>
  </w:style>
  <w:style w:type="character" w:customStyle="1" w:styleId="CommentSubjectChar">
    <w:name w:val="Comment Subject Char"/>
    <w:basedOn w:val="CommentTextChar"/>
    <w:link w:val="CommentSubject"/>
    <w:uiPriority w:val="99"/>
    <w:semiHidden/>
    <w:rsid w:val="00021D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50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codes.ohio.gov/orc/4928.64"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mailto:mhpetricof@vorys.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header" Target="header2.xml"/><Relationship Id="rId19" Type="http://schemas.openxmlformats.org/officeDocument/2006/relationships/hyperlink" Target="http://codes.ohio.gov/orc/4928.20" TargetMode="External"/><Relationship Id="rId31" Type="http://schemas.openxmlformats.org/officeDocument/2006/relationships/hyperlink" Target="mailto:jdaurora@behallaw.com"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1" Type="http://schemas.openxmlformats.org/officeDocument/2006/relationships/hyperlink" Target="http://www.puco.ohio.gov/puco/index.cfm/industry-information/industry-topics/ohioe28099s-renewable-and-advanced-energy-portfolio-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A951A-99E3-4CBE-9F0A-941EBFDC6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18</Pages>
  <Words>3914</Words>
  <Characters>21719</Characters>
  <Application>Microsoft Office Word</Application>
  <DocSecurity>0</DocSecurity>
  <PresentationFormat/>
  <Lines>469</Lines>
  <Paragraphs>155</Paragraphs>
  <ScaleCrop>false</ScaleCrop>
  <HeadingPairs>
    <vt:vector size="2" baseType="variant">
      <vt:variant>
        <vt:lpstr>Title</vt:lpstr>
      </vt:variant>
      <vt:variant>
        <vt:i4>1</vt:i4>
      </vt:variant>
    </vt:vector>
  </HeadingPairs>
  <TitlesOfParts>
    <vt:vector size="1" baseType="lpstr">
      <vt:lpstr>Supplemental Reply -- Turnin Point (10-501-EL-FOR) (C38911).DOCX</vt:lpstr>
    </vt:vector>
  </TitlesOfParts>
  <Company>Some Company, Inc.</Company>
  <LinksUpToDate>false</LinksUpToDate>
  <CharactersWithSpaces>25668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Reply -- Turnin Point (10-501-EL-FOR) (C38911).DOCX</dc:title>
  <dc:subject>C38911: /font=8</dc:subject>
  <dc:creator>Renee Gannon</dc:creator>
  <cp:keywords/>
  <dc:description/>
  <cp:lastModifiedBy>Renee Gannon</cp:lastModifiedBy>
  <cp:revision>19</cp:revision>
  <cp:lastPrinted>2012-10-17T20:24:00Z</cp:lastPrinted>
  <dcterms:created xsi:type="dcterms:W3CDTF">2012-10-15T14:44:00Z</dcterms:created>
  <dcterms:modified xsi:type="dcterms:W3CDTF">2012-10-17T20:47:00Z</dcterms:modified>
</cp:coreProperties>
</file>