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BF" w:rsidRPr="00A7466C" w:rsidRDefault="007F28BF" w:rsidP="007F28BF">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UNITED STATES OF AMERICA</w:t>
      </w:r>
    </w:p>
    <w:p w:rsidR="007F28BF" w:rsidRPr="00A7466C" w:rsidRDefault="007F28BF" w:rsidP="007F28BF">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BEFORE THE</w:t>
      </w:r>
    </w:p>
    <w:p w:rsidR="007F28BF" w:rsidRPr="00A7466C" w:rsidRDefault="007F28BF" w:rsidP="007F28BF">
      <w:pPr>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FEDERAL ENERGY REGULATORY COMMISSION</w:t>
      </w:r>
    </w:p>
    <w:p w:rsidR="007F28BF" w:rsidRPr="00A7466C" w:rsidRDefault="007F28BF" w:rsidP="007F28BF">
      <w:pPr>
        <w:spacing w:after="0" w:line="240" w:lineRule="auto"/>
        <w:jc w:val="center"/>
        <w:rPr>
          <w:rFonts w:ascii="Times New Roman" w:eastAsia="Times New Roman" w:hAnsi="Times New Roman" w:cs="Times New Roman"/>
          <w:sz w:val="26"/>
          <w:szCs w:val="26"/>
          <w:lang w:bidi="en-US"/>
        </w:rPr>
      </w:pPr>
    </w:p>
    <w:p w:rsidR="007F28BF" w:rsidRPr="00A7466C" w:rsidRDefault="007F28BF" w:rsidP="007F28BF">
      <w:pPr>
        <w:spacing w:after="0" w:line="240" w:lineRule="auto"/>
        <w:jc w:val="center"/>
        <w:rPr>
          <w:rFonts w:ascii="Times New Roman" w:eastAsia="Times New Roman" w:hAnsi="Times New Roman" w:cs="Times New Roman"/>
          <w:sz w:val="26"/>
          <w:szCs w:val="26"/>
          <w:lang w:bidi="en-US"/>
        </w:rPr>
      </w:pPr>
    </w:p>
    <w:p w:rsidR="007F28BF" w:rsidRPr="00A7466C" w:rsidRDefault="007F28BF" w:rsidP="007F28BF">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r w:rsidRPr="00A7466C">
        <w:rPr>
          <w:rFonts w:ascii="Times New Roman" w:eastAsia="Times New Roman" w:hAnsi="Times New Roman" w:cs="Times New Roman"/>
          <w:sz w:val="26"/>
          <w:szCs w:val="26"/>
          <w:lang w:bidi="en-US"/>
        </w:rPr>
        <w:tab/>
      </w:r>
      <w:r w:rsidRPr="00A7466C">
        <w:rPr>
          <w:rFonts w:ascii="Times New Roman" w:eastAsia="Times New Roman" w:hAnsi="Times New Roman" w:cs="Times New Roman"/>
          <w:sz w:val="26"/>
          <w:szCs w:val="26"/>
          <w:lang w:bidi="en-US"/>
        </w:rPr>
        <w:tab/>
        <w:t>:</w:t>
      </w:r>
      <w:r w:rsidRPr="00A7466C">
        <w:rPr>
          <w:rFonts w:ascii="Times New Roman" w:eastAsia="Times New Roman" w:hAnsi="Times New Roman" w:cs="Times New Roman"/>
          <w:sz w:val="26"/>
          <w:szCs w:val="26"/>
          <w:lang w:bidi="en-US"/>
        </w:rPr>
        <w:tab/>
        <w:t>E</w:t>
      </w:r>
      <w:r>
        <w:rPr>
          <w:rFonts w:ascii="Times New Roman" w:eastAsia="Times New Roman" w:hAnsi="Times New Roman" w:cs="Times New Roman"/>
          <w:sz w:val="26"/>
          <w:szCs w:val="26"/>
          <w:lang w:bidi="en-US"/>
        </w:rPr>
        <w:t>L</w:t>
      </w:r>
      <w:r w:rsidRPr="00A7466C">
        <w:rPr>
          <w:rFonts w:ascii="Times New Roman" w:eastAsia="Times New Roman" w:hAnsi="Times New Roman" w:cs="Times New Roman"/>
          <w:sz w:val="26"/>
          <w:szCs w:val="26"/>
          <w:lang w:bidi="en-US"/>
        </w:rPr>
        <w:t>14-</w:t>
      </w:r>
      <w:r>
        <w:rPr>
          <w:rFonts w:ascii="Times New Roman" w:eastAsia="Times New Roman" w:hAnsi="Times New Roman" w:cs="Times New Roman"/>
          <w:sz w:val="26"/>
          <w:szCs w:val="26"/>
          <w:lang w:bidi="en-US"/>
        </w:rPr>
        <w:t>94</w:t>
      </w:r>
      <w:r w:rsidRPr="00A7466C">
        <w:rPr>
          <w:rFonts w:ascii="Times New Roman" w:eastAsia="Times New Roman" w:hAnsi="Times New Roman" w:cs="Times New Roman"/>
          <w:sz w:val="26"/>
          <w:szCs w:val="26"/>
          <w:lang w:bidi="en-US"/>
        </w:rPr>
        <w:t>-000</w:t>
      </w:r>
    </w:p>
    <w:p w:rsidR="007F28BF" w:rsidRPr="00A7466C" w:rsidRDefault="007F28BF" w:rsidP="007F28BF">
      <w:pPr>
        <w:spacing w:after="0" w:line="240" w:lineRule="auto"/>
        <w:jc w:val="center"/>
        <w:rPr>
          <w:rFonts w:ascii="Times New Roman" w:eastAsia="Times New Roman" w:hAnsi="Times New Roman" w:cs="Times New Roman"/>
          <w:sz w:val="26"/>
          <w:szCs w:val="26"/>
          <w:lang w:bidi="en-US"/>
        </w:rPr>
      </w:pPr>
    </w:p>
    <w:p w:rsidR="007F28BF" w:rsidRPr="00A7466C" w:rsidRDefault="007F28BF" w:rsidP="007F28BF">
      <w:pPr>
        <w:spacing w:after="0" w:line="240" w:lineRule="auto"/>
        <w:jc w:val="both"/>
        <w:rPr>
          <w:rFonts w:ascii="Times New Roman" w:eastAsia="Times New Roman" w:hAnsi="Times New Roman" w:cs="Times New Roman"/>
          <w:sz w:val="26"/>
          <w:szCs w:val="26"/>
          <w:lang w:bidi="en-US"/>
        </w:rPr>
      </w:pPr>
    </w:p>
    <w:p w:rsidR="007F28BF" w:rsidRPr="00A7466C" w:rsidRDefault="009B5FA9" w:rsidP="007F28BF">
      <w:pPr>
        <w:tabs>
          <w:tab w:val="left" w:pos="720"/>
          <w:tab w:val="left" w:pos="1440"/>
          <w:tab w:val="left" w:pos="2880"/>
          <w:tab w:val="left" w:pos="4320"/>
          <w:tab w:val="left" w:pos="5040"/>
          <w:tab w:val="left" w:pos="5760"/>
          <w:tab w:val="left" w:pos="6480"/>
          <w:tab w:val="left" w:pos="7200"/>
        </w:tabs>
        <w:spacing w:line="240" w:lineRule="auto"/>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5" style="width:468pt;height:1.5pt" o:hrstd="t" o:hrnoshade="t" o:hr="t" fillcolor="black" stroked="f"/>
        </w:pict>
      </w:r>
    </w:p>
    <w:p w:rsidR="007F28BF" w:rsidRPr="00A7466C" w:rsidRDefault="00B0204D" w:rsidP="007F28BF">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Pr>
          <w:rFonts w:ascii="Times New Roman" w:eastAsia="Times New Roman" w:hAnsi="Times New Roman" w:cs="Times New Roman"/>
          <w:b/>
          <w:sz w:val="36"/>
          <w:szCs w:val="36"/>
          <w:lang w:bidi="en-US"/>
        </w:rPr>
        <w:t>REPLY BRIEF</w:t>
      </w:r>
    </w:p>
    <w:p w:rsidR="007F28BF" w:rsidRPr="00A7466C" w:rsidRDefault="007F28BF" w:rsidP="007F28BF">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A7466C">
        <w:rPr>
          <w:rFonts w:ascii="Times New Roman" w:eastAsia="Times New Roman" w:hAnsi="Times New Roman" w:cs="Times New Roman"/>
          <w:b/>
          <w:sz w:val="26"/>
          <w:szCs w:val="26"/>
          <w:lang w:bidi="en-US"/>
        </w:rPr>
        <w:t>SUBMITTED ON BEHALF OF</w:t>
      </w:r>
    </w:p>
    <w:p w:rsidR="007F28BF" w:rsidRPr="002B702B" w:rsidRDefault="007F28BF" w:rsidP="007F28BF">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color w:val="FF0000"/>
          <w:sz w:val="26"/>
          <w:szCs w:val="26"/>
          <w:lang w:bidi="en-US"/>
        </w:rPr>
      </w:pPr>
      <w:r w:rsidRPr="00A7466C">
        <w:rPr>
          <w:rFonts w:ascii="Times New Roman" w:eastAsia="Times New Roman" w:hAnsi="Times New Roman" w:cs="Times New Roman"/>
          <w:b/>
          <w:sz w:val="26"/>
          <w:szCs w:val="26"/>
          <w:lang w:bidi="en-US"/>
        </w:rPr>
        <w:t xml:space="preserve">THE </w:t>
      </w:r>
      <w:r w:rsidR="00B0204D">
        <w:rPr>
          <w:rFonts w:ascii="Times New Roman" w:eastAsia="Times New Roman" w:hAnsi="Times New Roman" w:cs="Times New Roman"/>
          <w:b/>
          <w:sz w:val="26"/>
          <w:szCs w:val="26"/>
          <w:lang w:bidi="en-US"/>
        </w:rPr>
        <w:t>PUBLIC UTILITIES COMMISSION OF OHIO</w:t>
      </w:r>
      <w:r>
        <w:rPr>
          <w:rFonts w:ascii="Times New Roman" w:eastAsia="Times New Roman" w:hAnsi="Times New Roman" w:cs="Times New Roman"/>
          <w:b/>
          <w:sz w:val="26"/>
          <w:szCs w:val="26"/>
          <w:lang w:bidi="en-US"/>
        </w:rPr>
        <w:t xml:space="preserve"> </w:t>
      </w:r>
    </w:p>
    <w:p w:rsidR="007F28BF" w:rsidRDefault="009B5FA9" w:rsidP="007F28BF">
      <w:pP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6" style="width:468pt;height:1.5pt" o:hralign="center" o:hrstd="t" o:hrnoshade="t" o:hr="t" fillcolor="black" stroked="f"/>
        </w:pict>
      </w:r>
    </w:p>
    <w:p w:rsidR="00B0204D" w:rsidRDefault="007F28BF" w:rsidP="003D2D59">
      <w:pPr>
        <w:pStyle w:val="Textstyle"/>
      </w:pPr>
      <w:r>
        <w:tab/>
      </w:r>
      <w:r w:rsidR="00B0204D">
        <w:t>The</w:t>
      </w:r>
      <w:r>
        <w:t xml:space="preserve"> </w:t>
      </w:r>
      <w:r w:rsidR="00B0204D">
        <w:t>Public Utilities Commission of Ohio</w:t>
      </w:r>
      <w:r>
        <w:t xml:space="preserve"> (</w:t>
      </w:r>
      <w:r w:rsidR="00B0204D">
        <w:t>PUCO</w:t>
      </w:r>
      <w:r>
        <w:t>)</w:t>
      </w:r>
      <w:r>
        <w:rPr>
          <w:color w:val="FF0000"/>
        </w:rPr>
        <w:t xml:space="preserve"> </w:t>
      </w:r>
      <w:r w:rsidRPr="00041742">
        <w:t>here</w:t>
      </w:r>
      <w:r>
        <w:t>by</w:t>
      </w:r>
      <w:r w:rsidRPr="00041742">
        <w:t xml:space="preserve"> submit</w:t>
      </w:r>
      <w:r>
        <w:t>s</w:t>
      </w:r>
      <w:r w:rsidRPr="00041742">
        <w:t xml:space="preserve"> the</w:t>
      </w:r>
      <w:r>
        <w:t xml:space="preserve"> following </w:t>
      </w:r>
      <w:r w:rsidR="00B0204D">
        <w:t>reply brief</w:t>
      </w:r>
      <w:r w:rsidR="00055C7C">
        <w:t xml:space="preserve"> </w:t>
      </w:r>
      <w:r>
        <w:t xml:space="preserve">in response to </w:t>
      </w:r>
      <w:r w:rsidR="00055C7C">
        <w:t>PJM Interconnection, L.L.C.</w:t>
      </w:r>
      <w:r w:rsidR="009C79D3">
        <w:t>’s</w:t>
      </w:r>
      <w:r>
        <w:t xml:space="preserve"> (</w:t>
      </w:r>
      <w:r w:rsidR="00055C7C">
        <w:t>PJM</w:t>
      </w:r>
      <w:r>
        <w:t xml:space="preserve">) </w:t>
      </w:r>
      <w:r w:rsidR="00055C7C">
        <w:t xml:space="preserve">initial brief </w:t>
      </w:r>
      <w:r>
        <w:t xml:space="preserve">filed on </w:t>
      </w:r>
      <w:r w:rsidR="00055C7C">
        <w:t>November 3</w:t>
      </w:r>
      <w:r>
        <w:t>, 2014,</w:t>
      </w:r>
      <w:r w:rsidR="00B0204D">
        <w:t xml:space="preserve"> and the Independent Market Monitor’s (IMM) reply brief submitted </w:t>
      </w:r>
      <w:proofErr w:type="gramStart"/>
      <w:r w:rsidR="00B0204D">
        <w:t>on</w:t>
      </w:r>
      <w:proofErr w:type="gramEnd"/>
      <w:r w:rsidR="00B0204D">
        <w:t xml:space="preserve"> December 3, 2014.  </w:t>
      </w:r>
      <w:r>
        <w:t xml:space="preserve"> </w:t>
      </w:r>
    </w:p>
    <w:p w:rsidR="00B0204D" w:rsidRPr="00B0204D" w:rsidRDefault="00B0204D" w:rsidP="003D2D59">
      <w:pPr>
        <w:pStyle w:val="Heading1"/>
      </w:pPr>
      <w:r w:rsidRPr="00B0204D">
        <w:t>I.</w:t>
      </w:r>
      <w:r w:rsidRPr="00B0204D">
        <w:tab/>
      </w:r>
      <w:r w:rsidR="003D2D59">
        <w:t>MOTION FOR LEAVE TO FILE A REPLY BRIEF</w:t>
      </w:r>
    </w:p>
    <w:p w:rsidR="007F28BF" w:rsidRDefault="00B0204D" w:rsidP="003D2D59">
      <w:pPr>
        <w:pStyle w:val="Textstyle"/>
      </w:pPr>
      <w:r>
        <w:tab/>
        <w:t xml:space="preserve">The PUCO timely intervened in this matter </w:t>
      </w:r>
      <w:r w:rsidR="007F28BF">
        <w:t xml:space="preserve">on </w:t>
      </w:r>
      <w:r w:rsidR="00055C7C">
        <w:t>December 3, 2014</w:t>
      </w:r>
      <w:r w:rsidR="007F28BF">
        <w:t>, and conse</w:t>
      </w:r>
      <w:r w:rsidR="00840CD2">
        <w:softHyphen/>
      </w:r>
      <w:r w:rsidR="007F28BF">
        <w:t>quently</w:t>
      </w:r>
      <w:r w:rsidR="00055C7C">
        <w:t>,</w:t>
      </w:r>
      <w:r w:rsidR="007F28BF">
        <w:t xml:space="preserve"> is a party to this proceeding.</w:t>
      </w:r>
      <w:r>
        <w:t xml:space="preserve">  In its August 25, 2014 order, the Federal Energy Regulatory Commission (Commission) established a procedural schedule directing PJM to file an initial brief on November 3, 2014, and set a deadline to file reply briefs on December 3, 2014.  In light of the fact that the PUCO was unable to respond to the IMM’s comments addressed below in an earlier pleading, the PUCO respectfully requests that the Commission accept this reply brief, and consider the comments contained herein.   </w:t>
      </w:r>
    </w:p>
    <w:p w:rsidR="007F28BF" w:rsidRPr="00A7466C" w:rsidRDefault="007F28BF" w:rsidP="007F28BF">
      <w:pPr>
        <w:pStyle w:val="Heading1"/>
        <w:rPr>
          <w:rFonts w:eastAsia="Times New Roman"/>
          <w:sz w:val="26"/>
          <w:szCs w:val="26"/>
          <w:lang w:bidi="en-US"/>
        </w:rPr>
      </w:pPr>
      <w:bookmarkStart w:id="0" w:name="_Toc385508758"/>
      <w:r w:rsidRPr="00A7466C">
        <w:rPr>
          <w:rFonts w:eastAsia="Times New Roman"/>
        </w:rPr>
        <w:t>I</w:t>
      </w:r>
      <w:r w:rsidR="00B0204D">
        <w:rPr>
          <w:rFonts w:eastAsia="Times New Roman"/>
        </w:rPr>
        <w:t>I</w:t>
      </w:r>
      <w:r w:rsidRPr="00A7466C">
        <w:rPr>
          <w:rFonts w:eastAsia="Times New Roman"/>
        </w:rPr>
        <w:t>.</w:t>
      </w:r>
      <w:r w:rsidRPr="00A7466C">
        <w:rPr>
          <w:rFonts w:eastAsia="Times New Roman"/>
        </w:rPr>
        <w:tab/>
      </w:r>
      <w:bookmarkEnd w:id="0"/>
      <w:r w:rsidR="003D2D59">
        <w:rPr>
          <w:rFonts w:eastAsia="Times New Roman"/>
        </w:rPr>
        <w:t>INTRODUCTION</w:t>
      </w:r>
    </w:p>
    <w:p w:rsidR="00055C7C" w:rsidRDefault="007F28BF" w:rsidP="003D2D59">
      <w:pPr>
        <w:pStyle w:val="Textstyle"/>
      </w:pPr>
      <w:r>
        <w:tab/>
      </w:r>
      <w:r w:rsidR="00055C7C">
        <w:t>In its initial brief, PJM asserts that the tariff methodology for calculating projected market revenues continues to be just and reasonable.</w:t>
      </w:r>
      <w:r w:rsidR="00776351">
        <w:rPr>
          <w:rStyle w:val="FootnoteReference"/>
        </w:rPr>
        <w:footnoteReference w:id="1"/>
      </w:r>
      <w:r w:rsidR="00055C7C">
        <w:t xml:space="preserve">  PJM explains that market seller offer cap</w:t>
      </w:r>
      <w:r w:rsidR="00E93AD7">
        <w:t>s</w:t>
      </w:r>
      <w:r w:rsidR="00055C7C">
        <w:t xml:space="preserve"> (MSOC) </w:t>
      </w:r>
      <w:r w:rsidR="00E93AD7">
        <w:t>are</w:t>
      </w:r>
      <w:r w:rsidR="00055C7C">
        <w:t xml:space="preserve"> set at a level that ensures offers into the reliability pricing model (RPM) are no higher tha</w:t>
      </w:r>
      <w:r w:rsidR="003B0242">
        <w:t>n</w:t>
      </w:r>
      <w:r w:rsidR="00055C7C">
        <w:t xml:space="preserve"> necessary to compensate a resource for its fixed cost, acting to mitigate the exercise of market power.</w:t>
      </w:r>
      <w:r w:rsidR="00776351">
        <w:rPr>
          <w:rStyle w:val="FootnoteReference"/>
        </w:rPr>
        <w:footnoteReference w:id="2"/>
      </w:r>
      <w:r w:rsidR="00055C7C">
        <w:t xml:space="preserve">  Specifically, PJM opines that the tariff provi</w:t>
      </w:r>
      <w:r w:rsidR="00840CD2">
        <w:softHyphen/>
      </w:r>
      <w:r w:rsidR="00055C7C">
        <w:t xml:space="preserve">sions for MSOC ensure just and reasonable rates by balancing </w:t>
      </w:r>
      <w:r w:rsidR="003B0242">
        <w:t xml:space="preserve">a </w:t>
      </w:r>
      <w:r w:rsidR="00055C7C">
        <w:t>Capacity Market Seller</w:t>
      </w:r>
      <w:r w:rsidR="00776351">
        <w:t>’s</w:t>
      </w:r>
      <w:r w:rsidR="00055C7C">
        <w:t xml:space="preserve"> </w:t>
      </w:r>
      <w:r w:rsidR="003B0242">
        <w:t xml:space="preserve">interest in earning </w:t>
      </w:r>
      <w:r w:rsidR="00055C7C">
        <w:t>sufficient revenues to continue to be a capacity resource, while pre</w:t>
      </w:r>
      <w:r w:rsidR="00840CD2">
        <w:softHyphen/>
      </w:r>
      <w:r w:rsidR="00055C7C">
        <w:t>venting a Capacity Market Seller from exercising market power.</w:t>
      </w:r>
      <w:r w:rsidR="00776351">
        <w:rPr>
          <w:rStyle w:val="FootnoteReference"/>
        </w:rPr>
        <w:footnoteReference w:id="3"/>
      </w:r>
      <w:r w:rsidR="00055C7C">
        <w:t xml:space="preserve">  </w:t>
      </w:r>
    </w:p>
    <w:p w:rsidR="007F28BF" w:rsidRPr="008C62D3" w:rsidRDefault="007F28BF" w:rsidP="003B0242">
      <w:pPr>
        <w:pStyle w:val="Heading1"/>
      </w:pPr>
      <w:bookmarkStart w:id="1" w:name="_Toc385508759"/>
      <w:r>
        <w:rPr>
          <w:rFonts w:eastAsia="Times New Roman"/>
        </w:rPr>
        <w:t>II</w:t>
      </w:r>
      <w:r w:rsidR="00B0204D">
        <w:rPr>
          <w:rFonts w:eastAsia="Times New Roman"/>
        </w:rPr>
        <w:t>I</w:t>
      </w:r>
      <w:r w:rsidRPr="00D33BC0">
        <w:rPr>
          <w:rFonts w:eastAsia="Times New Roman"/>
        </w:rPr>
        <w:t xml:space="preserve">. </w:t>
      </w:r>
      <w:bookmarkStart w:id="2" w:name="_Toc385508762"/>
      <w:bookmarkEnd w:id="1"/>
      <w:r w:rsidR="003B0242">
        <w:rPr>
          <w:rFonts w:eastAsia="Times New Roman"/>
        </w:rPr>
        <w:tab/>
      </w:r>
      <w:r w:rsidR="003B0242">
        <w:t xml:space="preserve">PJM </w:t>
      </w:r>
      <w:bookmarkEnd w:id="2"/>
      <w:r w:rsidR="003D2D59">
        <w:t xml:space="preserve">HAS NOT DEMONSTRATED THAT THE </w:t>
      </w:r>
      <w:r w:rsidR="003B0242">
        <w:t>MSOC P</w:t>
      </w:r>
      <w:r w:rsidR="003D2D59">
        <w:t>REVENTS CAPACITY MARKET SELLERS FROM EXERCISING MARKET POWER.</w:t>
      </w:r>
    </w:p>
    <w:p w:rsidR="007F28BF" w:rsidRDefault="003B0242" w:rsidP="003D2D59">
      <w:pPr>
        <w:pStyle w:val="Textstyle"/>
      </w:pPr>
      <w:r>
        <w:tab/>
      </w:r>
      <w:r w:rsidR="00B0204D">
        <w:t>The PUCO</w:t>
      </w:r>
      <w:r>
        <w:t xml:space="preserve"> maintains its initial concern</w:t>
      </w:r>
      <w:r w:rsidR="00A14F1A">
        <w:t xml:space="preserve"> that market power may be exercised as a result of not using the best available information.  The MSOC directly affects capacity market prices.  As the </w:t>
      </w:r>
      <w:r w:rsidR="00A77B19">
        <w:t>IMM</w:t>
      </w:r>
      <w:r w:rsidR="00A14F1A">
        <w:t xml:space="preserve"> notes, the failure to properly calculate MSOC creates the po</w:t>
      </w:r>
      <w:r w:rsidR="00E93AD7">
        <w:t xml:space="preserve">tential </w:t>
      </w:r>
      <w:r w:rsidR="00A14F1A">
        <w:t>for the market to clear on an overstated MS</w:t>
      </w:r>
      <w:r w:rsidR="00E93AD7">
        <w:t>OC</w:t>
      </w:r>
      <w:r w:rsidR="00A14F1A">
        <w:t>, resulting in the exercise of mar</w:t>
      </w:r>
      <w:r w:rsidR="00840CD2">
        <w:softHyphen/>
      </w:r>
      <w:r w:rsidR="00A14F1A">
        <w:t>ket power.</w:t>
      </w:r>
      <w:r w:rsidR="00A14F1A">
        <w:rPr>
          <w:rStyle w:val="FootnoteReference"/>
        </w:rPr>
        <w:footnoteReference w:id="4"/>
      </w:r>
    </w:p>
    <w:p w:rsidR="008224B2" w:rsidRDefault="00A14F1A" w:rsidP="003D2D59">
      <w:pPr>
        <w:pStyle w:val="Textstyle"/>
      </w:pPr>
      <w:r>
        <w:tab/>
        <w:t xml:space="preserve">In light of the IMM’s view that PJM’s tariff is (absent a revision) unjust and unreasonable, </w:t>
      </w:r>
      <w:r w:rsidR="00B0204D">
        <w:t>the PUCO</w:t>
      </w:r>
      <w:r>
        <w:t xml:space="preserve"> urges the Commission t</w:t>
      </w:r>
      <w:r w:rsidR="008224B2">
        <w:t>o carefully consider the potenti</w:t>
      </w:r>
      <w:r w:rsidR="003D2D59">
        <w:t xml:space="preserve">al for adverse market impacts. </w:t>
      </w:r>
      <w:r w:rsidR="008224B2">
        <w:t xml:space="preserve"> Consistent with PJM’s Open Access Transmission Tariff, the IMM is charged with bringing market power concerns to the Commission’s attention.</w:t>
      </w:r>
      <w:r w:rsidR="00776351">
        <w:rPr>
          <w:rStyle w:val="FootnoteReference"/>
        </w:rPr>
        <w:footnoteReference w:id="5"/>
      </w:r>
      <w:r w:rsidR="008224B2">
        <w:t xml:space="preserve">  The IMM has raised credible </w:t>
      </w:r>
      <w:r w:rsidR="00E93AD7">
        <w:t>arguments</w:t>
      </w:r>
      <w:r w:rsidR="008224B2">
        <w:t xml:space="preserve"> indicating that the exercise of market power may occur </w:t>
      </w:r>
      <w:r w:rsidR="00A77B19">
        <w:t xml:space="preserve">absent </w:t>
      </w:r>
      <w:r w:rsidR="008224B2">
        <w:t xml:space="preserve">a tariff revision.   PJM has not adequately addressed the issues raised by the IMM in its initial comments. </w:t>
      </w:r>
    </w:p>
    <w:p w:rsidR="008224B2" w:rsidRPr="00B0204D" w:rsidRDefault="008224B2" w:rsidP="003D2D59">
      <w:pPr>
        <w:pStyle w:val="Heading1"/>
      </w:pPr>
      <w:r w:rsidRPr="00B0204D">
        <w:t>I</w:t>
      </w:r>
      <w:r w:rsidR="00B0204D" w:rsidRPr="00B0204D">
        <w:t>V</w:t>
      </w:r>
      <w:r w:rsidRPr="00B0204D">
        <w:t>.</w:t>
      </w:r>
      <w:r w:rsidRPr="00B0204D">
        <w:tab/>
      </w:r>
      <w:r w:rsidR="003D2D59">
        <w:t>CONCLUSION</w:t>
      </w:r>
      <w:r w:rsidRPr="00B0204D">
        <w:t xml:space="preserve">   </w:t>
      </w:r>
    </w:p>
    <w:p w:rsidR="00A14F1A" w:rsidRDefault="008224B2" w:rsidP="003D2D59">
      <w:pPr>
        <w:pStyle w:val="Textstyle"/>
      </w:pPr>
      <w:r>
        <w:tab/>
        <w:t xml:space="preserve">Consequently, as the potential harm from an overstated MSOC is significant, </w:t>
      </w:r>
      <w:r w:rsidR="00B0204D">
        <w:t xml:space="preserve">the PUCO </w:t>
      </w:r>
      <w:r w:rsidR="00E93AD7">
        <w:t xml:space="preserve">respectfully requests that the Commission </w:t>
      </w:r>
      <w:r>
        <w:t xml:space="preserve">carefully consider the </w:t>
      </w:r>
      <w:proofErr w:type="spellStart"/>
      <w:r>
        <w:t>IMM’s</w:t>
      </w:r>
      <w:proofErr w:type="spellEnd"/>
      <w:r>
        <w:t xml:space="preserve"> com</w:t>
      </w:r>
      <w:r w:rsidR="00840CD2">
        <w:softHyphen/>
      </w:r>
      <w:r>
        <w:t xml:space="preserve">ments to ensure PJM’s tariff is not unjust and unreasonable.  </w:t>
      </w:r>
    </w:p>
    <w:p w:rsidR="006740FB" w:rsidRDefault="006740FB" w:rsidP="00B0204D">
      <w:pPr>
        <w:ind w:left="3600"/>
        <w:rPr>
          <w:rFonts w:ascii="Times New Roman" w:hAnsi="Times New Roman" w:cs="Times New Roman"/>
          <w:sz w:val="26"/>
          <w:szCs w:val="26"/>
        </w:rPr>
      </w:pPr>
      <w:r>
        <w:rPr>
          <w:rFonts w:ascii="Times New Roman" w:hAnsi="Times New Roman" w:cs="Times New Roman"/>
          <w:sz w:val="26"/>
          <w:szCs w:val="26"/>
        </w:rPr>
        <w:br w:type="page"/>
      </w:r>
    </w:p>
    <w:p w:rsidR="00B0204D" w:rsidRPr="00B0204D" w:rsidRDefault="00B0204D" w:rsidP="00B0204D">
      <w:pPr>
        <w:ind w:left="3600"/>
        <w:rPr>
          <w:rFonts w:ascii="Times New Roman" w:hAnsi="Times New Roman" w:cs="Times New Roman"/>
          <w:sz w:val="26"/>
          <w:szCs w:val="26"/>
        </w:rPr>
      </w:pPr>
      <w:r>
        <w:rPr>
          <w:rFonts w:ascii="Times New Roman" w:hAnsi="Times New Roman" w:cs="Times New Roman"/>
          <w:sz w:val="26"/>
          <w:szCs w:val="26"/>
        </w:rPr>
        <w:tab/>
      </w:r>
      <w:r w:rsidRPr="00B0204D">
        <w:rPr>
          <w:rFonts w:ascii="Times New Roman" w:hAnsi="Times New Roman" w:cs="Times New Roman"/>
          <w:sz w:val="26"/>
          <w:szCs w:val="26"/>
        </w:rPr>
        <w:t>Respectfully submitted,</w:t>
      </w:r>
    </w:p>
    <w:p w:rsidR="00B0204D" w:rsidRPr="00DA2574" w:rsidRDefault="003D2D59" w:rsidP="00DA2574">
      <w:pPr>
        <w:pStyle w:val="NoSpacing"/>
        <w:tabs>
          <w:tab w:val="left" w:pos="9360"/>
        </w:tabs>
        <w:ind w:left="4320" w:right="0"/>
        <w:rPr>
          <w:rFonts w:ascii="Brush Script MT" w:hAnsi="Brush Script MT" w:cstheme="minorBidi"/>
          <w:i/>
          <w:sz w:val="32"/>
          <w:szCs w:val="32"/>
          <w:u w:val="single"/>
        </w:rPr>
      </w:pPr>
      <w:r w:rsidRPr="00DA2574">
        <w:rPr>
          <w:rFonts w:ascii="Brush Script MT" w:hAnsi="Brush Script MT" w:cstheme="minorBidi"/>
          <w:i/>
          <w:sz w:val="32"/>
          <w:szCs w:val="32"/>
          <w:u w:val="single"/>
        </w:rPr>
        <w:t>/s/ Jonathan J. Tauber</w:t>
      </w:r>
      <w:r w:rsidRPr="00DA2574">
        <w:rPr>
          <w:rFonts w:ascii="Brush Script MT" w:hAnsi="Brush Script MT" w:cstheme="minorBidi"/>
          <w:i/>
          <w:sz w:val="32"/>
          <w:szCs w:val="32"/>
          <w:u w:val="single"/>
        </w:rPr>
        <w:tab/>
      </w:r>
    </w:p>
    <w:p w:rsidR="00B0204D" w:rsidRPr="00DA2574" w:rsidRDefault="00B0204D" w:rsidP="00DA2574">
      <w:pPr>
        <w:pStyle w:val="NoSpacing"/>
        <w:ind w:left="4320"/>
        <w:jc w:val="left"/>
        <w:rPr>
          <w:b/>
          <w:sz w:val="26"/>
          <w:szCs w:val="26"/>
        </w:rPr>
      </w:pPr>
      <w:r w:rsidRPr="00DA2574">
        <w:rPr>
          <w:b/>
          <w:sz w:val="26"/>
          <w:szCs w:val="26"/>
        </w:rPr>
        <w:t>Jonathan J. Tauber</w:t>
      </w:r>
    </w:p>
    <w:p w:rsidR="00B0204D" w:rsidRPr="00DA2574" w:rsidRDefault="00B0204D" w:rsidP="00DA2574">
      <w:pPr>
        <w:pStyle w:val="NoSpacing"/>
        <w:ind w:left="4320"/>
        <w:jc w:val="left"/>
        <w:rPr>
          <w:sz w:val="26"/>
          <w:szCs w:val="26"/>
        </w:rPr>
      </w:pPr>
      <w:r w:rsidRPr="00DA2574">
        <w:rPr>
          <w:sz w:val="26"/>
          <w:szCs w:val="26"/>
        </w:rPr>
        <w:t>Ohio Federal Energy Advocate</w:t>
      </w:r>
    </w:p>
    <w:p w:rsidR="00B0204D" w:rsidRPr="00DA2574" w:rsidRDefault="00B0204D" w:rsidP="00DA2574">
      <w:pPr>
        <w:pStyle w:val="NoSpacing"/>
        <w:ind w:left="4320"/>
        <w:jc w:val="left"/>
        <w:rPr>
          <w:sz w:val="26"/>
          <w:szCs w:val="26"/>
        </w:rPr>
      </w:pPr>
      <w:r w:rsidRPr="00DA2574">
        <w:rPr>
          <w:sz w:val="26"/>
          <w:szCs w:val="26"/>
        </w:rPr>
        <w:t>Public Utilities Commission of Ohio</w:t>
      </w:r>
    </w:p>
    <w:p w:rsidR="00B0204D" w:rsidRPr="00DA2574" w:rsidRDefault="00B0204D" w:rsidP="00DA2574">
      <w:pPr>
        <w:pStyle w:val="NoSpacing"/>
        <w:ind w:left="4320"/>
        <w:jc w:val="left"/>
        <w:rPr>
          <w:sz w:val="26"/>
          <w:szCs w:val="26"/>
        </w:rPr>
      </w:pPr>
      <w:r w:rsidRPr="00DA2574">
        <w:rPr>
          <w:sz w:val="26"/>
          <w:szCs w:val="26"/>
        </w:rPr>
        <w:t>180 East Broad Street</w:t>
      </w:r>
    </w:p>
    <w:p w:rsidR="00B0204D" w:rsidRPr="00DA2574" w:rsidRDefault="00B0204D" w:rsidP="00DA2574">
      <w:pPr>
        <w:pStyle w:val="NoSpacing"/>
        <w:ind w:left="4320"/>
        <w:jc w:val="left"/>
        <w:rPr>
          <w:sz w:val="26"/>
          <w:szCs w:val="26"/>
        </w:rPr>
      </w:pPr>
      <w:r w:rsidRPr="00DA2574">
        <w:rPr>
          <w:sz w:val="26"/>
          <w:szCs w:val="26"/>
        </w:rPr>
        <w:t>Columbus, OH 43215-3793</w:t>
      </w:r>
    </w:p>
    <w:p w:rsidR="00B0204D" w:rsidRPr="00DA2574" w:rsidRDefault="00B0204D" w:rsidP="00DA2574">
      <w:pPr>
        <w:pStyle w:val="NoSpacing"/>
        <w:ind w:left="4320"/>
        <w:jc w:val="left"/>
        <w:rPr>
          <w:sz w:val="26"/>
          <w:szCs w:val="26"/>
        </w:rPr>
      </w:pPr>
      <w:r w:rsidRPr="00DA2574">
        <w:rPr>
          <w:sz w:val="26"/>
          <w:szCs w:val="26"/>
        </w:rPr>
        <w:t>Phone 614.644.7797</w:t>
      </w:r>
    </w:p>
    <w:p w:rsidR="00B0204D" w:rsidRPr="00DA2574" w:rsidRDefault="00B0204D" w:rsidP="00DA2574">
      <w:pPr>
        <w:pStyle w:val="NoSpacing"/>
        <w:ind w:left="4320"/>
        <w:jc w:val="left"/>
        <w:rPr>
          <w:sz w:val="26"/>
          <w:szCs w:val="26"/>
        </w:rPr>
      </w:pPr>
      <w:r w:rsidRPr="00DA2574">
        <w:rPr>
          <w:sz w:val="26"/>
          <w:szCs w:val="26"/>
        </w:rPr>
        <w:t>Fax 614.644.8764</w:t>
      </w:r>
    </w:p>
    <w:p w:rsidR="00B0204D" w:rsidRPr="00DA2574" w:rsidRDefault="009B5FA9" w:rsidP="00DA2574">
      <w:pPr>
        <w:pStyle w:val="NoSpacing"/>
        <w:ind w:left="4320"/>
        <w:jc w:val="left"/>
        <w:rPr>
          <w:rFonts w:eastAsia="Times New Roman"/>
          <w:sz w:val="26"/>
          <w:szCs w:val="26"/>
        </w:rPr>
      </w:pPr>
      <w:hyperlink r:id="rId7" w:history="1">
        <w:r w:rsidR="00B0204D" w:rsidRPr="00DA2574">
          <w:rPr>
            <w:rFonts w:eastAsia="Times New Roman"/>
            <w:color w:val="0000FF"/>
            <w:sz w:val="26"/>
            <w:szCs w:val="26"/>
            <w:u w:val="single"/>
          </w:rPr>
          <w:t>jonathan.tauber@puc.state.oh.us</w:t>
        </w:r>
      </w:hyperlink>
    </w:p>
    <w:p w:rsidR="00B0204D" w:rsidRPr="00DA2574" w:rsidRDefault="00B0204D" w:rsidP="00DA2574">
      <w:pPr>
        <w:pStyle w:val="NoSpacing"/>
        <w:ind w:left="4320"/>
        <w:jc w:val="left"/>
        <w:rPr>
          <w:sz w:val="26"/>
          <w:szCs w:val="26"/>
        </w:rPr>
      </w:pPr>
    </w:p>
    <w:p w:rsidR="00B0204D" w:rsidRPr="00DA2574" w:rsidRDefault="00B0204D" w:rsidP="00B0204D">
      <w:pPr>
        <w:pStyle w:val="NoSpacing"/>
        <w:ind w:left="3600"/>
        <w:jc w:val="left"/>
        <w:rPr>
          <w:sz w:val="26"/>
          <w:szCs w:val="26"/>
        </w:rPr>
      </w:pPr>
    </w:p>
    <w:p w:rsidR="003D2D59" w:rsidRPr="00DA2574" w:rsidRDefault="003D2D59" w:rsidP="00DA2574">
      <w:pPr>
        <w:tabs>
          <w:tab w:val="left" w:pos="9360"/>
        </w:tabs>
        <w:spacing w:after="0" w:line="240" w:lineRule="auto"/>
        <w:ind w:left="4320"/>
        <w:rPr>
          <w:rFonts w:ascii="AR BLANCA" w:hAnsi="AR BLANCA"/>
          <w:sz w:val="32"/>
          <w:szCs w:val="32"/>
          <w:u w:val="single"/>
        </w:rPr>
      </w:pPr>
      <w:r w:rsidRPr="00DA2574">
        <w:rPr>
          <w:rFonts w:ascii="Brush Script MT" w:hAnsi="Brush Script MT"/>
          <w:i/>
          <w:sz w:val="32"/>
          <w:szCs w:val="32"/>
          <w:u w:val="single"/>
        </w:rPr>
        <w:t xml:space="preserve">/s/ </w:t>
      </w:r>
      <w:r w:rsidRPr="00DA2574">
        <w:rPr>
          <w:rFonts w:ascii="Brush Script MT" w:hAnsi="Brush Script MT"/>
          <w:i/>
          <w:sz w:val="32"/>
          <w:szCs w:val="32"/>
          <w:u w:val="single"/>
        </w:rPr>
        <w:t>Thomas W. McNamee</w:t>
      </w:r>
      <w:r w:rsidRPr="00DA2574">
        <w:rPr>
          <w:rFonts w:ascii="AR BLANCA" w:hAnsi="AR BLANCA"/>
          <w:sz w:val="32"/>
          <w:szCs w:val="32"/>
          <w:u w:val="single"/>
        </w:rPr>
        <w:tab/>
      </w:r>
    </w:p>
    <w:p w:rsidR="00B0204D" w:rsidRPr="00DA2574" w:rsidRDefault="00B0204D" w:rsidP="00B0204D">
      <w:pPr>
        <w:pStyle w:val="NoSpacing"/>
        <w:ind w:left="3600" w:firstLine="720"/>
        <w:jc w:val="left"/>
        <w:rPr>
          <w:b/>
          <w:sz w:val="26"/>
          <w:szCs w:val="26"/>
        </w:rPr>
      </w:pPr>
      <w:r w:rsidRPr="00DA2574">
        <w:rPr>
          <w:b/>
          <w:sz w:val="26"/>
          <w:szCs w:val="26"/>
        </w:rPr>
        <w:t>Thomas W. McNamee</w:t>
      </w:r>
    </w:p>
    <w:p w:rsidR="00B0204D" w:rsidRPr="00DA2574" w:rsidRDefault="00B0204D" w:rsidP="00B0204D">
      <w:pPr>
        <w:pStyle w:val="NoSpacing"/>
        <w:ind w:left="3600" w:firstLine="720"/>
        <w:jc w:val="left"/>
        <w:rPr>
          <w:sz w:val="26"/>
          <w:szCs w:val="26"/>
        </w:rPr>
      </w:pPr>
      <w:r w:rsidRPr="00DA2574">
        <w:rPr>
          <w:sz w:val="26"/>
          <w:szCs w:val="26"/>
        </w:rPr>
        <w:t>180 East Broad Street</w:t>
      </w:r>
    </w:p>
    <w:p w:rsidR="00B0204D" w:rsidRPr="00DA2574" w:rsidRDefault="00B0204D" w:rsidP="00B0204D">
      <w:pPr>
        <w:pStyle w:val="NoSpacing"/>
        <w:ind w:left="3600" w:firstLine="720"/>
        <w:jc w:val="left"/>
        <w:rPr>
          <w:sz w:val="26"/>
          <w:szCs w:val="26"/>
        </w:rPr>
      </w:pPr>
      <w:r w:rsidRPr="00DA2574">
        <w:rPr>
          <w:sz w:val="26"/>
          <w:szCs w:val="26"/>
        </w:rPr>
        <w:t>Columbus, OH 43215-3793</w:t>
      </w:r>
    </w:p>
    <w:p w:rsidR="00B0204D" w:rsidRPr="00DA2574" w:rsidRDefault="00B0204D" w:rsidP="00B0204D">
      <w:pPr>
        <w:pStyle w:val="NoSpacing"/>
        <w:ind w:left="3600" w:firstLine="720"/>
        <w:jc w:val="left"/>
        <w:rPr>
          <w:sz w:val="26"/>
          <w:szCs w:val="26"/>
        </w:rPr>
      </w:pPr>
      <w:r w:rsidRPr="00DA2574">
        <w:rPr>
          <w:sz w:val="26"/>
          <w:szCs w:val="26"/>
        </w:rPr>
        <w:t>614.466.4397 (telephone)</w:t>
      </w:r>
    </w:p>
    <w:p w:rsidR="00B0204D" w:rsidRPr="00DA2574" w:rsidRDefault="00B0204D" w:rsidP="00B0204D">
      <w:pPr>
        <w:pStyle w:val="NoSpacing"/>
        <w:ind w:left="3600" w:firstLine="720"/>
        <w:jc w:val="left"/>
        <w:rPr>
          <w:sz w:val="26"/>
          <w:szCs w:val="26"/>
        </w:rPr>
      </w:pPr>
      <w:r w:rsidRPr="00DA2574">
        <w:rPr>
          <w:sz w:val="26"/>
          <w:szCs w:val="26"/>
        </w:rPr>
        <w:t>614.644.8764 (fax)</w:t>
      </w:r>
    </w:p>
    <w:p w:rsidR="00B0204D" w:rsidRPr="00DA2574" w:rsidRDefault="009B5FA9" w:rsidP="00B0204D">
      <w:pPr>
        <w:pStyle w:val="NoSpacing"/>
        <w:ind w:left="3600" w:firstLine="720"/>
        <w:jc w:val="left"/>
        <w:rPr>
          <w:rFonts w:eastAsia="Times New Roman"/>
          <w:color w:val="0000FF"/>
          <w:sz w:val="26"/>
          <w:szCs w:val="26"/>
          <w:u w:val="single"/>
        </w:rPr>
      </w:pPr>
      <w:hyperlink r:id="rId8" w:history="1">
        <w:r w:rsidR="00B0204D" w:rsidRPr="00DA2574">
          <w:rPr>
            <w:rFonts w:eastAsia="Times New Roman"/>
            <w:color w:val="0000FF"/>
            <w:sz w:val="26"/>
            <w:szCs w:val="26"/>
            <w:u w:val="single"/>
          </w:rPr>
          <w:t>thomas.mcnamee@puc.state.oh.us</w:t>
        </w:r>
      </w:hyperlink>
    </w:p>
    <w:p w:rsidR="003D2D59" w:rsidRPr="00DA2574" w:rsidRDefault="003D2D59" w:rsidP="00B0204D">
      <w:pPr>
        <w:pStyle w:val="NoSpacing"/>
        <w:ind w:left="3600" w:firstLine="720"/>
        <w:jc w:val="left"/>
        <w:rPr>
          <w:rFonts w:eastAsia="Times New Roman"/>
          <w:sz w:val="26"/>
          <w:szCs w:val="26"/>
        </w:rPr>
      </w:pPr>
    </w:p>
    <w:p w:rsidR="00B0204D" w:rsidRDefault="00B0204D" w:rsidP="003A003D">
      <w:pPr>
        <w:pStyle w:val="NoSpacing"/>
        <w:ind w:left="4320"/>
        <w:jc w:val="left"/>
        <w:rPr>
          <w:b/>
          <w:sz w:val="26"/>
          <w:szCs w:val="26"/>
        </w:rPr>
      </w:pPr>
      <w:r w:rsidRPr="00DA2574">
        <w:rPr>
          <w:b/>
          <w:sz w:val="26"/>
          <w:szCs w:val="26"/>
        </w:rPr>
        <w:t>Attorney for the Pub</w:t>
      </w:r>
      <w:r w:rsidR="003D2D59" w:rsidRPr="00DA2574">
        <w:rPr>
          <w:b/>
          <w:sz w:val="26"/>
          <w:szCs w:val="26"/>
        </w:rPr>
        <w:t>lic Utilities Commission of Ohio</w:t>
      </w:r>
    </w:p>
    <w:p w:rsidR="009B5FA9" w:rsidRDefault="009B5FA9" w:rsidP="003A003D">
      <w:pPr>
        <w:pStyle w:val="NoSpacing"/>
        <w:ind w:left="4320"/>
        <w:jc w:val="left"/>
        <w:rPr>
          <w:b/>
          <w:sz w:val="26"/>
          <w:szCs w:val="26"/>
        </w:rPr>
      </w:pPr>
    </w:p>
    <w:p w:rsidR="009B5FA9" w:rsidRDefault="009B5FA9" w:rsidP="003A003D">
      <w:pPr>
        <w:pStyle w:val="NoSpacing"/>
        <w:ind w:left="4320"/>
        <w:jc w:val="left"/>
        <w:rPr>
          <w:b/>
          <w:sz w:val="26"/>
          <w:szCs w:val="26"/>
        </w:rPr>
      </w:pPr>
    </w:p>
    <w:p w:rsidR="009B5FA9" w:rsidRDefault="009B5FA9" w:rsidP="003A003D">
      <w:pPr>
        <w:pStyle w:val="NoSpacing"/>
        <w:ind w:left="4320"/>
        <w:jc w:val="left"/>
        <w:rPr>
          <w:b/>
          <w:sz w:val="26"/>
          <w:szCs w:val="26"/>
        </w:rPr>
      </w:pPr>
    </w:p>
    <w:p w:rsidR="009B5FA9" w:rsidRPr="00DA2574" w:rsidRDefault="009B5FA9" w:rsidP="003A003D">
      <w:pPr>
        <w:pStyle w:val="NoSpacing"/>
        <w:ind w:left="4320"/>
        <w:jc w:val="left"/>
        <w:rPr>
          <w:b/>
          <w:sz w:val="26"/>
          <w:szCs w:val="26"/>
        </w:rPr>
      </w:pPr>
    </w:p>
    <w:p w:rsidR="00DA2574" w:rsidRPr="00CA640D" w:rsidRDefault="00DA2574" w:rsidP="00DA2574">
      <w:pPr>
        <w:pStyle w:val="Heading1"/>
      </w:pPr>
      <w:bookmarkStart w:id="3" w:name="_Toc177529836"/>
      <w:bookmarkStart w:id="4" w:name="_Toc404689029"/>
      <w:r>
        <w:t>V.</w:t>
      </w:r>
      <w:r>
        <w:tab/>
      </w:r>
      <w:r w:rsidRPr="00CA640D">
        <w:t>CERTIFICATE OF SERVICE</w:t>
      </w:r>
      <w:bookmarkEnd w:id="3"/>
      <w:bookmarkEnd w:id="4"/>
    </w:p>
    <w:p w:rsidR="00DA2574" w:rsidRPr="00CA640D" w:rsidRDefault="00DA2574" w:rsidP="00DA2574">
      <w:pPr>
        <w:pStyle w:val="Textstyle"/>
      </w:pPr>
      <w:r w:rsidRPr="00CA640D">
        <w:tab/>
        <w:t xml:space="preserve">I hereby certify that the foregoing </w:t>
      </w:r>
      <w:r>
        <w:t>has</w:t>
      </w:r>
      <w:r w:rsidRPr="00CA640D">
        <w:t xml:space="preserve"> been served in accordance with 18 C.F.R. </w:t>
      </w:r>
      <w:r>
        <w:t xml:space="preserve">Section </w:t>
      </w:r>
      <w:r w:rsidRPr="00CA640D">
        <w:t>385.2010 upon each person designated on the official service</w:t>
      </w:r>
      <w:bookmarkStart w:id="5" w:name="_GoBack"/>
      <w:bookmarkEnd w:id="5"/>
      <w:r w:rsidRPr="00CA640D">
        <w:t xml:space="preserve"> list compiled by the Secretary in this proceeding.</w:t>
      </w:r>
    </w:p>
    <w:p w:rsidR="00DA2574" w:rsidRPr="00B6570D" w:rsidRDefault="00DA2574" w:rsidP="009B5FA9">
      <w:pPr>
        <w:tabs>
          <w:tab w:val="left" w:pos="9360"/>
        </w:tabs>
        <w:spacing w:after="0" w:line="240" w:lineRule="auto"/>
        <w:ind w:left="4766"/>
        <w:rPr>
          <w:rFonts w:ascii="Brush Script MT" w:hAnsi="Brush Script MT"/>
          <w:i/>
          <w:sz w:val="40"/>
          <w:szCs w:val="40"/>
          <w:u w:val="single"/>
        </w:rPr>
      </w:pPr>
      <w:r w:rsidRPr="00B6570D">
        <w:rPr>
          <w:rFonts w:ascii="Brush Script MT" w:hAnsi="Brush Script MT"/>
          <w:i/>
          <w:sz w:val="40"/>
          <w:szCs w:val="40"/>
          <w:u w:val="single"/>
        </w:rPr>
        <w:t>/s/ Thomas W. McNamee</w:t>
      </w:r>
      <w:r w:rsidRPr="00B6570D">
        <w:rPr>
          <w:rFonts w:ascii="Brush Script MT" w:hAnsi="Brush Script MT"/>
          <w:i/>
          <w:sz w:val="40"/>
          <w:szCs w:val="40"/>
          <w:u w:val="single"/>
        </w:rPr>
        <w:tab/>
      </w:r>
    </w:p>
    <w:p w:rsidR="00DA2574" w:rsidRPr="009B5FA9" w:rsidRDefault="00DA2574" w:rsidP="009B5FA9">
      <w:pPr>
        <w:tabs>
          <w:tab w:val="left" w:pos="9360"/>
        </w:tabs>
        <w:spacing w:after="0" w:line="240" w:lineRule="auto"/>
        <w:ind w:left="4766"/>
        <w:rPr>
          <w:rFonts w:ascii="Times New Roman" w:hAnsi="Times New Roman" w:cs="Times New Roman"/>
          <w:b/>
          <w:sz w:val="26"/>
          <w:szCs w:val="26"/>
        </w:rPr>
      </w:pPr>
      <w:r w:rsidRPr="009B5FA9">
        <w:rPr>
          <w:rFonts w:ascii="Times New Roman" w:hAnsi="Times New Roman" w:cs="Times New Roman"/>
          <w:b/>
          <w:sz w:val="26"/>
          <w:szCs w:val="26"/>
        </w:rPr>
        <w:t>Thomas W. McNamee</w:t>
      </w:r>
    </w:p>
    <w:p w:rsidR="00DA2574" w:rsidRPr="00CA640D" w:rsidRDefault="00DA2574" w:rsidP="00DA2574">
      <w:pPr>
        <w:tabs>
          <w:tab w:val="left" w:pos="9360"/>
        </w:tabs>
        <w:ind w:left="4760"/>
        <w:rPr>
          <w:sz w:val="26"/>
          <w:szCs w:val="26"/>
        </w:rPr>
      </w:pPr>
    </w:p>
    <w:p w:rsidR="00DA2574" w:rsidRPr="009D6A2A" w:rsidRDefault="00DA2574" w:rsidP="00DA2574">
      <w:pPr>
        <w:pStyle w:val="Textstyle"/>
      </w:pPr>
      <w:r w:rsidRPr="00256146">
        <w:t>Dated at Columbus, Ohio this</w:t>
      </w:r>
      <w:r>
        <w:t xml:space="preserve"> </w:t>
      </w:r>
      <w:r>
        <w:t>December 10</w:t>
      </w:r>
      <w:r>
        <w:t>, 2014</w:t>
      </w:r>
      <w:r w:rsidRPr="00256146">
        <w:t>.</w:t>
      </w:r>
    </w:p>
    <w:sectPr w:rsidR="00DA2574" w:rsidRPr="009D6A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1A" w:rsidRDefault="00A14F1A" w:rsidP="00A14F1A">
      <w:pPr>
        <w:spacing w:after="0" w:line="240" w:lineRule="auto"/>
      </w:pPr>
      <w:r>
        <w:separator/>
      </w:r>
    </w:p>
  </w:endnote>
  <w:endnote w:type="continuationSeparator" w:id="0">
    <w:p w:rsidR="00A14F1A" w:rsidRDefault="00A14F1A" w:rsidP="00A1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074137"/>
      <w:docPartObj>
        <w:docPartGallery w:val="Page Numbers (Bottom of Page)"/>
        <w:docPartUnique/>
      </w:docPartObj>
    </w:sdtPr>
    <w:sdtEndPr>
      <w:rPr>
        <w:noProof/>
      </w:rPr>
    </w:sdtEndPr>
    <w:sdtContent>
      <w:p w:rsidR="00B0204D" w:rsidRDefault="00B0204D" w:rsidP="002D311A">
        <w:pPr>
          <w:pStyle w:val="Footer"/>
          <w:jc w:val="center"/>
        </w:pPr>
        <w:r>
          <w:fldChar w:fldCharType="begin"/>
        </w:r>
        <w:r>
          <w:instrText xml:space="preserve"> PAGE  \* Arabic  \* MERGEFORMAT </w:instrText>
        </w:r>
        <w:r>
          <w:fldChar w:fldCharType="separate"/>
        </w:r>
        <w:r w:rsidR="009B5FA9">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1A" w:rsidRDefault="00A14F1A" w:rsidP="00A14F1A">
      <w:pPr>
        <w:spacing w:after="0" w:line="240" w:lineRule="auto"/>
      </w:pPr>
      <w:r>
        <w:separator/>
      </w:r>
    </w:p>
  </w:footnote>
  <w:footnote w:type="continuationSeparator" w:id="0">
    <w:p w:rsidR="00A14F1A" w:rsidRDefault="00A14F1A" w:rsidP="00A14F1A">
      <w:pPr>
        <w:spacing w:after="0" w:line="240" w:lineRule="auto"/>
      </w:pPr>
      <w:r>
        <w:continuationSeparator/>
      </w:r>
    </w:p>
  </w:footnote>
  <w:footnote w:id="1">
    <w:p w:rsidR="00776351" w:rsidRDefault="00776351">
      <w:pPr>
        <w:pStyle w:val="FootnoteText"/>
      </w:pPr>
      <w:r>
        <w:rPr>
          <w:rStyle w:val="FootnoteReference"/>
        </w:rPr>
        <w:footnoteRef/>
      </w:r>
      <w:r>
        <w:t xml:space="preserve"> </w:t>
      </w:r>
      <w:r w:rsidR="003D2D59">
        <w:tab/>
      </w:r>
      <w:r w:rsidR="003D2D59">
        <w:tab/>
      </w:r>
      <w:r w:rsidR="00244F6B">
        <w:rPr>
          <w:i/>
        </w:rPr>
        <w:t xml:space="preserve">In re PJM </w:t>
      </w:r>
      <w:r w:rsidR="00DA2574">
        <w:rPr>
          <w:i/>
        </w:rPr>
        <w:t>Interconnection</w:t>
      </w:r>
      <w:r w:rsidR="00244F6B">
        <w:rPr>
          <w:i/>
        </w:rPr>
        <w:t>, LLC</w:t>
      </w:r>
      <w:r w:rsidR="00244F6B">
        <w:t>, Docket No. EL14-94-000 (</w:t>
      </w:r>
      <w:r w:rsidRPr="003D2D59">
        <w:t xml:space="preserve">Initial Brief </w:t>
      </w:r>
      <w:r w:rsidR="00244F6B">
        <w:t xml:space="preserve">of PJM Interconnection, LLC, </w:t>
      </w:r>
      <w:r w:rsidRPr="003D2D59">
        <w:t>at 1, 9</w:t>
      </w:r>
      <w:r w:rsidR="00244F6B">
        <w:t>) (Nov. 3, 2014)</w:t>
      </w:r>
      <w:r w:rsidRPr="003D2D59">
        <w:t>.</w:t>
      </w:r>
      <w:r>
        <w:t xml:space="preserve"> </w:t>
      </w:r>
    </w:p>
  </w:footnote>
  <w:footnote w:id="2">
    <w:p w:rsidR="00776351" w:rsidRPr="00776351" w:rsidRDefault="00776351">
      <w:pPr>
        <w:pStyle w:val="FootnoteText"/>
      </w:pPr>
      <w:r>
        <w:rPr>
          <w:rStyle w:val="FootnoteReference"/>
        </w:rPr>
        <w:footnoteRef/>
      </w:r>
      <w:r>
        <w:t xml:space="preserve"> </w:t>
      </w:r>
      <w:r w:rsidR="003D2D59">
        <w:tab/>
      </w:r>
      <w:r w:rsidR="003D2D59">
        <w:tab/>
      </w:r>
      <w:r>
        <w:rPr>
          <w:i/>
        </w:rPr>
        <w:t xml:space="preserve">Id. </w:t>
      </w:r>
      <w:r>
        <w:t>at 4-5.</w:t>
      </w:r>
    </w:p>
  </w:footnote>
  <w:footnote w:id="3">
    <w:p w:rsidR="00776351" w:rsidRPr="00776351" w:rsidRDefault="00776351">
      <w:pPr>
        <w:pStyle w:val="FootnoteText"/>
      </w:pPr>
      <w:r>
        <w:rPr>
          <w:rStyle w:val="FootnoteReference"/>
        </w:rPr>
        <w:footnoteRef/>
      </w:r>
      <w:r>
        <w:t xml:space="preserve"> </w:t>
      </w:r>
      <w:r w:rsidR="003D2D59">
        <w:tab/>
      </w:r>
      <w:r w:rsidR="003D2D59">
        <w:tab/>
      </w:r>
      <w:r>
        <w:rPr>
          <w:i/>
        </w:rPr>
        <w:t xml:space="preserve">Id. </w:t>
      </w:r>
      <w:r>
        <w:t>at 6-9.</w:t>
      </w:r>
    </w:p>
  </w:footnote>
  <w:footnote w:id="4">
    <w:p w:rsidR="00A14F1A" w:rsidRDefault="00A14F1A">
      <w:pPr>
        <w:pStyle w:val="FootnoteText"/>
      </w:pPr>
      <w:r>
        <w:rPr>
          <w:rStyle w:val="FootnoteReference"/>
        </w:rPr>
        <w:footnoteRef/>
      </w:r>
      <w:r>
        <w:t xml:space="preserve"> </w:t>
      </w:r>
      <w:r w:rsidR="003D2D59">
        <w:tab/>
      </w:r>
      <w:r w:rsidR="003D2D59">
        <w:tab/>
      </w:r>
      <w:r w:rsidR="00FC727E">
        <w:t xml:space="preserve">IMM Comments </w:t>
      </w:r>
      <w:r>
        <w:t xml:space="preserve">at 3-4. </w:t>
      </w:r>
    </w:p>
  </w:footnote>
  <w:footnote w:id="5">
    <w:p w:rsidR="00776351" w:rsidRPr="00776351" w:rsidRDefault="00776351">
      <w:pPr>
        <w:pStyle w:val="FootnoteText"/>
      </w:pPr>
      <w:r>
        <w:rPr>
          <w:rStyle w:val="FootnoteReference"/>
        </w:rPr>
        <w:footnoteRef/>
      </w:r>
      <w:r>
        <w:t xml:space="preserve"> </w:t>
      </w:r>
      <w:r w:rsidR="003D2D59">
        <w:tab/>
      </w:r>
      <w:r w:rsidR="003D2D59">
        <w:tab/>
      </w:r>
      <w:r w:rsidR="00FC727E">
        <w:t xml:space="preserve">IMM Comments </w:t>
      </w:r>
      <w:r>
        <w:t>at 13</w:t>
      </w:r>
      <w:r w:rsidR="00FC727E">
        <w:t>; s</w:t>
      </w:r>
      <w:r>
        <w:t xml:space="preserve">ee OATT Attachment M Section IV.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BF"/>
    <w:rsid w:val="00055C7C"/>
    <w:rsid w:val="00244F6B"/>
    <w:rsid w:val="003A003D"/>
    <w:rsid w:val="003A5162"/>
    <w:rsid w:val="003B0242"/>
    <w:rsid w:val="003D2D59"/>
    <w:rsid w:val="006740FB"/>
    <w:rsid w:val="00776351"/>
    <w:rsid w:val="007F28BF"/>
    <w:rsid w:val="008224B2"/>
    <w:rsid w:val="00840CD2"/>
    <w:rsid w:val="008D3D99"/>
    <w:rsid w:val="00981BD1"/>
    <w:rsid w:val="009B40C7"/>
    <w:rsid w:val="009B5FA9"/>
    <w:rsid w:val="009C79D3"/>
    <w:rsid w:val="00A14F1A"/>
    <w:rsid w:val="00A26415"/>
    <w:rsid w:val="00A77B19"/>
    <w:rsid w:val="00B0204D"/>
    <w:rsid w:val="00B04AF9"/>
    <w:rsid w:val="00DA2574"/>
    <w:rsid w:val="00E93AD7"/>
    <w:rsid w:val="00FC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815F5DF-C11A-4176-B3FB-2FA7253B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BF"/>
  </w:style>
  <w:style w:type="paragraph" w:styleId="Heading1">
    <w:name w:val="heading 1"/>
    <w:basedOn w:val="Normal"/>
    <w:next w:val="Normal"/>
    <w:link w:val="Heading1Char"/>
    <w:autoRedefine/>
    <w:uiPriority w:val="99"/>
    <w:qFormat/>
    <w:rsid w:val="007F28BF"/>
    <w:pPr>
      <w:keepNext/>
      <w:keepLines/>
      <w:spacing w:before="360" w:after="240" w:line="240" w:lineRule="auto"/>
      <w:ind w:left="720" w:hanging="72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autoRedefine/>
    <w:uiPriority w:val="9"/>
    <w:unhideWhenUsed/>
    <w:qFormat/>
    <w:rsid w:val="007F28BF"/>
    <w:pPr>
      <w:keepNext/>
      <w:keepLines/>
      <w:spacing w:before="360" w:after="240" w:line="240" w:lineRule="auto"/>
      <w:ind w:left="1440" w:right="1440" w:hanging="72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28B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F28BF"/>
    <w:rPr>
      <w:rFonts w:ascii="Times New Roman" w:eastAsiaTheme="majorEastAsia" w:hAnsi="Times New Roman" w:cstheme="majorBidi"/>
      <w:b/>
      <w:bCs/>
      <w:sz w:val="28"/>
      <w:szCs w:val="26"/>
    </w:rPr>
  </w:style>
  <w:style w:type="character" w:styleId="Hyperlink">
    <w:name w:val="Hyperlink"/>
    <w:basedOn w:val="DefaultParagraphFont"/>
    <w:uiPriority w:val="99"/>
    <w:semiHidden/>
    <w:unhideWhenUsed/>
    <w:rsid w:val="007F28BF"/>
    <w:rPr>
      <w:rFonts w:ascii="Times New Roman" w:hAnsi="Times New Roman" w:cs="Times New Roman" w:hint="default"/>
      <w:color w:val="0000FF"/>
      <w:u w:val="single"/>
    </w:rPr>
  </w:style>
  <w:style w:type="paragraph" w:customStyle="1" w:styleId="Textstyle">
    <w:name w:val="Text style"/>
    <w:basedOn w:val="Normal"/>
    <w:link w:val="TextstyleChar"/>
    <w:autoRedefine/>
    <w:rsid w:val="003D2D59"/>
    <w:pPr>
      <w:autoSpaceDE w:val="0"/>
      <w:autoSpaceDN w:val="0"/>
      <w:adjustRightInd w:val="0"/>
      <w:spacing w:after="0" w:line="480" w:lineRule="auto"/>
    </w:pPr>
    <w:rPr>
      <w:rFonts w:ascii="Times New Roman" w:hAnsi="Times New Roman" w:cs="Times New Roman"/>
      <w:color w:val="000000"/>
      <w:sz w:val="26"/>
      <w:szCs w:val="26"/>
    </w:rPr>
  </w:style>
  <w:style w:type="paragraph" w:customStyle="1" w:styleId="Blockquote">
    <w:name w:val="Block quote"/>
    <w:basedOn w:val="Normal"/>
    <w:autoRedefine/>
    <w:rsid w:val="007F28BF"/>
    <w:pPr>
      <w:autoSpaceDE w:val="0"/>
      <w:autoSpaceDN w:val="0"/>
      <w:adjustRightInd w:val="0"/>
      <w:spacing w:after="260" w:line="240" w:lineRule="auto"/>
      <w:ind w:left="1440" w:right="1440"/>
      <w:jc w:val="both"/>
    </w:pPr>
    <w:rPr>
      <w:rFonts w:ascii="Times New Roman" w:hAnsi="Times New Roman" w:cs="Times New Roman"/>
      <w:sz w:val="26"/>
      <w:szCs w:val="26"/>
    </w:rPr>
  </w:style>
  <w:style w:type="paragraph" w:styleId="FootnoteText">
    <w:name w:val="footnote text"/>
    <w:basedOn w:val="Normal"/>
    <w:link w:val="FootnoteTextChar"/>
    <w:autoRedefine/>
    <w:uiPriority w:val="99"/>
    <w:semiHidden/>
    <w:unhideWhenUsed/>
    <w:rsid w:val="003D2D59"/>
    <w:pPr>
      <w:spacing w:before="240" w:after="240" w:line="240" w:lineRule="auto"/>
      <w:ind w:left="720" w:hanging="720"/>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3D2D59"/>
    <w:rPr>
      <w:rFonts w:ascii="Times New Roman" w:hAnsi="Times New Roman"/>
      <w:sz w:val="24"/>
      <w:szCs w:val="20"/>
    </w:rPr>
  </w:style>
  <w:style w:type="character" w:styleId="FootnoteReference">
    <w:name w:val="footnote reference"/>
    <w:basedOn w:val="DefaultParagraphFont"/>
    <w:uiPriority w:val="99"/>
    <w:semiHidden/>
    <w:unhideWhenUsed/>
    <w:rsid w:val="00A14F1A"/>
    <w:rPr>
      <w:vertAlign w:val="superscript"/>
    </w:rPr>
  </w:style>
  <w:style w:type="paragraph" w:styleId="Footer">
    <w:name w:val="footer"/>
    <w:basedOn w:val="Normal"/>
    <w:link w:val="FooterChar"/>
    <w:uiPriority w:val="99"/>
    <w:unhideWhenUsed/>
    <w:rsid w:val="00B0204D"/>
    <w:pPr>
      <w:tabs>
        <w:tab w:val="center" w:pos="4680"/>
        <w:tab w:val="right" w:pos="9360"/>
      </w:tabs>
      <w:spacing w:after="0" w:line="240" w:lineRule="auto"/>
      <w:ind w:firstLine="720"/>
      <w:contextualSpacing/>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B0204D"/>
    <w:rPr>
      <w:rFonts w:ascii="Times New Roman" w:hAnsi="Times New Roman" w:cs="Times New Roman"/>
      <w:sz w:val="24"/>
      <w:szCs w:val="24"/>
    </w:rPr>
  </w:style>
  <w:style w:type="paragraph" w:styleId="NoSpacing">
    <w:name w:val="No Spacing"/>
    <w:uiPriority w:val="1"/>
    <w:qFormat/>
    <w:rsid w:val="00B0204D"/>
    <w:pPr>
      <w:spacing w:after="0" w:line="240" w:lineRule="auto"/>
      <w:ind w:left="1440" w:right="1440"/>
      <w:contextualSpacing/>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B4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C7"/>
    <w:rPr>
      <w:rFonts w:ascii="Tahoma" w:hAnsi="Tahoma" w:cs="Tahoma"/>
      <w:sz w:val="16"/>
      <w:szCs w:val="16"/>
    </w:rPr>
  </w:style>
  <w:style w:type="character" w:customStyle="1" w:styleId="TextstyleChar">
    <w:name w:val="Text style Char"/>
    <w:link w:val="Textstyle"/>
    <w:rsid w:val="00DA2574"/>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mcnamee@puc.state.oh.us" TargetMode="External"/><Relationship Id="rId3" Type="http://schemas.openxmlformats.org/officeDocument/2006/relationships/settings" Target="settings.xml"/><Relationship Id="rId7" Type="http://schemas.openxmlformats.org/officeDocument/2006/relationships/hyperlink" Target="mailto:jonathan.tauber@puc.state.oh.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4047-D0A9-400F-A719-0E59DAB7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Tauber, Jonathan</dc:creator>
  <cp:lastModifiedBy>Keeton, Kim</cp:lastModifiedBy>
  <cp:revision>7</cp:revision>
  <cp:lastPrinted>2014-12-08T17:15:00Z</cp:lastPrinted>
  <dcterms:created xsi:type="dcterms:W3CDTF">2014-12-10T13:19:00Z</dcterms:created>
  <dcterms:modified xsi:type="dcterms:W3CDTF">2014-12-10T13:35:00Z</dcterms:modified>
</cp:coreProperties>
</file>