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F543D" w:rsidRPr="006D7EE2" w:rsidP="004F543D" w14:paraId="68ADFFF3" w14:textId="77777777">
      <w:pPr>
        <w:jc w:val="center"/>
        <w:rPr>
          <w:b/>
        </w:rPr>
      </w:pPr>
      <w:r w:rsidRPr="006D7EE2">
        <w:rPr>
          <w:b/>
        </w:rPr>
        <w:t>BEFORE</w:t>
      </w:r>
    </w:p>
    <w:p w:rsidR="004F543D" w:rsidRPr="006D7EE2" w:rsidP="004F543D" w14:paraId="76410862" w14:textId="77777777">
      <w:pPr>
        <w:jc w:val="center"/>
        <w:rPr>
          <w:b/>
          <w:bCs/>
        </w:rPr>
      </w:pPr>
      <w:r w:rsidRPr="006D7EE2">
        <w:rPr>
          <w:b/>
          <w:bCs/>
        </w:rPr>
        <w:t>THE PUBLIC UTILITIES COMMISSION OF OHIO</w:t>
      </w:r>
    </w:p>
    <w:p w:rsidR="004F543D" w:rsidRPr="006D7EE2" w:rsidP="004F543D" w14:paraId="37EB8227" w14:textId="77777777">
      <w:pPr>
        <w:jc w:val="center"/>
        <w:rPr>
          <w:b/>
          <w:bCs/>
        </w:rPr>
      </w:pPr>
    </w:p>
    <w:tbl>
      <w:tblPr>
        <w:tblW w:w="9092" w:type="dxa"/>
        <w:tblInd w:w="0" w:type="dxa"/>
        <w:tblCellMar>
          <w:top w:w="0" w:type="dxa"/>
          <w:left w:w="108" w:type="dxa"/>
          <w:bottom w:w="0" w:type="dxa"/>
          <w:right w:w="108" w:type="dxa"/>
        </w:tblCellMar>
        <w:tblLook w:val="01E0"/>
      </w:tblPr>
      <w:tblGrid>
        <w:gridCol w:w="4332"/>
        <w:gridCol w:w="528"/>
        <w:gridCol w:w="4232"/>
      </w:tblGrid>
      <w:tr w14:paraId="276AA678" w14:textId="77777777" w:rsidTr="00BE05D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A4EA2" w:rsidRPr="006D7EE2" w:rsidP="00BE05DA" w14:paraId="71A04E84" w14:textId="367D07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 xml:space="preserve">In the Matter of the Review of the Non-Market-Based Services Rider Contained in the Tariffs of Ohio Edison Company, </w:t>
            </w:r>
            <w:r w:rsidR="00F52B71">
              <w:rPr>
                <w:rFonts w:ascii="Times New Roman" w:eastAsia="Courier New" w:hAnsi="Times New Roman" w:cs="Times New Roman"/>
                <w:sz w:val="24"/>
                <w:szCs w:val="24"/>
                <w:lang w:val="en-US" w:eastAsia="en-US" w:bidi="ar-SA"/>
              </w:rPr>
              <w:t>T</w:t>
            </w:r>
            <w:r w:rsidRPr="006D7EE2">
              <w:rPr>
                <w:rFonts w:ascii="Times New Roman" w:eastAsia="Courier New" w:hAnsi="Times New Roman" w:cs="Times New Roman"/>
                <w:sz w:val="24"/>
                <w:szCs w:val="24"/>
                <w:lang w:val="en-US" w:eastAsia="en-US" w:bidi="ar-SA"/>
              </w:rPr>
              <w:t xml:space="preserve">he Cleveland Electric Illuminating Company and </w:t>
            </w:r>
            <w:r w:rsidR="00F52B71">
              <w:rPr>
                <w:rFonts w:ascii="Times New Roman" w:eastAsia="Courier New" w:hAnsi="Times New Roman" w:cs="Times New Roman"/>
                <w:sz w:val="24"/>
                <w:szCs w:val="24"/>
                <w:lang w:val="en-US" w:eastAsia="en-US" w:bidi="ar-SA"/>
              </w:rPr>
              <w:t>T</w:t>
            </w:r>
            <w:r w:rsidRPr="006D7EE2">
              <w:rPr>
                <w:rFonts w:ascii="Times New Roman" w:eastAsia="Courier New" w:hAnsi="Times New Roman" w:cs="Times New Roman"/>
                <w:sz w:val="24"/>
                <w:szCs w:val="24"/>
                <w:lang w:val="en-US" w:eastAsia="en-US" w:bidi="ar-SA"/>
              </w:rPr>
              <w:t>he Toledo Edison Company.</w:t>
            </w:r>
          </w:p>
        </w:tc>
        <w:tc>
          <w:tcPr>
            <w:tcW w:w="528" w:type="dxa"/>
            <w:shd w:val="clear" w:color="auto" w:fill="auto"/>
          </w:tcPr>
          <w:p w:rsidR="004A4EA2" w:rsidRPr="006D7EE2" w:rsidP="00BE05DA" w14:paraId="2DF1092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12F9DA7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163FD0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2938C38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01B0C63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455B91D0" w14:textId="090B7B5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tc>
        <w:tc>
          <w:tcPr>
            <w:tcW w:w="4232" w:type="dxa"/>
            <w:shd w:val="clear" w:color="auto" w:fill="auto"/>
          </w:tcPr>
          <w:p w:rsidR="004A4EA2" w:rsidRPr="006D7EE2" w:rsidP="00BE05DA" w14:paraId="64F5B37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4A4EA2" w:rsidRPr="006D7EE2" w:rsidP="00BE05DA" w14:paraId="40F2294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4A4EA2" w:rsidRPr="006D7EE2" w:rsidP="00BE05DA" w14:paraId="2526753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Case No. 24-22-EL-RDR</w:t>
            </w:r>
          </w:p>
          <w:p w:rsidR="004A4EA2" w:rsidRPr="006D7EE2" w:rsidP="00BE05DA" w14:paraId="4F6B927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4A4EA2" w:rsidRPr="006D7EE2" w:rsidP="00BE05DA" w14:paraId="6CDE2CF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4A4EA2" w:rsidRPr="006D7EE2" w:rsidP="00BE05DA" w14:paraId="226F6B0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4F543D" w:rsidRPr="006D7EE2" w:rsidP="004F543D" w14:paraId="770FC420"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4F543D" w:rsidRPr="006D7EE2" w:rsidP="004F543D" w14:paraId="32E3F0FE" w14:textId="77777777">
      <w:pPr>
        <w:jc w:val="center"/>
        <w:rPr>
          <w:b/>
        </w:rPr>
      </w:pPr>
    </w:p>
    <w:p w:rsidR="004F543D" w:rsidRPr="006D7EE2" w:rsidP="004F543D" w14:paraId="6DA1135E" w14:textId="77777777">
      <w:pPr>
        <w:jc w:val="center"/>
        <w:rPr>
          <w:b/>
        </w:rPr>
      </w:pPr>
      <w:r w:rsidRPr="006D7EE2">
        <w:rPr>
          <w:b/>
        </w:rPr>
        <w:t xml:space="preserve">APPLICATION FOR REHEARING </w:t>
      </w:r>
    </w:p>
    <w:p w:rsidR="004F543D" w:rsidRPr="006D7EE2" w:rsidP="004F543D" w14:paraId="5770E7D8" w14:textId="77777777">
      <w:pPr>
        <w:jc w:val="center"/>
        <w:rPr>
          <w:b/>
        </w:rPr>
      </w:pPr>
      <w:r w:rsidRPr="006D7EE2">
        <w:rPr>
          <w:b/>
        </w:rPr>
        <w:t>BY</w:t>
      </w:r>
    </w:p>
    <w:p w:rsidR="004F543D" w:rsidRPr="006D7EE2" w:rsidP="004F543D" w14:paraId="217B3C7C" w14:textId="2D4A350D">
      <w:pPr>
        <w:jc w:val="center"/>
        <w:rPr>
          <w:b/>
        </w:rPr>
      </w:pPr>
      <w:r w:rsidRPr="006D7EE2">
        <w:rPr>
          <w:b/>
        </w:rPr>
        <w:t>OFFICE OF THE OHIO CONSUMERS</w:t>
      </w:r>
      <w:r w:rsidR="006D7EE2">
        <w:rPr>
          <w:b/>
        </w:rPr>
        <w:t>’</w:t>
      </w:r>
      <w:r w:rsidRPr="006D7EE2">
        <w:rPr>
          <w:b/>
        </w:rPr>
        <w:t xml:space="preserve"> COUNSEL </w:t>
      </w:r>
    </w:p>
    <w:p w:rsidR="004F543D" w:rsidRPr="006D7EE2" w:rsidP="004F543D" w14:paraId="0FCC33EC" w14:textId="77777777">
      <w:pPr>
        <w:pBdr>
          <w:bottom w:val="single" w:sz="12" w:space="1" w:color="auto"/>
        </w:pBdr>
        <w:jc w:val="center"/>
        <w:rPr>
          <w:b/>
        </w:rPr>
      </w:pPr>
    </w:p>
    <w:p w:rsidR="004F543D" w:rsidRPr="006D7EE2" w:rsidP="00DD7E95" w14:paraId="6DC806EF" w14:textId="77777777">
      <w:pPr>
        <w:jc w:val="center"/>
        <w:rPr>
          <w:b/>
        </w:rPr>
      </w:pPr>
    </w:p>
    <w:p w:rsidR="004F543D" w:rsidRPr="006D7EE2" w:rsidP="004F543D" w14:paraId="10E91CB6" w14:textId="77777777"/>
    <w:p w:rsidR="004F543D" w:rsidRPr="006D7EE2" w:rsidP="004F543D" w14:paraId="60DACBAB" w14:textId="77777777">
      <w:pPr>
        <w:pStyle w:val="Footer"/>
        <w:tabs>
          <w:tab w:val="clear" w:pos="4320"/>
          <w:tab w:val="clear" w:pos="8640"/>
        </w:tabs>
        <w:ind w:left="4320"/>
        <w:rPr>
          <w:sz w:val="24"/>
        </w:rPr>
      </w:pPr>
      <w:r w:rsidRPr="006D7EE2">
        <w:rPr>
          <w:sz w:val="24"/>
        </w:rPr>
        <w:t>Maureen Willis (0020847)</w:t>
      </w:r>
    </w:p>
    <w:p w:rsidR="004F543D" w:rsidRPr="006D7EE2" w:rsidP="004F543D" w14:paraId="30AEE453" w14:textId="01804968">
      <w:pPr>
        <w:tabs>
          <w:tab w:val="left" w:pos="4320"/>
        </w:tabs>
        <w:ind w:left="4320" w:hanging="450"/>
      </w:pPr>
      <w:r w:rsidRPr="006D7EE2">
        <w:tab/>
        <w:t>Ohio Consumers</w:t>
      </w:r>
      <w:r w:rsidR="006D7EE2">
        <w:t>’</w:t>
      </w:r>
      <w:r w:rsidRPr="006D7EE2">
        <w:t xml:space="preserve"> Counsel</w:t>
      </w:r>
    </w:p>
    <w:p w:rsidR="004F543D" w:rsidRPr="006D7EE2" w:rsidP="004F543D" w14:paraId="407A026B" w14:textId="77777777">
      <w:pPr>
        <w:tabs>
          <w:tab w:val="left" w:pos="4320"/>
        </w:tabs>
        <w:ind w:left="4320"/>
      </w:pPr>
    </w:p>
    <w:p w:rsidR="00454276" w:rsidRPr="006D7EE2" w:rsidP="00454276" w14:paraId="716F11CE" w14:textId="77777777">
      <w:pPr>
        <w:tabs>
          <w:tab w:val="left" w:pos="8730"/>
        </w:tabs>
        <w:ind w:left="4320"/>
      </w:pPr>
      <w:r w:rsidRPr="006D7EE2">
        <w:t xml:space="preserve">William J. Michael (0070921) </w:t>
      </w:r>
      <w:r w:rsidRPr="006D7EE2">
        <w:br/>
        <w:t>Counsel of Record</w:t>
      </w:r>
      <w:r w:rsidRPr="006D7EE2">
        <w:br/>
        <w:t>Donald J. Kral (0042091)</w:t>
      </w:r>
    </w:p>
    <w:p w:rsidR="00454276" w:rsidRPr="006D7EE2" w:rsidP="00454276" w14:paraId="4D0B11A8" w14:textId="03193CE9">
      <w:pPr>
        <w:tabs>
          <w:tab w:val="left" w:pos="8730"/>
        </w:tabs>
        <w:ind w:left="4320"/>
      </w:pPr>
      <w:r w:rsidRPr="006D7EE2">
        <w:t>Assistant Consumers</w:t>
      </w:r>
      <w:r w:rsidR="006D7EE2">
        <w:t>’</w:t>
      </w:r>
      <w:r w:rsidRPr="006D7EE2">
        <w:t xml:space="preserve"> Counsel</w:t>
      </w:r>
    </w:p>
    <w:p w:rsidR="00454276" w:rsidRPr="006D7EE2" w:rsidP="00454276" w14:paraId="3CB143C1" w14:textId="77777777">
      <w:pPr>
        <w:tabs>
          <w:tab w:val="left" w:pos="8730"/>
        </w:tabs>
        <w:ind w:left="4320"/>
      </w:pPr>
    </w:p>
    <w:p w:rsidR="00454276" w:rsidRPr="006D7EE2" w:rsidP="00454276" w14:paraId="77812843" w14:textId="612BC627">
      <w:pPr>
        <w:tabs>
          <w:tab w:val="left" w:pos="8730"/>
        </w:tabs>
        <w:ind w:left="4320"/>
        <w:rPr>
          <w:b/>
          <w:bCs/>
        </w:rPr>
      </w:pPr>
      <w:r w:rsidRPr="006D7EE2">
        <w:rPr>
          <w:b/>
          <w:bCs/>
        </w:rPr>
        <w:t>Office of the Ohio Consumers</w:t>
      </w:r>
      <w:r w:rsidR="006D7EE2">
        <w:rPr>
          <w:b/>
          <w:bCs/>
        </w:rPr>
        <w:t>’</w:t>
      </w:r>
      <w:r w:rsidRPr="006D7EE2">
        <w:rPr>
          <w:b/>
          <w:bCs/>
        </w:rPr>
        <w:t xml:space="preserve"> Counsel</w:t>
      </w:r>
    </w:p>
    <w:p w:rsidR="00454276" w:rsidRPr="006D7EE2" w:rsidP="00454276" w14:paraId="30F29AC9" w14:textId="77777777">
      <w:pPr>
        <w:tabs>
          <w:tab w:val="left" w:pos="8730"/>
        </w:tabs>
        <w:ind w:left="4320"/>
      </w:pPr>
      <w:r w:rsidRPr="006D7EE2">
        <w:t>65 East State Street, Suite 700</w:t>
      </w:r>
    </w:p>
    <w:p w:rsidR="00454276" w:rsidRPr="006D7EE2" w:rsidP="00454276" w14:paraId="6628E204" w14:textId="77777777">
      <w:pPr>
        <w:tabs>
          <w:tab w:val="left" w:pos="8730"/>
        </w:tabs>
        <w:ind w:left="4320"/>
      </w:pPr>
      <w:r w:rsidRPr="006D7EE2">
        <w:t>Columbus, Ohio 43215</w:t>
      </w:r>
    </w:p>
    <w:p w:rsidR="00454276" w:rsidRPr="006D7EE2" w:rsidP="00454276" w14:paraId="49739ADB" w14:textId="77777777">
      <w:pPr>
        <w:tabs>
          <w:tab w:val="left" w:pos="8730"/>
        </w:tabs>
        <w:ind w:left="4320"/>
      </w:pPr>
      <w:r w:rsidRPr="006D7EE2">
        <w:t>Telephone [Michael]: (614) 466-1291</w:t>
      </w:r>
    </w:p>
    <w:p w:rsidR="00454276" w:rsidRPr="006D7EE2" w:rsidP="00454276" w14:paraId="73089082" w14:textId="77777777">
      <w:pPr>
        <w:tabs>
          <w:tab w:val="left" w:pos="8730"/>
        </w:tabs>
        <w:ind w:left="4320"/>
      </w:pPr>
      <w:r w:rsidRPr="006D7EE2">
        <w:t>Telephone [Kral]: (614) 466-9571</w:t>
      </w:r>
    </w:p>
    <w:p w:rsidR="00454276" w:rsidRPr="006D7EE2" w:rsidP="00454276" w14:paraId="2A9CB9F9" w14:textId="77777777">
      <w:pPr>
        <w:tabs>
          <w:tab w:val="left" w:pos="8730"/>
        </w:tabs>
        <w:ind w:left="4320"/>
        <w:rPr>
          <w:color w:val="0000FF"/>
        </w:rPr>
      </w:pPr>
      <w:hyperlink r:id="rId6" w:history="1">
        <w:r w:rsidRPr="006D7EE2">
          <w:rPr>
            <w:rStyle w:val="Hyperlink"/>
          </w:rPr>
          <w:t>william.michael@occ.ohio.gov</w:t>
        </w:r>
      </w:hyperlink>
      <w:r w:rsidRPr="006D7EE2">
        <w:rPr>
          <w:color w:val="0000FF"/>
        </w:rPr>
        <w:t xml:space="preserve"> </w:t>
      </w:r>
    </w:p>
    <w:p w:rsidR="00454276" w:rsidRPr="006D7EE2" w:rsidP="00454276" w14:paraId="59974AEA" w14:textId="77777777">
      <w:pPr>
        <w:tabs>
          <w:tab w:val="left" w:pos="8730"/>
        </w:tabs>
        <w:ind w:left="4320"/>
        <w:rPr>
          <w:rStyle w:val="Hyperlink"/>
        </w:rPr>
      </w:pPr>
      <w:r w:rsidRPr="006D7EE2">
        <w:rPr>
          <w:rStyle w:val="Hyperlink"/>
        </w:rPr>
        <w:t>donald.kral@occ.ohio.gov</w:t>
      </w:r>
    </w:p>
    <w:p w:rsidR="00454276" w:rsidRPr="006D7EE2" w:rsidP="00454276" w14:paraId="1C21DB76" w14:textId="371C1155">
      <w:pPr>
        <w:tabs>
          <w:tab w:val="left" w:pos="8730"/>
        </w:tabs>
        <w:ind w:left="4320" w:hanging="4320"/>
      </w:pPr>
      <w:r w:rsidRPr="006D7EE2">
        <w:t>April 19, 2024</w:t>
      </w:r>
      <w:r w:rsidRPr="006D7EE2">
        <w:tab/>
        <w:t xml:space="preserve">(willing to accept service by e-mail) </w:t>
      </w:r>
    </w:p>
    <w:p w:rsidR="004F543D" w:rsidRPr="006D7EE2" w:rsidP="004F543D" w14:paraId="480D85A2" w14:textId="565338B4">
      <w:pPr>
        <w:ind w:left="4320" w:hanging="4320"/>
        <w:rPr>
          <w:color w:val="0000FF"/>
          <w:u w:val="single"/>
        </w:rPr>
        <w:sectPr w:rsidSect="00290CF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r w:rsidRPr="006D7EE2">
        <w:tab/>
      </w:r>
    </w:p>
    <w:p w:rsidR="00437C02" w:rsidRPr="006D7EE2" w:rsidP="00DD7E95" w14:paraId="265F8E8F" w14:textId="77777777">
      <w:pPr>
        <w:jc w:val="center"/>
        <w:rPr>
          <w:b/>
        </w:rPr>
      </w:pPr>
      <w:r w:rsidRPr="006D7EE2">
        <w:rPr>
          <w:b/>
        </w:rPr>
        <w:t>BEFORE</w:t>
      </w:r>
    </w:p>
    <w:p w:rsidR="00437C02" w:rsidRPr="006D7EE2" w:rsidP="00DD7E95" w14:paraId="3AECC403" w14:textId="77777777">
      <w:pPr>
        <w:jc w:val="center"/>
        <w:rPr>
          <w:b/>
          <w:bCs/>
        </w:rPr>
      </w:pPr>
      <w:r w:rsidRPr="006D7EE2">
        <w:rPr>
          <w:b/>
          <w:bCs/>
        </w:rPr>
        <w:t>THE PUBLIC UTILITIES COMMISSION OF OHIO</w:t>
      </w:r>
    </w:p>
    <w:p w:rsidR="00437C02" w:rsidRPr="006D7EE2" w:rsidP="00DD7E95" w14:paraId="28288C8B" w14:textId="77777777">
      <w:pPr>
        <w:jc w:val="center"/>
        <w:rPr>
          <w:b/>
          <w:bCs/>
        </w:rPr>
      </w:pPr>
    </w:p>
    <w:tbl>
      <w:tblPr>
        <w:tblW w:w="9092" w:type="dxa"/>
        <w:tblInd w:w="0" w:type="dxa"/>
        <w:tblCellMar>
          <w:top w:w="0" w:type="dxa"/>
          <w:left w:w="108" w:type="dxa"/>
          <w:bottom w:w="0" w:type="dxa"/>
          <w:right w:w="108" w:type="dxa"/>
        </w:tblCellMar>
        <w:tblLook w:val="01E0"/>
      </w:tblPr>
      <w:tblGrid>
        <w:gridCol w:w="4332"/>
        <w:gridCol w:w="528"/>
        <w:gridCol w:w="4232"/>
      </w:tblGrid>
      <w:tr w14:paraId="79209DE2" w14:textId="77777777" w:rsidTr="00BE05D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A4EA2" w:rsidRPr="006D7EE2" w:rsidP="00BE05DA" w14:paraId="003B8E73" w14:textId="563CDCD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 xml:space="preserve">In the Matter of the Review of the Non-Market-Based Services Rider Contained in the Tariffs of Ohio Edison Company, </w:t>
            </w:r>
            <w:r w:rsidR="004C5B4F">
              <w:rPr>
                <w:rFonts w:ascii="Times New Roman" w:eastAsia="Courier New" w:hAnsi="Times New Roman" w:cs="Times New Roman"/>
                <w:sz w:val="24"/>
                <w:szCs w:val="24"/>
                <w:lang w:val="en-US" w:eastAsia="en-US" w:bidi="ar-SA"/>
              </w:rPr>
              <w:t>T</w:t>
            </w:r>
            <w:r w:rsidRPr="006D7EE2">
              <w:rPr>
                <w:rFonts w:ascii="Times New Roman" w:eastAsia="Courier New" w:hAnsi="Times New Roman" w:cs="Times New Roman"/>
                <w:sz w:val="24"/>
                <w:szCs w:val="24"/>
                <w:lang w:val="en-US" w:eastAsia="en-US" w:bidi="ar-SA"/>
              </w:rPr>
              <w:t xml:space="preserve">he Cleveland Electric Illuminating Company and </w:t>
            </w:r>
            <w:r w:rsidR="004C5B4F">
              <w:rPr>
                <w:rFonts w:ascii="Times New Roman" w:eastAsia="Courier New" w:hAnsi="Times New Roman" w:cs="Times New Roman"/>
                <w:sz w:val="24"/>
                <w:szCs w:val="24"/>
                <w:lang w:val="en-US" w:eastAsia="en-US" w:bidi="ar-SA"/>
              </w:rPr>
              <w:t>T</w:t>
            </w:r>
            <w:r w:rsidRPr="006D7EE2">
              <w:rPr>
                <w:rFonts w:ascii="Times New Roman" w:eastAsia="Courier New" w:hAnsi="Times New Roman" w:cs="Times New Roman"/>
                <w:sz w:val="24"/>
                <w:szCs w:val="24"/>
                <w:lang w:val="en-US" w:eastAsia="en-US" w:bidi="ar-SA"/>
              </w:rPr>
              <w:t>he Toledo Edison Company.</w:t>
            </w:r>
          </w:p>
        </w:tc>
        <w:tc>
          <w:tcPr>
            <w:tcW w:w="528" w:type="dxa"/>
            <w:shd w:val="clear" w:color="auto" w:fill="auto"/>
          </w:tcPr>
          <w:p w:rsidR="004A4EA2" w:rsidRPr="006D7EE2" w:rsidP="00BE05DA" w14:paraId="07D48B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7FF1B5C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76D8B96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734E89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2701AE4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4A4EA2" w:rsidRPr="006D7EE2" w:rsidP="00BE05DA" w14:paraId="0688228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tc>
        <w:tc>
          <w:tcPr>
            <w:tcW w:w="4232" w:type="dxa"/>
            <w:shd w:val="clear" w:color="auto" w:fill="auto"/>
          </w:tcPr>
          <w:p w:rsidR="004A4EA2" w:rsidRPr="006D7EE2" w:rsidP="00BE05DA" w14:paraId="2FA1601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4A4EA2" w:rsidRPr="006D7EE2" w:rsidP="00BE05DA" w14:paraId="5CF15F4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4A4EA2" w:rsidRPr="006D7EE2" w:rsidP="00BE05DA" w14:paraId="32DFF9D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Case No. 24-22-EL-RDR</w:t>
            </w:r>
          </w:p>
          <w:p w:rsidR="004A4EA2" w:rsidRPr="006D7EE2" w:rsidP="00BE05DA" w14:paraId="55813E1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4A4EA2" w:rsidRPr="006D7EE2" w:rsidP="00BE05DA" w14:paraId="5A37078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4A4EA2" w:rsidRPr="006D7EE2" w:rsidP="00BE05DA" w14:paraId="0C2817A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437C02" w:rsidRPr="006D7EE2" w:rsidP="00DD7E95" w14:paraId="00F6DF7E"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437C02" w:rsidRPr="006D7EE2" w:rsidP="00DD7E95" w14:paraId="19E8A298" w14:textId="77777777">
      <w:pPr>
        <w:jc w:val="center"/>
        <w:rPr>
          <w:b/>
        </w:rPr>
      </w:pPr>
    </w:p>
    <w:p w:rsidR="00437C02" w:rsidRPr="006D7EE2" w:rsidP="00DD7E95" w14:paraId="0CB24F14" w14:textId="77777777">
      <w:pPr>
        <w:jc w:val="center"/>
        <w:rPr>
          <w:b/>
        </w:rPr>
      </w:pPr>
      <w:r w:rsidRPr="006D7EE2">
        <w:rPr>
          <w:b/>
        </w:rPr>
        <w:t xml:space="preserve">APPLICATION FOR REHEARING </w:t>
      </w:r>
    </w:p>
    <w:p w:rsidR="00437C02" w:rsidRPr="006D7EE2" w:rsidP="00DD7E95" w14:paraId="2F90778A" w14:textId="77777777">
      <w:pPr>
        <w:jc w:val="center"/>
        <w:rPr>
          <w:b/>
        </w:rPr>
      </w:pPr>
      <w:r w:rsidRPr="006D7EE2">
        <w:rPr>
          <w:b/>
        </w:rPr>
        <w:t>BY</w:t>
      </w:r>
    </w:p>
    <w:p w:rsidR="00437C02" w:rsidRPr="006D7EE2" w:rsidP="00DD7E95" w14:paraId="5446ACFB" w14:textId="124E0AAC">
      <w:pPr>
        <w:jc w:val="center"/>
        <w:rPr>
          <w:b/>
        </w:rPr>
      </w:pPr>
      <w:r w:rsidRPr="006D7EE2">
        <w:rPr>
          <w:b/>
        </w:rPr>
        <w:t>OFFICE OF THE OHIO CONSUMERS</w:t>
      </w:r>
      <w:r w:rsidR="006D7EE2">
        <w:rPr>
          <w:b/>
        </w:rPr>
        <w:t>’</w:t>
      </w:r>
      <w:r w:rsidRPr="006D7EE2">
        <w:rPr>
          <w:b/>
        </w:rPr>
        <w:t xml:space="preserve"> COUNSEL </w:t>
      </w:r>
    </w:p>
    <w:p w:rsidR="00437C02" w:rsidRPr="006D7EE2" w:rsidP="00DD7E95" w14:paraId="3666F216" w14:textId="77777777">
      <w:pPr>
        <w:pBdr>
          <w:bottom w:val="single" w:sz="12" w:space="1" w:color="auto"/>
        </w:pBdr>
        <w:jc w:val="center"/>
        <w:rPr>
          <w:b/>
        </w:rPr>
      </w:pPr>
    </w:p>
    <w:p w:rsidR="00437C02" w:rsidRPr="006D7EE2" w:rsidP="00DD7E95" w14:paraId="26621082" w14:textId="77777777">
      <w:pPr>
        <w:ind w:firstLine="48"/>
      </w:pPr>
    </w:p>
    <w:p w:rsidR="00437C02" w:rsidRPr="006D7EE2" w:rsidP="00DD7E95" w14:paraId="1B200EE4" w14:textId="547D1CCF">
      <w:pPr>
        <w:spacing w:line="480" w:lineRule="auto"/>
        <w:ind w:firstLine="720"/>
      </w:pPr>
      <w:r w:rsidRPr="006D7EE2">
        <w:t>The Office of the Ohio Consumers</w:t>
      </w:r>
      <w:r w:rsidR="006D7EE2">
        <w:t>’</w:t>
      </w:r>
      <w:r w:rsidRPr="006D7EE2">
        <w:t xml:space="preserve"> Counsel (</w:t>
      </w:r>
      <w:r w:rsidR="006D7EE2">
        <w:t>“</w:t>
      </w:r>
      <w:r w:rsidRPr="006D7EE2">
        <w:t>OCC</w:t>
      </w:r>
      <w:r w:rsidR="006D7EE2">
        <w:t>”</w:t>
      </w:r>
      <w:r w:rsidRPr="006D7EE2">
        <w:t>) files this Application for Rehearing (</w:t>
      </w:r>
      <w:r w:rsidR="006D7EE2">
        <w:t>“</w:t>
      </w:r>
      <w:r w:rsidRPr="006D7EE2">
        <w:t>Application</w:t>
      </w:r>
      <w:r w:rsidR="006D7EE2">
        <w:t>”</w:t>
      </w:r>
      <w:r w:rsidRPr="006D7EE2">
        <w:t xml:space="preserve">) to protect </w:t>
      </w:r>
      <w:r w:rsidRPr="006D7EE2" w:rsidR="00AF6B9E">
        <w:t xml:space="preserve">residential </w:t>
      </w:r>
      <w:r w:rsidRPr="006D7EE2">
        <w:t xml:space="preserve">consumers </w:t>
      </w:r>
      <w:r w:rsidRPr="006D7EE2" w:rsidR="00AF6B9E">
        <w:t>from having costs shifted to them under FirstEnergy</w:t>
      </w:r>
      <w:r w:rsidR="006D7EE2">
        <w:t>’</w:t>
      </w:r>
      <w:r w:rsidRPr="006D7EE2" w:rsidR="00AF6B9E">
        <w:t>s</w:t>
      </w:r>
      <w:r>
        <w:rPr>
          <w:rStyle w:val="FootnoteReference"/>
        </w:rPr>
        <w:footnoteReference w:id="2"/>
      </w:r>
      <w:r w:rsidRPr="006D7EE2" w:rsidR="00AF6B9E">
        <w:t xml:space="preserve"> Non-Market-Based (</w:t>
      </w:r>
      <w:r w:rsidR="006D7EE2">
        <w:t>“</w:t>
      </w:r>
      <w:r w:rsidRPr="006D7EE2" w:rsidR="00AF6B9E">
        <w:t>NMB</w:t>
      </w:r>
      <w:r w:rsidR="006D7EE2">
        <w:t>”</w:t>
      </w:r>
      <w:r w:rsidRPr="006D7EE2" w:rsidR="00AF6B9E">
        <w:t>) Rider. The rider, which certain non-residential consumers can opt out of paying, is shifting costs to residential consumers who can</w:t>
      </w:r>
      <w:r w:rsidR="006D7EE2">
        <w:t>’</w:t>
      </w:r>
      <w:r w:rsidRPr="006D7EE2" w:rsidR="00AF6B9E">
        <w:t>t avoid the charge.</w:t>
      </w:r>
    </w:p>
    <w:p w:rsidR="00437C02" w:rsidRPr="006D7EE2" w:rsidP="00DD7E95" w14:paraId="37E7F521" w14:textId="169E16A3">
      <w:pPr>
        <w:spacing w:line="480" w:lineRule="auto"/>
        <w:ind w:firstLine="720"/>
      </w:pPr>
      <w:r w:rsidRPr="006D7EE2">
        <w:t xml:space="preserve">The </w:t>
      </w:r>
      <w:r w:rsidRPr="006D7EE2" w:rsidR="00A4388E">
        <w:t>Finding</w:t>
      </w:r>
      <w:r w:rsidRPr="006D7EE2">
        <w:t xml:space="preserve"> and Order harms c</w:t>
      </w:r>
      <w:r w:rsidRPr="006D7EE2" w:rsidR="001F4D20">
        <w:t>onsumers</w:t>
      </w:r>
      <w:r w:rsidRPr="006D7EE2">
        <w:t xml:space="preserve"> and is unreasonable and unlawful in the following respects:</w:t>
      </w:r>
    </w:p>
    <w:p w:rsidR="00F8037C" w:rsidP="00FB26F7" w14:paraId="7A2295A8" w14:textId="18DC23D2">
      <w:pPr>
        <w:ind w:left="720"/>
      </w:pPr>
      <w:r w:rsidRPr="00FB26F7">
        <w:rPr>
          <w:b/>
          <w:bCs/>
        </w:rPr>
        <w:t>ASSIGNMENT OF ERROR 1:</w:t>
      </w:r>
      <w:r w:rsidRPr="006D7EE2">
        <w:t xml:space="preserve"> The PUCO</w:t>
      </w:r>
      <w:r w:rsidR="006D7EE2">
        <w:rPr>
          <w:b/>
        </w:rPr>
        <w:t>’</w:t>
      </w:r>
      <w:r w:rsidRPr="006D7EE2">
        <w:t>s Finding and Order is unlawful and unreasonable because it approved the Application that enables the shifting of costs from pilot participants to others, including residential consumers, in violation of the important regulatory principle of cost-causation.</w:t>
      </w:r>
    </w:p>
    <w:p w:rsidR="00FB26F7" w:rsidRPr="006D7EE2" w:rsidP="00FB26F7" w14:paraId="24CB5CBF" w14:textId="77777777">
      <w:pPr>
        <w:ind w:left="720"/>
      </w:pPr>
    </w:p>
    <w:p w:rsidR="00BB7DAC" w:rsidRPr="006D7EE2" w:rsidP="00294149" w14:paraId="612483A2" w14:textId="307A088C">
      <w:pPr>
        <w:ind w:left="720"/>
      </w:pPr>
      <w:r w:rsidRPr="006D7EE2">
        <w:rPr>
          <w:b/>
          <w:bCs/>
        </w:rPr>
        <w:t xml:space="preserve">ASSIGNMENT OF ERROR </w:t>
      </w:r>
      <w:r w:rsidRPr="006D7EE2" w:rsidR="0011170A">
        <w:rPr>
          <w:b/>
          <w:bCs/>
        </w:rPr>
        <w:t>2</w:t>
      </w:r>
      <w:r w:rsidRPr="006D7EE2">
        <w:rPr>
          <w:b/>
          <w:bCs/>
        </w:rPr>
        <w:t>:</w:t>
      </w:r>
      <w:r w:rsidRPr="006D7EE2" w:rsidR="003C39F6">
        <w:t xml:space="preserve"> </w:t>
      </w:r>
      <w:r w:rsidRPr="006D7EE2">
        <w:t>The PUCO</w:t>
      </w:r>
      <w:r w:rsidR="006D7EE2">
        <w:t>’</w:t>
      </w:r>
      <w:r w:rsidRPr="006D7EE2">
        <w:t xml:space="preserve">s Finding and Order is unlawful and unreasonable because it approved the </w:t>
      </w:r>
      <w:r w:rsidRPr="006D7EE2" w:rsidR="00AF6B9E">
        <w:t>Application</w:t>
      </w:r>
      <w:r w:rsidRPr="006D7EE2" w:rsidR="002C099F">
        <w:t xml:space="preserve"> that enables the shifting of costs from pilot participants to others, including residential consumers</w:t>
      </w:r>
      <w:r w:rsidRPr="006D7EE2" w:rsidR="000203CB">
        <w:t>,</w:t>
      </w:r>
      <w:r w:rsidRPr="006D7EE2" w:rsidR="002C099F">
        <w:t xml:space="preserve"> and was made without record evidence </w:t>
      </w:r>
      <w:r w:rsidRPr="006D7EE2">
        <w:t>in violation of R.C. 4903.09.</w:t>
      </w:r>
      <w:r w:rsidRPr="006D7EE2" w:rsidR="002C099F">
        <w:t xml:space="preserve"> </w:t>
      </w:r>
    </w:p>
    <w:p w:rsidR="0094042E" w:rsidRPr="006D7EE2" w:rsidP="00294149" w14:paraId="5AF0AA8E" w14:textId="77777777">
      <w:pPr>
        <w:ind w:left="720"/>
      </w:pPr>
    </w:p>
    <w:p w:rsidR="0094042E" w:rsidRPr="006D7EE2" w:rsidP="0094042E" w14:paraId="044B579E" w14:textId="1BF26D15">
      <w:pPr>
        <w:ind w:left="720"/>
      </w:pPr>
      <w:r w:rsidRPr="006D7EE2">
        <w:rPr>
          <w:b/>
          <w:bCs/>
        </w:rPr>
        <w:t xml:space="preserve">ASSIGNMENT OF ERROR </w:t>
      </w:r>
      <w:r w:rsidRPr="006D7EE2" w:rsidR="0011170A">
        <w:rPr>
          <w:b/>
          <w:bCs/>
        </w:rPr>
        <w:t>3</w:t>
      </w:r>
      <w:r w:rsidRPr="006D7EE2">
        <w:rPr>
          <w:b/>
          <w:bCs/>
        </w:rPr>
        <w:t>:</w:t>
      </w:r>
      <w:r w:rsidRPr="006D7EE2">
        <w:t xml:space="preserve"> The PUCO</w:t>
      </w:r>
      <w:r w:rsidR="006D7EE2">
        <w:t>’</w:t>
      </w:r>
      <w:r w:rsidRPr="006D7EE2">
        <w:t xml:space="preserve">s Finding and Order is unlawful and unreasonable because it results in charges </w:t>
      </w:r>
      <w:r w:rsidRPr="006D7EE2" w:rsidR="002C099F">
        <w:t xml:space="preserve">to </w:t>
      </w:r>
      <w:r w:rsidRPr="006D7EE2">
        <w:t>consumers that are unjust</w:t>
      </w:r>
      <w:r w:rsidRPr="006D7EE2" w:rsidR="000203CB">
        <w:t xml:space="preserve">, </w:t>
      </w:r>
      <w:r w:rsidRPr="006D7EE2">
        <w:t>unreasonable</w:t>
      </w:r>
      <w:r w:rsidRPr="006D7EE2" w:rsidR="000203CB">
        <w:t>, preferential,</w:t>
      </w:r>
      <w:r w:rsidRPr="006D7EE2" w:rsidR="00B347B8">
        <w:t xml:space="preserve"> and discriminatory</w:t>
      </w:r>
      <w:r w:rsidRPr="006D7EE2">
        <w:t xml:space="preserve"> </w:t>
      </w:r>
      <w:r w:rsidRPr="006D7EE2" w:rsidR="002C099F">
        <w:t xml:space="preserve">and result from </w:t>
      </w:r>
      <w:r w:rsidRPr="006D7EE2" w:rsidR="003568B4">
        <w:t xml:space="preserve">cost-shifting under the Rider NMB pilot </w:t>
      </w:r>
      <w:r w:rsidRPr="006D7EE2" w:rsidR="002C099F">
        <w:t xml:space="preserve">program, </w:t>
      </w:r>
      <w:r w:rsidRPr="006D7EE2">
        <w:t>in violation of R.C. 4905.22</w:t>
      </w:r>
      <w:r w:rsidRPr="006D7EE2" w:rsidR="00B347B8">
        <w:t xml:space="preserve"> and R.C. 4905.33-35</w:t>
      </w:r>
      <w:r w:rsidRPr="006D7EE2">
        <w:t>.</w:t>
      </w:r>
    </w:p>
    <w:p w:rsidR="003206D9" w:rsidRPr="006D7EE2" w:rsidP="0094042E" w14:paraId="6D0F4DCF" w14:textId="77777777">
      <w:pPr>
        <w:ind w:left="720"/>
      </w:pPr>
    </w:p>
    <w:p w:rsidR="003206D9" w:rsidRPr="006D7EE2" w:rsidP="003206D9" w14:paraId="10242733" w14:textId="4E256C19">
      <w:pPr>
        <w:ind w:left="720"/>
      </w:pPr>
      <w:r w:rsidRPr="006D7EE2">
        <w:rPr>
          <w:b/>
          <w:bCs/>
        </w:rPr>
        <w:t xml:space="preserve">ASSIGNMENT OF ERROR </w:t>
      </w:r>
      <w:r w:rsidRPr="006D7EE2" w:rsidR="0011170A">
        <w:rPr>
          <w:b/>
          <w:bCs/>
        </w:rPr>
        <w:t>4</w:t>
      </w:r>
      <w:r w:rsidRPr="006D7EE2">
        <w:rPr>
          <w:b/>
          <w:bCs/>
        </w:rPr>
        <w:t>:</w:t>
      </w:r>
      <w:r w:rsidRPr="006D7EE2">
        <w:t xml:space="preserve"> The PUCO</w:t>
      </w:r>
      <w:r w:rsidR="006D7EE2">
        <w:t>’</w:t>
      </w:r>
      <w:r w:rsidRPr="006D7EE2">
        <w:t>s Finding and Order is unlawful and unreasonable because</w:t>
      </w:r>
      <w:r w:rsidRPr="006D7EE2" w:rsidR="002C099F">
        <w:t xml:space="preserve"> the PUCO should have protected consumers by ordering</w:t>
      </w:r>
      <w:r w:rsidRPr="006D7EE2">
        <w:t xml:space="preserve"> Rider NMB </w:t>
      </w:r>
      <w:r w:rsidRPr="006D7EE2" w:rsidR="00E64179">
        <w:t>to be</w:t>
      </w:r>
      <w:r w:rsidRPr="006D7EE2">
        <w:t xml:space="preserve"> collected subject to refund</w:t>
      </w:r>
      <w:r w:rsidRPr="006D7EE2" w:rsidR="002C099F">
        <w:t>.</w:t>
      </w:r>
      <w:r w:rsidR="006D7EE2">
        <w:t xml:space="preserve"> </w:t>
      </w:r>
      <w:r w:rsidRPr="006D7EE2" w:rsidR="002C099F">
        <w:t>Such a ruling would have prote</w:t>
      </w:r>
      <w:r w:rsidRPr="006D7EE2" w:rsidR="000203CB">
        <w:t>c</w:t>
      </w:r>
      <w:r w:rsidRPr="006D7EE2" w:rsidR="002C099F">
        <w:t>ted consumers and allowed for refunds</w:t>
      </w:r>
      <w:r w:rsidRPr="006D7EE2" w:rsidR="003568B4">
        <w:t xml:space="preserve"> if FERC</w:t>
      </w:r>
      <w:r w:rsidR="006D7EE2">
        <w:t xml:space="preserve"> </w:t>
      </w:r>
      <w:r w:rsidRPr="006D7EE2" w:rsidR="002C099F">
        <w:t>rules favorably on OCC</w:t>
      </w:r>
      <w:r w:rsidR="006D7EE2">
        <w:t>’</w:t>
      </w:r>
      <w:r w:rsidRPr="006D7EE2" w:rsidR="002C099F">
        <w:t>s complaint related to</w:t>
      </w:r>
      <w:r w:rsidRPr="006D7EE2" w:rsidR="003568B4">
        <w:t xml:space="preserve"> supplemental transmission projects</w:t>
      </w:r>
      <w:r w:rsidRPr="006D7EE2">
        <w:t>.</w:t>
      </w:r>
    </w:p>
    <w:p w:rsidR="0094042E" w:rsidRPr="006D7EE2" w:rsidP="005F41FE" w14:paraId="722B5AE7" w14:textId="77777777"/>
    <w:p w:rsidR="00437C02" w:rsidRPr="006D7EE2" w:rsidP="00DD7E95" w14:paraId="2196065A" w14:textId="0C9021B4">
      <w:pPr>
        <w:spacing w:line="480" w:lineRule="auto"/>
      </w:pPr>
      <w:r w:rsidRPr="006D7EE2">
        <w:tab/>
        <w:t xml:space="preserve">The reasons in support of this Application for </w:t>
      </w:r>
      <w:r w:rsidRPr="006D7EE2" w:rsidR="00893081">
        <w:t>R</w:t>
      </w:r>
      <w:r w:rsidRPr="006D7EE2">
        <w:t>ehearing are set forth in the accompanying memorandum in support.</w:t>
      </w:r>
      <w:r w:rsidRPr="006D7EE2" w:rsidR="003C39F6">
        <w:t xml:space="preserve"> </w:t>
      </w:r>
      <w:r w:rsidRPr="006D7EE2">
        <w:t xml:space="preserve">The PUCO should grant rehearing and abrogate its </w:t>
      </w:r>
      <w:r w:rsidRPr="006D7EE2" w:rsidR="00A4388E">
        <w:t>Finding</w:t>
      </w:r>
      <w:r w:rsidRPr="006D7EE2">
        <w:t xml:space="preserve"> and Order as requested by OCC.</w:t>
      </w:r>
      <w:r>
        <w:rPr>
          <w:rStyle w:val="FootnoteReference"/>
        </w:rPr>
        <w:footnoteReference w:id="3"/>
      </w:r>
    </w:p>
    <w:p w:rsidR="004E0A9B" w:rsidRPr="006D7EE2" w:rsidP="004E0A9B" w14:paraId="6A1686EB" w14:textId="77777777">
      <w:pPr>
        <w:pStyle w:val="BodyTextIndent3"/>
        <w:widowControl w:val="0"/>
        <w:spacing w:line="240" w:lineRule="auto"/>
        <w:ind w:firstLine="4320"/>
      </w:pPr>
      <w:r w:rsidRPr="006D7EE2">
        <w:t>Respectfully submitted,</w:t>
      </w:r>
    </w:p>
    <w:p w:rsidR="004E0A9B" w:rsidRPr="006D7EE2" w:rsidP="004E0A9B" w14:paraId="7D42CCD8" w14:textId="77777777">
      <w:pPr>
        <w:pStyle w:val="BodyTextIndent3"/>
        <w:widowControl w:val="0"/>
        <w:spacing w:line="240" w:lineRule="auto"/>
        <w:ind w:firstLine="4320"/>
      </w:pPr>
    </w:p>
    <w:p w:rsidR="004E0A9B" w:rsidRPr="006D7EE2" w:rsidP="004E0A9B" w14:paraId="06B974C1" w14:textId="77777777">
      <w:pPr>
        <w:tabs>
          <w:tab w:val="left" w:pos="8730"/>
        </w:tabs>
        <w:ind w:left="4320"/>
      </w:pPr>
      <w:r w:rsidRPr="006D7EE2">
        <w:t xml:space="preserve">Maureen R. Willis (0020847) </w:t>
      </w:r>
    </w:p>
    <w:p w:rsidR="004E0A9B" w:rsidRPr="006D7EE2" w:rsidP="004E0A9B" w14:paraId="13C0D460" w14:textId="7A0FCEEF">
      <w:pPr>
        <w:tabs>
          <w:tab w:val="left" w:pos="8730"/>
        </w:tabs>
        <w:ind w:left="4320"/>
      </w:pPr>
      <w:r w:rsidRPr="006D7EE2">
        <w:t>Ohio Consumers</w:t>
      </w:r>
      <w:r w:rsidR="006D7EE2">
        <w:t>’</w:t>
      </w:r>
      <w:r w:rsidRPr="006D7EE2">
        <w:t xml:space="preserve"> Counsel</w:t>
      </w:r>
    </w:p>
    <w:p w:rsidR="004E0A9B" w:rsidRPr="006D7EE2" w:rsidP="004E0A9B" w14:paraId="67A02C8E" w14:textId="77777777">
      <w:pPr>
        <w:tabs>
          <w:tab w:val="left" w:pos="8730"/>
        </w:tabs>
        <w:ind w:left="4320"/>
      </w:pPr>
    </w:p>
    <w:p w:rsidR="004E0A9B" w:rsidRPr="006D7EE2" w:rsidP="004E0A9B" w14:paraId="06DA40F2" w14:textId="77777777">
      <w:pPr>
        <w:tabs>
          <w:tab w:val="left" w:pos="8730"/>
        </w:tabs>
        <w:ind w:left="4320"/>
      </w:pPr>
      <w:r w:rsidRPr="006D7EE2">
        <w:rPr>
          <w:i/>
          <w:u w:val="single"/>
        </w:rPr>
        <w:t>/s/ William J. Michael</w:t>
      </w:r>
      <w:r w:rsidRPr="006D7EE2">
        <w:rPr>
          <w:i/>
        </w:rPr>
        <w:br/>
      </w:r>
      <w:r w:rsidRPr="006D7EE2">
        <w:t xml:space="preserve">William J. Michael (0070921) </w:t>
      </w:r>
      <w:r w:rsidRPr="006D7EE2">
        <w:br/>
        <w:t>Counsel of Record</w:t>
      </w:r>
      <w:r w:rsidRPr="006D7EE2">
        <w:br/>
        <w:t>Donald J. Kral (0042091)</w:t>
      </w:r>
    </w:p>
    <w:p w:rsidR="004E0A9B" w:rsidRPr="006D7EE2" w:rsidP="004E0A9B" w14:paraId="7DFA32F7" w14:textId="6C8E1D76">
      <w:pPr>
        <w:tabs>
          <w:tab w:val="left" w:pos="8730"/>
        </w:tabs>
        <w:ind w:left="4320"/>
      </w:pPr>
      <w:r w:rsidRPr="006D7EE2">
        <w:t>Assistant Consumers</w:t>
      </w:r>
      <w:r w:rsidR="006D7EE2">
        <w:t>’</w:t>
      </w:r>
      <w:r w:rsidRPr="006D7EE2">
        <w:t xml:space="preserve"> Counsel</w:t>
      </w:r>
    </w:p>
    <w:p w:rsidR="004E0A9B" w:rsidRPr="006D7EE2" w:rsidP="004E0A9B" w14:paraId="028230A2" w14:textId="77777777">
      <w:pPr>
        <w:tabs>
          <w:tab w:val="left" w:pos="8730"/>
        </w:tabs>
        <w:ind w:left="4320"/>
      </w:pPr>
    </w:p>
    <w:p w:rsidR="004E0A9B" w:rsidRPr="006D7EE2" w:rsidP="004E0A9B" w14:paraId="579076EA" w14:textId="4CC28125">
      <w:pPr>
        <w:tabs>
          <w:tab w:val="left" w:pos="8730"/>
        </w:tabs>
        <w:ind w:left="4320"/>
        <w:rPr>
          <w:b/>
          <w:bCs/>
        </w:rPr>
      </w:pPr>
      <w:r w:rsidRPr="006D7EE2">
        <w:rPr>
          <w:b/>
          <w:bCs/>
        </w:rPr>
        <w:t>Office of the Ohio Consumers</w:t>
      </w:r>
      <w:r w:rsidR="006D7EE2">
        <w:rPr>
          <w:b/>
          <w:bCs/>
        </w:rPr>
        <w:t>’</w:t>
      </w:r>
      <w:r w:rsidRPr="006D7EE2">
        <w:rPr>
          <w:b/>
          <w:bCs/>
        </w:rPr>
        <w:t xml:space="preserve"> Counsel</w:t>
      </w:r>
    </w:p>
    <w:p w:rsidR="004E0A9B" w:rsidRPr="006D7EE2" w:rsidP="004E0A9B" w14:paraId="5C2ED476" w14:textId="77777777">
      <w:pPr>
        <w:tabs>
          <w:tab w:val="left" w:pos="8730"/>
        </w:tabs>
        <w:ind w:left="4320"/>
      </w:pPr>
      <w:r w:rsidRPr="006D7EE2">
        <w:t>65 East State Street, Suite 700</w:t>
      </w:r>
    </w:p>
    <w:p w:rsidR="004E0A9B" w:rsidRPr="006D7EE2" w:rsidP="004E0A9B" w14:paraId="0B99A177" w14:textId="77777777">
      <w:pPr>
        <w:tabs>
          <w:tab w:val="left" w:pos="8730"/>
        </w:tabs>
        <w:ind w:left="4320"/>
      </w:pPr>
      <w:r w:rsidRPr="006D7EE2">
        <w:t>Columbus, Ohio 43215</w:t>
      </w:r>
    </w:p>
    <w:p w:rsidR="004E0A9B" w:rsidRPr="006D7EE2" w:rsidP="004E0A9B" w14:paraId="1FD4099B" w14:textId="77777777">
      <w:pPr>
        <w:tabs>
          <w:tab w:val="left" w:pos="8730"/>
        </w:tabs>
        <w:ind w:left="4320"/>
      </w:pPr>
      <w:r w:rsidRPr="006D7EE2">
        <w:t>Telephone [Michael]: (614) 466-1291</w:t>
      </w:r>
    </w:p>
    <w:p w:rsidR="004E0A9B" w:rsidRPr="006D7EE2" w:rsidP="004E0A9B" w14:paraId="24813BB4" w14:textId="77777777">
      <w:pPr>
        <w:tabs>
          <w:tab w:val="left" w:pos="8730"/>
        </w:tabs>
        <w:ind w:left="4320"/>
      </w:pPr>
      <w:r w:rsidRPr="006D7EE2">
        <w:t>Telephone [Kral]: (614) 466-9571</w:t>
      </w:r>
    </w:p>
    <w:p w:rsidR="004E0A9B" w:rsidRPr="006D7EE2" w:rsidP="004E0A9B" w14:paraId="0CDC2B4E" w14:textId="77777777">
      <w:pPr>
        <w:tabs>
          <w:tab w:val="left" w:pos="8730"/>
        </w:tabs>
        <w:ind w:left="4320"/>
        <w:rPr>
          <w:color w:val="0000FF"/>
        </w:rPr>
      </w:pPr>
      <w:hyperlink r:id="rId6" w:history="1">
        <w:r w:rsidRPr="006D7EE2">
          <w:rPr>
            <w:rStyle w:val="Hyperlink"/>
          </w:rPr>
          <w:t>william.michael@occ.ohio.gov</w:t>
        </w:r>
      </w:hyperlink>
      <w:r w:rsidRPr="006D7EE2">
        <w:rPr>
          <w:color w:val="0000FF"/>
        </w:rPr>
        <w:t xml:space="preserve"> </w:t>
      </w:r>
    </w:p>
    <w:p w:rsidR="004E0A9B" w:rsidRPr="006D7EE2" w:rsidP="004E0A9B" w14:paraId="75760AAD" w14:textId="77777777">
      <w:pPr>
        <w:tabs>
          <w:tab w:val="left" w:pos="8730"/>
        </w:tabs>
        <w:ind w:left="4320"/>
        <w:rPr>
          <w:rStyle w:val="Hyperlink"/>
        </w:rPr>
      </w:pPr>
      <w:r w:rsidRPr="006D7EE2">
        <w:rPr>
          <w:rStyle w:val="Hyperlink"/>
        </w:rPr>
        <w:t>donald.kral@occ.ohio.gov</w:t>
      </w:r>
    </w:p>
    <w:p w:rsidR="004E0A9B" w:rsidRPr="006D7EE2" w:rsidP="004E0A9B" w14:paraId="4C8489A8" w14:textId="77777777">
      <w:pPr>
        <w:tabs>
          <w:tab w:val="left" w:pos="8730"/>
        </w:tabs>
        <w:ind w:left="4320"/>
      </w:pPr>
      <w:r w:rsidRPr="006D7EE2">
        <w:t xml:space="preserve">(willing to accept service by e-mail) </w:t>
      </w:r>
    </w:p>
    <w:p w:rsidR="00C66AA4" w:rsidRPr="006D7EE2" w:rsidP="00C66AA4" w14:paraId="1FAF2E32" w14:textId="77777777">
      <w:pPr>
        <w:suppressLineNumbers/>
        <w:ind w:left="4320"/>
      </w:pPr>
    </w:p>
    <w:p w:rsidR="00437C02" w:rsidRPr="006D7EE2" w:rsidP="00DD7E95" w14:paraId="35FDD5D1" w14:textId="77777777">
      <w:pPr>
        <w:suppressLineNumbers/>
        <w:autoSpaceDE w:val="0"/>
        <w:autoSpaceDN w:val="0"/>
        <w:adjustRightInd w:val="0"/>
        <w:ind w:left="3600" w:firstLine="720"/>
      </w:pPr>
    </w:p>
    <w:p w:rsidR="00437C02" w:rsidRPr="006D7EE2" w:rsidP="00DD7E95" w14:paraId="66008DF7" w14:textId="77777777">
      <w:pPr>
        <w:suppressLineNumbers/>
        <w:autoSpaceDE w:val="0"/>
        <w:autoSpaceDN w:val="0"/>
        <w:adjustRightInd w:val="0"/>
        <w:ind w:left="3600" w:firstLine="720"/>
      </w:pPr>
    </w:p>
    <w:p w:rsidR="00437C02" w:rsidRPr="006D7EE2" w:rsidP="00B554C3" w14:paraId="3E5321CF" w14:textId="77777777">
      <w:pPr>
        <w:pStyle w:val="Heading1"/>
        <w:sectPr w:rsidSect="00290CF6">
          <w:footerReference w:type="default" r:id="rId13"/>
          <w:pgSz w:w="12240" w:h="15840"/>
          <w:pgMar w:top="1440" w:right="1800" w:bottom="1440" w:left="1800" w:header="720" w:footer="720" w:gutter="0"/>
          <w:pgNumType w:start="1"/>
          <w:cols w:space="720"/>
          <w:docGrid w:linePitch="360"/>
        </w:sectPr>
      </w:pPr>
    </w:p>
    <w:p w:rsidR="00437C02" w:rsidRPr="006D7EE2" w:rsidP="00B031E2" w14:paraId="1644DD51" w14:textId="77777777">
      <w:pPr>
        <w:jc w:val="center"/>
        <w:rPr>
          <w:b/>
          <w:bCs/>
          <w:u w:val="single"/>
        </w:rPr>
      </w:pPr>
      <w:r w:rsidRPr="006D7EE2">
        <w:rPr>
          <w:b/>
          <w:bCs/>
          <w:u w:val="single"/>
        </w:rPr>
        <w:t>TABLE OF CONTENTS</w:t>
      </w:r>
    </w:p>
    <w:p w:rsidR="00437C02" w:rsidRPr="006D7EE2" w:rsidP="00B031E2" w14:paraId="6AEB1B1B" w14:textId="77777777"/>
    <w:p w:rsidR="00437C02" w:rsidRPr="006D7EE2" w:rsidP="005C5BE4" w14:paraId="587BBADE" w14:textId="6E9FB830">
      <w:pPr>
        <w:jc w:val="right"/>
        <w:rPr>
          <w:b/>
          <w:bCs/>
        </w:rPr>
      </w:pPr>
      <w:r w:rsidRPr="006D7EE2">
        <w:rPr>
          <w:b/>
          <w:bCs/>
        </w:rPr>
        <w:t>PAGE</w:t>
      </w:r>
    </w:p>
    <w:p w:rsidR="00437C02" w:rsidRPr="006D7EE2" w:rsidP="00B031E2" w14:paraId="1DBCAB65" w14:textId="77777777"/>
    <w:p w:rsidR="005F4A6E" w:rsidP="005F4A6E" w14:paraId="65214F73" w14:textId="1E304580">
      <w:pPr>
        <w:pStyle w:val="TOC1"/>
        <w:framePr w:wrap="notBeside"/>
        <w:rPr>
          <w:rFonts w:asciiTheme="minorHAnsi" w:eastAsiaTheme="minorEastAsia" w:hAnsiTheme="minorHAnsi" w:cstheme="minorBidi"/>
          <w:bCs w:val="0"/>
          <w:caps w:val="0"/>
          <w:noProof/>
          <w:kern w:val="2"/>
          <w14:ligatures w14:val="standardContextual"/>
        </w:rPr>
      </w:pPr>
      <w:r w:rsidRPr="006D7EE2">
        <w:rPr>
          <w:bCs w:val="0"/>
          <w:caps w:val="0"/>
        </w:rPr>
        <w:fldChar w:fldCharType="begin"/>
      </w:r>
      <w:r w:rsidRPr="006D7EE2">
        <w:rPr>
          <w:bCs w:val="0"/>
          <w:caps w:val="0"/>
        </w:rPr>
        <w:instrText xml:space="preserve"> TOC \o "1-3" \h \z \u </w:instrText>
      </w:r>
      <w:r w:rsidRPr="006D7EE2">
        <w:rPr>
          <w:bCs w:val="0"/>
          <w:caps w:val="0"/>
        </w:rPr>
        <w:fldChar w:fldCharType="separate"/>
      </w:r>
      <w:hyperlink w:anchor="_Toc164411638" w:history="1">
        <w:r w:rsidRPr="00BA6A1D">
          <w:rPr>
            <w:rStyle w:val="Hyperlink"/>
            <w:noProof/>
          </w:rPr>
          <w:t>I.</w:t>
        </w:r>
        <w:r>
          <w:rPr>
            <w:rFonts w:asciiTheme="minorHAnsi" w:eastAsiaTheme="minorEastAsia" w:hAnsiTheme="minorHAnsi" w:cstheme="minorBidi"/>
            <w:bCs w:val="0"/>
            <w:caps w:val="0"/>
            <w:noProof/>
            <w:kern w:val="2"/>
            <w14:ligatures w14:val="standardContextual"/>
          </w:rPr>
          <w:tab/>
        </w:r>
        <w:r w:rsidRPr="00BA6A1D">
          <w:rPr>
            <w:rStyle w:val="Hyperlink"/>
            <w:noProof/>
          </w:rPr>
          <w:t>INTRODUCTION</w:t>
        </w:r>
        <w:r>
          <w:rPr>
            <w:noProof/>
            <w:webHidden/>
          </w:rPr>
          <w:tab/>
        </w:r>
        <w:r>
          <w:rPr>
            <w:noProof/>
            <w:webHidden/>
          </w:rPr>
          <w:fldChar w:fldCharType="begin"/>
        </w:r>
        <w:r>
          <w:rPr>
            <w:noProof/>
            <w:webHidden/>
          </w:rPr>
          <w:instrText xml:space="preserve"> PAGEREF _Toc164411638 \h </w:instrText>
        </w:r>
        <w:r>
          <w:rPr>
            <w:noProof/>
            <w:webHidden/>
          </w:rPr>
          <w:fldChar w:fldCharType="separate"/>
        </w:r>
        <w:r>
          <w:rPr>
            <w:noProof/>
            <w:webHidden/>
          </w:rPr>
          <w:t>1</w:t>
        </w:r>
        <w:r>
          <w:rPr>
            <w:noProof/>
            <w:webHidden/>
          </w:rPr>
          <w:fldChar w:fldCharType="end"/>
        </w:r>
      </w:hyperlink>
    </w:p>
    <w:p w:rsidR="005F4A6E" w:rsidP="005F4A6E" w14:paraId="49F1E936" w14:textId="022CA3FC">
      <w:pPr>
        <w:pStyle w:val="TOC1"/>
        <w:framePr w:wrap="notBeside"/>
        <w:rPr>
          <w:rFonts w:asciiTheme="minorHAnsi" w:eastAsiaTheme="minorEastAsia" w:hAnsiTheme="minorHAnsi" w:cstheme="minorBidi"/>
          <w:bCs w:val="0"/>
          <w:caps w:val="0"/>
          <w:noProof/>
          <w:kern w:val="2"/>
          <w14:ligatures w14:val="standardContextual"/>
        </w:rPr>
      </w:pPr>
      <w:hyperlink w:anchor="_Toc164411639" w:history="1">
        <w:r w:rsidRPr="00BA6A1D">
          <w:rPr>
            <w:rStyle w:val="Hyperlink"/>
            <w:noProof/>
          </w:rPr>
          <w:t>ii.</w:t>
        </w:r>
        <w:r>
          <w:rPr>
            <w:rFonts w:asciiTheme="minorHAnsi" w:eastAsiaTheme="minorEastAsia" w:hAnsiTheme="minorHAnsi" w:cstheme="minorBidi"/>
            <w:bCs w:val="0"/>
            <w:caps w:val="0"/>
            <w:noProof/>
            <w:kern w:val="2"/>
            <w14:ligatures w14:val="standardContextual"/>
          </w:rPr>
          <w:tab/>
        </w:r>
        <w:r w:rsidRPr="00BA6A1D">
          <w:rPr>
            <w:rStyle w:val="Hyperlink"/>
            <w:noProof/>
          </w:rPr>
          <w:t>ASSIGNMENTS OF ERROR</w:t>
        </w:r>
        <w:r>
          <w:rPr>
            <w:noProof/>
            <w:webHidden/>
          </w:rPr>
          <w:tab/>
        </w:r>
        <w:r>
          <w:rPr>
            <w:noProof/>
            <w:webHidden/>
          </w:rPr>
          <w:fldChar w:fldCharType="begin"/>
        </w:r>
        <w:r>
          <w:rPr>
            <w:noProof/>
            <w:webHidden/>
          </w:rPr>
          <w:instrText xml:space="preserve"> PAGEREF _Toc164411639 \h </w:instrText>
        </w:r>
        <w:r>
          <w:rPr>
            <w:noProof/>
            <w:webHidden/>
          </w:rPr>
          <w:fldChar w:fldCharType="separate"/>
        </w:r>
        <w:r>
          <w:rPr>
            <w:noProof/>
            <w:webHidden/>
          </w:rPr>
          <w:t>2</w:t>
        </w:r>
        <w:r>
          <w:rPr>
            <w:noProof/>
            <w:webHidden/>
          </w:rPr>
          <w:fldChar w:fldCharType="end"/>
        </w:r>
      </w:hyperlink>
    </w:p>
    <w:p w:rsidR="005F4A6E" w:rsidP="005F4A6E" w14:paraId="608C8ED0" w14:textId="10E53299">
      <w:pPr>
        <w:pStyle w:val="TOC2"/>
        <w:framePr w:wrap="notBeside" w:vAnchor="text" w:hAnchor="text" w:y="1"/>
        <w:rPr>
          <w:rFonts w:asciiTheme="minorHAnsi" w:eastAsiaTheme="minorEastAsia" w:hAnsiTheme="minorHAnsi" w:cstheme="minorBidi"/>
          <w:bCs w:val="0"/>
          <w:noProof/>
          <w:kern w:val="2"/>
          <w14:ligatures w14:val="standardContextual"/>
        </w:rPr>
      </w:pPr>
      <w:hyperlink w:anchor="_Toc164411640" w:history="1">
        <w:r w:rsidRPr="00BA6A1D">
          <w:rPr>
            <w:rStyle w:val="Hyperlink"/>
            <w:noProof/>
          </w:rPr>
          <w:t xml:space="preserve">ASSIGNMENT OF ERROR 1: The PUCO’s Finding and Order is unlawful </w:t>
        </w:r>
        <w:r w:rsidR="00E13D21">
          <w:rPr>
            <w:rStyle w:val="Hyperlink"/>
            <w:noProof/>
          </w:rPr>
          <w:br/>
        </w:r>
        <w:r w:rsidRPr="00BA6A1D">
          <w:rPr>
            <w:rStyle w:val="Hyperlink"/>
            <w:noProof/>
          </w:rPr>
          <w:t>and unreasonable because it approved the Application that enables the shifting</w:t>
        </w:r>
        <w:r w:rsidR="00E13D21">
          <w:rPr>
            <w:rStyle w:val="Hyperlink"/>
            <w:noProof/>
          </w:rPr>
          <w:br/>
        </w:r>
        <w:r w:rsidRPr="00BA6A1D">
          <w:rPr>
            <w:rStyle w:val="Hyperlink"/>
            <w:noProof/>
          </w:rPr>
          <w:t xml:space="preserve"> of costs from pilot participants to others, including residential consumers, in violation of the important regulatory principle of cost-causation.</w:t>
        </w:r>
        <w:r>
          <w:rPr>
            <w:noProof/>
            <w:webHidden/>
          </w:rPr>
          <w:tab/>
        </w:r>
        <w:r>
          <w:rPr>
            <w:noProof/>
            <w:webHidden/>
          </w:rPr>
          <w:fldChar w:fldCharType="begin"/>
        </w:r>
        <w:r>
          <w:rPr>
            <w:noProof/>
            <w:webHidden/>
          </w:rPr>
          <w:instrText xml:space="preserve"> PAGEREF _Toc164411640 \h </w:instrText>
        </w:r>
        <w:r>
          <w:rPr>
            <w:noProof/>
            <w:webHidden/>
          </w:rPr>
          <w:fldChar w:fldCharType="separate"/>
        </w:r>
        <w:r>
          <w:rPr>
            <w:noProof/>
            <w:webHidden/>
          </w:rPr>
          <w:t>2</w:t>
        </w:r>
        <w:r>
          <w:rPr>
            <w:noProof/>
            <w:webHidden/>
          </w:rPr>
          <w:fldChar w:fldCharType="end"/>
        </w:r>
      </w:hyperlink>
    </w:p>
    <w:p w:rsidR="005F4A6E" w:rsidP="005F4A6E" w14:paraId="0B4FA55F" w14:textId="0A44DC4C">
      <w:pPr>
        <w:pStyle w:val="TOC2"/>
        <w:framePr w:wrap="notBeside" w:vAnchor="text" w:hAnchor="text" w:y="1"/>
        <w:rPr>
          <w:rFonts w:asciiTheme="minorHAnsi" w:eastAsiaTheme="minorEastAsia" w:hAnsiTheme="minorHAnsi" w:cstheme="minorBidi"/>
          <w:bCs w:val="0"/>
          <w:noProof/>
          <w:kern w:val="2"/>
          <w14:ligatures w14:val="standardContextual"/>
        </w:rPr>
      </w:pPr>
      <w:hyperlink w:anchor="_Toc164411641" w:history="1">
        <w:r w:rsidRPr="00BA6A1D">
          <w:rPr>
            <w:rStyle w:val="Hyperlink"/>
            <w:noProof/>
          </w:rPr>
          <w:t xml:space="preserve">ASSIGNMENT OF ERROR 2: The PUCO’s Finding and Order is unlawful </w:t>
        </w:r>
        <w:r w:rsidR="00E13D21">
          <w:rPr>
            <w:rStyle w:val="Hyperlink"/>
            <w:noProof/>
          </w:rPr>
          <w:br/>
        </w:r>
        <w:r w:rsidRPr="00BA6A1D">
          <w:rPr>
            <w:rStyle w:val="Hyperlink"/>
            <w:noProof/>
          </w:rPr>
          <w:t xml:space="preserve">and unreasonable because it approved the Application that enables the </w:t>
        </w:r>
        <w:r w:rsidR="00E13D21">
          <w:rPr>
            <w:rStyle w:val="Hyperlink"/>
            <w:noProof/>
          </w:rPr>
          <w:br/>
        </w:r>
        <w:r w:rsidRPr="00BA6A1D">
          <w:rPr>
            <w:rStyle w:val="Hyperlink"/>
            <w:noProof/>
          </w:rPr>
          <w:t xml:space="preserve">shifting of costs from pilot participants to others, including residential </w:t>
        </w:r>
        <w:r w:rsidR="00E13D21">
          <w:rPr>
            <w:rStyle w:val="Hyperlink"/>
            <w:noProof/>
          </w:rPr>
          <w:br/>
        </w:r>
        <w:r w:rsidRPr="00BA6A1D">
          <w:rPr>
            <w:rStyle w:val="Hyperlink"/>
            <w:noProof/>
          </w:rPr>
          <w:t xml:space="preserve">consumers, and was made without record evidence in violation of R.C. </w:t>
        </w:r>
        <w:r w:rsidR="00E13D21">
          <w:rPr>
            <w:rStyle w:val="Hyperlink"/>
            <w:noProof/>
          </w:rPr>
          <w:br/>
        </w:r>
        <w:r w:rsidRPr="00BA6A1D">
          <w:rPr>
            <w:rStyle w:val="Hyperlink"/>
            <w:noProof/>
          </w:rPr>
          <w:t>4903.09.</w:t>
        </w:r>
        <w:r>
          <w:rPr>
            <w:noProof/>
            <w:webHidden/>
          </w:rPr>
          <w:tab/>
        </w:r>
        <w:r>
          <w:rPr>
            <w:noProof/>
            <w:webHidden/>
          </w:rPr>
          <w:fldChar w:fldCharType="begin"/>
        </w:r>
        <w:r>
          <w:rPr>
            <w:noProof/>
            <w:webHidden/>
          </w:rPr>
          <w:instrText xml:space="preserve"> PAGEREF _Toc164411641 \h </w:instrText>
        </w:r>
        <w:r>
          <w:rPr>
            <w:noProof/>
            <w:webHidden/>
          </w:rPr>
          <w:fldChar w:fldCharType="separate"/>
        </w:r>
        <w:r>
          <w:rPr>
            <w:noProof/>
            <w:webHidden/>
          </w:rPr>
          <w:t>3</w:t>
        </w:r>
        <w:r>
          <w:rPr>
            <w:noProof/>
            <w:webHidden/>
          </w:rPr>
          <w:fldChar w:fldCharType="end"/>
        </w:r>
      </w:hyperlink>
    </w:p>
    <w:p w:rsidR="005F4A6E" w:rsidP="005F4A6E" w14:paraId="0987DEE5" w14:textId="2504D5FB">
      <w:pPr>
        <w:pStyle w:val="TOC2"/>
        <w:framePr w:wrap="notBeside" w:vAnchor="text" w:hAnchor="text" w:y="1"/>
        <w:rPr>
          <w:rFonts w:asciiTheme="minorHAnsi" w:eastAsiaTheme="minorEastAsia" w:hAnsiTheme="minorHAnsi" w:cstheme="minorBidi"/>
          <w:bCs w:val="0"/>
          <w:noProof/>
          <w:kern w:val="2"/>
          <w14:ligatures w14:val="standardContextual"/>
        </w:rPr>
      </w:pPr>
      <w:hyperlink w:anchor="_Toc164411642" w:history="1">
        <w:r w:rsidRPr="00BA6A1D">
          <w:rPr>
            <w:rStyle w:val="Hyperlink"/>
            <w:noProof/>
          </w:rPr>
          <w:t xml:space="preserve">ASSIGNMENT OF ERROR 3: The PUCO’s Finding and Order is unlawful </w:t>
        </w:r>
        <w:r w:rsidR="00585292">
          <w:rPr>
            <w:rStyle w:val="Hyperlink"/>
            <w:noProof/>
          </w:rPr>
          <w:br/>
        </w:r>
        <w:r w:rsidRPr="00BA6A1D">
          <w:rPr>
            <w:rStyle w:val="Hyperlink"/>
            <w:noProof/>
          </w:rPr>
          <w:t xml:space="preserve">and unreasonable because it results in charges to consumers that are unjust, unreasonable, preferential, and discriminatory and result from cost-shifting </w:t>
        </w:r>
        <w:r w:rsidR="00585292">
          <w:rPr>
            <w:rStyle w:val="Hyperlink"/>
            <w:noProof/>
          </w:rPr>
          <w:br/>
        </w:r>
        <w:r w:rsidRPr="00BA6A1D">
          <w:rPr>
            <w:rStyle w:val="Hyperlink"/>
            <w:noProof/>
          </w:rPr>
          <w:t>under the Rider NMB pilot program, in violation of R.C. 4905.22 and R.C. 4905.33-35.</w:t>
        </w:r>
        <w:r>
          <w:rPr>
            <w:noProof/>
            <w:webHidden/>
          </w:rPr>
          <w:tab/>
        </w:r>
        <w:r>
          <w:rPr>
            <w:noProof/>
            <w:webHidden/>
          </w:rPr>
          <w:fldChar w:fldCharType="begin"/>
        </w:r>
        <w:r>
          <w:rPr>
            <w:noProof/>
            <w:webHidden/>
          </w:rPr>
          <w:instrText xml:space="preserve"> PAGEREF _Toc164411642 \h </w:instrText>
        </w:r>
        <w:r>
          <w:rPr>
            <w:noProof/>
            <w:webHidden/>
          </w:rPr>
          <w:fldChar w:fldCharType="separate"/>
        </w:r>
        <w:r>
          <w:rPr>
            <w:noProof/>
            <w:webHidden/>
          </w:rPr>
          <w:t>5</w:t>
        </w:r>
        <w:r>
          <w:rPr>
            <w:noProof/>
            <w:webHidden/>
          </w:rPr>
          <w:fldChar w:fldCharType="end"/>
        </w:r>
      </w:hyperlink>
    </w:p>
    <w:p w:rsidR="005F4A6E" w:rsidP="005F4A6E" w14:paraId="3C7E9F34" w14:textId="02C5F8CE">
      <w:pPr>
        <w:pStyle w:val="TOC2"/>
        <w:framePr w:wrap="notBeside" w:vAnchor="text" w:hAnchor="text" w:y="1"/>
        <w:rPr>
          <w:rFonts w:asciiTheme="minorHAnsi" w:eastAsiaTheme="minorEastAsia" w:hAnsiTheme="minorHAnsi" w:cstheme="minorBidi"/>
          <w:bCs w:val="0"/>
          <w:noProof/>
          <w:kern w:val="2"/>
          <w14:ligatures w14:val="standardContextual"/>
        </w:rPr>
      </w:pPr>
      <w:hyperlink w:anchor="_Toc164411643" w:history="1">
        <w:r w:rsidRPr="00BA6A1D">
          <w:rPr>
            <w:rStyle w:val="Hyperlink"/>
            <w:noProof/>
          </w:rPr>
          <w:t xml:space="preserve">ASSIGNMENT OF ERROR 4: The PUCO’s Finding and Order is unlawful </w:t>
        </w:r>
        <w:r w:rsidR="002F4027">
          <w:rPr>
            <w:rStyle w:val="Hyperlink"/>
            <w:noProof/>
          </w:rPr>
          <w:br/>
        </w:r>
        <w:r w:rsidRPr="00BA6A1D">
          <w:rPr>
            <w:rStyle w:val="Hyperlink"/>
            <w:noProof/>
          </w:rPr>
          <w:t xml:space="preserve">and unreasonable because the PUCO should have protected consumers by ordering Rider NMB to be collected subject to refund. Such a ruling would </w:t>
        </w:r>
        <w:r w:rsidR="002F4027">
          <w:rPr>
            <w:rStyle w:val="Hyperlink"/>
            <w:noProof/>
          </w:rPr>
          <w:br/>
        </w:r>
        <w:r w:rsidRPr="00BA6A1D">
          <w:rPr>
            <w:rStyle w:val="Hyperlink"/>
            <w:noProof/>
          </w:rPr>
          <w:t xml:space="preserve">have protected consumers and allowed for refunds if FERC rules favorably </w:t>
        </w:r>
        <w:r w:rsidR="002F4027">
          <w:rPr>
            <w:rStyle w:val="Hyperlink"/>
            <w:noProof/>
          </w:rPr>
          <w:br/>
        </w:r>
        <w:r w:rsidRPr="00BA6A1D">
          <w:rPr>
            <w:rStyle w:val="Hyperlink"/>
            <w:noProof/>
          </w:rPr>
          <w:t>on OCC’s complaint related to supplemental transmission projects.</w:t>
        </w:r>
        <w:r>
          <w:rPr>
            <w:noProof/>
            <w:webHidden/>
          </w:rPr>
          <w:tab/>
        </w:r>
        <w:r>
          <w:rPr>
            <w:noProof/>
            <w:webHidden/>
          </w:rPr>
          <w:fldChar w:fldCharType="begin"/>
        </w:r>
        <w:r>
          <w:rPr>
            <w:noProof/>
            <w:webHidden/>
          </w:rPr>
          <w:instrText xml:space="preserve"> PAGEREF _Toc164411643 \h </w:instrText>
        </w:r>
        <w:r>
          <w:rPr>
            <w:noProof/>
            <w:webHidden/>
          </w:rPr>
          <w:fldChar w:fldCharType="separate"/>
        </w:r>
        <w:r>
          <w:rPr>
            <w:noProof/>
            <w:webHidden/>
          </w:rPr>
          <w:t>8</w:t>
        </w:r>
        <w:r>
          <w:rPr>
            <w:noProof/>
            <w:webHidden/>
          </w:rPr>
          <w:fldChar w:fldCharType="end"/>
        </w:r>
      </w:hyperlink>
    </w:p>
    <w:p w:rsidR="005F4A6E" w:rsidP="005F4A6E" w14:paraId="60AE6794" w14:textId="13E9583E">
      <w:pPr>
        <w:pStyle w:val="TOC1"/>
        <w:framePr w:wrap="notBeside"/>
        <w:rPr>
          <w:rFonts w:asciiTheme="minorHAnsi" w:eastAsiaTheme="minorEastAsia" w:hAnsiTheme="minorHAnsi" w:cstheme="minorBidi"/>
          <w:bCs w:val="0"/>
          <w:caps w:val="0"/>
          <w:noProof/>
          <w:kern w:val="2"/>
          <w14:ligatures w14:val="standardContextual"/>
        </w:rPr>
      </w:pPr>
      <w:hyperlink w:anchor="_Toc164411644" w:history="1">
        <w:r w:rsidRPr="00BA6A1D">
          <w:rPr>
            <w:rStyle w:val="Hyperlink"/>
            <w:noProof/>
          </w:rPr>
          <w:t>iII.</w:t>
        </w:r>
        <w:r>
          <w:rPr>
            <w:rFonts w:asciiTheme="minorHAnsi" w:eastAsiaTheme="minorEastAsia" w:hAnsiTheme="minorHAnsi" w:cstheme="minorBidi"/>
            <w:bCs w:val="0"/>
            <w:caps w:val="0"/>
            <w:noProof/>
            <w:kern w:val="2"/>
            <w14:ligatures w14:val="standardContextual"/>
          </w:rPr>
          <w:tab/>
        </w:r>
        <w:r w:rsidRPr="00BA6A1D">
          <w:rPr>
            <w:rStyle w:val="Hyperlink"/>
            <w:noProof/>
          </w:rPr>
          <w:t>CONCLUSION</w:t>
        </w:r>
        <w:r>
          <w:rPr>
            <w:noProof/>
            <w:webHidden/>
          </w:rPr>
          <w:tab/>
        </w:r>
        <w:r>
          <w:rPr>
            <w:noProof/>
            <w:webHidden/>
          </w:rPr>
          <w:fldChar w:fldCharType="begin"/>
        </w:r>
        <w:r>
          <w:rPr>
            <w:noProof/>
            <w:webHidden/>
          </w:rPr>
          <w:instrText xml:space="preserve"> PAGEREF _Toc164411644 \h </w:instrText>
        </w:r>
        <w:r>
          <w:rPr>
            <w:noProof/>
            <w:webHidden/>
          </w:rPr>
          <w:fldChar w:fldCharType="separate"/>
        </w:r>
        <w:r>
          <w:rPr>
            <w:noProof/>
            <w:webHidden/>
          </w:rPr>
          <w:t>11</w:t>
        </w:r>
        <w:r>
          <w:rPr>
            <w:noProof/>
            <w:webHidden/>
          </w:rPr>
          <w:fldChar w:fldCharType="end"/>
        </w:r>
      </w:hyperlink>
    </w:p>
    <w:p w:rsidR="00437C02" w:rsidRPr="006D7EE2" w:rsidP="00B031E2" w14:paraId="0B69B0E8" w14:textId="1DC882DE">
      <w:r w:rsidRPr="006D7EE2">
        <w:rPr>
          <w:bCs/>
          <w:caps/>
        </w:rPr>
        <w:fldChar w:fldCharType="end"/>
      </w:r>
    </w:p>
    <w:p w:rsidR="00437C02" w:rsidRPr="006D7EE2" w:rsidP="00B031E2" w14:paraId="70B45B17" w14:textId="77777777"/>
    <w:p w:rsidR="00437C02" w:rsidRPr="006D7EE2" w:rsidP="00B031E2" w14:paraId="52178501" w14:textId="77777777">
      <w:pPr>
        <w:sectPr w:rsidSect="00290CF6">
          <w:headerReference w:type="default" r:id="rId14"/>
          <w:footerReference w:type="default" r:id="rId15"/>
          <w:pgSz w:w="12240" w:h="15840"/>
          <w:pgMar w:top="1440" w:right="1800" w:bottom="1440" w:left="1800" w:header="720" w:footer="720" w:gutter="0"/>
          <w:pgNumType w:fmt="lowerRoman" w:start="1"/>
          <w:cols w:space="720"/>
          <w:docGrid w:linePitch="360"/>
        </w:sectPr>
      </w:pPr>
    </w:p>
    <w:p w:rsidR="00BF24ED" w:rsidRPr="006D7EE2" w:rsidP="00BF24ED" w14:paraId="557B45E2" w14:textId="77777777">
      <w:pPr>
        <w:jc w:val="center"/>
        <w:rPr>
          <w:b/>
        </w:rPr>
      </w:pPr>
      <w:r w:rsidRPr="006D7EE2">
        <w:rPr>
          <w:b/>
        </w:rPr>
        <w:t>BEFORE</w:t>
      </w:r>
    </w:p>
    <w:p w:rsidR="00BF24ED" w:rsidRPr="006D7EE2" w:rsidP="00BF24ED" w14:paraId="7534CC3C" w14:textId="77777777">
      <w:pPr>
        <w:jc w:val="center"/>
        <w:rPr>
          <w:b/>
          <w:bCs/>
        </w:rPr>
      </w:pPr>
      <w:r w:rsidRPr="006D7EE2">
        <w:rPr>
          <w:b/>
          <w:bCs/>
        </w:rPr>
        <w:t>THE PUBLIC UTILITIES COMMISSION OF OHIO</w:t>
      </w:r>
    </w:p>
    <w:p w:rsidR="00BF24ED" w:rsidRPr="006D7EE2" w:rsidP="00BF24ED" w14:paraId="058C1189" w14:textId="77777777">
      <w:pPr>
        <w:jc w:val="center"/>
        <w:rPr>
          <w:b/>
          <w:bCs/>
        </w:rPr>
      </w:pPr>
    </w:p>
    <w:tbl>
      <w:tblPr>
        <w:tblW w:w="9092" w:type="dxa"/>
        <w:tblInd w:w="0" w:type="dxa"/>
        <w:tblCellMar>
          <w:top w:w="0" w:type="dxa"/>
          <w:left w:w="108" w:type="dxa"/>
          <w:bottom w:w="0" w:type="dxa"/>
          <w:right w:w="108" w:type="dxa"/>
        </w:tblCellMar>
        <w:tblLook w:val="01E0"/>
      </w:tblPr>
      <w:tblGrid>
        <w:gridCol w:w="4332"/>
        <w:gridCol w:w="528"/>
        <w:gridCol w:w="4232"/>
      </w:tblGrid>
      <w:tr w14:paraId="1880B755" w14:textId="77777777" w:rsidTr="00BE05D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D13809" w:rsidRPr="006D7EE2" w:rsidP="00BE05DA" w14:paraId="37D0AACE" w14:textId="26AC5F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 xml:space="preserve">In the Matter of the Review of the Non-Market-Based Services Rider Contained in the Tariffs of Ohio Edison Company, </w:t>
            </w:r>
            <w:r w:rsidR="004C5B4F">
              <w:rPr>
                <w:rFonts w:ascii="Times New Roman" w:eastAsia="Courier New" w:hAnsi="Times New Roman" w:cs="Times New Roman"/>
                <w:sz w:val="24"/>
                <w:szCs w:val="24"/>
                <w:lang w:val="en-US" w:eastAsia="en-US" w:bidi="ar-SA"/>
              </w:rPr>
              <w:t>T</w:t>
            </w:r>
            <w:r w:rsidRPr="006D7EE2">
              <w:rPr>
                <w:rFonts w:ascii="Times New Roman" w:eastAsia="Courier New" w:hAnsi="Times New Roman" w:cs="Times New Roman"/>
                <w:sz w:val="24"/>
                <w:szCs w:val="24"/>
                <w:lang w:val="en-US" w:eastAsia="en-US" w:bidi="ar-SA"/>
              </w:rPr>
              <w:t xml:space="preserve">he Cleveland Electric Illuminating Company and </w:t>
            </w:r>
            <w:r w:rsidR="004C5B4F">
              <w:rPr>
                <w:rFonts w:ascii="Times New Roman" w:eastAsia="Courier New" w:hAnsi="Times New Roman" w:cs="Times New Roman"/>
                <w:sz w:val="24"/>
                <w:szCs w:val="24"/>
                <w:lang w:val="en-US" w:eastAsia="en-US" w:bidi="ar-SA"/>
              </w:rPr>
              <w:t>T</w:t>
            </w:r>
            <w:r w:rsidRPr="006D7EE2">
              <w:rPr>
                <w:rFonts w:ascii="Times New Roman" w:eastAsia="Courier New" w:hAnsi="Times New Roman" w:cs="Times New Roman"/>
                <w:sz w:val="24"/>
                <w:szCs w:val="24"/>
                <w:lang w:val="en-US" w:eastAsia="en-US" w:bidi="ar-SA"/>
              </w:rPr>
              <w:t>he Toledo Edison Company.</w:t>
            </w:r>
          </w:p>
        </w:tc>
        <w:tc>
          <w:tcPr>
            <w:tcW w:w="528" w:type="dxa"/>
            <w:shd w:val="clear" w:color="auto" w:fill="auto"/>
          </w:tcPr>
          <w:p w:rsidR="00D13809" w:rsidRPr="006D7EE2" w:rsidP="00BE05DA" w14:paraId="5B3584C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D13809" w:rsidRPr="006D7EE2" w:rsidP="00BE05DA" w14:paraId="2F341F1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D13809" w:rsidRPr="006D7EE2" w:rsidP="00BE05DA" w14:paraId="7D986EF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D13809" w:rsidRPr="006D7EE2" w:rsidP="00BE05DA" w14:paraId="5BE5145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D13809" w:rsidRPr="006D7EE2" w:rsidP="00BE05DA" w14:paraId="7E4AA3D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p w:rsidR="00D13809" w:rsidRPr="006D7EE2" w:rsidP="00BE05DA" w14:paraId="75D15208" w14:textId="1740C05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w:t>
            </w:r>
          </w:p>
        </w:tc>
        <w:tc>
          <w:tcPr>
            <w:tcW w:w="4232" w:type="dxa"/>
            <w:shd w:val="clear" w:color="auto" w:fill="auto"/>
          </w:tcPr>
          <w:p w:rsidR="00D13809" w:rsidRPr="006D7EE2" w:rsidP="00BE05DA" w14:paraId="7A44E12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13809" w:rsidRPr="006D7EE2" w:rsidP="00BE05DA" w14:paraId="3F7EBD3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13809" w:rsidRPr="006D7EE2" w:rsidP="00BE05DA" w14:paraId="7C2E6A7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6D7EE2">
              <w:rPr>
                <w:rFonts w:ascii="Times New Roman" w:eastAsia="Courier New" w:hAnsi="Times New Roman" w:cs="Times New Roman"/>
                <w:sz w:val="24"/>
                <w:szCs w:val="24"/>
                <w:lang w:val="en-US" w:eastAsia="en-US" w:bidi="ar-SA"/>
              </w:rPr>
              <w:t>Case No. 24-22-EL-RDR</w:t>
            </w:r>
          </w:p>
          <w:p w:rsidR="00D13809" w:rsidRPr="006D7EE2" w:rsidP="00BE05DA" w14:paraId="1BB6E52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13809" w:rsidRPr="006D7EE2" w:rsidP="00BE05DA" w14:paraId="5282745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13809" w:rsidRPr="006D7EE2" w:rsidP="00BE05DA" w14:paraId="71B71A8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437C02" w:rsidRPr="006D7EE2" w:rsidP="00DD7E95" w14:paraId="66630EBD"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437C02" w:rsidRPr="006D7EE2" w:rsidP="00DD7E95" w14:paraId="01394726" w14:textId="77777777">
      <w:pPr>
        <w:jc w:val="center"/>
        <w:rPr>
          <w:b/>
        </w:rPr>
      </w:pPr>
    </w:p>
    <w:p w:rsidR="00437C02" w:rsidRPr="006D7EE2" w:rsidP="00CD4C8A" w14:paraId="0D6B3228" w14:textId="77777777">
      <w:pPr>
        <w:jc w:val="center"/>
        <w:rPr>
          <w:b/>
        </w:rPr>
      </w:pPr>
      <w:r w:rsidRPr="006D7EE2">
        <w:rPr>
          <w:b/>
        </w:rPr>
        <w:t>MEMORANDUM IN SUPPORT</w:t>
      </w:r>
    </w:p>
    <w:p w:rsidR="00437C02" w:rsidRPr="006D7EE2" w:rsidP="00CD4C8A" w14:paraId="646FE898" w14:textId="77777777">
      <w:pPr>
        <w:pBdr>
          <w:bottom w:val="single" w:sz="12" w:space="1" w:color="auto"/>
        </w:pBdr>
        <w:rPr>
          <w:b/>
        </w:rPr>
      </w:pPr>
    </w:p>
    <w:p w:rsidR="00437C02" w:rsidRPr="006D7EE2" w:rsidP="00485EB5" w14:paraId="343B002D" w14:textId="77777777"/>
    <w:p w:rsidR="00437C02" w:rsidRPr="006D7EE2" w:rsidP="00B554C3" w14:paraId="56827E2F" w14:textId="77777777">
      <w:pPr>
        <w:pStyle w:val="Heading1"/>
      </w:pPr>
      <w:bookmarkStart w:id="0" w:name="_Toc534969803"/>
      <w:bookmarkStart w:id="1" w:name="_Toc534970002"/>
      <w:bookmarkStart w:id="2" w:name="_Toc534970543"/>
      <w:bookmarkStart w:id="3" w:name="_Toc534970649"/>
      <w:bookmarkStart w:id="4" w:name="_Toc535583490"/>
      <w:bookmarkStart w:id="5" w:name="_Toc164411638"/>
      <w:r w:rsidRPr="006D7EE2">
        <w:t>I.</w:t>
      </w:r>
      <w:r w:rsidRPr="006D7EE2">
        <w:tab/>
        <w:t>INTRODUCTION</w:t>
      </w:r>
      <w:bookmarkEnd w:id="0"/>
      <w:bookmarkEnd w:id="1"/>
      <w:bookmarkEnd w:id="2"/>
      <w:bookmarkEnd w:id="3"/>
      <w:bookmarkEnd w:id="4"/>
      <w:bookmarkEnd w:id="5"/>
    </w:p>
    <w:p w:rsidR="00F80214" w:rsidRPr="006D7EE2" w:rsidP="0094042E" w14:paraId="5D65FEAA" w14:textId="6817289F">
      <w:pPr>
        <w:spacing w:line="480" w:lineRule="auto"/>
        <w:ind w:firstLine="720"/>
      </w:pPr>
      <w:r w:rsidRPr="006D7EE2">
        <w:t xml:space="preserve">In its Finding and Order, the PUCO </w:t>
      </w:r>
      <w:r w:rsidRPr="006D7EE2">
        <w:t>approved FirstEnergy</w:t>
      </w:r>
      <w:r w:rsidR="006D7EE2">
        <w:t>’</w:t>
      </w:r>
      <w:r w:rsidRPr="006D7EE2">
        <w:t xml:space="preserve">s application to revise its </w:t>
      </w:r>
      <w:r w:rsidRPr="006D7EE2" w:rsidR="00B347B8">
        <w:t>transmission</w:t>
      </w:r>
      <w:r w:rsidRPr="006D7EE2">
        <w:t xml:space="preserve"> charge rider, Rider NMB, </w:t>
      </w:r>
      <w:r w:rsidRPr="006D7EE2">
        <w:t>subject to the PUCO Staff</w:t>
      </w:r>
      <w:r w:rsidR="006D7EE2">
        <w:t>’</w:t>
      </w:r>
      <w:r w:rsidRPr="006D7EE2">
        <w:t>s recommendations</w:t>
      </w:r>
      <w:r w:rsidRPr="006D7EE2" w:rsidR="00AF6B9E">
        <w:t>.</w:t>
      </w:r>
      <w:r>
        <w:rPr>
          <w:rStyle w:val="FootnoteReference"/>
        </w:rPr>
        <w:footnoteReference w:id="4"/>
      </w:r>
      <w:r w:rsidRPr="006D7EE2" w:rsidR="00AF6B9E">
        <w:t xml:space="preserve"> </w:t>
      </w:r>
      <w:r w:rsidRPr="006D7EE2">
        <w:t xml:space="preserve">The revised </w:t>
      </w:r>
      <w:r w:rsidRPr="006D7EE2" w:rsidR="00E64179">
        <w:t>transmission rider</w:t>
      </w:r>
      <w:r w:rsidR="006D7EE2">
        <w:t xml:space="preserve"> </w:t>
      </w:r>
      <w:r w:rsidRPr="006D7EE2">
        <w:t>will increase transmission charges to consumers who are unable to participate in the pilot program.</w:t>
      </w:r>
      <w:r w:rsidR="006D7EE2">
        <w:t xml:space="preserve"> </w:t>
      </w:r>
      <w:r w:rsidRPr="006D7EE2">
        <w:t>The increase under Rider NMB is in part caused by cost shifting from the pilot participants to the non-pilot participants, who include residential consumers. Residential consumers cannot participate in the pilot program</w:t>
      </w:r>
      <w:r w:rsidR="006227CB">
        <w:t>,</w:t>
      </w:r>
      <w:r w:rsidRPr="006D7EE2">
        <w:t xml:space="preserve"> which purports to provide a benefit to the participants.</w:t>
      </w:r>
      <w:r>
        <w:rPr>
          <w:rStyle w:val="FootnoteReference"/>
        </w:rPr>
        <w:footnoteReference w:id="5"/>
      </w:r>
      <w:r w:rsidRPr="006D7EE2" w:rsidR="00F723BE">
        <w:t xml:space="preserve"> </w:t>
      </w:r>
      <w:r w:rsidRPr="006D7EE2" w:rsidR="0094042E">
        <w:t>T</w:t>
      </w:r>
      <w:r w:rsidRPr="006D7EE2" w:rsidR="00AF6B9E">
        <w:t xml:space="preserve">he PUCO should end the </w:t>
      </w:r>
      <w:r w:rsidRPr="006D7EE2" w:rsidR="007F4494">
        <w:t xml:space="preserve">cost-shifting under the </w:t>
      </w:r>
      <w:r w:rsidRPr="006D7EE2" w:rsidR="00AF6B9E">
        <w:t>seven-year pilot</w:t>
      </w:r>
      <w:r w:rsidRPr="006D7EE2" w:rsidR="00E64179">
        <w:t xml:space="preserve"> by ending</w:t>
      </w:r>
      <w:r w:rsidR="006D7EE2">
        <w:t xml:space="preserve"> </w:t>
      </w:r>
      <w:r w:rsidRPr="006D7EE2" w:rsidR="00E64179">
        <w:t>the pilot altogether, as recommended by the PUCO-approved auditor.</w:t>
      </w:r>
      <w:r>
        <w:rPr>
          <w:rStyle w:val="FootnoteReference"/>
        </w:rPr>
        <w:footnoteReference w:id="6"/>
      </w:r>
      <w:r w:rsidRPr="006D7EE2" w:rsidR="000203CB">
        <w:t xml:space="preserve"> </w:t>
      </w:r>
      <w:r w:rsidRPr="006D7EE2">
        <w:t xml:space="preserve">Alternatively, the PUCO should require </w:t>
      </w:r>
      <w:r w:rsidRPr="006D7EE2" w:rsidR="00E64179">
        <w:t xml:space="preserve">all </w:t>
      </w:r>
      <w:r w:rsidRPr="006D7EE2">
        <w:t>revenue shortfalls from the program to be picked up by</w:t>
      </w:r>
      <w:r w:rsidRPr="006D7EE2" w:rsidR="00E64179">
        <w:t xml:space="preserve"> the customer classes that have </w:t>
      </w:r>
      <w:r w:rsidRPr="006D7EE2">
        <w:t xml:space="preserve">consumers </w:t>
      </w:r>
      <w:r w:rsidRPr="006D7EE2" w:rsidR="00E64179">
        <w:t>that participate in the pilot.</w:t>
      </w:r>
      <w:r w:rsidR="006D7EE2">
        <w:t xml:space="preserve"> </w:t>
      </w:r>
    </w:p>
    <w:p w:rsidR="00437C02" w:rsidRPr="006D7EE2" w:rsidP="00B347B8" w14:paraId="3CAD4B59" w14:textId="4A885218">
      <w:pPr>
        <w:spacing w:line="480" w:lineRule="auto"/>
        <w:ind w:firstLine="720"/>
      </w:pPr>
      <w:r w:rsidRPr="006D7EE2">
        <w:t xml:space="preserve">Notably, </w:t>
      </w:r>
      <w:r w:rsidRPr="006D7EE2" w:rsidR="00AF6B9E">
        <w:t>the PUCO-approved auditor in Case No. 22-391-EL-RDR determined that FirstEnergy</w:t>
      </w:r>
      <w:r w:rsidR="006D7EE2">
        <w:t>’</w:t>
      </w:r>
      <w:r w:rsidRPr="006D7EE2" w:rsidR="00AF6B9E">
        <w:t xml:space="preserve">s pilot program shifts over a million dollars per year to residential consumers who have no choice but to pay Rider NMB </w:t>
      </w:r>
      <w:r w:rsidRPr="006D7EE2" w:rsidR="007D79E1">
        <w:t>charges</w:t>
      </w:r>
      <w:r w:rsidRPr="006D7EE2" w:rsidR="00AF6B9E">
        <w:t>.</w:t>
      </w:r>
      <w:r>
        <w:rPr>
          <w:rStyle w:val="FootnoteReference"/>
        </w:rPr>
        <w:footnoteReference w:id="7"/>
      </w:r>
      <w:r w:rsidRPr="006D7EE2" w:rsidR="00AF6B9E">
        <w:t xml:space="preserve"> That is unjust and unreasonable</w:t>
      </w:r>
      <w:r w:rsidRPr="006D7EE2" w:rsidR="00F8037C">
        <w:t>, preferential and discriminatory,</w:t>
      </w:r>
      <w:r w:rsidRPr="006D7EE2" w:rsidR="004A4768">
        <w:t xml:space="preserve"> under Ohio law</w:t>
      </w:r>
      <w:r w:rsidRPr="006D7EE2" w:rsidR="00AF6B9E">
        <w:t>. Rider NMB should end.</w:t>
      </w:r>
      <w:r w:rsidR="006D7EE2">
        <w:t xml:space="preserve"> </w:t>
      </w:r>
      <w:r w:rsidRPr="006D7EE2" w:rsidR="00FE1C94">
        <w:t xml:space="preserve">Alternatively, the PUCO should prohibit any cost shifting to those consumers who cannot participate in the pilot, with any needed cost recovery coming from the customer classes whose consumers are eligible to participate in the pilot. </w:t>
      </w:r>
    </w:p>
    <w:p w:rsidR="00D0324A" w:rsidRPr="006D7EE2" w:rsidP="00D0324A" w14:paraId="62420FBD" w14:textId="77777777">
      <w:pPr>
        <w:ind w:firstLine="720"/>
        <w:rPr>
          <w:b/>
          <w:caps/>
        </w:rPr>
      </w:pPr>
    </w:p>
    <w:p w:rsidR="00437C02" w:rsidRPr="006D7EE2" w:rsidP="00B554C3" w14:paraId="5F3078C3" w14:textId="1F3EA2DA">
      <w:pPr>
        <w:pStyle w:val="Heading1"/>
      </w:pPr>
      <w:bookmarkStart w:id="6" w:name="_Toc534969805"/>
      <w:bookmarkStart w:id="7" w:name="_Toc534970004"/>
      <w:bookmarkStart w:id="8" w:name="_Toc534970545"/>
      <w:bookmarkStart w:id="9" w:name="_Toc534970651"/>
      <w:bookmarkStart w:id="10" w:name="_Toc535583492"/>
      <w:bookmarkStart w:id="11" w:name="_Toc164411639"/>
      <w:r w:rsidRPr="006D7EE2">
        <w:t>ii.</w:t>
      </w:r>
      <w:r w:rsidRPr="006D7EE2">
        <w:tab/>
      </w:r>
      <w:r w:rsidRPr="006D7EE2" w:rsidR="00585335">
        <w:t xml:space="preserve">ASSIGNMENTS OF </w:t>
      </w:r>
      <w:r w:rsidRPr="006D7EE2">
        <w:t>ERROR</w:t>
      </w:r>
      <w:bookmarkEnd w:id="6"/>
      <w:bookmarkEnd w:id="7"/>
      <w:bookmarkEnd w:id="8"/>
      <w:bookmarkEnd w:id="9"/>
      <w:bookmarkEnd w:id="10"/>
      <w:bookmarkEnd w:id="11"/>
    </w:p>
    <w:p w:rsidR="00B347B8" w:rsidRPr="006D7EE2" w:rsidP="00B347B8" w14:paraId="3DE0B367" w14:textId="3AB39370">
      <w:pPr>
        <w:pStyle w:val="Heading2"/>
      </w:pPr>
      <w:bookmarkStart w:id="12" w:name="_Toc164411640"/>
      <w:r w:rsidRPr="006D7EE2">
        <w:rPr>
          <w:bCs/>
        </w:rPr>
        <w:t>ASSIGNMENT OF ERROR 1:</w:t>
      </w:r>
      <w:r w:rsidRPr="006D7EE2">
        <w:t xml:space="preserve"> The PUCO</w:t>
      </w:r>
      <w:r w:rsidR="006D7EE2">
        <w:t>’</w:t>
      </w:r>
      <w:r w:rsidRPr="006D7EE2">
        <w:t xml:space="preserve">s Finding and Order is unlawful and unreasonable because it approved the Application that enables the shifting of costs from pilot participants to others, including residential consumers, </w:t>
      </w:r>
      <w:r w:rsidRPr="006D7EE2" w:rsidR="0011170A">
        <w:t>in violation of the important regulatory principle of cost-causation</w:t>
      </w:r>
      <w:r w:rsidRPr="006D7EE2">
        <w:t>.</w:t>
      </w:r>
      <w:bookmarkEnd w:id="12"/>
    </w:p>
    <w:p w:rsidR="00F8037C" w:rsidRPr="006D7EE2" w:rsidP="00F8037C" w14:paraId="118DBDAA" w14:textId="328BE8E6">
      <w:pPr>
        <w:spacing w:line="480" w:lineRule="auto"/>
      </w:pPr>
      <w:r w:rsidRPr="006D7EE2">
        <w:tab/>
        <w:t>The PUCO approved FirstEnergy</w:t>
      </w:r>
      <w:r w:rsidR="006D7EE2">
        <w:t>’</w:t>
      </w:r>
      <w:r w:rsidRPr="006D7EE2">
        <w:t>s application to revise Rider NMB charges,</w:t>
      </w:r>
      <w:r w:rsidR="006D7EE2">
        <w:t xml:space="preserve"> </w:t>
      </w:r>
      <w:r w:rsidRPr="006D7EE2">
        <w:t>subject to the PUCO Staff</w:t>
      </w:r>
      <w:r w:rsidR="006D7EE2">
        <w:t>’</w:t>
      </w:r>
      <w:r w:rsidRPr="006D7EE2">
        <w:t>s recommendations.</w:t>
      </w:r>
      <w:r>
        <w:rPr>
          <w:rStyle w:val="FootnoteReference"/>
        </w:rPr>
        <w:footnoteReference w:id="8"/>
      </w:r>
      <w:r w:rsidRPr="006D7EE2">
        <w:t xml:space="preserve"> The PUCO Staff recommend</w:t>
      </w:r>
      <w:r w:rsidRPr="006D7EE2" w:rsidR="004B4B5F">
        <w:t>ed</w:t>
      </w:r>
      <w:r w:rsidRPr="006D7EE2">
        <w:t xml:space="preserve"> adjusted charges to </w:t>
      </w:r>
      <w:r w:rsidRPr="006D7EE2" w:rsidR="004B4B5F">
        <w:t xml:space="preserve">certain non-residential consumers to </w:t>
      </w:r>
      <w:r w:rsidRPr="006D7EE2">
        <w:t>limit rate shock.</w:t>
      </w:r>
      <w:r>
        <w:rPr>
          <w:rStyle w:val="FootnoteReference"/>
        </w:rPr>
        <w:footnoteReference w:id="9"/>
      </w:r>
      <w:r w:rsidRPr="006D7EE2">
        <w:t xml:space="preserve"> The PUCO Staff also recommended that any reduction in revenue caused by the adjusted rates (approximately $40.1 million, according to PUCO Staff) should be collected, if ever, </w:t>
      </w:r>
      <w:r w:rsidR="006D7EE2">
        <w:t>“</w:t>
      </w:r>
      <w:r w:rsidRPr="006D7EE2">
        <w:t>from only the classes that are subject to the reduced rates.</w:t>
      </w:r>
      <w:r w:rsidR="006D7EE2">
        <w:t>”</w:t>
      </w:r>
      <w:r>
        <w:rPr>
          <w:rStyle w:val="FootnoteReference"/>
        </w:rPr>
        <w:footnoteReference w:id="10"/>
      </w:r>
      <w:r w:rsidR="006D7EE2">
        <w:t xml:space="preserve"> </w:t>
      </w:r>
    </w:p>
    <w:p w:rsidR="0011170A" w:rsidRPr="006D7EE2" w:rsidP="00F8037C" w14:paraId="5F426469" w14:textId="3B3C1725">
      <w:pPr>
        <w:spacing w:line="480" w:lineRule="auto"/>
        <w:ind w:firstLine="720"/>
      </w:pPr>
      <w:r w:rsidRPr="006D7EE2">
        <w:t xml:space="preserve">But the revised </w:t>
      </w:r>
      <w:r w:rsidRPr="006D7EE2" w:rsidR="004B4B5F">
        <w:t>transmission ride</w:t>
      </w:r>
      <w:r w:rsidR="0021747A">
        <w:t>r</w:t>
      </w:r>
      <w:r w:rsidRPr="006D7EE2" w:rsidR="004B4B5F">
        <w:t xml:space="preserve"> </w:t>
      </w:r>
      <w:r w:rsidRPr="006D7EE2">
        <w:t>charges still include costs shifted to residential consumers under the pilot program.</w:t>
      </w:r>
      <w:r>
        <w:rPr>
          <w:rStyle w:val="FootnoteReference"/>
        </w:rPr>
        <w:footnoteReference w:id="11"/>
      </w:r>
      <w:r w:rsidRPr="006D7EE2">
        <w:t xml:space="preserve"> Neither the PUCO Staff nor the PUCO addressed this cost-shifting. The PUCO should extend the principle articulated by its Staff to the pilot -- any reduction in revenue due to the pilot should be collected, if ever, only from the </w:t>
      </w:r>
      <w:r w:rsidRPr="006D7EE2" w:rsidR="004B4B5F">
        <w:t xml:space="preserve">customer </w:t>
      </w:r>
      <w:r w:rsidRPr="006D7EE2">
        <w:t xml:space="preserve">classes eligible to participate in the pilot and </w:t>
      </w:r>
      <w:r w:rsidRPr="006D7EE2">
        <w:rPr>
          <w:i/>
          <w:iCs/>
        </w:rPr>
        <w:t xml:space="preserve">not </w:t>
      </w:r>
      <w:r w:rsidRPr="006D7EE2">
        <w:t>residential consumers.</w:t>
      </w:r>
    </w:p>
    <w:p w:rsidR="0011170A" w:rsidRPr="006D7EE2" w:rsidP="00F8037C" w14:paraId="5E8C5610" w14:textId="30DE2B67">
      <w:pPr>
        <w:spacing w:line="480" w:lineRule="auto"/>
        <w:rPr>
          <w:color w:val="212121"/>
          <w:shd w:val="clear" w:color="auto" w:fill="FFFFFF"/>
        </w:rPr>
      </w:pPr>
      <w:r w:rsidRPr="006D7EE2">
        <w:tab/>
        <w:t>This would be consistent with the principle of cost-causation.</w:t>
      </w:r>
      <w:r w:rsidRPr="006D7EE2" w:rsidR="00D661A1">
        <w:t xml:space="preserve"> </w:t>
      </w:r>
      <w:r w:rsidR="006D7EE2">
        <w:t>“</w:t>
      </w:r>
      <w:r w:rsidRPr="006D7EE2" w:rsidR="00D661A1">
        <w:t>The principle of cost-causation is an important regulatory principle that requires the electric utility to recover costs from those customers who caused the cost to be incurred on the electric utility.</w:t>
      </w:r>
      <w:r w:rsidR="006D7EE2">
        <w:t>”</w:t>
      </w:r>
      <w:r>
        <w:rPr>
          <w:rStyle w:val="FootnoteReference"/>
        </w:rPr>
        <w:footnoteReference w:id="12"/>
      </w:r>
      <w:r w:rsidRPr="006D7EE2" w:rsidR="00D661A1">
        <w:t xml:space="preserve"> Commercial and industrial customers that opt out of Rider NMB under the pilot cause the costs – not residential consumers. Those classes </w:t>
      </w:r>
      <w:r w:rsidRPr="006D7EE2" w:rsidR="004B4B5F">
        <w:t xml:space="preserve">of customers </w:t>
      </w:r>
      <w:r w:rsidRPr="006D7EE2" w:rsidR="00D661A1">
        <w:t>should pay any associated costs, under the principle of cost-causation. This is consistent with, and supported by, the PUCO</w:t>
      </w:r>
      <w:r w:rsidR="006D7EE2">
        <w:t>’</w:t>
      </w:r>
      <w:r w:rsidRPr="006D7EE2" w:rsidR="00D661A1">
        <w:t xml:space="preserve">s </w:t>
      </w:r>
      <w:r w:rsidRPr="006D7EE2" w:rsidR="004B4B5F">
        <w:t xml:space="preserve">2018 </w:t>
      </w:r>
      <w:r w:rsidRPr="006D7EE2" w:rsidR="00D661A1">
        <w:t>decision regarding AEP</w:t>
      </w:r>
      <w:r w:rsidR="006D7EE2">
        <w:t>’</w:t>
      </w:r>
      <w:r w:rsidRPr="006D7EE2" w:rsidR="00D661A1">
        <w:t>s transmission charge.</w:t>
      </w:r>
      <w:r>
        <w:rPr>
          <w:rStyle w:val="FootnoteReference"/>
        </w:rPr>
        <w:footnoteReference w:id="13"/>
      </w:r>
      <w:r w:rsidRPr="006D7EE2" w:rsidR="00D661A1">
        <w:rPr>
          <w:color w:val="212121"/>
          <w:shd w:val="clear" w:color="auto" w:fill="FFFFFF"/>
        </w:rPr>
        <w:t xml:space="preserve"> </w:t>
      </w:r>
    </w:p>
    <w:p w:rsidR="00B347B8" w:rsidRPr="006D7EE2" w:rsidP="000358AC" w14:paraId="12861A11" w14:textId="6ABD2E30">
      <w:pPr>
        <w:spacing w:line="480" w:lineRule="auto"/>
        <w:ind w:firstLine="720"/>
      </w:pPr>
      <w:r w:rsidRPr="006D7EE2">
        <w:t>The PUCO should end the cost-shifting under the seven-year pilot</w:t>
      </w:r>
      <w:r w:rsidRPr="006D7EE2" w:rsidR="004B4B5F">
        <w:t xml:space="preserve"> by terminating the pilot</w:t>
      </w:r>
      <w:r w:rsidRPr="006D7EE2">
        <w:t>. Alternatively, the PUCO should require revenue shortfalls from the program to be picked up by those</w:t>
      </w:r>
      <w:r w:rsidRPr="006D7EE2" w:rsidR="004B4B5F">
        <w:t xml:space="preserve"> customer classes whose consumers can participate in the pilot.</w:t>
      </w:r>
      <w:r w:rsidR="006D7EE2">
        <w:t xml:space="preserve"> </w:t>
      </w:r>
    </w:p>
    <w:p w:rsidR="0094042E" w:rsidRPr="006D7EE2" w:rsidP="00FE1C94" w14:paraId="1CA2F8A6" w14:textId="1F8A675A">
      <w:pPr>
        <w:pStyle w:val="Heading2"/>
      </w:pPr>
      <w:bookmarkStart w:id="13" w:name="_Toc164411641"/>
      <w:bookmarkStart w:id="14" w:name="_Hlk164411286"/>
      <w:bookmarkStart w:id="15" w:name="_Toc534969806"/>
      <w:bookmarkStart w:id="16" w:name="_Toc534970005"/>
      <w:bookmarkStart w:id="17" w:name="_Toc534970546"/>
      <w:bookmarkStart w:id="18" w:name="_Toc534970652"/>
      <w:bookmarkStart w:id="19" w:name="_Toc535583493"/>
      <w:r w:rsidRPr="006D7EE2">
        <w:rPr>
          <w:bCs/>
        </w:rPr>
        <w:t xml:space="preserve">ASSIGNMENT OF ERROR </w:t>
      </w:r>
      <w:r w:rsidRPr="006D7EE2" w:rsidR="00B347B8">
        <w:rPr>
          <w:bCs/>
        </w:rPr>
        <w:t>2</w:t>
      </w:r>
      <w:r w:rsidRPr="006D7EE2">
        <w:rPr>
          <w:bCs/>
        </w:rPr>
        <w:t>:</w:t>
      </w:r>
      <w:r w:rsidRPr="006D7EE2">
        <w:t xml:space="preserve"> </w:t>
      </w:r>
      <w:r w:rsidRPr="006D7EE2" w:rsidR="000203CB">
        <w:t>The PUCO</w:t>
      </w:r>
      <w:r w:rsidR="006D7EE2">
        <w:t>’</w:t>
      </w:r>
      <w:r w:rsidRPr="006D7EE2" w:rsidR="000203CB">
        <w:t>s Finding and Order is unlawful and unreasonable because it approved the Application that enables the shifting of costs from pilot participants to others, including residential consumers, and was made without record evidence in violation of R.C. 4903.09.</w:t>
      </w:r>
      <w:bookmarkEnd w:id="13"/>
    </w:p>
    <w:bookmarkEnd w:id="14"/>
    <w:p w:rsidR="003A1EAB" w:rsidRPr="006D7EE2" w:rsidP="00A16504" w14:paraId="20787B95" w14:textId="2646EF97">
      <w:pPr>
        <w:spacing w:line="480" w:lineRule="auto"/>
        <w:ind w:firstLine="720"/>
      </w:pPr>
      <w:r w:rsidRPr="006D7EE2">
        <w:t xml:space="preserve">The PUCO approved </w:t>
      </w:r>
      <w:r w:rsidRPr="006D7EE2" w:rsidR="00FE1C94">
        <w:t>FirstEnergy</w:t>
      </w:r>
      <w:r w:rsidR="006D7EE2">
        <w:t>’</w:t>
      </w:r>
      <w:r w:rsidRPr="006D7EE2" w:rsidR="00FE1C94">
        <w:t>s application to revise Rider NMB charges,</w:t>
      </w:r>
      <w:r w:rsidR="006D7EE2">
        <w:t xml:space="preserve"> </w:t>
      </w:r>
      <w:r w:rsidRPr="006D7EE2">
        <w:t>subject to the PUCO Staff</w:t>
      </w:r>
      <w:r w:rsidR="006D7EE2">
        <w:t>’</w:t>
      </w:r>
      <w:r w:rsidRPr="006D7EE2">
        <w:t>s recommendations.</w:t>
      </w:r>
      <w:r>
        <w:rPr>
          <w:rStyle w:val="FootnoteReference"/>
        </w:rPr>
        <w:footnoteReference w:id="14"/>
      </w:r>
      <w:r w:rsidRPr="006D7EE2">
        <w:t xml:space="preserve"> </w:t>
      </w:r>
      <w:r w:rsidRPr="006D7EE2">
        <w:t>The PUCO Staff recommend</w:t>
      </w:r>
      <w:r w:rsidRPr="006D7EE2" w:rsidR="004B4B5F">
        <w:t>ed</w:t>
      </w:r>
      <w:r w:rsidRPr="006D7EE2">
        <w:t xml:space="preserve"> adjusted charges to</w:t>
      </w:r>
      <w:r w:rsidRPr="006D7EE2" w:rsidR="004B4B5F">
        <w:t xml:space="preserve"> non-residential consumers to</w:t>
      </w:r>
      <w:r w:rsidR="006D7EE2">
        <w:t xml:space="preserve"> </w:t>
      </w:r>
      <w:r w:rsidRPr="006D7EE2">
        <w:t>limit rate shock.</w:t>
      </w:r>
      <w:r>
        <w:rPr>
          <w:rStyle w:val="FootnoteReference"/>
        </w:rPr>
        <w:footnoteReference w:id="15"/>
      </w:r>
      <w:r w:rsidRPr="006D7EE2">
        <w:t xml:space="preserve"> But t</w:t>
      </w:r>
      <w:r w:rsidRPr="006D7EE2">
        <w:t xml:space="preserve">he revised </w:t>
      </w:r>
      <w:r w:rsidRPr="006D7EE2" w:rsidR="00215B2B">
        <w:t>transmission</w:t>
      </w:r>
      <w:r w:rsidRPr="006D7EE2">
        <w:t xml:space="preserve"> charges </w:t>
      </w:r>
      <w:r w:rsidRPr="006D7EE2">
        <w:t xml:space="preserve">still </w:t>
      </w:r>
      <w:r w:rsidRPr="006D7EE2">
        <w:t xml:space="preserve">include costs shifted to </w:t>
      </w:r>
      <w:r w:rsidRPr="006D7EE2" w:rsidR="00215B2B">
        <w:t xml:space="preserve">residential </w:t>
      </w:r>
      <w:r w:rsidRPr="006D7EE2">
        <w:t>consumers under the pilot program.</w:t>
      </w:r>
      <w:r>
        <w:rPr>
          <w:rStyle w:val="FootnoteReference"/>
        </w:rPr>
        <w:footnoteReference w:id="16"/>
      </w:r>
      <w:r w:rsidRPr="006D7EE2">
        <w:t xml:space="preserve"> </w:t>
      </w:r>
      <w:r w:rsidRPr="006D7EE2">
        <w:t>The PUCO</w:t>
      </w:r>
      <w:r w:rsidR="006D7EE2">
        <w:t>’</w:t>
      </w:r>
      <w:r w:rsidRPr="006D7EE2">
        <w:t xml:space="preserve">s Staff did not address this issue. </w:t>
      </w:r>
      <w:r w:rsidRPr="006D7EE2" w:rsidR="0094042E">
        <w:t xml:space="preserve">The </w:t>
      </w:r>
      <w:r w:rsidRPr="006D7EE2" w:rsidR="00D13809">
        <w:t>Finding and Order violates</w:t>
      </w:r>
      <w:r w:rsidRPr="006D7EE2" w:rsidR="003C39F6">
        <w:t xml:space="preserve"> </w:t>
      </w:r>
      <w:r w:rsidRPr="006D7EE2" w:rsidR="00D13809">
        <w:t>R.C. 4903.09 because the record evidence does not support the conclusion.</w:t>
      </w:r>
      <w:r>
        <w:rPr>
          <w:rStyle w:val="FootnoteReference"/>
        </w:rPr>
        <w:footnoteReference w:id="17"/>
      </w:r>
      <w:r w:rsidRPr="006D7EE2" w:rsidR="0094042E">
        <w:t xml:space="preserve"> </w:t>
      </w:r>
    </w:p>
    <w:p w:rsidR="00A16504" w:rsidRPr="006D7EE2" w:rsidP="00A16504" w14:paraId="432C43CE" w14:textId="7451E51D">
      <w:pPr>
        <w:spacing w:line="480" w:lineRule="auto"/>
        <w:ind w:firstLine="720"/>
      </w:pPr>
      <w:r w:rsidRPr="006D7EE2">
        <w:t>In response to OCC</w:t>
      </w:r>
      <w:r w:rsidR="006D7EE2">
        <w:t>’</w:t>
      </w:r>
      <w:r w:rsidRPr="006D7EE2">
        <w:t xml:space="preserve">s argument that the Rider NMB pilot results in cost-shifting, the PUCO said that the audit of Rider NMB found </w:t>
      </w:r>
      <w:r w:rsidR="006D7EE2">
        <w:t>“</w:t>
      </w:r>
      <w:r w:rsidRPr="006D7EE2">
        <w:t>that the Pilot program resulted in an overall cost savings for customers, creating a $231.1 million revenue requirement reduction for all customers from March 2017 through February 2023.</w:t>
      </w:r>
      <w:r w:rsidR="006D7EE2">
        <w:t>”</w:t>
      </w:r>
      <w:r>
        <w:rPr>
          <w:rStyle w:val="FootnoteReference"/>
        </w:rPr>
        <w:footnoteReference w:id="18"/>
      </w:r>
      <w:r w:rsidRPr="006D7EE2" w:rsidR="001664B9">
        <w:t xml:space="preserve"> And the PUCO asserted that </w:t>
      </w:r>
      <w:r w:rsidR="006D7EE2">
        <w:t>“</w:t>
      </w:r>
      <w:r w:rsidRPr="006D7EE2" w:rsidR="001664B9">
        <w:t>the auditor found that non-participating commercial and industrial customers absorb over 75 percent of the cost shift.</w:t>
      </w:r>
      <w:r w:rsidR="006D7EE2">
        <w:t>”</w:t>
      </w:r>
      <w:r>
        <w:rPr>
          <w:rStyle w:val="FootnoteReference"/>
        </w:rPr>
        <w:footnoteReference w:id="19"/>
      </w:r>
    </w:p>
    <w:p w:rsidR="001664B9" w:rsidRPr="006D7EE2" w:rsidP="00A16504" w14:paraId="3FA6DDC2" w14:textId="28FAE860">
      <w:pPr>
        <w:spacing w:line="480" w:lineRule="auto"/>
        <w:ind w:firstLine="720"/>
      </w:pPr>
      <w:r w:rsidRPr="006D7EE2">
        <w:t>The PUCO only gave half the story</w:t>
      </w:r>
      <w:r w:rsidRPr="006D7EE2" w:rsidR="003A1EAB">
        <w:t xml:space="preserve"> (and even that is not supported by the PUCO</w:t>
      </w:r>
      <w:r w:rsidR="006D7EE2">
        <w:t>’</w:t>
      </w:r>
      <w:r w:rsidRPr="006D7EE2" w:rsidR="003A1EAB">
        <w:t>s Staff report)</w:t>
      </w:r>
      <w:r w:rsidRPr="006D7EE2">
        <w:t>.</w:t>
      </w:r>
      <w:r w:rsidRPr="006D7EE2" w:rsidR="00746138">
        <w:t xml:space="preserve"> </w:t>
      </w:r>
      <w:r w:rsidRPr="006D7EE2">
        <w:t xml:space="preserve">The other half of the story is that $107 million of the savings to the pilot participants came at the expense of consumers not participating in the pilot. According to the auditor </w:t>
      </w:r>
      <w:r w:rsidR="006D7EE2">
        <w:t>“</w:t>
      </w:r>
      <w:r w:rsidRPr="006D7EE2">
        <w:t>[o]ut of the difference in revenue, $107.7 million are additional cost assigned to non-Pilot participants.</w:t>
      </w:r>
      <w:r w:rsidR="006D7EE2">
        <w:t>”</w:t>
      </w:r>
      <w:r>
        <w:rPr>
          <w:rStyle w:val="FootnoteReference"/>
        </w:rPr>
        <w:footnoteReference w:id="20"/>
      </w:r>
      <w:r w:rsidRPr="006D7EE2" w:rsidR="00746138">
        <w:t xml:space="preserve"> </w:t>
      </w:r>
      <w:r w:rsidRPr="006D7EE2">
        <w:t>Additionally, the PUCO failed to point out that the auditor quantified</w:t>
      </w:r>
      <w:r w:rsidRPr="006D7EE2" w:rsidR="003A1EAB">
        <w:t xml:space="preserve"> </w:t>
      </w:r>
      <w:r w:rsidRPr="006D7EE2" w:rsidR="00893081">
        <w:t xml:space="preserve">that </w:t>
      </w:r>
      <w:r w:rsidRPr="006D7EE2">
        <w:t>the benefits to all consumers of the pilot over the seven-year period amounted to a scant $9 million, not considering the $107 million cost shift.</w:t>
      </w:r>
      <w:r>
        <w:rPr>
          <w:rStyle w:val="FootnoteReference"/>
        </w:rPr>
        <w:footnoteReference w:id="21"/>
      </w:r>
      <w:r w:rsidRPr="006D7EE2" w:rsidR="00746138">
        <w:t xml:space="preserve"> </w:t>
      </w:r>
    </w:p>
    <w:p w:rsidR="006C7D30" w:rsidRPr="006D7EE2" w:rsidP="00A16504" w14:paraId="0B4FC9C5" w14:textId="1FE890E8">
      <w:pPr>
        <w:spacing w:line="480" w:lineRule="auto"/>
        <w:ind w:firstLine="720"/>
      </w:pPr>
      <w:r w:rsidRPr="006D7EE2">
        <w:t xml:space="preserve">In short, the full story from the audit report confirms that notwithstanding the revenue reduction relied on by the PUCO in its Finding and Order, </w:t>
      </w:r>
      <w:r w:rsidRPr="006D7EE2" w:rsidR="003A1EAB">
        <w:rPr>
          <w:i/>
          <w:iCs/>
        </w:rPr>
        <w:t xml:space="preserve">the evidence in the audit report demonstrates that </w:t>
      </w:r>
      <w:r w:rsidRPr="006D7EE2">
        <w:rPr>
          <w:i/>
          <w:iCs/>
        </w:rPr>
        <w:t xml:space="preserve">there is still </w:t>
      </w:r>
      <w:r w:rsidRPr="006D7EE2" w:rsidR="009D1EE7">
        <w:rPr>
          <w:i/>
          <w:iCs/>
        </w:rPr>
        <w:t>cost</w:t>
      </w:r>
      <w:r w:rsidR="0021747A">
        <w:rPr>
          <w:i/>
          <w:iCs/>
        </w:rPr>
        <w:t>-</w:t>
      </w:r>
      <w:r w:rsidRPr="006D7EE2" w:rsidR="009D1EE7">
        <w:rPr>
          <w:i/>
          <w:iCs/>
        </w:rPr>
        <w:t>shifting</w:t>
      </w:r>
      <w:r w:rsidRPr="006D7EE2">
        <w:rPr>
          <w:i/>
          <w:iCs/>
        </w:rPr>
        <w:t xml:space="preserve"> to residential consumers</w:t>
      </w:r>
      <w:r w:rsidR="00470A19">
        <w:rPr>
          <w:i/>
          <w:iCs/>
        </w:rPr>
        <w:t xml:space="preserve">. </w:t>
      </w:r>
      <w:r w:rsidRPr="006D7EE2" w:rsidR="00215B2B">
        <w:t>This may be</w:t>
      </w:r>
      <w:r w:rsidRPr="006D7EE2">
        <w:t xml:space="preserve"> why the auditor</w:t>
      </w:r>
      <w:r w:rsidR="006D7EE2">
        <w:t>’</w:t>
      </w:r>
      <w:r w:rsidRPr="006D7EE2">
        <w:t>s preferred recommendation was to eliminate Rider NMB for all customers.</w:t>
      </w:r>
      <w:r>
        <w:rPr>
          <w:rStyle w:val="FootnoteReference"/>
        </w:rPr>
        <w:footnoteReference w:id="22"/>
      </w:r>
      <w:r w:rsidRPr="006D7EE2">
        <w:t xml:space="preserve"> </w:t>
      </w:r>
    </w:p>
    <w:p w:rsidR="00A16504" w:rsidRPr="006D7EE2" w:rsidP="0087629C" w14:paraId="0041B3AB" w14:textId="22A26CA3">
      <w:pPr>
        <w:spacing w:line="480" w:lineRule="auto"/>
        <w:ind w:firstLine="720"/>
      </w:pPr>
      <w:r w:rsidRPr="006D7EE2">
        <w:t>The Finding and Order violates R.C. 4903.09 because the record evidence does not support the</w:t>
      </w:r>
      <w:r w:rsidRPr="006D7EE2" w:rsidR="00215B2B">
        <w:t xml:space="preserve"> PUCO</w:t>
      </w:r>
      <w:r w:rsidR="006D7EE2">
        <w:t>’</w:t>
      </w:r>
      <w:r w:rsidRPr="006D7EE2" w:rsidR="00215B2B">
        <w:t>s</w:t>
      </w:r>
      <w:r w:rsidR="006D7EE2">
        <w:t xml:space="preserve"> </w:t>
      </w:r>
      <w:r w:rsidRPr="006D7EE2">
        <w:t>conclusion.</w:t>
      </w:r>
      <w:r>
        <w:rPr>
          <w:rStyle w:val="FootnoteReference"/>
        </w:rPr>
        <w:footnoteReference w:id="23"/>
      </w:r>
      <w:r w:rsidRPr="006D7EE2">
        <w:t xml:space="preserve"> </w:t>
      </w:r>
      <w:r w:rsidRPr="006D7EE2" w:rsidR="003A1EAB">
        <w:t xml:space="preserve">The revenue reduction relied on by the PUCO in its Finding and Order is not the whole story because </w:t>
      </w:r>
      <w:r w:rsidRPr="006D7EE2" w:rsidR="003A1EAB">
        <w:rPr>
          <w:i/>
          <w:iCs/>
        </w:rPr>
        <w:t>the evidence in the audit report demonstrates that there is still cost</w:t>
      </w:r>
      <w:r w:rsidR="0021747A">
        <w:rPr>
          <w:i/>
          <w:iCs/>
        </w:rPr>
        <w:t>-</w:t>
      </w:r>
      <w:r w:rsidRPr="006D7EE2" w:rsidR="003A1EAB">
        <w:rPr>
          <w:i/>
          <w:iCs/>
        </w:rPr>
        <w:t xml:space="preserve">shifting to residential consumers. </w:t>
      </w:r>
      <w:r w:rsidRPr="006D7EE2" w:rsidR="00D13809">
        <w:t>The PUCO thus violated R.C. 4903.09, which requires the PUCO to base its findings on facts in the record.</w:t>
      </w:r>
      <w:r>
        <w:rPr>
          <w:rStyle w:val="FootnoteReference"/>
        </w:rPr>
        <w:footnoteReference w:id="24"/>
      </w:r>
      <w:r w:rsidRPr="006D7EE2" w:rsidR="003C39F6">
        <w:t xml:space="preserve"> </w:t>
      </w:r>
      <w:r w:rsidRPr="006D7EE2" w:rsidR="00F8037C">
        <w:t>The PUCO should end the cost-shifting under the seven-year pilot</w:t>
      </w:r>
      <w:r w:rsidRPr="006D7EE2" w:rsidR="00215B2B">
        <w:t xml:space="preserve"> by terminating the pilot</w:t>
      </w:r>
      <w:r w:rsidRPr="006D7EE2" w:rsidR="00F8037C">
        <w:t>. Alternatively, the PUCO should require revenue shortfalls from the program to be picked up by those</w:t>
      </w:r>
      <w:r w:rsidRPr="006D7EE2" w:rsidR="00215B2B">
        <w:t xml:space="preserve"> customer classes whose</w:t>
      </w:r>
      <w:r w:rsidR="006D7EE2">
        <w:t xml:space="preserve"> </w:t>
      </w:r>
      <w:r w:rsidRPr="006D7EE2" w:rsidR="00F8037C">
        <w:t xml:space="preserve">consumers </w:t>
      </w:r>
      <w:r w:rsidRPr="006D7EE2" w:rsidR="00215B2B">
        <w:t>can participate in the</w:t>
      </w:r>
      <w:r w:rsidR="006D7EE2">
        <w:t xml:space="preserve"> </w:t>
      </w:r>
      <w:r w:rsidRPr="006D7EE2" w:rsidR="00F8037C">
        <w:t xml:space="preserve">pilot </w:t>
      </w:r>
      <w:r w:rsidRPr="006D7EE2" w:rsidR="00215B2B">
        <w:t>program</w:t>
      </w:r>
      <w:r w:rsidRPr="006D7EE2" w:rsidR="00F8037C">
        <w:t>.</w:t>
      </w:r>
      <w:r w:rsidR="006D7EE2">
        <w:t xml:space="preserve"> </w:t>
      </w:r>
    </w:p>
    <w:p w:rsidR="006C7D30" w:rsidRPr="006D7EE2" w:rsidP="00FE1C94" w14:paraId="77D773B8" w14:textId="2610E34E">
      <w:pPr>
        <w:pStyle w:val="Heading2"/>
      </w:pPr>
      <w:bookmarkStart w:id="20" w:name="_Toc164411642"/>
      <w:bookmarkStart w:id="21" w:name="_Hlk164411351"/>
      <w:bookmarkEnd w:id="15"/>
      <w:bookmarkEnd w:id="16"/>
      <w:bookmarkEnd w:id="17"/>
      <w:bookmarkEnd w:id="18"/>
      <w:bookmarkEnd w:id="19"/>
      <w:r w:rsidRPr="006D7EE2">
        <w:rPr>
          <w:bCs/>
        </w:rPr>
        <w:t xml:space="preserve">ASSIGNMENT OF ERROR </w:t>
      </w:r>
      <w:r w:rsidRPr="006D7EE2" w:rsidR="00B347B8">
        <w:rPr>
          <w:bCs/>
        </w:rPr>
        <w:t>3</w:t>
      </w:r>
      <w:r w:rsidRPr="006D7EE2">
        <w:rPr>
          <w:bCs/>
        </w:rPr>
        <w:t>:</w:t>
      </w:r>
      <w:r w:rsidRPr="006D7EE2">
        <w:t xml:space="preserve"> </w:t>
      </w:r>
      <w:r w:rsidRPr="006D7EE2" w:rsidR="00B347B8">
        <w:t>The PUCO</w:t>
      </w:r>
      <w:r w:rsidR="006D7EE2">
        <w:t>’</w:t>
      </w:r>
      <w:r w:rsidRPr="006D7EE2" w:rsidR="00B347B8">
        <w:t>s Finding and Order is unlawful and unreasonable because it results in charges to consumers that are unjust, unreasonable, preferential, and discriminatory and result from cost-shifting under the Rider NMB pilot program, in violation of R.C. 4905.22 and R.C. 4905.33-35.</w:t>
      </w:r>
      <w:bookmarkEnd w:id="20"/>
    </w:p>
    <w:bookmarkEnd w:id="21"/>
    <w:p w:rsidR="00215B2B" w:rsidRPr="006D7EE2" w:rsidP="0087629C" w14:paraId="6D4D375F" w14:textId="741F0476">
      <w:pPr>
        <w:spacing w:line="480" w:lineRule="auto"/>
        <w:ind w:firstLine="720"/>
      </w:pPr>
      <w:r w:rsidRPr="006D7EE2">
        <w:t>FirstEnergy</w:t>
      </w:r>
      <w:r w:rsidR="006D7EE2">
        <w:t>’</w:t>
      </w:r>
      <w:r w:rsidRPr="006D7EE2">
        <w:t>s application sought to revise (increase) Rider NMB charges.</w:t>
      </w:r>
      <w:r>
        <w:rPr>
          <w:rStyle w:val="FootnoteReference"/>
        </w:rPr>
        <w:footnoteReference w:id="25"/>
      </w:r>
      <w:r w:rsidRPr="006D7EE2">
        <w:t xml:space="preserve"> In response to OCC</w:t>
      </w:r>
      <w:r w:rsidR="006D7EE2">
        <w:t>’</w:t>
      </w:r>
      <w:r w:rsidRPr="006D7EE2">
        <w:t>s argument that the Rider NMB pilot results in cost-shifting, the PUCO said that the pilot program resulted in a decreased revenue requirement</w:t>
      </w:r>
      <w:r w:rsidRPr="006D7EE2" w:rsidR="00E6185B">
        <w:t xml:space="preserve"> and that shifted costs are primarily absorbed by commercial and industrial customers</w:t>
      </w:r>
      <w:r w:rsidRPr="006D7EE2">
        <w:t>.</w:t>
      </w:r>
      <w:r>
        <w:rPr>
          <w:rStyle w:val="FootnoteReference"/>
        </w:rPr>
        <w:footnoteReference w:id="26"/>
      </w:r>
      <w:r w:rsidRPr="006D7EE2">
        <w:t xml:space="preserve"> </w:t>
      </w:r>
    </w:p>
    <w:p w:rsidR="0087629C" w:rsidRPr="006D7EE2" w:rsidP="0087629C" w14:paraId="36F54259" w14:textId="00A36EDE">
      <w:pPr>
        <w:spacing w:line="480" w:lineRule="auto"/>
        <w:ind w:firstLine="720"/>
      </w:pPr>
      <w:r w:rsidRPr="006D7EE2">
        <w:t xml:space="preserve">But the </w:t>
      </w:r>
      <w:r w:rsidRPr="006D7EE2">
        <w:t xml:space="preserve">so-called revenue requirement reduction does not alleviate the cost-shifting to residential consumers under the </w:t>
      </w:r>
      <w:r w:rsidRPr="006D7EE2" w:rsidR="008F17E2">
        <w:t xml:space="preserve">Rider NMB </w:t>
      </w:r>
      <w:r w:rsidRPr="006D7EE2">
        <w:t xml:space="preserve">pilot. As explained above, </w:t>
      </w:r>
      <w:r w:rsidRPr="006D7EE2">
        <w:rPr>
          <w:i/>
          <w:iCs/>
        </w:rPr>
        <w:t>it still occurs irrespective of the revenue requirement reduction</w:t>
      </w:r>
      <w:r w:rsidRPr="006D7EE2" w:rsidR="00215B2B">
        <w:rPr>
          <w:i/>
          <w:iCs/>
        </w:rPr>
        <w:t xml:space="preserve"> ordered by the PUCO</w:t>
      </w:r>
      <w:r w:rsidRPr="006D7EE2">
        <w:rPr>
          <w:i/>
          <w:iCs/>
        </w:rPr>
        <w:t>.</w:t>
      </w:r>
      <w:r w:rsidRPr="006D7EE2">
        <w:t xml:space="preserve"> Cost-shifting to residential consumers who cannot avoid the charge </w:t>
      </w:r>
      <w:r w:rsidRPr="006D7EE2" w:rsidR="003D0057">
        <w:t>is</w:t>
      </w:r>
      <w:r w:rsidR="006D7EE2">
        <w:t xml:space="preserve"> </w:t>
      </w:r>
      <w:r w:rsidRPr="006D7EE2">
        <w:t>unjust and unreasonable, in violation of R.C. 4905.22</w:t>
      </w:r>
      <w:r w:rsidRPr="006D7EE2" w:rsidR="00B347B8">
        <w:t xml:space="preserve">, and </w:t>
      </w:r>
      <w:r w:rsidRPr="006D7EE2" w:rsidR="003D0057">
        <w:t xml:space="preserve">results in </w:t>
      </w:r>
      <w:r w:rsidRPr="006D7EE2" w:rsidR="00B347B8">
        <w:t>preferential and discriminatory charges, in violation of R.C. 4905.33-35</w:t>
      </w:r>
      <w:r w:rsidRPr="006D7EE2">
        <w:t>.</w:t>
      </w:r>
      <w:r w:rsidRPr="006D7EE2" w:rsidR="008F17E2">
        <w:t xml:space="preserve"> R.C. 4905.22 requires that </w:t>
      </w:r>
      <w:r w:rsidRPr="006D7EE2" w:rsidR="003D0057">
        <w:t>all rates for utility services</w:t>
      </w:r>
      <w:r w:rsidRPr="006D7EE2" w:rsidR="008F17E2">
        <w:t xml:space="preserve"> be just and reasonable.</w:t>
      </w:r>
      <w:r w:rsidRPr="006D7EE2" w:rsidR="00B347B8">
        <w:t xml:space="preserve"> R.C. 4905.33-35 prohibits preferential and </w:t>
      </w:r>
      <w:r w:rsidRPr="006D7EE2" w:rsidR="003D0057">
        <w:t xml:space="preserve">undue </w:t>
      </w:r>
      <w:r w:rsidRPr="006D7EE2" w:rsidR="00B347B8">
        <w:t>discriminatory charges.</w:t>
      </w:r>
      <w:r w:rsidRPr="006D7EE2">
        <w:t xml:space="preserve"> </w:t>
      </w:r>
    </w:p>
    <w:p w:rsidR="006C7D30" w:rsidRPr="006D7EE2" w:rsidP="006C7D30" w14:paraId="25825631" w14:textId="0F9C42D1">
      <w:pPr>
        <w:spacing w:line="480" w:lineRule="auto"/>
        <w:ind w:firstLine="720"/>
      </w:pPr>
      <w:r w:rsidRPr="006D7EE2">
        <w:t>When the Rider NMB pilot program was approved as part of FirstEnergy</w:t>
      </w:r>
      <w:r w:rsidR="006D7EE2">
        <w:t>’</w:t>
      </w:r>
      <w:r w:rsidRPr="006D7EE2">
        <w:t>s fourth electric security plan in 2016, the PUCO ordered its Staff to conduct a review of the program to determine if the program imposes unreasonable charges on residential consumers.</w:t>
      </w:r>
      <w:r>
        <w:rPr>
          <w:rStyle w:val="FootnoteReference"/>
        </w:rPr>
        <w:footnoteReference w:id="27"/>
      </w:r>
      <w:r w:rsidRPr="006D7EE2">
        <w:t xml:space="preserve"> After nearly seven years with no review and other delays, the initial audit of FirstEnergy</w:t>
      </w:r>
      <w:r w:rsidR="006D7EE2">
        <w:t>’</w:t>
      </w:r>
      <w:r w:rsidRPr="006D7EE2">
        <w:t>s Rider NMB pilot program was finally completed. As OCC feared and warned of,</w:t>
      </w:r>
      <w:r>
        <w:rPr>
          <w:rStyle w:val="FootnoteReference"/>
        </w:rPr>
        <w:footnoteReference w:id="28"/>
      </w:r>
      <w:r w:rsidRPr="006D7EE2">
        <w:t xml:space="preserve"> the opt out of Rider NMB caused cost shifting to residential </w:t>
      </w:r>
      <w:r w:rsidRPr="006D7EE2" w:rsidR="00CB495A">
        <w:t xml:space="preserve">and other </w:t>
      </w:r>
      <w:r w:rsidRPr="006D7EE2">
        <w:t xml:space="preserve">consumers. </w:t>
      </w:r>
    </w:p>
    <w:p w:rsidR="0087629C" w:rsidRPr="006D7EE2" w:rsidP="006C7D30" w14:paraId="5A632D82" w14:textId="627ADEF9">
      <w:pPr>
        <w:spacing w:line="480" w:lineRule="auto"/>
        <w:ind w:firstLine="720"/>
      </w:pPr>
      <w:r w:rsidRPr="006D7EE2">
        <w:t xml:space="preserve">The audit report confirmed cost shifting burdens to consumers who do not participate in the Rider NMB pilot program. The auditor found that </w:t>
      </w:r>
      <w:r w:rsidR="006D7EE2">
        <w:t>“</w:t>
      </w:r>
      <w:r w:rsidRPr="006D7EE2">
        <w:t>[t]he existence of the Pilot reveals the shortcomings of Rider NMB in allocating certain PJM costs to nonparticipating customers based on the principle of cost causation.</w:t>
      </w:r>
      <w:r w:rsidR="006D7EE2">
        <w:t>”</w:t>
      </w:r>
      <w:r>
        <w:rPr>
          <w:rStyle w:val="FootnoteReference"/>
        </w:rPr>
        <w:footnoteReference w:id="29"/>
      </w:r>
      <w:r w:rsidRPr="006D7EE2">
        <w:t xml:space="preserve"> The auditor identified cost shifts as occurring due to the structure of Rider NMB. According to the auditor, </w:t>
      </w:r>
      <w:r w:rsidR="006D7EE2">
        <w:t>“</w:t>
      </w:r>
      <w:r w:rsidRPr="006D7EE2">
        <w:t>[s]ome, but not all, of the avoided transmission costs for the Pilot Program . . . are shifted to the Companies</w:t>
      </w:r>
      <w:r w:rsidR="006D7EE2">
        <w:t>’</w:t>
      </w:r>
      <w:r w:rsidRPr="006D7EE2">
        <w:t xml:space="preserve"> non-participating customers under Rider NMB. The remainder of the transmission cost shift is borne by other loads in the ATSI zone that are not customers of the Companies.</w:t>
      </w:r>
      <w:r w:rsidR="006D7EE2">
        <w:t>”</w:t>
      </w:r>
      <w:r>
        <w:rPr>
          <w:rStyle w:val="FootnoteReference"/>
        </w:rPr>
        <w:footnoteReference w:id="30"/>
      </w:r>
      <w:r w:rsidRPr="006D7EE2">
        <w:t xml:space="preserve"> </w:t>
      </w:r>
    </w:p>
    <w:p w:rsidR="00437C02" w:rsidRPr="006D7EE2" w:rsidP="006C7D30" w14:paraId="1AA93BF5" w14:textId="60CBA76C">
      <w:pPr>
        <w:spacing w:line="480" w:lineRule="auto"/>
        <w:ind w:firstLine="720"/>
      </w:pPr>
      <w:r w:rsidRPr="006D7EE2">
        <w:t xml:space="preserve">The </w:t>
      </w:r>
      <w:r w:rsidRPr="006D7EE2" w:rsidR="0087629C">
        <w:t>a</w:t>
      </w:r>
      <w:r w:rsidRPr="006D7EE2">
        <w:t xml:space="preserve">uditor further concluded that </w:t>
      </w:r>
      <w:r w:rsidR="006D7EE2">
        <w:t>“</w:t>
      </w:r>
      <w:r w:rsidRPr="006D7EE2">
        <w:t>signals from the Pilot are too small and inconsistent to induce the [] long-term impact</w:t>
      </w:r>
      <w:r w:rsidR="006D7EE2">
        <w:t>”</w:t>
      </w:r>
      <w:r w:rsidRPr="006D7EE2">
        <w:t xml:space="preserve"> by deferring or eliminating transmission expansion needs in order to reduce transmission revenue requirements.</w:t>
      </w:r>
      <w:r>
        <w:rPr>
          <w:rStyle w:val="FootnoteReference"/>
        </w:rPr>
        <w:footnoteReference w:id="31"/>
      </w:r>
      <w:r w:rsidRPr="006D7EE2">
        <w:t xml:space="preserve"> The </w:t>
      </w:r>
      <w:r w:rsidRPr="006D7EE2" w:rsidR="0087629C">
        <w:t>a</w:t>
      </w:r>
      <w:r w:rsidRPr="006D7EE2">
        <w:t xml:space="preserve">uditor also concluded that the pilot program is </w:t>
      </w:r>
      <w:r w:rsidR="006D7EE2">
        <w:t>“</w:t>
      </w:r>
      <w:r w:rsidRPr="006D7EE2">
        <w:t>unlikely to provide direct reliability benefits</w:t>
      </w:r>
      <w:r w:rsidR="006D7EE2">
        <w:t>”</w:t>
      </w:r>
      <w:r w:rsidRPr="006D7EE2">
        <w:t xml:space="preserve"> and that the pilot program </w:t>
      </w:r>
      <w:r w:rsidR="006D7EE2">
        <w:t>“</w:t>
      </w:r>
      <w:r w:rsidRPr="006D7EE2">
        <w:t>does not resolve the typical causes of grid stress.</w:t>
      </w:r>
      <w:r w:rsidR="006D7EE2">
        <w:t>”</w:t>
      </w:r>
      <w:r>
        <w:rPr>
          <w:rStyle w:val="FootnoteReference"/>
        </w:rPr>
        <w:footnoteReference w:id="32"/>
      </w:r>
    </w:p>
    <w:p w:rsidR="0087629C" w:rsidRPr="006D7EE2" w:rsidP="0087629C" w14:paraId="58A469E5" w14:textId="41C113E7">
      <w:pPr>
        <w:spacing w:line="480" w:lineRule="auto"/>
        <w:ind w:firstLine="720"/>
      </w:pPr>
      <w:r w:rsidRPr="006D7EE2">
        <w:t xml:space="preserve">Because the </w:t>
      </w:r>
      <w:r w:rsidRPr="006D7EE2" w:rsidR="004A4768">
        <w:t xml:space="preserve">Rider NMB </w:t>
      </w:r>
      <w:r w:rsidRPr="006D7EE2">
        <w:t xml:space="preserve">pilot results in cost-shifting to residential consumers, </w:t>
      </w:r>
      <w:r w:rsidRPr="006D7EE2">
        <w:rPr>
          <w:i/>
          <w:iCs/>
        </w:rPr>
        <w:t>irrespective of the supposed revenue requirement reduction</w:t>
      </w:r>
      <w:r w:rsidRPr="006D7EE2" w:rsidR="00CB495A">
        <w:rPr>
          <w:i/>
          <w:iCs/>
        </w:rPr>
        <w:t xml:space="preserve"> to other nonparticipating consumers</w:t>
      </w:r>
      <w:r w:rsidRPr="006D7EE2">
        <w:t xml:space="preserve">, the Finding and Order results in unjust and unreasonable charges </w:t>
      </w:r>
      <w:r w:rsidRPr="006D7EE2" w:rsidR="00CB495A">
        <w:t xml:space="preserve">to </w:t>
      </w:r>
      <w:r w:rsidRPr="006D7EE2">
        <w:t>residential consumers</w:t>
      </w:r>
      <w:r w:rsidRPr="006D7EE2" w:rsidR="007D79E1">
        <w:t xml:space="preserve"> in violation of R.C. 4905.22</w:t>
      </w:r>
      <w:r w:rsidRPr="006D7EE2">
        <w:t xml:space="preserve">. </w:t>
      </w:r>
      <w:r w:rsidRPr="006D7EE2" w:rsidR="00B347B8">
        <w:t xml:space="preserve">The cost-shifting also gives preferential treatment to pilot participants, and </w:t>
      </w:r>
      <w:r w:rsidRPr="006D7EE2" w:rsidR="00CB495A">
        <w:t xml:space="preserve">unduly </w:t>
      </w:r>
      <w:r w:rsidRPr="006D7EE2" w:rsidR="00B347B8">
        <w:t xml:space="preserve">discriminates against non-participants (including residential </w:t>
      </w:r>
      <w:r w:rsidRPr="006D7EE2" w:rsidR="00470A19">
        <w:t>consumers</w:t>
      </w:r>
      <w:r w:rsidRPr="006D7EE2" w:rsidR="00B347B8">
        <w:t xml:space="preserve">), by allowing participants to avoid costs and shift those costs onto non-participants. </w:t>
      </w:r>
    </w:p>
    <w:p w:rsidR="00B816FC" w:rsidP="0087629C" w14:paraId="34F41E20" w14:textId="3B0F517B">
      <w:pPr>
        <w:spacing w:line="480" w:lineRule="auto"/>
        <w:ind w:firstLine="720"/>
      </w:pPr>
      <w:r w:rsidRPr="006D7EE2">
        <w:t>The PUCO should end the cost-shifting under the seven-year pilot</w:t>
      </w:r>
      <w:r w:rsidRPr="006D7EE2" w:rsidR="00CB495A">
        <w:t xml:space="preserve"> by terminating the pilot</w:t>
      </w:r>
      <w:r w:rsidRPr="006D7EE2">
        <w:t>. Alternatively, the PUCO should require revenue shortfalls from the program to be picked up by those</w:t>
      </w:r>
      <w:r w:rsidRPr="006D7EE2" w:rsidR="00CB495A">
        <w:t xml:space="preserve"> customer classes whose</w:t>
      </w:r>
      <w:r w:rsidR="006D7EE2">
        <w:t xml:space="preserve"> </w:t>
      </w:r>
      <w:r w:rsidRPr="006D7EE2">
        <w:t xml:space="preserve">consumers </w:t>
      </w:r>
      <w:r w:rsidRPr="006D7EE2" w:rsidR="00CB495A">
        <w:t>can participate in the pilot.</w:t>
      </w:r>
      <w:r w:rsidR="006D7EE2">
        <w:t xml:space="preserve"> </w:t>
      </w:r>
    </w:p>
    <w:p w:rsidR="00B816FC" w14:paraId="55B5BFA3" w14:textId="77777777">
      <w:r>
        <w:br w:type="page"/>
      </w:r>
    </w:p>
    <w:p w:rsidR="003206D9" w:rsidRPr="006D7EE2" w:rsidP="00FE1C94" w14:paraId="252F4302" w14:textId="1FEA5DB7">
      <w:pPr>
        <w:pStyle w:val="Heading2"/>
      </w:pPr>
      <w:bookmarkStart w:id="22" w:name="_Toc164411643"/>
      <w:r w:rsidRPr="006D7EE2">
        <w:rPr>
          <w:bCs/>
        </w:rPr>
        <w:t xml:space="preserve">ASSIGNMENT OF ERROR </w:t>
      </w:r>
      <w:r w:rsidRPr="006D7EE2" w:rsidR="00B347B8">
        <w:rPr>
          <w:bCs/>
        </w:rPr>
        <w:t>4</w:t>
      </w:r>
      <w:r w:rsidRPr="006D7EE2">
        <w:rPr>
          <w:bCs/>
        </w:rPr>
        <w:t>:</w:t>
      </w:r>
      <w:r w:rsidRPr="006D7EE2">
        <w:t xml:space="preserve"> </w:t>
      </w:r>
      <w:r w:rsidRPr="006D7EE2" w:rsidR="00564039">
        <w:t>The PUCO</w:t>
      </w:r>
      <w:r w:rsidR="006D7EE2">
        <w:t>’</w:t>
      </w:r>
      <w:r w:rsidRPr="006D7EE2" w:rsidR="00564039">
        <w:t>s Finding and Order is unlawful and unreasonable because the PUCO should have protected consumers by ordering Rider NMB to be collected subject to refund.</w:t>
      </w:r>
      <w:r w:rsidR="006D7EE2">
        <w:t xml:space="preserve"> </w:t>
      </w:r>
      <w:r w:rsidRPr="006D7EE2" w:rsidR="00564039">
        <w:t>Such a ruling would have protected consumers and allowed for refunds if FERC</w:t>
      </w:r>
      <w:r w:rsidR="006D7EE2">
        <w:t xml:space="preserve"> </w:t>
      </w:r>
      <w:r w:rsidRPr="006D7EE2" w:rsidR="00564039">
        <w:t>rules favorably on OCC</w:t>
      </w:r>
      <w:r w:rsidR="006D7EE2">
        <w:t>’</w:t>
      </w:r>
      <w:r w:rsidRPr="006D7EE2" w:rsidR="00564039">
        <w:t>s complaint related to supplemental transmission projects.</w:t>
      </w:r>
      <w:bookmarkEnd w:id="22"/>
    </w:p>
    <w:p w:rsidR="00CB495A" w:rsidRPr="006D7EE2" w:rsidP="003206D9" w14:paraId="5D7A7CC6" w14:textId="77777777">
      <w:pPr>
        <w:spacing w:line="480" w:lineRule="auto"/>
      </w:pPr>
      <w:r w:rsidRPr="006D7EE2">
        <w:tab/>
        <w:t>OCC has long warned of the harm to consumers from supplemental transmission projects.</w:t>
      </w:r>
      <w:r>
        <w:rPr>
          <w:rStyle w:val="FootnoteReference"/>
        </w:rPr>
        <w:footnoteReference w:id="33"/>
      </w:r>
      <w:r w:rsidRPr="006D7EE2">
        <w:t xml:space="preserve"> There is little to no regulatory oversight of the necessity or prudence of supplemental transmission project investment costs at the state or federal level. </w:t>
      </w:r>
    </w:p>
    <w:p w:rsidR="003206D9" w:rsidRPr="006D7EE2" w:rsidP="006C5BAE" w14:paraId="2BC41280" w14:textId="457AF382">
      <w:pPr>
        <w:pStyle w:val="BodyTextIndent3"/>
        <w:widowControl w:val="0"/>
        <w:spacing w:line="480" w:lineRule="auto"/>
      </w:pPr>
      <w:r w:rsidRPr="006D7EE2">
        <w:t xml:space="preserve">The PUCO recently acknowledged this </w:t>
      </w:r>
      <w:r w:rsidR="006D7EE2">
        <w:t>“</w:t>
      </w:r>
      <w:r w:rsidRPr="006D7EE2">
        <w:t>regulatory gap</w:t>
      </w:r>
      <w:r w:rsidR="006D7EE2">
        <w:t>”</w:t>
      </w:r>
      <w:r w:rsidRPr="006D7EE2">
        <w:t xml:space="preserve"> problem in First Energy</w:t>
      </w:r>
      <w:r w:rsidR="006D7EE2">
        <w:t>’</w:t>
      </w:r>
      <w:r w:rsidRPr="006D7EE2">
        <w:t>s annual Rider NMB update case.</w:t>
      </w:r>
      <w:r>
        <w:rPr>
          <w:rStyle w:val="FootnoteReference"/>
        </w:rPr>
        <w:footnoteReference w:id="34"/>
      </w:r>
      <w:r w:rsidRPr="006D7EE2">
        <w:t xml:space="preserve"> To protect consumers, OCC</w:t>
      </w:r>
      <w:r w:rsidR="006D7EE2">
        <w:t xml:space="preserve"> </w:t>
      </w:r>
      <w:r w:rsidRPr="006D7EE2">
        <w:t xml:space="preserve">filed a complaint </w:t>
      </w:r>
      <w:r w:rsidRPr="006D7EE2" w:rsidR="004B483C">
        <w:t xml:space="preserve">regarding supplemental transmission projects </w:t>
      </w:r>
      <w:r w:rsidRPr="006D7EE2">
        <w:t>at the Federal Energy Regulatory Commission</w:t>
      </w:r>
      <w:r w:rsidRPr="006D7EE2" w:rsidR="004B483C">
        <w:t>.</w:t>
      </w:r>
      <w:r>
        <w:rPr>
          <w:rStyle w:val="FootnoteReference"/>
        </w:rPr>
        <w:footnoteReference w:id="35"/>
      </w:r>
      <w:r w:rsidRPr="006D7EE2" w:rsidR="004B483C">
        <w:t xml:space="preserve"> The PUCO should protect consumers in this case by ordering that Rider NMB be collected subject to refund if FERC determines as a result of OCC</w:t>
      </w:r>
      <w:r w:rsidR="006D7EE2">
        <w:t>’</w:t>
      </w:r>
      <w:r w:rsidRPr="006D7EE2" w:rsidR="004B483C">
        <w:t>s complaint that consumers are improperly paying for supplemental transmission projects.</w:t>
      </w:r>
      <w:r w:rsidRPr="006D7EE2" w:rsidR="007B350F">
        <w:t xml:space="preserve"> PUCO Chair French, in remarks before the General Assembly, testified that to the extent the law allows, the PUCO can and has allowed for consumer refunds.</w:t>
      </w:r>
      <w:r>
        <w:rPr>
          <w:vertAlign w:val="superscript"/>
        </w:rPr>
        <w:footnoteReference w:id="36"/>
      </w:r>
      <w:r w:rsidRPr="006D7EE2" w:rsidR="007B350F">
        <w:t xml:space="preserve"> And she testified she intends to continue that practice.</w:t>
      </w:r>
    </w:p>
    <w:p w:rsidR="00353EFB" w:rsidRPr="006D7EE2" w:rsidP="00353EFB" w14:paraId="621E72F9" w14:textId="1DE9CEFD">
      <w:pPr>
        <w:spacing w:line="480" w:lineRule="auto"/>
      </w:pPr>
      <w:r w:rsidRPr="006D7EE2">
        <w:tab/>
      </w:r>
      <w:r w:rsidRPr="006D7EE2" w:rsidR="00936AE9">
        <w:t>The PUCO has acted to prevent harm from occurring by ordering utilities, on an ongoing basis, to collect an existing rate increase subject to refund and subject to appropriate interest charges. The PUCO has used this approach to permit it to explore the reasonableness of rates in light of events that occurred after the issuance of its orders. For instance, the Commission granted rehearing and ordered rates to be collected subject to refund in a rate case filed by the Columbus &amp; Southern Ohio Electric Company.</w:t>
      </w:r>
      <w:r>
        <w:rPr>
          <w:rStyle w:val="FootnoteReference"/>
        </w:rPr>
        <w:footnoteReference w:id="37"/>
      </w:r>
      <w:r w:rsidRPr="006D7EE2" w:rsidR="00936AE9">
        <w:t xml:space="preserve"> In that rate case, one week after the issuance of the PUCO</w:t>
      </w:r>
      <w:r w:rsidR="006D7EE2">
        <w:t>’</w:t>
      </w:r>
      <w:r w:rsidRPr="006D7EE2" w:rsidR="00936AE9">
        <w:t>s rate order, the Nuclear Regulatory Commission issued an Order that suspended construction at the Zimmer Nuclear Power Plant (</w:t>
      </w:r>
      <w:r w:rsidR="006D7EE2">
        <w:t>“</w:t>
      </w:r>
      <w:r w:rsidRPr="006D7EE2" w:rsidR="00936AE9">
        <w:t>Zimmer</w:t>
      </w:r>
      <w:r w:rsidR="006D7EE2">
        <w:t>”</w:t>
      </w:r>
      <w:r w:rsidRPr="006D7EE2" w:rsidR="00936AE9">
        <w:t>). The original Opinion and Order included a rate base allowance for construction work in progress (</w:t>
      </w:r>
      <w:r w:rsidR="006D7EE2">
        <w:t>“</w:t>
      </w:r>
      <w:r w:rsidRPr="006D7EE2" w:rsidR="00936AE9">
        <w:t>CWIP</w:t>
      </w:r>
      <w:r w:rsidR="006D7EE2">
        <w:t>”</w:t>
      </w:r>
      <w:r w:rsidRPr="006D7EE2" w:rsidR="00936AE9">
        <w:t>) for Zimmer.</w:t>
      </w:r>
      <w:r>
        <w:rPr>
          <w:rStyle w:val="FootnoteReference"/>
        </w:rPr>
        <w:footnoteReference w:id="38"/>
      </w:r>
      <w:r w:rsidRPr="006D7EE2" w:rsidR="00936AE9">
        <w:t xml:space="preserve"> </w:t>
      </w:r>
    </w:p>
    <w:p w:rsidR="00353EFB" w:rsidRPr="006D7EE2" w:rsidP="00353EFB" w14:paraId="00B03882" w14:textId="330EEC5B">
      <w:pPr>
        <w:spacing w:line="480" w:lineRule="auto"/>
        <w:ind w:firstLine="720"/>
      </w:pPr>
      <w:r w:rsidRPr="006D7EE2">
        <w:t>In its order setting the rehearing, the PUCO approved the utility</w:t>
      </w:r>
      <w:r w:rsidR="006D7EE2">
        <w:t>’</w:t>
      </w:r>
      <w:r w:rsidRPr="006D7EE2">
        <w:t xml:space="preserve">s filed tariffs but expressly found the portion of the increase granted attributable to Zimmer CWIP </w:t>
      </w:r>
      <w:r w:rsidR="006D7EE2">
        <w:t>“</w:t>
      </w:r>
      <w:r w:rsidRPr="006D7EE2">
        <w:t>should be made subject to refund, pending a rehearing on the CWIP issue.</w:t>
      </w:r>
      <w:r w:rsidR="006D7EE2">
        <w:t>”</w:t>
      </w:r>
      <w:r>
        <w:rPr>
          <w:rStyle w:val="FootnoteReference"/>
        </w:rPr>
        <w:footnoteReference w:id="39"/>
      </w:r>
      <w:r w:rsidRPr="006D7EE2">
        <w:t xml:space="preserve"> A rehearing was </w:t>
      </w:r>
      <w:r w:rsidRPr="006D7EE2" w:rsidR="007739B6">
        <w:t>held,</w:t>
      </w:r>
      <w:r w:rsidRPr="006D7EE2">
        <w:t xml:space="preserve"> and the PUCO ordered that all of the Zimmer costs should be excluded from CWIP. The PUCO ordered the utility to file tariffs reducing the total revenue requirements by approximately $13 million.</w:t>
      </w:r>
      <w:r>
        <w:rPr>
          <w:rStyle w:val="FootnoteReference"/>
        </w:rPr>
        <w:footnoteReference w:id="40"/>
      </w:r>
      <w:r w:rsidRPr="006D7EE2">
        <w:t xml:space="preserve"> The utility appealed and sought a stay of the PUCO</w:t>
      </w:r>
      <w:r w:rsidR="006D7EE2">
        <w:t>’</w:t>
      </w:r>
      <w:r w:rsidRPr="006D7EE2">
        <w:t>s Order on Rehearing from the Supreme Court of Ohio. The Court granted the stay but subsequently affirmed the PUCO</w:t>
      </w:r>
      <w:r w:rsidR="006D7EE2">
        <w:t>’</w:t>
      </w:r>
      <w:r w:rsidRPr="006D7EE2">
        <w:t>s denial of a CWIP allowance.</w:t>
      </w:r>
      <w:r>
        <w:rPr>
          <w:rStyle w:val="FootnoteReference"/>
        </w:rPr>
        <w:footnoteReference w:id="41"/>
      </w:r>
      <w:r w:rsidRPr="006D7EE2">
        <w:t xml:space="preserve"> After the PUCO</w:t>
      </w:r>
      <w:r w:rsidR="006D7EE2">
        <w:t>’</w:t>
      </w:r>
      <w:r w:rsidRPr="006D7EE2">
        <w:t>s action was upheld on appeal,</w:t>
      </w:r>
      <w:r>
        <w:rPr>
          <w:rStyle w:val="FootnoteReference"/>
        </w:rPr>
        <w:footnoteReference w:id="42"/>
      </w:r>
      <w:r w:rsidRPr="006D7EE2">
        <w:t xml:space="preserve"> the PUCO ordered the utility to refund approximately $4.5 million to its customers.</w:t>
      </w:r>
      <w:r>
        <w:rPr>
          <w:rStyle w:val="FootnoteReference"/>
        </w:rPr>
        <w:footnoteReference w:id="43"/>
      </w:r>
      <w:r w:rsidRPr="006D7EE2">
        <w:t xml:space="preserve"> The PUCO ordered the collection, subject to refund to protect customers in the event of a later decision that the utility was collecting more from customers than warranted by law, rule, or reason. </w:t>
      </w:r>
    </w:p>
    <w:p w:rsidR="00353EFB" w:rsidRPr="006D7EE2" w:rsidP="00353EFB" w14:paraId="2A5A624E" w14:textId="79900A0C">
      <w:pPr>
        <w:spacing w:line="480" w:lineRule="auto"/>
        <w:ind w:firstLine="720"/>
      </w:pPr>
      <w:r w:rsidRPr="006D7EE2">
        <w:t>Another example where the PUCO has collected rates subject to refund involved the Ohio Utilities Company.</w:t>
      </w:r>
      <w:r>
        <w:rPr>
          <w:rStyle w:val="FootnoteReference"/>
        </w:rPr>
        <w:footnoteReference w:id="44"/>
      </w:r>
      <w:r w:rsidRPr="006D7EE2">
        <w:t xml:space="preserve"> After a rate order was issued,</w:t>
      </w:r>
      <w:r>
        <w:rPr>
          <w:rStyle w:val="FootnoteReference"/>
        </w:rPr>
        <w:footnoteReference w:id="45"/>
      </w:r>
      <w:r w:rsidRPr="006D7EE2">
        <w:t xml:space="preserve"> legislation was enacted that changed Ohio</w:t>
      </w:r>
      <w:r w:rsidR="006D7EE2">
        <w:t>’</w:t>
      </w:r>
      <w:r w:rsidRPr="006D7EE2">
        <w:t>s ratemaking formula. The PUCO opened an investigation to determine if the previously-established rates were still reasonable in light of the new law.</w:t>
      </w:r>
      <w:r>
        <w:rPr>
          <w:rStyle w:val="FootnoteReference"/>
        </w:rPr>
        <w:footnoteReference w:id="46"/>
      </w:r>
      <w:r w:rsidRPr="006D7EE2">
        <w:t xml:space="preserve"> The PUCO determined that the rates were excessive, taking into account the new law, and ordered the utility to withdraw its tariffs and file new lower rates consistent with the PUCO</w:t>
      </w:r>
      <w:r w:rsidR="006D7EE2">
        <w:t>’</w:t>
      </w:r>
      <w:r w:rsidRPr="006D7EE2">
        <w:t>s findings.</w:t>
      </w:r>
      <w:r>
        <w:rPr>
          <w:rStyle w:val="FootnoteReference"/>
        </w:rPr>
        <w:footnoteReference w:id="47"/>
      </w:r>
      <w:r w:rsidRPr="006D7EE2">
        <w:t xml:space="preserve"> The utility sought a stay of the PUCO</w:t>
      </w:r>
      <w:r w:rsidR="006D7EE2">
        <w:t>’</w:t>
      </w:r>
      <w:r w:rsidRPr="006D7EE2">
        <w:t>s order, pending further review, which was granted with the condition that the utility was required to collect rates subject to refund.</w:t>
      </w:r>
      <w:r>
        <w:rPr>
          <w:rStyle w:val="FootnoteReference"/>
        </w:rPr>
        <w:footnoteReference w:id="48"/>
      </w:r>
      <w:r w:rsidRPr="006D7EE2">
        <w:t xml:space="preserve"> </w:t>
      </w:r>
    </w:p>
    <w:p w:rsidR="00353EFB" w:rsidRPr="006D7EE2" w:rsidP="00353EFB" w14:paraId="39A4FCD9" w14:textId="6439F1F4">
      <w:pPr>
        <w:spacing w:line="480" w:lineRule="auto"/>
        <w:ind w:firstLine="720"/>
      </w:pPr>
      <w:r w:rsidRPr="006D7EE2">
        <w:t>I</w:t>
      </w:r>
      <w:r w:rsidRPr="006D7EE2" w:rsidR="00936AE9">
        <w:t>n a case involving AEP</w:t>
      </w:r>
      <w:r w:rsidR="006D7EE2">
        <w:t>’</w:t>
      </w:r>
      <w:r w:rsidRPr="006D7EE2" w:rsidR="00936AE9">
        <w:t>s Rate Stability Rider, the PUCO ordered that the RSR be collected subject to refund after the case was remanded by the Court.</w:t>
      </w:r>
      <w:r>
        <w:rPr>
          <w:rStyle w:val="FootnoteReference"/>
        </w:rPr>
        <w:footnoteReference w:id="49"/>
      </w:r>
      <w:r w:rsidRPr="006D7EE2" w:rsidR="00936AE9">
        <w:t xml:space="preserve"> The PUCO </w:t>
      </w:r>
      <w:r w:rsidR="006D7EE2">
        <w:t>“</w:t>
      </w:r>
      <w:r w:rsidRPr="006D7EE2" w:rsidR="00936AE9">
        <w:t>direct[ed] AEP Ohio to file revised tariffs that provide that the RSR is being collected subject to refund</w:t>
      </w:r>
      <w:r w:rsidR="006D7EE2">
        <w:t>”</w:t>
      </w:r>
      <w:r w:rsidRPr="006D7EE2" w:rsidR="00936AE9">
        <w:t xml:space="preserve"> in order to protect consumers from irreparable harm – continuing to pay the RSR without the potential of getting a refund.</w:t>
      </w:r>
      <w:r>
        <w:rPr>
          <w:rStyle w:val="FootnoteReference"/>
        </w:rPr>
        <w:footnoteReference w:id="50"/>
      </w:r>
      <w:r w:rsidRPr="006D7EE2" w:rsidR="00936AE9">
        <w:t xml:space="preserve"> </w:t>
      </w:r>
      <w:r w:rsidRPr="006D7EE2">
        <w:t>And in a case involving Dayton Power &amp; Light</w:t>
      </w:r>
      <w:r w:rsidR="006D7EE2">
        <w:t>’</w:t>
      </w:r>
      <w:r w:rsidRPr="006D7EE2">
        <w:t>s Rate Stability Charge (</w:t>
      </w:r>
      <w:r w:rsidR="006D7EE2">
        <w:t>“</w:t>
      </w:r>
      <w:r w:rsidRPr="006D7EE2">
        <w:t>RSC</w:t>
      </w:r>
      <w:r w:rsidR="006D7EE2">
        <w:t>”</w:t>
      </w:r>
      <w:r w:rsidRPr="006D7EE2">
        <w:t xml:space="preserve">), the PUCO said that it did </w:t>
      </w:r>
      <w:r w:rsidR="006D7EE2">
        <w:t>“</w:t>
      </w:r>
      <w:r w:rsidRPr="006D7EE2">
        <w:t>not seek to evade Supreme Court review of [its] decisions</w:t>
      </w:r>
      <w:r w:rsidR="006D7EE2">
        <w:t>”</w:t>
      </w:r>
      <w:r w:rsidRPr="006D7EE2">
        <w:t xml:space="preserve"> and made collection from consumers of charges under the RSC subject to refund.</w:t>
      </w:r>
      <w:r>
        <w:rPr>
          <w:vertAlign w:val="superscript"/>
        </w:rPr>
        <w:footnoteReference w:id="51"/>
      </w:r>
    </w:p>
    <w:p w:rsidR="0087629C" w:rsidRPr="006D7EE2" w:rsidP="006C7D30" w14:paraId="4BB71A87" w14:textId="192B9C01">
      <w:pPr>
        <w:spacing w:line="480" w:lineRule="auto"/>
        <w:ind w:firstLine="720"/>
      </w:pPr>
      <w:r w:rsidRPr="006D7EE2">
        <w:t xml:space="preserve">The PUCO can act now to prevent harm to consumers </w:t>
      </w:r>
      <w:r w:rsidRPr="006D7EE2" w:rsidR="00353EFB">
        <w:t>from supplemental transmission projects</w:t>
      </w:r>
      <w:r w:rsidRPr="006D7EE2">
        <w:t xml:space="preserve">. It should do so. </w:t>
      </w:r>
      <w:r w:rsidRPr="006D7EE2" w:rsidR="00353EFB">
        <w:t>T</w:t>
      </w:r>
      <w:r w:rsidRPr="006D7EE2">
        <w:t xml:space="preserve">he PUCO </w:t>
      </w:r>
      <w:r w:rsidRPr="006D7EE2" w:rsidR="00353EFB">
        <w:t>should order that Rider NMB</w:t>
      </w:r>
      <w:r w:rsidRPr="006D7EE2">
        <w:t xml:space="preserve"> charges be collected subject to refund</w:t>
      </w:r>
      <w:r w:rsidRPr="006D7EE2" w:rsidR="00353EFB">
        <w:t xml:space="preserve"> if FERC determines as a result of OCC</w:t>
      </w:r>
      <w:r w:rsidR="006D7EE2">
        <w:t>’</w:t>
      </w:r>
      <w:r w:rsidRPr="006D7EE2" w:rsidR="00353EFB">
        <w:t>s complaint that consumers are improperly paying for supplemental transmission projects</w:t>
      </w:r>
      <w:r w:rsidRPr="006D7EE2">
        <w:t>.</w:t>
      </w:r>
    </w:p>
    <w:p w:rsidR="00CE7188" w:rsidRPr="006D7EE2" w:rsidP="00CE7188" w14:paraId="2C6209A2" w14:textId="77777777">
      <w:pPr>
        <w:ind w:firstLine="720"/>
      </w:pPr>
    </w:p>
    <w:p w:rsidR="00437C02" w:rsidRPr="006D7EE2" w:rsidP="00B554C3" w14:paraId="696DDD86" w14:textId="30EC5D7E">
      <w:pPr>
        <w:pStyle w:val="Heading1"/>
      </w:pPr>
      <w:bookmarkStart w:id="23" w:name="_Toc534969816"/>
      <w:bookmarkStart w:id="24" w:name="_Toc534970015"/>
      <w:bookmarkStart w:id="25" w:name="_Toc534970556"/>
      <w:bookmarkStart w:id="26" w:name="_Toc534970662"/>
      <w:bookmarkStart w:id="27" w:name="_Toc535583503"/>
      <w:bookmarkStart w:id="28" w:name="_Toc164411644"/>
      <w:r w:rsidRPr="006D7EE2">
        <w:t>i</w:t>
      </w:r>
      <w:r w:rsidR="00150675">
        <w:t>II</w:t>
      </w:r>
      <w:r w:rsidRPr="006D7EE2">
        <w:t>.</w:t>
      </w:r>
      <w:r w:rsidRPr="006D7EE2">
        <w:tab/>
        <w:t>CONCLUSION</w:t>
      </w:r>
      <w:bookmarkEnd w:id="23"/>
      <w:bookmarkEnd w:id="24"/>
      <w:bookmarkEnd w:id="25"/>
      <w:bookmarkEnd w:id="26"/>
      <w:bookmarkEnd w:id="27"/>
      <w:bookmarkEnd w:id="28"/>
    </w:p>
    <w:p w:rsidR="00C977B8" w:rsidRPr="006D7EE2" w:rsidP="002A256D" w14:paraId="21969883" w14:textId="01599D93">
      <w:pPr>
        <w:spacing w:line="480" w:lineRule="auto"/>
        <w:ind w:firstLine="720"/>
      </w:pPr>
      <w:r w:rsidRPr="006D7EE2">
        <w:t>The PUCO should end the cost-shifting under the seven-year pilot</w:t>
      </w:r>
      <w:r w:rsidRPr="006D7EE2" w:rsidR="00C96FB3">
        <w:t xml:space="preserve"> by terminating the pilot</w:t>
      </w:r>
      <w:r w:rsidRPr="006D7EE2">
        <w:t>. Alternatively, the PUCO should require revenue shortfalls from the program to be picked up by those</w:t>
      </w:r>
      <w:r w:rsidRPr="006D7EE2" w:rsidR="00564039">
        <w:t xml:space="preserve"> </w:t>
      </w:r>
      <w:r w:rsidRPr="006D7EE2" w:rsidR="00C96FB3">
        <w:t>customer classes whose</w:t>
      </w:r>
      <w:r w:rsidR="006D7EE2">
        <w:t xml:space="preserve"> </w:t>
      </w:r>
      <w:r w:rsidRPr="006D7EE2">
        <w:t xml:space="preserve">consumers </w:t>
      </w:r>
      <w:r w:rsidRPr="006D7EE2" w:rsidR="00C96FB3">
        <w:t>can participate in the pilot program.</w:t>
      </w:r>
      <w:r w:rsidR="00B01493">
        <w:t xml:space="preserve"> </w:t>
      </w:r>
      <w:r w:rsidRPr="006D7EE2" w:rsidR="00C96FB3">
        <w:t xml:space="preserve">If the PUCO does not end the pilot program as the PUCO-appointed auditor </w:t>
      </w:r>
      <w:r w:rsidRPr="006D7EE2" w:rsidR="00B01493">
        <w:t>recommended</w:t>
      </w:r>
      <w:r w:rsidRPr="006D7EE2" w:rsidR="00C96FB3">
        <w:t>,</w:t>
      </w:r>
      <w:r w:rsidR="006D7EE2">
        <w:t xml:space="preserve"> </w:t>
      </w:r>
      <w:r w:rsidRPr="006D7EE2" w:rsidR="00353EFB">
        <w:t>the PUCO should order that Rider NMB charges be collected subject to refund</w:t>
      </w:r>
      <w:r w:rsidRPr="006D7EE2" w:rsidR="00C96FB3">
        <w:t>.</w:t>
      </w:r>
      <w:r w:rsidR="006D7EE2">
        <w:t xml:space="preserve"> </w:t>
      </w:r>
    </w:p>
    <w:p w:rsidR="00B01493" w14:paraId="7A655822" w14:textId="77777777">
      <w:r>
        <w:br w:type="page"/>
      </w:r>
    </w:p>
    <w:p w:rsidR="00FA46CD" w:rsidRPr="006D7EE2" w:rsidP="00FA46CD" w14:paraId="6FCB19F8" w14:textId="65FEC8AC">
      <w:pPr>
        <w:pStyle w:val="BodyTextIndent3"/>
        <w:widowControl w:val="0"/>
        <w:spacing w:line="240" w:lineRule="auto"/>
        <w:ind w:firstLine="4320"/>
      </w:pPr>
      <w:r w:rsidRPr="006D7EE2">
        <w:t>Respectfully submitted,</w:t>
      </w:r>
    </w:p>
    <w:p w:rsidR="00FA46CD" w:rsidRPr="006D7EE2" w:rsidP="00FA46CD" w14:paraId="5DB025F8" w14:textId="77777777">
      <w:pPr>
        <w:pStyle w:val="BodyTextIndent3"/>
        <w:widowControl w:val="0"/>
        <w:spacing w:line="240" w:lineRule="auto"/>
        <w:ind w:firstLine="4320"/>
      </w:pPr>
    </w:p>
    <w:p w:rsidR="00FA46CD" w:rsidRPr="006D7EE2" w:rsidP="00FA46CD" w14:paraId="49AD8411" w14:textId="77777777">
      <w:pPr>
        <w:tabs>
          <w:tab w:val="left" w:pos="8730"/>
        </w:tabs>
        <w:ind w:left="4320"/>
      </w:pPr>
      <w:r w:rsidRPr="006D7EE2">
        <w:t xml:space="preserve">Maureen R. Willis (0020847) </w:t>
      </w:r>
    </w:p>
    <w:p w:rsidR="00FA46CD" w:rsidRPr="006D7EE2" w:rsidP="00FA46CD" w14:paraId="20B06C60" w14:textId="337C97FD">
      <w:pPr>
        <w:tabs>
          <w:tab w:val="left" w:pos="8730"/>
        </w:tabs>
        <w:ind w:left="4320"/>
      </w:pPr>
      <w:r w:rsidRPr="006D7EE2">
        <w:t>Ohio Consumers</w:t>
      </w:r>
      <w:r w:rsidR="006D7EE2">
        <w:t>’</w:t>
      </w:r>
      <w:r w:rsidRPr="006D7EE2">
        <w:t xml:space="preserve"> Counsel</w:t>
      </w:r>
    </w:p>
    <w:p w:rsidR="00FA46CD" w:rsidRPr="006D7EE2" w:rsidP="00FA46CD" w14:paraId="2B3A5D71" w14:textId="77777777">
      <w:pPr>
        <w:tabs>
          <w:tab w:val="left" w:pos="8730"/>
        </w:tabs>
        <w:ind w:left="4320"/>
      </w:pPr>
    </w:p>
    <w:p w:rsidR="00FA46CD" w:rsidRPr="006D7EE2" w:rsidP="00FA46CD" w14:paraId="791F8539" w14:textId="77777777">
      <w:pPr>
        <w:tabs>
          <w:tab w:val="left" w:pos="8730"/>
        </w:tabs>
        <w:ind w:left="4320"/>
      </w:pPr>
      <w:r w:rsidRPr="006D7EE2">
        <w:rPr>
          <w:i/>
          <w:u w:val="single"/>
        </w:rPr>
        <w:t>/s/ William J. Michael</w:t>
      </w:r>
      <w:r w:rsidRPr="006D7EE2">
        <w:rPr>
          <w:i/>
        </w:rPr>
        <w:br/>
      </w:r>
      <w:r w:rsidRPr="006D7EE2">
        <w:t xml:space="preserve">William J. Michael (0070921) </w:t>
      </w:r>
      <w:r w:rsidRPr="006D7EE2">
        <w:br/>
        <w:t>Counsel of Record</w:t>
      </w:r>
      <w:r w:rsidRPr="006D7EE2">
        <w:br/>
        <w:t>Donald J. Kral (0042091)</w:t>
      </w:r>
    </w:p>
    <w:p w:rsidR="00FA46CD" w:rsidRPr="006D7EE2" w:rsidP="00FA46CD" w14:paraId="4946DF5B" w14:textId="17611759">
      <w:pPr>
        <w:tabs>
          <w:tab w:val="left" w:pos="8730"/>
        </w:tabs>
        <w:ind w:left="4320"/>
      </w:pPr>
      <w:r w:rsidRPr="006D7EE2">
        <w:t>Assistant Consumers</w:t>
      </w:r>
      <w:r w:rsidR="006D7EE2">
        <w:t>’</w:t>
      </w:r>
      <w:r w:rsidRPr="006D7EE2">
        <w:t xml:space="preserve"> Counsel</w:t>
      </w:r>
    </w:p>
    <w:p w:rsidR="00FA46CD" w:rsidRPr="006D7EE2" w:rsidP="00FA46CD" w14:paraId="3EF38571" w14:textId="77777777">
      <w:pPr>
        <w:tabs>
          <w:tab w:val="left" w:pos="8730"/>
        </w:tabs>
        <w:ind w:left="4320"/>
      </w:pPr>
    </w:p>
    <w:p w:rsidR="00FA46CD" w:rsidRPr="006D7EE2" w:rsidP="00FA46CD" w14:paraId="1F5322A9" w14:textId="02D40EE2">
      <w:pPr>
        <w:tabs>
          <w:tab w:val="left" w:pos="8730"/>
        </w:tabs>
        <w:ind w:left="4320"/>
        <w:rPr>
          <w:b/>
          <w:bCs/>
        </w:rPr>
      </w:pPr>
      <w:r w:rsidRPr="006D7EE2">
        <w:rPr>
          <w:b/>
          <w:bCs/>
        </w:rPr>
        <w:t>Office of the Ohio Consumers</w:t>
      </w:r>
      <w:r w:rsidR="006D7EE2">
        <w:rPr>
          <w:b/>
          <w:bCs/>
        </w:rPr>
        <w:t>’</w:t>
      </w:r>
      <w:r w:rsidRPr="006D7EE2">
        <w:rPr>
          <w:b/>
          <w:bCs/>
        </w:rPr>
        <w:t xml:space="preserve"> Counsel</w:t>
      </w:r>
    </w:p>
    <w:p w:rsidR="00FA46CD" w:rsidRPr="006D7EE2" w:rsidP="00FA46CD" w14:paraId="5365625E" w14:textId="77777777">
      <w:pPr>
        <w:tabs>
          <w:tab w:val="left" w:pos="8730"/>
        </w:tabs>
        <w:ind w:left="4320"/>
      </w:pPr>
      <w:r w:rsidRPr="006D7EE2">
        <w:t>65 East State Street, Suite 700</w:t>
      </w:r>
    </w:p>
    <w:p w:rsidR="00FA46CD" w:rsidRPr="006D7EE2" w:rsidP="00FA46CD" w14:paraId="737B9A18" w14:textId="77777777">
      <w:pPr>
        <w:tabs>
          <w:tab w:val="left" w:pos="8730"/>
        </w:tabs>
        <w:ind w:left="4320"/>
      </w:pPr>
      <w:r w:rsidRPr="006D7EE2">
        <w:t>Columbus, Ohio 43215</w:t>
      </w:r>
    </w:p>
    <w:p w:rsidR="00FA46CD" w:rsidRPr="006D7EE2" w:rsidP="00FA46CD" w14:paraId="67D384C6" w14:textId="77777777">
      <w:pPr>
        <w:tabs>
          <w:tab w:val="left" w:pos="8730"/>
        </w:tabs>
        <w:ind w:left="4320"/>
      </w:pPr>
      <w:r w:rsidRPr="006D7EE2">
        <w:t>Telephone [Michael]: (614) 466-1291</w:t>
      </w:r>
    </w:p>
    <w:p w:rsidR="00FA46CD" w:rsidRPr="006D7EE2" w:rsidP="00FA46CD" w14:paraId="38999C16" w14:textId="77777777">
      <w:pPr>
        <w:tabs>
          <w:tab w:val="left" w:pos="8730"/>
        </w:tabs>
        <w:ind w:left="4320"/>
      </w:pPr>
      <w:r w:rsidRPr="006D7EE2">
        <w:t>Telephone [Kral]: (614) 466-9571</w:t>
      </w:r>
    </w:p>
    <w:p w:rsidR="00FA46CD" w:rsidRPr="006D7EE2" w:rsidP="00FA46CD" w14:paraId="7805D101" w14:textId="77777777">
      <w:pPr>
        <w:tabs>
          <w:tab w:val="left" w:pos="8730"/>
        </w:tabs>
        <w:ind w:left="4320"/>
        <w:rPr>
          <w:color w:val="0000FF"/>
        </w:rPr>
      </w:pPr>
      <w:hyperlink r:id="rId6" w:history="1">
        <w:r w:rsidRPr="006D7EE2">
          <w:rPr>
            <w:rStyle w:val="Hyperlink"/>
          </w:rPr>
          <w:t>william.michael@occ.ohio.gov</w:t>
        </w:r>
      </w:hyperlink>
      <w:r w:rsidRPr="006D7EE2">
        <w:rPr>
          <w:color w:val="0000FF"/>
        </w:rPr>
        <w:t xml:space="preserve"> </w:t>
      </w:r>
    </w:p>
    <w:p w:rsidR="00FA46CD" w:rsidRPr="006D7EE2" w:rsidP="00FA46CD" w14:paraId="12300B7A" w14:textId="77777777">
      <w:pPr>
        <w:tabs>
          <w:tab w:val="left" w:pos="8730"/>
        </w:tabs>
        <w:ind w:left="4320"/>
        <w:rPr>
          <w:rStyle w:val="Hyperlink"/>
        </w:rPr>
      </w:pPr>
      <w:r w:rsidRPr="006D7EE2">
        <w:rPr>
          <w:rStyle w:val="Hyperlink"/>
        </w:rPr>
        <w:t>donald.kral@occ.ohio.gov</w:t>
      </w:r>
    </w:p>
    <w:p w:rsidR="00FA46CD" w:rsidRPr="006D7EE2" w:rsidP="00FA46CD" w14:paraId="58350163" w14:textId="77777777">
      <w:pPr>
        <w:tabs>
          <w:tab w:val="left" w:pos="8730"/>
        </w:tabs>
        <w:ind w:left="4320"/>
      </w:pPr>
      <w:r w:rsidRPr="006D7EE2">
        <w:t xml:space="preserve">(willing to accept service by e-mail) </w:t>
      </w:r>
    </w:p>
    <w:p w:rsidR="002743CE" w:rsidRPr="006D7EE2" w14:paraId="73ABB437" w14:textId="718EA716">
      <w:r w:rsidRPr="006D7EE2">
        <w:br w:type="page"/>
      </w:r>
    </w:p>
    <w:p w:rsidR="002D20D6" w:rsidRPr="006D7EE2" w:rsidP="002D20D6" w14:paraId="2F70C0E3" w14:textId="77777777">
      <w:pPr>
        <w:spacing w:line="480" w:lineRule="auto"/>
        <w:jc w:val="center"/>
        <w:rPr>
          <w:b/>
          <w:bCs/>
          <w:u w:val="single"/>
        </w:rPr>
      </w:pPr>
      <w:r w:rsidRPr="006D7EE2">
        <w:rPr>
          <w:b/>
          <w:bCs/>
          <w:u w:val="single"/>
        </w:rPr>
        <w:t>CERTIFICATE OF SERVICE</w:t>
      </w:r>
    </w:p>
    <w:p w:rsidR="002D20D6" w:rsidRPr="006D7EE2" w:rsidP="002D20D6" w14:paraId="13A497B7" w14:textId="164FA77A">
      <w:pPr>
        <w:spacing w:line="480" w:lineRule="auto"/>
      </w:pPr>
      <w:r w:rsidRPr="006D7EE2">
        <w:tab/>
        <w:t>I hereby certify that a copy of th</w:t>
      </w:r>
      <w:r w:rsidRPr="006D7EE2" w:rsidR="00A00DDB">
        <w:t>is Application for Rehearing</w:t>
      </w:r>
      <w:r w:rsidRPr="006D7EE2">
        <w:t xml:space="preserve"> was served on the persons stated below via electronic transmission, this </w:t>
      </w:r>
      <w:r w:rsidRPr="006D7EE2" w:rsidR="00395AB5">
        <w:t>19</w:t>
      </w:r>
      <w:r w:rsidRPr="006D7EE2" w:rsidR="00395AB5">
        <w:rPr>
          <w:vertAlign w:val="superscript"/>
        </w:rPr>
        <w:t>th</w:t>
      </w:r>
      <w:r w:rsidRPr="006D7EE2" w:rsidR="00395AB5">
        <w:t xml:space="preserve"> </w:t>
      </w:r>
      <w:r w:rsidRPr="006D7EE2">
        <w:t>day of</w:t>
      </w:r>
      <w:r w:rsidRPr="006D7EE2" w:rsidR="00395AB5">
        <w:t xml:space="preserve"> April</w:t>
      </w:r>
      <w:r w:rsidRPr="006D7EE2" w:rsidR="00A00DDB">
        <w:t xml:space="preserve"> 2024</w:t>
      </w:r>
      <w:r w:rsidRPr="006D7EE2">
        <w:t>.</w:t>
      </w:r>
    </w:p>
    <w:p w:rsidR="00395AB5" w:rsidRPr="006D7EE2" w:rsidP="00395AB5" w14:paraId="3ACA0D50" w14:textId="7443B57B">
      <w:pPr>
        <w:ind w:left="4320"/>
      </w:pPr>
      <w:r w:rsidRPr="006D7EE2">
        <w:rPr>
          <w:i/>
          <w:u w:val="single"/>
        </w:rPr>
        <w:t>/s/ William J. Michael</w:t>
      </w:r>
    </w:p>
    <w:p w:rsidR="00395AB5" w:rsidRPr="006D7EE2" w:rsidP="00395AB5" w14:paraId="746D9153" w14:textId="77777777">
      <w:pPr>
        <w:tabs>
          <w:tab w:val="left" w:pos="4320"/>
        </w:tabs>
      </w:pPr>
      <w:r w:rsidRPr="006D7EE2">
        <w:tab/>
        <w:t>William J. Michael</w:t>
      </w:r>
    </w:p>
    <w:p w:rsidR="002D20D6" w:rsidRPr="006D7EE2" w:rsidP="00395AB5" w14:paraId="541FB147" w14:textId="1F3D4C5C">
      <w:pPr>
        <w:tabs>
          <w:tab w:val="left" w:pos="4320"/>
        </w:tabs>
      </w:pPr>
      <w:r w:rsidRPr="006D7EE2">
        <w:tab/>
        <w:t>Assistant Consumers</w:t>
      </w:r>
      <w:r w:rsidR="006D7EE2">
        <w:t>’</w:t>
      </w:r>
      <w:r w:rsidRPr="006D7EE2">
        <w:t xml:space="preserve"> Counsel</w:t>
      </w:r>
    </w:p>
    <w:p w:rsidR="002D20D6" w:rsidRPr="006D7EE2" w:rsidP="002D20D6" w14:paraId="5EE0E5E8" w14:textId="77777777">
      <w:pPr>
        <w:tabs>
          <w:tab w:val="left" w:pos="4320"/>
        </w:tabs>
      </w:pPr>
    </w:p>
    <w:p w:rsidR="002D20D6" w:rsidRPr="006D7EE2" w:rsidP="002D20D6" w14:paraId="74E0CB72" w14:textId="5EB23E61">
      <w:r w:rsidRPr="006D7EE2">
        <w:t>The PUCO</w:t>
      </w:r>
      <w:r w:rsidR="006D7EE2">
        <w:t>’</w:t>
      </w:r>
      <w:r w:rsidRPr="006D7EE2">
        <w:t>s e-filing system will electronically serve notice of the filing of this document on the following parties:</w:t>
      </w:r>
    </w:p>
    <w:p w:rsidR="002D20D6" w:rsidRPr="006D7EE2" w:rsidP="002D20D6" w14:paraId="1AE7CAA6" w14:textId="77777777"/>
    <w:p w:rsidR="002D20D6" w:rsidRPr="006D7EE2" w:rsidP="002D20D6" w14:paraId="49560537" w14:textId="77777777">
      <w:pPr>
        <w:jc w:val="center"/>
        <w:rPr>
          <w:b/>
          <w:u w:val="single"/>
        </w:rPr>
      </w:pPr>
      <w:r w:rsidRPr="006D7EE2">
        <w:rPr>
          <w:b/>
          <w:u w:val="single"/>
        </w:rPr>
        <w:t>SERVICE LIST</w:t>
      </w:r>
    </w:p>
    <w:p w:rsidR="002D20D6" w:rsidRPr="006D7EE2" w:rsidP="002D20D6" w14:paraId="0412F0B1" w14:textId="77777777">
      <w:pPr>
        <w:jc w:val="center"/>
        <w:rPr>
          <w:rFonts w:eastAsia="Calibri"/>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14:paraId="5321C3B8" w14:textId="77777777" w:rsidTr="00BE05D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395AB5" w:rsidRPr="006D7EE2" w:rsidP="00BE05DA" w14:paraId="2190A858" w14:textId="77777777">
            <w:pPr>
              <w:pStyle w:val="CommentText"/>
              <w:rPr>
                <w:sz w:val="24"/>
                <w:szCs w:val="24"/>
                <w:lang w:val="en-US" w:eastAsia="en-US" w:bidi="ar-SA"/>
              </w:rPr>
            </w:pPr>
            <w:hyperlink r:id="rId16" w:history="1">
              <w:r w:rsidRPr="006D7EE2">
                <w:rPr>
                  <w:rStyle w:val="Hyperlink"/>
                  <w:color w:val="0000FF"/>
                  <w:sz w:val="24"/>
                  <w:szCs w:val="24"/>
                  <w:u w:val="single"/>
                  <w:lang w:val="en-US" w:eastAsia="en-US" w:bidi="ar-SA"/>
                </w:rPr>
                <w:t>amy.botschnerobrien@ohioago.gov</w:t>
              </w:r>
            </w:hyperlink>
          </w:p>
          <w:p w:rsidR="00395AB5" w:rsidRPr="006D7EE2" w:rsidP="00BE05DA" w14:paraId="4597012C" w14:textId="77777777">
            <w:pPr>
              <w:pStyle w:val="CommentText"/>
              <w:rPr>
                <w:sz w:val="24"/>
                <w:szCs w:val="24"/>
                <w:lang w:val="en-US" w:eastAsia="en-US" w:bidi="ar-SA"/>
              </w:rPr>
            </w:pPr>
          </w:p>
          <w:p w:rsidR="00395AB5" w:rsidRPr="006D7EE2" w:rsidP="00BE05DA" w14:paraId="4D14E095" w14:textId="77777777">
            <w:pPr>
              <w:pStyle w:val="CommentText"/>
              <w:rPr>
                <w:sz w:val="24"/>
                <w:szCs w:val="24"/>
                <w:lang w:val="en-US" w:eastAsia="en-US" w:bidi="ar-SA"/>
              </w:rPr>
            </w:pPr>
            <w:r w:rsidRPr="006D7EE2">
              <w:rPr>
                <w:sz w:val="24"/>
                <w:szCs w:val="24"/>
                <w:lang w:val="en-US" w:eastAsia="en-US" w:bidi="ar-SA"/>
              </w:rPr>
              <w:t>Attorney Examiners:</w:t>
            </w:r>
          </w:p>
          <w:p w:rsidR="00395AB5" w:rsidRPr="006D7EE2" w:rsidP="00BE05DA" w14:paraId="34F887AD" w14:textId="77777777">
            <w:pPr>
              <w:pStyle w:val="CommentText"/>
              <w:rPr>
                <w:sz w:val="24"/>
                <w:szCs w:val="24"/>
                <w:lang w:val="en-US" w:eastAsia="en-US" w:bidi="ar-SA"/>
              </w:rPr>
            </w:pPr>
            <w:hyperlink r:id="rId17" w:history="1">
              <w:r w:rsidRPr="006D7EE2">
                <w:rPr>
                  <w:rStyle w:val="Hyperlink"/>
                  <w:color w:val="0000FF"/>
                  <w:sz w:val="24"/>
                  <w:szCs w:val="24"/>
                  <w:u w:val="single"/>
                  <w:lang w:val="en-US" w:eastAsia="en-US" w:bidi="ar-SA"/>
                </w:rPr>
                <w:t>megan.addison@puco.ohio.gov</w:t>
              </w:r>
            </w:hyperlink>
          </w:p>
          <w:p w:rsidR="00395AB5" w:rsidRPr="006D7EE2" w:rsidP="00BE05DA" w14:paraId="3D79BFA1" w14:textId="77777777">
            <w:pPr>
              <w:pStyle w:val="CommentText"/>
              <w:rPr>
                <w:sz w:val="24"/>
                <w:szCs w:val="24"/>
                <w:lang w:val="en-US" w:eastAsia="en-US" w:bidi="ar-SA"/>
              </w:rPr>
            </w:pPr>
            <w:hyperlink r:id="rId18" w:history="1">
              <w:r w:rsidRPr="006D7EE2">
                <w:rPr>
                  <w:rStyle w:val="Hyperlink"/>
                  <w:color w:val="0000FF"/>
                  <w:sz w:val="24"/>
                  <w:szCs w:val="24"/>
                  <w:u w:val="single"/>
                  <w:lang w:val="en-US" w:eastAsia="en-US" w:bidi="ar-SA"/>
                </w:rPr>
                <w:t>greg.price@puco.ohio.gov</w:t>
              </w:r>
            </w:hyperlink>
          </w:p>
          <w:p w:rsidR="00395AB5" w:rsidRPr="006D7EE2" w:rsidP="00BE05DA" w14:paraId="02B95DC8" w14:textId="77777777">
            <w:pPr>
              <w:pStyle w:val="CommentText"/>
              <w:rPr>
                <w:sz w:val="24"/>
                <w:szCs w:val="24"/>
                <w:lang w:val="en-US" w:eastAsia="en-US" w:bidi="ar-SA"/>
              </w:rPr>
            </w:pPr>
            <w:hyperlink r:id="rId19" w:history="1">
              <w:r w:rsidRPr="006D7EE2">
                <w:rPr>
                  <w:rStyle w:val="Hyperlink"/>
                  <w:color w:val="0000FF"/>
                  <w:sz w:val="24"/>
                  <w:szCs w:val="24"/>
                  <w:u w:val="single"/>
                  <w:lang w:val="en-US" w:eastAsia="en-US" w:bidi="ar-SA"/>
                </w:rPr>
                <w:t>jacqueline.st.john@puco.ohio.gov</w:t>
              </w:r>
            </w:hyperlink>
          </w:p>
          <w:p w:rsidR="00395AB5" w:rsidRPr="006D7EE2" w:rsidP="00BE05DA" w14:paraId="1C4F706A" w14:textId="77777777">
            <w:pPr>
              <w:pStyle w:val="CommentText"/>
              <w:rPr>
                <w:sz w:val="24"/>
                <w:szCs w:val="24"/>
                <w:lang w:val="en-US" w:eastAsia="en-US" w:bidi="ar-SA"/>
              </w:rPr>
            </w:pPr>
          </w:p>
          <w:p w:rsidR="00395AB5" w:rsidRPr="006D7EE2" w:rsidP="00BE05DA" w14:paraId="2E98532D" w14:textId="77777777">
            <w:pPr>
              <w:pStyle w:val="CommentText"/>
              <w:rPr>
                <w:sz w:val="24"/>
                <w:szCs w:val="24"/>
                <w:lang w:val="en-US" w:eastAsia="en-US" w:bidi="ar-SA"/>
              </w:rPr>
            </w:pPr>
          </w:p>
          <w:p w:rsidR="00395AB5" w:rsidRPr="006D7EE2" w:rsidP="00BE05DA" w14:paraId="24BBA676" w14:textId="77777777">
            <w:pPr>
              <w:pStyle w:val="CommentText"/>
              <w:rPr>
                <w:bCs/>
                <w:sz w:val="24"/>
                <w:szCs w:val="24"/>
                <w:lang w:val="en-US" w:eastAsia="en-US" w:bidi="ar-SA"/>
              </w:rPr>
            </w:pPr>
          </w:p>
        </w:tc>
        <w:tc>
          <w:tcPr>
            <w:tcW w:w="4315" w:type="dxa"/>
          </w:tcPr>
          <w:p w:rsidR="00395AB5" w:rsidRPr="006D7EE2" w:rsidP="00BE05DA" w14:paraId="4DEDD0C9" w14:textId="77777777">
            <w:pPr>
              <w:pStyle w:val="CommentText"/>
              <w:rPr>
                <w:sz w:val="24"/>
                <w:szCs w:val="24"/>
                <w:lang w:val="en-US" w:eastAsia="en-US" w:bidi="ar-SA"/>
              </w:rPr>
            </w:pPr>
            <w:hyperlink r:id="rId20" w:history="1">
              <w:r w:rsidRPr="006D7EE2">
                <w:rPr>
                  <w:rStyle w:val="Hyperlink"/>
                  <w:color w:val="0000FF"/>
                  <w:sz w:val="24"/>
                  <w:szCs w:val="24"/>
                  <w:u w:val="single"/>
                  <w:lang w:val="en-US" w:eastAsia="en-US" w:bidi="ar-SA"/>
                </w:rPr>
                <w:t>zwoltz@firstenergycorp.com</w:t>
              </w:r>
            </w:hyperlink>
          </w:p>
          <w:p w:rsidR="00395AB5" w:rsidRPr="006D7EE2" w:rsidP="00BE05DA" w14:paraId="376F99A5" w14:textId="77777777">
            <w:pPr>
              <w:pStyle w:val="CommentText"/>
              <w:rPr>
                <w:sz w:val="24"/>
                <w:szCs w:val="24"/>
                <w:lang w:val="en-US" w:eastAsia="en-US" w:bidi="ar-SA"/>
              </w:rPr>
            </w:pPr>
            <w:hyperlink r:id="rId21" w:history="1">
              <w:r w:rsidRPr="006D7EE2">
                <w:rPr>
                  <w:rStyle w:val="Hyperlink"/>
                  <w:color w:val="0000FF"/>
                  <w:sz w:val="24"/>
                  <w:szCs w:val="24"/>
                  <w:u w:val="single"/>
                  <w:lang w:val="en-US" w:eastAsia="en-US" w:bidi="ar-SA"/>
                </w:rPr>
                <w:t>mkurtz@BKLlawfirm.com</w:t>
              </w:r>
            </w:hyperlink>
          </w:p>
          <w:p w:rsidR="00395AB5" w:rsidRPr="006D7EE2" w:rsidP="00BE05DA" w14:paraId="4F6614A0" w14:textId="77777777">
            <w:pPr>
              <w:pStyle w:val="CommentText"/>
              <w:rPr>
                <w:sz w:val="24"/>
                <w:szCs w:val="24"/>
                <w:lang w:val="en-US" w:eastAsia="en-US" w:bidi="ar-SA"/>
              </w:rPr>
            </w:pPr>
            <w:hyperlink r:id="rId22" w:history="1">
              <w:r w:rsidRPr="006D7EE2">
                <w:rPr>
                  <w:rStyle w:val="Hyperlink"/>
                  <w:color w:val="0000FF"/>
                  <w:sz w:val="24"/>
                  <w:szCs w:val="24"/>
                  <w:u w:val="single"/>
                  <w:lang w:val="en-US" w:eastAsia="en-US" w:bidi="ar-SA"/>
                </w:rPr>
                <w:t>kylercohn@BKLlawfirm.com</w:t>
              </w:r>
            </w:hyperlink>
          </w:p>
          <w:p w:rsidR="00395AB5" w:rsidRPr="006D7EE2" w:rsidP="00BE05DA" w14:paraId="1A32151F" w14:textId="77777777">
            <w:pPr>
              <w:pStyle w:val="CommentText"/>
              <w:rPr>
                <w:sz w:val="24"/>
                <w:szCs w:val="24"/>
                <w:lang w:val="en-US" w:eastAsia="en-US" w:bidi="ar-SA"/>
              </w:rPr>
            </w:pPr>
            <w:hyperlink r:id="rId23" w:history="1">
              <w:r w:rsidRPr="006D7EE2">
                <w:rPr>
                  <w:rStyle w:val="Hyperlink"/>
                  <w:color w:val="0000FF"/>
                  <w:sz w:val="24"/>
                  <w:szCs w:val="24"/>
                  <w:u w:val="single"/>
                  <w:lang w:val="en-US" w:eastAsia="en-US" w:bidi="ar-SA"/>
                </w:rPr>
                <w:t>dproano@bakerlaw.com</w:t>
              </w:r>
            </w:hyperlink>
          </w:p>
          <w:p w:rsidR="00395AB5" w:rsidRPr="006D7EE2" w:rsidP="00BE05DA" w14:paraId="0E60F552" w14:textId="77777777">
            <w:pPr>
              <w:pStyle w:val="CommentText"/>
              <w:rPr>
                <w:sz w:val="24"/>
                <w:szCs w:val="24"/>
                <w:lang w:val="en-US" w:eastAsia="en-US" w:bidi="ar-SA"/>
              </w:rPr>
            </w:pPr>
            <w:hyperlink r:id="rId24" w:history="1">
              <w:r w:rsidRPr="006D7EE2">
                <w:rPr>
                  <w:rStyle w:val="Hyperlink"/>
                  <w:color w:val="0000FF"/>
                  <w:sz w:val="24"/>
                  <w:szCs w:val="24"/>
                  <w:u w:val="single"/>
                  <w:lang w:val="en-US" w:eastAsia="en-US" w:bidi="ar-SA"/>
                </w:rPr>
                <w:t>pwillison@bakerlaw.com</w:t>
              </w:r>
            </w:hyperlink>
          </w:p>
          <w:p w:rsidR="00395AB5" w:rsidRPr="006D7EE2" w:rsidP="00BE05DA" w14:paraId="38B000F7" w14:textId="77777777">
            <w:pPr>
              <w:pStyle w:val="CommentText"/>
              <w:rPr>
                <w:b/>
                <w:sz w:val="24"/>
                <w:szCs w:val="24"/>
                <w:u w:val="single"/>
                <w:lang w:val="en-US" w:eastAsia="en-US" w:bidi="ar-SA"/>
              </w:rPr>
            </w:pPr>
          </w:p>
        </w:tc>
      </w:tr>
    </w:tbl>
    <w:p w:rsidR="00437C02" w:rsidRPr="006D7EE2" w:rsidP="002D20D6" w14:paraId="69CEF1E2" w14:textId="77777777">
      <w:pPr>
        <w:pStyle w:val="ANSWER"/>
        <w:suppressLineNumbers/>
        <w:ind w:left="720"/>
        <w:jc w:val="center"/>
        <w:rPr>
          <w:b/>
          <w:bCs/>
          <w:szCs w:val="24"/>
        </w:rPr>
      </w:pPr>
    </w:p>
    <w:sectPr w:rsidSect="00290CF6">
      <w:footerReference w:type="default" r:id="rId2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74" w14:paraId="465A53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43D" w14:paraId="49CC7F07" w14:textId="77777777">
    <w:pPr>
      <w:pStyle w:val="Footer"/>
      <w:jc w:val="center"/>
    </w:pPr>
  </w:p>
  <w:p w:rsidR="004F543D" w14:paraId="45320D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74" w14:paraId="5F833BC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1754031"/>
      <w:docPartObj>
        <w:docPartGallery w:val="Page Numbers (Bottom of Page)"/>
        <w:docPartUnique/>
      </w:docPartObj>
    </w:sdtPr>
    <w:sdtEndPr>
      <w:rPr>
        <w:noProof/>
        <w:sz w:val="24"/>
      </w:rPr>
    </w:sdtEndPr>
    <w:sdtContent>
      <w:p w:rsidR="00437C02" w:rsidRPr="00B031E2" w14:paraId="3DE137D9" w14:textId="77777777">
        <w:pPr>
          <w:pStyle w:val="Footer"/>
          <w:jc w:val="center"/>
          <w:rPr>
            <w:sz w:val="24"/>
          </w:rPr>
        </w:pPr>
        <w:r w:rsidRPr="00B031E2">
          <w:rPr>
            <w:sz w:val="24"/>
          </w:rPr>
          <w:fldChar w:fldCharType="begin"/>
        </w:r>
        <w:r w:rsidRPr="00B031E2">
          <w:rPr>
            <w:sz w:val="24"/>
          </w:rPr>
          <w:instrText xml:space="preserve"> PAGE   \* MERGEFORMAT </w:instrText>
        </w:r>
        <w:r w:rsidRPr="00B031E2">
          <w:rPr>
            <w:sz w:val="24"/>
          </w:rPr>
          <w:fldChar w:fldCharType="separate"/>
        </w:r>
        <w:r w:rsidRPr="00B031E2">
          <w:rPr>
            <w:noProof/>
            <w:sz w:val="24"/>
          </w:rPr>
          <w:t>3</w:t>
        </w:r>
        <w:r w:rsidRPr="00B031E2">
          <w:rPr>
            <w:noProof/>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4536508"/>
      <w:docPartObj>
        <w:docPartGallery w:val="Page Numbers (Bottom of Page)"/>
        <w:docPartUnique/>
      </w:docPartObj>
    </w:sdtPr>
    <w:sdtEndPr>
      <w:rPr>
        <w:noProof/>
        <w:sz w:val="24"/>
      </w:rPr>
    </w:sdtEndPr>
    <w:sdtContent>
      <w:p w:rsidR="00437C02" w:rsidRPr="00537CF8" w14:paraId="0319189A" w14:textId="77777777">
        <w:pPr>
          <w:pStyle w:val="Footer"/>
          <w:jc w:val="center"/>
          <w:rPr>
            <w:sz w:val="24"/>
          </w:rPr>
        </w:pPr>
        <w:r w:rsidRPr="00537CF8">
          <w:rPr>
            <w:sz w:val="24"/>
          </w:rPr>
          <w:fldChar w:fldCharType="begin"/>
        </w:r>
        <w:r w:rsidRPr="00537CF8">
          <w:rPr>
            <w:sz w:val="24"/>
          </w:rPr>
          <w:instrText xml:space="preserve"> PAGE   \* MERGEFORMAT </w:instrText>
        </w:r>
        <w:r w:rsidRPr="00537CF8">
          <w:rPr>
            <w:sz w:val="24"/>
          </w:rPr>
          <w:fldChar w:fldCharType="separate"/>
        </w:r>
        <w:r w:rsidRPr="00537CF8">
          <w:rPr>
            <w:noProof/>
            <w:sz w:val="24"/>
          </w:rPr>
          <w:t>ii</w:t>
        </w:r>
        <w:r w:rsidRPr="00537CF8">
          <w:rPr>
            <w:noProof/>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rPr>
      <w:id w:val="1078170204"/>
      <w:docPartObj>
        <w:docPartGallery w:val="Page Numbers (Bottom of Page)"/>
        <w:docPartUnique/>
      </w:docPartObj>
    </w:sdtPr>
    <w:sdtEndPr>
      <w:rPr>
        <w:noProof/>
      </w:rPr>
    </w:sdtEndPr>
    <w:sdtContent>
      <w:p w:rsidR="00A40816" w:rsidRPr="00A40816" w:rsidP="002F5BF0" w14:paraId="2C4050DF" w14:textId="77AC1800">
        <w:pPr>
          <w:pStyle w:val="Footer"/>
          <w:jc w:val="center"/>
          <w:rPr>
            <w:sz w:val="24"/>
          </w:rPr>
        </w:pPr>
        <w:r w:rsidRPr="00A40816">
          <w:rPr>
            <w:sz w:val="24"/>
          </w:rPr>
          <w:fldChar w:fldCharType="begin"/>
        </w:r>
        <w:r w:rsidRPr="00A40816">
          <w:rPr>
            <w:sz w:val="24"/>
          </w:rPr>
          <w:instrText xml:space="preserve"> PAGE   \* MERGEFORMAT </w:instrText>
        </w:r>
        <w:r w:rsidRPr="00A40816">
          <w:rPr>
            <w:sz w:val="24"/>
          </w:rPr>
          <w:fldChar w:fldCharType="separate"/>
        </w:r>
        <w:r w:rsidRPr="00A40816">
          <w:rPr>
            <w:noProof/>
            <w:sz w:val="24"/>
          </w:rPr>
          <w:t>2</w:t>
        </w:r>
        <w:r w:rsidRPr="00A40816">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0CF6" w14:paraId="74286405" w14:textId="77777777">
      <w:r>
        <w:separator/>
      </w:r>
    </w:p>
  </w:footnote>
  <w:footnote w:type="continuationSeparator" w:id="1">
    <w:p w:rsidR="00290CF6" w14:paraId="1731625E" w14:textId="77777777">
      <w:r>
        <w:continuationSeparator/>
      </w:r>
    </w:p>
  </w:footnote>
  <w:footnote w:id="2">
    <w:p w:rsidR="00AF6B9E" w:rsidP="00AC0B29" w14:paraId="448F3961" w14:textId="259F15B8">
      <w:pPr>
        <w:pStyle w:val="FootnoteText"/>
        <w:spacing w:after="120"/>
      </w:pPr>
      <w:r>
        <w:rPr>
          <w:rStyle w:val="FootnoteReference"/>
        </w:rPr>
        <w:footnoteRef/>
      </w:r>
      <w:r>
        <w:t xml:space="preserve"> </w:t>
      </w:r>
      <w:r w:rsidR="006D7EE2">
        <w:t>“</w:t>
      </w:r>
      <w:r>
        <w:t>FirstEnergy</w:t>
      </w:r>
      <w:r w:rsidR="006D7EE2">
        <w:t>”</w:t>
      </w:r>
      <w:r>
        <w:t xml:space="preserve"> collectively refers to Ohio Edison Company, </w:t>
      </w:r>
      <w:r w:rsidR="000C5EE8">
        <w:t>T</w:t>
      </w:r>
      <w:r>
        <w:t xml:space="preserve">he Cleveland Electric Illuminating Company and </w:t>
      </w:r>
      <w:r w:rsidR="000C5EE8">
        <w:t>T</w:t>
      </w:r>
      <w:r>
        <w:t>he Toledo Edison Company.</w:t>
      </w:r>
    </w:p>
  </w:footnote>
  <w:footnote w:id="3">
    <w:p w:rsidR="00893081" w:rsidP="00AC0B29" w14:paraId="35A2DDBF" w14:textId="1FD6F4B2">
      <w:pPr>
        <w:pStyle w:val="FootnoteText"/>
        <w:spacing w:after="120"/>
      </w:pPr>
      <w:r>
        <w:rPr>
          <w:rStyle w:val="FootnoteReference"/>
        </w:rPr>
        <w:footnoteRef/>
      </w:r>
      <w:r>
        <w:t xml:space="preserve"> Case No. 24-22-EL-RDR, Finding and Order (March 20, 2024).</w:t>
      </w:r>
    </w:p>
  </w:footnote>
  <w:footnote w:id="4">
    <w:p w:rsidR="00B01D8F" w:rsidP="00AC0B29" w14:paraId="4AA0EE7B" w14:textId="58DA2CAB">
      <w:pPr>
        <w:pStyle w:val="FootnoteText"/>
        <w:spacing w:after="120"/>
      </w:pPr>
      <w:r>
        <w:rPr>
          <w:rStyle w:val="FootnoteReference"/>
        </w:rPr>
        <w:footnoteRef/>
      </w:r>
      <w:r>
        <w:t xml:space="preserve"> Finding and Order (March 20, 2024).</w:t>
      </w:r>
    </w:p>
  </w:footnote>
  <w:footnote w:id="5">
    <w:p w:rsidR="00F723BE" w:rsidRPr="00F723BE" w:rsidP="00AC0B29" w14:paraId="02FC37C6" w14:textId="5DC9763F">
      <w:pPr>
        <w:pStyle w:val="FootnoteText"/>
        <w:spacing w:after="120"/>
      </w:pPr>
      <w:r>
        <w:rPr>
          <w:rStyle w:val="FootnoteReference"/>
        </w:rPr>
        <w:footnoteRef/>
      </w:r>
      <w:r>
        <w:t xml:space="preserve"> The pilot program allows certain customers to opt-out of Rider NMB. </w:t>
      </w:r>
      <w:r>
        <w:rPr>
          <w:i/>
          <w:iCs/>
        </w:rPr>
        <w:t xml:space="preserve">See id. </w:t>
      </w:r>
      <w:r>
        <w:t xml:space="preserve">at </w:t>
      </w:r>
      <w:r w:rsidRPr="00133C71" w:rsidR="007F5101">
        <w:t>¶</w:t>
      </w:r>
      <w:r>
        <w:t xml:space="preserve"> 7.</w:t>
      </w:r>
    </w:p>
  </w:footnote>
  <w:footnote w:id="6">
    <w:p w:rsidR="00E64179" w:rsidP="00AC0B29" w14:paraId="6341225E" w14:textId="157B634B">
      <w:pPr>
        <w:pStyle w:val="FootnoteText"/>
        <w:spacing w:after="120"/>
      </w:pPr>
      <w:r>
        <w:rPr>
          <w:rStyle w:val="FootnoteReference"/>
        </w:rPr>
        <w:footnoteRef/>
      </w:r>
      <w:r>
        <w:t xml:space="preserve"> </w:t>
      </w:r>
      <w:r w:rsidR="00564039">
        <w:t>Audit Report at 50.</w:t>
      </w:r>
    </w:p>
  </w:footnote>
  <w:footnote w:id="7">
    <w:p w:rsidR="00AF6B9E" w:rsidP="00AC0B29" w14:paraId="6653CF5F" w14:textId="36254581">
      <w:pPr>
        <w:pStyle w:val="FootnoteText"/>
        <w:spacing w:after="120"/>
      </w:pPr>
      <w:r>
        <w:rPr>
          <w:rStyle w:val="FootnoteReference"/>
        </w:rPr>
        <w:footnoteRef/>
      </w:r>
      <w:r>
        <w:t xml:space="preserve"> Audit Report at 20.</w:t>
      </w:r>
    </w:p>
  </w:footnote>
  <w:footnote w:id="8">
    <w:p w:rsidR="0011170A" w:rsidP="00AC0B29" w14:paraId="4B246D8B" w14:textId="77777777">
      <w:pPr>
        <w:pStyle w:val="FootnoteText"/>
        <w:spacing w:after="120"/>
      </w:pPr>
      <w:r>
        <w:rPr>
          <w:rStyle w:val="FootnoteReference"/>
        </w:rPr>
        <w:footnoteRef/>
      </w:r>
      <w:r>
        <w:t xml:space="preserve"> Finding and Order (March 20, 2024).</w:t>
      </w:r>
    </w:p>
  </w:footnote>
  <w:footnote w:id="9">
    <w:p w:rsidR="0011170A" w:rsidP="00AC0B29" w14:paraId="4F8B38E0" w14:textId="3C054C8E">
      <w:pPr>
        <w:pStyle w:val="FootnoteText"/>
        <w:spacing w:after="120"/>
      </w:pPr>
      <w:r>
        <w:rPr>
          <w:rStyle w:val="FootnoteReference"/>
        </w:rPr>
        <w:footnoteRef/>
      </w:r>
      <w:r>
        <w:t xml:space="preserve"> PUCO Staff</w:t>
      </w:r>
      <w:r w:rsidR="006D7EE2">
        <w:t>’</w:t>
      </w:r>
      <w:r>
        <w:t>s Review and Recommendations (March 13, 2024).</w:t>
      </w:r>
    </w:p>
  </w:footnote>
  <w:footnote w:id="10">
    <w:p w:rsidR="0011170A" w:rsidRPr="0011170A" w:rsidP="00AC0B29" w14:paraId="6BA62AC6" w14:textId="699F3B88">
      <w:pPr>
        <w:pStyle w:val="FootnoteText"/>
        <w:spacing w:after="120"/>
        <w:rPr>
          <w:i/>
          <w:iCs/>
        </w:rPr>
      </w:pPr>
      <w:r>
        <w:rPr>
          <w:rStyle w:val="FootnoteReference"/>
        </w:rPr>
        <w:footnoteRef/>
      </w:r>
      <w:r>
        <w:t xml:space="preserve"> </w:t>
      </w:r>
      <w:r>
        <w:rPr>
          <w:i/>
          <w:iCs/>
        </w:rPr>
        <w:t>Id.</w:t>
      </w:r>
    </w:p>
  </w:footnote>
  <w:footnote w:id="11">
    <w:p w:rsidR="0011170A" w:rsidRPr="00F723BE" w:rsidP="00AC0B29" w14:paraId="2B11B8E0" w14:textId="3B324B10">
      <w:pPr>
        <w:pStyle w:val="FootnoteText"/>
        <w:spacing w:after="120"/>
      </w:pPr>
      <w:r>
        <w:rPr>
          <w:rStyle w:val="FootnoteReference"/>
        </w:rPr>
        <w:footnoteRef/>
      </w:r>
      <w:r>
        <w:t xml:space="preserve"> The pilot program allows certain customers to opt-out of Rider NMB. </w:t>
      </w:r>
      <w:r>
        <w:rPr>
          <w:i/>
          <w:iCs/>
        </w:rPr>
        <w:t xml:space="preserve">See id. </w:t>
      </w:r>
      <w:r>
        <w:t xml:space="preserve">at </w:t>
      </w:r>
      <w:r w:rsidRPr="00133C71" w:rsidR="00133C71">
        <w:t>¶</w:t>
      </w:r>
      <w:r>
        <w:t xml:space="preserve"> 7.</w:t>
      </w:r>
    </w:p>
  </w:footnote>
  <w:footnote w:id="12">
    <w:p w:rsidR="00D661A1" w:rsidRPr="00D661A1" w:rsidP="00AC0B29" w14:paraId="2664C904" w14:textId="5AD216AF">
      <w:pPr>
        <w:pStyle w:val="FootnoteText"/>
        <w:spacing w:after="120"/>
      </w:pPr>
      <w:r>
        <w:rPr>
          <w:rStyle w:val="FootnoteReference"/>
        </w:rPr>
        <w:footnoteRef/>
      </w:r>
      <w:r>
        <w:t xml:space="preserve"> </w:t>
      </w:r>
      <w:r>
        <w:rPr>
          <w:i/>
          <w:iCs/>
        </w:rPr>
        <w:t>In the Matter of the Application of Ohio Power Company for Approval of an Advanced Meter Opt-Out Service Tariff</w:t>
      </w:r>
      <w:r>
        <w:t>, Case No. 14-1158-EL-ATA, Opinion and Order (April 27, 2016) at 11.</w:t>
      </w:r>
    </w:p>
  </w:footnote>
  <w:footnote w:id="13">
    <w:p w:rsidR="00D661A1" w:rsidRPr="00D661A1" w:rsidP="00AC0B29" w14:paraId="344DF7AE" w14:textId="2F792DAA">
      <w:pPr>
        <w:pStyle w:val="FootnoteText"/>
        <w:spacing w:after="120"/>
      </w:pPr>
      <w:r>
        <w:rPr>
          <w:rStyle w:val="FootnoteReference"/>
        </w:rPr>
        <w:footnoteRef/>
      </w:r>
      <w:r>
        <w:t xml:space="preserve"> </w:t>
      </w:r>
      <w:r>
        <w:rPr>
          <w:i/>
          <w:iCs/>
        </w:rPr>
        <w:t>I</w:t>
      </w:r>
      <w:r w:rsidR="0028299C">
        <w:rPr>
          <w:i/>
          <w:iCs/>
        </w:rPr>
        <w:t>n</w:t>
      </w:r>
      <w:r>
        <w:rPr>
          <w:i/>
          <w:iCs/>
        </w:rPr>
        <w:t xml:space="preserve"> the Matter of the Application of Ohio Power Company for Authority to Establish a Standard Service Offer Pursuant to R.C. 4928.143, in the Form of an Electric Security Plan</w:t>
      </w:r>
      <w:r>
        <w:t xml:space="preserve">, Case No. 16-1852-EL-SSO, Opinion and Order (April 25, 2018) at </w:t>
      </w:r>
      <w:r w:rsidRPr="00133C71" w:rsidR="00CF5552">
        <w:t>¶¶</w:t>
      </w:r>
      <w:r w:rsidR="00F8037C">
        <w:t xml:space="preserve"> 41-47.</w:t>
      </w:r>
    </w:p>
  </w:footnote>
  <w:footnote w:id="14">
    <w:p w:rsidR="00F723BE" w:rsidP="00AC0B29" w14:paraId="200CAC20" w14:textId="77777777">
      <w:pPr>
        <w:pStyle w:val="FootnoteText"/>
        <w:spacing w:after="120"/>
      </w:pPr>
      <w:r>
        <w:rPr>
          <w:rStyle w:val="FootnoteReference"/>
        </w:rPr>
        <w:footnoteRef/>
      </w:r>
      <w:r>
        <w:t xml:space="preserve"> Finding and Order (March 20, 2024).</w:t>
      </w:r>
    </w:p>
  </w:footnote>
  <w:footnote w:id="15">
    <w:p w:rsidR="003A1EAB" w:rsidP="00AC0B29" w14:paraId="47CAEDEE" w14:textId="427A699E">
      <w:pPr>
        <w:pStyle w:val="FootnoteText"/>
        <w:spacing w:after="120"/>
      </w:pPr>
      <w:r>
        <w:rPr>
          <w:rStyle w:val="FootnoteReference"/>
        </w:rPr>
        <w:footnoteRef/>
      </w:r>
      <w:r>
        <w:t xml:space="preserve"> PUCO Staff</w:t>
      </w:r>
      <w:r w:rsidR="006D7EE2">
        <w:t>’</w:t>
      </w:r>
      <w:r>
        <w:t>s Review and Recommendations (March 13, 2024).</w:t>
      </w:r>
    </w:p>
  </w:footnote>
  <w:footnote w:id="16">
    <w:p w:rsidR="00F723BE" w:rsidRPr="00F723BE" w:rsidP="00AC0B29" w14:paraId="21340F2F" w14:textId="45D5497B">
      <w:pPr>
        <w:pStyle w:val="FootnoteText"/>
        <w:spacing w:after="120"/>
      </w:pPr>
      <w:r>
        <w:rPr>
          <w:rStyle w:val="FootnoteReference"/>
        </w:rPr>
        <w:footnoteRef/>
      </w:r>
      <w:r>
        <w:t xml:space="preserve"> The pilot program allows certain customers to opt-out of Rider NMB. </w:t>
      </w:r>
      <w:r>
        <w:rPr>
          <w:i/>
          <w:iCs/>
        </w:rPr>
        <w:t xml:space="preserve">See id. </w:t>
      </w:r>
      <w:r>
        <w:t xml:space="preserve">at </w:t>
      </w:r>
      <w:r w:rsidRPr="0028299C" w:rsidR="0028299C">
        <w:t>¶</w:t>
      </w:r>
      <w:r>
        <w:t xml:space="preserve"> 7.</w:t>
      </w:r>
    </w:p>
  </w:footnote>
  <w:footnote w:id="17">
    <w:p w:rsidR="00A16504" w:rsidP="00AC0B29" w14:paraId="497C29A5" w14:textId="4C45AEFD">
      <w:pPr>
        <w:pStyle w:val="FootnoteText"/>
        <w:spacing w:after="120"/>
      </w:pPr>
      <w:r>
        <w:rPr>
          <w:rStyle w:val="FootnoteReference"/>
        </w:rPr>
        <w:footnoteRef/>
      </w:r>
      <w:r>
        <w:t xml:space="preserve"> </w:t>
      </w:r>
      <w:r w:rsidRPr="006B2FC1">
        <w:rPr>
          <w:i/>
          <w:szCs w:val="20"/>
        </w:rPr>
        <w:t>See</w:t>
      </w:r>
      <w:r w:rsidRPr="006B2FC1">
        <w:rPr>
          <w:szCs w:val="20"/>
        </w:rPr>
        <w:t xml:space="preserve"> </w:t>
      </w:r>
      <w:r w:rsidRPr="006B2FC1">
        <w:rPr>
          <w:i/>
          <w:szCs w:val="20"/>
        </w:rPr>
        <w:t>Ohio Consumers</w:t>
      </w:r>
      <w:r w:rsidR="006D7EE2">
        <w:rPr>
          <w:i/>
          <w:szCs w:val="20"/>
        </w:rPr>
        <w:t>’</w:t>
      </w:r>
      <w:r w:rsidRPr="006B2FC1">
        <w:rPr>
          <w:i/>
          <w:szCs w:val="20"/>
        </w:rPr>
        <w:t xml:space="preserve"> Counsel v. Pub. Util. Comm</w:t>
      </w:r>
      <w:r w:rsidRPr="006B2FC1">
        <w:rPr>
          <w:szCs w:val="20"/>
        </w:rPr>
        <w:t>., 111 Ohio St.3d 300 (2006).</w:t>
      </w:r>
    </w:p>
  </w:footnote>
  <w:footnote w:id="18">
    <w:p w:rsidR="0094042E" w:rsidP="00AC0B29" w14:paraId="27C3AA9D" w14:textId="42A0F487">
      <w:pPr>
        <w:pStyle w:val="FootnoteText"/>
        <w:spacing w:after="120"/>
      </w:pPr>
      <w:r>
        <w:rPr>
          <w:rStyle w:val="FootnoteReference"/>
        </w:rPr>
        <w:footnoteRef/>
      </w:r>
      <w:r>
        <w:t xml:space="preserve"> Finding and Order at </w:t>
      </w:r>
      <w:r w:rsidRPr="005E3527" w:rsidR="005E3527">
        <w:t>¶</w:t>
      </w:r>
      <w:r>
        <w:t xml:space="preserve"> 15</w:t>
      </w:r>
      <w:r w:rsidR="001664B9">
        <w:t xml:space="preserve"> (citation omitted)</w:t>
      </w:r>
      <w:r>
        <w:t>.</w:t>
      </w:r>
    </w:p>
  </w:footnote>
  <w:footnote w:id="19">
    <w:p w:rsidR="001664B9" w:rsidRPr="001664B9" w:rsidP="00AC0B29" w14:paraId="68964514" w14:textId="648AA9F4">
      <w:pPr>
        <w:pStyle w:val="FootnoteText"/>
        <w:spacing w:after="120"/>
        <w:rPr>
          <w:i/>
          <w:iCs/>
        </w:rPr>
      </w:pPr>
      <w:r>
        <w:rPr>
          <w:rStyle w:val="FootnoteReference"/>
        </w:rPr>
        <w:footnoteRef/>
      </w:r>
      <w:r>
        <w:t xml:space="preserve"> </w:t>
      </w:r>
      <w:r>
        <w:rPr>
          <w:i/>
          <w:iCs/>
        </w:rPr>
        <w:t>Id.</w:t>
      </w:r>
    </w:p>
  </w:footnote>
  <w:footnote w:id="20">
    <w:p w:rsidR="001664B9" w:rsidP="00AC0B29" w14:paraId="3E2A65DD" w14:textId="29261D7F">
      <w:pPr>
        <w:pStyle w:val="FootnoteText"/>
        <w:spacing w:after="120"/>
      </w:pPr>
      <w:r>
        <w:rPr>
          <w:rStyle w:val="FootnoteReference"/>
        </w:rPr>
        <w:footnoteRef/>
      </w:r>
      <w:r>
        <w:t xml:space="preserve"> Audit Report at 2.</w:t>
      </w:r>
    </w:p>
  </w:footnote>
  <w:footnote w:id="21">
    <w:p w:rsidR="001664B9" w:rsidRPr="001664B9" w:rsidP="00AC0B29" w14:paraId="22495DE8" w14:textId="3A122FE8">
      <w:pPr>
        <w:pStyle w:val="FootnoteText"/>
        <w:spacing w:after="120"/>
      </w:pPr>
      <w:r>
        <w:rPr>
          <w:rStyle w:val="FootnoteReference"/>
        </w:rPr>
        <w:footnoteRef/>
      </w:r>
      <w:r>
        <w:t xml:space="preserve"> </w:t>
      </w:r>
      <w:r>
        <w:rPr>
          <w:i/>
          <w:iCs/>
        </w:rPr>
        <w:t xml:space="preserve">Id. </w:t>
      </w:r>
      <w:r>
        <w:t>at 43.</w:t>
      </w:r>
    </w:p>
  </w:footnote>
  <w:footnote w:id="22">
    <w:p w:rsidR="006C7D30" w:rsidRPr="006C7D30" w:rsidP="00AC0B29" w14:paraId="01D7BB76" w14:textId="78B26059">
      <w:pPr>
        <w:pStyle w:val="FootnoteText"/>
        <w:spacing w:after="120"/>
      </w:pPr>
      <w:r>
        <w:rPr>
          <w:rStyle w:val="FootnoteReference"/>
        </w:rPr>
        <w:footnoteRef/>
      </w:r>
      <w:r>
        <w:t xml:space="preserve"> </w:t>
      </w:r>
      <w:r>
        <w:rPr>
          <w:i/>
          <w:iCs/>
        </w:rPr>
        <w:t xml:space="preserve">Id. </w:t>
      </w:r>
      <w:r>
        <w:t>at 50.</w:t>
      </w:r>
    </w:p>
  </w:footnote>
  <w:footnote w:id="23">
    <w:p w:rsidR="006C7D30" w:rsidP="00AC0B29" w14:paraId="6A454599" w14:textId="29902541">
      <w:pPr>
        <w:pStyle w:val="FootnoteText"/>
        <w:spacing w:after="120"/>
      </w:pPr>
      <w:r>
        <w:rPr>
          <w:rStyle w:val="FootnoteReference"/>
        </w:rPr>
        <w:footnoteRef/>
      </w:r>
      <w:r>
        <w:t xml:space="preserve"> </w:t>
      </w:r>
      <w:r w:rsidRPr="006B2FC1">
        <w:rPr>
          <w:i/>
          <w:szCs w:val="20"/>
        </w:rPr>
        <w:t>See</w:t>
      </w:r>
      <w:r w:rsidRPr="006B2FC1">
        <w:rPr>
          <w:szCs w:val="20"/>
        </w:rPr>
        <w:t xml:space="preserve"> </w:t>
      </w:r>
      <w:r w:rsidRPr="006B2FC1">
        <w:rPr>
          <w:i/>
          <w:szCs w:val="20"/>
        </w:rPr>
        <w:t>Ohio Consumers</w:t>
      </w:r>
      <w:r w:rsidR="006D7EE2">
        <w:rPr>
          <w:i/>
          <w:szCs w:val="20"/>
        </w:rPr>
        <w:t>’</w:t>
      </w:r>
      <w:r w:rsidRPr="006B2FC1">
        <w:rPr>
          <w:i/>
          <w:szCs w:val="20"/>
        </w:rPr>
        <w:t xml:space="preserve"> Counsel v. Pub. Util. Comm</w:t>
      </w:r>
      <w:r w:rsidRPr="006B2FC1">
        <w:rPr>
          <w:szCs w:val="20"/>
        </w:rPr>
        <w:t>., 111 Ohio St.3d 300 (2006).</w:t>
      </w:r>
    </w:p>
  </w:footnote>
  <w:footnote w:id="24">
    <w:p w:rsidR="00A16504" w:rsidRPr="006B2FC1" w:rsidP="00AC0B29" w14:paraId="3B5677A8" w14:textId="77777777">
      <w:pPr>
        <w:spacing w:after="120"/>
        <w:rPr>
          <w:sz w:val="20"/>
          <w:szCs w:val="20"/>
        </w:rPr>
      </w:pPr>
      <w:r w:rsidRPr="006B2FC1">
        <w:rPr>
          <w:rStyle w:val="FootnoteReference"/>
          <w:sz w:val="20"/>
          <w:szCs w:val="20"/>
        </w:rPr>
        <w:footnoteRef/>
      </w:r>
      <w:r w:rsidRPr="006B2FC1">
        <w:rPr>
          <w:sz w:val="20"/>
          <w:szCs w:val="20"/>
        </w:rPr>
        <w:t xml:space="preserve"> </w:t>
      </w:r>
      <w:r w:rsidRPr="00274EFF">
        <w:rPr>
          <w:i/>
          <w:iCs/>
          <w:sz w:val="20"/>
          <w:szCs w:val="20"/>
        </w:rPr>
        <w:t>Id</w:t>
      </w:r>
      <w:r>
        <w:rPr>
          <w:sz w:val="20"/>
          <w:szCs w:val="20"/>
        </w:rPr>
        <w:t>.</w:t>
      </w:r>
    </w:p>
  </w:footnote>
  <w:footnote w:id="25">
    <w:p w:rsidR="0041120E" w:rsidP="00AC0B29" w14:paraId="454CABA0" w14:textId="4F701F59">
      <w:pPr>
        <w:pStyle w:val="FootnoteText"/>
        <w:spacing w:after="120"/>
      </w:pPr>
      <w:r>
        <w:rPr>
          <w:rStyle w:val="FootnoteReference"/>
        </w:rPr>
        <w:footnoteRef/>
      </w:r>
      <w:r>
        <w:t xml:space="preserve"> Application (January 16, 2024).</w:t>
      </w:r>
    </w:p>
  </w:footnote>
  <w:footnote w:id="26">
    <w:p w:rsidR="0041120E" w:rsidP="00AC0B29" w14:paraId="52A3DF46" w14:textId="77777777">
      <w:pPr>
        <w:pStyle w:val="FootnoteText"/>
        <w:spacing w:after="120"/>
      </w:pPr>
      <w:r>
        <w:rPr>
          <w:rStyle w:val="FootnoteReference"/>
        </w:rPr>
        <w:footnoteRef/>
      </w:r>
      <w:r>
        <w:t xml:space="preserve"> Finding and Order at </w:t>
      </w:r>
      <w:r w:rsidRPr="005E3527">
        <w:t>¶</w:t>
      </w:r>
      <w:r>
        <w:t xml:space="preserve"> 15 (citation omitted).</w:t>
      </w:r>
    </w:p>
  </w:footnote>
  <w:footnote w:id="27">
    <w:p w:rsidR="006C7D30" w:rsidP="00AC0B29" w14:paraId="40374C92" w14:textId="28A5C1B7">
      <w:pPr>
        <w:pStyle w:val="FootnoteText"/>
        <w:spacing w:after="120"/>
      </w:pPr>
      <w:r>
        <w:rPr>
          <w:rStyle w:val="FootnoteReference"/>
        </w:rPr>
        <w:footnoteRef/>
      </w:r>
      <w:r>
        <w:t xml:space="preserve"> </w:t>
      </w:r>
      <w:r w:rsidRPr="0087629C">
        <w:rPr>
          <w:i/>
          <w:iCs/>
        </w:rPr>
        <w:t xml:space="preserve">See In re Ohio Edison Co., </w:t>
      </w:r>
      <w:r w:rsidR="00EB4DD7">
        <w:rPr>
          <w:i/>
          <w:iCs/>
        </w:rPr>
        <w:t>T</w:t>
      </w:r>
      <w:r w:rsidRPr="0087629C">
        <w:rPr>
          <w:i/>
          <w:iCs/>
        </w:rPr>
        <w:t xml:space="preserve">he Cleveland Elec. Illum. Co., and </w:t>
      </w:r>
      <w:r w:rsidR="00EB4DD7">
        <w:rPr>
          <w:i/>
          <w:iCs/>
        </w:rPr>
        <w:t>T</w:t>
      </w:r>
      <w:r w:rsidRPr="0087629C">
        <w:rPr>
          <w:i/>
          <w:iCs/>
        </w:rPr>
        <w:t>he Toledo Edison Co</w:t>
      </w:r>
      <w:r>
        <w:t>., Case No. 14-1297-EL-SSO (</w:t>
      </w:r>
      <w:r w:rsidR="006D7EE2">
        <w:t>“</w:t>
      </w:r>
      <w:r>
        <w:t>ESP IV Case</w:t>
      </w:r>
      <w:r w:rsidR="006D7EE2">
        <w:t>”</w:t>
      </w:r>
      <w:r>
        <w:t>), Fifth Entry on Rehearing</w:t>
      </w:r>
      <w:r w:rsidR="00705D93">
        <w:t>, at ¶ 310</w:t>
      </w:r>
      <w:r>
        <w:t xml:space="preserve"> (Oct. 12, 2016).</w:t>
      </w:r>
    </w:p>
  </w:footnote>
  <w:footnote w:id="28">
    <w:p w:rsidR="006C7D30" w:rsidP="00AC0B29" w14:paraId="3A5A7F5F" w14:textId="3E8DE5DD">
      <w:pPr>
        <w:pStyle w:val="FootnoteText"/>
        <w:spacing w:after="120"/>
      </w:pPr>
      <w:r>
        <w:rPr>
          <w:rStyle w:val="FootnoteReference"/>
        </w:rPr>
        <w:footnoteRef/>
      </w:r>
      <w:r>
        <w:t xml:space="preserve"> Audit Report at 3</w:t>
      </w:r>
      <w:r w:rsidR="00893081">
        <w:t>.</w:t>
      </w:r>
    </w:p>
  </w:footnote>
  <w:footnote w:id="29">
    <w:p w:rsidR="006C7D30" w:rsidRPr="006C7D30" w:rsidP="00AC0B29" w14:paraId="0EDEFB22" w14:textId="168C1103">
      <w:pPr>
        <w:pStyle w:val="FootnoteText"/>
        <w:spacing w:after="120"/>
        <w:rPr>
          <w:i/>
          <w:iCs/>
        </w:rPr>
      </w:pPr>
      <w:r>
        <w:rPr>
          <w:rStyle w:val="FootnoteReference"/>
        </w:rPr>
        <w:footnoteRef/>
      </w:r>
      <w:r>
        <w:t xml:space="preserve"> </w:t>
      </w:r>
      <w:r>
        <w:rPr>
          <w:i/>
          <w:iCs/>
        </w:rPr>
        <w:t>Id.</w:t>
      </w:r>
    </w:p>
  </w:footnote>
  <w:footnote w:id="30">
    <w:p w:rsidR="00F8037C" w:rsidRPr="00F8037C" w:rsidP="00AC0B29" w14:paraId="1DD9FAFF" w14:textId="25FB19C1">
      <w:pPr>
        <w:pStyle w:val="FootnoteText"/>
        <w:spacing w:after="120"/>
        <w:rPr>
          <w:i/>
          <w:iCs/>
        </w:rPr>
      </w:pPr>
      <w:r>
        <w:rPr>
          <w:rStyle w:val="FootnoteReference"/>
        </w:rPr>
        <w:footnoteRef/>
      </w:r>
      <w:r>
        <w:t xml:space="preserve"> </w:t>
      </w:r>
      <w:r>
        <w:rPr>
          <w:i/>
          <w:iCs/>
        </w:rPr>
        <w:t>Id.</w:t>
      </w:r>
    </w:p>
  </w:footnote>
  <w:footnote w:id="31">
    <w:p w:rsidR="006C7D30" w:rsidRPr="0087629C" w:rsidP="00AC0B29" w14:paraId="480288E7" w14:textId="660EB72F">
      <w:pPr>
        <w:pStyle w:val="FootnoteText"/>
        <w:spacing w:after="120"/>
      </w:pPr>
      <w:r>
        <w:rPr>
          <w:rStyle w:val="FootnoteReference"/>
        </w:rPr>
        <w:footnoteRef/>
      </w:r>
      <w:r>
        <w:t xml:space="preserve"> </w:t>
      </w:r>
      <w:r w:rsidR="0087629C">
        <w:rPr>
          <w:i/>
          <w:iCs/>
        </w:rPr>
        <w:t xml:space="preserve">Id. </w:t>
      </w:r>
      <w:r w:rsidR="0087629C">
        <w:t>at 36.</w:t>
      </w:r>
    </w:p>
  </w:footnote>
  <w:footnote w:id="32">
    <w:p w:rsidR="0087629C" w:rsidRPr="0087629C" w:rsidP="00AC0B29" w14:paraId="51B23D08" w14:textId="37E4D122">
      <w:pPr>
        <w:pStyle w:val="FootnoteText"/>
        <w:spacing w:after="120"/>
      </w:pPr>
      <w:r>
        <w:rPr>
          <w:rStyle w:val="FootnoteReference"/>
        </w:rPr>
        <w:footnoteRef/>
      </w:r>
      <w:r>
        <w:t xml:space="preserve"> </w:t>
      </w:r>
      <w:r>
        <w:rPr>
          <w:i/>
          <w:iCs/>
        </w:rPr>
        <w:t xml:space="preserve">Id. </w:t>
      </w:r>
      <w:r>
        <w:t>at 39.</w:t>
      </w:r>
    </w:p>
  </w:footnote>
  <w:footnote w:id="33">
    <w:p w:rsidR="003206D9" w:rsidRPr="003206D9" w:rsidP="00AC0B29" w14:paraId="2E513877" w14:textId="321EDC46">
      <w:pPr>
        <w:pStyle w:val="FootnoteText"/>
        <w:spacing w:after="120"/>
      </w:pPr>
      <w:r>
        <w:rPr>
          <w:rStyle w:val="FootnoteReference"/>
        </w:rPr>
        <w:footnoteRef/>
      </w:r>
      <w:r>
        <w:t xml:space="preserve"> </w:t>
      </w:r>
      <w:r>
        <w:rPr>
          <w:i/>
          <w:iCs/>
        </w:rPr>
        <w:t>See, e.g., In the Matter of the Review of the Market-</w:t>
      </w:r>
      <w:r w:rsidR="004925BB">
        <w:rPr>
          <w:i/>
          <w:iCs/>
        </w:rPr>
        <w:t>B</w:t>
      </w:r>
      <w:r>
        <w:rPr>
          <w:i/>
          <w:iCs/>
        </w:rPr>
        <w:t xml:space="preserve">ased Services Rider Pilot Program Established by Ohio Edison Company, </w:t>
      </w:r>
      <w:r w:rsidR="003A0C39">
        <w:rPr>
          <w:i/>
          <w:iCs/>
        </w:rPr>
        <w:t>T</w:t>
      </w:r>
      <w:r>
        <w:rPr>
          <w:i/>
          <w:iCs/>
        </w:rPr>
        <w:t xml:space="preserve">he Cleveland Electric Illuminating Company, and </w:t>
      </w:r>
      <w:r w:rsidR="003A0C39">
        <w:rPr>
          <w:i/>
          <w:iCs/>
        </w:rPr>
        <w:t>T</w:t>
      </w:r>
      <w:r>
        <w:rPr>
          <w:i/>
          <w:iCs/>
        </w:rPr>
        <w:t>he Toledo Edison Company</w:t>
      </w:r>
      <w:r>
        <w:t>, Case No. 22-391-EL-RDR, OCC</w:t>
      </w:r>
      <w:r w:rsidR="006D7EE2">
        <w:t>’</w:t>
      </w:r>
      <w:r>
        <w:t>s Comments (Aug</w:t>
      </w:r>
      <w:r w:rsidR="00A50FCA">
        <w:t>.</w:t>
      </w:r>
      <w:r>
        <w:t xml:space="preserve"> 17, 2023).</w:t>
      </w:r>
    </w:p>
  </w:footnote>
  <w:footnote w:id="34">
    <w:p w:rsidR="003206D9" w:rsidP="00AC0B29" w14:paraId="5F7A38FD" w14:textId="190B65A3">
      <w:pPr>
        <w:pStyle w:val="FootnoteText"/>
        <w:spacing w:after="120"/>
      </w:pPr>
      <w:r>
        <w:rPr>
          <w:rStyle w:val="FootnoteReference"/>
        </w:rPr>
        <w:footnoteRef/>
      </w:r>
      <w:r>
        <w:t xml:space="preserve"> </w:t>
      </w:r>
      <w:r w:rsidRPr="003206D9">
        <w:rPr>
          <w:i/>
          <w:iCs/>
        </w:rPr>
        <w:t xml:space="preserve">See In the Matter of the Review of the Non-Market Based Services Rider Contained in the Tariffs of Ohio Edison Co., </w:t>
      </w:r>
      <w:r w:rsidR="00DA10A6">
        <w:rPr>
          <w:i/>
          <w:iCs/>
        </w:rPr>
        <w:t>T</w:t>
      </w:r>
      <w:r w:rsidRPr="003206D9">
        <w:rPr>
          <w:i/>
          <w:iCs/>
        </w:rPr>
        <w:t xml:space="preserve">he Cleveland Elec. Illum. Co., and </w:t>
      </w:r>
      <w:r w:rsidR="00DA10A6">
        <w:rPr>
          <w:i/>
          <w:iCs/>
        </w:rPr>
        <w:t>T</w:t>
      </w:r>
      <w:r w:rsidRPr="003206D9">
        <w:rPr>
          <w:i/>
          <w:iCs/>
        </w:rPr>
        <w:t>he Toledo Edison Co</w:t>
      </w:r>
      <w:r>
        <w:t>., Case No. 23-51-EL-RDR, Finding and Order</w:t>
      </w:r>
      <w:r w:rsidR="002E0F63">
        <w:t xml:space="preserve"> ¶ 14</w:t>
      </w:r>
      <w:r>
        <w:t xml:space="preserve"> (March 22, 2023).</w:t>
      </w:r>
    </w:p>
  </w:footnote>
  <w:footnote w:id="35">
    <w:p w:rsidR="004B483C" w:rsidP="00AC0B29" w14:paraId="694D534D" w14:textId="3EC198C2">
      <w:pPr>
        <w:pStyle w:val="FootnoteText"/>
        <w:spacing w:after="120"/>
      </w:pPr>
      <w:r>
        <w:rPr>
          <w:rStyle w:val="FootnoteReference"/>
        </w:rPr>
        <w:footnoteRef/>
      </w:r>
      <w:r>
        <w:t xml:space="preserve"> Docket No. EL23-105-000.</w:t>
      </w:r>
    </w:p>
  </w:footnote>
  <w:footnote w:id="36">
    <w:p w:rsidR="007B350F" w:rsidP="00AC0B29" w14:paraId="3AF010C0" w14:textId="77777777">
      <w:pPr>
        <w:pStyle w:val="FootnoteText"/>
        <w:spacing w:after="120"/>
      </w:pPr>
      <w:r>
        <w:rPr>
          <w:rStyle w:val="FootnoteReference"/>
        </w:rPr>
        <w:footnoteRef/>
      </w:r>
      <w:r>
        <w:t xml:space="preserve"> Confirmation Hearing, Ohio Senate Energy and Public Utilities Committee (April 9, 2024), </w:t>
      </w:r>
      <w:hyperlink r:id="rId1" w:history="1">
        <w:r w:rsidRPr="00E27A24">
          <w:rPr>
            <w:rStyle w:val="Hyperlink"/>
          </w:rPr>
          <w:t>https://ohiochannel.org/video/ohio-senate-energy-and-public-utilities-committee-4-9-2024</w:t>
        </w:r>
      </w:hyperlink>
      <w:r>
        <w:t>.</w:t>
      </w:r>
    </w:p>
  </w:footnote>
  <w:footnote w:id="37">
    <w:p w:rsidR="00936AE9" w:rsidP="00AC0B29" w14:paraId="07534960" w14:textId="02E1BEC2">
      <w:pPr>
        <w:pStyle w:val="FootnoteText"/>
        <w:spacing w:after="120"/>
      </w:pPr>
      <w:r>
        <w:rPr>
          <w:rStyle w:val="FootnoteReference"/>
        </w:rPr>
        <w:footnoteRef/>
      </w:r>
      <w:r>
        <w:t xml:space="preserve"> </w:t>
      </w:r>
      <w:r w:rsidRPr="00936AE9">
        <w:rPr>
          <w:i/>
          <w:iCs/>
        </w:rPr>
        <w:t>In re Columbus &amp; Southern Ohio Electric Co</w:t>
      </w:r>
      <w:r>
        <w:t>., Case No. 83-1058-EL-AIR, Entry (Nov</w:t>
      </w:r>
      <w:r w:rsidR="00FF24E4">
        <w:t>.</w:t>
      </w:r>
      <w:r>
        <w:t xml:space="preserve"> 17, 1982).</w:t>
      </w:r>
    </w:p>
  </w:footnote>
  <w:footnote w:id="38">
    <w:p w:rsidR="00936AE9" w:rsidP="00AC0B29" w14:paraId="29EBF375" w14:textId="45F58873">
      <w:pPr>
        <w:pStyle w:val="FootnoteText"/>
        <w:spacing w:after="120"/>
      </w:pPr>
      <w:r>
        <w:rPr>
          <w:rStyle w:val="FootnoteReference"/>
        </w:rPr>
        <w:footnoteRef/>
      </w:r>
      <w:r>
        <w:t xml:space="preserve"> </w:t>
      </w:r>
      <w:r w:rsidRPr="00936AE9">
        <w:rPr>
          <w:i/>
          <w:iCs/>
        </w:rPr>
        <w:t>Id</w:t>
      </w:r>
      <w:r>
        <w:t>., Opinion and Order at 8-14 (Nov</w:t>
      </w:r>
      <w:r w:rsidR="00561999">
        <w:t>.</w:t>
      </w:r>
      <w:r>
        <w:t xml:space="preserve"> 5, 1982).</w:t>
      </w:r>
    </w:p>
  </w:footnote>
  <w:footnote w:id="39">
    <w:p w:rsidR="00936AE9" w:rsidP="00AC0B29" w14:paraId="78644F4B" w14:textId="1AA7F909">
      <w:pPr>
        <w:pStyle w:val="FootnoteText"/>
        <w:spacing w:after="120"/>
      </w:pPr>
      <w:r>
        <w:rPr>
          <w:rStyle w:val="FootnoteReference"/>
        </w:rPr>
        <w:footnoteRef/>
      </w:r>
      <w:r>
        <w:t xml:space="preserve"> </w:t>
      </w:r>
      <w:r w:rsidRPr="00936AE9">
        <w:rPr>
          <w:i/>
          <w:iCs/>
        </w:rPr>
        <w:t>Id</w:t>
      </w:r>
      <w:r>
        <w:t>., Entry at 1 (Nov</w:t>
      </w:r>
      <w:r w:rsidR="00C3132F">
        <w:t>.</w:t>
      </w:r>
      <w:r>
        <w:t xml:space="preserve"> 17, 1982).</w:t>
      </w:r>
    </w:p>
  </w:footnote>
  <w:footnote w:id="40">
    <w:p w:rsidR="00936AE9" w:rsidP="00AC0B29" w14:paraId="4D13F5F2" w14:textId="67D9595A">
      <w:pPr>
        <w:pStyle w:val="FootnoteText"/>
        <w:spacing w:after="120"/>
      </w:pPr>
      <w:r>
        <w:rPr>
          <w:rStyle w:val="FootnoteReference"/>
        </w:rPr>
        <w:footnoteRef/>
      </w:r>
      <w:r>
        <w:t xml:space="preserve"> </w:t>
      </w:r>
      <w:r w:rsidRPr="00936AE9">
        <w:rPr>
          <w:i/>
          <w:iCs/>
        </w:rPr>
        <w:t>Id</w:t>
      </w:r>
      <w:r>
        <w:t>., Order on Rehearing (March 16, 1983).</w:t>
      </w:r>
    </w:p>
  </w:footnote>
  <w:footnote w:id="41">
    <w:p w:rsidR="00936AE9" w:rsidP="00AC0B29" w14:paraId="30907438" w14:textId="25B58E73">
      <w:pPr>
        <w:pStyle w:val="FootnoteText"/>
        <w:spacing w:after="120"/>
      </w:pPr>
      <w:r>
        <w:rPr>
          <w:rStyle w:val="FootnoteReference"/>
        </w:rPr>
        <w:footnoteRef/>
      </w:r>
      <w:r>
        <w:t xml:space="preserve"> </w:t>
      </w:r>
      <w:r w:rsidRPr="00936AE9">
        <w:rPr>
          <w:i/>
          <w:iCs/>
        </w:rPr>
        <w:t>Columbus &amp; Southern Ohio Electric Co. v. Pub. Util. Comm</w:t>
      </w:r>
      <w:r>
        <w:t>., (1984) 10 Ohio St.3d 12.</w:t>
      </w:r>
    </w:p>
  </w:footnote>
  <w:footnote w:id="42">
    <w:p w:rsidR="00936AE9" w:rsidRPr="00936AE9" w:rsidP="00AC0B29" w14:paraId="39967783" w14:textId="2D86D146">
      <w:pPr>
        <w:pStyle w:val="FootnoteText"/>
        <w:spacing w:after="120"/>
        <w:rPr>
          <w:i/>
          <w:iCs/>
        </w:rPr>
      </w:pPr>
      <w:r>
        <w:rPr>
          <w:rStyle w:val="FootnoteReference"/>
        </w:rPr>
        <w:footnoteRef/>
      </w:r>
      <w:r>
        <w:t xml:space="preserve"> </w:t>
      </w:r>
      <w:r>
        <w:rPr>
          <w:i/>
          <w:iCs/>
        </w:rPr>
        <w:t>Id.</w:t>
      </w:r>
    </w:p>
  </w:footnote>
  <w:footnote w:id="43">
    <w:p w:rsidR="00936AE9" w:rsidP="00AC0B29" w14:paraId="4488697B" w14:textId="04B2DA6C">
      <w:pPr>
        <w:pStyle w:val="FootnoteText"/>
        <w:spacing w:after="120"/>
      </w:pPr>
      <w:r>
        <w:rPr>
          <w:rStyle w:val="FootnoteReference"/>
        </w:rPr>
        <w:footnoteRef/>
      </w:r>
      <w:r>
        <w:t xml:space="preserve"> </w:t>
      </w:r>
      <w:r w:rsidRPr="00936AE9">
        <w:rPr>
          <w:i/>
          <w:iCs/>
        </w:rPr>
        <w:t>In re Columbus &amp; Southern Ohio Electric Co.</w:t>
      </w:r>
      <w:r>
        <w:t>, Case No. 81-1058-EL-AIR, Order on Rehearing (May 1, 1984).</w:t>
      </w:r>
    </w:p>
  </w:footnote>
  <w:footnote w:id="44">
    <w:p w:rsidR="00936AE9" w:rsidP="00AC0B29" w14:paraId="4ACDF1F0" w14:textId="46B0199C">
      <w:pPr>
        <w:pStyle w:val="FootnoteText"/>
        <w:spacing w:after="120"/>
      </w:pPr>
      <w:r>
        <w:rPr>
          <w:rStyle w:val="FootnoteReference"/>
        </w:rPr>
        <w:footnoteRef/>
      </w:r>
      <w:r>
        <w:t xml:space="preserve"> </w:t>
      </w:r>
      <w:r w:rsidRPr="00936AE9">
        <w:rPr>
          <w:i/>
          <w:iCs/>
        </w:rPr>
        <w:t>In the Matter of the Commission</w:t>
      </w:r>
      <w:r w:rsidR="006D7EE2">
        <w:rPr>
          <w:i/>
          <w:iCs/>
        </w:rPr>
        <w:t>’</w:t>
      </w:r>
      <w:r w:rsidRPr="00936AE9">
        <w:rPr>
          <w:i/>
          <w:iCs/>
        </w:rPr>
        <w:t xml:space="preserve">s Investigation of the Current Rates, Revenues, Rate Base, and Rate of Return of </w:t>
      </w:r>
      <w:r w:rsidR="00CA7F26">
        <w:rPr>
          <w:i/>
          <w:iCs/>
        </w:rPr>
        <w:t>T</w:t>
      </w:r>
      <w:r w:rsidRPr="00936AE9">
        <w:rPr>
          <w:i/>
          <w:iCs/>
        </w:rPr>
        <w:t>he Ohio Utilities Company</w:t>
      </w:r>
      <w:r>
        <w:t>, Case No. 77-1073-WS-COI, Entry at 2 (June 7, 1978).</w:t>
      </w:r>
    </w:p>
  </w:footnote>
  <w:footnote w:id="45">
    <w:p w:rsidR="00936AE9" w:rsidP="00AC0B29" w14:paraId="12253484" w14:textId="29117C08">
      <w:pPr>
        <w:pStyle w:val="FootnoteText"/>
        <w:spacing w:after="120"/>
      </w:pPr>
      <w:r>
        <w:rPr>
          <w:rStyle w:val="FootnoteReference"/>
        </w:rPr>
        <w:footnoteRef/>
      </w:r>
      <w:r>
        <w:t xml:space="preserve"> </w:t>
      </w:r>
      <w:r w:rsidRPr="00936AE9">
        <w:rPr>
          <w:i/>
          <w:iCs/>
        </w:rPr>
        <w:t xml:space="preserve">In the Matter of </w:t>
      </w:r>
      <w:r w:rsidR="00CE3539">
        <w:rPr>
          <w:i/>
          <w:iCs/>
        </w:rPr>
        <w:t>T</w:t>
      </w:r>
      <w:r w:rsidRPr="00936AE9">
        <w:rPr>
          <w:i/>
          <w:iCs/>
        </w:rPr>
        <w:t>he Ohio Utilities Co. Application for an Increase in Rates</w:t>
      </w:r>
      <w:r>
        <w:t>, Case No. 79-529-WS-AIR, Opinion and Order (Jan</w:t>
      </w:r>
      <w:r w:rsidR="009A295F">
        <w:t>.</w:t>
      </w:r>
      <w:r>
        <w:t xml:space="preserve"> 18, 1977).</w:t>
      </w:r>
    </w:p>
  </w:footnote>
  <w:footnote w:id="46">
    <w:p w:rsidR="00936AE9" w:rsidP="00AC0B29" w14:paraId="45A0F66C" w14:textId="2E1902AB">
      <w:pPr>
        <w:pStyle w:val="FootnoteText"/>
        <w:spacing w:after="120"/>
      </w:pPr>
      <w:r>
        <w:rPr>
          <w:rStyle w:val="FootnoteReference"/>
        </w:rPr>
        <w:footnoteRef/>
      </w:r>
      <w:r>
        <w:t xml:space="preserve"> </w:t>
      </w:r>
      <w:r w:rsidRPr="00936AE9">
        <w:rPr>
          <w:i/>
          <w:iCs/>
        </w:rPr>
        <w:t>In the Matter of the Commission</w:t>
      </w:r>
      <w:r w:rsidR="006D7EE2">
        <w:rPr>
          <w:i/>
          <w:iCs/>
        </w:rPr>
        <w:t>’</w:t>
      </w:r>
      <w:r w:rsidRPr="00936AE9">
        <w:rPr>
          <w:i/>
          <w:iCs/>
        </w:rPr>
        <w:t xml:space="preserve">s Investigation of the Current Rates, Revenues, Rate Base, and Rate of Return of </w:t>
      </w:r>
      <w:r w:rsidR="00CE3539">
        <w:rPr>
          <w:i/>
          <w:iCs/>
        </w:rPr>
        <w:t>T</w:t>
      </w:r>
      <w:r w:rsidRPr="00936AE9">
        <w:rPr>
          <w:i/>
          <w:iCs/>
        </w:rPr>
        <w:t>he Ohio Utilities Company</w:t>
      </w:r>
      <w:r>
        <w:t>, Case No. 77-1073-WS-COI, Entry (Sept</w:t>
      </w:r>
      <w:r w:rsidR="00714BFE">
        <w:t>.</w:t>
      </w:r>
      <w:r>
        <w:t xml:space="preserve"> 7, 1977).</w:t>
      </w:r>
    </w:p>
  </w:footnote>
  <w:footnote w:id="47">
    <w:p w:rsidR="00936AE9" w:rsidP="00AC0B29" w14:paraId="50E0FE86" w14:textId="4758C093">
      <w:pPr>
        <w:pStyle w:val="FootnoteText"/>
        <w:spacing w:after="120"/>
      </w:pPr>
      <w:r>
        <w:rPr>
          <w:rStyle w:val="FootnoteReference"/>
        </w:rPr>
        <w:footnoteRef/>
      </w:r>
      <w:r>
        <w:t xml:space="preserve"> </w:t>
      </w:r>
      <w:r w:rsidRPr="00936AE9">
        <w:rPr>
          <w:i/>
          <w:iCs/>
        </w:rPr>
        <w:t>In the Matter of the Commission</w:t>
      </w:r>
      <w:r w:rsidR="006D7EE2">
        <w:rPr>
          <w:i/>
          <w:iCs/>
        </w:rPr>
        <w:t>’</w:t>
      </w:r>
      <w:r w:rsidRPr="00936AE9">
        <w:rPr>
          <w:i/>
          <w:iCs/>
        </w:rPr>
        <w:t xml:space="preserve">s Investigation of the Current Rates, Revenues, Rate Base, and Rate of Return of </w:t>
      </w:r>
      <w:r w:rsidR="00E91F6E">
        <w:rPr>
          <w:i/>
          <w:iCs/>
        </w:rPr>
        <w:t>T</w:t>
      </w:r>
      <w:r w:rsidRPr="00936AE9">
        <w:rPr>
          <w:i/>
          <w:iCs/>
        </w:rPr>
        <w:t>he Ohio Utilities Company</w:t>
      </w:r>
      <w:r>
        <w:t>, Case No. 77-1073-WS-COI, Opinion and Order (May 18, 1978).</w:t>
      </w:r>
    </w:p>
  </w:footnote>
  <w:footnote w:id="48">
    <w:p w:rsidR="00936AE9" w:rsidP="00AC0B29" w14:paraId="2040E8F1" w14:textId="66D349F7">
      <w:pPr>
        <w:pStyle w:val="FootnoteText"/>
        <w:spacing w:after="120"/>
      </w:pPr>
      <w:r>
        <w:rPr>
          <w:rStyle w:val="FootnoteReference"/>
        </w:rPr>
        <w:footnoteRef/>
      </w:r>
      <w:r>
        <w:t xml:space="preserve"> </w:t>
      </w:r>
      <w:r w:rsidRPr="00936AE9">
        <w:rPr>
          <w:i/>
          <w:iCs/>
        </w:rPr>
        <w:t>In the Matter of the Commission</w:t>
      </w:r>
      <w:r w:rsidR="006D7EE2">
        <w:rPr>
          <w:i/>
          <w:iCs/>
        </w:rPr>
        <w:t>’</w:t>
      </w:r>
      <w:r w:rsidRPr="00936AE9">
        <w:rPr>
          <w:i/>
          <w:iCs/>
        </w:rPr>
        <w:t xml:space="preserve">s Investigation of the Current Rates, Revenues, Rate Base, and Rate of Return of </w:t>
      </w:r>
      <w:r w:rsidR="00BF408C">
        <w:rPr>
          <w:i/>
          <w:iCs/>
        </w:rPr>
        <w:t>T</w:t>
      </w:r>
      <w:r w:rsidRPr="00936AE9">
        <w:rPr>
          <w:i/>
          <w:iCs/>
        </w:rPr>
        <w:t>he Ohio Utilities Company</w:t>
      </w:r>
      <w:r>
        <w:t xml:space="preserve">, Case No. 77-1073-WS-COI, Entry (June 7, 1978). The utility was also required to file an </w:t>
      </w:r>
      <w:r w:rsidR="006D7EE2">
        <w:t>“</w:t>
      </w:r>
      <w:r>
        <w:t>undertaking</w:t>
      </w:r>
      <w:r w:rsidR="006D7EE2">
        <w:t>”</w:t>
      </w:r>
      <w:r>
        <w:t xml:space="preserve"> consisting of a promise to refund any amount collected for service rendered after the date of the Entry by a method later determined by the Commission (either cash refund or as a credit to future bills). The undertaking was required to be under oath by an officer of the company and was to include a promise to include interest. The amount ordered for refund was the amount collected for service in excess of those rates ultimately determined to be lawful. </w:t>
      </w:r>
      <w:r w:rsidRPr="00936AE9">
        <w:rPr>
          <w:i/>
          <w:iCs/>
        </w:rPr>
        <w:t>Id</w:t>
      </w:r>
      <w:r>
        <w:t>.</w:t>
      </w:r>
    </w:p>
  </w:footnote>
  <w:footnote w:id="49">
    <w:p w:rsidR="00936AE9" w:rsidP="00AC0B29" w14:paraId="4B9BBF99" w14:textId="4927720C">
      <w:pPr>
        <w:pStyle w:val="FootnoteText"/>
        <w:spacing w:after="120"/>
      </w:pPr>
      <w:r>
        <w:rPr>
          <w:rStyle w:val="FootnoteReference"/>
        </w:rPr>
        <w:footnoteRef/>
      </w:r>
      <w:r>
        <w:t xml:space="preserve"> </w:t>
      </w:r>
      <w:r w:rsidRPr="00353EFB" w:rsidR="00353EFB">
        <w:rPr>
          <w:i/>
          <w:iCs/>
        </w:rPr>
        <w:t>In the Matter of the Commission Review of the Capacity Charges of Ohio Power Company and Columbus Southern Power Company</w:t>
      </w:r>
      <w:r w:rsidR="00353EFB">
        <w:t>, Case No. 10-2929-EL-UNC</w:t>
      </w:r>
      <w:r w:rsidR="00577907">
        <w:t>,</w:t>
      </w:r>
      <w:r w:rsidR="00353EFB">
        <w:t xml:space="preserve"> et al. (May 18, 2016).</w:t>
      </w:r>
    </w:p>
  </w:footnote>
  <w:footnote w:id="50">
    <w:p w:rsidR="00353EFB" w:rsidP="00AC0B29" w14:paraId="3CC12D69" w14:textId="4E411123">
      <w:pPr>
        <w:pStyle w:val="FootnoteText"/>
        <w:spacing w:after="120"/>
      </w:pPr>
      <w:r>
        <w:rPr>
          <w:rStyle w:val="FootnoteReference"/>
        </w:rPr>
        <w:footnoteRef/>
      </w:r>
      <w:r>
        <w:t xml:space="preserve"> </w:t>
      </w:r>
      <w:r w:rsidRPr="00353EFB">
        <w:rPr>
          <w:i/>
          <w:iCs/>
        </w:rPr>
        <w:t>I</w:t>
      </w:r>
      <w:r w:rsidR="00174D07">
        <w:rPr>
          <w:i/>
          <w:iCs/>
        </w:rPr>
        <w:t xml:space="preserve">d. </w:t>
      </w:r>
      <w:r>
        <w:t>at 4</w:t>
      </w:r>
      <w:r w:rsidR="00174D07">
        <w:t>.</w:t>
      </w:r>
    </w:p>
  </w:footnote>
  <w:footnote w:id="51">
    <w:p w:rsidR="007B350F" w:rsidRPr="004926AC" w:rsidP="00AC0B29" w14:paraId="0389E334" w14:textId="77777777">
      <w:pPr>
        <w:pStyle w:val="FootnoteText"/>
        <w:spacing w:after="120"/>
      </w:pPr>
      <w:r w:rsidRPr="004926AC">
        <w:rPr>
          <w:rStyle w:val="FootnoteReference"/>
        </w:rPr>
        <w:footnoteRef/>
      </w:r>
      <w:r w:rsidRPr="004926AC">
        <w:t xml:space="preserve"> </w:t>
      </w:r>
      <w:r w:rsidRPr="004926AC">
        <w:rPr>
          <w:i/>
          <w:iCs/>
        </w:rPr>
        <w:t xml:space="preserve">In the Matter of the Application of The Dayton Power and Light Company to Establish a Standard Service Offer in the Form of an Electric Security Plan, </w:t>
      </w:r>
      <w:r w:rsidRPr="004926AC">
        <w:t>Case No. 08-1094-EL-SSO, Fifth Entry on Rehearing at ¶ 64 (June 16,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74" w14:paraId="0A1C40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74" w14:paraId="3E44B2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74" w14:paraId="083F0FC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C02" w14:paraId="239A80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D8DBFC"/>
    <w:lvl w:ilvl="0">
      <w:start w:val="1"/>
      <w:numFmt w:val="decimal"/>
      <w:lvlText w:val="%1."/>
      <w:lvlJc w:val="left"/>
      <w:pPr>
        <w:tabs>
          <w:tab w:val="num" w:pos="1800"/>
        </w:tabs>
        <w:ind w:left="1800" w:hanging="360"/>
      </w:pPr>
    </w:lvl>
  </w:abstractNum>
  <w:abstractNum w:abstractNumId="2">
    <w:nsid w:val="FFFFFF7D"/>
    <w:multiLevelType w:val="singleLevel"/>
    <w:tmpl w:val="3CE82492"/>
    <w:lvl w:ilvl="0">
      <w:start w:val="1"/>
      <w:numFmt w:val="decimal"/>
      <w:lvlText w:val="%1."/>
      <w:lvlJc w:val="left"/>
      <w:pPr>
        <w:tabs>
          <w:tab w:val="num" w:pos="1440"/>
        </w:tabs>
        <w:ind w:left="1440" w:hanging="360"/>
      </w:pPr>
    </w:lvl>
  </w:abstractNum>
  <w:abstractNum w:abstractNumId="3">
    <w:nsid w:val="FFFFFF7E"/>
    <w:multiLevelType w:val="singleLevel"/>
    <w:tmpl w:val="B552B3A0"/>
    <w:lvl w:ilvl="0">
      <w:start w:val="1"/>
      <w:numFmt w:val="decimal"/>
      <w:lvlText w:val="%1."/>
      <w:lvlJc w:val="left"/>
      <w:pPr>
        <w:tabs>
          <w:tab w:val="num" w:pos="1080"/>
        </w:tabs>
        <w:ind w:left="1080" w:hanging="360"/>
      </w:pPr>
    </w:lvl>
  </w:abstractNum>
  <w:abstractNum w:abstractNumId="4">
    <w:nsid w:val="FFFFFF7F"/>
    <w:multiLevelType w:val="singleLevel"/>
    <w:tmpl w:val="01686CC0"/>
    <w:lvl w:ilvl="0">
      <w:start w:val="1"/>
      <w:numFmt w:val="decimal"/>
      <w:lvlText w:val="%1."/>
      <w:lvlJc w:val="left"/>
      <w:pPr>
        <w:tabs>
          <w:tab w:val="num" w:pos="720"/>
        </w:tabs>
        <w:ind w:left="720" w:hanging="360"/>
      </w:pPr>
    </w:lvl>
  </w:abstractNum>
  <w:abstractNum w:abstractNumId="5">
    <w:nsid w:val="FFFFFF80"/>
    <w:multiLevelType w:val="singleLevel"/>
    <w:tmpl w:val="F132A20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FECC8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5E6B2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D52FC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B06D692"/>
    <w:lvl w:ilvl="0">
      <w:start w:val="1"/>
      <w:numFmt w:val="decimal"/>
      <w:lvlText w:val="%1."/>
      <w:lvlJc w:val="left"/>
      <w:pPr>
        <w:tabs>
          <w:tab w:val="num" w:pos="360"/>
        </w:tabs>
        <w:ind w:left="360" w:hanging="360"/>
      </w:pPr>
    </w:lvl>
  </w:abstractNum>
  <w:abstractNum w:abstractNumId="10">
    <w:nsid w:val="FFFFFF89"/>
    <w:multiLevelType w:val="singleLevel"/>
    <w:tmpl w:val="B08A124C"/>
    <w:lvl w:ilvl="0">
      <w:start w:val="1"/>
      <w:numFmt w:val="bullet"/>
      <w:lvlText w:val=""/>
      <w:lvlJc w:val="left"/>
      <w:pPr>
        <w:tabs>
          <w:tab w:val="num" w:pos="360"/>
        </w:tabs>
        <w:ind w:left="360" w:hanging="360"/>
      </w:pPr>
      <w:rPr>
        <w:rFonts w:ascii="Symbol" w:hAnsi="Symbol" w:hint="default"/>
      </w:rPr>
    </w:lvl>
  </w:abstractNum>
  <w:abstractNum w:abstractNumId="1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69D4646"/>
    <w:multiLevelType w:val="hybridMultilevel"/>
    <w:tmpl w:val="7B04E922"/>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7"/>
  </w:num>
  <w:num w:numId="5">
    <w:abstractNumId w:val="12"/>
  </w:num>
  <w:num w:numId="6">
    <w:abstractNumId w:val="16"/>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BE"/>
    <w:rsid w:val="00001091"/>
    <w:rsid w:val="00002BC4"/>
    <w:rsid w:val="000203CB"/>
    <w:rsid w:val="000218C8"/>
    <w:rsid w:val="000317FC"/>
    <w:rsid w:val="00034C52"/>
    <w:rsid w:val="000358AC"/>
    <w:rsid w:val="00040D4B"/>
    <w:rsid w:val="0005205C"/>
    <w:rsid w:val="00053435"/>
    <w:rsid w:val="0007662C"/>
    <w:rsid w:val="00097985"/>
    <w:rsid w:val="000A6113"/>
    <w:rsid w:val="000B3131"/>
    <w:rsid w:val="000B555B"/>
    <w:rsid w:val="000C07AF"/>
    <w:rsid w:val="000C1C94"/>
    <w:rsid w:val="000C5EE8"/>
    <w:rsid w:val="000D6AB4"/>
    <w:rsid w:val="0011170A"/>
    <w:rsid w:val="00133C71"/>
    <w:rsid w:val="00150675"/>
    <w:rsid w:val="00156032"/>
    <w:rsid w:val="001633AD"/>
    <w:rsid w:val="001664B9"/>
    <w:rsid w:val="00174D07"/>
    <w:rsid w:val="001A6576"/>
    <w:rsid w:val="001A73E8"/>
    <w:rsid w:val="001B0140"/>
    <w:rsid w:val="001B10B7"/>
    <w:rsid w:val="001B5FFF"/>
    <w:rsid w:val="001C165C"/>
    <w:rsid w:val="001E08CD"/>
    <w:rsid w:val="001E657A"/>
    <w:rsid w:val="001F4D20"/>
    <w:rsid w:val="00202A49"/>
    <w:rsid w:val="00212EBB"/>
    <w:rsid w:val="00213DFE"/>
    <w:rsid w:val="00214D40"/>
    <w:rsid w:val="00215B2B"/>
    <w:rsid w:val="0021747A"/>
    <w:rsid w:val="002743CE"/>
    <w:rsid w:val="00274EFF"/>
    <w:rsid w:val="0027607F"/>
    <w:rsid w:val="00280B80"/>
    <w:rsid w:val="0028299C"/>
    <w:rsid w:val="002863CE"/>
    <w:rsid w:val="002865AB"/>
    <w:rsid w:val="00290BED"/>
    <w:rsid w:val="00290CF6"/>
    <w:rsid w:val="00294149"/>
    <w:rsid w:val="002A256D"/>
    <w:rsid w:val="002A5684"/>
    <w:rsid w:val="002A56B6"/>
    <w:rsid w:val="002C099F"/>
    <w:rsid w:val="002C37C1"/>
    <w:rsid w:val="002D20D6"/>
    <w:rsid w:val="002D4C58"/>
    <w:rsid w:val="002D4ED7"/>
    <w:rsid w:val="002D6F57"/>
    <w:rsid w:val="002E086F"/>
    <w:rsid w:val="002E0F63"/>
    <w:rsid w:val="002F1DD4"/>
    <w:rsid w:val="002F4027"/>
    <w:rsid w:val="002F5BF0"/>
    <w:rsid w:val="002F7A8B"/>
    <w:rsid w:val="0030123A"/>
    <w:rsid w:val="003119B5"/>
    <w:rsid w:val="003155AA"/>
    <w:rsid w:val="003206D9"/>
    <w:rsid w:val="003230EB"/>
    <w:rsid w:val="00336429"/>
    <w:rsid w:val="003404A9"/>
    <w:rsid w:val="003404CB"/>
    <w:rsid w:val="00343131"/>
    <w:rsid w:val="00353EFB"/>
    <w:rsid w:val="003568B4"/>
    <w:rsid w:val="003600C0"/>
    <w:rsid w:val="003655B1"/>
    <w:rsid w:val="003744B8"/>
    <w:rsid w:val="00381223"/>
    <w:rsid w:val="003835AD"/>
    <w:rsid w:val="003839FC"/>
    <w:rsid w:val="00386CEC"/>
    <w:rsid w:val="00395AB5"/>
    <w:rsid w:val="003A0C39"/>
    <w:rsid w:val="003A1EAB"/>
    <w:rsid w:val="003A49F4"/>
    <w:rsid w:val="003B728B"/>
    <w:rsid w:val="003C39F6"/>
    <w:rsid w:val="003C5000"/>
    <w:rsid w:val="003D0057"/>
    <w:rsid w:val="003D2BDF"/>
    <w:rsid w:val="003D3874"/>
    <w:rsid w:val="003E5544"/>
    <w:rsid w:val="00403750"/>
    <w:rsid w:val="0040772E"/>
    <w:rsid w:val="00410F69"/>
    <w:rsid w:val="0041120E"/>
    <w:rsid w:val="004133BB"/>
    <w:rsid w:val="00420E88"/>
    <w:rsid w:val="0042430F"/>
    <w:rsid w:val="00437C02"/>
    <w:rsid w:val="00442B6C"/>
    <w:rsid w:val="00442E10"/>
    <w:rsid w:val="00453813"/>
    <w:rsid w:val="00454276"/>
    <w:rsid w:val="00461E83"/>
    <w:rsid w:val="00470A19"/>
    <w:rsid w:val="004724C4"/>
    <w:rsid w:val="00472C14"/>
    <w:rsid w:val="00473A3A"/>
    <w:rsid w:val="004856F7"/>
    <w:rsid w:val="00485EB5"/>
    <w:rsid w:val="004925BB"/>
    <w:rsid w:val="004926AC"/>
    <w:rsid w:val="004A4768"/>
    <w:rsid w:val="004A4EA2"/>
    <w:rsid w:val="004B34B5"/>
    <w:rsid w:val="004B483C"/>
    <w:rsid w:val="004B4B5F"/>
    <w:rsid w:val="004B4B65"/>
    <w:rsid w:val="004C5B4F"/>
    <w:rsid w:val="004E0342"/>
    <w:rsid w:val="004E0A9B"/>
    <w:rsid w:val="004E1856"/>
    <w:rsid w:val="004E4856"/>
    <w:rsid w:val="004F25EC"/>
    <w:rsid w:val="004F543D"/>
    <w:rsid w:val="00502E4B"/>
    <w:rsid w:val="0051088D"/>
    <w:rsid w:val="00517249"/>
    <w:rsid w:val="005211AC"/>
    <w:rsid w:val="005245D8"/>
    <w:rsid w:val="00532F99"/>
    <w:rsid w:val="0053359E"/>
    <w:rsid w:val="00537CF8"/>
    <w:rsid w:val="005529E6"/>
    <w:rsid w:val="00561999"/>
    <w:rsid w:val="00564039"/>
    <w:rsid w:val="00577907"/>
    <w:rsid w:val="00585292"/>
    <w:rsid w:val="00585335"/>
    <w:rsid w:val="00590C21"/>
    <w:rsid w:val="00596B60"/>
    <w:rsid w:val="005C1CD0"/>
    <w:rsid w:val="005C5BE4"/>
    <w:rsid w:val="005D497F"/>
    <w:rsid w:val="005D4D9B"/>
    <w:rsid w:val="005E3527"/>
    <w:rsid w:val="005F41FE"/>
    <w:rsid w:val="005F4A6E"/>
    <w:rsid w:val="00604F40"/>
    <w:rsid w:val="00612F1A"/>
    <w:rsid w:val="006227CB"/>
    <w:rsid w:val="00641DEF"/>
    <w:rsid w:val="00645C4E"/>
    <w:rsid w:val="00655CC1"/>
    <w:rsid w:val="00670152"/>
    <w:rsid w:val="00685E6B"/>
    <w:rsid w:val="00691E17"/>
    <w:rsid w:val="00692BFE"/>
    <w:rsid w:val="006B2FC1"/>
    <w:rsid w:val="006C5BAE"/>
    <w:rsid w:val="006C624C"/>
    <w:rsid w:val="006C7D30"/>
    <w:rsid w:val="006D7EE2"/>
    <w:rsid w:val="006E3332"/>
    <w:rsid w:val="006E536E"/>
    <w:rsid w:val="006F3F86"/>
    <w:rsid w:val="006F6809"/>
    <w:rsid w:val="00700E7A"/>
    <w:rsid w:val="00705D93"/>
    <w:rsid w:val="00707D51"/>
    <w:rsid w:val="00714BFE"/>
    <w:rsid w:val="00716B97"/>
    <w:rsid w:val="0074386D"/>
    <w:rsid w:val="00746138"/>
    <w:rsid w:val="0075742B"/>
    <w:rsid w:val="00761DAC"/>
    <w:rsid w:val="007739B6"/>
    <w:rsid w:val="007871B8"/>
    <w:rsid w:val="007929A5"/>
    <w:rsid w:val="00797877"/>
    <w:rsid w:val="007B350F"/>
    <w:rsid w:val="007C700C"/>
    <w:rsid w:val="007D79E1"/>
    <w:rsid w:val="007E3B52"/>
    <w:rsid w:val="007F2739"/>
    <w:rsid w:val="007F4494"/>
    <w:rsid w:val="007F5101"/>
    <w:rsid w:val="007F60FC"/>
    <w:rsid w:val="0081319F"/>
    <w:rsid w:val="008232FB"/>
    <w:rsid w:val="0082405E"/>
    <w:rsid w:val="00824635"/>
    <w:rsid w:val="00834DF2"/>
    <w:rsid w:val="00840212"/>
    <w:rsid w:val="00867260"/>
    <w:rsid w:val="00867C3D"/>
    <w:rsid w:val="008721AD"/>
    <w:rsid w:val="00873139"/>
    <w:rsid w:val="0087629C"/>
    <w:rsid w:val="0088198C"/>
    <w:rsid w:val="0088226F"/>
    <w:rsid w:val="00883DF6"/>
    <w:rsid w:val="00893081"/>
    <w:rsid w:val="008A5042"/>
    <w:rsid w:val="008A5345"/>
    <w:rsid w:val="008A7ABD"/>
    <w:rsid w:val="008B2985"/>
    <w:rsid w:val="008B2AFC"/>
    <w:rsid w:val="008E5B3C"/>
    <w:rsid w:val="008F17E2"/>
    <w:rsid w:val="00911B0C"/>
    <w:rsid w:val="00912204"/>
    <w:rsid w:val="009149BC"/>
    <w:rsid w:val="00915D0E"/>
    <w:rsid w:val="00936AE9"/>
    <w:rsid w:val="0094042E"/>
    <w:rsid w:val="00943448"/>
    <w:rsid w:val="00970834"/>
    <w:rsid w:val="00975F8B"/>
    <w:rsid w:val="0098279F"/>
    <w:rsid w:val="00985683"/>
    <w:rsid w:val="00990AFA"/>
    <w:rsid w:val="00995950"/>
    <w:rsid w:val="00996D4C"/>
    <w:rsid w:val="009A22C1"/>
    <w:rsid w:val="009A295F"/>
    <w:rsid w:val="009B0ADF"/>
    <w:rsid w:val="009B78DB"/>
    <w:rsid w:val="009C2C61"/>
    <w:rsid w:val="009C6A04"/>
    <w:rsid w:val="009D1EE7"/>
    <w:rsid w:val="009D57D0"/>
    <w:rsid w:val="009E078A"/>
    <w:rsid w:val="00A009CB"/>
    <w:rsid w:val="00A00DBF"/>
    <w:rsid w:val="00A00DDB"/>
    <w:rsid w:val="00A076CC"/>
    <w:rsid w:val="00A15A95"/>
    <w:rsid w:val="00A16504"/>
    <w:rsid w:val="00A22E05"/>
    <w:rsid w:val="00A24831"/>
    <w:rsid w:val="00A405F8"/>
    <w:rsid w:val="00A40816"/>
    <w:rsid w:val="00A4388E"/>
    <w:rsid w:val="00A50FCA"/>
    <w:rsid w:val="00A65A32"/>
    <w:rsid w:val="00A8192C"/>
    <w:rsid w:val="00A90400"/>
    <w:rsid w:val="00A96979"/>
    <w:rsid w:val="00AA37FC"/>
    <w:rsid w:val="00AA5ED1"/>
    <w:rsid w:val="00AB2802"/>
    <w:rsid w:val="00AB77C6"/>
    <w:rsid w:val="00AC06F0"/>
    <w:rsid w:val="00AC0B29"/>
    <w:rsid w:val="00AF1248"/>
    <w:rsid w:val="00AF1D80"/>
    <w:rsid w:val="00AF6B9E"/>
    <w:rsid w:val="00B01493"/>
    <w:rsid w:val="00B01D8F"/>
    <w:rsid w:val="00B031E2"/>
    <w:rsid w:val="00B04B8D"/>
    <w:rsid w:val="00B23DBF"/>
    <w:rsid w:val="00B347B8"/>
    <w:rsid w:val="00B36F49"/>
    <w:rsid w:val="00B442BF"/>
    <w:rsid w:val="00B50013"/>
    <w:rsid w:val="00B554C3"/>
    <w:rsid w:val="00B5586B"/>
    <w:rsid w:val="00B61A69"/>
    <w:rsid w:val="00B67D61"/>
    <w:rsid w:val="00B772A8"/>
    <w:rsid w:val="00B816FC"/>
    <w:rsid w:val="00B84A59"/>
    <w:rsid w:val="00B94053"/>
    <w:rsid w:val="00BA6A1D"/>
    <w:rsid w:val="00BB7BBE"/>
    <w:rsid w:val="00BB7DAC"/>
    <w:rsid w:val="00BC0158"/>
    <w:rsid w:val="00BD3B2B"/>
    <w:rsid w:val="00BE05DA"/>
    <w:rsid w:val="00BE4A88"/>
    <w:rsid w:val="00BF24ED"/>
    <w:rsid w:val="00BF408C"/>
    <w:rsid w:val="00BF5492"/>
    <w:rsid w:val="00C1695C"/>
    <w:rsid w:val="00C3132F"/>
    <w:rsid w:val="00C33464"/>
    <w:rsid w:val="00C608CA"/>
    <w:rsid w:val="00C66AA4"/>
    <w:rsid w:val="00C9003E"/>
    <w:rsid w:val="00C96FB3"/>
    <w:rsid w:val="00C977B8"/>
    <w:rsid w:val="00CA7F26"/>
    <w:rsid w:val="00CB2892"/>
    <w:rsid w:val="00CB300B"/>
    <w:rsid w:val="00CB495A"/>
    <w:rsid w:val="00CB5F7D"/>
    <w:rsid w:val="00CD4C8A"/>
    <w:rsid w:val="00CD6678"/>
    <w:rsid w:val="00CE1112"/>
    <w:rsid w:val="00CE1433"/>
    <w:rsid w:val="00CE3539"/>
    <w:rsid w:val="00CE7188"/>
    <w:rsid w:val="00CF3DF7"/>
    <w:rsid w:val="00CF5552"/>
    <w:rsid w:val="00D0324A"/>
    <w:rsid w:val="00D13809"/>
    <w:rsid w:val="00D250F4"/>
    <w:rsid w:val="00D26ADF"/>
    <w:rsid w:val="00D313E5"/>
    <w:rsid w:val="00D40D4A"/>
    <w:rsid w:val="00D50474"/>
    <w:rsid w:val="00D661A1"/>
    <w:rsid w:val="00D7311E"/>
    <w:rsid w:val="00D9201C"/>
    <w:rsid w:val="00D96B66"/>
    <w:rsid w:val="00DA10A6"/>
    <w:rsid w:val="00DA7BA1"/>
    <w:rsid w:val="00DB69A2"/>
    <w:rsid w:val="00DD011B"/>
    <w:rsid w:val="00DD7E95"/>
    <w:rsid w:val="00DE0080"/>
    <w:rsid w:val="00DE201D"/>
    <w:rsid w:val="00DF10C6"/>
    <w:rsid w:val="00DF3BCD"/>
    <w:rsid w:val="00E11854"/>
    <w:rsid w:val="00E11D68"/>
    <w:rsid w:val="00E13D21"/>
    <w:rsid w:val="00E27A24"/>
    <w:rsid w:val="00E31CA0"/>
    <w:rsid w:val="00E44ACE"/>
    <w:rsid w:val="00E50073"/>
    <w:rsid w:val="00E5478C"/>
    <w:rsid w:val="00E6185B"/>
    <w:rsid w:val="00E64179"/>
    <w:rsid w:val="00E71DD6"/>
    <w:rsid w:val="00E72328"/>
    <w:rsid w:val="00E82558"/>
    <w:rsid w:val="00E91F6E"/>
    <w:rsid w:val="00EB2250"/>
    <w:rsid w:val="00EB4DD7"/>
    <w:rsid w:val="00EB5288"/>
    <w:rsid w:val="00ED5523"/>
    <w:rsid w:val="00EE0EF5"/>
    <w:rsid w:val="00EE6889"/>
    <w:rsid w:val="00EF38CA"/>
    <w:rsid w:val="00F20E59"/>
    <w:rsid w:val="00F229E7"/>
    <w:rsid w:val="00F36A0B"/>
    <w:rsid w:val="00F36C0B"/>
    <w:rsid w:val="00F40626"/>
    <w:rsid w:val="00F4663E"/>
    <w:rsid w:val="00F52B71"/>
    <w:rsid w:val="00F55285"/>
    <w:rsid w:val="00F639B3"/>
    <w:rsid w:val="00F723BE"/>
    <w:rsid w:val="00F80214"/>
    <w:rsid w:val="00F8037C"/>
    <w:rsid w:val="00F838EC"/>
    <w:rsid w:val="00F95174"/>
    <w:rsid w:val="00FA0A36"/>
    <w:rsid w:val="00FA46CD"/>
    <w:rsid w:val="00FB26F7"/>
    <w:rsid w:val="00FB41C9"/>
    <w:rsid w:val="00FC5C91"/>
    <w:rsid w:val="00FC6566"/>
    <w:rsid w:val="00FD1127"/>
    <w:rsid w:val="00FD441F"/>
    <w:rsid w:val="00FD5825"/>
    <w:rsid w:val="00FE1517"/>
    <w:rsid w:val="00FE1C94"/>
    <w:rsid w:val="00FF24E4"/>
  </w:rsids>
  <m:mathPr>
    <m:mathFont m:val="Cambria Math"/>
    <m:dispDef m:val="0"/>
    <m:wrapRight/>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14:docId w14:val="46126FFD"/>
  <w15:docId w15:val="{627BA330-9FE6-4922-A536-3174E456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A2"/>
  </w:style>
  <w:style w:type="paragraph" w:styleId="Heading1">
    <w:name w:val="heading 1"/>
    <w:basedOn w:val="Normal"/>
    <w:next w:val="Normal"/>
    <w:link w:val="Heading1Char"/>
    <w:autoRedefine/>
    <w:qFormat/>
    <w:rsid w:val="00B554C3"/>
    <w:pPr>
      <w:keepNext/>
      <w:tabs>
        <w:tab w:val="decimal" w:leader="dot" w:pos="8640"/>
      </w:tabs>
      <w:spacing w:after="240"/>
      <w:ind w:left="720" w:hanging="720"/>
      <w:outlineLvl w:val="0"/>
    </w:pPr>
    <w:rPr>
      <w:b/>
      <w:bCs/>
      <w:caps/>
    </w:rPr>
  </w:style>
  <w:style w:type="paragraph" w:styleId="Heading2">
    <w:name w:val="heading 2"/>
    <w:basedOn w:val="Normal"/>
    <w:next w:val="Normal"/>
    <w:autoRedefine/>
    <w:qFormat/>
    <w:rsid w:val="00FE1C94"/>
    <w:pPr>
      <w:keepNext/>
      <w:spacing w:after="240"/>
      <w:ind w:left="72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B554C3"/>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DF10C6"/>
    <w:pPr>
      <w:framePr w:wrap="notBeside" w:vAnchor="text" w:hAnchor="text" w:y="1"/>
      <w:tabs>
        <w:tab w:val="decimal" w:leader="dot" w:pos="9360"/>
      </w:tabs>
      <w:spacing w:after="240"/>
      <w:ind w:left="720" w:hanging="720"/>
      <w:outlineLvl w:val="0"/>
    </w:pPr>
    <w:rPr>
      <w:bCs/>
      <w:caps/>
    </w:rPr>
  </w:style>
  <w:style w:type="paragraph" w:styleId="TOC2">
    <w:name w:val="toc 2"/>
    <w:basedOn w:val="Normal"/>
    <w:next w:val="Normal"/>
    <w:autoRedefine/>
    <w:uiPriority w:val="39"/>
    <w:qFormat/>
    <w:rsid w:val="00DF10C6"/>
    <w:pPr>
      <w:tabs>
        <w:tab w:val="decimal" w:leader="dot" w:pos="9360"/>
      </w:tabs>
      <w:spacing w:after="240"/>
      <w:ind w:left="720"/>
      <w:outlineLvl w:val="1"/>
    </w:pPr>
    <w:rPr>
      <w:bCs/>
    </w:r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uiPriority w:val="99"/>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 w:type="character" w:customStyle="1" w:styleId="UnresolvedMention1">
    <w:name w:val="Unresolved Mention1"/>
    <w:basedOn w:val="DefaultParagraphFont"/>
    <w:rsid w:val="00C1695C"/>
    <w:rPr>
      <w:color w:val="605E5C"/>
      <w:shd w:val="clear" w:color="auto" w:fill="E1DFDD"/>
    </w:rPr>
  </w:style>
  <w:style w:type="character" w:customStyle="1" w:styleId="ssit">
    <w:name w:val="ss_it"/>
    <w:basedOn w:val="DefaultParagraphFont"/>
    <w:rsid w:val="00A8192C"/>
  </w:style>
  <w:style w:type="character" w:customStyle="1" w:styleId="sssh">
    <w:name w:val="ss_sh"/>
    <w:basedOn w:val="DefaultParagraphFont"/>
    <w:rsid w:val="00A8192C"/>
  </w:style>
  <w:style w:type="character" w:styleId="EndnoteReference">
    <w:name w:val="endnote reference"/>
    <w:basedOn w:val="DefaultParagraphFont"/>
    <w:semiHidden/>
    <w:unhideWhenUsed/>
    <w:rsid w:val="00D26ADF"/>
    <w:rPr>
      <w:vertAlign w:val="superscript"/>
    </w:rPr>
  </w:style>
  <w:style w:type="paragraph" w:styleId="Revision">
    <w:name w:val="Revision"/>
    <w:hidden/>
    <w:uiPriority w:val="99"/>
    <w:semiHidden/>
    <w:rsid w:val="00CB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hyperlink" Target="mailto:amy.botschnerobrien@ohioago.gov" TargetMode="External" /><Relationship Id="rId17" Type="http://schemas.openxmlformats.org/officeDocument/2006/relationships/hyperlink" Target="mailto:megan.addison@puco.ohio.gov" TargetMode="External" /><Relationship Id="rId18" Type="http://schemas.openxmlformats.org/officeDocument/2006/relationships/hyperlink" Target="mailto:greg.price@puco.ohio.gov" TargetMode="External" /><Relationship Id="rId19" Type="http://schemas.openxmlformats.org/officeDocument/2006/relationships/hyperlink" Target="mailto:jacqueline.st.john@puco.ohio.gov" TargetMode="External" /><Relationship Id="rId2" Type="http://schemas.openxmlformats.org/officeDocument/2006/relationships/settings" Target="settings.xml" /><Relationship Id="rId20" Type="http://schemas.openxmlformats.org/officeDocument/2006/relationships/hyperlink" Target="mailto:zwoltz@firstenergycorp.com" TargetMode="External" /><Relationship Id="rId21" Type="http://schemas.openxmlformats.org/officeDocument/2006/relationships/hyperlink" Target="mailto:mkurtz@BKLlawfirm.com" TargetMode="External" /><Relationship Id="rId22" Type="http://schemas.openxmlformats.org/officeDocument/2006/relationships/hyperlink" Target="mailto:kylercohn@BKLlawfirm.com" TargetMode="External" /><Relationship Id="rId23" Type="http://schemas.openxmlformats.org/officeDocument/2006/relationships/hyperlink" Target="mailto:dproano@bakerlaw.com" TargetMode="External" /><Relationship Id="rId24" Type="http://schemas.openxmlformats.org/officeDocument/2006/relationships/hyperlink" Target="mailto:pwillison@bakerlaw.com" TargetMode="External" /><Relationship Id="rId25" Type="http://schemas.openxmlformats.org/officeDocument/2006/relationships/footer" Target="foot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ohiochannel.org/video/ohio-senate-energy-and-public-utilities-committee-4-9-202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C054-49BF-4FCA-8820-CCC4C451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2024-04-19T14:44:55Z</dcterms:created>
  <dcterms:modified xsi:type="dcterms:W3CDTF">2024-04-19T14:44:55Z</dcterms:modified>
</cp:coreProperties>
</file>